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67C8" w:rsidR="00CB67C8" w:rsidP="00CB67C8" w:rsidRDefault="00CB67C8" w14:paraId="154AA19B" w14:textId="77777777">
      <w:pPr>
        <w:widowControl w:val="0"/>
        <w:tabs>
          <w:tab w:val="center" w:pos="4680"/>
        </w:tabs>
        <w:autoSpaceDE w:val="0"/>
        <w:autoSpaceDN w:val="0"/>
        <w:adjustRightInd w:val="0"/>
        <w:spacing w:after="0" w:line="242" w:lineRule="auto"/>
        <w:jc w:val="center"/>
        <w:rPr>
          <w:rFonts w:ascii="Times New Roman" w:hAnsi="Times New Roman" w:eastAsia="Times New Roman" w:cs="Times New Roman"/>
          <w:b/>
          <w:sz w:val="24"/>
          <w:szCs w:val="24"/>
        </w:rPr>
      </w:pPr>
      <w:r w:rsidRPr="00CB67C8">
        <w:rPr>
          <w:rFonts w:ascii="Times New Roman" w:hAnsi="Times New Roman" w:eastAsia="Times New Roman" w:cs="Times New Roman"/>
          <w:b/>
          <w:bCs/>
          <w:sz w:val="24"/>
          <w:szCs w:val="24"/>
        </w:rPr>
        <w:t xml:space="preserve">SUPPORTING STATEMENT </w:t>
      </w:r>
    </w:p>
    <w:p w:rsidRPr="00CB67C8" w:rsidR="00CB67C8" w:rsidP="00CB67C8" w:rsidRDefault="00CB67C8" w14:paraId="6B267712" w14:textId="77777777">
      <w:pPr>
        <w:widowControl w:val="0"/>
        <w:tabs>
          <w:tab w:val="center" w:pos="4680"/>
        </w:tabs>
        <w:autoSpaceDE w:val="0"/>
        <w:autoSpaceDN w:val="0"/>
        <w:adjustRightInd w:val="0"/>
        <w:spacing w:after="0" w:line="242" w:lineRule="auto"/>
        <w:jc w:val="center"/>
        <w:rPr>
          <w:rFonts w:ascii="Times New Roman" w:hAnsi="Times New Roman" w:eastAsia="Times New Roman" w:cs="Times New Roman"/>
          <w:b/>
          <w:bCs/>
          <w:sz w:val="24"/>
          <w:szCs w:val="24"/>
        </w:rPr>
      </w:pPr>
      <w:r w:rsidRPr="00CB67C8">
        <w:rPr>
          <w:rFonts w:ascii="Times New Roman" w:hAnsi="Times New Roman" w:eastAsia="Times New Roman" w:cs="Times New Roman"/>
          <w:b/>
          <w:bCs/>
          <w:sz w:val="24"/>
          <w:szCs w:val="24"/>
        </w:rPr>
        <w:t>ORGAN PROCUREMENT ORGANIZATION/</w:t>
      </w:r>
    </w:p>
    <w:p w:rsidRPr="00CB67C8" w:rsidR="00CB67C8" w:rsidP="00CB67C8" w:rsidRDefault="00CB67C8" w14:paraId="3DB2DD7B" w14:textId="77777777">
      <w:pPr>
        <w:widowControl w:val="0"/>
        <w:tabs>
          <w:tab w:val="center" w:pos="4680"/>
        </w:tabs>
        <w:autoSpaceDE w:val="0"/>
        <w:autoSpaceDN w:val="0"/>
        <w:adjustRightInd w:val="0"/>
        <w:spacing w:after="0" w:line="242" w:lineRule="auto"/>
        <w:jc w:val="center"/>
        <w:rPr>
          <w:rFonts w:ascii="Times New Roman" w:hAnsi="Times New Roman" w:eastAsia="Times New Roman" w:cs="Times New Roman"/>
          <w:b/>
          <w:bCs/>
          <w:sz w:val="24"/>
          <w:szCs w:val="24"/>
        </w:rPr>
      </w:pPr>
      <w:r w:rsidRPr="00CB67C8">
        <w:rPr>
          <w:rFonts w:ascii="Times New Roman" w:hAnsi="Times New Roman" w:eastAsia="Times New Roman" w:cs="Times New Roman"/>
          <w:b/>
          <w:bCs/>
          <w:sz w:val="24"/>
          <w:szCs w:val="24"/>
        </w:rPr>
        <w:t xml:space="preserve">HISTOCOMPATIBILITY LABORATORY COST REPORT </w:t>
      </w:r>
    </w:p>
    <w:p w:rsidRPr="00CB67C8" w:rsidR="00CB67C8" w:rsidP="00CB67C8" w:rsidRDefault="00CB67C8" w14:paraId="11E79FE9" w14:textId="22879A6D">
      <w:pPr>
        <w:widowControl w:val="0"/>
        <w:tabs>
          <w:tab w:val="center" w:pos="4680"/>
        </w:tabs>
        <w:autoSpaceDE w:val="0"/>
        <w:autoSpaceDN w:val="0"/>
        <w:adjustRightInd w:val="0"/>
        <w:spacing w:after="0" w:line="242" w:lineRule="auto"/>
        <w:jc w:val="center"/>
        <w:rPr>
          <w:rFonts w:ascii="Times New Roman" w:hAnsi="Times New Roman" w:eastAsia="Times New Roman" w:cs="Times New Roman"/>
          <w:b/>
          <w:bCs/>
          <w:sz w:val="24"/>
          <w:szCs w:val="24"/>
        </w:rPr>
      </w:pPr>
      <w:r w:rsidRPr="00CB67C8">
        <w:rPr>
          <w:rFonts w:ascii="Times New Roman" w:hAnsi="Times New Roman" w:eastAsia="Times New Roman" w:cs="Times New Roman"/>
          <w:b/>
          <w:bCs/>
          <w:sz w:val="24"/>
          <w:szCs w:val="24"/>
        </w:rPr>
        <w:t>(</w:t>
      </w:r>
      <w:r w:rsidR="00676C24">
        <w:rPr>
          <w:rFonts w:ascii="Times New Roman" w:hAnsi="Times New Roman" w:eastAsia="Times New Roman" w:cs="Times New Roman"/>
          <w:b/>
          <w:bCs/>
          <w:sz w:val="24"/>
          <w:szCs w:val="24"/>
        </w:rPr>
        <w:t xml:space="preserve">FORM </w:t>
      </w:r>
      <w:r w:rsidRPr="00CB67C8">
        <w:rPr>
          <w:rFonts w:ascii="Times New Roman" w:hAnsi="Times New Roman" w:eastAsia="Times New Roman" w:cs="Times New Roman"/>
          <w:b/>
          <w:bCs/>
          <w:sz w:val="24"/>
          <w:szCs w:val="24"/>
        </w:rPr>
        <w:t>CMS-216-94; OMB-0938-0102)</w:t>
      </w:r>
    </w:p>
    <w:p w:rsidRPr="00CB67C8" w:rsidR="00CB67C8" w:rsidP="00CB67C8" w:rsidRDefault="00CB67C8" w14:paraId="7DEE7A84" w14:textId="77777777">
      <w:pPr>
        <w:widowControl w:val="0"/>
        <w:autoSpaceDE w:val="0"/>
        <w:autoSpaceDN w:val="0"/>
        <w:adjustRightInd w:val="0"/>
        <w:spacing w:after="0" w:line="242" w:lineRule="auto"/>
        <w:rPr>
          <w:rFonts w:ascii="Times New Roman" w:hAnsi="Times New Roman" w:eastAsia="Times New Roman" w:cs="Times New Roman"/>
          <w:i/>
          <w:sz w:val="24"/>
          <w:szCs w:val="24"/>
        </w:rPr>
      </w:pPr>
    </w:p>
    <w:p w:rsidRPr="00CB67C8" w:rsidR="00CB67C8" w:rsidP="00CB67C8" w:rsidRDefault="00CB67C8" w14:paraId="40DF2818"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CB67C8" w:rsidRDefault="00CB67C8" w14:paraId="4C11EA39" w14:textId="77777777">
      <w:pPr>
        <w:widowControl w:val="0"/>
        <w:tabs>
          <w:tab w:val="left" w:pos="360"/>
        </w:tabs>
        <w:autoSpaceDE w:val="0"/>
        <w:autoSpaceDN w:val="0"/>
        <w:adjustRightInd w:val="0"/>
        <w:spacing w:after="0" w:line="242" w:lineRule="auto"/>
        <w:rPr>
          <w:rFonts w:ascii="Times New Roman" w:hAnsi="Times New Roman" w:eastAsia="Times New Roman" w:cs="Times New Roman"/>
          <w:sz w:val="24"/>
          <w:szCs w:val="24"/>
        </w:rPr>
      </w:pPr>
      <w:r w:rsidRPr="00CB67C8">
        <w:rPr>
          <w:rFonts w:ascii="Times New Roman" w:hAnsi="Times New Roman" w:eastAsia="Times New Roman" w:cs="Times New Roman"/>
          <w:b/>
          <w:bCs/>
          <w:sz w:val="24"/>
          <w:szCs w:val="24"/>
        </w:rPr>
        <w:t>A.</w:t>
      </w:r>
      <w:r w:rsidRPr="00CB67C8">
        <w:rPr>
          <w:rFonts w:ascii="Times New Roman" w:hAnsi="Times New Roman" w:eastAsia="Times New Roman" w:cs="Times New Roman"/>
          <w:b/>
          <w:bCs/>
          <w:sz w:val="24"/>
          <w:szCs w:val="24"/>
        </w:rPr>
        <w:tab/>
      </w:r>
      <w:r w:rsidRPr="00CB67C8">
        <w:rPr>
          <w:rFonts w:ascii="Times New Roman" w:hAnsi="Times New Roman" w:eastAsia="Times New Roman" w:cs="Times New Roman"/>
          <w:b/>
          <w:bCs/>
          <w:sz w:val="24"/>
          <w:szCs w:val="24"/>
          <w:u w:val="single"/>
        </w:rPr>
        <w:t>BACKGROUND</w:t>
      </w:r>
    </w:p>
    <w:p w:rsidRPr="00CB67C8" w:rsidR="00CB67C8" w:rsidP="00CB67C8" w:rsidRDefault="00CB67C8" w14:paraId="66536DD0" w14:textId="77777777">
      <w:pPr>
        <w:widowControl w:val="0"/>
        <w:tabs>
          <w:tab w:val="left" w:pos="540"/>
        </w:tabs>
        <w:autoSpaceDE w:val="0"/>
        <w:autoSpaceDN w:val="0"/>
        <w:adjustRightInd w:val="0"/>
        <w:spacing w:after="0" w:line="242" w:lineRule="auto"/>
        <w:rPr>
          <w:rFonts w:ascii="Times New Roman" w:hAnsi="Times New Roman" w:eastAsia="Times New Roman" w:cs="Times New Roman"/>
          <w:sz w:val="24"/>
          <w:szCs w:val="24"/>
        </w:rPr>
      </w:pPr>
    </w:p>
    <w:p w:rsidRPr="004017F8" w:rsidR="004017F8" w:rsidP="004017F8" w:rsidRDefault="00CB67C8" w14:paraId="577CEFF2" w14:textId="306F866B">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 xml:space="preserve">CMS is requesting </w:t>
      </w:r>
      <w:r w:rsidR="00C865F7">
        <w:rPr>
          <w:rFonts w:ascii="Times New Roman" w:hAnsi="Times New Roman" w:eastAsia="Times New Roman" w:cs="Times New Roman"/>
          <w:sz w:val="24"/>
          <w:szCs w:val="24"/>
        </w:rPr>
        <w:t xml:space="preserve">review and approval by </w:t>
      </w:r>
      <w:r w:rsidRPr="00CB67C8">
        <w:rPr>
          <w:rFonts w:ascii="Times New Roman" w:hAnsi="Times New Roman" w:eastAsia="Times New Roman" w:cs="Times New Roman"/>
          <w:sz w:val="24"/>
          <w:szCs w:val="24"/>
        </w:rPr>
        <w:t xml:space="preserve">the Office of Management and Budget (OMB) for </w:t>
      </w:r>
      <w:r w:rsidR="00C865F7">
        <w:rPr>
          <w:rFonts w:ascii="Times New Roman" w:hAnsi="Times New Roman" w:eastAsia="Times New Roman" w:cs="Times New Roman"/>
          <w:sz w:val="24"/>
          <w:szCs w:val="24"/>
        </w:rPr>
        <w:t>the reinstatement</w:t>
      </w:r>
      <w:r w:rsidRPr="00CB67C8">
        <w:rPr>
          <w:rFonts w:ascii="Times New Roman" w:hAnsi="Times New Roman" w:eastAsia="Times New Roman" w:cs="Times New Roman"/>
          <w:sz w:val="24"/>
          <w:szCs w:val="24"/>
        </w:rPr>
        <w:t xml:space="preserve"> without change of </w:t>
      </w:r>
      <w:r w:rsidR="00C865F7">
        <w:rPr>
          <w:rFonts w:ascii="Times New Roman" w:hAnsi="Times New Roman" w:eastAsia="Times New Roman" w:cs="Times New Roman"/>
          <w:sz w:val="24"/>
          <w:szCs w:val="24"/>
        </w:rPr>
        <w:t>the</w:t>
      </w:r>
      <w:r w:rsidRPr="00CB67C8">
        <w:rPr>
          <w:rFonts w:ascii="Times New Roman" w:hAnsi="Times New Roman" w:eastAsia="Times New Roman" w:cs="Times New Roman"/>
          <w:sz w:val="24"/>
          <w:szCs w:val="24"/>
        </w:rPr>
        <w:t xml:space="preserve"> </w:t>
      </w:r>
      <w:r w:rsidR="00C865F7">
        <w:rPr>
          <w:rFonts w:ascii="Times New Roman" w:hAnsi="Times New Roman" w:eastAsia="Times New Roman" w:cs="Times New Roman"/>
          <w:sz w:val="24"/>
          <w:szCs w:val="24"/>
        </w:rPr>
        <w:t xml:space="preserve">OMB No. 0938-0102, </w:t>
      </w:r>
      <w:r w:rsidRPr="00CB67C8">
        <w:rPr>
          <w:rFonts w:ascii="Times New Roman" w:hAnsi="Times New Roman" w:eastAsia="Times New Roman" w:cs="Times New Roman"/>
          <w:sz w:val="24"/>
          <w:szCs w:val="24"/>
        </w:rPr>
        <w:t xml:space="preserve">Form CMS-216-94, Organ Procurement Organization (OPO) / Histocompatibility Laboratory </w:t>
      </w:r>
      <w:r w:rsidR="0084374F">
        <w:rPr>
          <w:rFonts w:ascii="Times New Roman" w:hAnsi="Times New Roman" w:eastAsia="Times New Roman" w:cs="Times New Roman"/>
          <w:sz w:val="24"/>
          <w:szCs w:val="24"/>
        </w:rPr>
        <w:t xml:space="preserve">(HL) </w:t>
      </w:r>
      <w:r w:rsidRPr="00CB67C8">
        <w:rPr>
          <w:rFonts w:ascii="Times New Roman" w:hAnsi="Times New Roman" w:eastAsia="Times New Roman" w:cs="Times New Roman"/>
          <w:sz w:val="24"/>
          <w:szCs w:val="24"/>
        </w:rPr>
        <w:t>Cost Report</w:t>
      </w:r>
      <w:r w:rsidR="0058756D">
        <w:rPr>
          <w:rFonts w:ascii="Times New Roman" w:hAnsi="Times New Roman" w:eastAsia="Times New Roman" w:cs="Times New Roman"/>
          <w:sz w:val="24"/>
          <w:szCs w:val="24"/>
        </w:rPr>
        <w:t xml:space="preserve">, </w:t>
      </w:r>
      <w:r w:rsidR="009B68E2">
        <w:rPr>
          <w:rFonts w:ascii="Times New Roman" w:hAnsi="Times New Roman" w:eastAsia="Times New Roman" w:cs="Times New Roman"/>
          <w:sz w:val="24"/>
          <w:szCs w:val="24"/>
        </w:rPr>
        <w:t>which</w:t>
      </w:r>
      <w:r w:rsidR="00690388">
        <w:rPr>
          <w:rFonts w:ascii="Times New Roman" w:hAnsi="Times New Roman" w:eastAsia="Times New Roman" w:cs="Times New Roman"/>
          <w:sz w:val="24"/>
          <w:szCs w:val="24"/>
        </w:rPr>
        <w:t xml:space="preserve"> expired on </w:t>
      </w:r>
      <w:r w:rsidR="0058756D">
        <w:rPr>
          <w:rFonts w:ascii="Times New Roman" w:hAnsi="Times New Roman" w:eastAsia="Times New Roman" w:cs="Times New Roman"/>
          <w:sz w:val="24"/>
          <w:szCs w:val="24"/>
        </w:rPr>
        <w:t>January 31</w:t>
      </w:r>
      <w:r w:rsidRPr="004017F8" w:rsidR="0058756D">
        <w:rPr>
          <w:rFonts w:ascii="Times New Roman" w:hAnsi="Times New Roman" w:eastAsia="Times New Roman" w:cs="Times New Roman"/>
          <w:sz w:val="24"/>
          <w:szCs w:val="24"/>
        </w:rPr>
        <w:t>, 20</w:t>
      </w:r>
      <w:r w:rsidR="0058756D">
        <w:rPr>
          <w:rFonts w:ascii="Times New Roman" w:hAnsi="Times New Roman" w:eastAsia="Times New Roman" w:cs="Times New Roman"/>
          <w:sz w:val="24"/>
          <w:szCs w:val="24"/>
        </w:rPr>
        <w:t>21</w:t>
      </w:r>
      <w:r w:rsidRPr="004017F8" w:rsidR="0058756D">
        <w:rPr>
          <w:rFonts w:ascii="Times New Roman" w:hAnsi="Times New Roman" w:eastAsia="Times New Roman" w:cs="Times New Roman"/>
          <w:sz w:val="24"/>
          <w:szCs w:val="24"/>
        </w:rPr>
        <w:t>.</w:t>
      </w:r>
      <w:r w:rsidR="0058756D">
        <w:rPr>
          <w:rFonts w:ascii="Times New Roman" w:hAnsi="Times New Roman" w:eastAsia="Times New Roman" w:cs="Times New Roman"/>
          <w:sz w:val="24"/>
          <w:szCs w:val="24"/>
        </w:rPr>
        <w:t xml:space="preserve">  </w:t>
      </w:r>
      <w:r w:rsidR="00C865F7">
        <w:rPr>
          <w:rFonts w:ascii="Times New Roman" w:hAnsi="Times New Roman" w:eastAsia="Times New Roman" w:cs="Times New Roman"/>
          <w:sz w:val="24"/>
          <w:szCs w:val="24"/>
        </w:rPr>
        <w:t xml:space="preserve">OPOs and </w:t>
      </w:r>
      <w:r w:rsidR="0084374F">
        <w:rPr>
          <w:rFonts w:ascii="Times New Roman" w:hAnsi="Times New Roman" w:eastAsia="Times New Roman" w:cs="Times New Roman"/>
          <w:sz w:val="24"/>
          <w:szCs w:val="24"/>
        </w:rPr>
        <w:t>HL</w:t>
      </w:r>
      <w:r w:rsidR="00C865F7">
        <w:rPr>
          <w:rFonts w:ascii="Times New Roman" w:hAnsi="Times New Roman" w:eastAsia="Times New Roman" w:cs="Times New Roman"/>
          <w:sz w:val="24"/>
          <w:szCs w:val="24"/>
        </w:rPr>
        <w:t xml:space="preserve">s submit these cost reports </w:t>
      </w:r>
      <w:r w:rsidRPr="00C865F7" w:rsidR="00C865F7">
        <w:rPr>
          <w:rFonts w:ascii="Times New Roman" w:hAnsi="Times New Roman" w:eastAsia="Times New Roman" w:cs="Times New Roman"/>
          <w:sz w:val="24"/>
          <w:szCs w:val="24"/>
        </w:rPr>
        <w:t>annually to report cost</w:t>
      </w:r>
      <w:r w:rsidR="00C865F7">
        <w:rPr>
          <w:rFonts w:ascii="Times New Roman" w:hAnsi="Times New Roman" w:eastAsia="Times New Roman" w:cs="Times New Roman"/>
          <w:sz w:val="24"/>
          <w:szCs w:val="24"/>
        </w:rPr>
        <w:t>s</w:t>
      </w:r>
      <w:r w:rsidRPr="00C865F7" w:rsidR="00C865F7">
        <w:rPr>
          <w:rFonts w:ascii="Times New Roman" w:hAnsi="Times New Roman" w:eastAsia="Times New Roman" w:cs="Times New Roman"/>
          <w:sz w:val="24"/>
          <w:szCs w:val="24"/>
        </w:rPr>
        <w:t xml:space="preserve"> and statistical data used by CMS to determine reasonable costs.</w:t>
      </w:r>
      <w:r w:rsidRPr="004017F8" w:rsidDel="00C865F7" w:rsidR="00C865F7">
        <w:rPr>
          <w:rFonts w:ascii="Times New Roman" w:hAnsi="Times New Roman" w:eastAsia="Times New Roman" w:cs="Times New Roman"/>
          <w:sz w:val="24"/>
          <w:szCs w:val="24"/>
        </w:rPr>
        <w:t xml:space="preserve"> </w:t>
      </w:r>
    </w:p>
    <w:p w:rsidR="0032638D" w:rsidP="00261AEF" w:rsidRDefault="0032638D" w14:paraId="20AEAB80"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00453B9D" w:rsidP="00261AEF" w:rsidRDefault="0032638D" w14:paraId="469527D6" w14:textId="5018A789">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32638D">
        <w:rPr>
          <w:rFonts w:ascii="Times New Roman" w:hAnsi="Times New Roman" w:eastAsia="Times New Roman" w:cs="Times New Roman"/>
          <w:sz w:val="24"/>
          <w:szCs w:val="24"/>
        </w:rPr>
        <w:t>OPOs are non-profit organizations responsible for the evaluation and procurement of organs for transplantation. They are the entities legally permitted by law to recover organs from deceased donors and also provide support to donor families, clinical management of organ donors, and professional and public education about organ donation. Other specific tasks include identifying potential organ donors, requesting consent from the families of donors, procuring organs and working with other agencies to identify potential transplant recipients, and ensuring that organs are transferred to donor hospitals. </w:t>
      </w:r>
      <w:r w:rsidRPr="00D92E8D" w:rsidR="00604C53">
        <w:rPr>
          <w:rFonts w:ascii="Times New Roman" w:hAnsi="Times New Roman" w:eastAsia="Times New Roman" w:cs="Times New Roman"/>
          <w:sz w:val="24"/>
          <w:szCs w:val="24"/>
        </w:rPr>
        <w:t xml:space="preserve"> </w:t>
      </w:r>
    </w:p>
    <w:p w:rsidR="0032638D" w:rsidP="00261AEF" w:rsidRDefault="0032638D" w14:paraId="6FC441D6" w14:textId="571E9B76">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00D92E8D" w:rsidP="00261AEF" w:rsidRDefault="00D92E8D" w14:paraId="6E49976E" w14:textId="0E88F54D">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D92E8D">
        <w:rPr>
          <w:rFonts w:ascii="Times New Roman" w:hAnsi="Times New Roman" w:eastAsia="Times New Roman" w:cs="Times New Roman"/>
          <w:sz w:val="24"/>
          <w:szCs w:val="24"/>
        </w:rPr>
        <w:t>H</w:t>
      </w:r>
      <w:r w:rsidR="0084374F">
        <w:rPr>
          <w:rFonts w:ascii="Times New Roman" w:hAnsi="Times New Roman" w:eastAsia="Times New Roman" w:cs="Times New Roman"/>
          <w:sz w:val="24"/>
          <w:szCs w:val="24"/>
        </w:rPr>
        <w:t>L</w:t>
      </w:r>
      <w:r w:rsidRPr="00D92E8D">
        <w:rPr>
          <w:rFonts w:ascii="Times New Roman" w:hAnsi="Times New Roman" w:eastAsia="Times New Roman" w:cs="Times New Roman"/>
          <w:sz w:val="24"/>
          <w:szCs w:val="24"/>
        </w:rPr>
        <w:t>s provide tissue-typing services in preparation for certain procedures, such as kidney transplants, bone marrow transplants, and blood platelet transfusions.  H</w:t>
      </w:r>
      <w:r w:rsidR="0084374F">
        <w:rPr>
          <w:rFonts w:ascii="Times New Roman" w:hAnsi="Times New Roman" w:eastAsia="Times New Roman" w:cs="Times New Roman"/>
          <w:sz w:val="24"/>
          <w:szCs w:val="24"/>
        </w:rPr>
        <w:t>Ls</w:t>
      </w:r>
      <w:r w:rsidRPr="00D92E8D">
        <w:rPr>
          <w:rFonts w:ascii="Times New Roman" w:hAnsi="Times New Roman" w:eastAsia="Times New Roman" w:cs="Times New Roman"/>
          <w:sz w:val="24"/>
          <w:szCs w:val="24"/>
        </w:rPr>
        <w:t xml:space="preserve"> provide pre-transplant screening tests and tissue typing for transplant hospitals and OPOs, in addition to non-transplant tissue typing and clinical laboratory services.  </w:t>
      </w:r>
    </w:p>
    <w:p w:rsidR="00D92E8D" w:rsidP="00261AEF" w:rsidRDefault="00D92E8D" w14:paraId="69B32098"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BC532A" w:rsidR="00BC532A" w:rsidP="00BC532A" w:rsidRDefault="00BC532A" w14:paraId="608BF3AE" w14:textId="0F8F2F2A">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BC532A">
        <w:rPr>
          <w:rFonts w:ascii="Times New Roman" w:hAnsi="Times New Roman" w:eastAsia="Times New Roman" w:cs="Times New Roman"/>
          <w:sz w:val="24"/>
          <w:szCs w:val="24"/>
        </w:rPr>
        <w:t xml:space="preserve">The following is a summary of the cost reporting forms.  No revisions are proposed to the worksheets listed below in order of their sequence. Further instructions for the completion of the particular worksheets are provided in the </w:t>
      </w:r>
      <w:r>
        <w:rPr>
          <w:rFonts w:ascii="Times New Roman" w:hAnsi="Times New Roman" w:eastAsia="Times New Roman" w:cs="Times New Roman"/>
          <w:sz w:val="24"/>
          <w:szCs w:val="24"/>
        </w:rPr>
        <w:t>P</w:t>
      </w:r>
      <w:r w:rsidRPr="00BC532A">
        <w:rPr>
          <w:rFonts w:ascii="Times New Roman" w:hAnsi="Times New Roman" w:eastAsia="Times New Roman" w:cs="Times New Roman"/>
          <w:sz w:val="24"/>
          <w:szCs w:val="24"/>
        </w:rPr>
        <w:t xml:space="preserve">rovider Reimbursement Manual, Part </w:t>
      </w:r>
      <w:r>
        <w:rPr>
          <w:rFonts w:ascii="Times New Roman" w:hAnsi="Times New Roman" w:eastAsia="Times New Roman" w:cs="Times New Roman"/>
          <w:sz w:val="24"/>
          <w:szCs w:val="24"/>
        </w:rPr>
        <w:t>2</w:t>
      </w:r>
      <w:r w:rsidRPr="00BC532A">
        <w:rPr>
          <w:rFonts w:ascii="Times New Roman" w:hAnsi="Times New Roman" w:eastAsia="Times New Roman" w:cs="Times New Roman"/>
          <w:sz w:val="24"/>
          <w:szCs w:val="24"/>
        </w:rPr>
        <w:t>, Chapter 33.</w:t>
      </w:r>
    </w:p>
    <w:p w:rsidRPr="00BC532A" w:rsidR="00BC532A" w:rsidP="00BC532A" w:rsidRDefault="00BC532A" w14:paraId="741041AF"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BC532A" w:rsidR="00BC532A" w:rsidP="00BC532A" w:rsidRDefault="00BC532A" w14:paraId="2EB4D0DC" w14:textId="708591A0">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BC532A">
        <w:rPr>
          <w:rFonts w:ascii="Times New Roman" w:hAnsi="Times New Roman" w:eastAsia="Times New Roman" w:cs="Times New Roman"/>
          <w:sz w:val="24"/>
          <w:szCs w:val="24"/>
        </w:rPr>
        <w:t xml:space="preserve">1.   </w:t>
      </w:r>
      <w:r w:rsidRPr="00BC532A">
        <w:rPr>
          <w:rFonts w:ascii="Times New Roman" w:hAnsi="Times New Roman" w:eastAsia="Times New Roman" w:cs="Times New Roman"/>
          <w:sz w:val="24"/>
          <w:szCs w:val="24"/>
          <w:u w:val="single"/>
        </w:rPr>
        <w:t>Worksheet S - Organ Procurement Organization/Histocompatibility Laboratory General Data and Certification Statement</w:t>
      </w:r>
    </w:p>
    <w:p w:rsidRPr="00BC532A" w:rsidR="00BC532A" w:rsidP="00BC532A" w:rsidRDefault="00BC532A" w14:paraId="69BD4C2E"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00BC532A" w:rsidP="00BC532A" w:rsidRDefault="00BC532A" w14:paraId="1E206CC3" w14:textId="53B68F89">
      <w:pPr>
        <w:widowControl w:val="0"/>
        <w:autoSpaceDE w:val="0"/>
        <w:autoSpaceDN w:val="0"/>
        <w:adjustRightInd w:val="0"/>
        <w:spacing w:after="0" w:line="240" w:lineRule="auto"/>
        <w:ind w:left="360"/>
        <w:rPr>
          <w:rFonts w:ascii="Times New Roman" w:hAnsi="Times New Roman" w:eastAsia="Times New Roman" w:cs="Times New Roman"/>
          <w:sz w:val="24"/>
          <w:szCs w:val="24"/>
          <w:u w:val="single"/>
        </w:rPr>
      </w:pPr>
      <w:r w:rsidRPr="00BC532A">
        <w:rPr>
          <w:rFonts w:ascii="Times New Roman" w:hAnsi="Times New Roman" w:eastAsia="Times New Roman" w:cs="Times New Roman"/>
          <w:sz w:val="24"/>
          <w:szCs w:val="24"/>
        </w:rPr>
        <w:t xml:space="preserve">2.   </w:t>
      </w:r>
      <w:r w:rsidRPr="00BC532A">
        <w:rPr>
          <w:rFonts w:ascii="Times New Roman" w:hAnsi="Times New Roman" w:eastAsia="Times New Roman" w:cs="Times New Roman"/>
          <w:sz w:val="24"/>
          <w:szCs w:val="24"/>
          <w:u w:val="single"/>
        </w:rPr>
        <w:t>Worksheet S-1 - Organ Procurement Organization Histocompatibility Laboratory Identification Data</w:t>
      </w:r>
    </w:p>
    <w:p w:rsidR="00BC532A" w:rsidP="00BC532A" w:rsidRDefault="00BC532A" w14:paraId="1DAD4F84" w14:textId="1CD03F24">
      <w:pPr>
        <w:widowControl w:val="0"/>
        <w:autoSpaceDE w:val="0"/>
        <w:autoSpaceDN w:val="0"/>
        <w:adjustRightInd w:val="0"/>
        <w:spacing w:after="0" w:line="240" w:lineRule="auto"/>
        <w:ind w:left="360"/>
        <w:rPr>
          <w:rFonts w:ascii="Times New Roman" w:hAnsi="Times New Roman" w:eastAsia="Times New Roman" w:cs="Times New Roman"/>
          <w:sz w:val="24"/>
          <w:szCs w:val="24"/>
          <w:u w:val="single"/>
        </w:rPr>
      </w:pPr>
    </w:p>
    <w:p w:rsidRPr="00BC532A" w:rsidR="00BC532A" w:rsidP="00BC532A" w:rsidRDefault="00BC532A" w14:paraId="7C1306CA" w14:textId="4846A736">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3.</w:t>
      </w:r>
      <w:r>
        <w:rPr>
          <w:rFonts w:ascii="Times New Roman" w:hAnsi="Times New Roman" w:eastAsia="Times New Roman" w:cs="Times New Roman"/>
          <w:sz w:val="24"/>
          <w:szCs w:val="24"/>
          <w:u w:val="single"/>
        </w:rPr>
        <w:tab/>
        <w:t>Worksheet S-2 - Provider Reimbursement Questionnaire</w:t>
      </w:r>
    </w:p>
    <w:p w:rsidRPr="00BC532A" w:rsidR="00BC532A" w:rsidP="00BC532A" w:rsidRDefault="00BC532A" w14:paraId="5CF92578"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BC532A" w:rsidR="00BC532A" w:rsidP="00BC532A" w:rsidRDefault="00BC532A" w14:paraId="5D1F4203" w14:textId="41F8DC33">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BC532A">
        <w:rPr>
          <w:rFonts w:ascii="Times New Roman" w:hAnsi="Times New Roman" w:eastAsia="Times New Roman" w:cs="Times New Roman"/>
          <w:sz w:val="24"/>
          <w:szCs w:val="24"/>
        </w:rPr>
        <w:t xml:space="preserve">3.  </w:t>
      </w:r>
      <w:r w:rsidRPr="00BC532A">
        <w:rPr>
          <w:rFonts w:ascii="Times New Roman" w:hAnsi="Times New Roman" w:eastAsia="Times New Roman" w:cs="Times New Roman"/>
          <w:sz w:val="24"/>
          <w:szCs w:val="24"/>
          <w:u w:val="single"/>
        </w:rPr>
        <w:t xml:space="preserve">Worksheet A </w:t>
      </w:r>
      <w:r>
        <w:rPr>
          <w:rFonts w:ascii="Times New Roman" w:hAnsi="Times New Roman" w:eastAsia="Times New Roman" w:cs="Times New Roman"/>
          <w:sz w:val="24"/>
          <w:szCs w:val="24"/>
          <w:u w:val="single"/>
        </w:rPr>
        <w:t>series</w:t>
      </w:r>
      <w:r w:rsidRPr="00BC532A">
        <w:rPr>
          <w:rFonts w:ascii="Times New Roman" w:hAnsi="Times New Roman" w:eastAsia="Times New Roman" w:cs="Times New Roman"/>
          <w:sz w:val="24"/>
          <w:szCs w:val="24"/>
          <w:u w:val="single"/>
        </w:rPr>
        <w:t>- Reclassification and Adjustment of Trial Balance of Expenses</w:t>
      </w:r>
    </w:p>
    <w:p w:rsidRPr="00BC532A" w:rsidR="00BC532A" w:rsidP="00BC532A" w:rsidRDefault="00BC532A" w14:paraId="133449A1"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BC532A" w:rsidR="00BC532A" w:rsidP="00BC532A" w:rsidRDefault="00BC532A" w14:paraId="57F9657A" w14:textId="162F49C1">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BC532A">
        <w:rPr>
          <w:rFonts w:ascii="Times New Roman" w:hAnsi="Times New Roman" w:eastAsia="Times New Roman" w:cs="Times New Roman"/>
          <w:sz w:val="24"/>
          <w:szCs w:val="24"/>
        </w:rPr>
        <w:t xml:space="preserve">4.  </w:t>
      </w:r>
      <w:r w:rsidRPr="00BC532A">
        <w:rPr>
          <w:rFonts w:ascii="Times New Roman" w:hAnsi="Times New Roman" w:eastAsia="Times New Roman" w:cs="Times New Roman"/>
          <w:sz w:val="24"/>
          <w:szCs w:val="24"/>
          <w:u w:val="single"/>
        </w:rPr>
        <w:t>Worksheet</w:t>
      </w:r>
      <w:r>
        <w:rPr>
          <w:rFonts w:ascii="Times New Roman" w:hAnsi="Times New Roman" w:eastAsia="Times New Roman" w:cs="Times New Roman"/>
          <w:sz w:val="24"/>
          <w:szCs w:val="24"/>
          <w:u w:val="single"/>
        </w:rPr>
        <w:t>s</w:t>
      </w:r>
      <w:r w:rsidRPr="00BC532A">
        <w:rPr>
          <w:rFonts w:ascii="Times New Roman" w:hAnsi="Times New Roman" w:eastAsia="Times New Roman" w:cs="Times New Roman"/>
          <w:sz w:val="24"/>
          <w:szCs w:val="24"/>
          <w:u w:val="single"/>
        </w:rPr>
        <w:t xml:space="preserve"> B</w:t>
      </w:r>
      <w:r>
        <w:rPr>
          <w:rFonts w:ascii="Times New Roman" w:hAnsi="Times New Roman" w:eastAsia="Times New Roman" w:cs="Times New Roman"/>
          <w:sz w:val="24"/>
          <w:szCs w:val="24"/>
          <w:u w:val="single"/>
        </w:rPr>
        <w:t xml:space="preserve"> and B-1</w:t>
      </w:r>
      <w:r w:rsidRPr="00BC532A">
        <w:rPr>
          <w:rFonts w:ascii="Times New Roman" w:hAnsi="Times New Roman" w:eastAsia="Times New Roman" w:cs="Times New Roman"/>
          <w:sz w:val="24"/>
          <w:szCs w:val="24"/>
          <w:u w:val="single"/>
        </w:rPr>
        <w:t>- Cost Allocation-General Service Costs</w:t>
      </w:r>
    </w:p>
    <w:p w:rsidRPr="00BC532A" w:rsidR="00BC532A" w:rsidP="00BC532A" w:rsidRDefault="00BC532A" w14:paraId="15B6D7CF"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BC532A" w:rsidR="00BC532A" w:rsidP="00BC532A" w:rsidRDefault="00BC532A" w14:paraId="2281D58D"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u w:val="single"/>
        </w:rPr>
      </w:pPr>
      <w:r w:rsidRPr="00BC532A">
        <w:rPr>
          <w:rFonts w:ascii="Times New Roman" w:hAnsi="Times New Roman" w:eastAsia="Times New Roman" w:cs="Times New Roman"/>
          <w:sz w:val="24"/>
          <w:szCs w:val="24"/>
        </w:rPr>
        <w:t xml:space="preserve">5.  </w:t>
      </w:r>
      <w:r w:rsidRPr="00BC532A">
        <w:rPr>
          <w:rFonts w:ascii="Times New Roman" w:hAnsi="Times New Roman" w:eastAsia="Times New Roman" w:cs="Times New Roman"/>
          <w:sz w:val="24"/>
          <w:szCs w:val="24"/>
          <w:u w:val="single"/>
        </w:rPr>
        <w:t>Worksheet C &amp; D - Computation of Medicare Cost &amp; Calculation of Reimbursement Settlement</w:t>
      </w:r>
    </w:p>
    <w:p w:rsidRPr="00BC532A" w:rsidR="00BC532A" w:rsidP="00BC532A" w:rsidRDefault="00BC532A" w14:paraId="69EA4249"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u w:val="single"/>
        </w:rPr>
      </w:pPr>
    </w:p>
    <w:p w:rsidR="00BC532A" w:rsidP="00BC532A" w:rsidRDefault="00BC532A" w14:paraId="1B8F6104" w14:textId="7241D558">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BC532A">
        <w:rPr>
          <w:rFonts w:ascii="Times New Roman" w:hAnsi="Times New Roman" w:eastAsia="Times New Roman" w:cs="Times New Roman"/>
          <w:sz w:val="24"/>
          <w:szCs w:val="24"/>
        </w:rPr>
        <w:t xml:space="preserve">6.  </w:t>
      </w:r>
      <w:r w:rsidRPr="00BC532A">
        <w:rPr>
          <w:rFonts w:ascii="Times New Roman" w:hAnsi="Times New Roman" w:eastAsia="Times New Roman" w:cs="Times New Roman"/>
          <w:sz w:val="24"/>
          <w:szCs w:val="24"/>
          <w:u w:val="single"/>
        </w:rPr>
        <w:t>Worksheet E</w:t>
      </w:r>
      <w:r>
        <w:rPr>
          <w:rFonts w:ascii="Times New Roman" w:hAnsi="Times New Roman" w:eastAsia="Times New Roman" w:cs="Times New Roman"/>
          <w:sz w:val="24"/>
          <w:szCs w:val="24"/>
          <w:u w:val="single"/>
        </w:rPr>
        <w:t xml:space="preserve"> series </w:t>
      </w:r>
      <w:r w:rsidRPr="00BC532A">
        <w:rPr>
          <w:rFonts w:ascii="Times New Roman" w:hAnsi="Times New Roman" w:eastAsia="Times New Roman" w:cs="Times New Roman"/>
          <w:sz w:val="24"/>
          <w:szCs w:val="24"/>
          <w:u w:val="single"/>
        </w:rPr>
        <w:t>- Balance Sheet</w:t>
      </w:r>
      <w:r>
        <w:rPr>
          <w:rFonts w:ascii="Times New Roman" w:hAnsi="Times New Roman" w:eastAsia="Times New Roman" w:cs="Times New Roman"/>
          <w:sz w:val="24"/>
          <w:szCs w:val="24"/>
          <w:u w:val="single"/>
        </w:rPr>
        <w:t xml:space="preserve"> and Income Statement</w:t>
      </w:r>
      <w:r w:rsidRPr="00BC532A">
        <w:rPr>
          <w:rFonts w:ascii="Times New Roman" w:hAnsi="Times New Roman" w:eastAsia="Times New Roman" w:cs="Times New Roman"/>
          <w:sz w:val="24"/>
          <w:szCs w:val="24"/>
        </w:rPr>
        <w:t xml:space="preserve">     </w:t>
      </w:r>
    </w:p>
    <w:p w:rsidRPr="00CB67C8" w:rsidR="00CB67C8" w:rsidP="00CB67C8" w:rsidRDefault="00CB67C8" w14:paraId="533A0001" w14:textId="77777777">
      <w:pPr>
        <w:widowControl w:val="0"/>
        <w:tabs>
          <w:tab w:val="left" w:pos="450"/>
        </w:tabs>
        <w:autoSpaceDE w:val="0"/>
        <w:autoSpaceDN w:val="0"/>
        <w:adjustRightInd w:val="0"/>
        <w:spacing w:after="0" w:line="242" w:lineRule="auto"/>
        <w:rPr>
          <w:rFonts w:ascii="Times New Roman" w:hAnsi="Times New Roman" w:eastAsia="Times New Roman" w:cs="Times New Roman"/>
          <w:b/>
          <w:sz w:val="24"/>
          <w:szCs w:val="24"/>
        </w:rPr>
      </w:pPr>
      <w:r w:rsidRPr="00CB67C8">
        <w:rPr>
          <w:rFonts w:ascii="Times New Roman" w:hAnsi="Times New Roman" w:eastAsia="Times New Roman" w:cs="Times New Roman"/>
          <w:b/>
          <w:sz w:val="24"/>
          <w:szCs w:val="24"/>
        </w:rPr>
        <w:lastRenderedPageBreak/>
        <w:t>B.</w:t>
      </w:r>
      <w:r w:rsidRPr="00CB67C8">
        <w:rPr>
          <w:rFonts w:ascii="Times New Roman" w:hAnsi="Times New Roman" w:eastAsia="Times New Roman" w:cs="Times New Roman"/>
          <w:b/>
          <w:sz w:val="24"/>
          <w:szCs w:val="24"/>
        </w:rPr>
        <w:tab/>
      </w:r>
      <w:r w:rsidRPr="00CB67C8">
        <w:rPr>
          <w:rFonts w:ascii="Times New Roman" w:hAnsi="Times New Roman" w:eastAsia="Times New Roman" w:cs="Times New Roman"/>
          <w:b/>
          <w:bCs/>
          <w:sz w:val="24"/>
          <w:szCs w:val="24"/>
          <w:u w:val="single"/>
        </w:rPr>
        <w:t>JUSTIFICATION</w:t>
      </w:r>
    </w:p>
    <w:p w:rsidRPr="00CB67C8" w:rsidR="00CB67C8" w:rsidP="00CB67C8" w:rsidRDefault="00CB67C8" w14:paraId="731EF5C9" w14:textId="77777777">
      <w:pPr>
        <w:widowControl w:val="0"/>
        <w:autoSpaceDE w:val="0"/>
        <w:autoSpaceDN w:val="0"/>
        <w:adjustRightInd w:val="0"/>
        <w:spacing w:after="0" w:line="242" w:lineRule="auto"/>
        <w:rPr>
          <w:rFonts w:ascii="Times New Roman" w:hAnsi="Times New Roman" w:eastAsia="Times New Roman" w:cs="Times New Roman"/>
          <w:sz w:val="24"/>
          <w:szCs w:val="24"/>
          <w:u w:val="single"/>
        </w:rPr>
      </w:pPr>
    </w:p>
    <w:p w:rsidRPr="00CB67C8" w:rsidR="00CB67C8" w:rsidP="00CB67C8" w:rsidRDefault="00CB67C8" w14:paraId="05C80E8B" w14:textId="0CA45A63">
      <w:pPr>
        <w:widowControl w:val="0"/>
        <w:numPr>
          <w:ilvl w:val="0"/>
          <w:numId w:val="1"/>
        </w:numPr>
        <w:tabs>
          <w:tab w:val="left" w:pos="810"/>
        </w:tabs>
        <w:autoSpaceDE w:val="0"/>
        <w:autoSpaceDN w:val="0"/>
        <w:adjustRightInd w:val="0"/>
        <w:spacing w:after="0" w:line="242" w:lineRule="auto"/>
        <w:ind w:left="1440" w:hanging="990"/>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u w:val="single"/>
        </w:rPr>
        <w:t>Need and Legal Basis</w:t>
      </w:r>
      <w:r w:rsidR="00C865F7">
        <w:rPr>
          <w:rFonts w:ascii="Times New Roman" w:hAnsi="Times New Roman" w:eastAsia="Times New Roman" w:cs="Times New Roman"/>
          <w:sz w:val="24"/>
          <w:szCs w:val="24"/>
          <w:u w:val="single"/>
        </w:rPr>
        <w:t xml:space="preserve">    </w:t>
      </w:r>
    </w:p>
    <w:p w:rsidRPr="00CB67C8" w:rsidR="00CB67C8" w:rsidP="00CB67C8" w:rsidRDefault="00CB67C8" w14:paraId="66E29AF9"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F40998" w:rsidR="0058756D" w:rsidP="0058756D" w:rsidRDefault="00CB67C8" w14:paraId="7606B18C" w14:textId="2E0E15D3">
      <w:pPr>
        <w:widowControl w:val="0"/>
        <w:autoSpaceDE w:val="0"/>
        <w:autoSpaceDN w:val="0"/>
        <w:adjustRightInd w:val="0"/>
        <w:spacing w:after="0" w:line="240" w:lineRule="auto"/>
        <w:ind w:left="806"/>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 xml:space="preserve">Under the authority of sections 1815(a) and 1833(e) of the Act, CMS requires that providers of services participating in the Medicare program submit information to determine costs for health care services rendered to Medicare beneficiaries.  CMS requires that providers follow reasonable cost principles under 1861(v)(1)(A) of the Act when completing the Medicare cost report.  </w:t>
      </w:r>
      <w:r w:rsidRPr="00391888" w:rsidR="00391888">
        <w:rPr>
          <w:rFonts w:ascii="Times New Roman" w:hAnsi="Times New Roman" w:eastAsia="Times New Roman" w:cs="Times New Roman"/>
          <w:sz w:val="24"/>
          <w:szCs w:val="24"/>
        </w:rPr>
        <w:t xml:space="preserve">Section 1881(b)(2)(B) </w:t>
      </w:r>
      <w:proofErr w:type="gramStart"/>
      <w:r w:rsidRPr="00391888" w:rsidR="00391888">
        <w:rPr>
          <w:rFonts w:ascii="Times New Roman" w:hAnsi="Times New Roman" w:eastAsia="Times New Roman" w:cs="Times New Roman"/>
          <w:sz w:val="24"/>
          <w:szCs w:val="24"/>
        </w:rPr>
        <w:t>of  the</w:t>
      </w:r>
      <w:proofErr w:type="gramEnd"/>
      <w:r w:rsidRPr="00391888" w:rsidR="00391888">
        <w:rPr>
          <w:rFonts w:ascii="Times New Roman" w:hAnsi="Times New Roman" w:eastAsia="Times New Roman" w:cs="Times New Roman"/>
          <w:sz w:val="24"/>
          <w:szCs w:val="24"/>
        </w:rPr>
        <w:t xml:space="preserve"> Act  requires  each  independent Organ Procurement Organization (OPO) and Histocompatibility Laboratory (HL) to be paid the reasonable costs for its services.</w:t>
      </w:r>
      <w:r w:rsidR="00391888">
        <w:rPr>
          <w:rFonts w:ascii="Times New Roman" w:hAnsi="Times New Roman" w:eastAsia="Times New Roman" w:cs="Times New Roman"/>
          <w:sz w:val="24"/>
          <w:szCs w:val="24"/>
        </w:rPr>
        <w:t xml:space="preserve">  </w:t>
      </w:r>
      <w:r w:rsidRPr="00CB67C8">
        <w:rPr>
          <w:rFonts w:ascii="Times New Roman" w:hAnsi="Times New Roman" w:eastAsia="Times New Roman" w:cs="Times New Roman"/>
          <w:sz w:val="24"/>
          <w:szCs w:val="24"/>
        </w:rPr>
        <w:t xml:space="preserve">Regulations at 42 CFR §§ 413.20 and 413.24 require </w:t>
      </w:r>
      <w:r w:rsidR="0058756D">
        <w:rPr>
          <w:rFonts w:ascii="Times New Roman" w:hAnsi="Times New Roman" w:eastAsia="Times New Roman" w:cs="Times New Roman"/>
          <w:sz w:val="24"/>
          <w:szCs w:val="24"/>
        </w:rPr>
        <w:t xml:space="preserve">that providers submit acceptable cost reports on an annual basis and </w:t>
      </w:r>
      <w:r w:rsidRPr="00CB67C8">
        <w:rPr>
          <w:rFonts w:ascii="Times New Roman" w:hAnsi="Times New Roman" w:eastAsia="Times New Roman" w:cs="Times New Roman"/>
          <w:sz w:val="24"/>
          <w:szCs w:val="24"/>
        </w:rPr>
        <w:t>maintain sufficient financial records and statistical data, capable of verification by qualified auditors</w:t>
      </w:r>
      <w:r w:rsidR="0058756D">
        <w:rPr>
          <w:rFonts w:ascii="Times New Roman" w:hAnsi="Times New Roman" w:eastAsia="Times New Roman" w:cs="Times New Roman"/>
          <w:sz w:val="24"/>
          <w:szCs w:val="24"/>
        </w:rPr>
        <w:t xml:space="preserve">.  In addition, the regulations require that providers </w:t>
      </w:r>
      <w:r w:rsidRPr="00CB67C8">
        <w:rPr>
          <w:rFonts w:ascii="Times New Roman" w:hAnsi="Times New Roman" w:eastAsia="Times New Roman" w:cs="Times New Roman"/>
          <w:sz w:val="24"/>
          <w:szCs w:val="24"/>
        </w:rPr>
        <w:t xml:space="preserve">furnish such information to the contractor, including the provider’s working trial balance and audited financial statements, as may be necessary to assure proper </w:t>
      </w:r>
      <w:r w:rsidR="0058756D">
        <w:rPr>
          <w:rFonts w:ascii="Times New Roman" w:hAnsi="Times New Roman" w:eastAsia="Times New Roman" w:cs="Times New Roman"/>
          <w:sz w:val="24"/>
          <w:szCs w:val="24"/>
        </w:rPr>
        <w:t xml:space="preserve">payment by the program, receive program payments, and satisfy program overpayment </w:t>
      </w:r>
      <w:r w:rsidRPr="00CB67C8">
        <w:rPr>
          <w:rFonts w:ascii="Times New Roman" w:hAnsi="Times New Roman" w:eastAsia="Times New Roman" w:cs="Times New Roman"/>
          <w:sz w:val="24"/>
          <w:szCs w:val="24"/>
        </w:rPr>
        <w:t>determinations.</w:t>
      </w:r>
      <w:r w:rsidRPr="00F40998">
        <w:rPr>
          <w:rFonts w:ascii="Times New Roman" w:hAnsi="Times New Roman" w:eastAsia="Times New Roman" w:cs="Times New Roman"/>
          <w:sz w:val="24"/>
          <w:szCs w:val="24"/>
        </w:rPr>
        <w:t xml:space="preserve"> </w:t>
      </w:r>
      <w:r w:rsidRPr="00F40998" w:rsidR="0058756D">
        <w:rPr>
          <w:rFonts w:ascii="Times New Roman" w:hAnsi="Times New Roman" w:eastAsia="Times New Roman" w:cs="Times New Roman"/>
          <w:sz w:val="24"/>
          <w:szCs w:val="24"/>
        </w:rPr>
        <w:t xml:space="preserve">  In accordance with 42 CFR 413.20(a), CMS follows standardized definitions, accounting, statistics, and reporting practices that are widely accepted in healthcare and related fields.  Changes in these practices and systems are not required in order to determine costs payable under the principles of reimbursement.  Essentially the methods of determining costs payable under Medicare involve making use of data available from the institution's basis accounts, as usually maintained, to arrive at equitable and proper payment for services.  </w:t>
      </w:r>
    </w:p>
    <w:p w:rsidR="0058756D" w:rsidP="00FD04B1" w:rsidRDefault="0058756D" w14:paraId="5C1E86F0" w14:textId="77777777">
      <w:pPr>
        <w:widowControl w:val="0"/>
        <w:autoSpaceDE w:val="0"/>
        <w:autoSpaceDN w:val="0"/>
        <w:adjustRightInd w:val="0"/>
        <w:spacing w:after="0" w:line="240" w:lineRule="auto"/>
        <w:ind w:left="806"/>
        <w:rPr>
          <w:rFonts w:ascii="Times New Roman" w:hAnsi="Times New Roman" w:eastAsia="Times New Roman" w:cs="Times New Roman"/>
          <w:sz w:val="24"/>
          <w:szCs w:val="24"/>
        </w:rPr>
      </w:pPr>
    </w:p>
    <w:p w:rsidRPr="00CB67C8" w:rsidR="00CB67C8" w:rsidP="00FD04B1" w:rsidRDefault="00CB67C8" w14:paraId="6B29DEC0" w14:textId="2B32EF99">
      <w:pPr>
        <w:widowControl w:val="0"/>
        <w:autoSpaceDE w:val="0"/>
        <w:autoSpaceDN w:val="0"/>
        <w:adjustRightInd w:val="0"/>
        <w:spacing w:after="0" w:line="240" w:lineRule="auto"/>
        <w:ind w:left="806"/>
        <w:rPr>
          <w:rFonts w:ascii="Times New Roman" w:hAnsi="Times New Roman" w:eastAsia="Times New Roman" w:cs="Times New Roman"/>
          <w:sz w:val="24"/>
          <w:szCs w:val="24"/>
        </w:rPr>
      </w:pPr>
      <w:r w:rsidRPr="00B83F15">
        <w:rPr>
          <w:rFonts w:ascii="Times New Roman" w:hAnsi="Times New Roman" w:eastAsia="Times New Roman" w:cs="Times New Roman"/>
          <w:sz w:val="24"/>
          <w:szCs w:val="24"/>
        </w:rPr>
        <w:t xml:space="preserve">These regulations inherently require that providers make available auditable records to support data reported on the cost report.  Examples of </w:t>
      </w:r>
      <w:r w:rsidRPr="00B83F15" w:rsidR="00B83F15">
        <w:rPr>
          <w:rFonts w:ascii="Times New Roman" w:hAnsi="Times New Roman" w:eastAsia="Times New Roman" w:cs="Times New Roman"/>
          <w:sz w:val="24"/>
          <w:szCs w:val="24"/>
        </w:rPr>
        <w:t xml:space="preserve">auditable records to support data reported on the cost report include </w:t>
      </w:r>
      <w:r w:rsidRPr="00B83F15">
        <w:rPr>
          <w:rFonts w:ascii="Times New Roman" w:hAnsi="Times New Roman" w:eastAsia="Times New Roman" w:cs="Times New Roman"/>
          <w:sz w:val="24"/>
          <w:szCs w:val="24"/>
        </w:rPr>
        <w:t xml:space="preserve">square footage calculations and time studies for employees’ time spent in various activities.  </w:t>
      </w:r>
      <w:r w:rsidRPr="00FD04B1" w:rsidR="00FD04B1">
        <w:rPr>
          <w:rFonts w:ascii="Times New Roman" w:hAnsi="Times New Roman" w:cs="Times New Roman"/>
          <w:sz w:val="24"/>
          <w:szCs w:val="24"/>
        </w:rPr>
        <w:t xml:space="preserve">CMS estimates additional burden for the required recordkeeping and reporting when the standardized definitions, accounting, statistics and reporting practices defined in </w:t>
      </w:r>
      <w:r w:rsidR="00FD04B1">
        <w:rPr>
          <w:rFonts w:ascii="Times New Roman" w:hAnsi="Times New Roman" w:cs="Times New Roman"/>
          <w:sz w:val="24"/>
          <w:szCs w:val="24"/>
        </w:rPr>
        <w:t>4</w:t>
      </w:r>
      <w:r w:rsidRPr="00FD04B1" w:rsidR="00FD04B1">
        <w:rPr>
          <w:rFonts w:ascii="Times New Roman" w:hAnsi="Times New Roman" w:cs="Times New Roman"/>
          <w:sz w:val="24"/>
          <w:szCs w:val="24"/>
        </w:rPr>
        <w:t>2 CFR 413.20(a) are not already maintained by the provider on a fiscal basis.</w:t>
      </w:r>
      <w:r w:rsidR="00FD04B1">
        <w:t xml:space="preserve"> </w:t>
      </w:r>
      <w:r w:rsidDel="00FD04B1" w:rsidR="00FD04B1">
        <w:rPr>
          <w:rStyle w:val="CommentReference"/>
          <w:rFonts w:ascii="Times New Roman" w:hAnsi="Times New Roman" w:eastAsia="Times New Roman" w:cs="Times New Roman"/>
        </w:rPr>
        <w:t xml:space="preserve"> </w:t>
      </w:r>
    </w:p>
    <w:p w:rsidR="00FD04B1" w:rsidP="00F10DA4" w:rsidRDefault="00FD04B1" w14:paraId="20F79BE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CB67C8" w:rsidR="00CB67C8" w:rsidP="00FD04B1" w:rsidRDefault="00CB67C8" w14:paraId="4053515A" w14:textId="6DF27F80">
      <w:pPr>
        <w:widowControl w:val="0"/>
        <w:autoSpaceDE w:val="0"/>
        <w:autoSpaceDN w:val="0"/>
        <w:adjustRightInd w:val="0"/>
        <w:spacing w:after="0" w:line="240" w:lineRule="auto"/>
        <w:ind w:left="806"/>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The Form CMS-216-94 cost report is needed to determine an OPO / HL’s</w:t>
      </w:r>
      <w:r w:rsidRPr="00CB67C8" w:rsidDel="008417FE">
        <w:rPr>
          <w:rFonts w:ascii="Times New Roman" w:hAnsi="Times New Roman" w:eastAsia="Times New Roman" w:cs="Times New Roman"/>
          <w:sz w:val="24"/>
          <w:szCs w:val="24"/>
        </w:rPr>
        <w:t xml:space="preserve"> </w:t>
      </w:r>
      <w:r w:rsidRPr="00CB67C8">
        <w:rPr>
          <w:rFonts w:ascii="Times New Roman" w:hAnsi="Times New Roman" w:eastAsia="Times New Roman" w:cs="Times New Roman"/>
          <w:sz w:val="24"/>
          <w:szCs w:val="24"/>
        </w:rPr>
        <w:t xml:space="preserve">reasonable costs incurred in </w:t>
      </w:r>
      <w:r w:rsidR="00391888">
        <w:rPr>
          <w:rFonts w:ascii="Times New Roman" w:hAnsi="Times New Roman" w:eastAsia="Times New Roman" w:cs="Times New Roman"/>
          <w:sz w:val="24"/>
          <w:szCs w:val="24"/>
        </w:rPr>
        <w:t xml:space="preserve">procuring and transporting organs for transplant into </w:t>
      </w:r>
      <w:r w:rsidRPr="00CB67C8">
        <w:rPr>
          <w:rFonts w:ascii="Times New Roman" w:hAnsi="Times New Roman" w:eastAsia="Times New Roman" w:cs="Times New Roman"/>
          <w:sz w:val="24"/>
          <w:szCs w:val="24"/>
        </w:rPr>
        <w:t xml:space="preserve">Medicare beneficiaries and reimbursement due to or from the provider.  </w:t>
      </w:r>
      <w:r w:rsidRPr="00391888" w:rsidR="00391888">
        <w:rPr>
          <w:rFonts w:ascii="Times New Roman" w:hAnsi="Times New Roman" w:eastAsia="Times New Roman" w:cs="Times New Roman"/>
          <w:sz w:val="24"/>
          <w:szCs w:val="24"/>
        </w:rPr>
        <w:t xml:space="preserve">The reasonable costs of </w:t>
      </w:r>
      <w:r w:rsidR="00391888">
        <w:rPr>
          <w:rFonts w:ascii="Times New Roman" w:hAnsi="Times New Roman" w:eastAsia="Times New Roman" w:cs="Times New Roman"/>
          <w:sz w:val="24"/>
          <w:szCs w:val="24"/>
        </w:rPr>
        <w:t xml:space="preserve">procuring and </w:t>
      </w:r>
      <w:r w:rsidRPr="00391888" w:rsidR="00391888">
        <w:rPr>
          <w:rFonts w:ascii="Times New Roman" w:hAnsi="Times New Roman" w:eastAsia="Times New Roman" w:cs="Times New Roman"/>
          <w:sz w:val="24"/>
          <w:szCs w:val="24"/>
        </w:rPr>
        <w:t xml:space="preserve">transporting organs cannot be determined for the fiscal year until the OPO/HL files its cost report and costs are verified by the Medicare </w:t>
      </w:r>
      <w:r w:rsidR="00391888">
        <w:rPr>
          <w:rFonts w:ascii="Times New Roman" w:hAnsi="Times New Roman" w:eastAsia="Times New Roman" w:cs="Times New Roman"/>
          <w:sz w:val="24"/>
          <w:szCs w:val="24"/>
        </w:rPr>
        <w:t>contractor</w:t>
      </w:r>
      <w:r w:rsidRPr="00391888" w:rsidR="00391888">
        <w:rPr>
          <w:rFonts w:ascii="Times New Roman" w:hAnsi="Times New Roman" w:eastAsia="Times New Roman" w:cs="Times New Roman"/>
          <w:sz w:val="24"/>
          <w:szCs w:val="24"/>
        </w:rPr>
        <w:t xml:space="preserve">. </w:t>
      </w:r>
      <w:r w:rsidR="00391888">
        <w:rPr>
          <w:rFonts w:ascii="Times New Roman" w:hAnsi="Times New Roman" w:eastAsia="Times New Roman" w:cs="Times New Roman"/>
          <w:sz w:val="24"/>
          <w:szCs w:val="24"/>
        </w:rPr>
        <w:t xml:space="preserve"> </w:t>
      </w:r>
      <w:r w:rsidRPr="00391888" w:rsidR="00391888">
        <w:rPr>
          <w:rFonts w:ascii="Times New Roman" w:hAnsi="Times New Roman" w:eastAsia="Times New Roman" w:cs="Times New Roman"/>
          <w:sz w:val="24"/>
          <w:szCs w:val="24"/>
        </w:rPr>
        <w:t xml:space="preserve">During the fiscal year, an interim rate </w:t>
      </w:r>
      <w:r w:rsidR="00391888">
        <w:rPr>
          <w:rFonts w:ascii="Times New Roman" w:hAnsi="Times New Roman" w:eastAsia="Times New Roman" w:cs="Times New Roman"/>
          <w:sz w:val="24"/>
          <w:szCs w:val="24"/>
        </w:rPr>
        <w:t>is established</w:t>
      </w:r>
      <w:r w:rsidRPr="00391888" w:rsidR="00391888">
        <w:rPr>
          <w:rFonts w:ascii="Times New Roman" w:hAnsi="Times New Roman" w:eastAsia="Times New Roman" w:cs="Times New Roman"/>
          <w:sz w:val="24"/>
          <w:szCs w:val="24"/>
        </w:rPr>
        <w:t xml:space="preserve"> based on cost report data from the previous year. </w:t>
      </w:r>
      <w:r w:rsidR="00391888">
        <w:rPr>
          <w:rFonts w:ascii="Times New Roman" w:hAnsi="Times New Roman" w:eastAsia="Times New Roman" w:cs="Times New Roman"/>
          <w:sz w:val="24"/>
          <w:szCs w:val="24"/>
        </w:rPr>
        <w:t xml:space="preserve"> </w:t>
      </w:r>
      <w:r w:rsidRPr="00391888" w:rsidR="00391888">
        <w:rPr>
          <w:rFonts w:ascii="Times New Roman" w:hAnsi="Times New Roman" w:eastAsia="Times New Roman" w:cs="Times New Roman"/>
          <w:sz w:val="24"/>
          <w:szCs w:val="24"/>
        </w:rPr>
        <w:t xml:space="preserve">The OPO/HL bills the transplant hospital for services rendered. The transplant hospital pays interim payments, approximating reasonable cost, to the OPO/HL. </w:t>
      </w:r>
      <w:r w:rsidRPr="00CB67C8">
        <w:rPr>
          <w:rFonts w:ascii="Times New Roman" w:hAnsi="Times New Roman" w:eastAsia="Times New Roman" w:cs="Times New Roman"/>
          <w:sz w:val="24"/>
          <w:szCs w:val="24"/>
        </w:rPr>
        <w:t xml:space="preserve">The Form CMS-216-94 cost report is </w:t>
      </w:r>
      <w:r w:rsidR="00FD1329">
        <w:rPr>
          <w:rFonts w:ascii="Times New Roman" w:hAnsi="Times New Roman" w:eastAsia="Times New Roman" w:cs="Times New Roman"/>
          <w:sz w:val="24"/>
          <w:szCs w:val="24"/>
        </w:rPr>
        <w:t xml:space="preserve">filed </w:t>
      </w:r>
      <w:r w:rsidRPr="00FD1329" w:rsidR="00FD1329">
        <w:rPr>
          <w:rFonts w:ascii="Times New Roman" w:hAnsi="Times New Roman" w:eastAsia="Times New Roman" w:cs="Times New Roman"/>
          <w:sz w:val="24"/>
          <w:szCs w:val="24"/>
        </w:rPr>
        <w:t>by each OPO/HL at the end of its fiscal year</w:t>
      </w:r>
      <w:r w:rsidR="00FD1329">
        <w:rPr>
          <w:rFonts w:ascii="Times New Roman" w:hAnsi="Times New Roman" w:eastAsia="Times New Roman" w:cs="Times New Roman"/>
          <w:sz w:val="24"/>
          <w:szCs w:val="24"/>
        </w:rPr>
        <w:t xml:space="preserve"> and</w:t>
      </w:r>
      <w:r w:rsidRPr="00FD1329" w:rsidR="00FD1329">
        <w:rPr>
          <w:rFonts w:ascii="Times New Roman" w:hAnsi="Times New Roman" w:eastAsia="Times New Roman" w:cs="Times New Roman"/>
          <w:sz w:val="24"/>
          <w:szCs w:val="24"/>
        </w:rPr>
        <w:t xml:space="preserve"> there is a </w:t>
      </w:r>
      <w:r w:rsidR="00FD1329">
        <w:rPr>
          <w:rFonts w:ascii="Times New Roman" w:hAnsi="Times New Roman" w:eastAsia="Times New Roman" w:cs="Times New Roman"/>
          <w:sz w:val="24"/>
          <w:szCs w:val="24"/>
        </w:rPr>
        <w:t xml:space="preserve">cost report settlement to take into account </w:t>
      </w:r>
      <w:r w:rsidRPr="00FD1329" w:rsidR="00FD1329">
        <w:rPr>
          <w:rFonts w:ascii="Times New Roman" w:hAnsi="Times New Roman" w:eastAsia="Times New Roman" w:cs="Times New Roman"/>
          <w:sz w:val="24"/>
          <w:szCs w:val="24"/>
        </w:rPr>
        <w:t>increases</w:t>
      </w:r>
      <w:r w:rsidR="00FD1329">
        <w:rPr>
          <w:rFonts w:ascii="Times New Roman" w:hAnsi="Times New Roman" w:eastAsia="Times New Roman" w:cs="Times New Roman"/>
          <w:sz w:val="24"/>
          <w:szCs w:val="24"/>
        </w:rPr>
        <w:t xml:space="preserve"> or decreases</w:t>
      </w:r>
      <w:r w:rsidRPr="00FD1329" w:rsidR="00FD1329">
        <w:rPr>
          <w:rFonts w:ascii="Times New Roman" w:hAnsi="Times New Roman" w:eastAsia="Times New Roman" w:cs="Times New Roman"/>
          <w:sz w:val="24"/>
          <w:szCs w:val="24"/>
        </w:rPr>
        <w:t xml:space="preserve"> in costs. </w:t>
      </w:r>
      <w:r w:rsidR="00FD1329">
        <w:rPr>
          <w:rFonts w:ascii="Times New Roman" w:hAnsi="Times New Roman" w:eastAsia="Times New Roman" w:cs="Times New Roman"/>
          <w:sz w:val="24"/>
          <w:szCs w:val="24"/>
        </w:rPr>
        <w:t xml:space="preserve"> </w:t>
      </w:r>
      <w:r w:rsidRPr="00FD1329" w:rsidR="00FD1329">
        <w:rPr>
          <w:rFonts w:ascii="Times New Roman" w:hAnsi="Times New Roman" w:eastAsia="Times New Roman" w:cs="Times New Roman"/>
          <w:sz w:val="24"/>
          <w:szCs w:val="24"/>
        </w:rPr>
        <w:t>Th</w:t>
      </w:r>
      <w:r w:rsidR="00FD1329">
        <w:rPr>
          <w:rFonts w:ascii="Times New Roman" w:hAnsi="Times New Roman" w:eastAsia="Times New Roman" w:cs="Times New Roman"/>
          <w:sz w:val="24"/>
          <w:szCs w:val="24"/>
        </w:rPr>
        <w:t>e</w:t>
      </w:r>
      <w:r w:rsidRPr="00FD1329" w:rsidR="00FD1329">
        <w:rPr>
          <w:rFonts w:ascii="Times New Roman" w:hAnsi="Times New Roman" w:eastAsia="Times New Roman" w:cs="Times New Roman"/>
          <w:sz w:val="24"/>
          <w:szCs w:val="24"/>
        </w:rPr>
        <w:t xml:space="preserve"> </w:t>
      </w:r>
      <w:r w:rsidR="00FD1329">
        <w:rPr>
          <w:rFonts w:ascii="Times New Roman" w:hAnsi="Times New Roman" w:eastAsia="Times New Roman" w:cs="Times New Roman"/>
          <w:sz w:val="24"/>
          <w:szCs w:val="24"/>
        </w:rPr>
        <w:t xml:space="preserve">cost report reconciliation and settlement take into consideration </w:t>
      </w:r>
      <w:r w:rsidRPr="00FD1329" w:rsidR="00FD1329">
        <w:rPr>
          <w:rFonts w:ascii="Times New Roman" w:hAnsi="Times New Roman" w:eastAsia="Times New Roman" w:cs="Times New Roman"/>
          <w:sz w:val="24"/>
          <w:szCs w:val="24"/>
        </w:rPr>
        <w:t xml:space="preserve">the </w:t>
      </w:r>
      <w:r w:rsidR="00FD1329">
        <w:rPr>
          <w:rFonts w:ascii="Times New Roman" w:hAnsi="Times New Roman" w:eastAsia="Times New Roman" w:cs="Times New Roman"/>
          <w:sz w:val="24"/>
          <w:szCs w:val="24"/>
        </w:rPr>
        <w:t xml:space="preserve">difference between the </w:t>
      </w:r>
      <w:r w:rsidRPr="00FD1329" w:rsidR="00FD1329">
        <w:rPr>
          <w:rFonts w:ascii="Times New Roman" w:hAnsi="Times New Roman" w:eastAsia="Times New Roman" w:cs="Times New Roman"/>
          <w:sz w:val="24"/>
          <w:szCs w:val="24"/>
        </w:rPr>
        <w:t xml:space="preserve">total </w:t>
      </w:r>
      <w:r w:rsidR="00FD1329">
        <w:rPr>
          <w:rFonts w:ascii="Times New Roman" w:hAnsi="Times New Roman" w:eastAsia="Times New Roman" w:cs="Times New Roman"/>
          <w:sz w:val="24"/>
          <w:szCs w:val="24"/>
        </w:rPr>
        <w:t>reasonable</w:t>
      </w:r>
      <w:r w:rsidRPr="00FD1329" w:rsidR="00FD1329">
        <w:rPr>
          <w:rFonts w:ascii="Times New Roman" w:hAnsi="Times New Roman" w:eastAsia="Times New Roman" w:cs="Times New Roman"/>
          <w:sz w:val="24"/>
          <w:szCs w:val="24"/>
        </w:rPr>
        <w:t xml:space="preserve"> costs minus the total interim paym</w:t>
      </w:r>
      <w:r w:rsidR="00FD1329">
        <w:rPr>
          <w:rFonts w:ascii="Times New Roman" w:hAnsi="Times New Roman" w:eastAsia="Times New Roman" w:cs="Times New Roman"/>
          <w:sz w:val="24"/>
          <w:szCs w:val="24"/>
        </w:rPr>
        <w:t>ents</w:t>
      </w:r>
      <w:r w:rsidRPr="00FD1329" w:rsidR="00FD1329">
        <w:rPr>
          <w:rFonts w:ascii="Times New Roman" w:hAnsi="Times New Roman" w:eastAsia="Times New Roman" w:cs="Times New Roman"/>
          <w:sz w:val="24"/>
          <w:szCs w:val="24"/>
        </w:rPr>
        <w:t xml:space="preserve"> receiv</w:t>
      </w:r>
      <w:r w:rsidR="00FD1329">
        <w:rPr>
          <w:rFonts w:ascii="Times New Roman" w:hAnsi="Times New Roman" w:eastAsia="Times New Roman" w:cs="Times New Roman"/>
          <w:sz w:val="24"/>
          <w:szCs w:val="24"/>
        </w:rPr>
        <w:t xml:space="preserve">ed or receivable </w:t>
      </w:r>
      <w:r w:rsidRPr="00FD1329" w:rsidR="00FD1329">
        <w:rPr>
          <w:rFonts w:ascii="Times New Roman" w:hAnsi="Times New Roman" w:eastAsia="Times New Roman" w:cs="Times New Roman"/>
          <w:sz w:val="24"/>
          <w:szCs w:val="24"/>
        </w:rPr>
        <w:t xml:space="preserve">from </w:t>
      </w:r>
      <w:r w:rsidR="00FD1329">
        <w:rPr>
          <w:rFonts w:ascii="Times New Roman" w:hAnsi="Times New Roman" w:eastAsia="Times New Roman" w:cs="Times New Roman"/>
          <w:sz w:val="24"/>
          <w:szCs w:val="24"/>
        </w:rPr>
        <w:t>the transplant centers</w:t>
      </w:r>
      <w:r w:rsidRPr="00FD1329" w:rsidR="00FD1329">
        <w:rPr>
          <w:rFonts w:ascii="Times New Roman" w:hAnsi="Times New Roman" w:eastAsia="Times New Roman" w:cs="Times New Roman"/>
          <w:sz w:val="24"/>
          <w:szCs w:val="24"/>
        </w:rPr>
        <w:t>.</w:t>
      </w:r>
      <w:r w:rsidRPr="00CB67C8">
        <w:rPr>
          <w:rFonts w:ascii="Times New Roman" w:hAnsi="Times New Roman" w:eastAsia="Times New Roman" w:cs="Times New Roman"/>
          <w:sz w:val="24"/>
          <w:szCs w:val="24"/>
        </w:rPr>
        <w:t xml:space="preserve">  </w:t>
      </w:r>
    </w:p>
    <w:p w:rsidR="00CB67C8" w:rsidP="00CB67C8" w:rsidRDefault="00CB67C8" w14:paraId="5764CF39" w14:textId="19E1BD39">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241CE1" w:rsidP="00CB67C8" w:rsidRDefault="00241CE1" w14:paraId="0424E16B"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CB67C8" w:rsidRDefault="00CB67C8" w14:paraId="516E9C44" w14:textId="77777777">
      <w:pPr>
        <w:widowControl w:val="0"/>
        <w:numPr>
          <w:ilvl w:val="0"/>
          <w:numId w:val="1"/>
        </w:numPr>
        <w:tabs>
          <w:tab w:val="left" w:pos="810"/>
        </w:tabs>
        <w:autoSpaceDE w:val="0"/>
        <w:autoSpaceDN w:val="0"/>
        <w:adjustRightInd w:val="0"/>
        <w:spacing w:after="0" w:line="242" w:lineRule="auto"/>
        <w:ind w:left="1440" w:hanging="99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lastRenderedPageBreak/>
        <w:t>Information Users</w:t>
      </w:r>
    </w:p>
    <w:p w:rsidRPr="00CB67C8" w:rsidR="00CB67C8" w:rsidP="00CB67C8" w:rsidRDefault="00CB67C8" w14:paraId="1B6DBF63"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261AEF" w:rsidRDefault="00CB67C8" w14:paraId="5C53F4E8" w14:textId="4D217C8F">
      <w:pPr>
        <w:widowControl w:val="0"/>
        <w:autoSpaceDE w:val="0"/>
        <w:autoSpaceDN w:val="0"/>
        <w:adjustRightInd w:val="0"/>
        <w:spacing w:after="0" w:line="240" w:lineRule="auto"/>
        <w:ind w:left="806"/>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 xml:space="preserve">The primary function of the cost report is to </w:t>
      </w:r>
      <w:r w:rsidR="005222BE">
        <w:rPr>
          <w:rFonts w:ascii="Times New Roman" w:hAnsi="Times New Roman" w:eastAsia="Times New Roman" w:cs="Times New Roman"/>
          <w:sz w:val="24"/>
          <w:szCs w:val="24"/>
        </w:rPr>
        <w:t xml:space="preserve">establish an interim rate based on the average cost per organ acquired.  The rates billed by the OPO or HL are reimbursed by the transplant centers and the transplant centers are reimbursed by Medicare for Medicare’s share of the costs.  </w:t>
      </w:r>
      <w:r w:rsidRPr="00CB67C8">
        <w:rPr>
          <w:rFonts w:ascii="Times New Roman" w:hAnsi="Times New Roman" w:eastAsia="Times New Roman" w:cs="Times New Roman"/>
          <w:sz w:val="24"/>
          <w:szCs w:val="24"/>
        </w:rPr>
        <w:t>Each OPO and H</w:t>
      </w:r>
      <w:r w:rsidR="005222BE">
        <w:rPr>
          <w:rFonts w:ascii="Times New Roman" w:hAnsi="Times New Roman" w:eastAsia="Times New Roman" w:cs="Times New Roman"/>
          <w:sz w:val="24"/>
          <w:szCs w:val="24"/>
        </w:rPr>
        <w:t>L</w:t>
      </w:r>
      <w:r w:rsidRPr="00CB67C8">
        <w:rPr>
          <w:rFonts w:ascii="Times New Roman" w:hAnsi="Times New Roman" w:eastAsia="Times New Roman" w:cs="Times New Roman"/>
          <w:sz w:val="24"/>
          <w:szCs w:val="24"/>
        </w:rPr>
        <w:t xml:space="preserve"> submits the cost report to its contractor for reimbursement determination. The functions of the contractor are described in § 1874A of the Act. </w:t>
      </w:r>
    </w:p>
    <w:p w:rsidRPr="00CB67C8" w:rsidR="00CB67C8" w:rsidP="003E2017" w:rsidRDefault="00CB67C8" w14:paraId="1BE74E1C"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261AEF" w:rsidRDefault="0030505E" w14:paraId="13AC5C3F" w14:textId="41FE01E9">
      <w:pPr>
        <w:widowControl w:val="0"/>
        <w:autoSpaceDE w:val="0"/>
        <w:autoSpaceDN w:val="0"/>
        <w:adjustRightInd w:val="0"/>
        <w:spacing w:after="0" w:line="240" w:lineRule="auto"/>
        <w:ind w:left="806"/>
        <w:rPr>
          <w:rFonts w:ascii="Times New Roman" w:hAnsi="Times New Roman" w:eastAsia="Times New Roman" w:cs="Times New Roman"/>
          <w:sz w:val="24"/>
          <w:szCs w:val="24"/>
        </w:rPr>
      </w:pPr>
      <w:r w:rsidRPr="00FD04B1">
        <w:rPr>
          <w:rFonts w:ascii="Times New Roman" w:hAnsi="Times New Roman" w:eastAsia="Times New Roman" w:cs="Times New Roman"/>
          <w:sz w:val="24"/>
          <w:szCs w:val="24"/>
        </w:rPr>
        <w:t>OPOs and HL</w:t>
      </w:r>
      <w:r w:rsidRPr="00FD04B1" w:rsidR="00CB67C8">
        <w:rPr>
          <w:rFonts w:ascii="Times New Roman" w:hAnsi="Times New Roman" w:eastAsia="Times New Roman" w:cs="Times New Roman"/>
          <w:sz w:val="24"/>
          <w:szCs w:val="24"/>
        </w:rPr>
        <w:t xml:space="preserve"> must follow the </w:t>
      </w:r>
      <w:r w:rsidRPr="00FD04B1" w:rsidR="003D4900">
        <w:rPr>
          <w:rFonts w:ascii="Times New Roman" w:hAnsi="Times New Roman" w:eastAsia="Times New Roman" w:cs="Times New Roman"/>
          <w:sz w:val="24"/>
          <w:szCs w:val="24"/>
        </w:rPr>
        <w:t xml:space="preserve">principles of cost </w:t>
      </w:r>
      <w:r w:rsidRPr="002B01D8" w:rsidR="002B01D8">
        <w:rPr>
          <w:rFonts w:ascii="Times New Roman" w:hAnsi="Times New Roman" w:eastAsia="Times New Roman" w:cs="Times New Roman"/>
          <w:sz w:val="24"/>
          <w:szCs w:val="24"/>
        </w:rPr>
        <w:t>reimbursement, which</w:t>
      </w:r>
      <w:r w:rsidRPr="002B01D8" w:rsidR="00CB67C8">
        <w:rPr>
          <w:rFonts w:ascii="Times New Roman" w:hAnsi="Times New Roman" w:eastAsia="Times New Roman" w:cs="Times New Roman"/>
          <w:sz w:val="24"/>
          <w:szCs w:val="24"/>
        </w:rPr>
        <w:t xml:space="preserve"> require that </w:t>
      </w:r>
      <w:r w:rsidRPr="002B01D8">
        <w:rPr>
          <w:rFonts w:ascii="Times New Roman" w:hAnsi="Times New Roman" w:eastAsia="Times New Roman" w:cs="Times New Roman"/>
          <w:sz w:val="24"/>
          <w:szCs w:val="24"/>
        </w:rPr>
        <w:t>OPOs and HL</w:t>
      </w:r>
      <w:r w:rsidRPr="002B01D8" w:rsidR="005E07B6">
        <w:rPr>
          <w:rFonts w:ascii="Times New Roman" w:hAnsi="Times New Roman" w:eastAsia="Times New Roman" w:cs="Times New Roman"/>
          <w:sz w:val="24"/>
          <w:szCs w:val="24"/>
        </w:rPr>
        <w:t>s</w:t>
      </w:r>
      <w:r w:rsidRPr="002B01D8" w:rsidR="00CB67C8">
        <w:rPr>
          <w:rFonts w:ascii="Times New Roman" w:hAnsi="Times New Roman" w:eastAsia="Times New Roman" w:cs="Times New Roman"/>
          <w:sz w:val="24"/>
          <w:szCs w:val="24"/>
        </w:rPr>
        <w:t xml:space="preserve"> maintain sufficient financial records and statistical data for proper determination of costs</w:t>
      </w:r>
      <w:r w:rsidR="002B01D8">
        <w:rPr>
          <w:rFonts w:ascii="Times New Roman" w:hAnsi="Times New Roman" w:eastAsia="Times New Roman" w:cs="Times New Roman"/>
          <w:sz w:val="24"/>
          <w:szCs w:val="24"/>
        </w:rPr>
        <w:t xml:space="preserve">.  </w:t>
      </w:r>
      <w:r w:rsidRPr="002B01D8" w:rsidR="00CB67C8">
        <w:rPr>
          <w:rFonts w:ascii="Times New Roman" w:hAnsi="Times New Roman" w:eastAsia="Times New Roman" w:cs="Times New Roman"/>
          <w:sz w:val="24"/>
          <w:szCs w:val="24"/>
        </w:rPr>
        <w:t xml:space="preserve">The S series of worksheets collects </w:t>
      </w:r>
      <w:r w:rsidRPr="00F10DA4" w:rsidR="00A615FC">
        <w:rPr>
          <w:rFonts w:ascii="Times New Roman" w:hAnsi="Times New Roman" w:eastAsia="Times New Roman" w:cs="Times New Roman"/>
          <w:sz w:val="24"/>
          <w:szCs w:val="24"/>
        </w:rPr>
        <w:t xml:space="preserve">provider information </w:t>
      </w:r>
      <w:r w:rsidRPr="00F10DA4" w:rsidR="00CB67C8">
        <w:rPr>
          <w:rFonts w:ascii="Times New Roman" w:hAnsi="Times New Roman" w:eastAsia="Times New Roman" w:cs="Times New Roman"/>
          <w:sz w:val="24"/>
          <w:szCs w:val="24"/>
        </w:rPr>
        <w:t>such as the provider’s location, date of Medicare certification</w:t>
      </w:r>
      <w:r w:rsidRPr="00F10DA4" w:rsidR="00A615FC">
        <w:rPr>
          <w:rFonts w:ascii="Times New Roman" w:hAnsi="Times New Roman" w:eastAsia="Times New Roman" w:cs="Times New Roman"/>
          <w:sz w:val="24"/>
          <w:szCs w:val="24"/>
        </w:rPr>
        <w:t xml:space="preserve">, </w:t>
      </w:r>
      <w:r w:rsidRPr="00F10DA4" w:rsidR="002A498A">
        <w:rPr>
          <w:rFonts w:ascii="Times New Roman" w:hAnsi="Times New Roman" w:eastAsia="Times New Roman" w:cs="Times New Roman"/>
          <w:sz w:val="24"/>
          <w:szCs w:val="24"/>
        </w:rPr>
        <w:t xml:space="preserve">number of </w:t>
      </w:r>
      <w:r w:rsidRPr="00F10DA4" w:rsidR="00A615FC">
        <w:rPr>
          <w:rFonts w:ascii="Times New Roman" w:hAnsi="Times New Roman" w:eastAsia="Times New Roman" w:cs="Times New Roman"/>
          <w:sz w:val="24"/>
          <w:szCs w:val="24"/>
        </w:rPr>
        <w:t>full time equivalent employees</w:t>
      </w:r>
      <w:r w:rsidRPr="001610ED" w:rsidR="00A615FC">
        <w:rPr>
          <w:rFonts w:ascii="Times New Roman" w:hAnsi="Times New Roman" w:eastAsia="Times New Roman" w:cs="Times New Roman"/>
          <w:sz w:val="24"/>
          <w:szCs w:val="24"/>
        </w:rPr>
        <w:t>;</w:t>
      </w:r>
      <w:r w:rsidRPr="001610ED" w:rsidR="00CB67C8">
        <w:rPr>
          <w:rFonts w:ascii="Times New Roman" w:hAnsi="Times New Roman" w:eastAsia="Times New Roman" w:cs="Times New Roman"/>
          <w:sz w:val="24"/>
          <w:szCs w:val="24"/>
        </w:rPr>
        <w:t xml:space="preserve"> </w:t>
      </w:r>
      <w:r w:rsidRPr="001610ED" w:rsidR="00A615FC">
        <w:rPr>
          <w:rFonts w:ascii="Times New Roman" w:hAnsi="Times New Roman" w:eastAsia="Times New Roman" w:cs="Times New Roman"/>
          <w:sz w:val="24"/>
          <w:szCs w:val="24"/>
        </w:rPr>
        <w:t xml:space="preserve">statistical data </w:t>
      </w:r>
      <w:r w:rsidRPr="00541C4F" w:rsidR="009E7867">
        <w:rPr>
          <w:rFonts w:ascii="Times New Roman" w:hAnsi="Times New Roman" w:eastAsia="Times New Roman" w:cs="Times New Roman"/>
          <w:sz w:val="24"/>
          <w:szCs w:val="24"/>
        </w:rPr>
        <w:t>such as the number of organ</w:t>
      </w:r>
      <w:r w:rsidRPr="00FD04B1" w:rsidR="00A154E4">
        <w:rPr>
          <w:rFonts w:ascii="Times New Roman" w:hAnsi="Times New Roman" w:eastAsia="Times New Roman" w:cs="Times New Roman"/>
          <w:sz w:val="24"/>
          <w:szCs w:val="24"/>
        </w:rPr>
        <w:t xml:space="preserve">s procured locally and imported, </w:t>
      </w:r>
      <w:r w:rsidRPr="00FD04B1" w:rsidR="001266BF">
        <w:rPr>
          <w:rFonts w:ascii="Times New Roman" w:hAnsi="Times New Roman" w:eastAsia="Times New Roman" w:cs="Times New Roman"/>
          <w:sz w:val="24"/>
          <w:szCs w:val="24"/>
        </w:rPr>
        <w:t xml:space="preserve">the number of </w:t>
      </w:r>
      <w:r w:rsidRPr="00FD04B1" w:rsidR="00A154E4">
        <w:rPr>
          <w:rFonts w:ascii="Times New Roman" w:hAnsi="Times New Roman" w:eastAsia="Times New Roman" w:cs="Times New Roman"/>
          <w:sz w:val="24"/>
          <w:szCs w:val="24"/>
        </w:rPr>
        <w:t>tissue typing and pre-transplant test</w:t>
      </w:r>
      <w:r w:rsidRPr="00FD04B1" w:rsidR="005E07B6">
        <w:rPr>
          <w:rFonts w:ascii="Times New Roman" w:hAnsi="Times New Roman" w:eastAsia="Times New Roman" w:cs="Times New Roman"/>
          <w:sz w:val="24"/>
          <w:szCs w:val="24"/>
        </w:rPr>
        <w:t>s</w:t>
      </w:r>
      <w:r w:rsidRPr="00FD04B1" w:rsidR="001266BF">
        <w:rPr>
          <w:rFonts w:ascii="Times New Roman" w:hAnsi="Times New Roman" w:eastAsia="Times New Roman" w:cs="Times New Roman"/>
          <w:sz w:val="24"/>
          <w:szCs w:val="24"/>
        </w:rPr>
        <w:t xml:space="preserve"> completed</w:t>
      </w:r>
      <w:r w:rsidRPr="00FD04B1" w:rsidR="005974BC">
        <w:rPr>
          <w:rFonts w:ascii="Times New Roman" w:hAnsi="Times New Roman" w:eastAsia="Times New Roman" w:cs="Times New Roman"/>
          <w:sz w:val="24"/>
          <w:szCs w:val="24"/>
        </w:rPr>
        <w:t xml:space="preserve">, and </w:t>
      </w:r>
      <w:r w:rsidRPr="00FD04B1" w:rsidR="001266BF">
        <w:rPr>
          <w:rFonts w:ascii="Times New Roman" w:hAnsi="Times New Roman" w:eastAsia="Times New Roman" w:cs="Times New Roman"/>
          <w:sz w:val="24"/>
          <w:szCs w:val="24"/>
        </w:rPr>
        <w:t xml:space="preserve">the amount of payment received </w:t>
      </w:r>
      <w:r w:rsidRPr="00FD04B1" w:rsidR="00A154E4">
        <w:rPr>
          <w:rFonts w:ascii="Times New Roman" w:hAnsi="Times New Roman" w:eastAsia="Times New Roman" w:cs="Times New Roman"/>
          <w:sz w:val="24"/>
          <w:szCs w:val="24"/>
        </w:rPr>
        <w:t>for procuring organs</w:t>
      </w:r>
      <w:r w:rsidRPr="00FD04B1" w:rsidR="00327C28">
        <w:rPr>
          <w:rFonts w:ascii="Times New Roman" w:hAnsi="Times New Roman" w:eastAsia="Times New Roman" w:cs="Times New Roman"/>
          <w:sz w:val="24"/>
          <w:szCs w:val="24"/>
        </w:rPr>
        <w:t xml:space="preserve"> for transplant</w:t>
      </w:r>
      <w:r w:rsidRPr="00FD04B1" w:rsidR="0039630A">
        <w:rPr>
          <w:rFonts w:ascii="Times New Roman" w:hAnsi="Times New Roman" w:eastAsia="Times New Roman" w:cs="Times New Roman"/>
          <w:sz w:val="24"/>
          <w:szCs w:val="24"/>
        </w:rPr>
        <w:t>,</w:t>
      </w:r>
      <w:r w:rsidRPr="00FD04B1" w:rsidR="00327C28">
        <w:rPr>
          <w:rFonts w:ascii="Times New Roman" w:hAnsi="Times New Roman" w:eastAsia="Times New Roman" w:cs="Times New Roman"/>
          <w:sz w:val="24"/>
          <w:szCs w:val="24"/>
        </w:rPr>
        <w:t xml:space="preserve"> and furnishing</w:t>
      </w:r>
      <w:r w:rsidRPr="00FD04B1" w:rsidR="000F1BBE">
        <w:rPr>
          <w:rFonts w:ascii="Times New Roman" w:hAnsi="Times New Roman" w:eastAsia="Times New Roman" w:cs="Times New Roman"/>
          <w:sz w:val="24"/>
          <w:szCs w:val="24"/>
        </w:rPr>
        <w:t xml:space="preserve"> pre-transplant and clinical laboratory testing</w:t>
      </w:r>
      <w:r w:rsidR="002B01D8">
        <w:rPr>
          <w:rFonts w:ascii="Times New Roman" w:hAnsi="Times New Roman" w:eastAsia="Times New Roman" w:cs="Times New Roman"/>
          <w:sz w:val="24"/>
          <w:szCs w:val="24"/>
        </w:rPr>
        <w:t xml:space="preserve">.  </w:t>
      </w:r>
      <w:r w:rsidRPr="00FD04B1" w:rsidR="00CB67C8">
        <w:rPr>
          <w:rFonts w:ascii="Times New Roman" w:hAnsi="Times New Roman" w:eastAsia="Times New Roman" w:cs="Times New Roman"/>
          <w:sz w:val="24"/>
          <w:szCs w:val="24"/>
        </w:rPr>
        <w:t xml:space="preserve">The A series of worksheets collects the provider’s trial balance of expenses for overhead costs, and revenue </w:t>
      </w:r>
      <w:r w:rsidRPr="002B01D8" w:rsidR="00CB67C8">
        <w:rPr>
          <w:rFonts w:ascii="Times New Roman" w:hAnsi="Times New Roman" w:eastAsia="Times New Roman" w:cs="Times New Roman"/>
          <w:sz w:val="24"/>
          <w:szCs w:val="24"/>
        </w:rPr>
        <w:t>and non-revenue generating cost centers</w:t>
      </w:r>
      <w:r w:rsidRPr="002B01D8" w:rsidR="00822E3B">
        <w:rPr>
          <w:rFonts w:ascii="Times New Roman" w:hAnsi="Times New Roman" w:eastAsia="Times New Roman" w:cs="Times New Roman"/>
          <w:sz w:val="24"/>
          <w:szCs w:val="24"/>
        </w:rPr>
        <w:t xml:space="preserve">, </w:t>
      </w:r>
      <w:r w:rsidRPr="002B01D8" w:rsidR="001266BF">
        <w:rPr>
          <w:rFonts w:ascii="Times New Roman" w:hAnsi="Times New Roman" w:eastAsia="Times New Roman" w:cs="Times New Roman"/>
          <w:sz w:val="24"/>
          <w:szCs w:val="24"/>
        </w:rPr>
        <w:t xml:space="preserve">amounts paid to donor hospitals for procuring organs, </w:t>
      </w:r>
      <w:r w:rsidRPr="00FD04B1" w:rsidR="00822E3B">
        <w:rPr>
          <w:rFonts w:ascii="Times New Roman" w:hAnsi="Times New Roman" w:eastAsia="Times New Roman" w:cs="Times New Roman"/>
          <w:sz w:val="24"/>
          <w:szCs w:val="24"/>
        </w:rPr>
        <w:t>and costs from related organizations or home offices</w:t>
      </w:r>
      <w:r w:rsidRPr="00FD04B1" w:rsidR="00CB67C8">
        <w:rPr>
          <w:rFonts w:ascii="Times New Roman" w:hAnsi="Times New Roman" w:eastAsia="Times New Roman" w:cs="Times New Roman"/>
          <w:sz w:val="24"/>
          <w:szCs w:val="24"/>
        </w:rPr>
        <w:t xml:space="preserve">.  The B series of worksheets allocates the overhead costs </w:t>
      </w:r>
      <w:r w:rsidRPr="00FD04B1" w:rsidR="000F1BBE">
        <w:rPr>
          <w:rFonts w:ascii="Times New Roman" w:hAnsi="Times New Roman" w:eastAsia="Times New Roman" w:cs="Times New Roman"/>
          <w:sz w:val="24"/>
          <w:szCs w:val="24"/>
        </w:rPr>
        <w:t>attributable to organ procurement,</w:t>
      </w:r>
      <w:r w:rsidRPr="00FD04B1" w:rsidR="00327C28">
        <w:rPr>
          <w:rFonts w:ascii="Times New Roman" w:hAnsi="Times New Roman" w:eastAsia="Times New Roman" w:cs="Times New Roman"/>
          <w:sz w:val="24"/>
          <w:szCs w:val="24"/>
        </w:rPr>
        <w:t xml:space="preserve"> </w:t>
      </w:r>
      <w:r w:rsidRPr="00FD04B1" w:rsidR="0039630A">
        <w:rPr>
          <w:rFonts w:ascii="Times New Roman" w:hAnsi="Times New Roman" w:eastAsia="Times New Roman" w:cs="Times New Roman"/>
          <w:sz w:val="24"/>
          <w:szCs w:val="24"/>
        </w:rPr>
        <w:t xml:space="preserve">and </w:t>
      </w:r>
      <w:r w:rsidRPr="00FD04B1" w:rsidR="000F1BBE">
        <w:rPr>
          <w:rFonts w:ascii="Times New Roman" w:hAnsi="Times New Roman" w:eastAsia="Times New Roman" w:cs="Times New Roman"/>
          <w:sz w:val="24"/>
          <w:szCs w:val="24"/>
        </w:rPr>
        <w:t xml:space="preserve">pre-transplant </w:t>
      </w:r>
      <w:r w:rsidRPr="002B01D8" w:rsidR="000F1BBE">
        <w:rPr>
          <w:rFonts w:ascii="Times New Roman" w:hAnsi="Times New Roman" w:eastAsia="Times New Roman" w:cs="Times New Roman"/>
          <w:sz w:val="24"/>
          <w:szCs w:val="24"/>
        </w:rPr>
        <w:t xml:space="preserve">and clinical laboratory testing </w:t>
      </w:r>
      <w:r w:rsidRPr="002B01D8" w:rsidR="00CB67C8">
        <w:rPr>
          <w:rFonts w:ascii="Times New Roman" w:hAnsi="Times New Roman" w:eastAsia="Times New Roman" w:cs="Times New Roman"/>
          <w:sz w:val="24"/>
          <w:szCs w:val="24"/>
        </w:rPr>
        <w:t xml:space="preserve">to revenue and non-revenue generating cost centers using functional statistical bases.  The C series of </w:t>
      </w:r>
      <w:r w:rsidRPr="00F10DA4" w:rsidR="0000513A">
        <w:rPr>
          <w:rFonts w:ascii="Times New Roman" w:hAnsi="Times New Roman" w:eastAsia="Times New Roman" w:cs="Times New Roman"/>
          <w:sz w:val="24"/>
          <w:szCs w:val="24"/>
        </w:rPr>
        <w:t>worksheets compute</w:t>
      </w:r>
      <w:r w:rsidRPr="00F10DA4" w:rsidR="005E07B6">
        <w:rPr>
          <w:rFonts w:ascii="Times New Roman" w:hAnsi="Times New Roman" w:eastAsia="Times New Roman" w:cs="Times New Roman"/>
          <w:sz w:val="24"/>
          <w:szCs w:val="24"/>
        </w:rPr>
        <w:t>s</w:t>
      </w:r>
      <w:r w:rsidRPr="00F10DA4" w:rsidR="0000513A">
        <w:rPr>
          <w:rFonts w:ascii="Times New Roman" w:hAnsi="Times New Roman" w:eastAsia="Times New Roman" w:cs="Times New Roman"/>
          <w:sz w:val="24"/>
          <w:szCs w:val="24"/>
        </w:rPr>
        <w:t xml:space="preserve"> </w:t>
      </w:r>
      <w:r w:rsidRPr="00FD04B1" w:rsidR="00822E3B">
        <w:rPr>
          <w:rFonts w:ascii="Times New Roman" w:hAnsi="Times New Roman" w:eastAsia="Times New Roman" w:cs="Times New Roman"/>
          <w:sz w:val="24"/>
          <w:szCs w:val="24"/>
        </w:rPr>
        <w:t>Medicare</w:t>
      </w:r>
      <w:r w:rsidRPr="00FD04B1" w:rsidR="000F1BBE">
        <w:rPr>
          <w:rFonts w:ascii="Times New Roman" w:hAnsi="Times New Roman" w:eastAsia="Times New Roman" w:cs="Times New Roman"/>
          <w:sz w:val="24"/>
          <w:szCs w:val="24"/>
        </w:rPr>
        <w:t xml:space="preserve">’s share </w:t>
      </w:r>
      <w:r w:rsidRPr="00FD04B1" w:rsidR="0000513A">
        <w:rPr>
          <w:rFonts w:ascii="Times New Roman" w:hAnsi="Times New Roman" w:eastAsia="Times New Roman" w:cs="Times New Roman"/>
          <w:sz w:val="24"/>
          <w:szCs w:val="24"/>
        </w:rPr>
        <w:t xml:space="preserve">of </w:t>
      </w:r>
      <w:r w:rsidRPr="00FD04B1" w:rsidR="000F1BBE">
        <w:rPr>
          <w:rFonts w:ascii="Times New Roman" w:hAnsi="Times New Roman" w:eastAsia="Times New Roman" w:cs="Times New Roman"/>
          <w:sz w:val="24"/>
          <w:szCs w:val="24"/>
        </w:rPr>
        <w:t xml:space="preserve">costs for pre-transplant testing and </w:t>
      </w:r>
      <w:r w:rsidRPr="00FD04B1" w:rsidR="0000513A">
        <w:rPr>
          <w:rFonts w:ascii="Times New Roman" w:hAnsi="Times New Roman" w:eastAsia="Times New Roman" w:cs="Times New Roman"/>
          <w:sz w:val="24"/>
          <w:szCs w:val="24"/>
        </w:rPr>
        <w:t xml:space="preserve">procuring </w:t>
      </w:r>
      <w:r w:rsidRPr="00FD04B1" w:rsidR="00A1347D">
        <w:rPr>
          <w:rFonts w:ascii="Times New Roman" w:hAnsi="Times New Roman" w:eastAsia="Times New Roman" w:cs="Times New Roman"/>
          <w:sz w:val="24"/>
          <w:szCs w:val="24"/>
        </w:rPr>
        <w:t>kidneys</w:t>
      </w:r>
      <w:r w:rsidRPr="00FD04B1" w:rsidR="0000513A">
        <w:rPr>
          <w:rFonts w:ascii="Times New Roman" w:hAnsi="Times New Roman" w:eastAsia="Times New Roman" w:cs="Times New Roman"/>
          <w:sz w:val="24"/>
          <w:szCs w:val="24"/>
        </w:rPr>
        <w:t xml:space="preserve"> for transplantation.</w:t>
      </w:r>
      <w:r w:rsidRPr="002B01D8" w:rsidR="0000513A">
        <w:rPr>
          <w:rFonts w:ascii="Times New Roman" w:hAnsi="Times New Roman" w:eastAsia="Times New Roman" w:cs="Times New Roman"/>
          <w:sz w:val="24"/>
          <w:szCs w:val="24"/>
        </w:rPr>
        <w:t xml:space="preserve"> </w:t>
      </w:r>
      <w:r w:rsidRPr="002B01D8" w:rsidR="00CB67C8">
        <w:rPr>
          <w:rFonts w:ascii="Times New Roman" w:hAnsi="Times New Roman" w:eastAsia="Times New Roman" w:cs="Times New Roman"/>
          <w:sz w:val="24"/>
          <w:szCs w:val="24"/>
        </w:rPr>
        <w:t xml:space="preserve">The </w:t>
      </w:r>
      <w:r w:rsidRPr="002B01D8" w:rsidR="0000513A">
        <w:rPr>
          <w:rFonts w:ascii="Times New Roman" w:hAnsi="Times New Roman" w:eastAsia="Times New Roman" w:cs="Times New Roman"/>
          <w:sz w:val="24"/>
          <w:szCs w:val="24"/>
        </w:rPr>
        <w:t>D</w:t>
      </w:r>
      <w:r w:rsidRPr="002B01D8" w:rsidR="00CB67C8">
        <w:rPr>
          <w:rFonts w:ascii="Times New Roman" w:hAnsi="Times New Roman" w:eastAsia="Times New Roman" w:cs="Times New Roman"/>
          <w:sz w:val="24"/>
          <w:szCs w:val="24"/>
        </w:rPr>
        <w:t xml:space="preserve"> series of worksheets calculates the reimbursement settlement</w:t>
      </w:r>
      <w:r w:rsidRPr="002B01D8" w:rsidR="000F1BBE">
        <w:rPr>
          <w:rFonts w:ascii="Times New Roman" w:hAnsi="Times New Roman" w:eastAsia="Times New Roman" w:cs="Times New Roman"/>
          <w:sz w:val="24"/>
          <w:szCs w:val="24"/>
        </w:rPr>
        <w:t xml:space="preserve"> for the OPO and histocompatibility laboratory</w:t>
      </w:r>
      <w:r w:rsidRPr="00F10DA4" w:rsidR="00CB67C8">
        <w:rPr>
          <w:rFonts w:ascii="Times New Roman" w:hAnsi="Times New Roman" w:eastAsia="Times New Roman" w:cs="Times New Roman"/>
          <w:sz w:val="24"/>
          <w:szCs w:val="24"/>
        </w:rPr>
        <w:t xml:space="preserve">.  The </w:t>
      </w:r>
      <w:r w:rsidRPr="00F10DA4" w:rsidR="0000513A">
        <w:rPr>
          <w:rFonts w:ascii="Times New Roman" w:hAnsi="Times New Roman" w:eastAsia="Times New Roman" w:cs="Times New Roman"/>
          <w:sz w:val="24"/>
          <w:szCs w:val="24"/>
        </w:rPr>
        <w:t>E</w:t>
      </w:r>
      <w:r w:rsidRPr="00F10DA4" w:rsidR="00CB67C8">
        <w:rPr>
          <w:rFonts w:ascii="Times New Roman" w:hAnsi="Times New Roman" w:eastAsia="Times New Roman" w:cs="Times New Roman"/>
          <w:sz w:val="24"/>
          <w:szCs w:val="24"/>
        </w:rPr>
        <w:t xml:space="preserve"> series of worksheets collects financial data from </w:t>
      </w:r>
      <w:r w:rsidRPr="00F10DA4" w:rsidR="0000513A">
        <w:rPr>
          <w:rFonts w:ascii="Times New Roman" w:hAnsi="Times New Roman" w:eastAsia="Times New Roman" w:cs="Times New Roman"/>
          <w:sz w:val="24"/>
          <w:szCs w:val="24"/>
        </w:rPr>
        <w:t>the</w:t>
      </w:r>
      <w:r w:rsidRPr="00F10DA4" w:rsidR="00CB67C8">
        <w:rPr>
          <w:rFonts w:ascii="Times New Roman" w:hAnsi="Times New Roman" w:eastAsia="Times New Roman" w:cs="Times New Roman"/>
          <w:sz w:val="24"/>
          <w:szCs w:val="24"/>
        </w:rPr>
        <w:t xml:space="preserve"> provider’s balance sheet and income statement.</w:t>
      </w:r>
      <w:r w:rsidRPr="00CB67C8" w:rsidR="00CB67C8">
        <w:rPr>
          <w:rFonts w:ascii="Times New Roman" w:hAnsi="Times New Roman" w:eastAsia="Times New Roman" w:cs="Times New Roman"/>
          <w:sz w:val="24"/>
          <w:szCs w:val="24"/>
        </w:rPr>
        <w:t xml:space="preserve">  </w:t>
      </w:r>
    </w:p>
    <w:p w:rsidRPr="00CB67C8" w:rsidR="00CB67C8" w:rsidP="00CB67C8" w:rsidRDefault="00CB67C8" w14:paraId="565B88B8" w14:textId="77777777">
      <w:pPr>
        <w:widowControl w:val="0"/>
        <w:tabs>
          <w:tab w:val="left" w:pos="1170"/>
        </w:tabs>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CB67C8" w:rsidRDefault="00CB67C8" w14:paraId="1098DEA7" w14:textId="77777777">
      <w:pPr>
        <w:widowControl w:val="0"/>
        <w:numPr>
          <w:ilvl w:val="0"/>
          <w:numId w:val="1"/>
        </w:numPr>
        <w:tabs>
          <w:tab w:val="left" w:pos="810"/>
        </w:tabs>
        <w:autoSpaceDE w:val="0"/>
        <w:autoSpaceDN w:val="0"/>
        <w:adjustRightInd w:val="0"/>
        <w:spacing w:after="0" w:line="242" w:lineRule="auto"/>
        <w:ind w:left="1440" w:hanging="99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t>Use of Information Technology</w:t>
      </w:r>
    </w:p>
    <w:p w:rsidRPr="00CB67C8" w:rsidR="00CB67C8" w:rsidP="00CB67C8" w:rsidRDefault="00CB67C8" w14:paraId="53A25E0B"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0056115E" w:rsidP="00261AEF" w:rsidRDefault="0056115E" w14:paraId="19490C3B" w14:textId="54120780">
      <w:pPr>
        <w:widowControl w:val="0"/>
        <w:autoSpaceDE w:val="0"/>
        <w:autoSpaceDN w:val="0"/>
        <w:adjustRightInd w:val="0"/>
        <w:spacing w:after="0" w:line="240" w:lineRule="auto"/>
        <w:ind w:left="806"/>
        <w:rPr>
          <w:rFonts w:ascii="Times New Roman" w:hAnsi="Times New Roman" w:eastAsia="Times New Roman" w:cs="Times New Roman"/>
          <w:sz w:val="24"/>
          <w:szCs w:val="24"/>
        </w:rPr>
      </w:pPr>
      <w:r w:rsidRPr="0056115E">
        <w:rPr>
          <w:rFonts w:ascii="Times New Roman" w:hAnsi="Times New Roman" w:eastAsia="Times New Roman" w:cs="Times New Roman"/>
          <w:sz w:val="24"/>
          <w:szCs w:val="24"/>
        </w:rPr>
        <w:t xml:space="preserve">CMS regulations at 42 CFR § 413.24(f)(4)(ii) require that each </w:t>
      </w:r>
      <w:r w:rsidRPr="00CB67C8">
        <w:rPr>
          <w:rFonts w:ascii="Times New Roman" w:hAnsi="Times New Roman" w:eastAsia="Times New Roman" w:cs="Times New Roman"/>
          <w:sz w:val="24"/>
          <w:szCs w:val="24"/>
        </w:rPr>
        <w:t xml:space="preserve">OPOs and HLs </w:t>
      </w:r>
      <w:r w:rsidRPr="0056115E">
        <w:rPr>
          <w:rFonts w:ascii="Times New Roman" w:hAnsi="Times New Roman" w:eastAsia="Times New Roman" w:cs="Times New Roman"/>
          <w:sz w:val="24"/>
          <w:szCs w:val="24"/>
        </w:rPr>
        <w:t>submit an annual cost report to their contractor in a standard American Standard Code for Information Interchange (ASCII) electronic cost report (ECR) format.</w:t>
      </w:r>
      <w:r>
        <w:rPr>
          <w:rFonts w:ascii="Times New Roman" w:hAnsi="Times New Roman" w:eastAsia="Times New Roman" w:cs="Times New Roman"/>
          <w:sz w:val="24"/>
          <w:szCs w:val="24"/>
        </w:rPr>
        <w:t xml:space="preserve"> </w:t>
      </w:r>
      <w:r w:rsidRPr="0056115E">
        <w:rPr>
          <w:rFonts w:ascii="Times New Roman" w:hAnsi="Times New Roman" w:eastAsia="Times New Roman" w:cs="Times New Roman"/>
          <w:sz w:val="24"/>
          <w:szCs w:val="24"/>
        </w:rPr>
        <w:t xml:space="preserve"> </w:t>
      </w:r>
      <w:r w:rsidRPr="00CB67C8">
        <w:rPr>
          <w:rFonts w:ascii="Times New Roman" w:hAnsi="Times New Roman" w:eastAsia="Times New Roman" w:cs="Times New Roman"/>
          <w:sz w:val="24"/>
          <w:szCs w:val="24"/>
        </w:rPr>
        <w:t xml:space="preserve">OPOs and HLs </w:t>
      </w:r>
      <w:r w:rsidRPr="0056115E">
        <w:rPr>
          <w:rFonts w:ascii="Times New Roman" w:hAnsi="Times New Roman" w:eastAsia="Times New Roman" w:cs="Times New Roman"/>
          <w:sz w:val="24"/>
          <w:szCs w:val="24"/>
        </w:rPr>
        <w:t>submit the</w:t>
      </w:r>
      <w:r>
        <w:rPr>
          <w:rFonts w:ascii="Times New Roman" w:hAnsi="Times New Roman" w:eastAsia="Times New Roman" w:cs="Times New Roman"/>
          <w:sz w:val="24"/>
          <w:szCs w:val="24"/>
        </w:rPr>
        <w:t>ir</w:t>
      </w:r>
      <w:r w:rsidRPr="0056115E">
        <w:rPr>
          <w:rFonts w:ascii="Times New Roman" w:hAnsi="Times New Roman" w:eastAsia="Times New Roman" w:cs="Times New Roman"/>
          <w:sz w:val="24"/>
          <w:szCs w:val="24"/>
        </w:rPr>
        <w:t xml:space="preserve"> ECR file to </w:t>
      </w:r>
      <w:r>
        <w:rPr>
          <w:rFonts w:ascii="Times New Roman" w:hAnsi="Times New Roman" w:eastAsia="Times New Roman" w:cs="Times New Roman"/>
          <w:sz w:val="24"/>
          <w:szCs w:val="24"/>
        </w:rPr>
        <w:t xml:space="preserve">their </w:t>
      </w:r>
      <w:r w:rsidRPr="0056115E">
        <w:rPr>
          <w:rFonts w:ascii="Times New Roman" w:hAnsi="Times New Roman" w:eastAsia="Times New Roman" w:cs="Times New Roman"/>
          <w:sz w:val="24"/>
          <w:szCs w:val="24"/>
        </w:rPr>
        <w:t xml:space="preserve">contractor using a compact disk (CD), flash drive, or the CMS approved Medicare Cost Report E-filing (MCREF) portal, [URL: https://mcref.cms.gov]. The instructions for submission are included in the </w:t>
      </w:r>
      <w:r w:rsidRPr="00CB67C8">
        <w:rPr>
          <w:rFonts w:ascii="Times New Roman" w:hAnsi="Times New Roman" w:eastAsia="Times New Roman" w:cs="Times New Roman"/>
          <w:sz w:val="24"/>
          <w:szCs w:val="24"/>
        </w:rPr>
        <w:t xml:space="preserve">OPO and HLs </w:t>
      </w:r>
      <w:r w:rsidRPr="0056115E">
        <w:rPr>
          <w:rFonts w:ascii="Times New Roman" w:hAnsi="Times New Roman" w:eastAsia="Times New Roman" w:cs="Times New Roman"/>
          <w:sz w:val="24"/>
          <w:szCs w:val="24"/>
        </w:rPr>
        <w:t xml:space="preserve">cost report instructions on page </w:t>
      </w:r>
      <w:r>
        <w:rPr>
          <w:rFonts w:ascii="Times New Roman" w:hAnsi="Times New Roman" w:eastAsia="Times New Roman" w:cs="Times New Roman"/>
          <w:sz w:val="24"/>
          <w:szCs w:val="24"/>
        </w:rPr>
        <w:t>33-503</w:t>
      </w:r>
      <w:r w:rsidRPr="0056115E">
        <w:rPr>
          <w:rFonts w:ascii="Times New Roman" w:hAnsi="Times New Roman" w:eastAsia="Times New Roman" w:cs="Times New Roman"/>
          <w:sz w:val="24"/>
          <w:szCs w:val="24"/>
        </w:rPr>
        <w:t xml:space="preserve">. </w:t>
      </w:r>
    </w:p>
    <w:p w:rsidR="0056115E" w:rsidP="00261AEF" w:rsidRDefault="0056115E" w14:paraId="6281359F" w14:textId="77777777">
      <w:pPr>
        <w:widowControl w:val="0"/>
        <w:autoSpaceDE w:val="0"/>
        <w:autoSpaceDN w:val="0"/>
        <w:adjustRightInd w:val="0"/>
        <w:spacing w:after="0" w:line="240" w:lineRule="auto"/>
        <w:ind w:left="806"/>
        <w:rPr>
          <w:rFonts w:ascii="Times New Roman" w:hAnsi="Times New Roman" w:eastAsia="Times New Roman" w:cs="Times New Roman"/>
          <w:sz w:val="24"/>
          <w:szCs w:val="24"/>
        </w:rPr>
      </w:pPr>
    </w:p>
    <w:p w:rsidRPr="00CB67C8" w:rsidR="00CB67C8" w:rsidP="00CB67C8" w:rsidRDefault="00CB67C8" w14:paraId="719C3EA5" w14:textId="77777777">
      <w:pPr>
        <w:widowControl w:val="0"/>
        <w:numPr>
          <w:ilvl w:val="0"/>
          <w:numId w:val="1"/>
        </w:numPr>
        <w:tabs>
          <w:tab w:val="left" w:pos="810"/>
        </w:tabs>
        <w:autoSpaceDE w:val="0"/>
        <w:autoSpaceDN w:val="0"/>
        <w:adjustRightInd w:val="0"/>
        <w:spacing w:after="0" w:line="242" w:lineRule="auto"/>
        <w:ind w:left="1440" w:hanging="99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t>Duplication of Efforts</w:t>
      </w:r>
    </w:p>
    <w:p w:rsidRPr="00CB67C8" w:rsidR="00CB67C8" w:rsidP="00CB67C8" w:rsidRDefault="00CB67C8" w14:paraId="121C2193"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261AEF" w:rsidRDefault="00CB67C8" w14:paraId="5C40D1F4" w14:textId="77777777">
      <w:pPr>
        <w:widowControl w:val="0"/>
        <w:autoSpaceDE w:val="0"/>
        <w:autoSpaceDN w:val="0"/>
        <w:adjustRightInd w:val="0"/>
        <w:spacing w:after="0" w:line="240" w:lineRule="auto"/>
        <w:ind w:left="806"/>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This information collection does not duplicate any other effort and the information cannot be obtained from any other source.</w:t>
      </w:r>
    </w:p>
    <w:p w:rsidRPr="00CB67C8" w:rsidR="00CB67C8" w:rsidP="00CB67C8" w:rsidRDefault="00CB67C8" w14:paraId="3DC35768"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CB67C8" w:rsidRDefault="00CB67C8" w14:paraId="09FCFB7D" w14:textId="77777777">
      <w:pPr>
        <w:widowControl w:val="0"/>
        <w:numPr>
          <w:ilvl w:val="0"/>
          <w:numId w:val="1"/>
        </w:numPr>
        <w:tabs>
          <w:tab w:val="left" w:pos="810"/>
        </w:tabs>
        <w:autoSpaceDE w:val="0"/>
        <w:autoSpaceDN w:val="0"/>
        <w:adjustRightInd w:val="0"/>
        <w:spacing w:after="0" w:line="242" w:lineRule="auto"/>
        <w:ind w:left="1440" w:hanging="99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t>Small Business</w:t>
      </w:r>
    </w:p>
    <w:p w:rsidRPr="00CB67C8" w:rsidR="00CB67C8" w:rsidP="00CB67C8" w:rsidRDefault="00CB67C8" w14:paraId="4948A18F"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261AEF" w:rsidRDefault="00E85D31" w14:paraId="026AB8CE" w14:textId="60343078">
      <w:pPr>
        <w:widowControl w:val="0"/>
        <w:spacing w:after="0" w:line="240" w:lineRule="auto"/>
        <w:ind w:left="720"/>
        <w:rPr>
          <w:rFonts w:ascii="Times New Roman" w:hAnsi="Times New Roman" w:eastAsia="Times New Roman" w:cs="Times New Roman"/>
          <w:sz w:val="24"/>
          <w:szCs w:val="24"/>
        </w:rPr>
      </w:pPr>
      <w:r w:rsidRPr="00E85D31">
        <w:rPr>
          <w:rFonts w:ascii="Times New Roman" w:hAnsi="Times New Roman" w:cs="Times New Roman"/>
          <w:sz w:val="24"/>
          <w:szCs w:val="24"/>
        </w:rPr>
        <w:t xml:space="preserve">All </w:t>
      </w:r>
      <w:r>
        <w:rPr>
          <w:rFonts w:ascii="Times New Roman" w:hAnsi="Times New Roman" w:cs="Times New Roman"/>
          <w:sz w:val="24"/>
          <w:szCs w:val="24"/>
        </w:rPr>
        <w:t>OPOs and H</w:t>
      </w:r>
      <w:r w:rsidR="0084374F">
        <w:rPr>
          <w:rFonts w:ascii="Times New Roman" w:hAnsi="Times New Roman" w:cs="Times New Roman"/>
          <w:sz w:val="24"/>
          <w:szCs w:val="24"/>
        </w:rPr>
        <w:t>Ls</w:t>
      </w:r>
      <w:r w:rsidRPr="00E85D31">
        <w:rPr>
          <w:rFonts w:ascii="Times New Roman" w:hAnsi="Times New Roman" w:cs="Times New Roman"/>
          <w:sz w:val="24"/>
          <w:szCs w:val="24"/>
        </w:rPr>
        <w:t xml:space="preserve"> regardless of size, are required to complete these cost reporting forms.  </w:t>
      </w:r>
      <w:r w:rsidRPr="00CB67C8" w:rsidR="00CB67C8">
        <w:rPr>
          <w:rFonts w:ascii="Times New Roman" w:hAnsi="Times New Roman" w:eastAsia="Times New Roman" w:cs="Times New Roman"/>
          <w:sz w:val="24"/>
          <w:szCs w:val="24"/>
        </w:rPr>
        <w:t xml:space="preserve">The forms </w:t>
      </w:r>
      <w:r w:rsidRPr="00CB67C8" w:rsidR="003E1360">
        <w:rPr>
          <w:rFonts w:ascii="Times New Roman" w:hAnsi="Times New Roman" w:eastAsia="Times New Roman" w:cs="Times New Roman"/>
          <w:sz w:val="24"/>
          <w:szCs w:val="24"/>
        </w:rPr>
        <w:t>are collected</w:t>
      </w:r>
      <w:r w:rsidRPr="00CB67C8" w:rsidR="00CB67C8">
        <w:rPr>
          <w:rFonts w:ascii="Times New Roman" w:hAnsi="Times New Roman" w:eastAsia="Times New Roman" w:cs="Times New Roman"/>
          <w:sz w:val="24"/>
          <w:szCs w:val="24"/>
        </w:rPr>
        <w:t xml:space="preserve"> as infrequently as possible (annually) and only those data </w:t>
      </w:r>
      <w:r w:rsidRPr="00CB67C8" w:rsidR="003E1360">
        <w:rPr>
          <w:rFonts w:ascii="Times New Roman" w:hAnsi="Times New Roman" w:eastAsia="Times New Roman" w:cs="Times New Roman"/>
          <w:sz w:val="24"/>
          <w:szCs w:val="24"/>
        </w:rPr>
        <w:t>items necessary</w:t>
      </w:r>
      <w:r w:rsidRPr="00CB67C8" w:rsidR="00CB67C8">
        <w:rPr>
          <w:rFonts w:ascii="Times New Roman" w:hAnsi="Times New Roman" w:eastAsia="Times New Roman" w:cs="Times New Roman"/>
          <w:sz w:val="24"/>
          <w:szCs w:val="24"/>
        </w:rPr>
        <w:t xml:space="preserve"> to determine the appropriate reimbursement rates, are required. </w:t>
      </w:r>
    </w:p>
    <w:p w:rsidRPr="00CB67C8" w:rsidR="00CB67C8" w:rsidP="00CB67C8" w:rsidRDefault="00CB67C8" w14:paraId="67A602F8" w14:textId="77777777">
      <w:pPr>
        <w:widowControl w:val="0"/>
        <w:numPr>
          <w:ilvl w:val="0"/>
          <w:numId w:val="1"/>
        </w:numPr>
        <w:tabs>
          <w:tab w:val="left" w:pos="810"/>
        </w:tabs>
        <w:autoSpaceDE w:val="0"/>
        <w:autoSpaceDN w:val="0"/>
        <w:adjustRightInd w:val="0"/>
        <w:spacing w:after="0" w:line="242" w:lineRule="auto"/>
        <w:ind w:left="1440" w:hanging="99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lastRenderedPageBreak/>
        <w:t>Less Frequent Collection</w:t>
      </w:r>
    </w:p>
    <w:p w:rsidRPr="00CB67C8" w:rsidR="00CB67C8" w:rsidP="00CB67C8" w:rsidRDefault="00CB67C8" w14:paraId="66CCDA1B"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261AEF" w:rsidRDefault="0084374F" w14:paraId="5BD81ADE" w14:textId="0B80F8B4">
      <w:pPr>
        <w:widowControl w:val="0"/>
        <w:autoSpaceDE w:val="0"/>
        <w:autoSpaceDN w:val="0"/>
        <w:adjustRightInd w:val="0"/>
        <w:spacing w:after="0" w:line="240" w:lineRule="auto"/>
        <w:ind w:left="806"/>
        <w:rPr>
          <w:rFonts w:ascii="Times New Roman" w:hAnsi="Times New Roman" w:eastAsia="Times New Roman" w:cs="Times New Roman"/>
          <w:sz w:val="24"/>
          <w:szCs w:val="24"/>
        </w:rPr>
      </w:pPr>
      <w:r w:rsidRPr="0084374F">
        <w:rPr>
          <w:rFonts w:ascii="Times New Roman" w:hAnsi="Times New Roman" w:eastAsia="Times New Roman" w:cs="Times New Roman"/>
          <w:sz w:val="24"/>
          <w:szCs w:val="24"/>
        </w:rPr>
        <w:t xml:space="preserve">Under the authority of 1861(v)(1)(F) of the Act, as defined in regulations at 42 CFR 413.20 and 413.24, CMS requires that each </w:t>
      </w:r>
      <w:r>
        <w:rPr>
          <w:rFonts w:ascii="Times New Roman" w:hAnsi="Times New Roman" w:eastAsia="Times New Roman" w:cs="Times New Roman"/>
          <w:sz w:val="24"/>
          <w:szCs w:val="24"/>
        </w:rPr>
        <w:t xml:space="preserve">OPO/HL </w:t>
      </w:r>
      <w:r w:rsidRPr="0084374F">
        <w:rPr>
          <w:rFonts w:ascii="Times New Roman" w:hAnsi="Times New Roman" w:eastAsia="Times New Roman" w:cs="Times New Roman"/>
          <w:sz w:val="24"/>
          <w:szCs w:val="24"/>
        </w:rPr>
        <w:t xml:space="preserve">submit the cost report on an annual basis with the reporting period based on the </w:t>
      </w:r>
      <w:r>
        <w:rPr>
          <w:rFonts w:ascii="Times New Roman" w:hAnsi="Times New Roman" w:eastAsia="Times New Roman" w:cs="Times New Roman"/>
          <w:sz w:val="24"/>
          <w:szCs w:val="24"/>
        </w:rPr>
        <w:t>OPO/HL</w:t>
      </w:r>
      <w:r w:rsidRPr="0084374F">
        <w:rPr>
          <w:rFonts w:ascii="Times New Roman" w:hAnsi="Times New Roman" w:eastAsia="Times New Roman" w:cs="Times New Roman"/>
          <w:sz w:val="24"/>
          <w:szCs w:val="24"/>
        </w:rPr>
        <w:t xml:space="preserve">’s accounting period, which is generally 12 consecutive calendar months.  </w:t>
      </w:r>
      <w:r w:rsidRPr="00CB67C8" w:rsidR="00CB67C8">
        <w:rPr>
          <w:rFonts w:ascii="Times New Roman" w:hAnsi="Times New Roman" w:eastAsia="Times New Roman" w:cs="Times New Roman"/>
          <w:sz w:val="24"/>
          <w:szCs w:val="24"/>
        </w:rPr>
        <w:t>If the annual cost report is not filed, CMS will be unable to determine whether proper payments are being made under Medicare.  A provider who fails to file a cost report by the statutory due date is notified that interim payments will be reduced, suspended or deemed overpayments.  There is no opportunity for a less frequent collection than the annual cost report</w:t>
      </w:r>
      <w:r>
        <w:rPr>
          <w:rFonts w:ascii="Times New Roman" w:hAnsi="Times New Roman" w:eastAsia="Times New Roman" w:cs="Times New Roman"/>
          <w:sz w:val="24"/>
          <w:szCs w:val="24"/>
        </w:rPr>
        <w:t xml:space="preserve"> as this would impede the annual rate setting and adversely affect the OPO/HL’s payments</w:t>
      </w:r>
      <w:r w:rsidRPr="00CB67C8" w:rsidR="00CB67C8">
        <w:rPr>
          <w:rFonts w:ascii="Times New Roman" w:hAnsi="Times New Roman" w:eastAsia="Times New Roman" w:cs="Times New Roman"/>
          <w:sz w:val="24"/>
          <w:szCs w:val="24"/>
        </w:rPr>
        <w:t xml:space="preserve">. </w:t>
      </w:r>
    </w:p>
    <w:p w:rsidRPr="00CB67C8" w:rsidR="00CB67C8" w:rsidP="00CB67C8" w:rsidRDefault="00CB67C8" w14:paraId="0C8BA76B" w14:textId="77777777">
      <w:pPr>
        <w:widowControl w:val="0"/>
        <w:autoSpaceDE w:val="0"/>
        <w:autoSpaceDN w:val="0"/>
        <w:adjustRightInd w:val="0"/>
        <w:spacing w:after="0" w:line="242" w:lineRule="auto"/>
        <w:ind w:left="810"/>
        <w:rPr>
          <w:rFonts w:ascii="Times New Roman" w:hAnsi="Times New Roman" w:eastAsia="Times New Roman" w:cs="Times New Roman"/>
          <w:sz w:val="24"/>
          <w:szCs w:val="24"/>
        </w:rPr>
      </w:pPr>
    </w:p>
    <w:p w:rsidRPr="00CB67C8" w:rsidR="00CB67C8" w:rsidP="00CB67C8" w:rsidRDefault="00CB67C8" w14:paraId="64A27582" w14:textId="77777777">
      <w:pPr>
        <w:widowControl w:val="0"/>
        <w:numPr>
          <w:ilvl w:val="0"/>
          <w:numId w:val="1"/>
        </w:numPr>
        <w:tabs>
          <w:tab w:val="left" w:pos="810"/>
        </w:tabs>
        <w:autoSpaceDE w:val="0"/>
        <w:autoSpaceDN w:val="0"/>
        <w:adjustRightInd w:val="0"/>
        <w:spacing w:after="0" w:line="242" w:lineRule="auto"/>
        <w:ind w:left="1440" w:hanging="99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t>Special Circumstances</w:t>
      </w:r>
    </w:p>
    <w:p w:rsidRPr="00CB67C8" w:rsidR="00CB67C8" w:rsidP="00CB67C8" w:rsidRDefault="00CB67C8" w14:paraId="4782DA90" w14:textId="77777777">
      <w:pPr>
        <w:widowControl w:val="0"/>
        <w:autoSpaceDE w:val="0"/>
        <w:autoSpaceDN w:val="0"/>
        <w:adjustRightInd w:val="0"/>
        <w:spacing w:after="0" w:line="242" w:lineRule="auto"/>
        <w:ind w:firstLine="720"/>
        <w:rPr>
          <w:rFonts w:ascii="Times New Roman" w:hAnsi="Times New Roman" w:eastAsia="Times New Roman" w:cs="Times New Roman"/>
          <w:sz w:val="24"/>
          <w:szCs w:val="24"/>
          <w:u w:val="single"/>
        </w:rPr>
      </w:pPr>
    </w:p>
    <w:p w:rsidRPr="00CB67C8" w:rsidR="00CB67C8" w:rsidP="00261AEF" w:rsidRDefault="00CB67C8" w14:paraId="02079418" w14:textId="77777777">
      <w:pPr>
        <w:widowControl w:val="0"/>
        <w:autoSpaceDE w:val="0"/>
        <w:autoSpaceDN w:val="0"/>
        <w:adjustRightInd w:val="0"/>
        <w:spacing w:after="0" w:line="240" w:lineRule="auto"/>
        <w:ind w:left="806"/>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This information collection complies with all general information collection guidelines in 5 CFR § 1320.6 without the existence of special circumstances.</w:t>
      </w:r>
    </w:p>
    <w:p w:rsidRPr="00CB67C8" w:rsidR="00CB67C8" w:rsidP="00CB67C8" w:rsidRDefault="00CB67C8" w14:paraId="77C8FEA8"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CB67C8" w:rsidRDefault="00CB67C8" w14:paraId="74DE7E19" w14:textId="77777777">
      <w:pPr>
        <w:widowControl w:val="0"/>
        <w:numPr>
          <w:ilvl w:val="0"/>
          <w:numId w:val="1"/>
        </w:numPr>
        <w:tabs>
          <w:tab w:val="left" w:pos="810"/>
        </w:tabs>
        <w:autoSpaceDE w:val="0"/>
        <w:autoSpaceDN w:val="0"/>
        <w:adjustRightInd w:val="0"/>
        <w:spacing w:after="0" w:line="242" w:lineRule="auto"/>
        <w:ind w:left="1440" w:hanging="99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t>Federal Register Notice</w:t>
      </w:r>
    </w:p>
    <w:p w:rsidRPr="00CB67C8" w:rsidR="00CB67C8" w:rsidP="00CB67C8" w:rsidRDefault="00CB67C8" w14:paraId="16987ACC"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00207793" w:rsidP="00CB67C8" w:rsidRDefault="00CB67C8" w14:paraId="49E2A459" w14:textId="77777777">
      <w:pPr>
        <w:widowControl w:val="0"/>
        <w:autoSpaceDE w:val="0"/>
        <w:autoSpaceDN w:val="0"/>
        <w:adjustRightInd w:val="0"/>
        <w:spacing w:after="0" w:line="242" w:lineRule="auto"/>
        <w:ind w:left="810"/>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 xml:space="preserve">The 60-day </w:t>
      </w:r>
      <w:r w:rsidR="00DB49CA">
        <w:rPr>
          <w:rFonts w:ascii="Times New Roman" w:hAnsi="Times New Roman" w:eastAsia="Times New Roman" w:cs="Times New Roman"/>
          <w:sz w:val="24"/>
          <w:szCs w:val="24"/>
        </w:rPr>
        <w:t xml:space="preserve">notice published in the </w:t>
      </w:r>
      <w:r w:rsidRPr="00DB49CA">
        <w:rPr>
          <w:rFonts w:ascii="Times New Roman" w:hAnsi="Times New Roman" w:eastAsia="Times New Roman" w:cs="Times New Roman"/>
          <w:sz w:val="24"/>
          <w:szCs w:val="24"/>
          <w:u w:val="single"/>
        </w:rPr>
        <w:t>Federal Register</w:t>
      </w:r>
      <w:r w:rsidRPr="00CB67C8">
        <w:rPr>
          <w:rFonts w:ascii="Times New Roman" w:hAnsi="Times New Roman" w:eastAsia="Times New Roman" w:cs="Times New Roman"/>
          <w:sz w:val="24"/>
          <w:szCs w:val="24"/>
        </w:rPr>
        <w:t xml:space="preserve"> </w:t>
      </w:r>
      <w:r w:rsidR="00DB49CA">
        <w:rPr>
          <w:rFonts w:ascii="Times New Roman" w:hAnsi="Times New Roman" w:eastAsia="Times New Roman" w:cs="Times New Roman"/>
          <w:sz w:val="24"/>
          <w:szCs w:val="24"/>
        </w:rPr>
        <w:t>on April 9, 2021 (86 FR 18534).</w:t>
      </w:r>
      <w:r w:rsidR="00207793">
        <w:rPr>
          <w:rFonts w:ascii="Times New Roman" w:hAnsi="Times New Roman" w:eastAsia="Times New Roman" w:cs="Times New Roman"/>
          <w:sz w:val="24"/>
          <w:szCs w:val="24"/>
        </w:rPr>
        <w:t xml:space="preserve"> No comments were received in response to the 60-day notice. </w:t>
      </w:r>
    </w:p>
    <w:p w:rsidR="00207793" w:rsidP="00CB67C8" w:rsidRDefault="00207793" w14:paraId="07FA2674" w14:textId="77777777">
      <w:pPr>
        <w:widowControl w:val="0"/>
        <w:autoSpaceDE w:val="0"/>
        <w:autoSpaceDN w:val="0"/>
        <w:adjustRightInd w:val="0"/>
        <w:spacing w:after="0" w:line="242" w:lineRule="auto"/>
        <w:ind w:left="810"/>
        <w:rPr>
          <w:rFonts w:ascii="Times New Roman" w:hAnsi="Times New Roman" w:eastAsia="Times New Roman" w:cs="Times New Roman"/>
          <w:sz w:val="24"/>
          <w:szCs w:val="24"/>
        </w:rPr>
      </w:pPr>
    </w:p>
    <w:p w:rsidRPr="00CB67C8" w:rsidR="00CB67C8" w:rsidP="00CB67C8" w:rsidRDefault="00207793" w14:paraId="72ABA55F" w14:textId="691AAB07">
      <w:pPr>
        <w:widowControl w:val="0"/>
        <w:autoSpaceDE w:val="0"/>
        <w:autoSpaceDN w:val="0"/>
        <w:adjustRightInd w:val="0"/>
        <w:spacing w:after="0" w:line="242" w:lineRule="auto"/>
        <w:ind w:left="810"/>
        <w:rPr>
          <w:rFonts w:ascii="Times New Roman" w:hAnsi="Times New Roman" w:eastAsia="Times New Roman" w:cs="Times New Roman"/>
          <w:sz w:val="24"/>
          <w:szCs w:val="24"/>
        </w:rPr>
      </w:pPr>
      <w:r>
        <w:rPr>
          <w:rFonts w:ascii="Times New Roman" w:hAnsi="Times New Roman" w:eastAsia="Times New Roman" w:cs="Times New Roman"/>
          <w:sz w:val="24"/>
          <w:szCs w:val="24"/>
        </w:rPr>
        <w:t>The 30-day notice published in the Federal Register on October 15, 2021 (86 FR 57431).</w:t>
      </w:r>
      <w:bookmarkStart w:name="_GoBack" w:id="0"/>
      <w:bookmarkEnd w:id="0"/>
      <w:r w:rsidRPr="00CB67C8" w:rsidR="00CB67C8">
        <w:rPr>
          <w:rFonts w:ascii="Times New Roman" w:hAnsi="Times New Roman" w:eastAsia="Times New Roman" w:cs="Times New Roman"/>
          <w:sz w:val="24"/>
          <w:szCs w:val="24"/>
        </w:rPr>
        <w:t xml:space="preserve"> </w:t>
      </w:r>
    </w:p>
    <w:p w:rsidRPr="00CB67C8" w:rsidR="00CB67C8" w:rsidP="00CB67C8" w:rsidRDefault="00CB67C8" w14:paraId="3DF40F5E" w14:textId="77777777">
      <w:pPr>
        <w:widowControl w:val="0"/>
        <w:autoSpaceDE w:val="0"/>
        <w:autoSpaceDN w:val="0"/>
        <w:adjustRightInd w:val="0"/>
        <w:spacing w:after="0" w:line="242" w:lineRule="auto"/>
        <w:ind w:left="810"/>
        <w:rPr>
          <w:rFonts w:ascii="Times New Roman" w:hAnsi="Times New Roman" w:eastAsia="Times New Roman" w:cs="Times New Roman"/>
          <w:sz w:val="24"/>
          <w:szCs w:val="24"/>
        </w:rPr>
      </w:pPr>
    </w:p>
    <w:p w:rsidRPr="00CB67C8" w:rsidR="00CB67C8" w:rsidP="00CB67C8" w:rsidRDefault="00CB67C8" w14:paraId="365009D6" w14:textId="77777777">
      <w:pPr>
        <w:widowControl w:val="0"/>
        <w:numPr>
          <w:ilvl w:val="0"/>
          <w:numId w:val="1"/>
        </w:numPr>
        <w:tabs>
          <w:tab w:val="left" w:pos="810"/>
        </w:tabs>
        <w:autoSpaceDE w:val="0"/>
        <w:autoSpaceDN w:val="0"/>
        <w:adjustRightInd w:val="0"/>
        <w:spacing w:after="0" w:line="242" w:lineRule="auto"/>
        <w:ind w:left="1440" w:hanging="99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t>Payment/Gift to Respondent</w:t>
      </w:r>
    </w:p>
    <w:p w:rsidRPr="00CB67C8" w:rsidR="00CB67C8" w:rsidP="00CB67C8" w:rsidRDefault="00CB67C8" w14:paraId="37962A23"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0F59DF" w:rsidRDefault="00CB67C8" w14:paraId="16DB60ED" w14:textId="5D75491F">
      <w:pPr>
        <w:widowControl w:val="0"/>
        <w:tabs>
          <w:tab w:val="left" w:pos="0"/>
          <w:tab w:val="left" w:pos="720"/>
        </w:tabs>
        <w:suppressAutoHyphens/>
        <w:autoSpaceDE w:val="0"/>
        <w:autoSpaceDN w:val="0"/>
        <w:adjustRightInd w:val="0"/>
        <w:spacing w:after="0" w:line="240" w:lineRule="auto"/>
        <w:ind w:left="720"/>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CMS makes no payments or gifts to respondents for completion of this data collection.  The Form CMS-216-94 collects data to determine accurate payments made to an OPO/H</w:t>
      </w:r>
      <w:r w:rsidR="0084374F">
        <w:rPr>
          <w:rFonts w:ascii="Times New Roman" w:hAnsi="Times New Roman" w:eastAsia="Times New Roman" w:cs="Times New Roman"/>
          <w:sz w:val="24"/>
          <w:szCs w:val="24"/>
        </w:rPr>
        <w:t>L</w:t>
      </w:r>
      <w:r w:rsidR="00541C4F">
        <w:rPr>
          <w:rFonts w:ascii="Times New Roman" w:hAnsi="Times New Roman" w:eastAsia="Times New Roman" w:cs="Times New Roman"/>
          <w:sz w:val="24"/>
          <w:szCs w:val="24"/>
        </w:rPr>
        <w:t xml:space="preserve">.  </w:t>
      </w:r>
      <w:r w:rsidRPr="00CB67C8" w:rsidR="009009B1">
        <w:rPr>
          <w:rFonts w:ascii="Times New Roman" w:hAnsi="Times New Roman" w:eastAsia="Times New Roman" w:cs="Times New Roman"/>
          <w:sz w:val="24"/>
          <w:szCs w:val="24"/>
        </w:rPr>
        <w:t xml:space="preserve">The payments </w:t>
      </w:r>
      <w:r w:rsidR="00612F00">
        <w:rPr>
          <w:rFonts w:ascii="Times New Roman" w:hAnsi="Times New Roman" w:eastAsia="Times New Roman" w:cs="Times New Roman"/>
          <w:sz w:val="24"/>
          <w:szCs w:val="24"/>
        </w:rPr>
        <w:t xml:space="preserve">made </w:t>
      </w:r>
      <w:r w:rsidR="009009B1">
        <w:rPr>
          <w:rFonts w:ascii="Times New Roman" w:hAnsi="Times New Roman" w:eastAsia="Times New Roman" w:cs="Times New Roman"/>
          <w:sz w:val="24"/>
          <w:szCs w:val="24"/>
        </w:rPr>
        <w:t xml:space="preserve">to an OPO/Histocompatibility Laboratory from CMS </w:t>
      </w:r>
      <w:r w:rsidRPr="00CB67C8" w:rsidR="009009B1">
        <w:rPr>
          <w:rFonts w:ascii="Times New Roman" w:hAnsi="Times New Roman" w:eastAsia="Times New Roman" w:cs="Times New Roman"/>
          <w:sz w:val="24"/>
          <w:szCs w:val="24"/>
        </w:rPr>
        <w:t xml:space="preserve">are for covered services provided to Medicare beneficiaries.  </w:t>
      </w:r>
      <w:r w:rsidRPr="00CB67C8">
        <w:rPr>
          <w:rFonts w:ascii="Times New Roman" w:hAnsi="Times New Roman" w:eastAsia="Times New Roman" w:cs="Times New Roman"/>
          <w:sz w:val="24"/>
          <w:szCs w:val="24"/>
        </w:rPr>
        <w:t>If an OPO/H</w:t>
      </w:r>
      <w:r w:rsidR="0084374F">
        <w:rPr>
          <w:rFonts w:ascii="Times New Roman" w:hAnsi="Times New Roman" w:eastAsia="Times New Roman" w:cs="Times New Roman"/>
          <w:sz w:val="24"/>
          <w:szCs w:val="24"/>
        </w:rPr>
        <w:t>L</w:t>
      </w:r>
      <w:r w:rsidRPr="00CB67C8">
        <w:rPr>
          <w:rFonts w:ascii="Times New Roman" w:hAnsi="Times New Roman" w:eastAsia="Times New Roman" w:cs="Times New Roman"/>
          <w:sz w:val="24"/>
          <w:szCs w:val="24"/>
        </w:rPr>
        <w:t xml:space="preserve"> fails to submit the Form CMS-216-94 the contractor imposes a penalty by suspending payments until the report is submitted. Once the cost report is submitted, the contractor releases the suspended payments</w:t>
      </w:r>
      <w:r w:rsidR="003E1360">
        <w:rPr>
          <w:rFonts w:ascii="Times New Roman" w:hAnsi="Times New Roman" w:eastAsia="Times New Roman" w:cs="Times New Roman"/>
          <w:sz w:val="24"/>
          <w:szCs w:val="24"/>
        </w:rPr>
        <w:t xml:space="preserve">.  If the </w:t>
      </w:r>
      <w:r w:rsidRPr="00CB67C8">
        <w:rPr>
          <w:rFonts w:ascii="Times New Roman" w:hAnsi="Times New Roman" w:eastAsia="Times New Roman" w:cs="Times New Roman"/>
          <w:sz w:val="24"/>
          <w:szCs w:val="24"/>
        </w:rPr>
        <w:t>OPO/H</w:t>
      </w:r>
      <w:r w:rsidR="0084374F">
        <w:rPr>
          <w:rFonts w:ascii="Times New Roman" w:hAnsi="Times New Roman" w:eastAsia="Times New Roman" w:cs="Times New Roman"/>
          <w:sz w:val="24"/>
          <w:szCs w:val="24"/>
        </w:rPr>
        <w:t>L</w:t>
      </w:r>
      <w:r w:rsidRPr="00CB67C8">
        <w:rPr>
          <w:rFonts w:ascii="Times New Roman" w:hAnsi="Times New Roman" w:eastAsia="Times New Roman" w:cs="Times New Roman"/>
          <w:sz w:val="24"/>
          <w:szCs w:val="24"/>
        </w:rPr>
        <w:t xml:space="preserve"> </w:t>
      </w:r>
      <w:r w:rsidR="003E1360">
        <w:rPr>
          <w:rFonts w:ascii="Times New Roman" w:hAnsi="Times New Roman" w:eastAsia="Times New Roman" w:cs="Times New Roman"/>
          <w:sz w:val="24"/>
          <w:szCs w:val="24"/>
        </w:rPr>
        <w:t xml:space="preserve">files </w:t>
      </w:r>
      <w:r w:rsidRPr="00CB67C8">
        <w:rPr>
          <w:rFonts w:ascii="Times New Roman" w:hAnsi="Times New Roman" w:eastAsia="Times New Roman" w:cs="Times New Roman"/>
          <w:sz w:val="24"/>
          <w:szCs w:val="24"/>
        </w:rPr>
        <w:t xml:space="preserve">the report timely there </w:t>
      </w:r>
      <w:r w:rsidR="005E07B6">
        <w:rPr>
          <w:rFonts w:ascii="Times New Roman" w:hAnsi="Times New Roman" w:eastAsia="Times New Roman" w:cs="Times New Roman"/>
          <w:sz w:val="24"/>
          <w:szCs w:val="24"/>
        </w:rPr>
        <w:t>is</w:t>
      </w:r>
      <w:r w:rsidRPr="00CB67C8" w:rsidR="005E07B6">
        <w:rPr>
          <w:rFonts w:ascii="Times New Roman" w:hAnsi="Times New Roman" w:eastAsia="Times New Roman" w:cs="Times New Roman"/>
          <w:sz w:val="24"/>
          <w:szCs w:val="24"/>
        </w:rPr>
        <w:t xml:space="preserve"> </w:t>
      </w:r>
      <w:r w:rsidRPr="00CB67C8">
        <w:rPr>
          <w:rFonts w:ascii="Times New Roman" w:hAnsi="Times New Roman" w:eastAsia="Times New Roman" w:cs="Times New Roman"/>
          <w:sz w:val="24"/>
          <w:szCs w:val="24"/>
        </w:rPr>
        <w:t>no interruption of the payments.</w:t>
      </w:r>
    </w:p>
    <w:p w:rsidRPr="00CB67C8" w:rsidR="00CB67C8" w:rsidP="00CB67C8" w:rsidRDefault="00CB67C8" w14:paraId="79222043"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CB67C8" w:rsidRDefault="00CB67C8" w14:paraId="2D3CA513" w14:textId="77777777">
      <w:pPr>
        <w:widowControl w:val="0"/>
        <w:numPr>
          <w:ilvl w:val="0"/>
          <w:numId w:val="1"/>
        </w:numPr>
        <w:tabs>
          <w:tab w:val="left" w:pos="810"/>
        </w:tabs>
        <w:autoSpaceDE w:val="0"/>
        <w:autoSpaceDN w:val="0"/>
        <w:adjustRightInd w:val="0"/>
        <w:spacing w:after="0" w:line="242" w:lineRule="auto"/>
        <w:ind w:left="1440" w:hanging="108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t>Confidentiality</w:t>
      </w:r>
    </w:p>
    <w:p w:rsidRPr="00CB67C8" w:rsidR="00CB67C8" w:rsidP="00CB67C8" w:rsidRDefault="00CB67C8" w14:paraId="0A9591C3"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0F59DF" w:rsidRDefault="00CB67C8" w14:paraId="2705A0BC" w14:textId="77777777">
      <w:pPr>
        <w:widowControl w:val="0"/>
        <w:autoSpaceDE w:val="0"/>
        <w:autoSpaceDN w:val="0"/>
        <w:adjustRightInd w:val="0"/>
        <w:spacing w:after="0" w:line="240" w:lineRule="auto"/>
        <w:ind w:left="806"/>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Confidentiality is not assured. Medicare cost reports are subject to disclosure under the Freedom of Information Act.</w:t>
      </w:r>
    </w:p>
    <w:p w:rsidRPr="00CB67C8" w:rsidR="00CB67C8" w:rsidP="00CB67C8" w:rsidRDefault="00CB67C8" w14:paraId="1DF41D4C"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CB67C8" w:rsidRDefault="00CB67C8" w14:paraId="3914ADA6" w14:textId="77777777">
      <w:pPr>
        <w:widowControl w:val="0"/>
        <w:numPr>
          <w:ilvl w:val="0"/>
          <w:numId w:val="1"/>
        </w:numPr>
        <w:tabs>
          <w:tab w:val="left" w:pos="810"/>
        </w:tabs>
        <w:autoSpaceDE w:val="0"/>
        <w:autoSpaceDN w:val="0"/>
        <w:adjustRightInd w:val="0"/>
        <w:spacing w:after="0" w:line="242" w:lineRule="auto"/>
        <w:ind w:left="1440" w:hanging="108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t>Sensitive Questions</w:t>
      </w:r>
    </w:p>
    <w:p w:rsidRPr="00CB67C8" w:rsidR="00CB67C8" w:rsidP="00CB67C8" w:rsidRDefault="00CB67C8" w14:paraId="69568641"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00AF63AF" w:rsidP="00AF63AF" w:rsidRDefault="00CB67C8" w14:paraId="3A81288A" w14:textId="5F63C26B">
      <w:pPr>
        <w:widowControl w:val="0"/>
        <w:autoSpaceDE w:val="0"/>
        <w:autoSpaceDN w:val="0"/>
        <w:adjustRightInd w:val="0"/>
        <w:spacing w:after="0" w:line="242" w:lineRule="auto"/>
        <w:ind w:left="810"/>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There are no questions of a sensitive nature.</w:t>
      </w:r>
    </w:p>
    <w:p w:rsidR="00F10DA4" w:rsidP="00AF63AF" w:rsidRDefault="00F10DA4" w14:paraId="11267657" w14:textId="0B969790">
      <w:pPr>
        <w:widowControl w:val="0"/>
        <w:autoSpaceDE w:val="0"/>
        <w:autoSpaceDN w:val="0"/>
        <w:adjustRightInd w:val="0"/>
        <w:spacing w:after="0" w:line="242" w:lineRule="auto"/>
        <w:ind w:left="810"/>
        <w:rPr>
          <w:rFonts w:ascii="Times New Roman" w:hAnsi="Times New Roman" w:eastAsia="Times New Roman" w:cs="Times New Roman"/>
          <w:sz w:val="24"/>
          <w:szCs w:val="24"/>
        </w:rPr>
      </w:pPr>
    </w:p>
    <w:p w:rsidR="00F10DA4" w:rsidP="00AF63AF" w:rsidRDefault="00F10DA4" w14:paraId="2B412C61" w14:textId="7E50607F">
      <w:pPr>
        <w:widowControl w:val="0"/>
        <w:autoSpaceDE w:val="0"/>
        <w:autoSpaceDN w:val="0"/>
        <w:adjustRightInd w:val="0"/>
        <w:spacing w:after="0" w:line="242" w:lineRule="auto"/>
        <w:ind w:left="810"/>
        <w:rPr>
          <w:rFonts w:ascii="Times New Roman" w:hAnsi="Times New Roman" w:eastAsia="Times New Roman" w:cs="Times New Roman"/>
          <w:sz w:val="24"/>
          <w:szCs w:val="24"/>
        </w:rPr>
      </w:pPr>
    </w:p>
    <w:p w:rsidR="00F10DA4" w:rsidP="00AF63AF" w:rsidRDefault="00F10DA4" w14:paraId="6C92F17A" w14:textId="5C46D393">
      <w:pPr>
        <w:widowControl w:val="0"/>
        <w:autoSpaceDE w:val="0"/>
        <w:autoSpaceDN w:val="0"/>
        <w:adjustRightInd w:val="0"/>
        <w:spacing w:after="0" w:line="242" w:lineRule="auto"/>
        <w:ind w:left="810"/>
        <w:rPr>
          <w:rFonts w:ascii="Times New Roman" w:hAnsi="Times New Roman" w:eastAsia="Times New Roman" w:cs="Times New Roman"/>
          <w:sz w:val="24"/>
          <w:szCs w:val="24"/>
        </w:rPr>
      </w:pPr>
    </w:p>
    <w:p w:rsidR="00F10DA4" w:rsidP="00AF63AF" w:rsidRDefault="00F10DA4" w14:paraId="242F8ACA" w14:textId="115EEA33">
      <w:pPr>
        <w:widowControl w:val="0"/>
        <w:autoSpaceDE w:val="0"/>
        <w:autoSpaceDN w:val="0"/>
        <w:adjustRightInd w:val="0"/>
        <w:spacing w:after="0" w:line="242" w:lineRule="auto"/>
        <w:ind w:left="810"/>
        <w:rPr>
          <w:rFonts w:ascii="Times New Roman" w:hAnsi="Times New Roman" w:eastAsia="Times New Roman" w:cs="Times New Roman"/>
          <w:sz w:val="24"/>
          <w:szCs w:val="24"/>
        </w:rPr>
      </w:pPr>
    </w:p>
    <w:p w:rsidR="00241CE1" w:rsidP="00AF63AF" w:rsidRDefault="00241CE1" w14:paraId="014B57E9" w14:textId="42782DA8">
      <w:pPr>
        <w:widowControl w:val="0"/>
        <w:autoSpaceDE w:val="0"/>
        <w:autoSpaceDN w:val="0"/>
        <w:adjustRightInd w:val="0"/>
        <w:spacing w:after="0" w:line="242" w:lineRule="auto"/>
        <w:ind w:left="810"/>
        <w:rPr>
          <w:rFonts w:ascii="Times New Roman" w:hAnsi="Times New Roman" w:eastAsia="Times New Roman" w:cs="Times New Roman"/>
          <w:sz w:val="24"/>
          <w:szCs w:val="24"/>
        </w:rPr>
      </w:pPr>
    </w:p>
    <w:p w:rsidR="00241CE1" w:rsidP="00AF63AF" w:rsidRDefault="00241CE1" w14:paraId="177C5FB9" w14:textId="19710B69">
      <w:pPr>
        <w:widowControl w:val="0"/>
        <w:autoSpaceDE w:val="0"/>
        <w:autoSpaceDN w:val="0"/>
        <w:adjustRightInd w:val="0"/>
        <w:spacing w:after="0" w:line="242" w:lineRule="auto"/>
        <w:ind w:left="810"/>
        <w:rPr>
          <w:rFonts w:ascii="Times New Roman" w:hAnsi="Times New Roman" w:eastAsia="Times New Roman" w:cs="Times New Roman"/>
          <w:sz w:val="24"/>
          <w:szCs w:val="24"/>
        </w:rPr>
      </w:pPr>
    </w:p>
    <w:p w:rsidR="00241CE1" w:rsidP="00AF63AF" w:rsidRDefault="00241CE1" w14:paraId="20CF6E66" w14:textId="77777777">
      <w:pPr>
        <w:widowControl w:val="0"/>
        <w:autoSpaceDE w:val="0"/>
        <w:autoSpaceDN w:val="0"/>
        <w:adjustRightInd w:val="0"/>
        <w:spacing w:after="0" w:line="242" w:lineRule="auto"/>
        <w:ind w:left="810"/>
        <w:rPr>
          <w:rFonts w:ascii="Times New Roman" w:hAnsi="Times New Roman" w:eastAsia="Times New Roman" w:cs="Times New Roman"/>
          <w:sz w:val="24"/>
          <w:szCs w:val="24"/>
        </w:rPr>
      </w:pPr>
    </w:p>
    <w:p w:rsidRPr="00AF63AF" w:rsidR="00F10DA4" w:rsidP="00AF63AF" w:rsidRDefault="00F10DA4" w14:paraId="58585BD6" w14:textId="77777777">
      <w:pPr>
        <w:widowControl w:val="0"/>
        <w:autoSpaceDE w:val="0"/>
        <w:autoSpaceDN w:val="0"/>
        <w:adjustRightInd w:val="0"/>
        <w:spacing w:after="0" w:line="242" w:lineRule="auto"/>
        <w:ind w:left="810"/>
        <w:rPr>
          <w:rFonts w:ascii="Times New Roman" w:hAnsi="Times New Roman" w:eastAsia="Times New Roman" w:cs="Times New Roman"/>
          <w:sz w:val="24"/>
          <w:szCs w:val="24"/>
        </w:rPr>
      </w:pPr>
    </w:p>
    <w:p w:rsidRPr="00CB67C8" w:rsidR="00CB67C8" w:rsidP="00CB67C8" w:rsidRDefault="00CB67C8" w14:paraId="39CD845E" w14:textId="77777777">
      <w:pPr>
        <w:widowControl w:val="0"/>
        <w:numPr>
          <w:ilvl w:val="0"/>
          <w:numId w:val="1"/>
        </w:numPr>
        <w:tabs>
          <w:tab w:val="left" w:pos="810"/>
        </w:tabs>
        <w:autoSpaceDE w:val="0"/>
        <w:autoSpaceDN w:val="0"/>
        <w:adjustRightInd w:val="0"/>
        <w:spacing w:after="0" w:line="242" w:lineRule="auto"/>
        <w:ind w:left="810" w:hanging="45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t>Estimate of Burden (Hours &amp; Wages)</w:t>
      </w:r>
    </w:p>
    <w:p w:rsidRPr="00CB67C8" w:rsidR="00CB67C8" w:rsidP="00CB67C8" w:rsidRDefault="00CB67C8" w14:paraId="1C5BC9FD"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tbl>
      <w:tblPr>
        <w:tblpPr w:leftFromText="180" w:rightFromText="180" w:vertAnchor="text" w:horzAnchor="margin" w:tblpXSpec="center" w:tblpY="171"/>
        <w:tblW w:w="5000" w:type="pct"/>
        <w:tblLook w:val="04A0" w:firstRow="1" w:lastRow="0" w:firstColumn="1" w:lastColumn="0" w:noHBand="0" w:noVBand="1"/>
      </w:tblPr>
      <w:tblGrid>
        <w:gridCol w:w="400"/>
        <w:gridCol w:w="6575"/>
        <w:gridCol w:w="1967"/>
        <w:gridCol w:w="398"/>
      </w:tblGrid>
      <w:tr w:rsidRPr="00CB67C8" w:rsidR="00CB67C8" w:rsidTr="00416EB9" w14:paraId="2A3538C6" w14:textId="77777777">
        <w:trPr>
          <w:trHeight w:val="315"/>
        </w:trPr>
        <w:tc>
          <w:tcPr>
            <w:tcW w:w="214" w:type="pct"/>
            <w:tcBorders>
              <w:top w:val="single" w:color="auto" w:sz="8" w:space="0"/>
              <w:left w:val="single" w:color="auto" w:sz="8" w:space="0"/>
              <w:bottom w:val="nil"/>
              <w:right w:val="nil"/>
            </w:tcBorders>
            <w:shd w:val="clear" w:color="auto" w:fill="auto"/>
            <w:noWrap/>
            <w:vAlign w:val="bottom"/>
          </w:tcPr>
          <w:p w:rsidRPr="00CB67C8" w:rsidR="00CB67C8" w:rsidP="00CB67C8" w:rsidRDefault="00CB67C8" w14:paraId="0860BF76" w14:textId="77777777">
            <w:pPr>
              <w:spacing w:after="0" w:line="240" w:lineRule="auto"/>
              <w:rPr>
                <w:rFonts w:ascii="Arial" w:hAnsi="Arial" w:eastAsia="Times New Roman" w:cs="Arial"/>
                <w:sz w:val="20"/>
                <w:szCs w:val="24"/>
              </w:rPr>
            </w:pPr>
          </w:p>
        </w:tc>
        <w:tc>
          <w:tcPr>
            <w:tcW w:w="3520" w:type="pct"/>
            <w:tcBorders>
              <w:top w:val="single" w:color="auto" w:sz="8" w:space="0"/>
              <w:left w:val="nil"/>
              <w:bottom w:val="nil"/>
              <w:right w:val="nil"/>
            </w:tcBorders>
            <w:shd w:val="clear" w:color="auto" w:fill="auto"/>
            <w:noWrap/>
            <w:vAlign w:val="bottom"/>
          </w:tcPr>
          <w:p w:rsidRPr="00CB67C8" w:rsidR="00CB67C8" w:rsidP="00CB67C8" w:rsidRDefault="00CB67C8" w14:paraId="029DCF76" w14:textId="77777777">
            <w:pPr>
              <w:spacing w:after="0" w:line="240" w:lineRule="auto"/>
              <w:rPr>
                <w:rFonts w:ascii="Times New Roman" w:hAnsi="Times New Roman" w:eastAsia="Times New Roman" w:cs="Times New Roman"/>
                <w:sz w:val="14"/>
                <w:szCs w:val="14"/>
              </w:rPr>
            </w:pPr>
          </w:p>
        </w:tc>
        <w:tc>
          <w:tcPr>
            <w:tcW w:w="1053" w:type="pct"/>
            <w:tcBorders>
              <w:top w:val="single" w:color="auto" w:sz="8" w:space="0"/>
              <w:left w:val="nil"/>
              <w:bottom w:val="nil"/>
              <w:right w:val="nil"/>
            </w:tcBorders>
            <w:shd w:val="clear" w:color="auto" w:fill="auto"/>
            <w:noWrap/>
            <w:vAlign w:val="bottom"/>
          </w:tcPr>
          <w:p w:rsidRPr="00CB67C8" w:rsidR="00CB67C8" w:rsidP="00CB67C8" w:rsidRDefault="00CB67C8" w14:paraId="7B2CA12E" w14:textId="77777777">
            <w:pPr>
              <w:spacing w:after="0" w:line="240" w:lineRule="auto"/>
              <w:rPr>
                <w:rFonts w:ascii="Times New Roman" w:hAnsi="Times New Roman" w:eastAsia="Times New Roman" w:cs="Times New Roman"/>
                <w:sz w:val="24"/>
                <w:szCs w:val="24"/>
              </w:rPr>
            </w:pPr>
          </w:p>
        </w:tc>
        <w:tc>
          <w:tcPr>
            <w:tcW w:w="213" w:type="pct"/>
            <w:tcBorders>
              <w:top w:val="single" w:color="auto" w:sz="8" w:space="0"/>
              <w:left w:val="nil"/>
              <w:bottom w:val="nil"/>
              <w:right w:val="single" w:color="auto" w:sz="8" w:space="0"/>
            </w:tcBorders>
            <w:shd w:val="clear" w:color="auto" w:fill="auto"/>
            <w:noWrap/>
            <w:vAlign w:val="bottom"/>
          </w:tcPr>
          <w:p w:rsidRPr="00CB67C8" w:rsidR="00CB67C8" w:rsidP="00CB67C8" w:rsidRDefault="00CB67C8" w14:paraId="7A304E35" w14:textId="77777777">
            <w:pPr>
              <w:spacing w:after="0" w:line="240" w:lineRule="auto"/>
              <w:rPr>
                <w:rFonts w:ascii="Arial" w:hAnsi="Arial" w:eastAsia="Times New Roman" w:cs="Arial"/>
                <w:sz w:val="20"/>
                <w:szCs w:val="24"/>
                <w:highlight w:val="yellow"/>
              </w:rPr>
            </w:pPr>
          </w:p>
        </w:tc>
      </w:tr>
      <w:tr w:rsidRPr="00CB67C8" w:rsidR="00CB67C8" w:rsidTr="00416EB9" w14:paraId="6BA8A131" w14:textId="77777777">
        <w:trPr>
          <w:trHeight w:val="162"/>
        </w:trPr>
        <w:tc>
          <w:tcPr>
            <w:tcW w:w="214" w:type="pct"/>
            <w:tcBorders>
              <w:top w:val="nil"/>
              <w:left w:val="single" w:color="auto" w:sz="8" w:space="0"/>
              <w:bottom w:val="nil"/>
              <w:right w:val="nil"/>
            </w:tcBorders>
            <w:shd w:val="clear" w:color="auto" w:fill="auto"/>
            <w:noWrap/>
            <w:vAlign w:val="bottom"/>
          </w:tcPr>
          <w:p w:rsidRPr="00CB67C8" w:rsidR="00CB67C8" w:rsidP="00CB67C8" w:rsidRDefault="00CB67C8" w14:paraId="56CFBE99" w14:textId="77777777">
            <w:pPr>
              <w:spacing w:after="0" w:line="240" w:lineRule="auto"/>
              <w:rPr>
                <w:rFonts w:ascii="Arial" w:hAnsi="Arial" w:eastAsia="Times New Roman" w:cs="Arial"/>
                <w:sz w:val="20"/>
                <w:szCs w:val="24"/>
              </w:rPr>
            </w:pPr>
          </w:p>
        </w:tc>
        <w:tc>
          <w:tcPr>
            <w:tcW w:w="3520" w:type="pct"/>
            <w:tcBorders>
              <w:top w:val="nil"/>
              <w:left w:val="nil"/>
              <w:bottom w:val="nil"/>
              <w:right w:val="nil"/>
            </w:tcBorders>
            <w:shd w:val="clear" w:color="auto" w:fill="auto"/>
            <w:noWrap/>
            <w:vAlign w:val="bottom"/>
          </w:tcPr>
          <w:p w:rsidRPr="00CB67C8" w:rsidR="00CB67C8" w:rsidP="00CB67C8" w:rsidRDefault="00CB67C8" w14:paraId="7ACFD609" w14:textId="77777777">
            <w:pPr>
              <w:autoSpaceDE w:val="0"/>
              <w:autoSpaceDN w:val="0"/>
              <w:adjustRightInd w:val="0"/>
              <w:spacing w:after="0" w:line="240" w:lineRule="auto"/>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Number of OPO/HL facilities</w:t>
            </w:r>
          </w:p>
          <w:p w:rsidRPr="00CB67C8" w:rsidR="00CB67C8" w:rsidP="00CB67C8" w:rsidRDefault="00CB67C8" w14:paraId="12530B09" w14:textId="77777777">
            <w:pPr>
              <w:autoSpaceDE w:val="0"/>
              <w:autoSpaceDN w:val="0"/>
              <w:adjustRightInd w:val="0"/>
              <w:spacing w:after="0" w:line="240" w:lineRule="auto"/>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 xml:space="preserve">Form CMS 216-94 </w:t>
            </w:r>
          </w:p>
        </w:tc>
        <w:tc>
          <w:tcPr>
            <w:tcW w:w="1053" w:type="pct"/>
            <w:tcBorders>
              <w:top w:val="nil"/>
              <w:left w:val="nil"/>
              <w:bottom w:val="nil"/>
              <w:right w:val="nil"/>
            </w:tcBorders>
            <w:shd w:val="clear" w:color="auto" w:fill="auto"/>
            <w:noWrap/>
            <w:vAlign w:val="bottom"/>
          </w:tcPr>
          <w:p w:rsidRPr="00CB67C8" w:rsidR="00CB67C8" w:rsidP="009009B1" w:rsidRDefault="00CB67C8" w14:paraId="16DB242D" w14:textId="40719621">
            <w:pPr>
              <w:autoSpaceDE w:val="0"/>
              <w:autoSpaceDN w:val="0"/>
              <w:adjustRightInd w:val="0"/>
              <w:spacing w:after="0" w:line="240" w:lineRule="auto"/>
              <w:jc w:val="right"/>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9</w:t>
            </w:r>
            <w:r w:rsidR="009009B1">
              <w:rPr>
                <w:rFonts w:ascii="Times New Roman" w:hAnsi="Times New Roman" w:eastAsia="Times New Roman" w:cs="Times New Roman"/>
                <w:sz w:val="24"/>
                <w:szCs w:val="24"/>
              </w:rPr>
              <w:t>5</w:t>
            </w:r>
            <w:r w:rsidRPr="00CB67C8">
              <w:rPr>
                <w:rFonts w:ascii="Times New Roman" w:hAnsi="Times New Roman" w:eastAsia="Times New Roman" w:cs="Times New Roman"/>
                <w:sz w:val="24"/>
                <w:szCs w:val="24"/>
              </w:rPr>
              <w:t xml:space="preserve">   </w:t>
            </w:r>
          </w:p>
        </w:tc>
        <w:tc>
          <w:tcPr>
            <w:tcW w:w="213" w:type="pct"/>
            <w:tcBorders>
              <w:top w:val="nil"/>
              <w:left w:val="nil"/>
              <w:bottom w:val="nil"/>
              <w:right w:val="single" w:color="auto" w:sz="8" w:space="0"/>
            </w:tcBorders>
            <w:shd w:val="clear" w:color="auto" w:fill="auto"/>
            <w:noWrap/>
            <w:vAlign w:val="bottom"/>
          </w:tcPr>
          <w:p w:rsidRPr="00CB67C8" w:rsidR="00CB67C8" w:rsidP="00CB67C8" w:rsidRDefault="00CB67C8" w14:paraId="700785E5" w14:textId="77777777">
            <w:pPr>
              <w:spacing w:after="0" w:line="240" w:lineRule="auto"/>
              <w:rPr>
                <w:rFonts w:ascii="Arial" w:hAnsi="Arial" w:eastAsia="Times New Roman" w:cs="Arial"/>
                <w:sz w:val="20"/>
                <w:szCs w:val="24"/>
                <w:highlight w:val="yellow"/>
              </w:rPr>
            </w:pPr>
          </w:p>
        </w:tc>
      </w:tr>
      <w:tr w:rsidRPr="00CB67C8" w:rsidR="00CB67C8" w:rsidTr="00416EB9" w14:paraId="68EB71A6" w14:textId="77777777">
        <w:trPr>
          <w:trHeight w:val="315"/>
        </w:trPr>
        <w:tc>
          <w:tcPr>
            <w:tcW w:w="214" w:type="pct"/>
            <w:tcBorders>
              <w:top w:val="nil"/>
              <w:left w:val="single" w:color="auto" w:sz="8" w:space="0"/>
              <w:bottom w:val="nil"/>
              <w:right w:val="nil"/>
            </w:tcBorders>
            <w:shd w:val="clear" w:color="auto" w:fill="auto"/>
            <w:noWrap/>
            <w:vAlign w:val="bottom"/>
          </w:tcPr>
          <w:p w:rsidRPr="00CB67C8" w:rsidR="00CB67C8" w:rsidP="00CB67C8" w:rsidRDefault="00CB67C8" w14:paraId="3F3CD082" w14:textId="77777777">
            <w:pPr>
              <w:spacing w:after="0" w:line="240" w:lineRule="auto"/>
              <w:rPr>
                <w:rFonts w:ascii="Arial" w:hAnsi="Arial" w:eastAsia="Times New Roman" w:cs="Arial"/>
                <w:sz w:val="20"/>
                <w:szCs w:val="24"/>
              </w:rPr>
            </w:pPr>
          </w:p>
        </w:tc>
        <w:tc>
          <w:tcPr>
            <w:tcW w:w="3520" w:type="pct"/>
            <w:tcBorders>
              <w:top w:val="nil"/>
              <w:left w:val="nil"/>
              <w:bottom w:val="nil"/>
              <w:right w:val="nil"/>
            </w:tcBorders>
            <w:shd w:val="clear" w:color="auto" w:fill="auto"/>
            <w:noWrap/>
            <w:vAlign w:val="bottom"/>
          </w:tcPr>
          <w:p w:rsidRPr="00CB67C8" w:rsidR="00CB67C8" w:rsidP="00CB67C8" w:rsidRDefault="00CB67C8" w14:paraId="1B17E0DF" w14:textId="77777777">
            <w:pPr>
              <w:autoSpaceDE w:val="0"/>
              <w:autoSpaceDN w:val="0"/>
              <w:adjustRightInd w:val="0"/>
              <w:spacing w:after="0" w:line="240" w:lineRule="auto"/>
              <w:ind w:firstLine="960" w:firstLineChars="400"/>
              <w:rPr>
                <w:rFonts w:ascii="Times New Roman" w:hAnsi="Times New Roman" w:eastAsia="Times New Roman" w:cs="Times New Roman"/>
                <w:sz w:val="24"/>
                <w:szCs w:val="24"/>
              </w:rPr>
            </w:pPr>
          </w:p>
        </w:tc>
        <w:tc>
          <w:tcPr>
            <w:tcW w:w="1053" w:type="pct"/>
            <w:tcBorders>
              <w:top w:val="nil"/>
              <w:left w:val="nil"/>
              <w:right w:val="nil"/>
            </w:tcBorders>
            <w:shd w:val="clear" w:color="auto" w:fill="auto"/>
            <w:noWrap/>
            <w:vAlign w:val="bottom"/>
          </w:tcPr>
          <w:p w:rsidRPr="00CB67C8" w:rsidR="00CB67C8" w:rsidP="00CB67C8" w:rsidRDefault="00CB67C8" w14:paraId="7E1A9616" w14:textId="77777777">
            <w:pPr>
              <w:autoSpaceDE w:val="0"/>
              <w:autoSpaceDN w:val="0"/>
              <w:adjustRightInd w:val="0"/>
              <w:spacing w:after="0" w:line="240" w:lineRule="auto"/>
              <w:rPr>
                <w:rFonts w:ascii="Arial" w:hAnsi="Arial" w:eastAsia="Times New Roman" w:cs="Arial"/>
                <w:sz w:val="24"/>
                <w:szCs w:val="24"/>
              </w:rPr>
            </w:pPr>
          </w:p>
        </w:tc>
        <w:tc>
          <w:tcPr>
            <w:tcW w:w="213" w:type="pct"/>
            <w:tcBorders>
              <w:top w:val="nil"/>
              <w:left w:val="nil"/>
              <w:bottom w:val="nil"/>
              <w:right w:val="single" w:color="auto" w:sz="8" w:space="0"/>
            </w:tcBorders>
            <w:shd w:val="clear" w:color="auto" w:fill="auto"/>
            <w:noWrap/>
            <w:vAlign w:val="bottom"/>
          </w:tcPr>
          <w:p w:rsidRPr="00CB67C8" w:rsidR="00CB67C8" w:rsidP="00CB67C8" w:rsidRDefault="00CB67C8" w14:paraId="5CFCCA58" w14:textId="77777777">
            <w:pPr>
              <w:spacing w:after="0" w:line="240" w:lineRule="auto"/>
              <w:rPr>
                <w:rFonts w:ascii="Arial" w:hAnsi="Arial" w:eastAsia="Times New Roman" w:cs="Arial"/>
                <w:sz w:val="20"/>
                <w:szCs w:val="24"/>
                <w:highlight w:val="yellow"/>
              </w:rPr>
            </w:pPr>
          </w:p>
        </w:tc>
      </w:tr>
      <w:tr w:rsidRPr="00CB67C8" w:rsidR="00CB67C8" w:rsidTr="00416EB9" w14:paraId="47552A58" w14:textId="77777777">
        <w:trPr>
          <w:trHeight w:val="162"/>
        </w:trPr>
        <w:tc>
          <w:tcPr>
            <w:tcW w:w="214" w:type="pct"/>
            <w:tcBorders>
              <w:top w:val="nil"/>
              <w:left w:val="single" w:color="auto" w:sz="8" w:space="0"/>
              <w:bottom w:val="nil"/>
              <w:right w:val="nil"/>
            </w:tcBorders>
            <w:shd w:val="clear" w:color="auto" w:fill="auto"/>
            <w:noWrap/>
            <w:vAlign w:val="bottom"/>
          </w:tcPr>
          <w:p w:rsidRPr="00CB67C8" w:rsidR="00CB67C8" w:rsidP="00CB67C8" w:rsidRDefault="00CB67C8" w14:paraId="2B73EBC9" w14:textId="77777777">
            <w:pPr>
              <w:spacing w:after="0" w:line="240" w:lineRule="auto"/>
              <w:rPr>
                <w:rFonts w:ascii="Arial" w:hAnsi="Arial" w:eastAsia="Times New Roman" w:cs="Arial"/>
                <w:sz w:val="20"/>
                <w:szCs w:val="24"/>
              </w:rPr>
            </w:pPr>
          </w:p>
        </w:tc>
        <w:tc>
          <w:tcPr>
            <w:tcW w:w="3520" w:type="pct"/>
            <w:tcBorders>
              <w:top w:val="nil"/>
              <w:left w:val="nil"/>
              <w:bottom w:val="nil"/>
              <w:right w:val="nil"/>
            </w:tcBorders>
            <w:shd w:val="clear" w:color="auto" w:fill="auto"/>
            <w:noWrap/>
            <w:vAlign w:val="bottom"/>
          </w:tcPr>
          <w:p w:rsidRPr="00CB67C8" w:rsidR="00CB67C8" w:rsidP="00CB67C8" w:rsidRDefault="00CB67C8" w14:paraId="192948E0" w14:textId="77777777">
            <w:pPr>
              <w:autoSpaceDE w:val="0"/>
              <w:autoSpaceDN w:val="0"/>
              <w:adjustRightInd w:val="0"/>
              <w:spacing w:after="0" w:line="240" w:lineRule="auto"/>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Hours burden per OPO/HL</w:t>
            </w:r>
          </w:p>
        </w:tc>
        <w:tc>
          <w:tcPr>
            <w:tcW w:w="1053" w:type="pct"/>
            <w:tcBorders>
              <w:top w:val="nil"/>
              <w:left w:val="nil"/>
              <w:right w:val="nil"/>
            </w:tcBorders>
            <w:shd w:val="clear" w:color="auto" w:fill="auto"/>
            <w:noWrap/>
            <w:vAlign w:val="bottom"/>
          </w:tcPr>
          <w:p w:rsidRPr="00CB67C8" w:rsidR="00CB67C8" w:rsidP="00CB67C8" w:rsidRDefault="00CB67C8" w14:paraId="5FDD7E75" w14:textId="77777777">
            <w:pPr>
              <w:autoSpaceDE w:val="0"/>
              <w:autoSpaceDN w:val="0"/>
              <w:adjustRightInd w:val="0"/>
              <w:spacing w:after="0" w:line="240" w:lineRule="auto"/>
              <w:jc w:val="right"/>
              <w:rPr>
                <w:rFonts w:ascii="Times New Roman" w:hAnsi="Times New Roman" w:eastAsia="Times New Roman" w:cs="Times New Roman"/>
                <w:color w:val="000000"/>
                <w:sz w:val="24"/>
                <w:szCs w:val="24"/>
              </w:rPr>
            </w:pPr>
          </w:p>
        </w:tc>
        <w:tc>
          <w:tcPr>
            <w:tcW w:w="213" w:type="pct"/>
            <w:tcBorders>
              <w:top w:val="nil"/>
              <w:left w:val="nil"/>
              <w:bottom w:val="nil"/>
              <w:right w:val="single" w:color="auto" w:sz="8" w:space="0"/>
            </w:tcBorders>
            <w:shd w:val="clear" w:color="auto" w:fill="auto"/>
            <w:noWrap/>
            <w:vAlign w:val="bottom"/>
          </w:tcPr>
          <w:p w:rsidRPr="00CB67C8" w:rsidR="00CB67C8" w:rsidP="00CB67C8" w:rsidRDefault="00CB67C8" w14:paraId="4F493A7A" w14:textId="77777777">
            <w:pPr>
              <w:spacing w:after="0" w:line="240" w:lineRule="auto"/>
              <w:rPr>
                <w:rFonts w:ascii="Arial" w:hAnsi="Arial" w:eastAsia="Times New Roman" w:cs="Arial"/>
                <w:sz w:val="20"/>
                <w:szCs w:val="24"/>
                <w:highlight w:val="yellow"/>
              </w:rPr>
            </w:pPr>
          </w:p>
        </w:tc>
      </w:tr>
      <w:tr w:rsidRPr="00CB67C8" w:rsidR="00CB67C8" w:rsidTr="00416EB9" w14:paraId="4A151E38" w14:textId="77777777">
        <w:trPr>
          <w:trHeight w:val="315"/>
        </w:trPr>
        <w:tc>
          <w:tcPr>
            <w:tcW w:w="214" w:type="pct"/>
            <w:tcBorders>
              <w:top w:val="nil"/>
              <w:left w:val="single" w:color="auto" w:sz="8" w:space="0"/>
              <w:bottom w:val="nil"/>
              <w:right w:val="nil"/>
            </w:tcBorders>
            <w:shd w:val="clear" w:color="auto" w:fill="auto"/>
            <w:noWrap/>
            <w:vAlign w:val="bottom"/>
          </w:tcPr>
          <w:p w:rsidRPr="00CB67C8" w:rsidR="00CB67C8" w:rsidP="00CB67C8" w:rsidRDefault="00CB67C8" w14:paraId="29464B83" w14:textId="77777777">
            <w:pPr>
              <w:spacing w:after="0" w:line="240" w:lineRule="auto"/>
              <w:rPr>
                <w:rFonts w:ascii="Arial" w:hAnsi="Arial" w:eastAsia="Times New Roman" w:cs="Arial"/>
                <w:sz w:val="20"/>
                <w:szCs w:val="24"/>
              </w:rPr>
            </w:pPr>
          </w:p>
        </w:tc>
        <w:tc>
          <w:tcPr>
            <w:tcW w:w="3520" w:type="pct"/>
            <w:tcBorders>
              <w:top w:val="nil"/>
              <w:left w:val="nil"/>
              <w:bottom w:val="nil"/>
              <w:right w:val="nil"/>
            </w:tcBorders>
            <w:shd w:val="clear" w:color="auto" w:fill="auto"/>
            <w:noWrap/>
            <w:vAlign w:val="bottom"/>
          </w:tcPr>
          <w:p w:rsidRPr="00CB67C8" w:rsidR="00CB67C8" w:rsidP="00CB67C8" w:rsidRDefault="00CB67C8" w14:paraId="08CB9664" w14:textId="77777777">
            <w:pPr>
              <w:autoSpaceDE w:val="0"/>
              <w:autoSpaceDN w:val="0"/>
              <w:adjustRightInd w:val="0"/>
              <w:spacing w:after="0" w:line="240" w:lineRule="auto"/>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Reporting</w:t>
            </w:r>
          </w:p>
        </w:tc>
        <w:tc>
          <w:tcPr>
            <w:tcW w:w="1053" w:type="pct"/>
            <w:tcBorders>
              <w:left w:val="nil"/>
              <w:bottom w:val="nil"/>
              <w:right w:val="nil"/>
            </w:tcBorders>
            <w:shd w:val="clear" w:color="auto" w:fill="auto"/>
            <w:noWrap/>
            <w:vAlign w:val="bottom"/>
          </w:tcPr>
          <w:p w:rsidRPr="00CB67C8" w:rsidR="00CB67C8" w:rsidP="00CB67C8" w:rsidRDefault="00CB67C8" w14:paraId="05553DD8" w14:textId="77777777">
            <w:pPr>
              <w:autoSpaceDE w:val="0"/>
              <w:autoSpaceDN w:val="0"/>
              <w:adjustRightInd w:val="0"/>
              <w:spacing w:after="0" w:line="240" w:lineRule="auto"/>
              <w:rPr>
                <w:rFonts w:ascii="Arial" w:hAnsi="Arial" w:eastAsia="Times New Roman" w:cs="Arial"/>
                <w:color w:val="000000"/>
                <w:sz w:val="24"/>
                <w:szCs w:val="24"/>
              </w:rPr>
            </w:pPr>
            <w:r w:rsidRPr="00CB67C8">
              <w:rPr>
                <w:rFonts w:ascii="Times New Roman" w:hAnsi="Times New Roman" w:eastAsia="Times New Roman" w:cs="Times New Roman"/>
                <w:color w:val="000000"/>
                <w:sz w:val="24"/>
                <w:szCs w:val="24"/>
              </w:rPr>
              <w:t xml:space="preserve"> 15                        </w:t>
            </w:r>
          </w:p>
        </w:tc>
        <w:tc>
          <w:tcPr>
            <w:tcW w:w="213" w:type="pct"/>
            <w:tcBorders>
              <w:top w:val="nil"/>
              <w:left w:val="nil"/>
              <w:bottom w:val="nil"/>
              <w:right w:val="single" w:color="auto" w:sz="8" w:space="0"/>
            </w:tcBorders>
            <w:shd w:val="clear" w:color="auto" w:fill="auto"/>
            <w:noWrap/>
            <w:vAlign w:val="bottom"/>
          </w:tcPr>
          <w:p w:rsidRPr="00CB67C8" w:rsidR="00CB67C8" w:rsidP="00CB67C8" w:rsidRDefault="00CB67C8" w14:paraId="32322DD5" w14:textId="77777777">
            <w:pPr>
              <w:spacing w:after="0" w:line="240" w:lineRule="auto"/>
              <w:rPr>
                <w:rFonts w:ascii="Arial" w:hAnsi="Arial" w:eastAsia="Times New Roman" w:cs="Arial"/>
                <w:sz w:val="20"/>
                <w:szCs w:val="24"/>
                <w:highlight w:val="yellow"/>
              </w:rPr>
            </w:pPr>
          </w:p>
        </w:tc>
      </w:tr>
      <w:tr w:rsidRPr="00CB67C8" w:rsidR="00CB67C8" w:rsidTr="00416EB9" w14:paraId="372A0ED9" w14:textId="77777777">
        <w:trPr>
          <w:trHeight w:val="315"/>
        </w:trPr>
        <w:tc>
          <w:tcPr>
            <w:tcW w:w="214" w:type="pct"/>
            <w:tcBorders>
              <w:top w:val="nil"/>
              <w:left w:val="single" w:color="auto" w:sz="8" w:space="0"/>
              <w:bottom w:val="nil"/>
              <w:right w:val="nil"/>
            </w:tcBorders>
            <w:shd w:val="clear" w:color="auto" w:fill="auto"/>
            <w:noWrap/>
            <w:vAlign w:val="bottom"/>
          </w:tcPr>
          <w:p w:rsidRPr="00CB67C8" w:rsidR="00CB67C8" w:rsidP="00CB67C8" w:rsidRDefault="00CB67C8" w14:paraId="27351C04" w14:textId="77777777">
            <w:pPr>
              <w:spacing w:after="0" w:line="240" w:lineRule="auto"/>
              <w:rPr>
                <w:rFonts w:ascii="Arial" w:hAnsi="Arial" w:eastAsia="Times New Roman" w:cs="Arial"/>
                <w:sz w:val="20"/>
                <w:szCs w:val="24"/>
              </w:rPr>
            </w:pPr>
          </w:p>
        </w:tc>
        <w:tc>
          <w:tcPr>
            <w:tcW w:w="3520" w:type="pct"/>
            <w:tcBorders>
              <w:top w:val="nil"/>
              <w:left w:val="nil"/>
              <w:bottom w:val="nil"/>
              <w:right w:val="nil"/>
            </w:tcBorders>
            <w:shd w:val="clear" w:color="auto" w:fill="auto"/>
            <w:noWrap/>
            <w:vAlign w:val="bottom"/>
          </w:tcPr>
          <w:p w:rsidRPr="00CB67C8" w:rsidR="00CB67C8" w:rsidP="00CB67C8" w:rsidRDefault="00CB67C8" w14:paraId="3B809ED8" w14:textId="77777777">
            <w:pPr>
              <w:autoSpaceDE w:val="0"/>
              <w:autoSpaceDN w:val="0"/>
              <w:adjustRightInd w:val="0"/>
              <w:spacing w:after="0" w:line="240" w:lineRule="auto"/>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Recordkeeping</w:t>
            </w:r>
          </w:p>
        </w:tc>
        <w:tc>
          <w:tcPr>
            <w:tcW w:w="1053" w:type="pct"/>
            <w:tcBorders>
              <w:left w:val="nil"/>
              <w:bottom w:val="nil"/>
              <w:right w:val="nil"/>
            </w:tcBorders>
            <w:shd w:val="clear" w:color="auto" w:fill="auto"/>
            <w:noWrap/>
            <w:vAlign w:val="bottom"/>
          </w:tcPr>
          <w:p w:rsidRPr="00CB67C8" w:rsidR="00CB67C8" w:rsidP="00CB67C8" w:rsidRDefault="00CB67C8" w14:paraId="505A92B1" w14:textId="77777777">
            <w:pPr>
              <w:autoSpaceDE w:val="0"/>
              <w:autoSpaceDN w:val="0"/>
              <w:adjustRightInd w:val="0"/>
              <w:spacing w:after="0" w:line="240" w:lineRule="auto"/>
              <w:rPr>
                <w:rFonts w:ascii="Arial" w:hAnsi="Arial" w:eastAsia="Times New Roman" w:cs="Arial"/>
                <w:color w:val="000000"/>
                <w:sz w:val="24"/>
                <w:szCs w:val="24"/>
              </w:rPr>
            </w:pPr>
            <w:r w:rsidRPr="00CB67C8">
              <w:rPr>
                <w:rFonts w:ascii="Times New Roman" w:hAnsi="Times New Roman" w:eastAsia="Times New Roman" w:cs="Times New Roman"/>
                <w:color w:val="000000"/>
                <w:sz w:val="24"/>
                <w:szCs w:val="24"/>
              </w:rPr>
              <w:t xml:space="preserve"> 30                       </w:t>
            </w:r>
          </w:p>
        </w:tc>
        <w:tc>
          <w:tcPr>
            <w:tcW w:w="213" w:type="pct"/>
            <w:tcBorders>
              <w:top w:val="nil"/>
              <w:left w:val="nil"/>
              <w:bottom w:val="nil"/>
              <w:right w:val="single" w:color="auto" w:sz="8" w:space="0"/>
            </w:tcBorders>
            <w:shd w:val="clear" w:color="auto" w:fill="auto"/>
            <w:noWrap/>
            <w:vAlign w:val="bottom"/>
          </w:tcPr>
          <w:p w:rsidRPr="00CB67C8" w:rsidR="00CB67C8" w:rsidP="00CB67C8" w:rsidRDefault="00CB67C8" w14:paraId="3DBA826B" w14:textId="77777777">
            <w:pPr>
              <w:spacing w:after="0" w:line="240" w:lineRule="auto"/>
              <w:rPr>
                <w:rFonts w:ascii="Arial" w:hAnsi="Arial" w:eastAsia="Times New Roman" w:cs="Arial"/>
                <w:sz w:val="20"/>
                <w:szCs w:val="24"/>
                <w:highlight w:val="yellow"/>
              </w:rPr>
            </w:pPr>
          </w:p>
        </w:tc>
      </w:tr>
      <w:tr w:rsidRPr="00CB67C8" w:rsidR="00CB67C8" w:rsidTr="00416EB9" w14:paraId="443BD7CE" w14:textId="77777777">
        <w:trPr>
          <w:trHeight w:val="162"/>
        </w:trPr>
        <w:tc>
          <w:tcPr>
            <w:tcW w:w="214" w:type="pct"/>
            <w:tcBorders>
              <w:top w:val="nil"/>
              <w:left w:val="single" w:color="auto" w:sz="8" w:space="0"/>
              <w:bottom w:val="nil"/>
              <w:right w:val="nil"/>
            </w:tcBorders>
            <w:shd w:val="clear" w:color="auto" w:fill="auto"/>
            <w:noWrap/>
            <w:vAlign w:val="bottom"/>
          </w:tcPr>
          <w:p w:rsidRPr="00CB67C8" w:rsidR="00CB67C8" w:rsidP="00CB67C8" w:rsidRDefault="00CB67C8" w14:paraId="63887BB6" w14:textId="77777777">
            <w:pPr>
              <w:spacing w:after="0" w:line="240" w:lineRule="auto"/>
              <w:rPr>
                <w:rFonts w:ascii="Arial" w:hAnsi="Arial" w:eastAsia="Times New Roman" w:cs="Arial"/>
                <w:sz w:val="20"/>
                <w:szCs w:val="24"/>
              </w:rPr>
            </w:pPr>
          </w:p>
        </w:tc>
        <w:tc>
          <w:tcPr>
            <w:tcW w:w="3520" w:type="pct"/>
            <w:tcBorders>
              <w:top w:val="nil"/>
              <w:left w:val="nil"/>
              <w:bottom w:val="nil"/>
              <w:right w:val="nil"/>
            </w:tcBorders>
            <w:shd w:val="clear" w:color="auto" w:fill="auto"/>
            <w:noWrap/>
            <w:vAlign w:val="bottom"/>
          </w:tcPr>
          <w:p w:rsidRPr="00CB67C8" w:rsidR="00CB67C8" w:rsidP="00CB67C8" w:rsidRDefault="00CB67C8" w14:paraId="05FEF001" w14:textId="77777777">
            <w:pPr>
              <w:autoSpaceDE w:val="0"/>
              <w:autoSpaceDN w:val="0"/>
              <w:adjustRightInd w:val="0"/>
              <w:spacing w:after="0" w:line="240" w:lineRule="auto"/>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Total hours burden per facility</w:t>
            </w:r>
          </w:p>
        </w:tc>
        <w:tc>
          <w:tcPr>
            <w:tcW w:w="1053" w:type="pct"/>
            <w:tcBorders>
              <w:top w:val="nil"/>
              <w:left w:val="nil"/>
              <w:bottom w:val="nil"/>
              <w:right w:val="nil"/>
            </w:tcBorders>
            <w:shd w:val="clear" w:color="auto" w:fill="auto"/>
            <w:noWrap/>
            <w:vAlign w:val="bottom"/>
          </w:tcPr>
          <w:p w:rsidRPr="00CB67C8" w:rsidR="00CB67C8" w:rsidP="00CB67C8" w:rsidRDefault="00CB67C8" w14:paraId="204A05A5" w14:textId="77777777">
            <w:pPr>
              <w:autoSpaceDE w:val="0"/>
              <w:autoSpaceDN w:val="0"/>
              <w:adjustRightInd w:val="0"/>
              <w:spacing w:after="0" w:line="240" w:lineRule="auto"/>
              <w:jc w:val="right"/>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45</w:t>
            </w:r>
          </w:p>
        </w:tc>
        <w:tc>
          <w:tcPr>
            <w:tcW w:w="213" w:type="pct"/>
            <w:tcBorders>
              <w:top w:val="nil"/>
              <w:left w:val="nil"/>
              <w:bottom w:val="nil"/>
              <w:right w:val="single" w:color="auto" w:sz="8" w:space="0"/>
            </w:tcBorders>
            <w:shd w:val="clear" w:color="auto" w:fill="auto"/>
            <w:noWrap/>
            <w:vAlign w:val="bottom"/>
          </w:tcPr>
          <w:p w:rsidRPr="00CB67C8" w:rsidR="00CB67C8" w:rsidP="00CB67C8" w:rsidRDefault="00CB67C8" w14:paraId="52C75605" w14:textId="77777777">
            <w:pPr>
              <w:spacing w:after="0" w:line="240" w:lineRule="auto"/>
              <w:rPr>
                <w:rFonts w:ascii="Arial" w:hAnsi="Arial" w:eastAsia="Times New Roman" w:cs="Arial"/>
                <w:color w:val="FF0000"/>
                <w:sz w:val="20"/>
                <w:szCs w:val="24"/>
                <w:highlight w:val="yellow"/>
              </w:rPr>
            </w:pPr>
          </w:p>
        </w:tc>
      </w:tr>
      <w:tr w:rsidRPr="00CB67C8" w:rsidR="00CB67C8" w:rsidTr="00416EB9" w14:paraId="481E8159" w14:textId="77777777">
        <w:trPr>
          <w:trHeight w:val="162"/>
        </w:trPr>
        <w:tc>
          <w:tcPr>
            <w:tcW w:w="214" w:type="pct"/>
            <w:tcBorders>
              <w:top w:val="nil"/>
              <w:left w:val="single" w:color="auto" w:sz="8" w:space="0"/>
              <w:bottom w:val="nil"/>
              <w:right w:val="nil"/>
            </w:tcBorders>
            <w:shd w:val="clear" w:color="auto" w:fill="auto"/>
            <w:noWrap/>
            <w:vAlign w:val="bottom"/>
          </w:tcPr>
          <w:p w:rsidRPr="00CB67C8" w:rsidR="00CB67C8" w:rsidP="00CB67C8" w:rsidRDefault="00CB67C8" w14:paraId="46D2D972" w14:textId="77777777">
            <w:pPr>
              <w:spacing w:after="0" w:line="240" w:lineRule="auto"/>
              <w:rPr>
                <w:rFonts w:ascii="Arial" w:hAnsi="Arial" w:eastAsia="Times New Roman" w:cs="Arial"/>
                <w:sz w:val="20"/>
                <w:szCs w:val="24"/>
              </w:rPr>
            </w:pPr>
          </w:p>
        </w:tc>
        <w:tc>
          <w:tcPr>
            <w:tcW w:w="3520" w:type="pct"/>
            <w:tcBorders>
              <w:top w:val="nil"/>
              <w:left w:val="nil"/>
              <w:bottom w:val="nil"/>
              <w:right w:val="nil"/>
            </w:tcBorders>
            <w:shd w:val="clear" w:color="auto" w:fill="auto"/>
            <w:noWrap/>
            <w:vAlign w:val="bottom"/>
          </w:tcPr>
          <w:p w:rsidRPr="00CB67C8" w:rsidR="00CB67C8" w:rsidP="00CB67C8" w:rsidRDefault="00CB67C8" w14:paraId="21ECBB90" w14:textId="77777777">
            <w:pPr>
              <w:autoSpaceDE w:val="0"/>
              <w:autoSpaceDN w:val="0"/>
              <w:adjustRightInd w:val="0"/>
              <w:spacing w:after="0" w:line="240" w:lineRule="auto"/>
              <w:rPr>
                <w:rFonts w:ascii="Times New Roman" w:hAnsi="Times New Roman" w:eastAsia="Times New Roman" w:cs="Times New Roman"/>
                <w:sz w:val="24"/>
                <w:szCs w:val="24"/>
              </w:rPr>
            </w:pPr>
          </w:p>
        </w:tc>
        <w:tc>
          <w:tcPr>
            <w:tcW w:w="1053" w:type="pct"/>
            <w:tcBorders>
              <w:top w:val="nil"/>
              <w:left w:val="nil"/>
              <w:bottom w:val="nil"/>
              <w:right w:val="nil"/>
            </w:tcBorders>
            <w:shd w:val="clear" w:color="auto" w:fill="auto"/>
            <w:noWrap/>
            <w:vAlign w:val="bottom"/>
          </w:tcPr>
          <w:p w:rsidRPr="00CB67C8" w:rsidR="00CB67C8" w:rsidP="00CB67C8" w:rsidRDefault="00CB67C8" w14:paraId="11E4524A" w14:textId="77777777">
            <w:pPr>
              <w:autoSpaceDE w:val="0"/>
              <w:autoSpaceDN w:val="0"/>
              <w:adjustRightInd w:val="0"/>
              <w:spacing w:after="0" w:line="240" w:lineRule="auto"/>
              <w:jc w:val="right"/>
              <w:rPr>
                <w:rFonts w:ascii="Times New Roman" w:hAnsi="Times New Roman" w:eastAsia="Times New Roman" w:cs="Times New Roman"/>
                <w:sz w:val="24"/>
                <w:szCs w:val="24"/>
              </w:rPr>
            </w:pPr>
          </w:p>
        </w:tc>
        <w:tc>
          <w:tcPr>
            <w:tcW w:w="213" w:type="pct"/>
            <w:tcBorders>
              <w:top w:val="nil"/>
              <w:left w:val="nil"/>
              <w:bottom w:val="nil"/>
              <w:right w:val="single" w:color="auto" w:sz="8" w:space="0"/>
            </w:tcBorders>
            <w:shd w:val="clear" w:color="auto" w:fill="auto"/>
            <w:noWrap/>
            <w:vAlign w:val="bottom"/>
          </w:tcPr>
          <w:p w:rsidRPr="00CB67C8" w:rsidR="00CB67C8" w:rsidP="00CB67C8" w:rsidRDefault="00CB67C8" w14:paraId="7F35A597" w14:textId="77777777">
            <w:pPr>
              <w:spacing w:after="0" w:line="240" w:lineRule="auto"/>
              <w:rPr>
                <w:rFonts w:ascii="Arial" w:hAnsi="Arial" w:eastAsia="Times New Roman" w:cs="Arial"/>
                <w:color w:val="FF0000"/>
                <w:sz w:val="20"/>
                <w:szCs w:val="24"/>
                <w:highlight w:val="yellow"/>
              </w:rPr>
            </w:pPr>
          </w:p>
        </w:tc>
      </w:tr>
      <w:tr w:rsidRPr="00CB67C8" w:rsidR="00CB67C8" w:rsidTr="00416EB9" w14:paraId="1909E8C2" w14:textId="77777777">
        <w:trPr>
          <w:trHeight w:val="162"/>
        </w:trPr>
        <w:tc>
          <w:tcPr>
            <w:tcW w:w="214" w:type="pct"/>
            <w:tcBorders>
              <w:top w:val="nil"/>
              <w:left w:val="single" w:color="auto" w:sz="8" w:space="0"/>
              <w:bottom w:val="nil"/>
              <w:right w:val="nil"/>
            </w:tcBorders>
            <w:shd w:val="clear" w:color="auto" w:fill="auto"/>
            <w:noWrap/>
            <w:vAlign w:val="bottom"/>
          </w:tcPr>
          <w:p w:rsidRPr="00CB67C8" w:rsidR="00CB67C8" w:rsidP="00CB67C8" w:rsidRDefault="00CB67C8" w14:paraId="555517F6" w14:textId="77777777">
            <w:pPr>
              <w:spacing w:after="0" w:line="240" w:lineRule="auto"/>
              <w:rPr>
                <w:rFonts w:ascii="Arial" w:hAnsi="Arial" w:eastAsia="Times New Roman" w:cs="Arial"/>
                <w:sz w:val="20"/>
                <w:szCs w:val="24"/>
              </w:rPr>
            </w:pPr>
          </w:p>
        </w:tc>
        <w:tc>
          <w:tcPr>
            <w:tcW w:w="3520" w:type="pct"/>
            <w:tcBorders>
              <w:top w:val="nil"/>
              <w:left w:val="nil"/>
              <w:bottom w:val="nil"/>
              <w:right w:val="nil"/>
            </w:tcBorders>
            <w:shd w:val="clear" w:color="auto" w:fill="auto"/>
            <w:noWrap/>
            <w:vAlign w:val="bottom"/>
          </w:tcPr>
          <w:p w:rsidRPr="00CB67C8" w:rsidR="00CB67C8" w:rsidP="009009B1" w:rsidRDefault="00CB67C8" w14:paraId="3C851009" w14:textId="60994960">
            <w:pPr>
              <w:autoSpaceDE w:val="0"/>
              <w:autoSpaceDN w:val="0"/>
              <w:adjustRightInd w:val="0"/>
              <w:spacing w:after="0" w:line="240" w:lineRule="auto"/>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Total hours burden (9</w:t>
            </w:r>
            <w:r w:rsidR="009009B1">
              <w:rPr>
                <w:rFonts w:ascii="Times New Roman" w:hAnsi="Times New Roman" w:eastAsia="Times New Roman" w:cs="Times New Roman"/>
                <w:sz w:val="24"/>
                <w:szCs w:val="24"/>
              </w:rPr>
              <w:t>5</w:t>
            </w:r>
            <w:r w:rsidRPr="00CB67C8">
              <w:rPr>
                <w:rFonts w:ascii="Times New Roman" w:hAnsi="Times New Roman" w:eastAsia="Times New Roman" w:cs="Times New Roman"/>
                <w:sz w:val="24"/>
                <w:szCs w:val="24"/>
              </w:rPr>
              <w:t xml:space="preserve"> facilities x 45 hours)</w:t>
            </w:r>
          </w:p>
        </w:tc>
        <w:tc>
          <w:tcPr>
            <w:tcW w:w="1053" w:type="pct"/>
            <w:tcBorders>
              <w:top w:val="nil"/>
              <w:left w:val="nil"/>
              <w:bottom w:val="nil"/>
              <w:right w:val="nil"/>
            </w:tcBorders>
            <w:shd w:val="clear" w:color="auto" w:fill="auto"/>
            <w:noWrap/>
            <w:vAlign w:val="bottom"/>
          </w:tcPr>
          <w:p w:rsidRPr="00CB67C8" w:rsidR="00CB67C8" w:rsidP="009009B1" w:rsidRDefault="00CB67C8" w14:paraId="57C4F0AD" w14:textId="09AF3381">
            <w:pPr>
              <w:autoSpaceDE w:val="0"/>
              <w:autoSpaceDN w:val="0"/>
              <w:adjustRightInd w:val="0"/>
              <w:spacing w:after="0" w:line="240" w:lineRule="auto"/>
              <w:jc w:val="right"/>
              <w:rPr>
                <w:rFonts w:ascii="Times New Roman" w:hAnsi="Times New Roman" w:eastAsia="Times New Roman" w:cs="Times New Roman"/>
                <w:i/>
                <w:color w:val="000000"/>
                <w:sz w:val="24"/>
                <w:szCs w:val="24"/>
              </w:rPr>
            </w:pPr>
            <w:r w:rsidRPr="00CB67C8">
              <w:rPr>
                <w:rFonts w:ascii="Times New Roman" w:hAnsi="Times New Roman" w:eastAsia="Times New Roman" w:cs="Times New Roman"/>
                <w:sz w:val="24"/>
                <w:szCs w:val="24"/>
              </w:rPr>
              <w:t>4,</w:t>
            </w:r>
            <w:r w:rsidR="009009B1">
              <w:rPr>
                <w:rFonts w:ascii="Times New Roman" w:hAnsi="Times New Roman" w:eastAsia="Times New Roman" w:cs="Times New Roman"/>
                <w:sz w:val="24"/>
                <w:szCs w:val="24"/>
              </w:rPr>
              <w:t>275</w:t>
            </w:r>
            <w:r w:rsidRPr="00CB67C8">
              <w:rPr>
                <w:rFonts w:ascii="Times New Roman" w:hAnsi="Times New Roman" w:eastAsia="Times New Roman" w:cs="Times New Roman"/>
                <w:sz w:val="24"/>
                <w:szCs w:val="24"/>
              </w:rPr>
              <w:t xml:space="preserve">    </w:t>
            </w:r>
          </w:p>
        </w:tc>
        <w:tc>
          <w:tcPr>
            <w:tcW w:w="213" w:type="pct"/>
            <w:tcBorders>
              <w:top w:val="nil"/>
              <w:left w:val="nil"/>
              <w:bottom w:val="nil"/>
              <w:right w:val="single" w:color="auto" w:sz="8" w:space="0"/>
            </w:tcBorders>
            <w:shd w:val="clear" w:color="auto" w:fill="auto"/>
            <w:noWrap/>
            <w:vAlign w:val="bottom"/>
          </w:tcPr>
          <w:p w:rsidRPr="00CB67C8" w:rsidR="00CB67C8" w:rsidP="00CB67C8" w:rsidRDefault="00CB67C8" w14:paraId="3951FAA9" w14:textId="77777777">
            <w:pPr>
              <w:spacing w:after="0" w:line="240" w:lineRule="auto"/>
              <w:rPr>
                <w:rFonts w:ascii="Arial" w:hAnsi="Arial" w:eastAsia="Times New Roman" w:cs="Arial"/>
                <w:color w:val="FF0000"/>
                <w:sz w:val="20"/>
                <w:szCs w:val="24"/>
                <w:highlight w:val="yellow"/>
              </w:rPr>
            </w:pPr>
          </w:p>
        </w:tc>
      </w:tr>
      <w:tr w:rsidRPr="00CB67C8" w:rsidR="00CB67C8" w:rsidTr="00416EB9" w14:paraId="41FEE7B2" w14:textId="77777777">
        <w:trPr>
          <w:trHeight w:val="315"/>
        </w:trPr>
        <w:tc>
          <w:tcPr>
            <w:tcW w:w="214" w:type="pct"/>
            <w:tcBorders>
              <w:top w:val="nil"/>
              <w:left w:val="single" w:color="auto" w:sz="8" w:space="0"/>
              <w:bottom w:val="nil"/>
              <w:right w:val="nil"/>
            </w:tcBorders>
            <w:shd w:val="clear" w:color="auto" w:fill="auto"/>
            <w:noWrap/>
            <w:vAlign w:val="bottom"/>
          </w:tcPr>
          <w:p w:rsidRPr="00CB67C8" w:rsidR="00CB67C8" w:rsidP="00CB67C8" w:rsidRDefault="00CB67C8" w14:paraId="2C331945" w14:textId="77777777">
            <w:pPr>
              <w:spacing w:after="0" w:line="240" w:lineRule="auto"/>
              <w:rPr>
                <w:rFonts w:ascii="Arial" w:hAnsi="Arial" w:eastAsia="Times New Roman" w:cs="Arial"/>
                <w:sz w:val="20"/>
                <w:szCs w:val="24"/>
              </w:rPr>
            </w:pPr>
          </w:p>
        </w:tc>
        <w:tc>
          <w:tcPr>
            <w:tcW w:w="3520" w:type="pct"/>
            <w:tcBorders>
              <w:top w:val="nil"/>
              <w:left w:val="nil"/>
              <w:bottom w:val="nil"/>
              <w:right w:val="nil"/>
            </w:tcBorders>
            <w:shd w:val="clear" w:color="auto" w:fill="auto"/>
            <w:noWrap/>
            <w:vAlign w:val="bottom"/>
          </w:tcPr>
          <w:p w:rsidRPr="00CB67C8" w:rsidR="00CB67C8" w:rsidP="00CB67C8" w:rsidRDefault="00CB67C8" w14:paraId="3F5D27C9" w14:textId="77777777">
            <w:pPr>
              <w:autoSpaceDE w:val="0"/>
              <w:autoSpaceDN w:val="0"/>
              <w:adjustRightInd w:val="0"/>
              <w:spacing w:after="0" w:line="240" w:lineRule="auto"/>
              <w:ind w:firstLine="1920" w:firstLineChars="800"/>
              <w:rPr>
                <w:rFonts w:ascii="Times New Roman" w:hAnsi="Times New Roman" w:eastAsia="Times New Roman" w:cs="Times New Roman"/>
                <w:sz w:val="24"/>
                <w:szCs w:val="24"/>
              </w:rPr>
            </w:pPr>
          </w:p>
        </w:tc>
        <w:tc>
          <w:tcPr>
            <w:tcW w:w="1053" w:type="pct"/>
            <w:tcBorders>
              <w:top w:val="nil"/>
              <w:left w:val="nil"/>
              <w:bottom w:val="nil"/>
              <w:right w:val="nil"/>
            </w:tcBorders>
            <w:shd w:val="clear" w:color="auto" w:fill="auto"/>
            <w:noWrap/>
            <w:vAlign w:val="bottom"/>
          </w:tcPr>
          <w:p w:rsidRPr="00CB67C8" w:rsidR="00CB67C8" w:rsidP="00CB67C8" w:rsidRDefault="00CB67C8" w14:paraId="73CC1AF0" w14:textId="77777777">
            <w:pPr>
              <w:autoSpaceDE w:val="0"/>
              <w:autoSpaceDN w:val="0"/>
              <w:adjustRightInd w:val="0"/>
              <w:spacing w:after="0" w:line="240" w:lineRule="auto"/>
              <w:rPr>
                <w:rFonts w:ascii="Arial" w:hAnsi="Arial" w:eastAsia="Times New Roman" w:cs="Arial"/>
                <w:color w:val="000000"/>
                <w:sz w:val="24"/>
                <w:szCs w:val="24"/>
              </w:rPr>
            </w:pPr>
          </w:p>
        </w:tc>
        <w:tc>
          <w:tcPr>
            <w:tcW w:w="213" w:type="pct"/>
            <w:tcBorders>
              <w:top w:val="nil"/>
              <w:left w:val="nil"/>
              <w:bottom w:val="nil"/>
              <w:right w:val="single" w:color="auto" w:sz="8" w:space="0"/>
            </w:tcBorders>
            <w:shd w:val="clear" w:color="auto" w:fill="auto"/>
            <w:noWrap/>
            <w:vAlign w:val="bottom"/>
          </w:tcPr>
          <w:p w:rsidRPr="00CB67C8" w:rsidR="00CB67C8" w:rsidP="00CB67C8" w:rsidRDefault="00CB67C8" w14:paraId="78326FFB" w14:textId="77777777">
            <w:pPr>
              <w:spacing w:after="0" w:line="240" w:lineRule="auto"/>
              <w:rPr>
                <w:rFonts w:ascii="Arial" w:hAnsi="Arial" w:eastAsia="Times New Roman" w:cs="Arial"/>
                <w:sz w:val="20"/>
                <w:szCs w:val="24"/>
              </w:rPr>
            </w:pPr>
          </w:p>
        </w:tc>
      </w:tr>
      <w:tr w:rsidRPr="00CB67C8" w:rsidR="00CB67C8" w:rsidTr="00416EB9" w14:paraId="4A0A8EA9" w14:textId="77777777">
        <w:trPr>
          <w:trHeight w:val="162"/>
        </w:trPr>
        <w:tc>
          <w:tcPr>
            <w:tcW w:w="214" w:type="pct"/>
            <w:tcBorders>
              <w:top w:val="nil"/>
              <w:left w:val="single" w:color="auto" w:sz="8" w:space="0"/>
              <w:bottom w:val="nil"/>
              <w:right w:val="nil"/>
            </w:tcBorders>
            <w:shd w:val="clear" w:color="auto" w:fill="auto"/>
            <w:noWrap/>
            <w:vAlign w:val="bottom"/>
          </w:tcPr>
          <w:p w:rsidRPr="00CB67C8" w:rsidR="00CB67C8" w:rsidP="00CB67C8" w:rsidRDefault="00CB67C8" w14:paraId="6B0B66B6" w14:textId="77777777">
            <w:pPr>
              <w:spacing w:after="0" w:line="240" w:lineRule="auto"/>
              <w:rPr>
                <w:rFonts w:ascii="Arial" w:hAnsi="Arial" w:eastAsia="Times New Roman" w:cs="Arial"/>
                <w:sz w:val="20"/>
                <w:szCs w:val="24"/>
              </w:rPr>
            </w:pPr>
          </w:p>
        </w:tc>
        <w:tc>
          <w:tcPr>
            <w:tcW w:w="3520" w:type="pct"/>
            <w:tcBorders>
              <w:top w:val="nil"/>
              <w:left w:val="nil"/>
              <w:bottom w:val="nil"/>
              <w:right w:val="nil"/>
            </w:tcBorders>
            <w:shd w:val="clear" w:color="auto" w:fill="auto"/>
            <w:noWrap/>
            <w:vAlign w:val="bottom"/>
          </w:tcPr>
          <w:p w:rsidRPr="00CB67C8" w:rsidR="00CB67C8" w:rsidP="00BA7639" w:rsidRDefault="00BA7639" w14:paraId="2F704629" w14:textId="778316C1">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Average c</w:t>
            </w:r>
            <w:r w:rsidRPr="00CB67C8" w:rsidR="00CB67C8">
              <w:rPr>
                <w:rFonts w:ascii="Times New Roman" w:hAnsi="Times New Roman" w:eastAsia="Times New Roman" w:cs="Times New Roman"/>
                <w:sz w:val="24"/>
                <w:szCs w:val="24"/>
              </w:rPr>
              <w:t xml:space="preserve">ost per OPO/HL                                                             </w:t>
            </w:r>
          </w:p>
        </w:tc>
        <w:tc>
          <w:tcPr>
            <w:tcW w:w="1053" w:type="pct"/>
            <w:tcBorders>
              <w:top w:val="nil"/>
              <w:left w:val="nil"/>
              <w:bottom w:val="nil"/>
              <w:right w:val="nil"/>
            </w:tcBorders>
            <w:shd w:val="clear" w:color="auto" w:fill="auto"/>
            <w:noWrap/>
            <w:vAlign w:val="bottom"/>
          </w:tcPr>
          <w:p w:rsidRPr="00CB67C8" w:rsidR="00CB67C8" w:rsidP="00CB67C8" w:rsidRDefault="00CB67C8" w14:paraId="0140580F" w14:textId="77777777">
            <w:pPr>
              <w:autoSpaceDE w:val="0"/>
              <w:autoSpaceDN w:val="0"/>
              <w:adjustRightInd w:val="0"/>
              <w:spacing w:after="0" w:line="240" w:lineRule="auto"/>
              <w:jc w:val="right"/>
              <w:rPr>
                <w:rFonts w:ascii="Times New Roman" w:hAnsi="Times New Roman" w:eastAsia="Times New Roman" w:cs="Times New Roman"/>
                <w:color w:val="000000"/>
                <w:sz w:val="24"/>
                <w:szCs w:val="24"/>
              </w:rPr>
            </w:pPr>
            <w:r w:rsidRPr="00CB67C8">
              <w:rPr>
                <w:rFonts w:ascii="Times New Roman" w:hAnsi="Times New Roman" w:eastAsia="Times New Roman" w:cs="Times New Roman"/>
                <w:color w:val="000000"/>
                <w:sz w:val="24"/>
                <w:szCs w:val="24"/>
              </w:rPr>
              <w:t xml:space="preserve"> $2,385.90</w:t>
            </w:r>
          </w:p>
        </w:tc>
        <w:tc>
          <w:tcPr>
            <w:tcW w:w="213" w:type="pct"/>
            <w:tcBorders>
              <w:top w:val="nil"/>
              <w:left w:val="nil"/>
              <w:bottom w:val="nil"/>
              <w:right w:val="single" w:color="auto" w:sz="8" w:space="0"/>
            </w:tcBorders>
            <w:shd w:val="clear" w:color="auto" w:fill="auto"/>
            <w:noWrap/>
            <w:vAlign w:val="bottom"/>
          </w:tcPr>
          <w:p w:rsidRPr="00CB67C8" w:rsidR="00CB67C8" w:rsidP="00CB67C8" w:rsidRDefault="00CB67C8" w14:paraId="1C7EDDAA" w14:textId="77777777">
            <w:pPr>
              <w:spacing w:after="0" w:line="240" w:lineRule="auto"/>
              <w:rPr>
                <w:rFonts w:ascii="Arial" w:hAnsi="Arial" w:eastAsia="Times New Roman" w:cs="Arial"/>
                <w:sz w:val="20"/>
                <w:szCs w:val="24"/>
              </w:rPr>
            </w:pPr>
          </w:p>
        </w:tc>
      </w:tr>
      <w:tr w:rsidRPr="00CB67C8" w:rsidR="00CB67C8" w:rsidTr="00416EB9" w14:paraId="4682B8E9" w14:textId="77777777">
        <w:trPr>
          <w:trHeight w:val="330"/>
        </w:trPr>
        <w:tc>
          <w:tcPr>
            <w:tcW w:w="214" w:type="pct"/>
            <w:tcBorders>
              <w:top w:val="nil"/>
              <w:left w:val="single" w:color="auto" w:sz="8" w:space="0"/>
              <w:bottom w:val="nil"/>
              <w:right w:val="nil"/>
            </w:tcBorders>
            <w:shd w:val="clear" w:color="auto" w:fill="auto"/>
            <w:noWrap/>
            <w:vAlign w:val="bottom"/>
          </w:tcPr>
          <w:p w:rsidRPr="00CB67C8" w:rsidR="00CB67C8" w:rsidP="00CB67C8" w:rsidRDefault="00CB67C8" w14:paraId="120FCED0" w14:textId="77777777">
            <w:pPr>
              <w:spacing w:after="0" w:line="240" w:lineRule="auto"/>
              <w:rPr>
                <w:rFonts w:ascii="Arial" w:hAnsi="Arial" w:eastAsia="Times New Roman" w:cs="Arial"/>
                <w:sz w:val="20"/>
                <w:szCs w:val="24"/>
              </w:rPr>
            </w:pPr>
          </w:p>
        </w:tc>
        <w:tc>
          <w:tcPr>
            <w:tcW w:w="3520" w:type="pct"/>
            <w:tcBorders>
              <w:top w:val="nil"/>
              <w:left w:val="nil"/>
              <w:bottom w:val="nil"/>
              <w:right w:val="nil"/>
            </w:tcBorders>
            <w:shd w:val="clear" w:color="auto" w:fill="auto"/>
            <w:noWrap/>
            <w:vAlign w:val="bottom"/>
          </w:tcPr>
          <w:p w:rsidRPr="00CB67C8" w:rsidR="00CB67C8" w:rsidP="00CB67C8" w:rsidRDefault="00CB67C8" w14:paraId="037DC274" w14:textId="77777777">
            <w:pPr>
              <w:autoSpaceDE w:val="0"/>
              <w:autoSpaceDN w:val="0"/>
              <w:adjustRightInd w:val="0"/>
              <w:spacing w:after="0" w:line="240" w:lineRule="auto"/>
              <w:rPr>
                <w:rFonts w:ascii="Times New Roman" w:hAnsi="Times New Roman" w:eastAsia="Times New Roman" w:cs="Times New Roman"/>
                <w:sz w:val="24"/>
                <w:szCs w:val="24"/>
              </w:rPr>
            </w:pPr>
          </w:p>
          <w:p w:rsidRPr="00CB67C8" w:rsidR="00CB67C8" w:rsidP="009009B1" w:rsidRDefault="00CB67C8" w14:paraId="0A999B29" w14:textId="06EBB483">
            <w:pPr>
              <w:autoSpaceDE w:val="0"/>
              <w:autoSpaceDN w:val="0"/>
              <w:adjustRightInd w:val="0"/>
              <w:spacing w:after="0" w:line="240" w:lineRule="auto"/>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Total annual cost estimate ($</w:t>
            </w:r>
            <w:r w:rsidR="000832CA">
              <w:rPr>
                <w:rFonts w:ascii="Times New Roman" w:hAnsi="Times New Roman" w:eastAsia="Times New Roman" w:cs="Times New Roman"/>
                <w:sz w:val="24"/>
                <w:szCs w:val="24"/>
              </w:rPr>
              <w:t xml:space="preserve">2,385.90 </w:t>
            </w:r>
            <w:r w:rsidRPr="00CB67C8">
              <w:rPr>
                <w:rFonts w:ascii="Times New Roman" w:hAnsi="Times New Roman" w:eastAsia="Times New Roman" w:cs="Times New Roman"/>
                <w:sz w:val="24"/>
                <w:szCs w:val="24"/>
              </w:rPr>
              <w:t>x 9</w:t>
            </w:r>
            <w:r w:rsidR="009009B1">
              <w:rPr>
                <w:rFonts w:ascii="Times New Roman" w:hAnsi="Times New Roman" w:eastAsia="Times New Roman" w:cs="Times New Roman"/>
                <w:sz w:val="24"/>
                <w:szCs w:val="24"/>
              </w:rPr>
              <w:t>5</w:t>
            </w:r>
            <w:r w:rsidRPr="00CB67C8">
              <w:rPr>
                <w:rFonts w:ascii="Times New Roman" w:hAnsi="Times New Roman" w:eastAsia="Times New Roman" w:cs="Times New Roman"/>
                <w:sz w:val="24"/>
                <w:szCs w:val="24"/>
              </w:rPr>
              <w:t xml:space="preserve"> OPO/HLs)</w:t>
            </w:r>
          </w:p>
        </w:tc>
        <w:tc>
          <w:tcPr>
            <w:tcW w:w="1053" w:type="pct"/>
            <w:tcBorders>
              <w:top w:val="single" w:color="auto" w:sz="4" w:space="0"/>
              <w:left w:val="nil"/>
              <w:bottom w:val="double" w:color="auto" w:sz="6" w:space="0"/>
              <w:right w:val="nil"/>
            </w:tcBorders>
            <w:shd w:val="clear" w:color="auto" w:fill="auto"/>
            <w:noWrap/>
            <w:vAlign w:val="bottom"/>
          </w:tcPr>
          <w:p w:rsidRPr="00CB67C8" w:rsidR="00CB67C8" w:rsidP="009009B1" w:rsidRDefault="00CB67C8" w14:paraId="41E21E28" w14:textId="39B963A6">
            <w:pPr>
              <w:autoSpaceDE w:val="0"/>
              <w:autoSpaceDN w:val="0"/>
              <w:adjustRightInd w:val="0"/>
              <w:spacing w:after="0" w:line="240" w:lineRule="auto"/>
              <w:jc w:val="right"/>
              <w:rPr>
                <w:rFonts w:ascii="Times New Roman" w:hAnsi="Times New Roman" w:eastAsia="Times New Roman" w:cs="Times New Roman"/>
                <w:i/>
                <w:color w:val="000000"/>
                <w:sz w:val="24"/>
                <w:szCs w:val="24"/>
              </w:rPr>
            </w:pPr>
            <w:r w:rsidRPr="00CB67C8">
              <w:rPr>
                <w:rFonts w:ascii="Times New Roman" w:hAnsi="Times New Roman" w:eastAsia="Times New Roman" w:cs="Times New Roman"/>
                <w:sz w:val="24"/>
                <w:szCs w:val="24"/>
              </w:rPr>
              <w:t>$22</w:t>
            </w:r>
            <w:r w:rsidR="009009B1">
              <w:rPr>
                <w:rFonts w:ascii="Times New Roman" w:hAnsi="Times New Roman" w:eastAsia="Times New Roman" w:cs="Times New Roman"/>
                <w:sz w:val="24"/>
                <w:szCs w:val="24"/>
              </w:rPr>
              <w:t>6</w:t>
            </w:r>
            <w:r w:rsidRPr="00CB67C8">
              <w:rPr>
                <w:rFonts w:ascii="Times New Roman" w:hAnsi="Times New Roman" w:eastAsia="Times New Roman" w:cs="Times New Roman"/>
                <w:sz w:val="24"/>
                <w:szCs w:val="24"/>
              </w:rPr>
              <w:t>,</w:t>
            </w:r>
            <w:r w:rsidR="009009B1">
              <w:rPr>
                <w:rFonts w:ascii="Times New Roman" w:hAnsi="Times New Roman" w:eastAsia="Times New Roman" w:cs="Times New Roman"/>
                <w:sz w:val="24"/>
                <w:szCs w:val="24"/>
              </w:rPr>
              <w:t>661</w:t>
            </w:r>
            <w:r w:rsidRPr="00CB67C8">
              <w:rPr>
                <w:rFonts w:ascii="Times New Roman" w:hAnsi="Times New Roman" w:eastAsia="Times New Roman" w:cs="Times New Roman"/>
                <w:sz w:val="24"/>
                <w:szCs w:val="24"/>
              </w:rPr>
              <w:t xml:space="preserve">  </w:t>
            </w:r>
          </w:p>
        </w:tc>
        <w:tc>
          <w:tcPr>
            <w:tcW w:w="213" w:type="pct"/>
            <w:tcBorders>
              <w:top w:val="nil"/>
              <w:left w:val="nil"/>
              <w:bottom w:val="nil"/>
              <w:right w:val="single" w:color="auto" w:sz="8" w:space="0"/>
            </w:tcBorders>
            <w:shd w:val="clear" w:color="auto" w:fill="auto"/>
            <w:noWrap/>
            <w:vAlign w:val="bottom"/>
          </w:tcPr>
          <w:p w:rsidRPr="00CB67C8" w:rsidR="00CB67C8" w:rsidP="00CB67C8" w:rsidRDefault="00CB67C8" w14:paraId="1AABA918" w14:textId="77777777">
            <w:pPr>
              <w:spacing w:after="0" w:line="240" w:lineRule="auto"/>
              <w:rPr>
                <w:rFonts w:ascii="Arial" w:hAnsi="Arial" w:eastAsia="Times New Roman" w:cs="Arial"/>
                <w:sz w:val="20"/>
                <w:szCs w:val="24"/>
              </w:rPr>
            </w:pPr>
            <w:r w:rsidRPr="00CB67C8">
              <w:rPr>
                <w:rFonts w:ascii="Arial" w:hAnsi="Arial" w:eastAsia="Times New Roman" w:cs="Arial"/>
                <w:sz w:val="20"/>
                <w:szCs w:val="24"/>
              </w:rPr>
              <w:t> </w:t>
            </w:r>
          </w:p>
        </w:tc>
      </w:tr>
      <w:tr w:rsidRPr="00CB67C8" w:rsidR="00CB67C8" w:rsidTr="00416EB9" w14:paraId="619BA3A8" w14:textId="77777777">
        <w:trPr>
          <w:trHeight w:val="285"/>
        </w:trPr>
        <w:tc>
          <w:tcPr>
            <w:tcW w:w="214" w:type="pct"/>
            <w:tcBorders>
              <w:top w:val="nil"/>
              <w:left w:val="single" w:color="auto" w:sz="8" w:space="0"/>
              <w:bottom w:val="nil"/>
              <w:right w:val="nil"/>
            </w:tcBorders>
            <w:shd w:val="clear" w:color="auto" w:fill="auto"/>
            <w:noWrap/>
            <w:vAlign w:val="bottom"/>
            <w:hideMark/>
          </w:tcPr>
          <w:p w:rsidRPr="00CB67C8" w:rsidR="00CB67C8" w:rsidP="00CB67C8" w:rsidRDefault="00CB67C8" w14:paraId="1FFCAF85" w14:textId="77777777">
            <w:pPr>
              <w:spacing w:after="0" w:line="240" w:lineRule="auto"/>
              <w:rPr>
                <w:rFonts w:ascii="Arial" w:hAnsi="Arial" w:eastAsia="Times New Roman" w:cs="Arial"/>
                <w:sz w:val="20"/>
                <w:szCs w:val="24"/>
              </w:rPr>
            </w:pPr>
            <w:r w:rsidRPr="00CB67C8">
              <w:rPr>
                <w:rFonts w:ascii="Arial" w:hAnsi="Arial" w:eastAsia="Times New Roman" w:cs="Arial"/>
                <w:sz w:val="20"/>
                <w:szCs w:val="24"/>
              </w:rPr>
              <w:t> </w:t>
            </w:r>
          </w:p>
        </w:tc>
        <w:tc>
          <w:tcPr>
            <w:tcW w:w="3520" w:type="pct"/>
            <w:tcBorders>
              <w:top w:val="nil"/>
              <w:left w:val="nil"/>
              <w:bottom w:val="nil"/>
              <w:right w:val="nil"/>
            </w:tcBorders>
            <w:shd w:val="clear" w:color="auto" w:fill="auto"/>
            <w:noWrap/>
            <w:vAlign w:val="bottom"/>
            <w:hideMark/>
          </w:tcPr>
          <w:p w:rsidRPr="00CB67C8" w:rsidR="00CB67C8" w:rsidP="00CB67C8" w:rsidRDefault="00CB67C8" w14:paraId="3BE631DF" w14:textId="77777777">
            <w:pPr>
              <w:autoSpaceDE w:val="0"/>
              <w:autoSpaceDN w:val="0"/>
              <w:adjustRightInd w:val="0"/>
              <w:spacing w:after="0" w:line="240" w:lineRule="auto"/>
              <w:rPr>
                <w:rFonts w:ascii="Times New Roman" w:hAnsi="Times New Roman" w:eastAsia="Times New Roman" w:cs="Times New Roman"/>
                <w:sz w:val="24"/>
                <w:szCs w:val="24"/>
              </w:rPr>
            </w:pPr>
          </w:p>
        </w:tc>
        <w:tc>
          <w:tcPr>
            <w:tcW w:w="1053" w:type="pct"/>
            <w:tcBorders>
              <w:top w:val="nil"/>
              <w:left w:val="nil"/>
              <w:bottom w:val="nil"/>
              <w:right w:val="nil"/>
            </w:tcBorders>
            <w:shd w:val="clear" w:color="auto" w:fill="auto"/>
            <w:noWrap/>
            <w:vAlign w:val="bottom"/>
          </w:tcPr>
          <w:p w:rsidRPr="00CB67C8" w:rsidR="00CB67C8" w:rsidP="00CB67C8" w:rsidRDefault="00CB67C8" w14:paraId="09140677" w14:textId="77777777">
            <w:pPr>
              <w:autoSpaceDE w:val="0"/>
              <w:autoSpaceDN w:val="0"/>
              <w:adjustRightInd w:val="0"/>
              <w:spacing w:after="0" w:line="240" w:lineRule="auto"/>
              <w:jc w:val="right"/>
              <w:rPr>
                <w:rFonts w:ascii="Times New Roman" w:hAnsi="Times New Roman" w:eastAsia="Times New Roman" w:cs="Times New Roman"/>
                <w:sz w:val="24"/>
                <w:szCs w:val="24"/>
              </w:rPr>
            </w:pPr>
          </w:p>
        </w:tc>
        <w:tc>
          <w:tcPr>
            <w:tcW w:w="213" w:type="pct"/>
            <w:tcBorders>
              <w:top w:val="nil"/>
              <w:left w:val="nil"/>
              <w:bottom w:val="nil"/>
              <w:right w:val="single" w:color="auto" w:sz="8" w:space="0"/>
            </w:tcBorders>
            <w:shd w:val="clear" w:color="auto" w:fill="auto"/>
            <w:noWrap/>
            <w:vAlign w:val="bottom"/>
          </w:tcPr>
          <w:p w:rsidRPr="00CB67C8" w:rsidR="00CB67C8" w:rsidP="00CB67C8" w:rsidRDefault="00CB67C8" w14:paraId="6048BD86" w14:textId="77777777">
            <w:pPr>
              <w:spacing w:after="0" w:line="240" w:lineRule="auto"/>
              <w:rPr>
                <w:rFonts w:ascii="Arial" w:hAnsi="Arial" w:eastAsia="Times New Roman" w:cs="Arial"/>
                <w:sz w:val="20"/>
                <w:szCs w:val="24"/>
              </w:rPr>
            </w:pPr>
          </w:p>
        </w:tc>
      </w:tr>
      <w:tr w:rsidRPr="00CB67C8" w:rsidR="00CB67C8" w:rsidTr="00416EB9" w14:paraId="0FC93DFB" w14:textId="77777777">
        <w:trPr>
          <w:trHeight w:val="285"/>
        </w:trPr>
        <w:tc>
          <w:tcPr>
            <w:tcW w:w="214" w:type="pct"/>
            <w:tcBorders>
              <w:top w:val="nil"/>
              <w:left w:val="single" w:color="auto" w:sz="8" w:space="0"/>
              <w:bottom w:val="single" w:color="auto" w:sz="8" w:space="0"/>
              <w:right w:val="nil"/>
            </w:tcBorders>
            <w:shd w:val="clear" w:color="auto" w:fill="auto"/>
            <w:noWrap/>
            <w:vAlign w:val="bottom"/>
          </w:tcPr>
          <w:p w:rsidRPr="00CB67C8" w:rsidR="00CB67C8" w:rsidP="00CB67C8" w:rsidRDefault="00CB67C8" w14:paraId="2AE2460A" w14:textId="77777777">
            <w:pPr>
              <w:spacing w:after="0" w:line="240" w:lineRule="auto"/>
              <w:rPr>
                <w:rFonts w:ascii="Arial" w:hAnsi="Arial" w:eastAsia="Times New Roman" w:cs="Arial"/>
                <w:sz w:val="20"/>
                <w:szCs w:val="24"/>
              </w:rPr>
            </w:pPr>
          </w:p>
        </w:tc>
        <w:tc>
          <w:tcPr>
            <w:tcW w:w="3520" w:type="pct"/>
            <w:tcBorders>
              <w:top w:val="nil"/>
              <w:left w:val="nil"/>
              <w:bottom w:val="single" w:color="auto" w:sz="8" w:space="0"/>
              <w:right w:val="nil"/>
            </w:tcBorders>
            <w:shd w:val="clear" w:color="auto" w:fill="auto"/>
            <w:noWrap/>
            <w:vAlign w:val="bottom"/>
          </w:tcPr>
          <w:p w:rsidRPr="00CB67C8" w:rsidR="00CB67C8" w:rsidP="00CB67C8" w:rsidRDefault="00CB67C8" w14:paraId="45A5B796" w14:textId="77777777">
            <w:pPr>
              <w:autoSpaceDE w:val="0"/>
              <w:autoSpaceDN w:val="0"/>
              <w:adjustRightInd w:val="0"/>
              <w:spacing w:after="0" w:line="240" w:lineRule="auto"/>
              <w:rPr>
                <w:rFonts w:ascii="Times New Roman" w:hAnsi="Times New Roman" w:eastAsia="Times New Roman" w:cs="Times New Roman"/>
                <w:sz w:val="24"/>
                <w:szCs w:val="24"/>
              </w:rPr>
            </w:pPr>
          </w:p>
        </w:tc>
        <w:tc>
          <w:tcPr>
            <w:tcW w:w="1053" w:type="pct"/>
            <w:tcBorders>
              <w:top w:val="nil"/>
              <w:left w:val="nil"/>
              <w:bottom w:val="single" w:color="auto" w:sz="8" w:space="0"/>
              <w:right w:val="nil"/>
            </w:tcBorders>
            <w:shd w:val="clear" w:color="auto" w:fill="auto"/>
            <w:noWrap/>
            <w:vAlign w:val="bottom"/>
          </w:tcPr>
          <w:p w:rsidRPr="00CB67C8" w:rsidR="00CB67C8" w:rsidP="00CB67C8" w:rsidRDefault="00CB67C8" w14:paraId="0180DA0D" w14:textId="77777777">
            <w:pPr>
              <w:autoSpaceDE w:val="0"/>
              <w:autoSpaceDN w:val="0"/>
              <w:adjustRightInd w:val="0"/>
              <w:spacing w:after="0" w:line="240" w:lineRule="auto"/>
              <w:jc w:val="right"/>
              <w:rPr>
                <w:rFonts w:ascii="Times New Roman" w:hAnsi="Times New Roman" w:eastAsia="Times New Roman" w:cs="Times New Roman"/>
                <w:sz w:val="24"/>
                <w:szCs w:val="24"/>
              </w:rPr>
            </w:pPr>
          </w:p>
        </w:tc>
        <w:tc>
          <w:tcPr>
            <w:tcW w:w="213" w:type="pct"/>
            <w:tcBorders>
              <w:top w:val="nil"/>
              <w:left w:val="nil"/>
              <w:bottom w:val="single" w:color="auto" w:sz="8" w:space="0"/>
              <w:right w:val="single" w:color="auto" w:sz="8" w:space="0"/>
            </w:tcBorders>
            <w:shd w:val="clear" w:color="auto" w:fill="auto"/>
            <w:noWrap/>
            <w:vAlign w:val="bottom"/>
          </w:tcPr>
          <w:p w:rsidRPr="00CB67C8" w:rsidR="00CB67C8" w:rsidP="00CB67C8" w:rsidRDefault="00CB67C8" w14:paraId="4739CF0F" w14:textId="77777777">
            <w:pPr>
              <w:spacing w:after="0" w:line="240" w:lineRule="auto"/>
              <w:rPr>
                <w:rFonts w:ascii="Arial" w:hAnsi="Arial" w:eastAsia="Times New Roman" w:cs="Arial"/>
                <w:sz w:val="20"/>
                <w:szCs w:val="24"/>
              </w:rPr>
            </w:pPr>
          </w:p>
        </w:tc>
      </w:tr>
    </w:tbl>
    <w:p w:rsidRPr="00CB67C8" w:rsidR="00CB67C8" w:rsidP="00CB67C8" w:rsidRDefault="00CB67C8" w14:paraId="365B88B9"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F537A3" w:rsidR="00F537A3" w:rsidP="00F537A3" w:rsidRDefault="00F537A3" w14:paraId="6879868B" w14:textId="77777777">
      <w:pPr>
        <w:widowControl w:val="0"/>
        <w:tabs>
          <w:tab w:val="left" w:pos="540"/>
        </w:tabs>
        <w:autoSpaceDE w:val="0"/>
        <w:autoSpaceDN w:val="0"/>
        <w:adjustRightInd w:val="0"/>
        <w:spacing w:after="0" w:line="240" w:lineRule="auto"/>
        <w:ind w:left="720"/>
        <w:rPr>
          <w:rFonts w:ascii="Times New Roman" w:hAnsi="Times New Roman" w:eastAsia="Times New Roman" w:cs="Times New Roman"/>
          <w:sz w:val="24"/>
          <w:szCs w:val="24"/>
        </w:rPr>
      </w:pPr>
      <w:r w:rsidRPr="00F537A3">
        <w:rPr>
          <w:rFonts w:ascii="Times New Roman" w:hAnsi="Times New Roman" w:eastAsia="Times New Roman" w:cs="Times New Roman"/>
          <w:sz w:val="24"/>
          <w:szCs w:val="24"/>
        </w:rPr>
        <w:t>Only when the standardized definitions, accounting, statistics and reporting practices defined in 42 CFR 413.20(a) are not already maintained by the provider on a fiscal basis does CMS estimate additional burden for the required recordkeeping and reporting.</w:t>
      </w:r>
    </w:p>
    <w:p w:rsidRPr="00F537A3" w:rsidR="00F537A3" w:rsidP="00F537A3" w:rsidRDefault="00F537A3" w14:paraId="192B76D3" w14:textId="77777777">
      <w:pPr>
        <w:widowControl w:val="0"/>
        <w:tabs>
          <w:tab w:val="left" w:pos="540"/>
        </w:tabs>
        <w:autoSpaceDE w:val="0"/>
        <w:autoSpaceDN w:val="0"/>
        <w:adjustRightInd w:val="0"/>
        <w:spacing w:after="0" w:line="240" w:lineRule="auto"/>
        <w:ind w:left="720"/>
        <w:rPr>
          <w:rFonts w:ascii="Times New Roman" w:hAnsi="Times New Roman" w:eastAsia="Times New Roman" w:cs="Times New Roman"/>
          <w:sz w:val="24"/>
          <w:szCs w:val="24"/>
        </w:rPr>
      </w:pPr>
    </w:p>
    <w:p w:rsidRPr="00F537A3" w:rsidR="00F537A3" w:rsidP="00F537A3" w:rsidRDefault="00CB67C8" w14:paraId="04547998" w14:textId="53655414">
      <w:pPr>
        <w:widowControl w:val="0"/>
        <w:tabs>
          <w:tab w:val="left" w:pos="540"/>
        </w:tabs>
        <w:autoSpaceDE w:val="0"/>
        <w:autoSpaceDN w:val="0"/>
        <w:adjustRightInd w:val="0"/>
        <w:spacing w:after="0" w:line="240" w:lineRule="auto"/>
        <w:ind w:left="720"/>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 xml:space="preserve">Burden hours for each </w:t>
      </w:r>
      <w:r w:rsidRPr="00CB67C8" w:rsidR="006128C7">
        <w:rPr>
          <w:rFonts w:ascii="Times New Roman" w:hAnsi="Times New Roman" w:eastAsia="Times New Roman" w:cs="Times New Roman"/>
          <w:sz w:val="24"/>
          <w:szCs w:val="24"/>
        </w:rPr>
        <w:t xml:space="preserve">OPO/HL </w:t>
      </w:r>
      <w:r w:rsidRPr="00CB67C8">
        <w:rPr>
          <w:rFonts w:ascii="Times New Roman" w:hAnsi="Times New Roman" w:eastAsia="Times New Roman" w:cs="Times New Roman"/>
          <w:sz w:val="24"/>
          <w:szCs w:val="24"/>
        </w:rPr>
        <w:t xml:space="preserve">estimate the time required (number of hours) to complete ongoing data gathering and recordkeeping tasks, search existing data resources, review instructions, and complete the Form CMS-216-94.  The most recent data from the System for Tracking Audit and Reimbursement, an internal CMS data system maintained by the Office of Financial Management (OFM), </w:t>
      </w:r>
      <w:r w:rsidR="00F537A3">
        <w:rPr>
          <w:rFonts w:ascii="Times New Roman" w:hAnsi="Times New Roman" w:eastAsia="Times New Roman" w:cs="Times New Roman"/>
          <w:sz w:val="24"/>
          <w:szCs w:val="24"/>
        </w:rPr>
        <w:t>tracks the current number of</w:t>
      </w:r>
      <w:r w:rsidRPr="00CB67C8">
        <w:rPr>
          <w:rFonts w:ascii="Times New Roman" w:hAnsi="Times New Roman" w:eastAsia="Times New Roman" w:cs="Times New Roman"/>
          <w:sz w:val="24"/>
          <w:szCs w:val="24"/>
        </w:rPr>
        <w:t xml:space="preserve"> 9</w:t>
      </w:r>
      <w:r w:rsidR="009009B1">
        <w:rPr>
          <w:rFonts w:ascii="Times New Roman" w:hAnsi="Times New Roman" w:eastAsia="Times New Roman" w:cs="Times New Roman"/>
          <w:sz w:val="24"/>
          <w:szCs w:val="24"/>
        </w:rPr>
        <w:t>5</w:t>
      </w:r>
      <w:r w:rsidRPr="00CB67C8">
        <w:rPr>
          <w:rFonts w:ascii="Times New Roman" w:hAnsi="Times New Roman" w:eastAsia="Times New Roman" w:cs="Times New Roman"/>
          <w:sz w:val="24"/>
          <w:szCs w:val="24"/>
        </w:rPr>
        <w:t xml:space="preserve"> Medicare certified </w:t>
      </w:r>
      <w:r w:rsidRPr="00CB67C8" w:rsidR="006128C7">
        <w:rPr>
          <w:rFonts w:ascii="Times New Roman" w:hAnsi="Times New Roman" w:eastAsia="Times New Roman" w:cs="Times New Roman"/>
          <w:sz w:val="24"/>
          <w:szCs w:val="24"/>
        </w:rPr>
        <w:t>OPO</w:t>
      </w:r>
      <w:r w:rsidR="0084374F">
        <w:rPr>
          <w:rFonts w:ascii="Times New Roman" w:hAnsi="Times New Roman" w:eastAsia="Times New Roman" w:cs="Times New Roman"/>
          <w:sz w:val="24"/>
          <w:szCs w:val="24"/>
        </w:rPr>
        <w:t>s</w:t>
      </w:r>
      <w:r w:rsidRPr="00CB67C8" w:rsidR="006128C7">
        <w:rPr>
          <w:rFonts w:ascii="Times New Roman" w:hAnsi="Times New Roman" w:eastAsia="Times New Roman" w:cs="Times New Roman"/>
          <w:sz w:val="24"/>
          <w:szCs w:val="24"/>
        </w:rPr>
        <w:t>/H</w:t>
      </w:r>
      <w:r w:rsidR="0084374F">
        <w:rPr>
          <w:rFonts w:ascii="Times New Roman" w:hAnsi="Times New Roman" w:eastAsia="Times New Roman" w:cs="Times New Roman"/>
          <w:sz w:val="24"/>
          <w:szCs w:val="24"/>
        </w:rPr>
        <w:t>Ls</w:t>
      </w:r>
      <w:r w:rsidRPr="00CB67C8" w:rsidR="006128C7">
        <w:rPr>
          <w:rFonts w:ascii="Times New Roman" w:hAnsi="Times New Roman" w:eastAsia="Times New Roman" w:cs="Times New Roman"/>
          <w:sz w:val="24"/>
          <w:szCs w:val="24"/>
        </w:rPr>
        <w:t xml:space="preserve"> </w:t>
      </w:r>
      <w:r w:rsidR="00F537A3">
        <w:rPr>
          <w:rFonts w:ascii="Times New Roman" w:hAnsi="Times New Roman" w:eastAsia="Times New Roman" w:cs="Times New Roman"/>
          <w:sz w:val="24"/>
          <w:szCs w:val="24"/>
        </w:rPr>
        <w:t xml:space="preserve">that </w:t>
      </w:r>
      <w:r w:rsidRPr="00CB67C8">
        <w:rPr>
          <w:rFonts w:ascii="Times New Roman" w:hAnsi="Times New Roman" w:eastAsia="Times New Roman" w:cs="Times New Roman"/>
          <w:sz w:val="24"/>
          <w:szCs w:val="24"/>
        </w:rPr>
        <w:t xml:space="preserve">file Form CMS-216-94 annually.  We estimate an average burden per </w:t>
      </w:r>
      <w:r w:rsidRPr="00CB67C8" w:rsidR="006128C7">
        <w:rPr>
          <w:rFonts w:ascii="Times New Roman" w:hAnsi="Times New Roman" w:eastAsia="Times New Roman" w:cs="Times New Roman"/>
          <w:sz w:val="24"/>
          <w:szCs w:val="24"/>
        </w:rPr>
        <w:t xml:space="preserve">OPO/HL </w:t>
      </w:r>
      <w:r w:rsidRPr="00CB67C8">
        <w:rPr>
          <w:rFonts w:ascii="Times New Roman" w:hAnsi="Times New Roman" w:eastAsia="Times New Roman" w:cs="Times New Roman"/>
          <w:sz w:val="24"/>
          <w:szCs w:val="24"/>
        </w:rPr>
        <w:t>of 45 hours (30 hours for recordkeeping and 15 hours for reporting).  We calculated the annual burden hours as follows:  9</w:t>
      </w:r>
      <w:r w:rsidR="009009B1">
        <w:rPr>
          <w:rFonts w:ascii="Times New Roman" w:hAnsi="Times New Roman" w:eastAsia="Times New Roman" w:cs="Times New Roman"/>
          <w:sz w:val="24"/>
          <w:szCs w:val="24"/>
        </w:rPr>
        <w:t>5</w:t>
      </w:r>
      <w:r w:rsidRPr="00CB67C8">
        <w:rPr>
          <w:rFonts w:ascii="Times New Roman" w:hAnsi="Times New Roman" w:eastAsia="Times New Roman" w:cs="Times New Roman"/>
          <w:sz w:val="24"/>
          <w:szCs w:val="24"/>
        </w:rPr>
        <w:t xml:space="preserve"> </w:t>
      </w:r>
      <w:r w:rsidRPr="00CB67C8" w:rsidR="006128C7">
        <w:rPr>
          <w:rFonts w:ascii="Times New Roman" w:hAnsi="Times New Roman" w:eastAsia="Times New Roman" w:cs="Times New Roman"/>
          <w:sz w:val="24"/>
          <w:szCs w:val="24"/>
        </w:rPr>
        <w:t>OPO</w:t>
      </w:r>
      <w:r w:rsidR="0084374F">
        <w:rPr>
          <w:rFonts w:ascii="Times New Roman" w:hAnsi="Times New Roman" w:eastAsia="Times New Roman" w:cs="Times New Roman"/>
          <w:sz w:val="24"/>
          <w:szCs w:val="24"/>
        </w:rPr>
        <w:t>s</w:t>
      </w:r>
      <w:r w:rsidRPr="00CB67C8" w:rsidR="006128C7">
        <w:rPr>
          <w:rFonts w:ascii="Times New Roman" w:hAnsi="Times New Roman" w:eastAsia="Times New Roman" w:cs="Times New Roman"/>
          <w:sz w:val="24"/>
          <w:szCs w:val="24"/>
        </w:rPr>
        <w:t>/H</w:t>
      </w:r>
      <w:r w:rsidR="0084374F">
        <w:rPr>
          <w:rFonts w:ascii="Times New Roman" w:hAnsi="Times New Roman" w:eastAsia="Times New Roman" w:cs="Times New Roman"/>
          <w:sz w:val="24"/>
          <w:szCs w:val="24"/>
        </w:rPr>
        <w:t>Ls</w:t>
      </w:r>
      <w:r w:rsidRPr="00CB67C8" w:rsidR="006128C7">
        <w:rPr>
          <w:rFonts w:ascii="Times New Roman" w:hAnsi="Times New Roman" w:eastAsia="Times New Roman" w:cs="Times New Roman"/>
          <w:sz w:val="24"/>
          <w:szCs w:val="24"/>
        </w:rPr>
        <w:t xml:space="preserve"> </w:t>
      </w:r>
      <w:r w:rsidRPr="00CB67C8">
        <w:rPr>
          <w:rFonts w:ascii="Times New Roman" w:hAnsi="Times New Roman" w:eastAsia="Times New Roman" w:cs="Times New Roman"/>
          <w:sz w:val="24"/>
          <w:szCs w:val="24"/>
        </w:rPr>
        <w:t xml:space="preserve">times 45 hours per </w:t>
      </w:r>
      <w:r w:rsidRPr="00CB67C8" w:rsidR="006128C7">
        <w:rPr>
          <w:rFonts w:ascii="Times New Roman" w:hAnsi="Times New Roman" w:eastAsia="Times New Roman" w:cs="Times New Roman"/>
          <w:sz w:val="24"/>
          <w:szCs w:val="24"/>
        </w:rPr>
        <w:t>OPO/H</w:t>
      </w:r>
      <w:r w:rsidR="0084374F">
        <w:rPr>
          <w:rFonts w:ascii="Times New Roman" w:hAnsi="Times New Roman" w:eastAsia="Times New Roman" w:cs="Times New Roman"/>
          <w:sz w:val="24"/>
          <w:szCs w:val="24"/>
        </w:rPr>
        <w:t>L</w:t>
      </w:r>
      <w:r w:rsidRPr="00CB67C8" w:rsidR="006128C7">
        <w:rPr>
          <w:rFonts w:ascii="Times New Roman" w:hAnsi="Times New Roman" w:eastAsia="Times New Roman" w:cs="Times New Roman"/>
          <w:sz w:val="24"/>
          <w:szCs w:val="24"/>
        </w:rPr>
        <w:t xml:space="preserve"> </w:t>
      </w:r>
      <w:r w:rsidRPr="00CB67C8">
        <w:rPr>
          <w:rFonts w:ascii="Times New Roman" w:hAnsi="Times New Roman" w:eastAsia="Times New Roman" w:cs="Times New Roman"/>
          <w:sz w:val="24"/>
          <w:szCs w:val="24"/>
        </w:rPr>
        <w:t>equals 4,</w:t>
      </w:r>
      <w:r w:rsidR="009009B1">
        <w:rPr>
          <w:rFonts w:ascii="Times New Roman" w:hAnsi="Times New Roman" w:eastAsia="Times New Roman" w:cs="Times New Roman"/>
          <w:sz w:val="24"/>
          <w:szCs w:val="24"/>
        </w:rPr>
        <w:t>275</w:t>
      </w:r>
      <w:r w:rsidRPr="00CB67C8">
        <w:rPr>
          <w:rFonts w:ascii="Times New Roman" w:hAnsi="Times New Roman" w:eastAsia="Times New Roman" w:cs="Times New Roman"/>
          <w:sz w:val="24"/>
          <w:szCs w:val="24"/>
        </w:rPr>
        <w:t xml:space="preserve"> total annual burden hours.</w:t>
      </w:r>
      <w:r w:rsidR="00F537A3">
        <w:rPr>
          <w:rFonts w:ascii="Times New Roman" w:hAnsi="Times New Roman" w:eastAsia="Times New Roman" w:cs="Times New Roman"/>
          <w:sz w:val="24"/>
          <w:szCs w:val="24"/>
        </w:rPr>
        <w:t xml:space="preserve">  </w:t>
      </w:r>
      <w:r w:rsidRPr="00F537A3" w:rsidR="00F537A3">
        <w:rPr>
          <w:rFonts w:ascii="Times New Roman" w:hAnsi="Times New Roman" w:eastAsia="Times New Roman" w:cs="Times New Roman"/>
          <w:sz w:val="24"/>
          <w:szCs w:val="24"/>
        </w:rPr>
        <w:t xml:space="preserve">We recognize this average varies depending on the </w:t>
      </w:r>
      <w:r w:rsidR="00F537A3">
        <w:rPr>
          <w:rFonts w:ascii="Times New Roman" w:hAnsi="Times New Roman" w:eastAsia="Times New Roman" w:cs="Times New Roman"/>
          <w:sz w:val="24"/>
          <w:szCs w:val="24"/>
        </w:rPr>
        <w:t>OPO/HL’s</w:t>
      </w:r>
      <w:r w:rsidRPr="00F537A3" w:rsidR="00F537A3">
        <w:rPr>
          <w:rFonts w:ascii="Times New Roman" w:hAnsi="Times New Roman" w:eastAsia="Times New Roman" w:cs="Times New Roman"/>
          <w:sz w:val="24"/>
          <w:szCs w:val="24"/>
        </w:rPr>
        <w:t xml:space="preserve"> size and complexity.  We invite public comment on the hours estimate as well as the staffing requirements utilized to compile and complete the Medicare cost report.</w:t>
      </w:r>
    </w:p>
    <w:p w:rsidRPr="00CB67C8" w:rsidR="00CB67C8" w:rsidP="000F59DF" w:rsidRDefault="00CB67C8" w14:paraId="33D8FB97" w14:textId="77777777">
      <w:pPr>
        <w:widowControl w:val="0"/>
        <w:tabs>
          <w:tab w:val="left" w:pos="810"/>
          <w:tab w:val="left" w:pos="1170"/>
        </w:tabs>
        <w:autoSpaceDE w:val="0"/>
        <w:autoSpaceDN w:val="0"/>
        <w:adjustRightInd w:val="0"/>
        <w:spacing w:after="0" w:line="240" w:lineRule="auto"/>
        <w:ind w:left="720"/>
        <w:rPr>
          <w:rFonts w:ascii="Times New Roman" w:hAnsi="Times New Roman" w:eastAsia="Times New Roman" w:cs="Times New Roman"/>
          <w:sz w:val="24"/>
          <w:szCs w:val="20"/>
        </w:rPr>
      </w:pPr>
    </w:p>
    <w:p w:rsidRPr="00CB67C8" w:rsidR="00CB67C8" w:rsidP="000F59DF" w:rsidRDefault="00CB67C8" w14:paraId="26389CCF" w14:textId="46A12920">
      <w:pPr>
        <w:widowControl w:val="0"/>
        <w:tabs>
          <w:tab w:val="left" w:pos="450"/>
          <w:tab w:val="left" w:pos="940"/>
        </w:tabs>
        <w:autoSpaceDE w:val="0"/>
        <w:autoSpaceDN w:val="0"/>
        <w:adjustRightInd w:val="0"/>
        <w:spacing w:before="69" w:after="0" w:line="240" w:lineRule="auto"/>
        <w:ind w:left="720"/>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The 30 hours for recordkeeping include hours for bookkeeping, accounting and auditing clerks; the 15 hours for reporting include accounting and audit professionals’ activities.  Based on the most recent Bureau of Labor Statistics (BLS) in its 2019 Occupation Outlook Handbook, the mean hourly wage for Category 43-3031 (bookkeeping, accounting and auditing clerks) is $20.65</w:t>
      </w:r>
      <w:r w:rsidRPr="00CB67C8">
        <w:rPr>
          <w:rFonts w:ascii="Times New Roman" w:hAnsi="Times New Roman" w:eastAsia="Times New Roman" w:cs="Times New Roman"/>
          <w:sz w:val="24"/>
          <w:szCs w:val="24"/>
          <w:vertAlign w:val="superscript"/>
        </w:rPr>
        <w:t>1</w:t>
      </w:r>
      <w:r w:rsidRPr="00CB67C8">
        <w:rPr>
          <w:rFonts w:ascii="Times New Roman" w:hAnsi="Times New Roman" w:eastAsia="Times New Roman" w:cs="Times New Roman"/>
          <w:sz w:val="24"/>
          <w:szCs w:val="24"/>
        </w:rPr>
        <w:t xml:space="preserve">.  We added 100% of the mean hourly wage to account for fringe benefits and overhead costs, which calculates to $41.30 ($20.65 + $20.65) and multiplied it by 30 hours, to determine the annual recordkeeping costs per </w:t>
      </w:r>
      <w:r w:rsidRPr="00CB67C8" w:rsidR="006128C7">
        <w:rPr>
          <w:rFonts w:ascii="Times New Roman" w:hAnsi="Times New Roman" w:eastAsia="Times New Roman" w:cs="Times New Roman"/>
          <w:sz w:val="24"/>
          <w:szCs w:val="24"/>
        </w:rPr>
        <w:lastRenderedPageBreak/>
        <w:t xml:space="preserve">OPO/Histocompatibility Laboratory </w:t>
      </w:r>
      <w:r w:rsidRPr="00CB67C8">
        <w:rPr>
          <w:rFonts w:ascii="Times New Roman" w:hAnsi="Times New Roman" w:eastAsia="Times New Roman" w:cs="Times New Roman"/>
          <w:sz w:val="24"/>
          <w:szCs w:val="24"/>
        </w:rPr>
        <w:t>to be $1,239.00 ($41.30 x 30 hours).  The mean hourly wage for Category 13-2011 (accounting and audit professionals) is $38.23</w:t>
      </w:r>
      <w:r w:rsidRPr="00CB67C8">
        <w:rPr>
          <w:rFonts w:ascii="Times New Roman" w:hAnsi="Times New Roman" w:eastAsia="Times New Roman" w:cs="Times New Roman"/>
          <w:sz w:val="24"/>
          <w:szCs w:val="24"/>
          <w:vertAlign w:val="superscript"/>
        </w:rPr>
        <w:t>2</w:t>
      </w:r>
      <w:r w:rsidRPr="00CB67C8">
        <w:rPr>
          <w:rFonts w:ascii="Times New Roman" w:hAnsi="Times New Roman" w:eastAsia="Times New Roman" w:cs="Times New Roman"/>
          <w:sz w:val="24"/>
          <w:szCs w:val="24"/>
        </w:rPr>
        <w:t xml:space="preserve">.  We added 100% of the mean hourly wage to account for fringe benefits and overhead costs, which calculates to $76.46 ($38.23 + $38.23) and multiplied it by 15 hours, to determine the annual reporting costs per </w:t>
      </w:r>
      <w:r w:rsidRPr="00CB67C8" w:rsidR="006128C7">
        <w:rPr>
          <w:rFonts w:ascii="Times New Roman" w:hAnsi="Times New Roman" w:eastAsia="Times New Roman" w:cs="Times New Roman"/>
          <w:sz w:val="24"/>
          <w:szCs w:val="24"/>
        </w:rPr>
        <w:t xml:space="preserve">OPO/Histocompatibility Laboratory </w:t>
      </w:r>
      <w:r w:rsidRPr="00CB67C8">
        <w:rPr>
          <w:rFonts w:ascii="Times New Roman" w:hAnsi="Times New Roman" w:eastAsia="Times New Roman" w:cs="Times New Roman"/>
          <w:sz w:val="24"/>
          <w:szCs w:val="24"/>
        </w:rPr>
        <w:t xml:space="preserve">to be $1,146.90 ($76.46 x 15 hours).  We calculated the total annual cost per </w:t>
      </w:r>
      <w:r w:rsidRPr="00CB67C8" w:rsidR="006128C7">
        <w:rPr>
          <w:rFonts w:ascii="Times New Roman" w:hAnsi="Times New Roman" w:eastAsia="Times New Roman" w:cs="Times New Roman"/>
          <w:sz w:val="24"/>
          <w:szCs w:val="24"/>
        </w:rPr>
        <w:t xml:space="preserve">OPO/Histocompatibility Laboratory </w:t>
      </w:r>
      <w:r w:rsidRPr="00CB67C8">
        <w:rPr>
          <w:rFonts w:ascii="Times New Roman" w:hAnsi="Times New Roman" w:eastAsia="Times New Roman" w:cs="Times New Roman"/>
          <w:sz w:val="24"/>
          <w:szCs w:val="24"/>
        </w:rPr>
        <w:t>of $2,385.90, by adding the recordkeeping costs of $1,239.00 plus the reporting costs of $1,146.90.  We estimated the total annual cost to be $22</w:t>
      </w:r>
      <w:r w:rsidR="00280997">
        <w:rPr>
          <w:rFonts w:ascii="Times New Roman" w:hAnsi="Times New Roman" w:eastAsia="Times New Roman" w:cs="Times New Roman"/>
          <w:sz w:val="24"/>
          <w:szCs w:val="24"/>
        </w:rPr>
        <w:t>6</w:t>
      </w:r>
      <w:r w:rsidRPr="00CB67C8">
        <w:rPr>
          <w:rFonts w:ascii="Times New Roman" w:hAnsi="Times New Roman" w:eastAsia="Times New Roman" w:cs="Times New Roman"/>
          <w:sz w:val="24"/>
          <w:szCs w:val="24"/>
        </w:rPr>
        <w:t>,</w:t>
      </w:r>
      <w:r w:rsidR="00280997">
        <w:rPr>
          <w:rFonts w:ascii="Times New Roman" w:hAnsi="Times New Roman" w:eastAsia="Times New Roman" w:cs="Times New Roman"/>
          <w:sz w:val="24"/>
          <w:szCs w:val="24"/>
        </w:rPr>
        <w:t>661</w:t>
      </w:r>
      <w:r w:rsidRPr="00CB67C8">
        <w:rPr>
          <w:rFonts w:ascii="Times New Roman" w:hAnsi="Times New Roman" w:eastAsia="Times New Roman" w:cs="Times New Roman"/>
          <w:sz w:val="24"/>
          <w:szCs w:val="24"/>
        </w:rPr>
        <w:t xml:space="preserve"> ($2,385.90 times 9</w:t>
      </w:r>
      <w:r w:rsidR="00280997">
        <w:rPr>
          <w:rFonts w:ascii="Times New Roman" w:hAnsi="Times New Roman" w:eastAsia="Times New Roman" w:cs="Times New Roman"/>
          <w:sz w:val="24"/>
          <w:szCs w:val="24"/>
        </w:rPr>
        <w:t>5</w:t>
      </w:r>
      <w:r w:rsidRPr="006128C7" w:rsidR="006128C7">
        <w:rPr>
          <w:rFonts w:ascii="Times New Roman" w:hAnsi="Times New Roman" w:eastAsia="Times New Roman" w:cs="Times New Roman"/>
          <w:sz w:val="24"/>
          <w:szCs w:val="24"/>
        </w:rPr>
        <w:t xml:space="preserve"> </w:t>
      </w:r>
      <w:r w:rsidRPr="00CB67C8" w:rsidR="006128C7">
        <w:rPr>
          <w:rFonts w:ascii="Times New Roman" w:hAnsi="Times New Roman" w:eastAsia="Times New Roman" w:cs="Times New Roman"/>
          <w:sz w:val="24"/>
          <w:szCs w:val="24"/>
        </w:rPr>
        <w:t>OPO/Histocompatibility Laborator</w:t>
      </w:r>
      <w:r w:rsidR="009512F1">
        <w:rPr>
          <w:rFonts w:ascii="Times New Roman" w:hAnsi="Times New Roman" w:eastAsia="Times New Roman" w:cs="Times New Roman"/>
          <w:sz w:val="24"/>
          <w:szCs w:val="24"/>
        </w:rPr>
        <w:t>ies</w:t>
      </w:r>
      <w:r w:rsidRPr="00CB67C8">
        <w:rPr>
          <w:rFonts w:ascii="Times New Roman" w:hAnsi="Times New Roman" w:eastAsia="Times New Roman" w:cs="Times New Roman"/>
          <w:sz w:val="24"/>
          <w:szCs w:val="24"/>
        </w:rPr>
        <w:t xml:space="preserve">).  </w:t>
      </w:r>
    </w:p>
    <w:p w:rsidRPr="00CB67C8" w:rsidR="00CB67C8" w:rsidP="00CB67C8" w:rsidRDefault="00CB67C8" w14:paraId="64E47994" w14:textId="77777777">
      <w:pPr>
        <w:widowControl w:val="0"/>
        <w:tabs>
          <w:tab w:val="left" w:pos="450"/>
          <w:tab w:val="left" w:pos="940"/>
        </w:tabs>
        <w:autoSpaceDE w:val="0"/>
        <w:autoSpaceDN w:val="0"/>
        <w:adjustRightInd w:val="0"/>
        <w:spacing w:before="69" w:after="0" w:line="240" w:lineRule="auto"/>
        <w:ind w:left="720"/>
        <w:rPr>
          <w:rFonts w:ascii="Times New Roman" w:hAnsi="Times New Roman" w:eastAsia="Times New Roman" w:cs="Times New Roman"/>
          <w:sz w:val="24"/>
          <w:szCs w:val="24"/>
          <w:vertAlign w:val="superscript"/>
        </w:rPr>
      </w:pPr>
      <w:r w:rsidRPr="00CB67C8">
        <w:rPr>
          <w:rFonts w:ascii="Times New Roman" w:hAnsi="Times New Roman" w:eastAsia="Times New Roman" w:cs="Times New Roman"/>
          <w:sz w:val="24"/>
          <w:szCs w:val="24"/>
          <w:vertAlign w:val="superscript"/>
        </w:rPr>
        <w:t>1</w:t>
      </w:r>
      <w:r w:rsidRPr="00CB67C8">
        <w:rPr>
          <w:rFonts w:ascii="Times New Roman" w:hAnsi="Times New Roman" w:eastAsia="Times New Roman" w:cs="Times New Roman"/>
          <w:sz w:val="20"/>
          <w:szCs w:val="24"/>
        </w:rPr>
        <w:t xml:space="preserve"> </w:t>
      </w:r>
      <w:hyperlink w:history="1" r:id="rId6">
        <w:r w:rsidRPr="00CB67C8">
          <w:rPr>
            <w:rFonts w:ascii="Times New Roman" w:hAnsi="Times New Roman" w:eastAsia="Times New Roman" w:cs="Times New Roman"/>
            <w:color w:val="0000FF"/>
            <w:sz w:val="24"/>
            <w:szCs w:val="24"/>
            <w:u w:val="single"/>
            <w:vertAlign w:val="superscript"/>
          </w:rPr>
          <w:t>https://www.bls.gov/oes/current/oes433031.htm</w:t>
        </w:r>
      </w:hyperlink>
    </w:p>
    <w:p w:rsidRPr="00CB67C8" w:rsidR="00CB67C8" w:rsidP="00CB67C8" w:rsidRDefault="00CB67C8" w14:paraId="2C190E70" w14:textId="77777777">
      <w:pPr>
        <w:widowControl w:val="0"/>
        <w:tabs>
          <w:tab w:val="left" w:pos="450"/>
          <w:tab w:val="left" w:pos="940"/>
        </w:tabs>
        <w:autoSpaceDE w:val="0"/>
        <w:autoSpaceDN w:val="0"/>
        <w:adjustRightInd w:val="0"/>
        <w:spacing w:before="69" w:after="0" w:line="240" w:lineRule="auto"/>
        <w:ind w:left="720"/>
        <w:rPr>
          <w:rFonts w:ascii="Times New Roman" w:hAnsi="Times New Roman" w:eastAsia="Times New Roman" w:cs="Times New Roman"/>
          <w:sz w:val="24"/>
          <w:szCs w:val="24"/>
          <w:vertAlign w:val="superscript"/>
        </w:rPr>
      </w:pPr>
      <w:r w:rsidRPr="00CB67C8">
        <w:rPr>
          <w:rFonts w:ascii="Times New Roman" w:hAnsi="Times New Roman" w:eastAsia="Times New Roman" w:cs="Times New Roman"/>
          <w:sz w:val="24"/>
          <w:szCs w:val="24"/>
          <w:vertAlign w:val="superscript"/>
        </w:rPr>
        <w:t>2</w:t>
      </w:r>
      <w:r w:rsidRPr="00CB67C8">
        <w:rPr>
          <w:rFonts w:ascii="Times New Roman" w:hAnsi="Times New Roman" w:eastAsia="Times New Roman" w:cs="Times New Roman"/>
          <w:sz w:val="20"/>
          <w:szCs w:val="24"/>
        </w:rPr>
        <w:t xml:space="preserve"> </w:t>
      </w:r>
      <w:hyperlink w:history="1" r:id="rId7">
        <w:r w:rsidRPr="00CB67C8">
          <w:rPr>
            <w:rFonts w:ascii="Times New Roman" w:hAnsi="Times New Roman" w:eastAsia="Times New Roman" w:cs="Times New Roman"/>
            <w:color w:val="0000FF"/>
            <w:sz w:val="24"/>
            <w:szCs w:val="24"/>
            <w:u w:val="single"/>
            <w:vertAlign w:val="superscript"/>
          </w:rPr>
          <w:t>https://www.bls.gov/oes/current/oes132011.htm</w:t>
        </w:r>
      </w:hyperlink>
    </w:p>
    <w:p w:rsidRPr="00CB67C8" w:rsidR="00CB67C8" w:rsidP="00CB67C8" w:rsidRDefault="00CB67C8" w14:paraId="584BB933" w14:textId="77777777">
      <w:pPr>
        <w:widowControl w:val="0"/>
        <w:tabs>
          <w:tab w:val="left" w:pos="1530"/>
          <w:tab w:val="right" w:pos="7200"/>
        </w:tabs>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CB67C8" w:rsidRDefault="00CB67C8" w14:paraId="6C0CC38C" w14:textId="77777777">
      <w:pPr>
        <w:widowControl w:val="0"/>
        <w:numPr>
          <w:ilvl w:val="0"/>
          <w:numId w:val="1"/>
        </w:numPr>
        <w:tabs>
          <w:tab w:val="left" w:pos="810"/>
        </w:tabs>
        <w:autoSpaceDE w:val="0"/>
        <w:autoSpaceDN w:val="0"/>
        <w:adjustRightInd w:val="0"/>
        <w:spacing w:after="0" w:line="242" w:lineRule="auto"/>
        <w:ind w:left="1440" w:hanging="108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t>Capital Costs</w:t>
      </w:r>
    </w:p>
    <w:p w:rsidRPr="00CB67C8" w:rsidR="00CB67C8" w:rsidP="00CB67C8" w:rsidRDefault="00CB67C8" w14:paraId="40B6D2E3" w14:textId="77777777">
      <w:pPr>
        <w:widowControl w:val="0"/>
        <w:autoSpaceDE w:val="0"/>
        <w:autoSpaceDN w:val="0"/>
        <w:adjustRightInd w:val="0"/>
        <w:spacing w:after="0" w:line="242" w:lineRule="auto"/>
        <w:ind w:left="360"/>
        <w:rPr>
          <w:rFonts w:ascii="Times New Roman" w:hAnsi="Times New Roman" w:eastAsia="Times New Roman" w:cs="Times New Roman"/>
          <w:sz w:val="24"/>
          <w:szCs w:val="24"/>
          <w:u w:val="single"/>
        </w:rPr>
      </w:pPr>
    </w:p>
    <w:p w:rsidRPr="0055589C" w:rsidR="00AF63AF" w:rsidP="002B01D8" w:rsidRDefault="002B01D8" w14:paraId="7C200D83" w14:textId="592D0931">
      <w:pPr>
        <w:widowControl w:val="0"/>
        <w:autoSpaceDE w:val="0"/>
        <w:autoSpaceDN w:val="0"/>
        <w:adjustRightInd w:val="0"/>
        <w:spacing w:after="0" w:line="242" w:lineRule="auto"/>
        <w:ind w:left="810"/>
        <w:rPr>
          <w:rFonts w:ascii="Times New Roman" w:hAnsi="Times New Roman" w:eastAsia="Times New Roman" w:cs="Times New Roman"/>
          <w:sz w:val="24"/>
          <w:szCs w:val="24"/>
        </w:rPr>
      </w:pPr>
      <w:r w:rsidRPr="0055589C">
        <w:rPr>
          <w:rFonts w:ascii="Times New Roman" w:hAnsi="Times New Roman" w:eastAsia="Times New Roman" w:cs="Times New Roman"/>
          <w:sz w:val="24"/>
          <w:szCs w:val="24"/>
        </w:rPr>
        <w:t>There are no capital costs.</w:t>
      </w:r>
    </w:p>
    <w:p w:rsidRPr="0055589C" w:rsidR="00AF63AF" w:rsidP="002B01D8" w:rsidRDefault="00AF63AF" w14:paraId="6E45D80C" w14:textId="6B15CB02">
      <w:pPr>
        <w:widowControl w:val="0"/>
        <w:autoSpaceDE w:val="0"/>
        <w:autoSpaceDN w:val="0"/>
        <w:adjustRightInd w:val="0"/>
        <w:spacing w:after="0" w:line="242" w:lineRule="auto"/>
        <w:rPr>
          <w:rFonts w:ascii="Times New Roman" w:hAnsi="Times New Roman" w:eastAsia="Times New Roman" w:cs="Times New Roman"/>
          <w:sz w:val="24"/>
          <w:szCs w:val="24"/>
        </w:rPr>
      </w:pPr>
    </w:p>
    <w:p w:rsidRPr="0055589C" w:rsidR="00CB67C8" w:rsidP="0055589C" w:rsidRDefault="00CB67C8" w14:paraId="51E01BEC" w14:textId="77777777">
      <w:pPr>
        <w:widowControl w:val="0"/>
        <w:numPr>
          <w:ilvl w:val="0"/>
          <w:numId w:val="1"/>
        </w:numPr>
        <w:tabs>
          <w:tab w:val="clear" w:pos="1530"/>
          <w:tab w:val="left" w:pos="360"/>
          <w:tab w:val="num" w:pos="810"/>
        </w:tabs>
        <w:autoSpaceDE w:val="0"/>
        <w:autoSpaceDN w:val="0"/>
        <w:adjustRightInd w:val="0"/>
        <w:spacing w:after="0" w:line="242" w:lineRule="auto"/>
        <w:ind w:left="360" w:firstLine="0"/>
        <w:rPr>
          <w:rFonts w:ascii="Times New Roman" w:hAnsi="Times New Roman" w:eastAsia="Times New Roman" w:cs="Times New Roman"/>
          <w:sz w:val="24"/>
          <w:szCs w:val="24"/>
          <w:u w:val="single"/>
        </w:rPr>
      </w:pPr>
      <w:r w:rsidRPr="0055589C">
        <w:rPr>
          <w:rFonts w:ascii="Times New Roman" w:hAnsi="Times New Roman" w:eastAsia="Times New Roman" w:cs="Times New Roman"/>
          <w:sz w:val="24"/>
          <w:szCs w:val="24"/>
        </w:rPr>
        <w:t xml:space="preserve"> </w:t>
      </w:r>
      <w:r w:rsidRPr="0055589C">
        <w:rPr>
          <w:rFonts w:ascii="Times New Roman" w:hAnsi="Times New Roman" w:eastAsia="Times New Roman" w:cs="Times New Roman"/>
          <w:sz w:val="24"/>
          <w:szCs w:val="24"/>
          <w:u w:val="single"/>
        </w:rPr>
        <w:t>Cost to Federal Government</w:t>
      </w:r>
    </w:p>
    <w:p w:rsidRPr="00CB67C8" w:rsidR="00CB67C8" w:rsidP="00CB67C8" w:rsidRDefault="00CB67C8" w14:paraId="1D9C1F3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rPr>
          <w:rFonts w:ascii="Times New Roman" w:hAnsi="Times New Roman" w:eastAsia="Times New Roman" w:cs="Times New Roman"/>
          <w:sz w:val="24"/>
          <w:szCs w:val="24"/>
        </w:rPr>
      </w:pPr>
    </w:p>
    <w:tbl>
      <w:tblPr>
        <w:tblW w:w="8034" w:type="dxa"/>
        <w:tblInd w:w="1535" w:type="dxa"/>
        <w:tblLook w:val="04A0" w:firstRow="1" w:lastRow="0" w:firstColumn="1" w:lastColumn="0" w:noHBand="0" w:noVBand="1"/>
      </w:tblPr>
      <w:tblGrid>
        <w:gridCol w:w="266"/>
        <w:gridCol w:w="4480"/>
        <w:gridCol w:w="1340"/>
        <w:gridCol w:w="266"/>
        <w:gridCol w:w="1416"/>
        <w:gridCol w:w="266"/>
      </w:tblGrid>
      <w:tr w:rsidRPr="00CB67C8" w:rsidR="00CB67C8" w:rsidTr="00416EB9" w14:paraId="396C3009" w14:textId="77777777">
        <w:trPr>
          <w:trHeight w:val="300"/>
        </w:trPr>
        <w:tc>
          <w:tcPr>
            <w:tcW w:w="266" w:type="dxa"/>
            <w:tcBorders>
              <w:top w:val="single" w:color="auto" w:sz="8" w:space="0"/>
              <w:left w:val="single" w:color="auto" w:sz="8" w:space="0"/>
              <w:bottom w:val="nil"/>
              <w:right w:val="nil"/>
            </w:tcBorders>
            <w:shd w:val="clear" w:color="auto" w:fill="auto"/>
            <w:noWrap/>
            <w:vAlign w:val="bottom"/>
            <w:hideMark/>
          </w:tcPr>
          <w:p w:rsidRPr="00CB67C8" w:rsidR="00CB67C8" w:rsidP="00CB67C8" w:rsidRDefault="00CB67C8" w14:paraId="0966BC88"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4480" w:type="dxa"/>
            <w:tcBorders>
              <w:top w:val="single" w:color="auto" w:sz="8" w:space="0"/>
              <w:left w:val="nil"/>
              <w:bottom w:val="nil"/>
              <w:right w:val="nil"/>
            </w:tcBorders>
            <w:shd w:val="clear" w:color="auto" w:fill="auto"/>
            <w:noWrap/>
            <w:vAlign w:val="bottom"/>
            <w:hideMark/>
          </w:tcPr>
          <w:p w:rsidRPr="00CB67C8" w:rsidR="00CB67C8" w:rsidP="00CB67C8" w:rsidRDefault="00CB67C8" w14:paraId="455B5352"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1340" w:type="dxa"/>
            <w:tcBorders>
              <w:top w:val="single" w:color="auto" w:sz="8" w:space="0"/>
              <w:left w:val="nil"/>
              <w:bottom w:val="nil"/>
              <w:right w:val="nil"/>
            </w:tcBorders>
            <w:shd w:val="clear" w:color="auto" w:fill="auto"/>
            <w:noWrap/>
            <w:vAlign w:val="bottom"/>
            <w:hideMark/>
          </w:tcPr>
          <w:p w:rsidRPr="00CB67C8" w:rsidR="00CB67C8" w:rsidP="00CB67C8" w:rsidRDefault="00CB67C8" w14:paraId="5B98472E"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266" w:type="dxa"/>
            <w:tcBorders>
              <w:top w:val="single" w:color="auto" w:sz="8" w:space="0"/>
              <w:left w:val="nil"/>
              <w:bottom w:val="nil"/>
              <w:right w:val="nil"/>
            </w:tcBorders>
            <w:shd w:val="clear" w:color="auto" w:fill="auto"/>
            <w:noWrap/>
            <w:vAlign w:val="bottom"/>
            <w:hideMark/>
          </w:tcPr>
          <w:p w:rsidRPr="00CB67C8" w:rsidR="00CB67C8" w:rsidP="00CB67C8" w:rsidRDefault="00CB67C8" w14:paraId="7BEF9A1B"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1416" w:type="dxa"/>
            <w:tcBorders>
              <w:top w:val="single" w:color="auto" w:sz="8" w:space="0"/>
              <w:left w:val="nil"/>
              <w:bottom w:val="nil"/>
              <w:right w:val="nil"/>
            </w:tcBorders>
            <w:shd w:val="clear" w:color="auto" w:fill="auto"/>
            <w:noWrap/>
            <w:vAlign w:val="bottom"/>
            <w:hideMark/>
          </w:tcPr>
          <w:p w:rsidRPr="00CB67C8" w:rsidR="00CB67C8" w:rsidP="00CB67C8" w:rsidRDefault="00CB67C8" w14:paraId="31F7FB51"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266" w:type="dxa"/>
            <w:tcBorders>
              <w:top w:val="single" w:color="auto" w:sz="8" w:space="0"/>
              <w:left w:val="nil"/>
              <w:bottom w:val="nil"/>
              <w:right w:val="single" w:color="auto" w:sz="8" w:space="0"/>
            </w:tcBorders>
            <w:shd w:val="clear" w:color="auto" w:fill="auto"/>
            <w:noWrap/>
            <w:vAlign w:val="bottom"/>
            <w:hideMark/>
          </w:tcPr>
          <w:p w:rsidRPr="00CB67C8" w:rsidR="00CB67C8" w:rsidP="00CB67C8" w:rsidRDefault="00CB67C8" w14:paraId="11710F7F"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r>
      <w:tr w:rsidRPr="00CB67C8" w:rsidR="00CB67C8" w:rsidTr="00416EB9" w14:paraId="640B5FB9" w14:textId="77777777">
        <w:trPr>
          <w:trHeight w:val="315"/>
        </w:trPr>
        <w:tc>
          <w:tcPr>
            <w:tcW w:w="266" w:type="dxa"/>
            <w:tcBorders>
              <w:top w:val="nil"/>
              <w:left w:val="single" w:color="auto" w:sz="8" w:space="0"/>
              <w:bottom w:val="nil"/>
              <w:right w:val="nil"/>
            </w:tcBorders>
            <w:shd w:val="clear" w:color="auto" w:fill="auto"/>
            <w:noWrap/>
            <w:vAlign w:val="bottom"/>
            <w:hideMark/>
          </w:tcPr>
          <w:p w:rsidRPr="00CB67C8" w:rsidR="00CB67C8" w:rsidP="00CB67C8" w:rsidRDefault="00CB67C8" w14:paraId="067BAC41"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6086" w:type="dxa"/>
            <w:gridSpan w:val="3"/>
            <w:tcBorders>
              <w:top w:val="nil"/>
              <w:left w:val="nil"/>
              <w:bottom w:val="nil"/>
              <w:right w:val="nil"/>
            </w:tcBorders>
            <w:shd w:val="clear" w:color="auto" w:fill="auto"/>
            <w:noWrap/>
            <w:vAlign w:val="bottom"/>
            <w:hideMark/>
          </w:tcPr>
          <w:p w:rsidRPr="00CB67C8" w:rsidR="00CB67C8" w:rsidP="00CB67C8" w:rsidRDefault="00CB67C8" w14:paraId="518BEB11" w14:textId="77777777">
            <w:pPr>
              <w:spacing w:after="0" w:line="240" w:lineRule="auto"/>
              <w:rPr>
                <w:rFonts w:ascii="Times New Roman" w:hAnsi="Times New Roman" w:eastAsia="Times New Roman" w:cs="Times New Roman"/>
                <w:color w:val="000000"/>
                <w:sz w:val="24"/>
                <w:szCs w:val="24"/>
                <w:u w:val="single"/>
              </w:rPr>
            </w:pPr>
            <w:r w:rsidRPr="00CB67C8">
              <w:rPr>
                <w:rFonts w:ascii="Times New Roman" w:hAnsi="Times New Roman" w:eastAsia="Times New Roman" w:cs="Times New Roman"/>
                <w:color w:val="000000"/>
                <w:sz w:val="24"/>
                <w:szCs w:val="24"/>
                <w:u w:val="single"/>
              </w:rPr>
              <w:t>Annual cost to Medicare Contractors</w:t>
            </w:r>
            <w:r w:rsidRPr="00CB67C8">
              <w:rPr>
                <w:rFonts w:ascii="Times New Roman" w:hAnsi="Times New Roman" w:eastAsia="Times New Roman" w:cs="Times New Roman"/>
                <w:color w:val="000000"/>
                <w:sz w:val="24"/>
                <w:szCs w:val="24"/>
              </w:rPr>
              <w:t>:</w:t>
            </w:r>
          </w:p>
        </w:tc>
        <w:tc>
          <w:tcPr>
            <w:tcW w:w="1416" w:type="dxa"/>
            <w:tcBorders>
              <w:top w:val="nil"/>
              <w:left w:val="nil"/>
              <w:bottom w:val="nil"/>
              <w:right w:val="nil"/>
            </w:tcBorders>
            <w:shd w:val="clear" w:color="auto" w:fill="auto"/>
            <w:noWrap/>
            <w:vAlign w:val="bottom"/>
            <w:hideMark/>
          </w:tcPr>
          <w:p w:rsidRPr="00CB67C8" w:rsidR="00CB67C8" w:rsidP="00CB67C8" w:rsidRDefault="00CB67C8" w14:paraId="7FC5C084"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single" w:color="auto" w:sz="8" w:space="0"/>
            </w:tcBorders>
            <w:shd w:val="clear" w:color="auto" w:fill="auto"/>
            <w:noWrap/>
            <w:vAlign w:val="bottom"/>
            <w:hideMark/>
          </w:tcPr>
          <w:p w:rsidRPr="00CB67C8" w:rsidR="00CB67C8" w:rsidP="00CB67C8" w:rsidRDefault="00CB67C8" w14:paraId="607783E2"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r>
      <w:tr w:rsidRPr="00CB67C8" w:rsidR="00CB67C8" w:rsidTr="00416EB9" w14:paraId="7C159128" w14:textId="77777777">
        <w:trPr>
          <w:trHeight w:val="300"/>
        </w:trPr>
        <w:tc>
          <w:tcPr>
            <w:tcW w:w="266" w:type="dxa"/>
            <w:tcBorders>
              <w:top w:val="nil"/>
              <w:left w:val="single" w:color="auto" w:sz="8" w:space="0"/>
              <w:right w:val="nil"/>
            </w:tcBorders>
            <w:shd w:val="clear" w:color="auto" w:fill="auto"/>
            <w:noWrap/>
            <w:vAlign w:val="bottom"/>
            <w:hideMark/>
          </w:tcPr>
          <w:p w:rsidRPr="00CB67C8" w:rsidR="00CB67C8" w:rsidP="00CB67C8" w:rsidRDefault="00CB67C8" w14:paraId="23642841"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6086" w:type="dxa"/>
            <w:gridSpan w:val="3"/>
            <w:vMerge w:val="restart"/>
            <w:tcBorders>
              <w:top w:val="nil"/>
              <w:left w:val="nil"/>
              <w:bottom w:val="nil"/>
              <w:right w:val="nil"/>
            </w:tcBorders>
            <w:shd w:val="clear" w:color="auto" w:fill="auto"/>
            <w:vAlign w:val="bottom"/>
            <w:hideMark/>
          </w:tcPr>
          <w:p w:rsidRPr="00CB67C8" w:rsidR="00CB67C8" w:rsidP="00CB67C8" w:rsidRDefault="00CB67C8" w14:paraId="54691C9B" w14:textId="77777777">
            <w:pPr>
              <w:spacing w:after="0" w:line="240" w:lineRule="auto"/>
              <w:rPr>
                <w:rFonts w:ascii="Times New Roman" w:hAnsi="Times New Roman" w:eastAsia="Times New Roman" w:cs="Times New Roman"/>
                <w:color w:val="000000"/>
                <w:sz w:val="24"/>
                <w:szCs w:val="24"/>
              </w:rPr>
            </w:pPr>
            <w:r w:rsidRPr="00CB67C8">
              <w:rPr>
                <w:rFonts w:ascii="Times New Roman" w:hAnsi="Times New Roman" w:eastAsia="Times New Roman" w:cs="Times New Roman"/>
                <w:color w:val="000000"/>
                <w:sz w:val="24"/>
                <w:szCs w:val="24"/>
              </w:rPr>
              <w:t>Annual costs incurred are related to processing information contained on the forms, particularly associated with achieving settlements.  Medicare contractors' processing costs are based on estimates provided by the Office of Financial Management (OFM).</w:t>
            </w:r>
          </w:p>
        </w:tc>
        <w:tc>
          <w:tcPr>
            <w:tcW w:w="1416" w:type="dxa"/>
            <w:tcBorders>
              <w:top w:val="nil"/>
              <w:left w:val="nil"/>
              <w:bottom w:val="nil"/>
              <w:right w:val="nil"/>
            </w:tcBorders>
            <w:shd w:val="clear" w:color="auto" w:fill="auto"/>
            <w:noWrap/>
            <w:vAlign w:val="bottom"/>
            <w:hideMark/>
          </w:tcPr>
          <w:p w:rsidRPr="00CB67C8" w:rsidR="00CB67C8" w:rsidP="00CB67C8" w:rsidRDefault="00CB67C8" w14:paraId="5F7B3BBA"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single" w:color="auto" w:sz="8" w:space="0"/>
            </w:tcBorders>
            <w:shd w:val="clear" w:color="auto" w:fill="auto"/>
            <w:noWrap/>
            <w:vAlign w:val="bottom"/>
            <w:hideMark/>
          </w:tcPr>
          <w:p w:rsidRPr="00CB67C8" w:rsidR="00CB67C8" w:rsidP="00CB67C8" w:rsidRDefault="00CB67C8" w14:paraId="15AF2B1C"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r>
      <w:tr w:rsidRPr="00CB67C8" w:rsidR="00CB67C8" w:rsidTr="00416EB9" w14:paraId="1787A044" w14:textId="77777777">
        <w:trPr>
          <w:trHeight w:val="300"/>
        </w:trPr>
        <w:tc>
          <w:tcPr>
            <w:tcW w:w="266" w:type="dxa"/>
            <w:tcBorders>
              <w:top w:val="nil"/>
              <w:left w:val="single" w:color="auto" w:sz="8" w:space="0"/>
              <w:bottom w:val="nil"/>
            </w:tcBorders>
            <w:shd w:val="clear" w:color="auto" w:fill="auto"/>
            <w:noWrap/>
            <w:vAlign w:val="bottom"/>
            <w:hideMark/>
          </w:tcPr>
          <w:p w:rsidRPr="00CB67C8" w:rsidR="00CB67C8" w:rsidP="00CB67C8" w:rsidRDefault="00CB67C8" w14:paraId="626EB061"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6086" w:type="dxa"/>
            <w:gridSpan w:val="3"/>
            <w:vMerge/>
            <w:tcBorders>
              <w:top w:val="nil"/>
              <w:left w:val="nil"/>
              <w:bottom w:val="nil"/>
              <w:right w:val="nil"/>
            </w:tcBorders>
            <w:vAlign w:val="center"/>
            <w:hideMark/>
          </w:tcPr>
          <w:p w:rsidRPr="00CB67C8" w:rsidR="00CB67C8" w:rsidP="00CB67C8" w:rsidRDefault="00CB67C8" w14:paraId="4B715506" w14:textId="77777777">
            <w:pPr>
              <w:spacing w:after="0" w:line="240" w:lineRule="auto"/>
              <w:rPr>
                <w:rFonts w:ascii="Times New Roman" w:hAnsi="Times New Roman" w:eastAsia="Times New Roman" w:cs="Times New Roman"/>
                <w:color w:val="000000"/>
                <w:sz w:val="24"/>
                <w:szCs w:val="24"/>
              </w:rPr>
            </w:pPr>
          </w:p>
        </w:tc>
        <w:tc>
          <w:tcPr>
            <w:tcW w:w="1416" w:type="dxa"/>
            <w:tcBorders>
              <w:top w:val="nil"/>
              <w:left w:val="nil"/>
              <w:bottom w:val="nil"/>
              <w:right w:val="nil"/>
            </w:tcBorders>
            <w:shd w:val="clear" w:color="auto" w:fill="auto"/>
            <w:noWrap/>
            <w:vAlign w:val="bottom"/>
            <w:hideMark/>
          </w:tcPr>
          <w:p w:rsidRPr="00CB67C8" w:rsidR="00CB67C8" w:rsidP="00CB67C8" w:rsidRDefault="00CB67C8" w14:paraId="55D7B493"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single" w:color="auto" w:sz="8" w:space="0"/>
            </w:tcBorders>
            <w:shd w:val="clear" w:color="auto" w:fill="auto"/>
            <w:noWrap/>
            <w:vAlign w:val="bottom"/>
            <w:hideMark/>
          </w:tcPr>
          <w:p w:rsidRPr="00CB67C8" w:rsidR="00CB67C8" w:rsidP="00CB67C8" w:rsidRDefault="00CB67C8" w14:paraId="4F374CBC"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r>
      <w:tr w:rsidRPr="00CB67C8" w:rsidR="00CB67C8" w:rsidTr="00416EB9" w14:paraId="45CC3ABF" w14:textId="77777777">
        <w:trPr>
          <w:trHeight w:val="300"/>
        </w:trPr>
        <w:tc>
          <w:tcPr>
            <w:tcW w:w="266" w:type="dxa"/>
            <w:tcBorders>
              <w:top w:val="nil"/>
              <w:left w:val="single" w:color="auto" w:sz="8" w:space="0"/>
              <w:bottom w:val="nil"/>
            </w:tcBorders>
            <w:shd w:val="clear" w:color="auto" w:fill="auto"/>
            <w:noWrap/>
            <w:vAlign w:val="bottom"/>
            <w:hideMark/>
          </w:tcPr>
          <w:p w:rsidRPr="00CB67C8" w:rsidR="00CB67C8" w:rsidP="00CB67C8" w:rsidRDefault="00CB67C8" w14:paraId="491C0D9F"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6086" w:type="dxa"/>
            <w:gridSpan w:val="3"/>
            <w:vMerge/>
            <w:tcBorders>
              <w:top w:val="nil"/>
              <w:left w:val="nil"/>
              <w:bottom w:val="nil"/>
              <w:right w:val="nil"/>
            </w:tcBorders>
            <w:vAlign w:val="center"/>
            <w:hideMark/>
          </w:tcPr>
          <w:p w:rsidRPr="00CB67C8" w:rsidR="00CB67C8" w:rsidP="00CB67C8" w:rsidRDefault="00CB67C8" w14:paraId="54435A16" w14:textId="77777777">
            <w:pPr>
              <w:spacing w:after="0" w:line="240" w:lineRule="auto"/>
              <w:rPr>
                <w:rFonts w:ascii="Times New Roman" w:hAnsi="Times New Roman" w:eastAsia="Times New Roman" w:cs="Times New Roman"/>
                <w:color w:val="000000"/>
                <w:sz w:val="24"/>
                <w:szCs w:val="24"/>
              </w:rPr>
            </w:pPr>
          </w:p>
        </w:tc>
        <w:tc>
          <w:tcPr>
            <w:tcW w:w="1416" w:type="dxa"/>
            <w:tcBorders>
              <w:top w:val="nil"/>
              <w:left w:val="nil"/>
              <w:bottom w:val="nil"/>
              <w:right w:val="nil"/>
            </w:tcBorders>
            <w:shd w:val="clear" w:color="auto" w:fill="auto"/>
            <w:noWrap/>
            <w:vAlign w:val="bottom"/>
            <w:hideMark/>
          </w:tcPr>
          <w:p w:rsidRPr="00CB67C8" w:rsidR="00CB67C8" w:rsidP="00CB67C8" w:rsidRDefault="00CB67C8" w14:paraId="36E3E937"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single" w:color="auto" w:sz="8" w:space="0"/>
            </w:tcBorders>
            <w:shd w:val="clear" w:color="auto" w:fill="auto"/>
            <w:noWrap/>
            <w:vAlign w:val="bottom"/>
            <w:hideMark/>
          </w:tcPr>
          <w:p w:rsidRPr="00CB67C8" w:rsidR="00CB67C8" w:rsidP="00CB67C8" w:rsidRDefault="00CB67C8" w14:paraId="6076BA0C"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r>
      <w:tr w:rsidRPr="00CB67C8" w:rsidR="00CB67C8" w:rsidTr="00416EB9" w14:paraId="37F612C8" w14:textId="77777777">
        <w:trPr>
          <w:trHeight w:val="315"/>
        </w:trPr>
        <w:tc>
          <w:tcPr>
            <w:tcW w:w="266" w:type="dxa"/>
            <w:tcBorders>
              <w:top w:val="nil"/>
              <w:left w:val="single" w:color="auto" w:sz="8" w:space="0"/>
              <w:bottom w:val="nil"/>
            </w:tcBorders>
            <w:shd w:val="clear" w:color="auto" w:fill="auto"/>
            <w:noWrap/>
            <w:vAlign w:val="bottom"/>
            <w:hideMark/>
          </w:tcPr>
          <w:p w:rsidRPr="00CB67C8" w:rsidR="00CB67C8" w:rsidP="00CB67C8" w:rsidRDefault="00CB67C8" w14:paraId="46F689CD"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6086" w:type="dxa"/>
            <w:gridSpan w:val="3"/>
            <w:vMerge/>
            <w:tcBorders>
              <w:top w:val="nil"/>
              <w:left w:val="nil"/>
              <w:bottom w:val="nil"/>
              <w:right w:val="nil"/>
            </w:tcBorders>
            <w:vAlign w:val="center"/>
            <w:hideMark/>
          </w:tcPr>
          <w:p w:rsidRPr="00CB67C8" w:rsidR="00CB67C8" w:rsidP="00CB67C8" w:rsidRDefault="00CB67C8" w14:paraId="7B116432" w14:textId="77777777">
            <w:pPr>
              <w:spacing w:after="0" w:line="240" w:lineRule="auto"/>
              <w:rPr>
                <w:rFonts w:ascii="Times New Roman" w:hAnsi="Times New Roman" w:eastAsia="Times New Roman" w:cs="Times New Roman"/>
                <w:color w:val="000000"/>
                <w:sz w:val="24"/>
                <w:szCs w:val="24"/>
              </w:rPr>
            </w:pPr>
          </w:p>
        </w:tc>
        <w:tc>
          <w:tcPr>
            <w:tcW w:w="1416" w:type="dxa"/>
            <w:tcBorders>
              <w:top w:val="nil"/>
              <w:left w:val="nil"/>
              <w:bottom w:val="nil"/>
              <w:right w:val="nil"/>
            </w:tcBorders>
            <w:shd w:val="clear" w:color="auto" w:fill="auto"/>
            <w:noWrap/>
            <w:vAlign w:val="bottom"/>
            <w:hideMark/>
          </w:tcPr>
          <w:p w:rsidRPr="00CB67C8" w:rsidR="00CB67C8" w:rsidP="00280997" w:rsidRDefault="00CB67C8" w14:paraId="653DD37D" w14:textId="54778ABF">
            <w:pPr>
              <w:spacing w:after="0" w:line="240" w:lineRule="auto"/>
              <w:jc w:val="right"/>
              <w:rPr>
                <w:rFonts w:ascii="Times New Roman" w:hAnsi="Times New Roman" w:eastAsia="Times New Roman" w:cs="Times New Roman"/>
                <w:color w:val="000000"/>
                <w:sz w:val="24"/>
                <w:szCs w:val="24"/>
              </w:rPr>
            </w:pPr>
            <w:r w:rsidRPr="00091093">
              <w:rPr>
                <w:rFonts w:ascii="Times New Roman" w:hAnsi="Times New Roman" w:eastAsia="Times New Roman" w:cs="Times New Roman"/>
                <w:color w:val="000000"/>
                <w:sz w:val="24"/>
                <w:szCs w:val="24"/>
              </w:rPr>
              <w:t>$3</w:t>
            </w:r>
            <w:r w:rsidRPr="00091093" w:rsidR="00280997">
              <w:rPr>
                <w:rFonts w:ascii="Times New Roman" w:hAnsi="Times New Roman" w:eastAsia="Times New Roman" w:cs="Times New Roman"/>
                <w:color w:val="000000"/>
                <w:sz w:val="24"/>
                <w:szCs w:val="24"/>
              </w:rPr>
              <w:t>70</w:t>
            </w:r>
            <w:r w:rsidRPr="00091093">
              <w:rPr>
                <w:rFonts w:ascii="Times New Roman" w:hAnsi="Times New Roman" w:eastAsia="Times New Roman" w:cs="Times New Roman"/>
                <w:color w:val="000000"/>
                <w:sz w:val="24"/>
                <w:szCs w:val="24"/>
              </w:rPr>
              <w:t>,</w:t>
            </w:r>
            <w:r w:rsidRPr="00091093" w:rsidR="00280997">
              <w:rPr>
                <w:rFonts w:ascii="Times New Roman" w:hAnsi="Times New Roman" w:eastAsia="Times New Roman" w:cs="Times New Roman"/>
                <w:color w:val="000000"/>
                <w:sz w:val="24"/>
                <w:szCs w:val="24"/>
              </w:rPr>
              <w:t>50</w:t>
            </w:r>
            <w:r w:rsidRPr="00091093">
              <w:rPr>
                <w:rFonts w:ascii="Times New Roman" w:hAnsi="Times New Roman" w:eastAsia="Times New Roman" w:cs="Times New Roman"/>
                <w:color w:val="000000"/>
                <w:sz w:val="24"/>
                <w:szCs w:val="24"/>
              </w:rPr>
              <w:t>0</w:t>
            </w:r>
          </w:p>
        </w:tc>
        <w:tc>
          <w:tcPr>
            <w:tcW w:w="266" w:type="dxa"/>
            <w:tcBorders>
              <w:top w:val="nil"/>
              <w:left w:val="nil"/>
              <w:bottom w:val="nil"/>
              <w:right w:val="single" w:color="auto" w:sz="8" w:space="0"/>
            </w:tcBorders>
            <w:shd w:val="clear" w:color="auto" w:fill="auto"/>
            <w:noWrap/>
            <w:vAlign w:val="bottom"/>
            <w:hideMark/>
          </w:tcPr>
          <w:p w:rsidRPr="00CB67C8" w:rsidR="00CB67C8" w:rsidP="00CB67C8" w:rsidRDefault="00CB67C8" w14:paraId="0FE75009"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r>
      <w:tr w:rsidRPr="00CB67C8" w:rsidR="00CB67C8" w:rsidTr="00416EB9" w14:paraId="5B5AA34D" w14:textId="77777777">
        <w:trPr>
          <w:trHeight w:val="300"/>
        </w:trPr>
        <w:tc>
          <w:tcPr>
            <w:tcW w:w="266" w:type="dxa"/>
            <w:tcBorders>
              <w:top w:val="nil"/>
              <w:left w:val="single" w:color="auto" w:sz="8" w:space="0"/>
              <w:bottom w:val="nil"/>
              <w:right w:val="nil"/>
            </w:tcBorders>
            <w:shd w:val="clear" w:color="auto" w:fill="auto"/>
            <w:noWrap/>
            <w:vAlign w:val="bottom"/>
            <w:hideMark/>
          </w:tcPr>
          <w:p w:rsidRPr="00CB67C8" w:rsidR="00CB67C8" w:rsidP="00CB67C8" w:rsidRDefault="00CB67C8" w14:paraId="763B4E42"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4480" w:type="dxa"/>
            <w:tcBorders>
              <w:top w:val="nil"/>
              <w:left w:val="nil"/>
              <w:bottom w:val="nil"/>
              <w:right w:val="nil"/>
            </w:tcBorders>
            <w:shd w:val="clear" w:color="auto" w:fill="auto"/>
            <w:noWrap/>
            <w:vAlign w:val="bottom"/>
            <w:hideMark/>
          </w:tcPr>
          <w:p w:rsidRPr="00CB67C8" w:rsidR="00CB67C8" w:rsidP="00CB67C8" w:rsidRDefault="00CB67C8" w14:paraId="5C361E61" w14:textId="77777777">
            <w:pPr>
              <w:spacing w:after="0" w:line="240" w:lineRule="auto"/>
              <w:rPr>
                <w:rFonts w:ascii="Times New Roman" w:hAnsi="Times New Roman" w:eastAsia="Times New Roman" w:cs="Times New Roman"/>
                <w:sz w:val="20"/>
                <w:szCs w:val="20"/>
              </w:rPr>
            </w:pPr>
          </w:p>
        </w:tc>
        <w:tc>
          <w:tcPr>
            <w:tcW w:w="1340" w:type="dxa"/>
            <w:tcBorders>
              <w:top w:val="nil"/>
              <w:left w:val="nil"/>
              <w:bottom w:val="nil"/>
              <w:right w:val="nil"/>
            </w:tcBorders>
            <w:shd w:val="clear" w:color="auto" w:fill="auto"/>
            <w:noWrap/>
            <w:vAlign w:val="bottom"/>
            <w:hideMark/>
          </w:tcPr>
          <w:p w:rsidRPr="00CB67C8" w:rsidR="00CB67C8" w:rsidP="00CB67C8" w:rsidRDefault="00CB67C8" w14:paraId="2338585D"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nil"/>
            </w:tcBorders>
            <w:shd w:val="clear" w:color="auto" w:fill="auto"/>
            <w:noWrap/>
            <w:vAlign w:val="bottom"/>
            <w:hideMark/>
          </w:tcPr>
          <w:p w:rsidRPr="00CB67C8" w:rsidR="00CB67C8" w:rsidP="00CB67C8" w:rsidRDefault="00CB67C8" w14:paraId="43A2BB8E" w14:textId="77777777">
            <w:pPr>
              <w:spacing w:after="0" w:line="240" w:lineRule="auto"/>
              <w:rPr>
                <w:rFonts w:ascii="Times New Roman" w:hAnsi="Times New Roman" w:eastAsia="Times New Roman" w:cs="Times New Roman"/>
                <w:sz w:val="20"/>
                <w:szCs w:val="20"/>
              </w:rPr>
            </w:pPr>
          </w:p>
        </w:tc>
        <w:tc>
          <w:tcPr>
            <w:tcW w:w="1416" w:type="dxa"/>
            <w:tcBorders>
              <w:top w:val="nil"/>
              <w:left w:val="nil"/>
              <w:bottom w:val="nil"/>
              <w:right w:val="nil"/>
            </w:tcBorders>
            <w:shd w:val="clear" w:color="auto" w:fill="auto"/>
            <w:noWrap/>
            <w:vAlign w:val="bottom"/>
            <w:hideMark/>
          </w:tcPr>
          <w:p w:rsidRPr="00CB67C8" w:rsidR="00CB67C8" w:rsidP="00CB67C8" w:rsidRDefault="00CB67C8" w14:paraId="55021345"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single" w:color="auto" w:sz="8" w:space="0"/>
            </w:tcBorders>
            <w:shd w:val="clear" w:color="auto" w:fill="auto"/>
            <w:noWrap/>
            <w:vAlign w:val="bottom"/>
            <w:hideMark/>
          </w:tcPr>
          <w:p w:rsidRPr="00CB67C8" w:rsidR="00CB67C8" w:rsidP="00CB67C8" w:rsidRDefault="00CB67C8" w14:paraId="4BAA325B"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r>
      <w:tr w:rsidRPr="00CB67C8" w:rsidR="00CB67C8" w:rsidTr="00416EB9" w14:paraId="4600D46D" w14:textId="77777777">
        <w:trPr>
          <w:trHeight w:val="315"/>
        </w:trPr>
        <w:tc>
          <w:tcPr>
            <w:tcW w:w="266" w:type="dxa"/>
            <w:tcBorders>
              <w:top w:val="nil"/>
              <w:left w:val="single" w:color="auto" w:sz="8" w:space="0"/>
              <w:bottom w:val="nil"/>
              <w:right w:val="nil"/>
            </w:tcBorders>
            <w:shd w:val="clear" w:color="auto" w:fill="auto"/>
            <w:noWrap/>
            <w:vAlign w:val="bottom"/>
            <w:hideMark/>
          </w:tcPr>
          <w:p w:rsidRPr="00CB67C8" w:rsidR="00CB67C8" w:rsidP="00CB67C8" w:rsidRDefault="00CB67C8" w14:paraId="3F379D6F"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6086" w:type="dxa"/>
            <w:gridSpan w:val="3"/>
            <w:tcBorders>
              <w:top w:val="nil"/>
              <w:left w:val="nil"/>
              <w:bottom w:val="nil"/>
              <w:right w:val="nil"/>
            </w:tcBorders>
            <w:shd w:val="clear" w:color="auto" w:fill="auto"/>
            <w:noWrap/>
            <w:vAlign w:val="bottom"/>
            <w:hideMark/>
          </w:tcPr>
          <w:p w:rsidRPr="00CB67C8" w:rsidR="00CB67C8" w:rsidP="00CB67C8" w:rsidRDefault="00CB67C8" w14:paraId="539F8AB5" w14:textId="77777777">
            <w:pPr>
              <w:spacing w:after="0" w:line="240" w:lineRule="auto"/>
              <w:rPr>
                <w:rFonts w:ascii="Times New Roman" w:hAnsi="Times New Roman" w:eastAsia="Times New Roman" w:cs="Times New Roman"/>
                <w:color w:val="000000"/>
                <w:sz w:val="24"/>
                <w:szCs w:val="24"/>
                <w:u w:val="single"/>
              </w:rPr>
            </w:pPr>
            <w:r w:rsidRPr="00CB67C8">
              <w:rPr>
                <w:rFonts w:ascii="Times New Roman" w:hAnsi="Times New Roman" w:eastAsia="Times New Roman" w:cs="Times New Roman"/>
                <w:color w:val="000000"/>
                <w:sz w:val="24"/>
                <w:szCs w:val="24"/>
                <w:u w:val="single"/>
              </w:rPr>
              <w:t>Annual cost to CMS</w:t>
            </w:r>
            <w:r w:rsidRPr="00CB67C8">
              <w:rPr>
                <w:rFonts w:ascii="Times New Roman" w:hAnsi="Times New Roman" w:eastAsia="Times New Roman" w:cs="Times New Roman"/>
                <w:color w:val="000000"/>
                <w:sz w:val="24"/>
                <w:szCs w:val="24"/>
              </w:rPr>
              <w:t>:</w:t>
            </w:r>
          </w:p>
        </w:tc>
        <w:tc>
          <w:tcPr>
            <w:tcW w:w="1416" w:type="dxa"/>
            <w:tcBorders>
              <w:top w:val="nil"/>
              <w:left w:val="nil"/>
              <w:bottom w:val="nil"/>
              <w:right w:val="nil"/>
            </w:tcBorders>
            <w:shd w:val="clear" w:color="auto" w:fill="auto"/>
            <w:noWrap/>
            <w:vAlign w:val="bottom"/>
            <w:hideMark/>
          </w:tcPr>
          <w:p w:rsidRPr="00CB67C8" w:rsidR="00CB67C8" w:rsidP="00CB67C8" w:rsidRDefault="00CB67C8" w14:paraId="2A99245C"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single" w:color="auto" w:sz="8" w:space="0"/>
            </w:tcBorders>
            <w:shd w:val="clear" w:color="auto" w:fill="auto"/>
            <w:noWrap/>
            <w:vAlign w:val="bottom"/>
            <w:hideMark/>
          </w:tcPr>
          <w:p w:rsidRPr="00CB67C8" w:rsidR="00CB67C8" w:rsidP="00CB67C8" w:rsidRDefault="00CB67C8" w14:paraId="5014B8C2"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r>
      <w:tr w:rsidRPr="00CB67C8" w:rsidR="00CB67C8" w:rsidTr="00416EB9" w14:paraId="0A2D60E2" w14:textId="77777777">
        <w:trPr>
          <w:trHeight w:val="315"/>
        </w:trPr>
        <w:tc>
          <w:tcPr>
            <w:tcW w:w="266" w:type="dxa"/>
            <w:tcBorders>
              <w:top w:val="nil"/>
              <w:left w:val="single" w:color="auto" w:sz="8" w:space="0"/>
              <w:bottom w:val="nil"/>
              <w:right w:val="nil"/>
            </w:tcBorders>
            <w:shd w:val="clear" w:color="auto" w:fill="auto"/>
            <w:noWrap/>
            <w:vAlign w:val="bottom"/>
            <w:hideMark/>
          </w:tcPr>
          <w:p w:rsidRPr="00CB67C8" w:rsidR="00CB67C8" w:rsidP="00CB67C8" w:rsidRDefault="00CB67C8" w14:paraId="28E22D4B"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6086" w:type="dxa"/>
            <w:gridSpan w:val="3"/>
            <w:tcBorders>
              <w:top w:val="nil"/>
              <w:left w:val="nil"/>
              <w:bottom w:val="nil"/>
              <w:right w:val="nil"/>
            </w:tcBorders>
            <w:shd w:val="clear" w:color="auto" w:fill="auto"/>
            <w:noWrap/>
            <w:vAlign w:val="bottom"/>
            <w:hideMark/>
          </w:tcPr>
          <w:p w:rsidRPr="00CB67C8" w:rsidR="00CB67C8" w:rsidP="00CB67C8" w:rsidRDefault="00CB67C8" w14:paraId="07F06BF8" w14:textId="77777777">
            <w:pPr>
              <w:spacing w:after="0" w:line="240" w:lineRule="auto"/>
              <w:rPr>
                <w:rFonts w:ascii="Times New Roman" w:hAnsi="Times New Roman" w:eastAsia="Times New Roman" w:cs="Times New Roman"/>
                <w:color w:val="000000"/>
                <w:sz w:val="24"/>
                <w:szCs w:val="24"/>
              </w:rPr>
            </w:pPr>
            <w:r w:rsidRPr="00CB67C8">
              <w:rPr>
                <w:rFonts w:ascii="Times New Roman" w:hAnsi="Times New Roman" w:eastAsia="Times New Roman" w:cs="Times New Roman"/>
                <w:color w:val="000000"/>
                <w:sz w:val="24"/>
                <w:szCs w:val="24"/>
              </w:rPr>
              <w:t>Total CMS processing cost is from the HCRIS Budget:</w:t>
            </w:r>
          </w:p>
        </w:tc>
        <w:tc>
          <w:tcPr>
            <w:tcW w:w="1416" w:type="dxa"/>
            <w:tcBorders>
              <w:top w:val="nil"/>
              <w:left w:val="nil"/>
              <w:bottom w:val="nil"/>
              <w:right w:val="nil"/>
            </w:tcBorders>
            <w:shd w:val="clear" w:color="auto" w:fill="auto"/>
            <w:noWrap/>
            <w:vAlign w:val="bottom"/>
            <w:hideMark/>
          </w:tcPr>
          <w:p w:rsidRPr="00CB67C8" w:rsidR="00CB67C8" w:rsidP="00CB67C8" w:rsidRDefault="00CB67C8" w14:paraId="2D6AB4C7" w14:textId="299F9B2C">
            <w:pPr>
              <w:spacing w:after="0" w:line="240" w:lineRule="auto"/>
              <w:jc w:val="right"/>
              <w:rPr>
                <w:rFonts w:ascii="Times New Roman" w:hAnsi="Times New Roman" w:eastAsia="Times New Roman" w:cs="Times New Roman"/>
                <w:color w:val="000000"/>
                <w:sz w:val="24"/>
                <w:szCs w:val="24"/>
              </w:rPr>
            </w:pPr>
            <w:r w:rsidRPr="00CB67C8">
              <w:rPr>
                <w:rFonts w:ascii="Times New Roman" w:hAnsi="Times New Roman" w:eastAsia="Times New Roman" w:cs="Times New Roman"/>
                <w:color w:val="000000"/>
                <w:sz w:val="24"/>
                <w:szCs w:val="24"/>
              </w:rPr>
              <w:t>$</w:t>
            </w:r>
            <w:r w:rsidR="00111928">
              <w:rPr>
                <w:rFonts w:ascii="Times New Roman" w:hAnsi="Times New Roman" w:eastAsia="Times New Roman" w:cs="Times New Roman"/>
                <w:color w:val="000000"/>
                <w:sz w:val="24"/>
                <w:szCs w:val="24"/>
              </w:rPr>
              <w:t>44,00</w:t>
            </w:r>
            <w:r w:rsidRPr="00CB67C8">
              <w:rPr>
                <w:rFonts w:ascii="Times New Roman" w:hAnsi="Times New Roman" w:eastAsia="Times New Roman" w:cs="Times New Roman"/>
                <w:color w:val="000000"/>
                <w:sz w:val="24"/>
                <w:szCs w:val="24"/>
              </w:rPr>
              <w:t>0</w:t>
            </w:r>
          </w:p>
        </w:tc>
        <w:tc>
          <w:tcPr>
            <w:tcW w:w="266" w:type="dxa"/>
            <w:tcBorders>
              <w:top w:val="nil"/>
              <w:left w:val="nil"/>
              <w:bottom w:val="nil"/>
              <w:right w:val="single" w:color="auto" w:sz="8" w:space="0"/>
            </w:tcBorders>
            <w:shd w:val="clear" w:color="auto" w:fill="auto"/>
            <w:noWrap/>
            <w:vAlign w:val="bottom"/>
            <w:hideMark/>
          </w:tcPr>
          <w:p w:rsidRPr="00CB67C8" w:rsidR="00CB67C8" w:rsidP="00CB67C8" w:rsidRDefault="00CB67C8" w14:paraId="71A60C28"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r>
      <w:tr w:rsidRPr="00CB67C8" w:rsidR="00CB67C8" w:rsidTr="00416EB9" w14:paraId="48014F2E" w14:textId="77777777">
        <w:trPr>
          <w:trHeight w:val="315"/>
        </w:trPr>
        <w:tc>
          <w:tcPr>
            <w:tcW w:w="266" w:type="dxa"/>
            <w:tcBorders>
              <w:top w:val="nil"/>
              <w:left w:val="single" w:color="auto" w:sz="8" w:space="0"/>
              <w:bottom w:val="nil"/>
              <w:right w:val="nil"/>
            </w:tcBorders>
            <w:shd w:val="clear" w:color="auto" w:fill="auto"/>
            <w:noWrap/>
            <w:vAlign w:val="bottom"/>
            <w:hideMark/>
          </w:tcPr>
          <w:p w:rsidRPr="00CB67C8" w:rsidR="00CB67C8" w:rsidP="00CB67C8" w:rsidRDefault="00CB67C8" w14:paraId="09EA6571"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4480" w:type="dxa"/>
            <w:tcBorders>
              <w:top w:val="nil"/>
              <w:left w:val="nil"/>
              <w:bottom w:val="nil"/>
              <w:right w:val="nil"/>
            </w:tcBorders>
            <w:shd w:val="clear" w:color="auto" w:fill="auto"/>
            <w:noWrap/>
            <w:vAlign w:val="bottom"/>
            <w:hideMark/>
          </w:tcPr>
          <w:p w:rsidRPr="00CB67C8" w:rsidR="00CB67C8" w:rsidP="00CB67C8" w:rsidRDefault="00CB67C8" w14:paraId="00426164" w14:textId="77777777">
            <w:pPr>
              <w:spacing w:after="0" w:line="240" w:lineRule="auto"/>
              <w:rPr>
                <w:rFonts w:ascii="Times New Roman" w:hAnsi="Times New Roman" w:eastAsia="Times New Roman" w:cs="Times New Roman"/>
                <w:sz w:val="20"/>
                <w:szCs w:val="20"/>
              </w:rPr>
            </w:pPr>
          </w:p>
        </w:tc>
        <w:tc>
          <w:tcPr>
            <w:tcW w:w="1340" w:type="dxa"/>
            <w:tcBorders>
              <w:top w:val="nil"/>
              <w:left w:val="nil"/>
              <w:bottom w:val="nil"/>
              <w:right w:val="nil"/>
            </w:tcBorders>
            <w:shd w:val="clear" w:color="auto" w:fill="auto"/>
            <w:noWrap/>
            <w:vAlign w:val="bottom"/>
            <w:hideMark/>
          </w:tcPr>
          <w:p w:rsidRPr="00CB67C8" w:rsidR="00CB67C8" w:rsidP="00CB67C8" w:rsidRDefault="00CB67C8" w14:paraId="0D9EFBCB"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nil"/>
            </w:tcBorders>
            <w:shd w:val="clear" w:color="auto" w:fill="auto"/>
            <w:noWrap/>
            <w:vAlign w:val="bottom"/>
            <w:hideMark/>
          </w:tcPr>
          <w:p w:rsidRPr="00CB67C8" w:rsidR="00CB67C8" w:rsidP="00CB67C8" w:rsidRDefault="00CB67C8" w14:paraId="272E52A5" w14:textId="77777777">
            <w:pPr>
              <w:spacing w:after="0" w:line="240" w:lineRule="auto"/>
              <w:rPr>
                <w:rFonts w:ascii="Times New Roman" w:hAnsi="Times New Roman" w:eastAsia="Times New Roman" w:cs="Times New Roman"/>
                <w:sz w:val="20"/>
                <w:szCs w:val="20"/>
              </w:rPr>
            </w:pPr>
          </w:p>
        </w:tc>
        <w:tc>
          <w:tcPr>
            <w:tcW w:w="1416" w:type="dxa"/>
            <w:tcBorders>
              <w:top w:val="nil"/>
              <w:left w:val="nil"/>
              <w:bottom w:val="single" w:color="auto" w:sz="8" w:space="0"/>
              <w:right w:val="nil"/>
            </w:tcBorders>
            <w:shd w:val="clear" w:color="auto" w:fill="auto"/>
            <w:noWrap/>
            <w:vAlign w:val="bottom"/>
            <w:hideMark/>
          </w:tcPr>
          <w:p w:rsidRPr="00CB67C8" w:rsidR="00CB67C8" w:rsidP="00CB67C8" w:rsidRDefault="00CB67C8" w14:paraId="3725591E" w14:textId="77777777">
            <w:pPr>
              <w:spacing w:after="0" w:line="240" w:lineRule="auto"/>
              <w:rPr>
                <w:rFonts w:ascii="Times New Roman" w:hAnsi="Times New Roman" w:eastAsia="Times New Roman" w:cs="Times New Roman"/>
                <w:sz w:val="20"/>
                <w:szCs w:val="20"/>
              </w:rPr>
            </w:pPr>
            <w:r w:rsidRPr="00CB67C8">
              <w:rPr>
                <w:rFonts w:ascii="Times New Roman" w:hAnsi="Times New Roman" w:eastAsia="Times New Roman" w:cs="Times New Roman"/>
                <w:sz w:val="20"/>
                <w:szCs w:val="20"/>
              </w:rPr>
              <w:t> </w:t>
            </w:r>
          </w:p>
        </w:tc>
        <w:tc>
          <w:tcPr>
            <w:tcW w:w="266" w:type="dxa"/>
            <w:tcBorders>
              <w:top w:val="nil"/>
              <w:left w:val="nil"/>
              <w:bottom w:val="nil"/>
              <w:right w:val="single" w:color="auto" w:sz="8" w:space="0"/>
            </w:tcBorders>
            <w:shd w:val="clear" w:color="auto" w:fill="auto"/>
            <w:noWrap/>
            <w:vAlign w:val="bottom"/>
            <w:hideMark/>
          </w:tcPr>
          <w:p w:rsidRPr="00CB67C8" w:rsidR="00CB67C8" w:rsidP="00CB67C8" w:rsidRDefault="00CB67C8" w14:paraId="2ED8A366"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r>
      <w:tr w:rsidRPr="00CB67C8" w:rsidR="00CB67C8" w:rsidTr="00416EB9" w14:paraId="2EB3CE2C" w14:textId="77777777">
        <w:trPr>
          <w:trHeight w:val="330"/>
        </w:trPr>
        <w:tc>
          <w:tcPr>
            <w:tcW w:w="266" w:type="dxa"/>
            <w:tcBorders>
              <w:top w:val="nil"/>
              <w:left w:val="single" w:color="auto" w:sz="8" w:space="0"/>
              <w:bottom w:val="nil"/>
              <w:right w:val="nil"/>
            </w:tcBorders>
            <w:shd w:val="clear" w:color="auto" w:fill="auto"/>
            <w:noWrap/>
            <w:vAlign w:val="bottom"/>
            <w:hideMark/>
          </w:tcPr>
          <w:p w:rsidRPr="00CB67C8" w:rsidR="00CB67C8" w:rsidP="00CB67C8" w:rsidRDefault="00CB67C8" w14:paraId="75476A5B"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6086" w:type="dxa"/>
            <w:gridSpan w:val="3"/>
            <w:tcBorders>
              <w:top w:val="nil"/>
              <w:left w:val="nil"/>
              <w:bottom w:val="nil"/>
              <w:right w:val="nil"/>
            </w:tcBorders>
            <w:shd w:val="clear" w:color="auto" w:fill="auto"/>
            <w:noWrap/>
            <w:vAlign w:val="bottom"/>
            <w:hideMark/>
          </w:tcPr>
          <w:p w:rsidRPr="00CB67C8" w:rsidR="00CB67C8" w:rsidP="00CB67C8" w:rsidRDefault="00CB67C8" w14:paraId="4FC80C4F" w14:textId="77777777">
            <w:pPr>
              <w:spacing w:after="0" w:line="240" w:lineRule="auto"/>
              <w:rPr>
                <w:rFonts w:ascii="Times New Roman" w:hAnsi="Times New Roman" w:eastAsia="Times New Roman" w:cs="Times New Roman"/>
                <w:color w:val="000000"/>
                <w:sz w:val="24"/>
                <w:szCs w:val="24"/>
                <w:u w:val="single"/>
              </w:rPr>
            </w:pPr>
            <w:r w:rsidRPr="00CB67C8">
              <w:rPr>
                <w:rFonts w:ascii="Times New Roman" w:hAnsi="Times New Roman" w:eastAsia="Times New Roman" w:cs="Times New Roman"/>
                <w:color w:val="000000"/>
                <w:sz w:val="24"/>
                <w:szCs w:val="24"/>
                <w:u w:val="single"/>
              </w:rPr>
              <w:t>Total Federal Cost</w:t>
            </w:r>
          </w:p>
        </w:tc>
        <w:tc>
          <w:tcPr>
            <w:tcW w:w="1416" w:type="dxa"/>
            <w:tcBorders>
              <w:top w:val="nil"/>
              <w:left w:val="nil"/>
              <w:bottom w:val="double" w:color="auto" w:sz="6" w:space="0"/>
              <w:right w:val="nil"/>
            </w:tcBorders>
            <w:shd w:val="clear" w:color="auto" w:fill="auto"/>
            <w:noWrap/>
            <w:vAlign w:val="bottom"/>
            <w:hideMark/>
          </w:tcPr>
          <w:p w:rsidRPr="00CB67C8" w:rsidR="00CB67C8" w:rsidP="00280997" w:rsidRDefault="00CB67C8" w14:paraId="488D183A" w14:textId="2EB25A5B">
            <w:pPr>
              <w:spacing w:after="0" w:line="240" w:lineRule="auto"/>
              <w:jc w:val="right"/>
              <w:rPr>
                <w:rFonts w:ascii="Times New Roman" w:hAnsi="Times New Roman" w:eastAsia="Times New Roman" w:cs="Times New Roman"/>
                <w:color w:val="000000"/>
                <w:sz w:val="24"/>
                <w:szCs w:val="24"/>
              </w:rPr>
            </w:pPr>
            <w:r w:rsidRPr="00091093">
              <w:rPr>
                <w:rFonts w:ascii="Times New Roman" w:hAnsi="Times New Roman" w:eastAsia="Times New Roman" w:cs="Times New Roman"/>
                <w:color w:val="000000"/>
                <w:sz w:val="24"/>
                <w:szCs w:val="24"/>
              </w:rPr>
              <w:t>$</w:t>
            </w:r>
            <w:r w:rsidRPr="00091093" w:rsidR="00111928">
              <w:rPr>
                <w:rFonts w:ascii="Times New Roman" w:hAnsi="Times New Roman" w:eastAsia="Times New Roman" w:cs="Times New Roman"/>
                <w:color w:val="000000"/>
                <w:sz w:val="24"/>
                <w:szCs w:val="24"/>
              </w:rPr>
              <w:t>4</w:t>
            </w:r>
            <w:r w:rsidRPr="00091093" w:rsidR="00280997">
              <w:rPr>
                <w:rFonts w:ascii="Times New Roman" w:hAnsi="Times New Roman" w:eastAsia="Times New Roman" w:cs="Times New Roman"/>
                <w:color w:val="000000"/>
                <w:sz w:val="24"/>
                <w:szCs w:val="24"/>
              </w:rPr>
              <w:t>1</w:t>
            </w:r>
            <w:r w:rsidRPr="00091093" w:rsidR="00C74A95">
              <w:rPr>
                <w:rFonts w:ascii="Times New Roman" w:hAnsi="Times New Roman" w:eastAsia="Times New Roman" w:cs="Times New Roman"/>
                <w:color w:val="000000"/>
                <w:sz w:val="24"/>
                <w:szCs w:val="24"/>
              </w:rPr>
              <w:t>4</w:t>
            </w:r>
            <w:r w:rsidRPr="00091093">
              <w:rPr>
                <w:rFonts w:ascii="Times New Roman" w:hAnsi="Times New Roman" w:eastAsia="Times New Roman" w:cs="Times New Roman"/>
                <w:color w:val="000000"/>
                <w:sz w:val="24"/>
                <w:szCs w:val="24"/>
              </w:rPr>
              <w:t>,</w:t>
            </w:r>
            <w:r w:rsidRPr="00091093" w:rsidR="00280997">
              <w:rPr>
                <w:rFonts w:ascii="Times New Roman" w:hAnsi="Times New Roman" w:eastAsia="Times New Roman" w:cs="Times New Roman"/>
                <w:color w:val="000000"/>
                <w:sz w:val="24"/>
                <w:szCs w:val="24"/>
              </w:rPr>
              <w:t>5</w:t>
            </w:r>
            <w:r w:rsidRPr="00091093">
              <w:rPr>
                <w:rFonts w:ascii="Times New Roman" w:hAnsi="Times New Roman" w:eastAsia="Times New Roman" w:cs="Times New Roman"/>
                <w:color w:val="000000"/>
                <w:sz w:val="24"/>
                <w:szCs w:val="24"/>
              </w:rPr>
              <w:t>00</w:t>
            </w:r>
            <w:r w:rsidRPr="00CB67C8">
              <w:rPr>
                <w:rFonts w:ascii="Times New Roman" w:hAnsi="Times New Roman" w:eastAsia="Times New Roman" w:cs="Times New Roman"/>
                <w:color w:val="000000"/>
                <w:sz w:val="24"/>
                <w:szCs w:val="24"/>
              </w:rPr>
              <w:t xml:space="preserve"> </w:t>
            </w:r>
          </w:p>
        </w:tc>
        <w:tc>
          <w:tcPr>
            <w:tcW w:w="266" w:type="dxa"/>
            <w:tcBorders>
              <w:top w:val="nil"/>
              <w:left w:val="nil"/>
              <w:bottom w:val="nil"/>
              <w:right w:val="single" w:color="auto" w:sz="8" w:space="0"/>
            </w:tcBorders>
            <w:shd w:val="clear" w:color="auto" w:fill="auto"/>
            <w:noWrap/>
            <w:vAlign w:val="bottom"/>
            <w:hideMark/>
          </w:tcPr>
          <w:p w:rsidRPr="00CB67C8" w:rsidR="00CB67C8" w:rsidP="00CB67C8" w:rsidRDefault="00CB67C8" w14:paraId="67E747A1"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r>
      <w:tr w:rsidRPr="00CB67C8" w:rsidR="00CB67C8" w:rsidTr="00416EB9" w14:paraId="66669EB3" w14:textId="77777777">
        <w:trPr>
          <w:trHeight w:val="330"/>
        </w:trPr>
        <w:tc>
          <w:tcPr>
            <w:tcW w:w="266" w:type="dxa"/>
            <w:tcBorders>
              <w:top w:val="nil"/>
              <w:left w:val="single" w:color="auto" w:sz="8" w:space="0"/>
              <w:bottom w:val="single" w:color="auto" w:sz="8" w:space="0"/>
              <w:right w:val="nil"/>
            </w:tcBorders>
            <w:shd w:val="clear" w:color="auto" w:fill="auto"/>
            <w:noWrap/>
            <w:vAlign w:val="bottom"/>
            <w:hideMark/>
          </w:tcPr>
          <w:p w:rsidRPr="00CB67C8" w:rsidR="00CB67C8" w:rsidP="00CB67C8" w:rsidRDefault="00CB67C8" w14:paraId="42F929ED"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4480" w:type="dxa"/>
            <w:tcBorders>
              <w:top w:val="nil"/>
              <w:left w:val="nil"/>
              <w:bottom w:val="single" w:color="auto" w:sz="8" w:space="0"/>
              <w:right w:val="nil"/>
            </w:tcBorders>
            <w:shd w:val="clear" w:color="auto" w:fill="auto"/>
            <w:noWrap/>
            <w:vAlign w:val="bottom"/>
            <w:hideMark/>
          </w:tcPr>
          <w:p w:rsidRPr="00CB67C8" w:rsidR="00CB67C8" w:rsidP="00CB67C8" w:rsidRDefault="00CB67C8" w14:paraId="6BCA4EEC"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1340" w:type="dxa"/>
            <w:tcBorders>
              <w:top w:val="nil"/>
              <w:left w:val="nil"/>
              <w:bottom w:val="single" w:color="auto" w:sz="8" w:space="0"/>
              <w:right w:val="nil"/>
            </w:tcBorders>
            <w:shd w:val="clear" w:color="auto" w:fill="auto"/>
            <w:noWrap/>
            <w:vAlign w:val="bottom"/>
            <w:hideMark/>
          </w:tcPr>
          <w:p w:rsidRPr="00CB67C8" w:rsidR="00CB67C8" w:rsidP="00CB67C8" w:rsidRDefault="00CB67C8" w14:paraId="4B42AE2B"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266" w:type="dxa"/>
            <w:tcBorders>
              <w:top w:val="nil"/>
              <w:left w:val="nil"/>
              <w:bottom w:val="single" w:color="auto" w:sz="8" w:space="0"/>
              <w:right w:val="nil"/>
            </w:tcBorders>
            <w:shd w:val="clear" w:color="auto" w:fill="auto"/>
            <w:noWrap/>
            <w:vAlign w:val="bottom"/>
            <w:hideMark/>
          </w:tcPr>
          <w:p w:rsidRPr="00CB67C8" w:rsidR="00CB67C8" w:rsidP="00CB67C8" w:rsidRDefault="00CB67C8" w14:paraId="582079F7"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1416" w:type="dxa"/>
            <w:tcBorders>
              <w:top w:val="nil"/>
              <w:left w:val="nil"/>
              <w:bottom w:val="single" w:color="auto" w:sz="8" w:space="0"/>
              <w:right w:val="nil"/>
            </w:tcBorders>
            <w:shd w:val="clear" w:color="auto" w:fill="auto"/>
            <w:noWrap/>
            <w:vAlign w:val="bottom"/>
            <w:hideMark/>
          </w:tcPr>
          <w:p w:rsidRPr="00CB67C8" w:rsidR="00CB67C8" w:rsidP="00CB67C8" w:rsidRDefault="00CB67C8" w14:paraId="70F3EA78"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c>
          <w:tcPr>
            <w:tcW w:w="266" w:type="dxa"/>
            <w:tcBorders>
              <w:top w:val="nil"/>
              <w:left w:val="nil"/>
              <w:bottom w:val="single" w:color="auto" w:sz="8" w:space="0"/>
              <w:right w:val="single" w:color="auto" w:sz="8" w:space="0"/>
            </w:tcBorders>
            <w:shd w:val="clear" w:color="auto" w:fill="auto"/>
            <w:noWrap/>
            <w:vAlign w:val="bottom"/>
            <w:hideMark/>
          </w:tcPr>
          <w:p w:rsidRPr="00CB67C8" w:rsidR="00CB67C8" w:rsidP="00CB67C8" w:rsidRDefault="00CB67C8" w14:paraId="5876F374" w14:textId="77777777">
            <w:pPr>
              <w:spacing w:after="0" w:line="240" w:lineRule="auto"/>
              <w:rPr>
                <w:rFonts w:ascii="Calibri" w:hAnsi="Calibri" w:eastAsia="Times New Roman" w:cs="Arial"/>
                <w:color w:val="000000"/>
              </w:rPr>
            </w:pPr>
            <w:r w:rsidRPr="00CB67C8">
              <w:rPr>
                <w:rFonts w:ascii="Calibri" w:hAnsi="Calibri" w:eastAsia="Times New Roman" w:cs="Arial"/>
                <w:color w:val="000000"/>
              </w:rPr>
              <w:t> </w:t>
            </w:r>
          </w:p>
        </w:tc>
      </w:tr>
    </w:tbl>
    <w:p w:rsidRPr="00CB67C8" w:rsidR="00CB67C8" w:rsidP="00CB67C8" w:rsidRDefault="00CB67C8" w14:paraId="09E3390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Pr>
          <w:rFonts w:ascii="Times New Roman" w:hAnsi="Times New Roman" w:eastAsia="Times New Roman" w:cs="Times New Roman"/>
          <w:sz w:val="24"/>
          <w:szCs w:val="24"/>
        </w:rPr>
      </w:pPr>
    </w:p>
    <w:p w:rsidRPr="00CB67C8" w:rsidR="00CB67C8" w:rsidP="00261AEF" w:rsidRDefault="00CB67C8" w14:paraId="6D0EBE7E" w14:textId="77777777">
      <w:pPr>
        <w:widowControl w:val="0"/>
        <w:numPr>
          <w:ilvl w:val="0"/>
          <w:numId w:val="1"/>
        </w:numPr>
        <w:tabs>
          <w:tab w:val="left" w:pos="810"/>
        </w:tabs>
        <w:autoSpaceDE w:val="0"/>
        <w:autoSpaceDN w:val="0"/>
        <w:adjustRightInd w:val="0"/>
        <w:spacing w:after="0" w:line="242" w:lineRule="auto"/>
        <w:ind w:left="360" w:firstLine="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t>Changes To Burden</w:t>
      </w:r>
    </w:p>
    <w:p w:rsidRPr="00CB67C8" w:rsidR="00CB67C8" w:rsidP="00CB67C8" w:rsidRDefault="00CB67C8" w14:paraId="69AECD86" w14:textId="77777777">
      <w:pPr>
        <w:widowControl w:val="0"/>
        <w:autoSpaceDE w:val="0"/>
        <w:autoSpaceDN w:val="0"/>
        <w:adjustRightInd w:val="0"/>
        <w:spacing w:after="0" w:line="242" w:lineRule="auto"/>
        <w:rPr>
          <w:rFonts w:ascii="Times New Roman" w:hAnsi="Times New Roman" w:eastAsia="Times New Roman" w:cs="Times New Roman"/>
          <w:sz w:val="24"/>
          <w:szCs w:val="24"/>
          <w:u w:val="single"/>
        </w:rPr>
      </w:pPr>
    </w:p>
    <w:p w:rsidRPr="00CB67C8" w:rsidR="00CB67C8" w:rsidP="00CB67C8" w:rsidRDefault="00CB67C8" w14:paraId="720F814B" w14:textId="77777777">
      <w:pPr>
        <w:autoSpaceDE w:val="0"/>
        <w:autoSpaceDN w:val="0"/>
        <w:adjustRightInd w:val="0"/>
        <w:spacing w:after="0" w:line="242" w:lineRule="auto"/>
        <w:ind w:left="810"/>
        <w:rPr>
          <w:rFonts w:ascii="Times New Roman" w:hAnsi="Times New Roman" w:eastAsia="Times New Roman" w:cs="Times New Roman"/>
          <w:sz w:val="24"/>
          <w:szCs w:val="24"/>
        </w:rPr>
      </w:pPr>
      <w:r w:rsidRPr="0055589C">
        <w:rPr>
          <w:rFonts w:ascii="Times New Roman" w:hAnsi="Times New Roman" w:eastAsia="Times New Roman" w:cs="Times New Roman"/>
          <w:sz w:val="24"/>
          <w:szCs w:val="24"/>
        </w:rPr>
        <w:t>The change in burden is due to two factors:</w:t>
      </w:r>
      <w:r w:rsidRPr="00CB67C8">
        <w:rPr>
          <w:rFonts w:ascii="Times New Roman" w:hAnsi="Times New Roman" w:eastAsia="Times New Roman" w:cs="Times New Roman"/>
          <w:sz w:val="24"/>
          <w:szCs w:val="24"/>
        </w:rPr>
        <w:t xml:space="preserve">  </w:t>
      </w:r>
    </w:p>
    <w:p w:rsidRPr="00CB67C8" w:rsidR="00CB67C8" w:rsidP="00CB67C8" w:rsidRDefault="00CB67C8" w14:paraId="57DFFE80" w14:textId="77777777">
      <w:pPr>
        <w:autoSpaceDE w:val="0"/>
        <w:autoSpaceDN w:val="0"/>
        <w:adjustRightInd w:val="0"/>
        <w:spacing w:after="0" w:line="242" w:lineRule="auto"/>
        <w:ind w:left="810"/>
        <w:rPr>
          <w:rFonts w:ascii="Times New Roman" w:hAnsi="Times New Roman" w:eastAsia="Times New Roman" w:cs="Times New Roman"/>
          <w:sz w:val="24"/>
          <w:szCs w:val="24"/>
        </w:rPr>
      </w:pPr>
    </w:p>
    <w:p w:rsidRPr="00CB67C8" w:rsidR="00CB67C8" w:rsidP="00CB67C8" w:rsidRDefault="00CB67C8" w14:paraId="47334FD6" w14:textId="1B0EBFAE">
      <w:pPr>
        <w:autoSpaceDE w:val="0"/>
        <w:autoSpaceDN w:val="0"/>
        <w:adjustRightInd w:val="0"/>
        <w:spacing w:after="0" w:line="242" w:lineRule="auto"/>
        <w:ind w:left="810"/>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1) the number of respondents decreased from 10</w:t>
      </w:r>
      <w:r w:rsidR="00111928">
        <w:rPr>
          <w:rFonts w:ascii="Times New Roman" w:hAnsi="Times New Roman" w:eastAsia="Times New Roman" w:cs="Times New Roman"/>
          <w:sz w:val="24"/>
          <w:szCs w:val="24"/>
        </w:rPr>
        <w:t>2</w:t>
      </w:r>
      <w:r w:rsidRPr="00CB67C8">
        <w:rPr>
          <w:rFonts w:ascii="Times New Roman" w:hAnsi="Times New Roman" w:eastAsia="Times New Roman" w:cs="Times New Roman"/>
          <w:sz w:val="24"/>
          <w:szCs w:val="24"/>
        </w:rPr>
        <w:t xml:space="preserve"> in 201</w:t>
      </w:r>
      <w:r w:rsidR="00111928">
        <w:rPr>
          <w:rFonts w:ascii="Times New Roman" w:hAnsi="Times New Roman" w:eastAsia="Times New Roman" w:cs="Times New Roman"/>
          <w:sz w:val="24"/>
          <w:szCs w:val="24"/>
        </w:rPr>
        <w:t>7</w:t>
      </w:r>
      <w:r w:rsidR="00CE6487">
        <w:rPr>
          <w:rFonts w:ascii="Times New Roman" w:hAnsi="Times New Roman" w:eastAsia="Times New Roman" w:cs="Times New Roman"/>
          <w:sz w:val="24"/>
          <w:szCs w:val="24"/>
        </w:rPr>
        <w:t>,</w:t>
      </w:r>
      <w:r w:rsidRPr="00CB67C8">
        <w:rPr>
          <w:rFonts w:ascii="Times New Roman" w:hAnsi="Times New Roman" w:eastAsia="Times New Roman" w:cs="Times New Roman"/>
          <w:sz w:val="24"/>
          <w:szCs w:val="24"/>
        </w:rPr>
        <w:t xml:space="preserve"> to </w:t>
      </w:r>
      <w:r w:rsidR="00111928">
        <w:rPr>
          <w:rFonts w:ascii="Times New Roman" w:hAnsi="Times New Roman" w:eastAsia="Times New Roman" w:cs="Times New Roman"/>
          <w:sz w:val="24"/>
          <w:szCs w:val="24"/>
        </w:rPr>
        <w:t>9</w:t>
      </w:r>
      <w:r w:rsidR="00280997">
        <w:rPr>
          <w:rFonts w:ascii="Times New Roman" w:hAnsi="Times New Roman" w:eastAsia="Times New Roman" w:cs="Times New Roman"/>
          <w:sz w:val="24"/>
          <w:szCs w:val="24"/>
        </w:rPr>
        <w:t>5</w:t>
      </w:r>
      <w:r w:rsidRPr="00CB67C8">
        <w:rPr>
          <w:rFonts w:ascii="Times New Roman" w:hAnsi="Times New Roman" w:eastAsia="Times New Roman" w:cs="Times New Roman"/>
          <w:sz w:val="24"/>
          <w:szCs w:val="24"/>
        </w:rPr>
        <w:t xml:space="preserve"> in 20</w:t>
      </w:r>
      <w:r w:rsidR="00111928">
        <w:rPr>
          <w:rFonts w:ascii="Times New Roman" w:hAnsi="Times New Roman" w:eastAsia="Times New Roman" w:cs="Times New Roman"/>
          <w:sz w:val="24"/>
          <w:szCs w:val="24"/>
        </w:rPr>
        <w:t>2</w:t>
      </w:r>
      <w:r w:rsidR="00280997">
        <w:rPr>
          <w:rFonts w:ascii="Times New Roman" w:hAnsi="Times New Roman" w:eastAsia="Times New Roman" w:cs="Times New Roman"/>
          <w:sz w:val="24"/>
          <w:szCs w:val="24"/>
        </w:rPr>
        <w:t>1</w:t>
      </w:r>
      <w:r w:rsidR="00CE6487">
        <w:rPr>
          <w:rFonts w:ascii="Times New Roman" w:hAnsi="Times New Roman" w:eastAsia="Times New Roman" w:cs="Times New Roman"/>
          <w:sz w:val="24"/>
          <w:szCs w:val="24"/>
        </w:rPr>
        <w:t xml:space="preserve">.  The decrease reflects the </w:t>
      </w:r>
      <w:r w:rsidR="00BA7639">
        <w:rPr>
          <w:rFonts w:ascii="Times New Roman" w:hAnsi="Times New Roman" w:eastAsia="Times New Roman" w:cs="Times New Roman"/>
          <w:sz w:val="24"/>
          <w:szCs w:val="24"/>
        </w:rPr>
        <w:t>termination of 6 HLs and 1 OPO</w:t>
      </w:r>
      <w:r w:rsidRPr="00CB67C8">
        <w:rPr>
          <w:rFonts w:ascii="Times New Roman" w:hAnsi="Times New Roman" w:eastAsia="Times New Roman" w:cs="Times New Roman"/>
          <w:sz w:val="24"/>
          <w:szCs w:val="24"/>
        </w:rPr>
        <w:t xml:space="preserve">; and </w:t>
      </w:r>
    </w:p>
    <w:p w:rsidRPr="00CB67C8" w:rsidR="00CB67C8" w:rsidP="00CB67C8" w:rsidRDefault="00CB67C8" w14:paraId="168AAEB2" w14:textId="77777777">
      <w:pPr>
        <w:autoSpaceDE w:val="0"/>
        <w:autoSpaceDN w:val="0"/>
        <w:adjustRightInd w:val="0"/>
        <w:spacing w:after="0" w:line="242" w:lineRule="auto"/>
        <w:ind w:left="810"/>
        <w:rPr>
          <w:rFonts w:ascii="Times New Roman" w:hAnsi="Times New Roman" w:eastAsia="Times New Roman" w:cs="Times New Roman"/>
          <w:sz w:val="24"/>
          <w:szCs w:val="24"/>
        </w:rPr>
      </w:pPr>
    </w:p>
    <w:p w:rsidR="008652CC" w:rsidP="006128C7" w:rsidRDefault="00CB67C8" w14:paraId="615C8FFE" w14:textId="63768DD0">
      <w:pPr>
        <w:autoSpaceDE w:val="0"/>
        <w:autoSpaceDN w:val="0"/>
        <w:adjustRightInd w:val="0"/>
        <w:spacing w:after="0" w:line="242" w:lineRule="auto"/>
        <w:ind w:left="810"/>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 xml:space="preserve">2) the </w:t>
      </w:r>
      <w:r w:rsidR="00BA7639">
        <w:rPr>
          <w:rFonts w:ascii="Times New Roman" w:hAnsi="Times New Roman" w:eastAsia="Times New Roman" w:cs="Times New Roman"/>
          <w:sz w:val="24"/>
          <w:szCs w:val="24"/>
        </w:rPr>
        <w:t xml:space="preserve">average cost per OPO/HL decreased from $2,471.85 in 2017, to $2,385.90 in 2021.  The decrease was due to the estimated cost calculation in 2017, that used </w:t>
      </w:r>
      <w:r w:rsidRPr="00B71F11" w:rsidR="00B71F11">
        <w:rPr>
          <w:rFonts w:ascii="Times New Roman" w:hAnsi="Times New Roman" w:eastAsia="Times New Roman" w:cs="Times New Roman"/>
          <w:sz w:val="24"/>
          <w:szCs w:val="24"/>
        </w:rPr>
        <w:t xml:space="preserve">a </w:t>
      </w:r>
      <w:r w:rsidR="00F87A1C">
        <w:rPr>
          <w:rFonts w:ascii="Times New Roman" w:hAnsi="Times New Roman" w:eastAsia="Times New Roman" w:cs="Times New Roman"/>
          <w:sz w:val="24"/>
          <w:szCs w:val="24"/>
        </w:rPr>
        <w:t>mean hourly wage</w:t>
      </w:r>
      <w:r w:rsidRPr="00B71F11" w:rsidR="00B71F11">
        <w:rPr>
          <w:rFonts w:ascii="Times New Roman" w:hAnsi="Times New Roman" w:eastAsia="Times New Roman" w:cs="Times New Roman"/>
          <w:sz w:val="24"/>
          <w:szCs w:val="24"/>
        </w:rPr>
        <w:t xml:space="preserve"> derived from BLS</w:t>
      </w:r>
      <w:r w:rsidR="00BA7639">
        <w:rPr>
          <w:rFonts w:ascii="Times New Roman" w:hAnsi="Times New Roman" w:eastAsia="Times New Roman" w:cs="Times New Roman"/>
          <w:sz w:val="24"/>
          <w:szCs w:val="24"/>
        </w:rPr>
        <w:t>’s</w:t>
      </w:r>
      <w:r w:rsidRPr="00B71F11" w:rsidR="00B71F11">
        <w:rPr>
          <w:rFonts w:ascii="Times New Roman" w:hAnsi="Times New Roman" w:eastAsia="Times New Roman" w:cs="Times New Roman"/>
          <w:sz w:val="24"/>
          <w:szCs w:val="24"/>
        </w:rPr>
        <w:t xml:space="preserve"> 2015 Occupation Outlook Handbook</w:t>
      </w:r>
      <w:r w:rsidR="00BA7639">
        <w:rPr>
          <w:rFonts w:ascii="Times New Roman" w:hAnsi="Times New Roman" w:eastAsia="Times New Roman" w:cs="Times New Roman"/>
          <w:sz w:val="24"/>
          <w:szCs w:val="24"/>
        </w:rPr>
        <w:t xml:space="preserve">, </w:t>
      </w:r>
      <w:r w:rsidRPr="00CB67C8" w:rsidR="00F87A1C">
        <w:rPr>
          <w:rFonts w:ascii="Times New Roman" w:hAnsi="Times New Roman" w:eastAsia="Times New Roman" w:cs="Times New Roman"/>
          <w:sz w:val="24"/>
          <w:szCs w:val="24"/>
        </w:rPr>
        <w:t xml:space="preserve">Category 13-2011 (accounting and audit professionals) </w:t>
      </w:r>
      <w:r w:rsidR="00BA7639">
        <w:rPr>
          <w:rFonts w:ascii="Times New Roman" w:hAnsi="Times New Roman" w:eastAsia="Times New Roman" w:cs="Times New Roman"/>
          <w:sz w:val="24"/>
          <w:szCs w:val="24"/>
        </w:rPr>
        <w:t xml:space="preserve">with a mean hourly rate of </w:t>
      </w:r>
      <w:r w:rsidRPr="00CB67C8" w:rsidR="00F87A1C">
        <w:rPr>
          <w:rFonts w:ascii="Times New Roman" w:hAnsi="Times New Roman" w:eastAsia="Times New Roman" w:cs="Times New Roman"/>
          <w:sz w:val="24"/>
          <w:szCs w:val="24"/>
        </w:rPr>
        <w:t>$</w:t>
      </w:r>
      <w:r w:rsidR="00426BE8">
        <w:rPr>
          <w:rFonts w:ascii="Times New Roman" w:hAnsi="Times New Roman" w:eastAsia="Times New Roman" w:cs="Times New Roman"/>
          <w:sz w:val="24"/>
          <w:szCs w:val="24"/>
        </w:rPr>
        <w:t xml:space="preserve">27.46 </w:t>
      </w:r>
      <w:r w:rsidR="00BA7639">
        <w:rPr>
          <w:rFonts w:ascii="Times New Roman" w:hAnsi="Times New Roman" w:eastAsia="Times New Roman" w:cs="Times New Roman"/>
          <w:sz w:val="24"/>
          <w:szCs w:val="24"/>
        </w:rPr>
        <w:t xml:space="preserve">versus 2021 that uses </w:t>
      </w:r>
      <w:r w:rsidRPr="00B71F11" w:rsidR="00426BE8">
        <w:rPr>
          <w:rFonts w:ascii="Times New Roman" w:hAnsi="Times New Roman" w:eastAsia="Times New Roman" w:cs="Times New Roman"/>
          <w:sz w:val="24"/>
          <w:szCs w:val="24"/>
        </w:rPr>
        <w:t xml:space="preserve">a </w:t>
      </w:r>
      <w:r w:rsidR="00426BE8">
        <w:rPr>
          <w:rFonts w:ascii="Times New Roman" w:hAnsi="Times New Roman" w:eastAsia="Times New Roman" w:cs="Times New Roman"/>
          <w:sz w:val="24"/>
          <w:szCs w:val="24"/>
        </w:rPr>
        <w:t>mean hourly wage</w:t>
      </w:r>
      <w:r w:rsidRPr="00B71F11" w:rsidR="00426BE8">
        <w:rPr>
          <w:rFonts w:ascii="Times New Roman" w:hAnsi="Times New Roman" w:eastAsia="Times New Roman" w:cs="Times New Roman"/>
          <w:sz w:val="24"/>
          <w:szCs w:val="24"/>
        </w:rPr>
        <w:t xml:space="preserve"> derived from BLS</w:t>
      </w:r>
      <w:r w:rsidR="00BA7639">
        <w:rPr>
          <w:rFonts w:ascii="Times New Roman" w:hAnsi="Times New Roman" w:eastAsia="Times New Roman" w:cs="Times New Roman"/>
          <w:sz w:val="24"/>
          <w:szCs w:val="24"/>
        </w:rPr>
        <w:t>’s</w:t>
      </w:r>
      <w:r w:rsidRPr="00B71F11" w:rsidR="00426BE8">
        <w:rPr>
          <w:rFonts w:ascii="Times New Roman" w:hAnsi="Times New Roman" w:eastAsia="Times New Roman" w:cs="Times New Roman"/>
          <w:sz w:val="24"/>
          <w:szCs w:val="24"/>
        </w:rPr>
        <w:t xml:space="preserve"> 201</w:t>
      </w:r>
      <w:r w:rsidR="00426BE8">
        <w:rPr>
          <w:rFonts w:ascii="Times New Roman" w:hAnsi="Times New Roman" w:eastAsia="Times New Roman" w:cs="Times New Roman"/>
          <w:sz w:val="24"/>
          <w:szCs w:val="24"/>
        </w:rPr>
        <w:t>9</w:t>
      </w:r>
      <w:r w:rsidRPr="00B71F11" w:rsidR="00426BE8">
        <w:rPr>
          <w:rFonts w:ascii="Times New Roman" w:hAnsi="Times New Roman" w:eastAsia="Times New Roman" w:cs="Times New Roman"/>
          <w:sz w:val="24"/>
          <w:szCs w:val="24"/>
        </w:rPr>
        <w:t xml:space="preserve"> Occupation Outlook Handbook</w:t>
      </w:r>
      <w:r w:rsidR="00BA7639">
        <w:rPr>
          <w:rFonts w:ascii="Times New Roman" w:hAnsi="Times New Roman" w:eastAsia="Times New Roman" w:cs="Times New Roman"/>
          <w:sz w:val="24"/>
          <w:szCs w:val="24"/>
        </w:rPr>
        <w:t>,</w:t>
      </w:r>
      <w:r w:rsidRPr="00B71F11" w:rsidR="00426BE8">
        <w:rPr>
          <w:rFonts w:ascii="Times New Roman" w:hAnsi="Times New Roman" w:eastAsia="Times New Roman" w:cs="Times New Roman"/>
          <w:sz w:val="24"/>
          <w:szCs w:val="24"/>
        </w:rPr>
        <w:t xml:space="preserve"> </w:t>
      </w:r>
      <w:r w:rsidRPr="00CB67C8" w:rsidR="00426BE8">
        <w:rPr>
          <w:rFonts w:ascii="Times New Roman" w:hAnsi="Times New Roman" w:eastAsia="Times New Roman" w:cs="Times New Roman"/>
          <w:sz w:val="24"/>
          <w:szCs w:val="24"/>
        </w:rPr>
        <w:t>Category 13-2011 (accounting and audit professionals)</w:t>
      </w:r>
      <w:r w:rsidR="00BA7639">
        <w:rPr>
          <w:rFonts w:ascii="Times New Roman" w:hAnsi="Times New Roman" w:eastAsia="Times New Roman" w:cs="Times New Roman"/>
          <w:sz w:val="24"/>
          <w:szCs w:val="24"/>
        </w:rPr>
        <w:t xml:space="preserve"> with a mean hourly </w:t>
      </w:r>
      <w:r w:rsidR="00BA7639">
        <w:rPr>
          <w:rFonts w:ascii="Times New Roman" w:hAnsi="Times New Roman" w:eastAsia="Times New Roman" w:cs="Times New Roman"/>
          <w:sz w:val="24"/>
          <w:szCs w:val="24"/>
        </w:rPr>
        <w:lastRenderedPageBreak/>
        <w:t xml:space="preserve">rate of </w:t>
      </w:r>
      <w:r w:rsidRPr="00CB67C8" w:rsidR="00426BE8">
        <w:rPr>
          <w:rFonts w:ascii="Times New Roman" w:hAnsi="Times New Roman" w:eastAsia="Times New Roman" w:cs="Times New Roman"/>
          <w:sz w:val="24"/>
          <w:szCs w:val="24"/>
        </w:rPr>
        <w:t>$</w:t>
      </w:r>
      <w:r w:rsidR="00053122">
        <w:rPr>
          <w:rFonts w:ascii="Times New Roman" w:hAnsi="Times New Roman" w:eastAsia="Times New Roman" w:cs="Times New Roman"/>
          <w:sz w:val="24"/>
          <w:szCs w:val="24"/>
        </w:rPr>
        <w:t>38.23</w:t>
      </w:r>
      <w:r w:rsidR="00426BE8">
        <w:rPr>
          <w:rFonts w:ascii="Times New Roman" w:hAnsi="Times New Roman" w:eastAsia="Times New Roman" w:cs="Times New Roman"/>
          <w:sz w:val="24"/>
          <w:szCs w:val="24"/>
        </w:rPr>
        <w:t xml:space="preserve"> and </w:t>
      </w:r>
      <w:r w:rsidR="00BA7639">
        <w:rPr>
          <w:rFonts w:ascii="Times New Roman" w:hAnsi="Times New Roman" w:eastAsia="Times New Roman" w:cs="Times New Roman"/>
          <w:sz w:val="24"/>
          <w:szCs w:val="24"/>
        </w:rPr>
        <w:t xml:space="preserve">Category </w:t>
      </w:r>
      <w:r w:rsidRPr="00CB67C8" w:rsidR="00BA7639">
        <w:rPr>
          <w:rFonts w:ascii="Times New Roman" w:hAnsi="Times New Roman" w:eastAsia="Times New Roman" w:cs="Times New Roman"/>
          <w:sz w:val="24"/>
          <w:szCs w:val="24"/>
        </w:rPr>
        <w:t xml:space="preserve">43-3031 (bookkeeping, accounting and auditing clerks) </w:t>
      </w:r>
      <w:r w:rsidR="00BA7639">
        <w:rPr>
          <w:rFonts w:ascii="Times New Roman" w:hAnsi="Times New Roman" w:eastAsia="Times New Roman" w:cs="Times New Roman"/>
          <w:sz w:val="24"/>
          <w:szCs w:val="24"/>
        </w:rPr>
        <w:t xml:space="preserve">with a mean hourly rate of </w:t>
      </w:r>
      <w:r w:rsidRPr="00CB67C8" w:rsidR="00BA7639">
        <w:rPr>
          <w:rFonts w:ascii="Times New Roman" w:hAnsi="Times New Roman" w:eastAsia="Times New Roman" w:cs="Times New Roman"/>
          <w:sz w:val="24"/>
          <w:szCs w:val="24"/>
        </w:rPr>
        <w:t>$20.65</w:t>
      </w:r>
      <w:r w:rsidR="00BA7639">
        <w:rPr>
          <w:rFonts w:ascii="Times New Roman" w:hAnsi="Times New Roman" w:eastAsia="Times New Roman" w:cs="Times New Roman"/>
          <w:sz w:val="24"/>
          <w:szCs w:val="24"/>
        </w:rPr>
        <w:t xml:space="preserve">.  </w:t>
      </w:r>
      <w:r w:rsidRPr="00CB67C8">
        <w:rPr>
          <w:rFonts w:ascii="Times New Roman" w:hAnsi="Times New Roman" w:eastAsia="Times New Roman" w:cs="Times New Roman"/>
          <w:sz w:val="24"/>
          <w:szCs w:val="24"/>
        </w:rPr>
        <w:t xml:space="preserve"> </w:t>
      </w:r>
    </w:p>
    <w:p w:rsidR="008652CC" w:rsidRDefault="008652CC" w14:paraId="2E74B89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CB67C8" w:rsidR="00CB67C8" w:rsidP="00CB67C8" w:rsidRDefault="00CB67C8" w14:paraId="08AD181C" w14:textId="77777777">
      <w:pPr>
        <w:widowControl w:val="0"/>
        <w:numPr>
          <w:ilvl w:val="0"/>
          <w:numId w:val="1"/>
        </w:numPr>
        <w:tabs>
          <w:tab w:val="left" w:pos="810"/>
          <w:tab w:val="num" w:pos="1440"/>
        </w:tabs>
        <w:autoSpaceDE w:val="0"/>
        <w:autoSpaceDN w:val="0"/>
        <w:adjustRightInd w:val="0"/>
        <w:spacing w:after="0" w:line="242" w:lineRule="auto"/>
        <w:ind w:left="1440" w:hanging="108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lastRenderedPageBreak/>
        <w:t>Publication and Tabulation Dates</w:t>
      </w:r>
    </w:p>
    <w:p w:rsidRPr="00CB67C8" w:rsidR="00CB67C8" w:rsidP="00CB67C8" w:rsidRDefault="00CB67C8" w14:paraId="738299AC" w14:textId="77777777">
      <w:pPr>
        <w:widowControl w:val="0"/>
        <w:autoSpaceDE w:val="0"/>
        <w:autoSpaceDN w:val="0"/>
        <w:adjustRightInd w:val="0"/>
        <w:spacing w:after="0" w:line="242" w:lineRule="auto"/>
        <w:ind w:firstLine="1440"/>
        <w:rPr>
          <w:rFonts w:ascii="Times New Roman" w:hAnsi="Times New Roman" w:eastAsia="Times New Roman" w:cs="Times New Roman"/>
          <w:sz w:val="24"/>
          <w:szCs w:val="24"/>
        </w:rPr>
      </w:pPr>
    </w:p>
    <w:p w:rsidRPr="008652CC" w:rsidR="008652CC" w:rsidP="008652CC" w:rsidRDefault="008652CC" w14:paraId="4AAC3068" w14:textId="47CA60CF">
      <w:pPr>
        <w:widowControl w:val="0"/>
        <w:autoSpaceDE w:val="0"/>
        <w:autoSpaceDN w:val="0"/>
        <w:adjustRightInd w:val="0"/>
        <w:spacing w:after="0" w:line="242" w:lineRule="auto"/>
        <w:ind w:left="810"/>
        <w:rPr>
          <w:rFonts w:ascii="Times New Roman" w:hAnsi="Times New Roman" w:eastAsia="Times New Roman" w:cs="Times New Roman"/>
          <w:sz w:val="24"/>
          <w:szCs w:val="24"/>
        </w:rPr>
      </w:pPr>
      <w:r w:rsidRPr="008652CC">
        <w:rPr>
          <w:rFonts w:ascii="Times New Roman" w:hAnsi="Times New Roman" w:eastAsia="Times New Roman" w:cs="Times New Roman"/>
          <w:sz w:val="24"/>
          <w:szCs w:val="24"/>
        </w:rPr>
        <w:t xml:space="preserve">CMS requires that each Medicare-certified provider submit an annual cost report to their contractor.  The cost report contains provider information such as facility characteristics; utilization data; cost and charges by cost center, in total and for Medicare; Medicare settlement data; and financial statement data.  The provider must submit the cost report in a standard (ASCII) ECR format.  CMS maintains the cost report data in the Healthcare Cost Reporting Information System (HCRIS).  </w:t>
      </w:r>
      <w:r>
        <w:rPr>
          <w:rFonts w:ascii="Times New Roman" w:hAnsi="Times New Roman" w:eastAsia="Times New Roman" w:cs="Times New Roman"/>
          <w:sz w:val="24"/>
          <w:szCs w:val="24"/>
        </w:rPr>
        <w:t xml:space="preserve">Currently OMB No. 0938-0102, </w:t>
      </w:r>
      <w:r w:rsidRPr="00CB67C8">
        <w:rPr>
          <w:rFonts w:ascii="Times New Roman" w:hAnsi="Times New Roman" w:eastAsia="Times New Roman" w:cs="Times New Roman"/>
          <w:sz w:val="24"/>
          <w:szCs w:val="24"/>
        </w:rPr>
        <w:t>Form CMS-216-94</w:t>
      </w:r>
      <w:r>
        <w:rPr>
          <w:rFonts w:ascii="Times New Roman" w:hAnsi="Times New Roman" w:eastAsia="Times New Roman" w:cs="Times New Roman"/>
          <w:sz w:val="24"/>
          <w:szCs w:val="24"/>
        </w:rPr>
        <w:t xml:space="preserve"> is not collected in HCRIS; however, effective April 1, 2021, this will change and this data will also be compiled in HCRIS.  </w:t>
      </w:r>
      <w:r w:rsidRPr="008652CC">
        <w:rPr>
          <w:rFonts w:ascii="Times New Roman" w:hAnsi="Times New Roman" w:eastAsia="Times New Roman" w:cs="Times New Roman"/>
          <w:sz w:val="24"/>
          <w:szCs w:val="24"/>
        </w:rPr>
        <w:t xml:space="preserve">The HCRIS data supports CMS’s reimbursement policymaking, congressional studies, legislative health care reimbursement initiatives, Medicare profit margin analysis, market basket weight updates, and public data requirements.  CMS publishes the HCRIS dataset for public access and use at </w:t>
      </w:r>
      <w:hyperlink w:history="1" r:id="rId8">
        <w:r w:rsidRPr="008652CC">
          <w:rPr>
            <w:rStyle w:val="Hyperlink"/>
            <w:rFonts w:ascii="Times New Roman" w:hAnsi="Times New Roman" w:eastAsia="Times New Roman" w:cs="Times New Roman"/>
            <w:sz w:val="24"/>
            <w:szCs w:val="24"/>
          </w:rPr>
          <w:t>https://www.cms.gov/Research-Statistics-Data-and-Systems/Downloadable-Public-Use-Files/Cost-Reports/</w:t>
        </w:r>
      </w:hyperlink>
      <w:r w:rsidRPr="008652CC">
        <w:rPr>
          <w:rFonts w:ascii="Times New Roman" w:hAnsi="Times New Roman" w:eastAsia="Times New Roman" w:cs="Times New Roman"/>
          <w:sz w:val="24"/>
          <w:szCs w:val="24"/>
        </w:rPr>
        <w:t>.</w:t>
      </w:r>
    </w:p>
    <w:p w:rsidRPr="00CB67C8" w:rsidR="00CB67C8" w:rsidP="00CB67C8" w:rsidRDefault="00CB67C8" w14:paraId="744E61D4" w14:textId="562B4751">
      <w:pPr>
        <w:widowControl w:val="0"/>
        <w:autoSpaceDE w:val="0"/>
        <w:autoSpaceDN w:val="0"/>
        <w:adjustRightInd w:val="0"/>
        <w:spacing w:after="0" w:line="242" w:lineRule="auto"/>
        <w:ind w:left="810"/>
        <w:rPr>
          <w:rFonts w:ascii="Times New Roman" w:hAnsi="Times New Roman" w:eastAsia="Times New Roman" w:cs="Times New Roman"/>
          <w:sz w:val="24"/>
          <w:szCs w:val="24"/>
        </w:rPr>
      </w:pPr>
    </w:p>
    <w:p w:rsidRPr="00CB67C8" w:rsidR="00CB67C8" w:rsidP="00CB67C8" w:rsidRDefault="00CB67C8" w14:paraId="2BEC450B" w14:textId="77777777">
      <w:pPr>
        <w:widowControl w:val="0"/>
        <w:numPr>
          <w:ilvl w:val="0"/>
          <w:numId w:val="1"/>
        </w:numPr>
        <w:tabs>
          <w:tab w:val="left" w:pos="810"/>
          <w:tab w:val="num" w:pos="1440"/>
        </w:tabs>
        <w:autoSpaceDE w:val="0"/>
        <w:autoSpaceDN w:val="0"/>
        <w:adjustRightInd w:val="0"/>
        <w:spacing w:after="0" w:line="242" w:lineRule="auto"/>
        <w:ind w:left="1440" w:hanging="108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t>Expiration Date</w:t>
      </w:r>
    </w:p>
    <w:p w:rsidRPr="00CB67C8" w:rsidR="00CB67C8" w:rsidP="00CB67C8" w:rsidRDefault="00CB67C8" w14:paraId="22218081" w14:textId="77777777">
      <w:pPr>
        <w:widowControl w:val="0"/>
        <w:autoSpaceDE w:val="0"/>
        <w:autoSpaceDN w:val="0"/>
        <w:adjustRightInd w:val="0"/>
        <w:spacing w:after="0" w:line="242" w:lineRule="auto"/>
        <w:ind w:left="1440"/>
        <w:rPr>
          <w:rFonts w:ascii="Times New Roman" w:hAnsi="Times New Roman" w:eastAsia="Times New Roman" w:cs="Times New Roman"/>
          <w:sz w:val="24"/>
          <w:szCs w:val="24"/>
        </w:rPr>
      </w:pPr>
    </w:p>
    <w:p w:rsidR="00CB67C8" w:rsidP="00CB67C8" w:rsidRDefault="00CB67C8" w14:paraId="7A4B8F9B" w14:textId="54B8B7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CMS display</w:t>
      </w:r>
      <w:r w:rsidR="006128C7">
        <w:rPr>
          <w:rFonts w:ascii="Times New Roman" w:hAnsi="Times New Roman" w:eastAsia="Times New Roman" w:cs="Times New Roman"/>
          <w:sz w:val="24"/>
          <w:szCs w:val="24"/>
        </w:rPr>
        <w:t>s</w:t>
      </w:r>
      <w:r w:rsidRPr="00CB67C8">
        <w:rPr>
          <w:rFonts w:ascii="Times New Roman" w:hAnsi="Times New Roman" w:eastAsia="Times New Roman" w:cs="Times New Roman"/>
          <w:sz w:val="24"/>
          <w:szCs w:val="24"/>
        </w:rPr>
        <w:t xml:space="preserve"> the expiration date on the first page of the data collection instrument forms, in the upper right hand corner.  The PRA disclosure statement </w:t>
      </w:r>
      <w:r w:rsidR="006128C7">
        <w:rPr>
          <w:rFonts w:ascii="Times New Roman" w:hAnsi="Times New Roman" w:eastAsia="Times New Roman" w:cs="Times New Roman"/>
          <w:sz w:val="24"/>
          <w:szCs w:val="24"/>
        </w:rPr>
        <w:t xml:space="preserve">with expiration date is </w:t>
      </w:r>
      <w:r w:rsidRPr="00CB67C8">
        <w:rPr>
          <w:rFonts w:ascii="Times New Roman" w:hAnsi="Times New Roman" w:eastAsia="Times New Roman" w:cs="Times New Roman"/>
          <w:sz w:val="24"/>
          <w:szCs w:val="24"/>
        </w:rPr>
        <w:t>include</w:t>
      </w:r>
      <w:r w:rsidR="006128C7">
        <w:rPr>
          <w:rFonts w:ascii="Times New Roman" w:hAnsi="Times New Roman" w:eastAsia="Times New Roman" w:cs="Times New Roman"/>
          <w:sz w:val="24"/>
          <w:szCs w:val="24"/>
        </w:rPr>
        <w:t>d</w:t>
      </w:r>
      <w:r w:rsidRPr="00CB67C8">
        <w:rPr>
          <w:rFonts w:ascii="Times New Roman" w:hAnsi="Times New Roman" w:eastAsia="Times New Roman" w:cs="Times New Roman"/>
          <w:sz w:val="24"/>
          <w:szCs w:val="24"/>
        </w:rPr>
        <w:t xml:space="preserve"> in the instructions on page 33-3.</w:t>
      </w:r>
    </w:p>
    <w:p w:rsidRPr="00CB67C8" w:rsidR="00CB67C8" w:rsidP="00CB67C8" w:rsidRDefault="00CB67C8" w14:paraId="3FD116BC"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CB67C8" w:rsidRDefault="00CB67C8" w14:paraId="5361F3A7" w14:textId="77777777">
      <w:pPr>
        <w:widowControl w:val="0"/>
        <w:numPr>
          <w:ilvl w:val="0"/>
          <w:numId w:val="1"/>
        </w:numPr>
        <w:tabs>
          <w:tab w:val="left" w:pos="810"/>
          <w:tab w:val="num" w:pos="1440"/>
        </w:tabs>
        <w:autoSpaceDE w:val="0"/>
        <w:autoSpaceDN w:val="0"/>
        <w:adjustRightInd w:val="0"/>
        <w:spacing w:after="0" w:line="242" w:lineRule="auto"/>
        <w:ind w:left="1440" w:hanging="1080"/>
        <w:rPr>
          <w:rFonts w:ascii="Times New Roman" w:hAnsi="Times New Roman" w:eastAsia="Times New Roman" w:cs="Times New Roman"/>
          <w:sz w:val="24"/>
          <w:szCs w:val="24"/>
          <w:u w:val="single"/>
        </w:rPr>
      </w:pPr>
      <w:r w:rsidRPr="00CB67C8">
        <w:rPr>
          <w:rFonts w:ascii="Times New Roman" w:hAnsi="Times New Roman" w:eastAsia="Times New Roman" w:cs="Times New Roman"/>
          <w:sz w:val="24"/>
          <w:szCs w:val="24"/>
          <w:u w:val="single"/>
        </w:rPr>
        <w:t>Certification Statement</w:t>
      </w:r>
    </w:p>
    <w:p w:rsidRPr="00CB67C8" w:rsidR="00CB67C8" w:rsidP="00CB67C8" w:rsidRDefault="00CB67C8" w14:paraId="6FCD20D6" w14:textId="77777777">
      <w:pPr>
        <w:widowControl w:val="0"/>
        <w:autoSpaceDE w:val="0"/>
        <w:autoSpaceDN w:val="0"/>
        <w:adjustRightInd w:val="0"/>
        <w:spacing w:after="0" w:line="242" w:lineRule="auto"/>
        <w:rPr>
          <w:rFonts w:ascii="Times New Roman" w:hAnsi="Times New Roman" w:eastAsia="Times New Roman" w:cs="Times New Roman"/>
          <w:sz w:val="24"/>
          <w:szCs w:val="24"/>
        </w:rPr>
      </w:pPr>
    </w:p>
    <w:p w:rsidRPr="00CB67C8" w:rsidR="00CB67C8" w:rsidP="00CB67C8" w:rsidRDefault="00CB67C8" w14:paraId="2B71A369" w14:textId="77777777">
      <w:pPr>
        <w:widowControl w:val="0"/>
        <w:autoSpaceDE w:val="0"/>
        <w:autoSpaceDN w:val="0"/>
        <w:adjustRightInd w:val="0"/>
        <w:spacing w:after="0" w:line="242" w:lineRule="auto"/>
        <w:ind w:left="810"/>
        <w:rPr>
          <w:rFonts w:ascii="Times New Roman" w:hAnsi="Times New Roman" w:eastAsia="Times New Roman" w:cs="Times New Roman"/>
          <w:sz w:val="24"/>
          <w:szCs w:val="24"/>
        </w:rPr>
      </w:pPr>
      <w:r w:rsidRPr="00CB67C8">
        <w:rPr>
          <w:rFonts w:ascii="Times New Roman" w:hAnsi="Times New Roman" w:eastAsia="Times New Roman" w:cs="Times New Roman"/>
          <w:sz w:val="24"/>
          <w:szCs w:val="24"/>
        </w:rPr>
        <w:t>There are no exceptions to the certification statement.</w:t>
      </w:r>
    </w:p>
    <w:p w:rsidRPr="00CB67C8" w:rsidR="00CB67C8" w:rsidP="00CB67C8" w:rsidRDefault="00CB67C8" w14:paraId="4196BBC0" w14:textId="77777777">
      <w:pPr>
        <w:widowControl w:val="0"/>
        <w:autoSpaceDE w:val="0"/>
        <w:autoSpaceDN w:val="0"/>
        <w:adjustRightInd w:val="0"/>
        <w:spacing w:after="0" w:line="242" w:lineRule="auto"/>
        <w:rPr>
          <w:rFonts w:ascii="Times New Roman" w:hAnsi="Times New Roman" w:eastAsia="Times New Roman" w:cs="Times New Roman"/>
          <w:b/>
          <w:sz w:val="24"/>
          <w:szCs w:val="24"/>
        </w:rPr>
      </w:pPr>
    </w:p>
    <w:p w:rsidRPr="00CB67C8" w:rsidR="00CB67C8" w:rsidP="00CB67C8" w:rsidRDefault="00CB67C8" w14:paraId="4EAD8EF7" w14:textId="77777777">
      <w:pPr>
        <w:widowControl w:val="0"/>
        <w:autoSpaceDE w:val="0"/>
        <w:autoSpaceDN w:val="0"/>
        <w:adjustRightInd w:val="0"/>
        <w:spacing w:after="0" w:line="242" w:lineRule="auto"/>
        <w:rPr>
          <w:rFonts w:ascii="Times New Roman" w:hAnsi="Times New Roman" w:eastAsia="Times New Roman" w:cs="Times New Roman"/>
          <w:sz w:val="24"/>
          <w:szCs w:val="24"/>
          <w:u w:val="single"/>
        </w:rPr>
      </w:pPr>
      <w:r w:rsidRPr="00CB67C8">
        <w:rPr>
          <w:rFonts w:ascii="Times New Roman" w:hAnsi="Times New Roman" w:eastAsia="Times New Roman" w:cs="Times New Roman"/>
          <w:b/>
          <w:sz w:val="24"/>
          <w:szCs w:val="24"/>
        </w:rPr>
        <w:t xml:space="preserve">C. </w:t>
      </w:r>
      <w:r w:rsidRPr="00CB67C8">
        <w:rPr>
          <w:rFonts w:ascii="Times New Roman" w:hAnsi="Times New Roman" w:eastAsia="Times New Roman" w:cs="Times New Roman"/>
          <w:b/>
          <w:sz w:val="24"/>
          <w:szCs w:val="24"/>
        </w:rPr>
        <w:tab/>
      </w:r>
      <w:r w:rsidRPr="00CB67C8">
        <w:rPr>
          <w:rFonts w:ascii="Times New Roman" w:hAnsi="Times New Roman" w:eastAsia="Times New Roman" w:cs="Times New Roman"/>
          <w:b/>
          <w:sz w:val="24"/>
          <w:szCs w:val="24"/>
          <w:u w:val="single"/>
        </w:rPr>
        <w:t>STATISTICAL METHODS</w:t>
      </w:r>
    </w:p>
    <w:p w:rsidRPr="00CB67C8" w:rsidR="00CB67C8" w:rsidP="00CB67C8" w:rsidRDefault="00CB67C8" w14:paraId="735267E1" w14:textId="77777777">
      <w:pPr>
        <w:widowControl w:val="0"/>
        <w:autoSpaceDE w:val="0"/>
        <w:autoSpaceDN w:val="0"/>
        <w:adjustRightInd w:val="0"/>
        <w:spacing w:after="0" w:line="242" w:lineRule="auto"/>
        <w:rPr>
          <w:rFonts w:ascii="Times New Roman" w:hAnsi="Times New Roman" w:eastAsia="Times New Roman" w:cs="Times New Roman"/>
          <w:sz w:val="24"/>
          <w:szCs w:val="24"/>
          <w:u w:val="single"/>
        </w:rPr>
      </w:pPr>
    </w:p>
    <w:p w:rsidRPr="00CB67C8" w:rsidR="00CB67C8" w:rsidP="00CB67C8" w:rsidRDefault="00CB67C8" w14:paraId="3B680DE3" w14:textId="77777777">
      <w:pPr>
        <w:widowControl w:val="0"/>
        <w:autoSpaceDE w:val="0"/>
        <w:autoSpaceDN w:val="0"/>
        <w:adjustRightInd w:val="0"/>
        <w:spacing w:after="0" w:line="242" w:lineRule="auto"/>
        <w:rPr>
          <w:rFonts w:ascii="Times New Roman" w:hAnsi="Times New Roman" w:eastAsia="Times New Roman" w:cs="Times New Roman"/>
          <w:b/>
          <w:sz w:val="24"/>
          <w:szCs w:val="24"/>
        </w:rPr>
      </w:pPr>
      <w:r w:rsidRPr="00CB67C8">
        <w:rPr>
          <w:rFonts w:ascii="Times New Roman" w:hAnsi="Times New Roman" w:eastAsia="Times New Roman" w:cs="Times New Roman"/>
          <w:sz w:val="24"/>
          <w:szCs w:val="24"/>
        </w:rPr>
        <w:t xml:space="preserve">            There are no statistical methods employed in this collection.</w:t>
      </w:r>
    </w:p>
    <w:p w:rsidRPr="00CB67C8" w:rsidR="00CB67C8" w:rsidP="00CB67C8" w:rsidRDefault="00CB67C8" w14:paraId="21E98DB7" w14:textId="77777777">
      <w:pPr>
        <w:widowControl w:val="0"/>
        <w:tabs>
          <w:tab w:val="left" w:pos="-1440"/>
        </w:tabs>
        <w:autoSpaceDE w:val="0"/>
        <w:autoSpaceDN w:val="0"/>
        <w:adjustRightInd w:val="0"/>
        <w:spacing w:after="0" w:line="242" w:lineRule="auto"/>
        <w:jc w:val="both"/>
        <w:rPr>
          <w:rFonts w:ascii="Times New Roman" w:hAnsi="Times New Roman" w:eastAsia="Times New Roman" w:cs="Times New Roman"/>
          <w:sz w:val="24"/>
          <w:szCs w:val="24"/>
        </w:rPr>
      </w:pPr>
    </w:p>
    <w:p w:rsidRPr="00CB67C8" w:rsidR="009B02A5" w:rsidRDefault="00207793" w14:paraId="17EE6D90" w14:textId="77777777">
      <w:pPr>
        <w:rPr>
          <w:rFonts w:ascii="Times New Roman" w:hAnsi="Times New Roman" w:cs="Times New Roman"/>
          <w:sz w:val="24"/>
          <w:szCs w:val="24"/>
        </w:rPr>
      </w:pPr>
    </w:p>
    <w:sectPr w:rsidRPr="00CB67C8" w:rsidR="009B02A5" w:rsidSect="00CB67C8">
      <w:footnotePr>
        <w:numFmt w:val="chicago"/>
      </w:footnotePr>
      <w:endnotePr>
        <w:numFmt w:val="decimal"/>
      </w:endnotePr>
      <w:pgSz w:w="12240" w:h="15840"/>
      <w:pgMar w:top="144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E2A88"/>
    <w:multiLevelType w:val="hybridMultilevel"/>
    <w:tmpl w:val="5950AD6E"/>
    <w:lvl w:ilvl="0" w:tplc="CA8E3076">
      <w:start w:val="1"/>
      <w:numFmt w:val="decimal"/>
      <w:lvlText w:val="%1."/>
      <w:lvlJc w:val="left"/>
      <w:pPr>
        <w:tabs>
          <w:tab w:val="num" w:pos="1530"/>
        </w:tabs>
        <w:ind w:left="153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DFA0343"/>
    <w:multiLevelType w:val="hybridMultilevel"/>
    <w:tmpl w:val="CFCA2CE2"/>
    <w:lvl w:ilvl="0" w:tplc="8A1A8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Fmt w:val="chicago"/>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7C8"/>
    <w:rsid w:val="0000513A"/>
    <w:rsid w:val="00053122"/>
    <w:rsid w:val="000832CA"/>
    <w:rsid w:val="00091093"/>
    <w:rsid w:val="000A2446"/>
    <w:rsid w:val="000F1BBE"/>
    <w:rsid w:val="000F59DF"/>
    <w:rsid w:val="00111928"/>
    <w:rsid w:val="0011291F"/>
    <w:rsid w:val="0011401E"/>
    <w:rsid w:val="001266BF"/>
    <w:rsid w:val="001610ED"/>
    <w:rsid w:val="001B02E8"/>
    <w:rsid w:val="001C5CCB"/>
    <w:rsid w:val="001E35C7"/>
    <w:rsid w:val="00207793"/>
    <w:rsid w:val="00241CE1"/>
    <w:rsid w:val="00261AEF"/>
    <w:rsid w:val="00276F03"/>
    <w:rsid w:val="00280997"/>
    <w:rsid w:val="00285CD8"/>
    <w:rsid w:val="00296FC5"/>
    <w:rsid w:val="002A498A"/>
    <w:rsid w:val="002B01D8"/>
    <w:rsid w:val="0030505E"/>
    <w:rsid w:val="0032638D"/>
    <w:rsid w:val="00327C28"/>
    <w:rsid w:val="00391888"/>
    <w:rsid w:val="0039630A"/>
    <w:rsid w:val="003D4900"/>
    <w:rsid w:val="003E1360"/>
    <w:rsid w:val="003E2017"/>
    <w:rsid w:val="004017F8"/>
    <w:rsid w:val="00426BE8"/>
    <w:rsid w:val="00453B9D"/>
    <w:rsid w:val="005169E6"/>
    <w:rsid w:val="005222BE"/>
    <w:rsid w:val="00541C4F"/>
    <w:rsid w:val="00551483"/>
    <w:rsid w:val="0055589C"/>
    <w:rsid w:val="0056115E"/>
    <w:rsid w:val="0058756D"/>
    <w:rsid w:val="005974BC"/>
    <w:rsid w:val="005A1CD3"/>
    <w:rsid w:val="005C63AA"/>
    <w:rsid w:val="005E07B6"/>
    <w:rsid w:val="005F7A34"/>
    <w:rsid w:val="00604C53"/>
    <w:rsid w:val="006128C7"/>
    <w:rsid w:val="00612F00"/>
    <w:rsid w:val="00676C24"/>
    <w:rsid w:val="00690388"/>
    <w:rsid w:val="00707E94"/>
    <w:rsid w:val="0071707F"/>
    <w:rsid w:val="007716D5"/>
    <w:rsid w:val="00777CEF"/>
    <w:rsid w:val="007C5688"/>
    <w:rsid w:val="00822E3B"/>
    <w:rsid w:val="0084374F"/>
    <w:rsid w:val="00856CB3"/>
    <w:rsid w:val="00863E90"/>
    <w:rsid w:val="008652CC"/>
    <w:rsid w:val="008711A3"/>
    <w:rsid w:val="009009B1"/>
    <w:rsid w:val="009512F1"/>
    <w:rsid w:val="00965DCE"/>
    <w:rsid w:val="009670CF"/>
    <w:rsid w:val="009B68E2"/>
    <w:rsid w:val="009E7867"/>
    <w:rsid w:val="00A1347D"/>
    <w:rsid w:val="00A154E4"/>
    <w:rsid w:val="00A615FC"/>
    <w:rsid w:val="00A636D3"/>
    <w:rsid w:val="00A70EE9"/>
    <w:rsid w:val="00A80232"/>
    <w:rsid w:val="00AD4054"/>
    <w:rsid w:val="00AF63AF"/>
    <w:rsid w:val="00B14259"/>
    <w:rsid w:val="00B71F11"/>
    <w:rsid w:val="00B83F15"/>
    <w:rsid w:val="00BA7639"/>
    <w:rsid w:val="00BC532A"/>
    <w:rsid w:val="00C61D3A"/>
    <w:rsid w:val="00C74A95"/>
    <w:rsid w:val="00C865F7"/>
    <w:rsid w:val="00CB67C8"/>
    <w:rsid w:val="00CE6487"/>
    <w:rsid w:val="00CE694D"/>
    <w:rsid w:val="00D92E8D"/>
    <w:rsid w:val="00DB49CA"/>
    <w:rsid w:val="00DF6E1C"/>
    <w:rsid w:val="00E15CF0"/>
    <w:rsid w:val="00E71293"/>
    <w:rsid w:val="00E85D31"/>
    <w:rsid w:val="00F10DA4"/>
    <w:rsid w:val="00F40998"/>
    <w:rsid w:val="00F537A3"/>
    <w:rsid w:val="00F87A1C"/>
    <w:rsid w:val="00FD04B1"/>
    <w:rsid w:val="00FD1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9EDA"/>
  <w15:chartTrackingRefBased/>
  <w15:docId w15:val="{EF8F81D3-62F3-472E-8AD0-DCB98766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B67C8"/>
    <w:rPr>
      <w:sz w:val="16"/>
      <w:szCs w:val="16"/>
    </w:rPr>
  </w:style>
  <w:style w:type="paragraph" w:styleId="CommentText">
    <w:name w:val="annotation text"/>
    <w:basedOn w:val="Normal"/>
    <w:link w:val="CommentTextChar"/>
    <w:rsid w:val="00CB67C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B67C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6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7C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83F15"/>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83F1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652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Research-Statistics-Data-and-Systems/Downloadable-Public-Use-Files/Cost-Reports/" TargetMode="External"/><Relationship Id="rId3" Type="http://schemas.openxmlformats.org/officeDocument/2006/relationships/styles" Target="styles.xml"/><Relationship Id="rId7" Type="http://schemas.openxmlformats.org/officeDocument/2006/relationships/hyperlink" Target="https://www.bls.gov/oes/current/oes13201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oes/current/oes433031.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375CF-6948-4211-8A49-B1D01838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Michael</dc:creator>
  <cp:keywords/>
  <dc:description/>
  <cp:lastModifiedBy>WILLIAM PARHAM</cp:lastModifiedBy>
  <cp:revision>2</cp:revision>
  <dcterms:created xsi:type="dcterms:W3CDTF">2021-10-18T18:11:00Z</dcterms:created>
  <dcterms:modified xsi:type="dcterms:W3CDTF">2021-10-18T18:11:00Z</dcterms:modified>
</cp:coreProperties>
</file>