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67CD" w:rsidP="006567CD" w:rsidRDefault="006567CD" w14:paraId="0681F85D" w14:textId="77777777">
      <w:pPr>
        <w:spacing w:before="240" w:line="360" w:lineRule="auto"/>
        <w:contextualSpacing/>
        <w:jc w:val="center"/>
        <w:rPr>
          <w:rFonts w:ascii="Times New Roman" w:hAnsi="Times New Roman"/>
          <w:b/>
          <w:sz w:val="24"/>
          <w:szCs w:val="24"/>
        </w:rPr>
      </w:pPr>
    </w:p>
    <w:p w:rsidR="006567CD" w:rsidP="006567CD" w:rsidRDefault="006567CD" w14:paraId="4321C4ED" w14:textId="77777777">
      <w:pPr>
        <w:spacing w:before="240" w:line="360" w:lineRule="auto"/>
        <w:contextualSpacing/>
        <w:jc w:val="center"/>
        <w:rPr>
          <w:rFonts w:ascii="Times New Roman" w:hAnsi="Times New Roman"/>
          <w:b/>
          <w:sz w:val="24"/>
          <w:szCs w:val="24"/>
        </w:rPr>
      </w:pPr>
    </w:p>
    <w:p w:rsidR="006567CD" w:rsidP="006567CD" w:rsidRDefault="006567CD" w14:paraId="018C9A55" w14:textId="77777777">
      <w:pPr>
        <w:spacing w:before="240" w:line="360" w:lineRule="auto"/>
        <w:contextualSpacing/>
        <w:jc w:val="center"/>
        <w:rPr>
          <w:rFonts w:ascii="Times New Roman" w:hAnsi="Times New Roman"/>
          <w:b/>
          <w:sz w:val="24"/>
          <w:szCs w:val="24"/>
        </w:rPr>
      </w:pPr>
    </w:p>
    <w:p w:rsidR="006567CD" w:rsidP="006567CD" w:rsidRDefault="006567CD" w14:paraId="0A096761" w14:textId="77777777">
      <w:pPr>
        <w:spacing w:before="240" w:line="360" w:lineRule="auto"/>
        <w:contextualSpacing/>
        <w:jc w:val="center"/>
        <w:rPr>
          <w:rFonts w:ascii="Times New Roman" w:hAnsi="Times New Roman"/>
          <w:b/>
          <w:sz w:val="24"/>
          <w:szCs w:val="24"/>
        </w:rPr>
      </w:pPr>
    </w:p>
    <w:p w:rsidRPr="00B30507" w:rsidR="006567CD" w:rsidP="006567CD" w:rsidRDefault="00CA03C8" w14:paraId="25CFA612" w14:textId="527AAFC0">
      <w:pPr>
        <w:spacing w:before="240" w:line="360" w:lineRule="auto"/>
        <w:contextualSpacing/>
        <w:jc w:val="center"/>
        <w:rPr>
          <w:rFonts w:ascii="Times New Roman" w:hAnsi="Times New Roman"/>
          <w:b/>
          <w:sz w:val="24"/>
          <w:szCs w:val="24"/>
        </w:rPr>
      </w:pPr>
      <w:r>
        <w:rPr>
          <w:rFonts w:ascii="Times New Roman" w:hAnsi="Times New Roman"/>
          <w:b/>
          <w:sz w:val="24"/>
          <w:szCs w:val="24"/>
        </w:rPr>
        <w:t>Teen and Parent Surveys</w:t>
      </w:r>
      <w:r w:rsidR="00050070">
        <w:rPr>
          <w:rFonts w:ascii="Times New Roman" w:hAnsi="Times New Roman"/>
          <w:b/>
          <w:sz w:val="24"/>
          <w:szCs w:val="24"/>
        </w:rPr>
        <w:t xml:space="preserve"> of Health</w:t>
      </w:r>
      <w:r>
        <w:rPr>
          <w:rFonts w:ascii="Times New Roman" w:hAnsi="Times New Roman"/>
          <w:b/>
          <w:sz w:val="24"/>
          <w:szCs w:val="24"/>
        </w:rPr>
        <w:t xml:space="preserve"> (TAPS)</w:t>
      </w:r>
    </w:p>
    <w:p w:rsidRPr="00B30507" w:rsidR="006567CD" w:rsidP="006567CD" w:rsidRDefault="00F43C03" w14:paraId="2A22B780" w14:textId="03CFDBFB">
      <w:pPr>
        <w:pStyle w:val="Header"/>
        <w:tabs>
          <w:tab w:val="clear" w:pos="4680"/>
        </w:tabs>
        <w:spacing w:before="240" w:after="200" w:line="360" w:lineRule="auto"/>
        <w:jc w:val="center"/>
        <w:rPr>
          <w:rFonts w:ascii="Times New Roman" w:hAnsi="Times New Roman" w:cs="Times New Roman"/>
          <w:sz w:val="24"/>
          <w:szCs w:val="24"/>
        </w:rPr>
      </w:pPr>
      <w:r>
        <w:rPr>
          <w:rFonts w:ascii="Times New Roman" w:hAnsi="Times New Roman" w:cs="Times New Roman"/>
          <w:sz w:val="24"/>
          <w:szCs w:val="24"/>
        </w:rPr>
        <w:t>0920-new</w:t>
      </w:r>
    </w:p>
    <w:p w:rsidRPr="00B30507" w:rsidR="006567CD" w:rsidP="006567CD" w:rsidRDefault="006567CD" w14:paraId="10E6791D" w14:textId="77777777">
      <w:pPr>
        <w:spacing w:before="240" w:line="360" w:lineRule="auto"/>
        <w:contextualSpacing/>
        <w:rPr>
          <w:rFonts w:ascii="Times New Roman" w:hAnsi="Times New Roman"/>
          <w:b/>
          <w:sz w:val="24"/>
          <w:szCs w:val="24"/>
        </w:rPr>
      </w:pPr>
    </w:p>
    <w:p w:rsidRPr="00B30507" w:rsidR="006567CD" w:rsidP="006567CD" w:rsidRDefault="006567CD" w14:paraId="74C113ED" w14:textId="77777777">
      <w:pPr>
        <w:spacing w:before="240" w:line="360" w:lineRule="auto"/>
        <w:contextualSpacing/>
        <w:rPr>
          <w:rFonts w:ascii="Times New Roman" w:hAnsi="Times New Roman"/>
          <w:b/>
          <w:sz w:val="24"/>
          <w:szCs w:val="24"/>
        </w:rPr>
      </w:pPr>
    </w:p>
    <w:p w:rsidRPr="00B30507" w:rsidR="006567CD" w:rsidP="006567CD" w:rsidRDefault="006567CD" w14:paraId="2E26711C" w14:textId="77777777">
      <w:pPr>
        <w:spacing w:before="240" w:line="360" w:lineRule="auto"/>
        <w:contextualSpacing/>
        <w:jc w:val="center"/>
        <w:rPr>
          <w:rFonts w:ascii="Times New Roman" w:hAnsi="Times New Roman"/>
          <w:sz w:val="24"/>
          <w:szCs w:val="24"/>
        </w:rPr>
      </w:pPr>
      <w:r w:rsidRPr="00B30507">
        <w:rPr>
          <w:rFonts w:ascii="Times New Roman" w:hAnsi="Times New Roman"/>
          <w:b/>
          <w:sz w:val="24"/>
          <w:szCs w:val="24"/>
        </w:rPr>
        <w:t>Supporting Statement – Section A</w:t>
      </w:r>
    </w:p>
    <w:p w:rsidRPr="00B30507" w:rsidR="006567CD" w:rsidP="006567CD" w:rsidRDefault="006567CD" w14:paraId="13CE00BD" w14:textId="77777777">
      <w:pPr>
        <w:spacing w:before="240" w:line="360" w:lineRule="auto"/>
        <w:contextualSpacing/>
        <w:rPr>
          <w:rFonts w:ascii="Times New Roman" w:hAnsi="Times New Roman"/>
          <w:b/>
          <w:sz w:val="24"/>
          <w:szCs w:val="24"/>
        </w:rPr>
      </w:pPr>
    </w:p>
    <w:p w:rsidRPr="00B30507" w:rsidR="006567CD" w:rsidP="006567CD" w:rsidRDefault="006567CD" w14:paraId="60FF03A9" w14:textId="77777777">
      <w:pPr>
        <w:spacing w:before="240" w:line="360" w:lineRule="auto"/>
        <w:contextualSpacing/>
        <w:rPr>
          <w:rFonts w:ascii="Times New Roman" w:hAnsi="Times New Roman"/>
          <w:b/>
          <w:sz w:val="24"/>
          <w:szCs w:val="24"/>
        </w:rPr>
      </w:pPr>
    </w:p>
    <w:p w:rsidRPr="00B30507" w:rsidR="006567CD" w:rsidP="006567CD" w:rsidRDefault="006567CD" w14:paraId="323C62A8" w14:textId="77777777">
      <w:pPr>
        <w:spacing w:before="240" w:line="360" w:lineRule="auto"/>
        <w:contextualSpacing/>
        <w:rPr>
          <w:rFonts w:ascii="Times New Roman" w:hAnsi="Times New Roman"/>
          <w:b/>
          <w:sz w:val="24"/>
          <w:szCs w:val="24"/>
        </w:rPr>
      </w:pPr>
    </w:p>
    <w:p w:rsidRPr="00B30507" w:rsidR="006567CD" w:rsidP="006567CD" w:rsidRDefault="006567CD" w14:paraId="51A18EF6" w14:textId="77777777">
      <w:pPr>
        <w:spacing w:before="240" w:line="360" w:lineRule="auto"/>
        <w:contextualSpacing/>
        <w:rPr>
          <w:rFonts w:ascii="Times New Roman" w:hAnsi="Times New Roman"/>
          <w:b/>
          <w:sz w:val="24"/>
          <w:szCs w:val="24"/>
        </w:rPr>
      </w:pPr>
    </w:p>
    <w:p w:rsidRPr="00B30507" w:rsidR="006567CD" w:rsidP="006567CD" w:rsidRDefault="006567CD" w14:paraId="3DF65B98" w14:textId="77777777">
      <w:pPr>
        <w:spacing w:before="240" w:line="360" w:lineRule="auto"/>
        <w:contextualSpacing/>
        <w:rPr>
          <w:rFonts w:ascii="Times New Roman" w:hAnsi="Times New Roman"/>
          <w:b/>
          <w:sz w:val="24"/>
          <w:szCs w:val="24"/>
        </w:rPr>
      </w:pPr>
    </w:p>
    <w:p w:rsidRPr="00B30507" w:rsidR="006567CD" w:rsidP="006567CD" w:rsidRDefault="006567CD" w14:paraId="2F24A319" w14:textId="77777777">
      <w:pPr>
        <w:spacing w:before="240" w:line="360" w:lineRule="auto"/>
        <w:contextualSpacing/>
        <w:rPr>
          <w:rFonts w:ascii="Times New Roman" w:hAnsi="Times New Roman"/>
          <w:b/>
          <w:sz w:val="24"/>
          <w:szCs w:val="24"/>
        </w:rPr>
      </w:pPr>
    </w:p>
    <w:p w:rsidRPr="00B30507" w:rsidR="006567CD" w:rsidP="006567CD" w:rsidRDefault="006567CD" w14:paraId="2B91B77F" w14:textId="255C56BC">
      <w:pPr>
        <w:spacing w:before="240" w:line="360" w:lineRule="auto"/>
        <w:contextualSpacing/>
        <w:jc w:val="center"/>
        <w:rPr>
          <w:rFonts w:ascii="Times New Roman" w:hAnsi="Times New Roman"/>
          <w:sz w:val="24"/>
          <w:szCs w:val="24"/>
        </w:rPr>
      </w:pPr>
      <w:r w:rsidRPr="00B30507">
        <w:rPr>
          <w:rFonts w:ascii="Times New Roman" w:hAnsi="Times New Roman"/>
          <w:sz w:val="24"/>
          <w:szCs w:val="24"/>
        </w:rPr>
        <w:fldChar w:fldCharType="begin"/>
      </w:r>
      <w:r w:rsidRPr="00B30507">
        <w:rPr>
          <w:rFonts w:ascii="Times New Roman" w:hAnsi="Times New Roman"/>
          <w:sz w:val="24"/>
          <w:szCs w:val="24"/>
        </w:rPr>
        <w:instrText xml:space="preserve"> DATE \@ "MMMM d, yyyy" </w:instrText>
      </w:r>
      <w:r w:rsidRPr="00B30507">
        <w:rPr>
          <w:rFonts w:ascii="Times New Roman" w:hAnsi="Times New Roman"/>
          <w:sz w:val="24"/>
          <w:szCs w:val="24"/>
        </w:rPr>
        <w:fldChar w:fldCharType="separate"/>
      </w:r>
      <w:r w:rsidR="00310CA8">
        <w:rPr>
          <w:rFonts w:ascii="Times New Roman" w:hAnsi="Times New Roman"/>
          <w:noProof/>
          <w:sz w:val="24"/>
          <w:szCs w:val="24"/>
        </w:rPr>
        <w:t>September 9</w:t>
      </w:r>
      <w:r w:rsidR="00310CA8">
        <w:rPr>
          <w:rFonts w:ascii="Times New Roman" w:hAnsi="Times New Roman"/>
          <w:noProof/>
          <w:sz w:val="24"/>
          <w:szCs w:val="24"/>
        </w:rPr>
        <w:t>, 2021</w:t>
      </w:r>
      <w:r w:rsidRPr="00B30507">
        <w:rPr>
          <w:rFonts w:ascii="Times New Roman" w:hAnsi="Times New Roman"/>
          <w:sz w:val="24"/>
          <w:szCs w:val="24"/>
        </w:rPr>
        <w:fldChar w:fldCharType="end"/>
      </w:r>
    </w:p>
    <w:p w:rsidR="006567CD" w:rsidP="006567CD" w:rsidRDefault="006567CD" w14:paraId="10394C92" w14:textId="77777777">
      <w:pPr>
        <w:spacing w:before="240" w:line="360" w:lineRule="auto"/>
        <w:contextualSpacing/>
        <w:rPr>
          <w:rFonts w:ascii="Times New Roman" w:hAnsi="Times New Roman"/>
          <w:b/>
          <w:sz w:val="24"/>
          <w:szCs w:val="24"/>
        </w:rPr>
      </w:pPr>
    </w:p>
    <w:p w:rsidR="00FE6D86" w:rsidP="006567CD" w:rsidRDefault="00FE6D86" w14:paraId="0C5C26CD" w14:textId="77777777">
      <w:pPr>
        <w:spacing w:before="240" w:line="360" w:lineRule="auto"/>
        <w:contextualSpacing/>
        <w:rPr>
          <w:rFonts w:ascii="Times New Roman" w:hAnsi="Times New Roman"/>
          <w:b/>
          <w:sz w:val="24"/>
          <w:szCs w:val="24"/>
        </w:rPr>
      </w:pPr>
    </w:p>
    <w:p w:rsidR="00FE6D86" w:rsidP="006567CD" w:rsidRDefault="00FE6D86" w14:paraId="3BF3A492" w14:textId="77777777">
      <w:pPr>
        <w:spacing w:before="240" w:line="360" w:lineRule="auto"/>
        <w:contextualSpacing/>
        <w:rPr>
          <w:rFonts w:ascii="Times New Roman" w:hAnsi="Times New Roman"/>
          <w:b/>
          <w:sz w:val="24"/>
          <w:szCs w:val="24"/>
        </w:rPr>
      </w:pPr>
    </w:p>
    <w:p w:rsidRPr="00B30507" w:rsidR="00FE6D86" w:rsidP="006567CD" w:rsidRDefault="00FE6D86" w14:paraId="6A2A2901" w14:textId="77777777">
      <w:pPr>
        <w:spacing w:before="240" w:line="360" w:lineRule="auto"/>
        <w:contextualSpacing/>
        <w:rPr>
          <w:rFonts w:ascii="Times New Roman" w:hAnsi="Times New Roman"/>
          <w:b/>
          <w:sz w:val="24"/>
          <w:szCs w:val="24"/>
        </w:rPr>
      </w:pPr>
    </w:p>
    <w:p w:rsidRPr="00B30507" w:rsidR="006567CD" w:rsidP="006567CD" w:rsidRDefault="006567CD" w14:paraId="013B30D2" w14:textId="77777777">
      <w:pPr>
        <w:spacing w:before="240" w:line="360" w:lineRule="auto"/>
        <w:contextualSpacing/>
        <w:rPr>
          <w:rFonts w:ascii="Times New Roman" w:hAnsi="Times New Roman"/>
          <w:b/>
          <w:sz w:val="24"/>
          <w:szCs w:val="24"/>
          <w:u w:val="single"/>
        </w:rPr>
      </w:pPr>
      <w:r w:rsidRPr="00B30507">
        <w:rPr>
          <w:rFonts w:ascii="Times New Roman" w:hAnsi="Times New Roman"/>
          <w:b/>
          <w:sz w:val="24"/>
          <w:szCs w:val="24"/>
          <w:u w:val="single"/>
        </w:rPr>
        <w:t>Program Official/Project Officer</w:t>
      </w:r>
    </w:p>
    <w:p w:rsidR="009724AA" w:rsidP="009724AA" w:rsidRDefault="009724AA" w14:paraId="0E790D73" w14:textId="77777777">
      <w:pPr>
        <w:spacing w:line="480" w:lineRule="auto"/>
        <w:rPr>
          <w:rFonts w:ascii="Times New Roman" w:hAnsi="Times New Roman"/>
          <w:sz w:val="24"/>
          <w:szCs w:val="24"/>
        </w:rPr>
      </w:pPr>
      <w:r>
        <w:rPr>
          <w:rFonts w:ascii="Times New Roman" w:hAnsi="Times New Roman"/>
          <w:sz w:val="24"/>
          <w:szCs w:val="24"/>
        </w:rPr>
        <w:t>Nicole Liddon</w:t>
      </w:r>
      <w:r w:rsidR="008212B4">
        <w:rPr>
          <w:rFonts w:ascii="Times New Roman" w:hAnsi="Times New Roman"/>
          <w:sz w:val="24"/>
          <w:szCs w:val="24"/>
        </w:rPr>
        <w:t>, PhD</w:t>
      </w:r>
    </w:p>
    <w:p w:rsidRPr="009724AA" w:rsidR="009724AA" w:rsidP="009724AA" w:rsidRDefault="009724AA" w14:paraId="2D70D8B4" w14:textId="5505A4CE">
      <w:pPr>
        <w:spacing w:line="480" w:lineRule="auto"/>
        <w:rPr>
          <w:rFonts w:ascii="Times New Roman" w:hAnsi="Times New Roman"/>
          <w:sz w:val="24"/>
          <w:szCs w:val="24"/>
        </w:rPr>
      </w:pPr>
      <w:r w:rsidRPr="009724AA">
        <w:rPr>
          <w:rFonts w:ascii="Times New Roman" w:hAnsi="Times New Roman"/>
          <w:sz w:val="24"/>
          <w:szCs w:val="24"/>
        </w:rPr>
        <w:t>Division of Adolescent and School Health, Research Application and Evaluation Branch</w:t>
      </w:r>
    </w:p>
    <w:p w:rsidR="009724AA" w:rsidP="009724AA" w:rsidRDefault="009724AA" w14:paraId="41559DF0" w14:textId="77777777">
      <w:pPr>
        <w:spacing w:line="480" w:lineRule="auto"/>
        <w:rPr>
          <w:rFonts w:ascii="Times New Roman" w:hAnsi="Times New Roman"/>
          <w:sz w:val="24"/>
          <w:szCs w:val="24"/>
        </w:rPr>
      </w:pPr>
      <w:r>
        <w:rPr>
          <w:rFonts w:ascii="Times New Roman" w:hAnsi="Times New Roman"/>
          <w:sz w:val="24"/>
          <w:szCs w:val="24"/>
        </w:rPr>
        <w:t>4770 Buford Highway</w:t>
      </w:r>
    </w:p>
    <w:p w:rsidRPr="009724AA" w:rsidR="009724AA" w:rsidP="009724AA" w:rsidRDefault="009724AA" w14:paraId="020E805E" w14:textId="0C98E38C">
      <w:pPr>
        <w:spacing w:line="480" w:lineRule="auto"/>
        <w:rPr>
          <w:rFonts w:ascii="Times New Roman" w:hAnsi="Times New Roman"/>
          <w:sz w:val="24"/>
          <w:szCs w:val="24"/>
        </w:rPr>
      </w:pPr>
      <w:r w:rsidRPr="009724AA">
        <w:rPr>
          <w:rFonts w:ascii="Times New Roman" w:hAnsi="Times New Roman"/>
          <w:sz w:val="24"/>
          <w:szCs w:val="24"/>
        </w:rPr>
        <w:t>Mail Stop K-12</w:t>
      </w:r>
    </w:p>
    <w:p w:rsidRPr="009724AA" w:rsidR="009724AA" w:rsidP="009724AA" w:rsidRDefault="009724AA" w14:paraId="3DF7838D" w14:textId="674535D1">
      <w:pPr>
        <w:spacing w:line="480" w:lineRule="auto"/>
        <w:rPr>
          <w:rFonts w:ascii="Times New Roman" w:hAnsi="Times New Roman"/>
          <w:sz w:val="24"/>
          <w:szCs w:val="24"/>
        </w:rPr>
      </w:pPr>
      <w:r>
        <w:rPr>
          <w:rFonts w:ascii="Times New Roman" w:hAnsi="Times New Roman"/>
          <w:sz w:val="24"/>
          <w:szCs w:val="24"/>
        </w:rPr>
        <w:t xml:space="preserve">Atlanta, GA </w:t>
      </w:r>
      <w:r w:rsidRPr="009724AA">
        <w:rPr>
          <w:rFonts w:ascii="Times New Roman" w:hAnsi="Times New Roman"/>
          <w:sz w:val="24"/>
          <w:szCs w:val="24"/>
        </w:rPr>
        <w:t>30341</w:t>
      </w:r>
    </w:p>
    <w:p w:rsidR="006567CD" w:rsidP="009724AA" w:rsidRDefault="009724AA" w14:paraId="7468590A" w14:textId="5B7E9859">
      <w:pPr>
        <w:spacing w:line="480" w:lineRule="auto"/>
        <w:rPr>
          <w:rFonts w:cs="Courier New" w:asciiTheme="minorHAnsi" w:hAnsiTheme="minorHAnsi"/>
          <w:sz w:val="22"/>
          <w:szCs w:val="22"/>
        </w:rPr>
      </w:pPr>
      <w:r w:rsidRPr="009724AA">
        <w:rPr>
          <w:rFonts w:ascii="Times New Roman" w:hAnsi="Times New Roman"/>
          <w:sz w:val="24"/>
          <w:szCs w:val="24"/>
        </w:rPr>
        <w:t>nel6@cdc.gov</w:t>
      </w:r>
    </w:p>
    <w:sdt>
      <w:sdtPr>
        <w:rPr>
          <w:rFonts w:ascii="Times New Roman" w:hAnsi="Times New Roman" w:cs="Times New Roman" w:eastAsiaTheme="minorEastAsia"/>
          <w:color w:val="auto"/>
          <w:sz w:val="22"/>
          <w:szCs w:val="22"/>
        </w:rPr>
        <w:id w:val="-729607518"/>
        <w:docPartObj>
          <w:docPartGallery w:val="Table of Contents"/>
          <w:docPartUnique/>
        </w:docPartObj>
      </w:sdtPr>
      <w:sdtEndPr/>
      <w:sdtContent>
        <w:p w:rsidRPr="00B30507" w:rsidR="006567CD" w:rsidP="006567CD" w:rsidRDefault="006567CD" w14:paraId="622CCA45" w14:textId="77777777">
          <w:pPr>
            <w:pStyle w:val="TOCHeading"/>
            <w:spacing w:after="200"/>
            <w:rPr>
              <w:rFonts w:ascii="Times New Roman" w:hAnsi="Times New Roman" w:cs="Times New Roman"/>
              <w:b/>
              <w:color w:val="auto"/>
              <w:sz w:val="28"/>
              <w:szCs w:val="24"/>
            </w:rPr>
          </w:pPr>
          <w:r w:rsidRPr="00B30507">
            <w:rPr>
              <w:rFonts w:ascii="Times New Roman" w:hAnsi="Times New Roman" w:cs="Times New Roman"/>
              <w:b/>
              <w:color w:val="auto"/>
              <w:sz w:val="28"/>
              <w:szCs w:val="24"/>
            </w:rPr>
            <w:t>Table of Contents</w:t>
          </w:r>
        </w:p>
        <w:p w:rsidR="007A5263" w:rsidRDefault="006567CD" w14:paraId="2A8E7502" w14:textId="3AE8B6A0">
          <w:pPr>
            <w:pStyle w:val="TOC1"/>
            <w:rPr>
              <w:noProof/>
            </w:rPr>
          </w:pPr>
          <w:r w:rsidRPr="00B30507">
            <w:rPr>
              <w:rFonts w:ascii="Times New Roman" w:hAnsi="Times New Roman" w:cs="Times New Roman"/>
              <w:sz w:val="24"/>
              <w:szCs w:val="24"/>
            </w:rPr>
            <w:fldChar w:fldCharType="begin"/>
          </w:r>
          <w:r w:rsidRPr="00B30507">
            <w:rPr>
              <w:rFonts w:ascii="Times New Roman" w:hAnsi="Times New Roman" w:cs="Times New Roman"/>
              <w:sz w:val="24"/>
              <w:szCs w:val="24"/>
            </w:rPr>
            <w:instrText xml:space="preserve"> TOC \o "1-3" \h \z \u </w:instrText>
          </w:r>
          <w:r w:rsidRPr="00B30507">
            <w:rPr>
              <w:rFonts w:ascii="Times New Roman" w:hAnsi="Times New Roman" w:cs="Times New Roman"/>
              <w:sz w:val="24"/>
              <w:szCs w:val="24"/>
            </w:rPr>
            <w:fldChar w:fldCharType="separate"/>
          </w:r>
          <w:hyperlink w:history="1" w:anchor="_Toc50987033">
            <w:r w:rsidRPr="00E640E4" w:rsidR="007A5263">
              <w:rPr>
                <w:rStyle w:val="Hyperlink"/>
                <w:rFonts w:ascii="Times New Roman" w:hAnsi="Times New Roman" w:cs="Times New Roman"/>
                <w:b/>
                <w:noProof/>
              </w:rPr>
              <w:t>SECTION A - JUSTIFICATION</w:t>
            </w:r>
            <w:r w:rsidR="007A5263">
              <w:rPr>
                <w:noProof/>
                <w:webHidden/>
              </w:rPr>
              <w:tab/>
            </w:r>
            <w:r w:rsidR="00BA1E60">
              <w:rPr>
                <w:noProof/>
                <w:webHidden/>
              </w:rPr>
              <w:t>4</w:t>
            </w:r>
          </w:hyperlink>
        </w:p>
        <w:p w:rsidR="007A5263" w:rsidRDefault="00310CA8" w14:paraId="362B9330" w14:textId="6BAF5F59">
          <w:pPr>
            <w:pStyle w:val="TOC2"/>
            <w:tabs>
              <w:tab w:val="left" w:pos="880"/>
              <w:tab w:val="right" w:leader="dot" w:pos="9350"/>
            </w:tabs>
            <w:rPr>
              <w:rFonts w:asciiTheme="minorHAnsi" w:hAnsiTheme="minorHAnsi" w:eastAsiaTheme="minorEastAsia" w:cstheme="minorBidi"/>
              <w:noProof/>
              <w:sz w:val="22"/>
              <w:szCs w:val="22"/>
            </w:rPr>
          </w:pPr>
          <w:hyperlink w:history="1" w:anchor="_Toc50987034">
            <w:r w:rsidRPr="00E640E4" w:rsidR="007A5263">
              <w:rPr>
                <w:rStyle w:val="Hyperlink"/>
                <w:rFonts w:ascii="Times New Roman" w:hAnsi="Times New Roman"/>
                <w:b/>
                <w:noProof/>
              </w:rPr>
              <w:t>A.1.</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Circumstances Making the Collection of Information Necessary</w:t>
            </w:r>
            <w:r w:rsidR="007A5263">
              <w:rPr>
                <w:noProof/>
                <w:webHidden/>
              </w:rPr>
              <w:tab/>
            </w:r>
          </w:hyperlink>
          <w:r w:rsidR="00BA1E60">
            <w:rPr>
              <w:noProof/>
            </w:rPr>
            <w:t>5</w:t>
          </w:r>
        </w:p>
        <w:p w:rsidR="007A5263" w:rsidRDefault="00310CA8" w14:paraId="40BA5A86" w14:textId="77777777">
          <w:pPr>
            <w:pStyle w:val="TOC2"/>
            <w:tabs>
              <w:tab w:val="left" w:pos="880"/>
              <w:tab w:val="right" w:leader="dot" w:pos="9350"/>
            </w:tabs>
            <w:rPr>
              <w:rFonts w:asciiTheme="minorHAnsi" w:hAnsiTheme="minorHAnsi" w:eastAsiaTheme="minorEastAsia" w:cstheme="minorBidi"/>
              <w:noProof/>
              <w:sz w:val="22"/>
              <w:szCs w:val="22"/>
            </w:rPr>
          </w:pPr>
          <w:hyperlink w:history="1" w:anchor="_Toc50987035">
            <w:r w:rsidRPr="00E640E4" w:rsidR="007A5263">
              <w:rPr>
                <w:rStyle w:val="Hyperlink"/>
                <w:rFonts w:ascii="Times New Roman" w:hAnsi="Times New Roman"/>
                <w:b/>
                <w:noProof/>
              </w:rPr>
              <w:t>A.2.</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Purpose and Use of the Information Collection</w:t>
            </w:r>
            <w:r w:rsidR="007A5263">
              <w:rPr>
                <w:noProof/>
                <w:webHidden/>
              </w:rPr>
              <w:tab/>
            </w:r>
            <w:r w:rsidR="007A5263">
              <w:rPr>
                <w:noProof/>
                <w:webHidden/>
              </w:rPr>
              <w:fldChar w:fldCharType="begin"/>
            </w:r>
            <w:r w:rsidR="007A5263">
              <w:rPr>
                <w:noProof/>
                <w:webHidden/>
              </w:rPr>
              <w:instrText xml:space="preserve"> PAGEREF _Toc50987035 \h </w:instrText>
            </w:r>
            <w:r w:rsidR="007A5263">
              <w:rPr>
                <w:noProof/>
                <w:webHidden/>
              </w:rPr>
            </w:r>
            <w:r w:rsidR="007A5263">
              <w:rPr>
                <w:noProof/>
                <w:webHidden/>
              </w:rPr>
              <w:fldChar w:fldCharType="separate"/>
            </w:r>
            <w:r w:rsidR="007A5263">
              <w:rPr>
                <w:noProof/>
                <w:webHidden/>
              </w:rPr>
              <w:t>6</w:t>
            </w:r>
            <w:r w:rsidR="007A5263">
              <w:rPr>
                <w:noProof/>
                <w:webHidden/>
              </w:rPr>
              <w:fldChar w:fldCharType="end"/>
            </w:r>
          </w:hyperlink>
        </w:p>
        <w:p w:rsidR="007A5263" w:rsidRDefault="00310CA8" w14:paraId="482FA876" w14:textId="293FB095">
          <w:pPr>
            <w:pStyle w:val="TOC2"/>
            <w:tabs>
              <w:tab w:val="left" w:pos="880"/>
              <w:tab w:val="right" w:leader="dot" w:pos="9350"/>
            </w:tabs>
            <w:rPr>
              <w:rFonts w:asciiTheme="minorHAnsi" w:hAnsiTheme="minorHAnsi" w:eastAsiaTheme="minorEastAsia" w:cstheme="minorBidi"/>
              <w:noProof/>
              <w:sz w:val="22"/>
              <w:szCs w:val="22"/>
            </w:rPr>
          </w:pPr>
          <w:hyperlink w:history="1" w:anchor="_Toc50987036">
            <w:r w:rsidRPr="00E640E4" w:rsidR="007A5263">
              <w:rPr>
                <w:rStyle w:val="Hyperlink"/>
                <w:rFonts w:ascii="Times New Roman" w:hAnsi="Times New Roman"/>
                <w:b/>
                <w:noProof/>
              </w:rPr>
              <w:t>A.3.</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Use of Improved Information Technology and Burden Reduction</w:t>
            </w:r>
            <w:r w:rsidR="007A5263">
              <w:rPr>
                <w:noProof/>
                <w:webHidden/>
              </w:rPr>
              <w:tab/>
            </w:r>
            <w:r w:rsidR="00BA1E60">
              <w:rPr>
                <w:noProof/>
                <w:webHidden/>
              </w:rPr>
              <w:t>10</w:t>
            </w:r>
          </w:hyperlink>
        </w:p>
        <w:p w:rsidR="007A5263" w:rsidRDefault="00310CA8" w14:paraId="675E9247" w14:textId="13059B39">
          <w:pPr>
            <w:pStyle w:val="TOC2"/>
            <w:tabs>
              <w:tab w:val="left" w:pos="880"/>
              <w:tab w:val="right" w:leader="dot" w:pos="9350"/>
            </w:tabs>
            <w:rPr>
              <w:rFonts w:asciiTheme="minorHAnsi" w:hAnsiTheme="minorHAnsi" w:eastAsiaTheme="minorEastAsia" w:cstheme="minorBidi"/>
              <w:noProof/>
              <w:sz w:val="22"/>
              <w:szCs w:val="22"/>
            </w:rPr>
          </w:pPr>
          <w:hyperlink w:history="1" w:anchor="_Toc50987037">
            <w:r w:rsidRPr="00E640E4" w:rsidR="007A5263">
              <w:rPr>
                <w:rStyle w:val="Hyperlink"/>
                <w:rFonts w:ascii="Times New Roman" w:hAnsi="Times New Roman"/>
                <w:b/>
                <w:noProof/>
              </w:rPr>
              <w:t>A.4.</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Efforts to Identify Duplication and Use of Similar Information</w:t>
            </w:r>
            <w:r w:rsidR="007A5263">
              <w:rPr>
                <w:noProof/>
                <w:webHidden/>
              </w:rPr>
              <w:tab/>
            </w:r>
            <w:r w:rsidR="00BA1E60">
              <w:rPr>
                <w:noProof/>
                <w:webHidden/>
              </w:rPr>
              <w:t>11</w:t>
            </w:r>
          </w:hyperlink>
        </w:p>
        <w:p w:rsidR="007A5263" w:rsidRDefault="00310CA8" w14:paraId="321E9EB6" w14:textId="01A645F2">
          <w:pPr>
            <w:pStyle w:val="TOC2"/>
            <w:tabs>
              <w:tab w:val="left" w:pos="880"/>
              <w:tab w:val="right" w:leader="dot" w:pos="9350"/>
            </w:tabs>
            <w:rPr>
              <w:rFonts w:asciiTheme="minorHAnsi" w:hAnsiTheme="minorHAnsi" w:eastAsiaTheme="minorEastAsia" w:cstheme="minorBidi"/>
              <w:noProof/>
              <w:sz w:val="22"/>
              <w:szCs w:val="22"/>
            </w:rPr>
          </w:pPr>
          <w:hyperlink w:history="1" w:anchor="_Toc50987038">
            <w:r w:rsidRPr="00E640E4" w:rsidR="007A5263">
              <w:rPr>
                <w:rStyle w:val="Hyperlink"/>
                <w:rFonts w:ascii="Times New Roman" w:hAnsi="Times New Roman"/>
                <w:b/>
                <w:noProof/>
              </w:rPr>
              <w:t>A.5.</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Impact on Small Business or Other Small Entities</w:t>
            </w:r>
            <w:r w:rsidR="007A5263">
              <w:rPr>
                <w:noProof/>
                <w:webHidden/>
              </w:rPr>
              <w:tab/>
            </w:r>
            <w:r w:rsidR="00BA1E60">
              <w:rPr>
                <w:noProof/>
                <w:webHidden/>
              </w:rPr>
              <w:t>12</w:t>
            </w:r>
          </w:hyperlink>
        </w:p>
        <w:p w:rsidR="007A5263" w:rsidRDefault="00310CA8" w14:paraId="5BBB7BB1" w14:textId="54343295">
          <w:pPr>
            <w:pStyle w:val="TOC2"/>
            <w:tabs>
              <w:tab w:val="left" w:pos="880"/>
              <w:tab w:val="right" w:leader="dot" w:pos="9350"/>
            </w:tabs>
            <w:rPr>
              <w:rFonts w:asciiTheme="minorHAnsi" w:hAnsiTheme="minorHAnsi" w:eastAsiaTheme="minorEastAsia" w:cstheme="minorBidi"/>
              <w:noProof/>
              <w:sz w:val="22"/>
              <w:szCs w:val="22"/>
            </w:rPr>
          </w:pPr>
          <w:hyperlink w:history="1" w:anchor="_Toc50987039">
            <w:r w:rsidRPr="00E640E4" w:rsidR="007A5263">
              <w:rPr>
                <w:rStyle w:val="Hyperlink"/>
                <w:rFonts w:ascii="Times New Roman" w:hAnsi="Times New Roman"/>
                <w:b/>
                <w:noProof/>
              </w:rPr>
              <w:t>A.6.</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Consequences of Collecting the Information Less Frequently</w:t>
            </w:r>
            <w:r w:rsidR="007A5263">
              <w:rPr>
                <w:noProof/>
                <w:webHidden/>
              </w:rPr>
              <w:tab/>
            </w:r>
            <w:r w:rsidR="00BA1E60">
              <w:rPr>
                <w:noProof/>
                <w:webHidden/>
              </w:rPr>
              <w:t>12</w:t>
            </w:r>
          </w:hyperlink>
        </w:p>
        <w:p w:rsidR="007A5263" w:rsidRDefault="00310CA8" w14:paraId="42850B65" w14:textId="70B1D601">
          <w:pPr>
            <w:pStyle w:val="TOC2"/>
            <w:tabs>
              <w:tab w:val="left" w:pos="880"/>
              <w:tab w:val="right" w:leader="dot" w:pos="9350"/>
            </w:tabs>
            <w:rPr>
              <w:rFonts w:asciiTheme="minorHAnsi" w:hAnsiTheme="minorHAnsi" w:eastAsiaTheme="minorEastAsia" w:cstheme="minorBidi"/>
              <w:noProof/>
              <w:sz w:val="22"/>
              <w:szCs w:val="22"/>
            </w:rPr>
          </w:pPr>
          <w:hyperlink w:history="1" w:anchor="_Toc50987040">
            <w:r w:rsidRPr="00E640E4" w:rsidR="007A5263">
              <w:rPr>
                <w:rStyle w:val="Hyperlink"/>
                <w:rFonts w:ascii="Times New Roman" w:hAnsi="Times New Roman"/>
                <w:b/>
                <w:noProof/>
              </w:rPr>
              <w:t>A.7.</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Special Circumstances Relating to the Guidelines of 5 CFR 1320.5</w:t>
            </w:r>
            <w:r w:rsidR="007A5263">
              <w:rPr>
                <w:noProof/>
                <w:webHidden/>
              </w:rPr>
              <w:tab/>
            </w:r>
            <w:r w:rsidR="00BA1E60">
              <w:rPr>
                <w:noProof/>
                <w:webHidden/>
              </w:rPr>
              <w:t>12</w:t>
            </w:r>
          </w:hyperlink>
        </w:p>
        <w:p w:rsidR="007A5263" w:rsidRDefault="00310CA8" w14:paraId="0512F038" w14:textId="4EEB6EF5">
          <w:pPr>
            <w:pStyle w:val="TOC2"/>
            <w:tabs>
              <w:tab w:val="left" w:pos="880"/>
              <w:tab w:val="right" w:leader="dot" w:pos="9350"/>
            </w:tabs>
            <w:rPr>
              <w:rFonts w:asciiTheme="minorHAnsi" w:hAnsiTheme="minorHAnsi" w:eastAsiaTheme="minorEastAsia" w:cstheme="minorBidi"/>
              <w:noProof/>
              <w:sz w:val="22"/>
              <w:szCs w:val="22"/>
            </w:rPr>
          </w:pPr>
          <w:hyperlink w:history="1" w:anchor="_Toc50987041">
            <w:r w:rsidRPr="00E640E4" w:rsidR="007A5263">
              <w:rPr>
                <w:rStyle w:val="Hyperlink"/>
                <w:rFonts w:ascii="Times New Roman" w:hAnsi="Times New Roman"/>
                <w:b/>
                <w:noProof/>
              </w:rPr>
              <w:t>A.8.</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Comments in Response to the Federal Register Notice and Efforts to Consult Outside the Agency</w:t>
            </w:r>
            <w:r w:rsidR="007A5263">
              <w:rPr>
                <w:noProof/>
                <w:webHidden/>
              </w:rPr>
              <w:tab/>
            </w:r>
            <w:r w:rsidR="00BA1E60">
              <w:rPr>
                <w:noProof/>
                <w:webHidden/>
              </w:rPr>
              <w:t>12</w:t>
            </w:r>
          </w:hyperlink>
        </w:p>
        <w:p w:rsidR="007A5263" w:rsidRDefault="00310CA8" w14:paraId="4296559B" w14:textId="33B45A94">
          <w:pPr>
            <w:pStyle w:val="TOC2"/>
            <w:tabs>
              <w:tab w:val="left" w:pos="880"/>
              <w:tab w:val="right" w:leader="dot" w:pos="9350"/>
            </w:tabs>
            <w:rPr>
              <w:rFonts w:asciiTheme="minorHAnsi" w:hAnsiTheme="minorHAnsi" w:eastAsiaTheme="minorEastAsia" w:cstheme="minorBidi"/>
              <w:noProof/>
              <w:sz w:val="22"/>
              <w:szCs w:val="22"/>
            </w:rPr>
          </w:pPr>
          <w:hyperlink w:history="1" w:anchor="_Toc50987042">
            <w:r w:rsidRPr="00E640E4" w:rsidR="007A5263">
              <w:rPr>
                <w:rStyle w:val="Hyperlink"/>
                <w:rFonts w:ascii="Times New Roman" w:hAnsi="Times New Roman"/>
                <w:b/>
                <w:noProof/>
              </w:rPr>
              <w:t>A.9.</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Explanation of Any Payment or Gift to Respondents</w:t>
            </w:r>
            <w:r w:rsidR="007A5263">
              <w:rPr>
                <w:noProof/>
                <w:webHidden/>
              </w:rPr>
              <w:tab/>
            </w:r>
            <w:r w:rsidR="007A5263">
              <w:rPr>
                <w:noProof/>
                <w:webHidden/>
              </w:rPr>
              <w:fldChar w:fldCharType="begin"/>
            </w:r>
            <w:r w:rsidR="007A5263">
              <w:rPr>
                <w:noProof/>
                <w:webHidden/>
              </w:rPr>
              <w:instrText xml:space="preserve"> PAGEREF _Toc50987042 \h </w:instrText>
            </w:r>
            <w:r w:rsidR="007A5263">
              <w:rPr>
                <w:noProof/>
                <w:webHidden/>
              </w:rPr>
            </w:r>
            <w:r w:rsidR="007A5263">
              <w:rPr>
                <w:noProof/>
                <w:webHidden/>
              </w:rPr>
              <w:fldChar w:fldCharType="separate"/>
            </w:r>
            <w:r w:rsidR="007A5263">
              <w:rPr>
                <w:noProof/>
                <w:webHidden/>
              </w:rPr>
              <w:t>1</w:t>
            </w:r>
            <w:r w:rsidR="00BA1E60">
              <w:rPr>
                <w:noProof/>
                <w:webHidden/>
              </w:rPr>
              <w:t>3</w:t>
            </w:r>
            <w:r w:rsidR="007A5263">
              <w:rPr>
                <w:noProof/>
                <w:webHidden/>
              </w:rPr>
              <w:fldChar w:fldCharType="end"/>
            </w:r>
          </w:hyperlink>
        </w:p>
        <w:p w:rsidR="007A5263" w:rsidRDefault="00310CA8" w14:paraId="1C5EFD2B" w14:textId="0BC6C595">
          <w:pPr>
            <w:pStyle w:val="TOC2"/>
            <w:tabs>
              <w:tab w:val="left" w:pos="880"/>
              <w:tab w:val="right" w:leader="dot" w:pos="9350"/>
            </w:tabs>
            <w:rPr>
              <w:rFonts w:asciiTheme="minorHAnsi" w:hAnsiTheme="minorHAnsi" w:eastAsiaTheme="minorEastAsia" w:cstheme="minorBidi"/>
              <w:noProof/>
              <w:sz w:val="22"/>
              <w:szCs w:val="22"/>
            </w:rPr>
          </w:pPr>
          <w:hyperlink w:history="1" w:anchor="_Toc50987043">
            <w:r w:rsidRPr="00E640E4" w:rsidR="007A5263">
              <w:rPr>
                <w:rStyle w:val="Hyperlink"/>
                <w:rFonts w:ascii="Times New Roman" w:hAnsi="Times New Roman"/>
                <w:b/>
                <w:noProof/>
              </w:rPr>
              <w:t>A.10.</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Protection of the Privacy and Confidentiality of Information Provided by Respondents</w:t>
            </w:r>
            <w:r w:rsidR="007A5263">
              <w:rPr>
                <w:noProof/>
                <w:webHidden/>
              </w:rPr>
              <w:tab/>
            </w:r>
            <w:r w:rsidR="007A5263">
              <w:rPr>
                <w:noProof/>
                <w:webHidden/>
              </w:rPr>
              <w:fldChar w:fldCharType="begin"/>
            </w:r>
            <w:r w:rsidR="007A5263">
              <w:rPr>
                <w:noProof/>
                <w:webHidden/>
              </w:rPr>
              <w:instrText xml:space="preserve"> PAGEREF _Toc50987043 \h </w:instrText>
            </w:r>
            <w:r w:rsidR="007A5263">
              <w:rPr>
                <w:noProof/>
                <w:webHidden/>
              </w:rPr>
            </w:r>
            <w:r w:rsidR="007A5263">
              <w:rPr>
                <w:noProof/>
                <w:webHidden/>
              </w:rPr>
              <w:fldChar w:fldCharType="separate"/>
            </w:r>
            <w:r w:rsidR="007A5263">
              <w:rPr>
                <w:noProof/>
                <w:webHidden/>
              </w:rPr>
              <w:t>1</w:t>
            </w:r>
            <w:r w:rsidR="00BA1E60">
              <w:rPr>
                <w:noProof/>
                <w:webHidden/>
              </w:rPr>
              <w:t>5</w:t>
            </w:r>
            <w:r w:rsidR="007A5263">
              <w:rPr>
                <w:noProof/>
                <w:webHidden/>
              </w:rPr>
              <w:fldChar w:fldCharType="end"/>
            </w:r>
          </w:hyperlink>
        </w:p>
        <w:p w:rsidR="007A5263" w:rsidRDefault="00310CA8" w14:paraId="032316A5" w14:textId="25A54A3F">
          <w:pPr>
            <w:pStyle w:val="TOC2"/>
            <w:tabs>
              <w:tab w:val="left" w:pos="880"/>
              <w:tab w:val="right" w:leader="dot" w:pos="9350"/>
            </w:tabs>
            <w:rPr>
              <w:rFonts w:asciiTheme="minorHAnsi" w:hAnsiTheme="minorHAnsi" w:eastAsiaTheme="minorEastAsia" w:cstheme="minorBidi"/>
              <w:noProof/>
              <w:sz w:val="22"/>
              <w:szCs w:val="22"/>
            </w:rPr>
          </w:pPr>
          <w:hyperlink w:history="1" w:anchor="_Toc50987044">
            <w:r w:rsidRPr="00E640E4" w:rsidR="007A5263">
              <w:rPr>
                <w:rStyle w:val="Hyperlink"/>
                <w:rFonts w:ascii="Times New Roman" w:hAnsi="Times New Roman"/>
                <w:b/>
                <w:noProof/>
              </w:rPr>
              <w:t>A.11.</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Institutional Review Board (IRB) and Justification for Sensitive Questions</w:t>
            </w:r>
            <w:r w:rsidR="007A5263">
              <w:rPr>
                <w:noProof/>
                <w:webHidden/>
              </w:rPr>
              <w:tab/>
            </w:r>
            <w:r w:rsidR="007A5263">
              <w:rPr>
                <w:noProof/>
                <w:webHidden/>
              </w:rPr>
              <w:fldChar w:fldCharType="begin"/>
            </w:r>
            <w:r w:rsidR="007A5263">
              <w:rPr>
                <w:noProof/>
                <w:webHidden/>
              </w:rPr>
              <w:instrText xml:space="preserve"> PAGEREF _Toc50987044 \h </w:instrText>
            </w:r>
            <w:r w:rsidR="007A5263">
              <w:rPr>
                <w:noProof/>
                <w:webHidden/>
              </w:rPr>
            </w:r>
            <w:r w:rsidR="007A5263">
              <w:rPr>
                <w:noProof/>
                <w:webHidden/>
              </w:rPr>
              <w:fldChar w:fldCharType="separate"/>
            </w:r>
            <w:r w:rsidR="007A5263">
              <w:rPr>
                <w:noProof/>
                <w:webHidden/>
              </w:rPr>
              <w:t>1</w:t>
            </w:r>
            <w:r w:rsidR="00BA1E60">
              <w:rPr>
                <w:noProof/>
                <w:webHidden/>
              </w:rPr>
              <w:t>6</w:t>
            </w:r>
            <w:r w:rsidR="007A5263">
              <w:rPr>
                <w:noProof/>
                <w:webHidden/>
              </w:rPr>
              <w:fldChar w:fldCharType="end"/>
            </w:r>
          </w:hyperlink>
        </w:p>
        <w:p w:rsidR="007A5263" w:rsidRDefault="00310CA8" w14:paraId="74285802" w14:textId="0B6AA6FB">
          <w:pPr>
            <w:pStyle w:val="TOC2"/>
            <w:tabs>
              <w:tab w:val="left" w:pos="880"/>
              <w:tab w:val="right" w:leader="dot" w:pos="9350"/>
            </w:tabs>
            <w:rPr>
              <w:rFonts w:asciiTheme="minorHAnsi" w:hAnsiTheme="minorHAnsi" w:eastAsiaTheme="minorEastAsia" w:cstheme="minorBidi"/>
              <w:noProof/>
              <w:sz w:val="22"/>
              <w:szCs w:val="22"/>
            </w:rPr>
          </w:pPr>
          <w:hyperlink w:history="1" w:anchor="_Toc50987045">
            <w:r w:rsidRPr="00E640E4" w:rsidR="007A5263">
              <w:rPr>
                <w:rStyle w:val="Hyperlink"/>
                <w:rFonts w:ascii="Times New Roman" w:hAnsi="Times New Roman"/>
                <w:b/>
                <w:noProof/>
              </w:rPr>
              <w:t>A.12.</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Estimates of Annualized Burden Hours and Costs</w:t>
            </w:r>
            <w:r w:rsidR="007A5263">
              <w:rPr>
                <w:noProof/>
                <w:webHidden/>
              </w:rPr>
              <w:tab/>
            </w:r>
            <w:r w:rsidR="007A5263">
              <w:rPr>
                <w:noProof/>
                <w:webHidden/>
              </w:rPr>
              <w:fldChar w:fldCharType="begin"/>
            </w:r>
            <w:r w:rsidR="007A5263">
              <w:rPr>
                <w:noProof/>
                <w:webHidden/>
              </w:rPr>
              <w:instrText xml:space="preserve"> PAGEREF _Toc50987045 \h </w:instrText>
            </w:r>
            <w:r w:rsidR="007A5263">
              <w:rPr>
                <w:noProof/>
                <w:webHidden/>
              </w:rPr>
            </w:r>
            <w:r w:rsidR="007A5263">
              <w:rPr>
                <w:noProof/>
                <w:webHidden/>
              </w:rPr>
              <w:fldChar w:fldCharType="separate"/>
            </w:r>
            <w:r w:rsidR="007A5263">
              <w:rPr>
                <w:noProof/>
                <w:webHidden/>
              </w:rPr>
              <w:t>1</w:t>
            </w:r>
            <w:r w:rsidR="00BA1E60">
              <w:rPr>
                <w:noProof/>
                <w:webHidden/>
              </w:rPr>
              <w:t>8</w:t>
            </w:r>
            <w:r w:rsidR="007A5263">
              <w:rPr>
                <w:noProof/>
                <w:webHidden/>
              </w:rPr>
              <w:fldChar w:fldCharType="end"/>
            </w:r>
          </w:hyperlink>
        </w:p>
        <w:p w:rsidR="007A5263" w:rsidRDefault="00310CA8" w14:paraId="4AC53B0A" w14:textId="3B2E3E1F">
          <w:pPr>
            <w:pStyle w:val="TOC2"/>
            <w:tabs>
              <w:tab w:val="left" w:pos="880"/>
              <w:tab w:val="right" w:leader="dot" w:pos="9350"/>
            </w:tabs>
            <w:rPr>
              <w:rFonts w:asciiTheme="minorHAnsi" w:hAnsiTheme="minorHAnsi" w:eastAsiaTheme="minorEastAsia" w:cstheme="minorBidi"/>
              <w:noProof/>
              <w:sz w:val="22"/>
              <w:szCs w:val="22"/>
            </w:rPr>
          </w:pPr>
          <w:hyperlink w:history="1" w:anchor="_Toc50987046">
            <w:r w:rsidRPr="00E640E4" w:rsidR="007A5263">
              <w:rPr>
                <w:rStyle w:val="Hyperlink"/>
                <w:rFonts w:ascii="Times New Roman" w:hAnsi="Times New Roman"/>
                <w:b/>
                <w:noProof/>
              </w:rPr>
              <w:t>A.13.</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Estimates of Other Total Annual Cost Burden to Respondents or Record Keepers</w:t>
            </w:r>
            <w:r w:rsidR="007A5263">
              <w:rPr>
                <w:noProof/>
                <w:webHidden/>
              </w:rPr>
              <w:tab/>
            </w:r>
            <w:r w:rsidR="00BA1E60">
              <w:rPr>
                <w:noProof/>
                <w:webHidden/>
              </w:rPr>
              <w:t>21</w:t>
            </w:r>
          </w:hyperlink>
        </w:p>
        <w:p w:rsidR="007A5263" w:rsidRDefault="00310CA8" w14:paraId="0B76D836" w14:textId="1F07D31E">
          <w:pPr>
            <w:pStyle w:val="TOC2"/>
            <w:tabs>
              <w:tab w:val="left" w:pos="880"/>
              <w:tab w:val="right" w:leader="dot" w:pos="9350"/>
            </w:tabs>
            <w:rPr>
              <w:rFonts w:asciiTheme="minorHAnsi" w:hAnsiTheme="minorHAnsi" w:eastAsiaTheme="minorEastAsia" w:cstheme="minorBidi"/>
              <w:noProof/>
              <w:sz w:val="22"/>
              <w:szCs w:val="22"/>
            </w:rPr>
          </w:pPr>
          <w:hyperlink w:history="1" w:anchor="_Toc50987047">
            <w:r w:rsidRPr="00E640E4" w:rsidR="007A5263">
              <w:rPr>
                <w:rStyle w:val="Hyperlink"/>
                <w:rFonts w:ascii="Times New Roman" w:hAnsi="Times New Roman"/>
                <w:b/>
                <w:noProof/>
              </w:rPr>
              <w:t>A.14.</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Annualized Cost to the Government</w:t>
            </w:r>
            <w:r w:rsidR="007A5263">
              <w:rPr>
                <w:noProof/>
                <w:webHidden/>
              </w:rPr>
              <w:tab/>
            </w:r>
            <w:r w:rsidR="00BA1E60">
              <w:rPr>
                <w:noProof/>
                <w:webHidden/>
              </w:rPr>
              <w:t>21</w:t>
            </w:r>
          </w:hyperlink>
        </w:p>
        <w:p w:rsidR="007A5263" w:rsidRDefault="00310CA8" w14:paraId="69514078" w14:textId="5896A14F">
          <w:pPr>
            <w:pStyle w:val="TOC2"/>
            <w:tabs>
              <w:tab w:val="left" w:pos="880"/>
              <w:tab w:val="right" w:leader="dot" w:pos="9350"/>
            </w:tabs>
            <w:rPr>
              <w:rFonts w:asciiTheme="minorHAnsi" w:hAnsiTheme="minorHAnsi" w:eastAsiaTheme="minorEastAsia" w:cstheme="minorBidi"/>
              <w:noProof/>
              <w:sz w:val="22"/>
              <w:szCs w:val="22"/>
            </w:rPr>
          </w:pPr>
          <w:hyperlink w:history="1" w:anchor="_Toc50987048">
            <w:r w:rsidRPr="00E640E4" w:rsidR="007A5263">
              <w:rPr>
                <w:rStyle w:val="Hyperlink"/>
                <w:rFonts w:ascii="Times New Roman" w:hAnsi="Times New Roman"/>
                <w:b/>
                <w:noProof/>
              </w:rPr>
              <w:t>A.15.</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Explanation for Program Changes or Adjustments</w:t>
            </w:r>
            <w:r w:rsidR="007A5263">
              <w:rPr>
                <w:noProof/>
                <w:webHidden/>
              </w:rPr>
              <w:tab/>
            </w:r>
            <w:r w:rsidR="00BA1E60">
              <w:rPr>
                <w:noProof/>
                <w:webHidden/>
              </w:rPr>
              <w:t>21</w:t>
            </w:r>
          </w:hyperlink>
        </w:p>
        <w:p w:rsidR="007A5263" w:rsidRDefault="00310CA8" w14:paraId="6D2325EA" w14:textId="4F56636A">
          <w:pPr>
            <w:pStyle w:val="TOC2"/>
            <w:tabs>
              <w:tab w:val="left" w:pos="880"/>
              <w:tab w:val="right" w:leader="dot" w:pos="9350"/>
            </w:tabs>
            <w:rPr>
              <w:rFonts w:asciiTheme="minorHAnsi" w:hAnsiTheme="minorHAnsi" w:eastAsiaTheme="minorEastAsia" w:cstheme="minorBidi"/>
              <w:noProof/>
              <w:sz w:val="22"/>
              <w:szCs w:val="22"/>
            </w:rPr>
          </w:pPr>
          <w:hyperlink w:history="1" w:anchor="_Toc50987049">
            <w:r w:rsidRPr="00E640E4" w:rsidR="007A5263">
              <w:rPr>
                <w:rStyle w:val="Hyperlink"/>
                <w:rFonts w:ascii="Times New Roman" w:hAnsi="Times New Roman"/>
                <w:b/>
                <w:noProof/>
              </w:rPr>
              <w:t>A.16.</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Plans for Tabulation and Publication and Project Time Schedule</w:t>
            </w:r>
            <w:r w:rsidR="007A5263">
              <w:rPr>
                <w:noProof/>
                <w:webHidden/>
              </w:rPr>
              <w:tab/>
            </w:r>
            <w:r w:rsidR="00BA1E60">
              <w:rPr>
                <w:noProof/>
                <w:webHidden/>
              </w:rPr>
              <w:t>22</w:t>
            </w:r>
          </w:hyperlink>
        </w:p>
        <w:p w:rsidR="007A5263" w:rsidRDefault="00310CA8" w14:paraId="7872788B" w14:textId="2B085F8A">
          <w:pPr>
            <w:pStyle w:val="TOC2"/>
            <w:tabs>
              <w:tab w:val="left" w:pos="880"/>
              <w:tab w:val="right" w:leader="dot" w:pos="9350"/>
            </w:tabs>
            <w:rPr>
              <w:rFonts w:asciiTheme="minorHAnsi" w:hAnsiTheme="minorHAnsi" w:eastAsiaTheme="minorEastAsia" w:cstheme="minorBidi"/>
              <w:noProof/>
              <w:sz w:val="22"/>
              <w:szCs w:val="22"/>
            </w:rPr>
          </w:pPr>
          <w:hyperlink w:history="1" w:anchor="_Toc50987050">
            <w:r w:rsidRPr="00E640E4" w:rsidR="007A5263">
              <w:rPr>
                <w:rStyle w:val="Hyperlink"/>
                <w:rFonts w:ascii="Times New Roman" w:hAnsi="Times New Roman"/>
                <w:b/>
                <w:noProof/>
              </w:rPr>
              <w:t>A.17.</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Reason(s) Display of OMB Expiration Date is Inappropriate</w:t>
            </w:r>
            <w:r w:rsidR="007A5263">
              <w:rPr>
                <w:noProof/>
                <w:webHidden/>
              </w:rPr>
              <w:tab/>
            </w:r>
            <w:r w:rsidR="00BA1E60">
              <w:rPr>
                <w:noProof/>
                <w:webHidden/>
              </w:rPr>
              <w:t>23</w:t>
            </w:r>
          </w:hyperlink>
        </w:p>
        <w:p w:rsidR="007A5263" w:rsidRDefault="00310CA8" w14:paraId="5A87541F" w14:textId="38029A4D">
          <w:pPr>
            <w:pStyle w:val="TOC2"/>
            <w:tabs>
              <w:tab w:val="left" w:pos="880"/>
              <w:tab w:val="right" w:leader="dot" w:pos="9350"/>
            </w:tabs>
            <w:rPr>
              <w:rFonts w:asciiTheme="minorHAnsi" w:hAnsiTheme="minorHAnsi" w:eastAsiaTheme="minorEastAsia" w:cstheme="minorBidi"/>
              <w:noProof/>
              <w:sz w:val="22"/>
              <w:szCs w:val="22"/>
            </w:rPr>
          </w:pPr>
          <w:hyperlink w:history="1" w:anchor="_Toc50987051">
            <w:r w:rsidRPr="00E640E4" w:rsidR="007A5263">
              <w:rPr>
                <w:rStyle w:val="Hyperlink"/>
                <w:rFonts w:ascii="Times New Roman" w:hAnsi="Times New Roman"/>
                <w:b/>
                <w:noProof/>
              </w:rPr>
              <w:t>A.18.</w:t>
            </w:r>
            <w:r w:rsidR="007A5263">
              <w:rPr>
                <w:rFonts w:asciiTheme="minorHAnsi" w:hAnsiTheme="minorHAnsi" w:eastAsiaTheme="minorEastAsia" w:cstheme="minorBidi"/>
                <w:noProof/>
                <w:sz w:val="22"/>
                <w:szCs w:val="22"/>
              </w:rPr>
              <w:tab/>
            </w:r>
            <w:r w:rsidRPr="00E640E4" w:rsidR="007A5263">
              <w:rPr>
                <w:rStyle w:val="Hyperlink"/>
                <w:rFonts w:ascii="Times New Roman" w:hAnsi="Times New Roman"/>
                <w:b/>
                <w:noProof/>
              </w:rPr>
              <w:t>Exceptions to Certification for Paperwork Reduction Act Submissions</w:t>
            </w:r>
            <w:r w:rsidR="007A5263">
              <w:rPr>
                <w:noProof/>
                <w:webHidden/>
              </w:rPr>
              <w:tab/>
            </w:r>
            <w:r w:rsidR="00BA1E60">
              <w:rPr>
                <w:noProof/>
                <w:webHidden/>
              </w:rPr>
              <w:t>23</w:t>
            </w:r>
          </w:hyperlink>
        </w:p>
        <w:p w:rsidRPr="00B30507" w:rsidR="006567CD" w:rsidP="006567CD" w:rsidRDefault="006567CD" w14:paraId="47297782" w14:textId="77777777">
          <w:pPr>
            <w:pStyle w:val="TOC1"/>
            <w:spacing w:before="240" w:after="200"/>
            <w:rPr>
              <w:rFonts w:ascii="Times New Roman" w:hAnsi="Times New Roman" w:cs="Times New Roman"/>
            </w:rPr>
          </w:pPr>
          <w:r w:rsidRPr="00B30507">
            <w:rPr>
              <w:rFonts w:ascii="Times New Roman" w:hAnsi="Times New Roman" w:cs="Times New Roman"/>
              <w:b/>
              <w:bCs/>
              <w:noProof/>
              <w:sz w:val="24"/>
              <w:szCs w:val="24"/>
            </w:rPr>
            <w:fldChar w:fldCharType="end"/>
          </w:r>
        </w:p>
      </w:sdtContent>
    </w:sdt>
    <w:p w:rsidR="006567CD" w:rsidRDefault="006567CD" w14:paraId="1CDA9F47" w14:textId="77777777">
      <w:pPr>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rsidR="001E30F3" w:rsidP="001E30F3" w:rsidRDefault="001E30F3" w14:paraId="3AEDB81C" w14:textId="77777777">
      <w:pPr>
        <w:widowControl w:val="0"/>
        <w:spacing w:before="240" w:line="360" w:lineRule="auto"/>
        <w:contextualSpacing/>
        <w:jc w:val="center"/>
        <w:rPr>
          <w:rFonts w:ascii="Times New Roman" w:hAnsi="Times New Roman"/>
          <w:b/>
          <w:sz w:val="24"/>
          <w:szCs w:val="24"/>
        </w:rPr>
      </w:pPr>
      <w:bookmarkStart w:name="_Hlk74213202" w:id="0"/>
      <w:r w:rsidRPr="00B30507">
        <w:rPr>
          <w:rFonts w:ascii="Times New Roman" w:hAnsi="Times New Roman"/>
          <w:b/>
          <w:sz w:val="24"/>
          <w:szCs w:val="24"/>
        </w:rPr>
        <w:lastRenderedPageBreak/>
        <w:t xml:space="preserve">LIST </w:t>
      </w:r>
      <w:r w:rsidRPr="00BA1E60">
        <w:rPr>
          <w:rFonts w:ascii="Times New Roman" w:hAnsi="Times New Roman"/>
          <w:b/>
          <w:sz w:val="24"/>
          <w:szCs w:val="24"/>
        </w:rPr>
        <w:t>OF ATTACHMENTS</w:t>
      </w:r>
    </w:p>
    <w:p w:rsidRPr="00944471" w:rsidR="00A45F93" w:rsidP="00896F3E" w:rsidRDefault="00A45F93" w14:paraId="1D372210" w14:textId="65F193D2">
      <w:pPr>
        <w:pStyle w:val="NormalWeb"/>
        <w:numPr>
          <w:ilvl w:val="0"/>
          <w:numId w:val="32"/>
        </w:numPr>
        <w:spacing w:before="0" w:beforeAutospacing="0" w:after="0" w:afterAutospacing="0"/>
        <w:rPr>
          <w:color w:val="000000"/>
          <w:sz w:val="22"/>
          <w:szCs w:val="22"/>
        </w:rPr>
      </w:pPr>
      <w:r w:rsidRPr="00944471">
        <w:rPr>
          <w:color w:val="000000"/>
          <w:sz w:val="22"/>
          <w:szCs w:val="22"/>
        </w:rPr>
        <w:t>Public Health Service Act (PHSA) 42 U.S.C</w:t>
      </w:r>
    </w:p>
    <w:p w:rsidR="00116934" w:rsidP="00896F3E" w:rsidRDefault="00116934" w14:paraId="2D4D7473" w14:textId="1A6704EC">
      <w:pPr>
        <w:pStyle w:val="NormalWeb"/>
        <w:numPr>
          <w:ilvl w:val="0"/>
          <w:numId w:val="32"/>
        </w:numPr>
        <w:spacing w:before="0" w:beforeAutospacing="0" w:after="0" w:afterAutospacing="0"/>
        <w:rPr>
          <w:color w:val="000000"/>
          <w:sz w:val="22"/>
          <w:szCs w:val="22"/>
        </w:rPr>
      </w:pPr>
      <w:r>
        <w:rPr>
          <w:color w:val="000000"/>
          <w:sz w:val="22"/>
          <w:szCs w:val="22"/>
        </w:rPr>
        <w:t>60-Day Federal Register Notice</w:t>
      </w:r>
    </w:p>
    <w:p w:rsidR="00116934" w:rsidP="00B57DE4" w:rsidRDefault="00116934" w14:paraId="0D80D4C8" w14:textId="789231E2">
      <w:pPr>
        <w:pStyle w:val="NormalWeb"/>
        <w:spacing w:before="0" w:beforeAutospacing="0" w:after="0" w:afterAutospacing="0"/>
        <w:ind w:left="360"/>
        <w:rPr>
          <w:color w:val="000000"/>
          <w:sz w:val="22"/>
          <w:szCs w:val="22"/>
        </w:rPr>
      </w:pPr>
      <w:r>
        <w:rPr>
          <w:color w:val="000000"/>
          <w:sz w:val="22"/>
          <w:szCs w:val="22"/>
        </w:rPr>
        <w:t>2a</w:t>
      </w:r>
      <w:r w:rsidR="00B57DE4">
        <w:rPr>
          <w:color w:val="000000"/>
          <w:sz w:val="22"/>
          <w:szCs w:val="22"/>
        </w:rPr>
        <w:t xml:space="preserve">. </w:t>
      </w:r>
      <w:r>
        <w:rPr>
          <w:color w:val="000000"/>
          <w:sz w:val="22"/>
          <w:szCs w:val="22"/>
        </w:rPr>
        <w:t xml:space="preserve"> 60-Day Federal Register Notice Comments</w:t>
      </w:r>
    </w:p>
    <w:p w:rsidR="00C57519" w:rsidP="00896F3E" w:rsidRDefault="00C57519" w14:paraId="5C5791D3" w14:textId="7D34897A">
      <w:pPr>
        <w:pStyle w:val="NormalWeb"/>
        <w:numPr>
          <w:ilvl w:val="0"/>
          <w:numId w:val="32"/>
        </w:numPr>
        <w:spacing w:before="0" w:beforeAutospacing="0" w:after="0" w:afterAutospacing="0"/>
        <w:rPr>
          <w:color w:val="000000"/>
          <w:sz w:val="22"/>
          <w:szCs w:val="22"/>
        </w:rPr>
      </w:pPr>
      <w:r>
        <w:rPr>
          <w:color w:val="000000"/>
          <w:sz w:val="22"/>
          <w:szCs w:val="22"/>
        </w:rPr>
        <w:t>Teen Survey Screenshots</w:t>
      </w:r>
    </w:p>
    <w:p w:rsidR="00FA31B8" w:rsidP="00896F3E" w:rsidRDefault="00FA31B8" w14:paraId="5332C120" w14:textId="638B12EA">
      <w:pPr>
        <w:pStyle w:val="NormalWeb"/>
        <w:numPr>
          <w:ilvl w:val="0"/>
          <w:numId w:val="32"/>
        </w:numPr>
        <w:spacing w:before="0" w:beforeAutospacing="0" w:after="0" w:afterAutospacing="0"/>
        <w:rPr>
          <w:color w:val="000000"/>
          <w:sz w:val="22"/>
          <w:szCs w:val="22"/>
        </w:rPr>
      </w:pPr>
      <w:r w:rsidRPr="00FA31B8">
        <w:rPr>
          <w:color w:val="000000"/>
          <w:sz w:val="22"/>
          <w:szCs w:val="22"/>
        </w:rPr>
        <w:t>Parent/Caregiver Survey Screenshots</w:t>
      </w:r>
    </w:p>
    <w:p w:rsidRPr="00944471" w:rsidR="00A45F93" w:rsidP="00896F3E" w:rsidRDefault="00A45F93" w14:paraId="5C304150" w14:textId="6961961D">
      <w:pPr>
        <w:pStyle w:val="NormalWeb"/>
        <w:numPr>
          <w:ilvl w:val="0"/>
          <w:numId w:val="32"/>
        </w:numPr>
        <w:spacing w:before="0" w:beforeAutospacing="0" w:after="0" w:afterAutospacing="0"/>
        <w:rPr>
          <w:color w:val="000000"/>
          <w:sz w:val="22"/>
          <w:szCs w:val="22"/>
        </w:rPr>
      </w:pPr>
      <w:r w:rsidRPr="00944471">
        <w:rPr>
          <w:color w:val="000000"/>
          <w:sz w:val="22"/>
          <w:szCs w:val="22"/>
        </w:rPr>
        <w:t>Privacy Impact Assessment (PIA)</w:t>
      </w:r>
    </w:p>
    <w:p w:rsidR="0028110D" w:rsidP="00896F3E" w:rsidRDefault="00CF326E" w14:paraId="107D92B8" w14:textId="1553B967">
      <w:pPr>
        <w:pStyle w:val="NormalWeb"/>
        <w:numPr>
          <w:ilvl w:val="0"/>
          <w:numId w:val="32"/>
        </w:numPr>
        <w:spacing w:before="0" w:beforeAutospacing="0" w:after="0" w:afterAutospacing="0"/>
        <w:rPr>
          <w:color w:val="000000"/>
          <w:sz w:val="22"/>
          <w:szCs w:val="22"/>
        </w:rPr>
      </w:pPr>
      <w:r>
        <w:rPr>
          <w:color w:val="000000"/>
          <w:sz w:val="22"/>
          <w:szCs w:val="22"/>
        </w:rPr>
        <w:t>Consent</w:t>
      </w:r>
      <w:r w:rsidR="0028110D">
        <w:rPr>
          <w:color w:val="000000"/>
          <w:sz w:val="22"/>
          <w:szCs w:val="22"/>
        </w:rPr>
        <w:t xml:space="preserve"> </w:t>
      </w:r>
      <w:r w:rsidR="00320B27">
        <w:rPr>
          <w:color w:val="000000"/>
          <w:sz w:val="22"/>
          <w:szCs w:val="22"/>
        </w:rPr>
        <w:t>Form</w:t>
      </w:r>
      <w:r w:rsidR="0028110D">
        <w:rPr>
          <w:color w:val="000000"/>
          <w:sz w:val="22"/>
          <w:szCs w:val="22"/>
        </w:rPr>
        <w:t xml:space="preserve"> parent</w:t>
      </w:r>
    </w:p>
    <w:p w:rsidR="00FA31B8" w:rsidP="00896F3E" w:rsidRDefault="0028110D" w14:paraId="7B859AA7" w14:textId="46B77A03">
      <w:pPr>
        <w:pStyle w:val="NormalWeb"/>
        <w:numPr>
          <w:ilvl w:val="0"/>
          <w:numId w:val="32"/>
        </w:numPr>
        <w:spacing w:before="0" w:beforeAutospacing="0" w:after="0" w:afterAutospacing="0"/>
        <w:rPr>
          <w:color w:val="000000"/>
          <w:sz w:val="22"/>
          <w:szCs w:val="22"/>
        </w:rPr>
      </w:pPr>
      <w:r>
        <w:rPr>
          <w:color w:val="000000"/>
          <w:sz w:val="22"/>
          <w:szCs w:val="22"/>
        </w:rPr>
        <w:t xml:space="preserve">Consent </w:t>
      </w:r>
      <w:r w:rsidR="00320B27">
        <w:rPr>
          <w:color w:val="000000"/>
          <w:sz w:val="22"/>
          <w:szCs w:val="22"/>
        </w:rPr>
        <w:t>Form</w:t>
      </w:r>
      <w:r>
        <w:rPr>
          <w:color w:val="000000"/>
          <w:sz w:val="22"/>
          <w:szCs w:val="22"/>
        </w:rPr>
        <w:t xml:space="preserve"> </w:t>
      </w:r>
      <w:r w:rsidR="00754FF9">
        <w:rPr>
          <w:color w:val="000000"/>
          <w:sz w:val="22"/>
          <w:szCs w:val="22"/>
        </w:rPr>
        <w:t>teen</w:t>
      </w:r>
    </w:p>
    <w:p w:rsidR="00A45F93" w:rsidP="00896F3E" w:rsidRDefault="00A45F93" w14:paraId="74554DCD" w14:textId="3B9425DE">
      <w:pPr>
        <w:pStyle w:val="NormalWeb"/>
        <w:numPr>
          <w:ilvl w:val="0"/>
          <w:numId w:val="32"/>
        </w:numPr>
        <w:spacing w:before="0" w:beforeAutospacing="0" w:after="0" w:afterAutospacing="0"/>
        <w:rPr>
          <w:color w:val="000000"/>
          <w:sz w:val="22"/>
          <w:szCs w:val="22"/>
        </w:rPr>
      </w:pPr>
      <w:r>
        <w:rPr>
          <w:color w:val="000000"/>
          <w:sz w:val="22"/>
          <w:szCs w:val="22"/>
        </w:rPr>
        <w:t>NORC IRB Approval Letter</w:t>
      </w:r>
    </w:p>
    <w:p w:rsidR="00995842" w:rsidP="00896F3E" w:rsidRDefault="00A45F93" w14:paraId="234C96AC" w14:textId="3D7D8AB1">
      <w:pPr>
        <w:pStyle w:val="NormalWeb"/>
        <w:numPr>
          <w:ilvl w:val="0"/>
          <w:numId w:val="32"/>
        </w:numPr>
        <w:spacing w:before="0" w:beforeAutospacing="0" w:after="0" w:afterAutospacing="0"/>
        <w:rPr>
          <w:color w:val="000000"/>
          <w:sz w:val="22"/>
          <w:szCs w:val="22"/>
        </w:rPr>
      </w:pPr>
      <w:r>
        <w:rPr>
          <w:color w:val="000000"/>
          <w:sz w:val="22"/>
          <w:szCs w:val="22"/>
        </w:rPr>
        <w:t>NORC IRB Amendment Approval Letter</w:t>
      </w:r>
    </w:p>
    <w:p w:rsidR="00995842" w:rsidP="00896F3E" w:rsidRDefault="00995842" w14:paraId="7AD7773B" w14:textId="3E020604">
      <w:pPr>
        <w:pStyle w:val="NormalWeb"/>
        <w:numPr>
          <w:ilvl w:val="0"/>
          <w:numId w:val="32"/>
        </w:numPr>
        <w:spacing w:before="0" w:beforeAutospacing="0" w:after="0" w:afterAutospacing="0"/>
        <w:rPr>
          <w:color w:val="000000"/>
          <w:sz w:val="22"/>
          <w:szCs w:val="22"/>
        </w:rPr>
      </w:pPr>
      <w:r w:rsidRPr="00995842">
        <w:rPr>
          <w:color w:val="000000"/>
          <w:sz w:val="22"/>
          <w:szCs w:val="22"/>
        </w:rPr>
        <w:t>Adolescent Surve</w:t>
      </w:r>
      <w:r>
        <w:rPr>
          <w:color w:val="000000"/>
          <w:sz w:val="22"/>
          <w:szCs w:val="22"/>
        </w:rPr>
        <w:t>y</w:t>
      </w:r>
    </w:p>
    <w:p w:rsidR="00995842" w:rsidP="00896F3E" w:rsidRDefault="00995842" w14:paraId="31EC5337"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Parent/Caregiver Survey</w:t>
      </w:r>
    </w:p>
    <w:p w:rsidR="00995842" w:rsidP="00896F3E" w:rsidRDefault="00995842" w14:paraId="3C977A9F"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 xml:space="preserve">Technical Overview of the </w:t>
      </w:r>
      <w:proofErr w:type="spellStart"/>
      <w:r w:rsidRPr="00995842">
        <w:rPr>
          <w:color w:val="000000"/>
          <w:sz w:val="22"/>
          <w:szCs w:val="22"/>
        </w:rPr>
        <w:t>AmeriSpeak</w:t>
      </w:r>
      <w:proofErr w:type="spellEnd"/>
      <w:r w:rsidRPr="00995842">
        <w:rPr>
          <w:color w:val="000000"/>
          <w:sz w:val="22"/>
          <w:szCs w:val="22"/>
        </w:rPr>
        <w:t xml:space="preserve"> Panel NORC’s Probability-Based Research Panel</w:t>
      </w:r>
    </w:p>
    <w:p w:rsidR="00995842" w:rsidP="00896F3E" w:rsidRDefault="00995842" w14:paraId="4B7F8D81"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Phone Script</w:t>
      </w:r>
    </w:p>
    <w:p w:rsidR="00995842" w:rsidP="00896F3E" w:rsidRDefault="00995842" w14:paraId="0F52CFC3"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Sample SMS Prompts</w:t>
      </w:r>
    </w:p>
    <w:p w:rsidR="00995842" w:rsidP="00896F3E" w:rsidRDefault="00995842" w14:paraId="22C3B2A2"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Teen Survey Recruitment Email</w:t>
      </w:r>
    </w:p>
    <w:p w:rsidR="00995842" w:rsidP="00896F3E" w:rsidRDefault="00995842" w14:paraId="31616BAF"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Parent Survey Recruitment Email</w:t>
      </w:r>
    </w:p>
    <w:p w:rsidR="00995842" w:rsidP="00896F3E" w:rsidRDefault="00995842" w14:paraId="4F1B03FA"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Teen Survey Invitation Letter</w:t>
      </w:r>
    </w:p>
    <w:p w:rsidR="00995842" w:rsidP="00896F3E" w:rsidRDefault="00995842" w14:paraId="155D6AE8"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Teen Survey Reminder Letter</w:t>
      </w:r>
    </w:p>
    <w:p w:rsidR="00995842" w:rsidP="00896F3E" w:rsidRDefault="00995842" w14:paraId="0F55EA61"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Teen Survey Final Reminder Letter</w:t>
      </w:r>
    </w:p>
    <w:p w:rsidR="00995842" w:rsidP="00896F3E" w:rsidRDefault="00995842" w14:paraId="191D44F7"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Parent Survey Invitation Letter</w:t>
      </w:r>
    </w:p>
    <w:p w:rsidR="00995842" w:rsidP="00896F3E" w:rsidRDefault="00995842" w14:paraId="74955980" w14:textId="77777777">
      <w:pPr>
        <w:pStyle w:val="NormalWeb"/>
        <w:numPr>
          <w:ilvl w:val="0"/>
          <w:numId w:val="32"/>
        </w:numPr>
        <w:spacing w:before="0" w:beforeAutospacing="0" w:after="0" w:afterAutospacing="0"/>
        <w:rPr>
          <w:color w:val="000000"/>
          <w:sz w:val="22"/>
          <w:szCs w:val="22"/>
        </w:rPr>
      </w:pPr>
      <w:r w:rsidRPr="00995842">
        <w:rPr>
          <w:color w:val="000000"/>
          <w:sz w:val="22"/>
          <w:szCs w:val="22"/>
        </w:rPr>
        <w:t>Parent Survey Reminder Letter</w:t>
      </w:r>
    </w:p>
    <w:bookmarkEnd w:id="0"/>
    <w:p w:rsidRPr="00944471" w:rsidR="00995842" w:rsidP="00FA31B8" w:rsidRDefault="00995842" w14:paraId="7228D30A" w14:textId="77777777">
      <w:pPr>
        <w:pStyle w:val="NormalWeb"/>
        <w:spacing w:before="0" w:beforeAutospacing="0" w:after="0" w:afterAutospacing="0"/>
        <w:rPr>
          <w:color w:val="000000"/>
          <w:sz w:val="22"/>
          <w:szCs w:val="22"/>
        </w:rPr>
      </w:pPr>
    </w:p>
    <w:p w:rsidR="00A45F93" w:rsidP="00166E1A" w:rsidRDefault="00A45F93" w14:paraId="2E7BAB4F" w14:textId="7BC43563">
      <w:pPr>
        <w:pStyle w:val="NormalWeb"/>
        <w:spacing w:before="0" w:beforeAutospacing="0" w:after="0" w:afterAutospacing="0"/>
        <w:rPr>
          <w:color w:val="000000"/>
          <w:sz w:val="22"/>
          <w:szCs w:val="22"/>
        </w:rPr>
      </w:pPr>
    </w:p>
    <w:p w:rsidRPr="00944471" w:rsidR="00A45F93" w:rsidP="00A45F93" w:rsidRDefault="00A45F93" w14:paraId="3C8FF959" w14:textId="43727F1F">
      <w:pPr>
        <w:pStyle w:val="NormalWeb"/>
        <w:spacing w:before="0" w:beforeAutospacing="0" w:after="0" w:afterAutospacing="0"/>
        <w:rPr>
          <w:color w:val="000000"/>
          <w:sz w:val="22"/>
          <w:szCs w:val="22"/>
        </w:rPr>
      </w:pPr>
    </w:p>
    <w:p w:rsidRPr="00944471" w:rsidR="001E30F3" w:rsidP="001E30F3" w:rsidRDefault="001E30F3" w14:paraId="15A2C87F" w14:textId="77777777">
      <w:pPr>
        <w:pStyle w:val="NormalWeb"/>
        <w:spacing w:before="0" w:beforeAutospacing="0" w:after="0" w:afterAutospacing="0"/>
        <w:rPr>
          <w:color w:val="000000"/>
          <w:sz w:val="22"/>
          <w:szCs w:val="22"/>
        </w:rPr>
      </w:pPr>
    </w:p>
    <w:p w:rsidR="001E30F3" w:rsidP="001E30F3" w:rsidRDefault="001E30F3" w14:paraId="20F2699C" w14:textId="77777777">
      <w:pPr>
        <w:autoSpaceDE/>
        <w:autoSpaceDN/>
        <w:adjustRightInd/>
        <w:spacing w:after="160" w:line="259" w:lineRule="auto"/>
        <w:rPr>
          <w:rFonts w:ascii="Times New Roman" w:hAnsi="Times New Roman" w:eastAsiaTheme="majorEastAsia"/>
          <w:b/>
          <w:sz w:val="24"/>
          <w:szCs w:val="24"/>
        </w:rPr>
      </w:pPr>
      <w:r>
        <w:rPr>
          <w:rFonts w:ascii="Times New Roman" w:hAnsi="Times New Roman"/>
          <w:b/>
          <w:sz w:val="24"/>
          <w:szCs w:val="24"/>
        </w:rPr>
        <w:br w:type="page"/>
      </w:r>
    </w:p>
    <w:p w:rsidR="006567CD" w:rsidP="006567CD" w:rsidRDefault="006567CD" w14:paraId="02E58B7D" w14:textId="77777777">
      <w:pPr>
        <w:spacing w:line="480" w:lineRule="auto"/>
        <w:rPr>
          <w:rFonts w:cs="Courier New" w:asciiTheme="minorHAnsi" w:hAnsiTheme="minorHAnsi"/>
          <w:sz w:val="22"/>
          <w:szCs w:val="22"/>
        </w:rPr>
      </w:pPr>
      <w:r w:rsidRPr="00B30507">
        <w:rPr>
          <w:rFonts w:ascii="Times New Roman" w:hAnsi="Times New Roman"/>
          <w:b/>
          <w:noProof/>
        </w:rPr>
        <w:lastRenderedPageBreak/>
        <mc:AlternateContent>
          <mc:Choice Requires="wps">
            <w:drawing>
              <wp:inline distT="0" distB="0" distL="0" distR="0" wp14:anchorId="2CF60270" wp14:editId="4B26DD5D">
                <wp:extent cx="6171357" cy="6920135"/>
                <wp:effectExtent l="19050" t="19050" r="20320" b="14605"/>
                <wp:docPr id="1" name="Text Box 1"/>
                <wp:cNvGraphicFramePr/>
                <a:graphic xmlns:a="http://schemas.openxmlformats.org/drawingml/2006/main">
                  <a:graphicData uri="http://schemas.microsoft.com/office/word/2010/wordprocessingShape">
                    <wps:wsp>
                      <wps:cNvSpPr txBox="1"/>
                      <wps:spPr>
                        <a:xfrm>
                          <a:off x="0" y="0"/>
                          <a:ext cx="6171357" cy="692013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CA03C8" w:rsidR="00335899" w:rsidP="00CA03C8" w:rsidRDefault="00335899" w14:paraId="49C2DFA2" w14:textId="77777777">
                            <w:pPr>
                              <w:rPr>
                                <w:rFonts w:ascii="Courier Std" w:hAnsi="Courier Std"/>
                                <w:sz w:val="23"/>
                                <w:szCs w:val="23"/>
                              </w:rPr>
                            </w:pPr>
                            <w:r w:rsidRPr="00CA03C8">
                              <w:rPr>
                                <w:rFonts w:ascii="Courier Std" w:hAnsi="Courier Std"/>
                                <w:b/>
                                <w:sz w:val="23"/>
                                <w:szCs w:val="23"/>
                              </w:rPr>
                              <w:t>Goal of the study:</w:t>
                            </w:r>
                            <w:r w:rsidRPr="00CA03C8">
                              <w:rPr>
                                <w:rFonts w:ascii="Courier Std" w:hAnsi="Courier Std"/>
                                <w:sz w:val="23"/>
                                <w:szCs w:val="23"/>
                              </w:rPr>
                              <w:t xml:space="preserve"> To collect data from a national sample of adolescents ages 15 to 19 years and a subsample of matched parents/guardians to (1) describe the prevalence of key factors that protect young people’s health (including family and school-level protective factors), health education experiences, health service use, and health behaviors and experiences and (2)examine associations between these factors and adolescent mental health, sexual and reproductive health, and substance use outcomes. </w:t>
                            </w:r>
                          </w:p>
                          <w:p w:rsidRPr="00CA03C8" w:rsidR="00335899" w:rsidP="00CA03C8" w:rsidRDefault="00335899" w14:paraId="540A3513" w14:textId="77777777">
                            <w:pPr>
                              <w:rPr>
                                <w:rFonts w:ascii="Courier Std" w:hAnsi="Courier Std"/>
                                <w:sz w:val="23"/>
                                <w:szCs w:val="23"/>
                              </w:rPr>
                            </w:pPr>
                          </w:p>
                          <w:p w:rsidRPr="00CA03C8" w:rsidR="00335899" w:rsidP="00CA03C8" w:rsidRDefault="00335899" w14:paraId="26A2F0F9" w14:textId="77777777">
                            <w:pPr>
                              <w:rPr>
                                <w:rFonts w:ascii="Courier Std" w:hAnsi="Courier Std"/>
                                <w:sz w:val="23"/>
                                <w:szCs w:val="23"/>
                              </w:rPr>
                            </w:pPr>
                            <w:r w:rsidRPr="00CA03C8">
                              <w:rPr>
                                <w:rFonts w:ascii="Courier Std" w:hAnsi="Courier Std"/>
                                <w:b/>
                                <w:sz w:val="23"/>
                                <w:szCs w:val="23"/>
                              </w:rPr>
                              <w:t>Intended use of the resulting data:</w:t>
                            </w:r>
                            <w:r w:rsidRPr="00CA03C8">
                              <w:rPr>
                                <w:rFonts w:ascii="Courier Std" w:hAnsi="Courier Std"/>
                                <w:sz w:val="23"/>
                                <w:szCs w:val="23"/>
                              </w:rPr>
                              <w:t xml:space="preserve"> Data will be used to inform the CDC’s Division of Adolescent and School Health’s (DASH) key school-based programmatic strategies of improving family- and school-level protective factors, bolstering health education, and increasing adolescent access to quality health services. Collecting primary data provides the opportunity to examine untested associations of these strategies with mental health, sexual health, and substance use outcomes. Additionally, this survey research complements and extends DASH's ongoing surveillance efforts.</w:t>
                            </w:r>
                          </w:p>
                          <w:p w:rsidRPr="00CA03C8" w:rsidR="00335899" w:rsidP="00CA03C8" w:rsidRDefault="00335899" w14:paraId="5403367B" w14:textId="77777777">
                            <w:pPr>
                              <w:rPr>
                                <w:rFonts w:ascii="Courier Std" w:hAnsi="Courier Std"/>
                                <w:sz w:val="23"/>
                                <w:szCs w:val="23"/>
                              </w:rPr>
                            </w:pPr>
                          </w:p>
                          <w:p w:rsidRPr="00CA03C8" w:rsidR="00335899" w:rsidP="00CA03C8" w:rsidRDefault="00335899" w14:paraId="1A4DE51A" w14:textId="67ED9CE2">
                            <w:pPr>
                              <w:rPr>
                                <w:rFonts w:ascii="Courier Std" w:hAnsi="Courier Std"/>
                                <w:sz w:val="23"/>
                                <w:szCs w:val="23"/>
                              </w:rPr>
                            </w:pPr>
                            <w:r w:rsidRPr="00CA03C8">
                              <w:rPr>
                                <w:rFonts w:ascii="Courier Std" w:hAnsi="Courier Std"/>
                                <w:b/>
                                <w:bCs/>
                                <w:sz w:val="23"/>
                                <w:szCs w:val="23"/>
                              </w:rPr>
                              <w:t>Methods to be used to collect:</w:t>
                            </w:r>
                            <w:r w:rsidRPr="00CA03C8">
                              <w:rPr>
                                <w:rFonts w:ascii="Courier Std" w:hAnsi="Courier Std"/>
                                <w:sz w:val="23"/>
                                <w:szCs w:val="23"/>
                              </w:rPr>
                              <w:t xml:space="preserve"> Using the AmeriSpeak existing online survey panels, a one-time, cross-sectional national sample of 15-</w:t>
                            </w:r>
                            <w:r w:rsidR="001D6438">
                              <w:rPr>
                                <w:rFonts w:ascii="Courier Std" w:hAnsi="Courier Std"/>
                                <w:sz w:val="23"/>
                                <w:szCs w:val="23"/>
                              </w:rPr>
                              <w:t>19 year</w:t>
                            </w:r>
                            <w:r w:rsidR="00520C3E">
                              <w:rPr>
                                <w:rFonts w:ascii="Courier Std" w:hAnsi="Courier Std"/>
                                <w:sz w:val="23"/>
                                <w:szCs w:val="23"/>
                              </w:rPr>
                              <w:t>-</w:t>
                            </w:r>
                            <w:r w:rsidR="001D6438">
                              <w:rPr>
                                <w:rFonts w:ascii="Courier Std" w:hAnsi="Courier Std"/>
                                <w:sz w:val="23"/>
                                <w:szCs w:val="23"/>
                              </w:rPr>
                              <w:t>old</w:t>
                            </w:r>
                            <w:r w:rsidRPr="00CA03C8">
                              <w:rPr>
                                <w:rFonts w:ascii="Courier Std" w:hAnsi="Courier Std"/>
                                <w:sz w:val="23"/>
                                <w:szCs w:val="23"/>
                              </w:rPr>
                              <w:t xml:space="preserve"> young people and a subset of matched parents/caregivers will be selected, invited, and consented and/or assented to participate in a web-based survey. Respondents will complete the self-administered web survey on their computer, phone, or tablet.</w:t>
                            </w:r>
                          </w:p>
                          <w:p w:rsidRPr="00CA03C8" w:rsidR="00335899" w:rsidP="00CA03C8" w:rsidRDefault="00335899" w14:paraId="395AD6CF" w14:textId="77777777">
                            <w:pPr>
                              <w:rPr>
                                <w:rFonts w:ascii="Courier Std" w:hAnsi="Courier Std"/>
                                <w:sz w:val="23"/>
                                <w:szCs w:val="23"/>
                              </w:rPr>
                            </w:pPr>
                          </w:p>
                          <w:p w:rsidRPr="00CA03C8" w:rsidR="00335899" w:rsidP="00CA03C8" w:rsidRDefault="00335899" w14:paraId="6CEF9E29" w14:textId="77777777">
                            <w:pPr>
                              <w:rPr>
                                <w:rFonts w:ascii="Courier Std" w:hAnsi="Courier Std"/>
                                <w:sz w:val="23"/>
                                <w:szCs w:val="23"/>
                              </w:rPr>
                            </w:pPr>
                            <w:r w:rsidRPr="00CA03C8">
                              <w:rPr>
                                <w:rFonts w:ascii="Courier Std" w:hAnsi="Courier Std"/>
                                <w:b/>
                                <w:bCs/>
                                <w:sz w:val="23"/>
                                <w:szCs w:val="23"/>
                              </w:rPr>
                              <w:t>The subpopulation to be studied:</w:t>
                            </w:r>
                            <w:r w:rsidRPr="00CA03C8">
                              <w:rPr>
                                <w:rFonts w:ascii="Courier Std" w:hAnsi="Courier Std"/>
                                <w:sz w:val="23"/>
                                <w:szCs w:val="23"/>
                              </w:rPr>
                              <w:t xml:space="preserve"> A national sample of adolescents ages 15 to 19 years will be generated. Additionally, the project will survey a matched parent/primary caregiver for the sub-sample of respondents ages 15-17 years of age.</w:t>
                            </w:r>
                          </w:p>
                          <w:p w:rsidR="00335899" w:rsidP="00CA03C8" w:rsidRDefault="00335899" w14:paraId="4E8D7B42" w14:textId="77777777">
                            <w:pPr>
                              <w:rPr>
                                <w:rFonts w:ascii="Courier Std" w:hAnsi="Courier Std"/>
                                <w:b/>
                                <w:bCs/>
                                <w:sz w:val="23"/>
                                <w:szCs w:val="23"/>
                              </w:rPr>
                            </w:pPr>
                          </w:p>
                          <w:p w:rsidRPr="00CA03C8" w:rsidR="00335899" w:rsidP="00CA03C8" w:rsidRDefault="00335899" w14:paraId="3F93785D" w14:textId="233BF75D">
                            <w:pPr>
                              <w:rPr>
                                <w:rFonts w:ascii="Courier Std" w:hAnsi="Courier Std"/>
                                <w:sz w:val="23"/>
                                <w:szCs w:val="23"/>
                              </w:rPr>
                            </w:pPr>
                            <w:r w:rsidRPr="00CA03C8">
                              <w:rPr>
                                <w:rFonts w:ascii="Courier Std" w:hAnsi="Courier Std"/>
                                <w:b/>
                                <w:bCs/>
                                <w:sz w:val="23"/>
                                <w:szCs w:val="23"/>
                              </w:rPr>
                              <w:t>How data will be analyzed:</w:t>
                            </w:r>
                            <w:r w:rsidRPr="00CA03C8">
                              <w:rPr>
                                <w:rFonts w:ascii="Courier Std" w:hAnsi="Courier Std"/>
                                <w:sz w:val="23"/>
                                <w:szCs w:val="23"/>
                              </w:rPr>
                              <w:t xml:space="preserve"> Appropriate statistical analyses of quantitative survey data will be used, including, but not limited to, frequencies, chi-squares, and logistic regressions.</w:t>
                            </w:r>
                          </w:p>
                          <w:p w:rsidR="00335899" w:rsidP="006567CD" w:rsidRDefault="00335899" w14:paraId="53342D38" w14:textId="7CBFC74A">
                            <w:pPr>
                              <w:rPr>
                                <w:rFonts w:ascii="Courier Std" w:hAnsi="Courier Std"/>
                                <w:sz w:val="23"/>
                                <w:szCs w:val="23"/>
                              </w:rPr>
                            </w:pPr>
                          </w:p>
                          <w:p w:rsidRPr="00F43C03" w:rsidR="00335899" w:rsidP="006567CD" w:rsidRDefault="00335899" w14:paraId="644D538C" w14:textId="63D6EDC1">
                            <w:pPr>
                              <w:rPr>
                                <w:rFonts w:ascii="Courier Std" w:hAnsi="Courier Std"/>
                                <w:sz w:val="23"/>
                                <w:szCs w:val="23"/>
                              </w:rPr>
                            </w:pPr>
                            <w:r>
                              <w:rPr>
                                <w:rFonts w:ascii="Courier Std" w:hAnsi="Courier Std"/>
                                <w:b/>
                                <w:bCs/>
                                <w:sz w:val="23"/>
                                <w:szCs w:val="23"/>
                              </w:rPr>
                              <w:t xml:space="preserve">Impact of Covid-19 on this collection:  </w:t>
                            </w:r>
                            <w:r>
                              <w:rPr>
                                <w:rFonts w:ascii="Courier Std" w:hAnsi="Courier Std"/>
                                <w:sz w:val="23"/>
                                <w:szCs w:val="23"/>
                              </w:rPr>
                              <w:t>This collection is not affected by the Covid-19 pandemic.  The recruitment and subsequent collection activities are impacted by masks and or social distancing requirements as this is an online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2CF60270">
                <v:stroke joinstyle="miter"/>
                <v:path gradientshapeok="t" o:connecttype="rect"/>
              </v:shapetype>
              <v:shape id="Text Box 1" style="width:485.95pt;height:544.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">
                <v:textbox>
                  <w:txbxContent>
                    <w:p w:rsidRPr="00CA03C8" w:rsidR="00335899" w:rsidP="00CA03C8" w:rsidRDefault="00335899" w14:paraId="49C2DFA2" w14:textId="77777777">
                      <w:pPr>
                        <w:rPr>
                          <w:rFonts w:ascii="Courier Std" w:hAnsi="Courier Std"/>
                          <w:sz w:val="23"/>
                          <w:szCs w:val="23"/>
                        </w:rPr>
                      </w:pPr>
                      <w:r w:rsidRPr="00CA03C8">
                        <w:rPr>
                          <w:rFonts w:ascii="Courier Std" w:hAnsi="Courier Std"/>
                          <w:b/>
                          <w:sz w:val="23"/>
                          <w:szCs w:val="23"/>
                        </w:rPr>
                        <w:t>Goal of the study:</w:t>
                      </w:r>
                      <w:r w:rsidRPr="00CA03C8">
                        <w:rPr>
                          <w:rFonts w:ascii="Courier Std" w:hAnsi="Courier Std"/>
                          <w:sz w:val="23"/>
                          <w:szCs w:val="23"/>
                        </w:rPr>
                        <w:t xml:space="preserve"> To collect data from a national sample of adolescents ages 15 to 19 years and a subsample of matched parents/guardians to (1) describe the prevalence of key factors that protect young people’s health (including family and school-level protective factors), health education experiences, health service use, and health behaviors and experiences and (2)examine associations between these factors and adolescent mental health, sexual and reproductive health, and substance use outcomes. </w:t>
                      </w:r>
                    </w:p>
                    <w:p w:rsidRPr="00CA03C8" w:rsidR="00335899" w:rsidP="00CA03C8" w:rsidRDefault="00335899" w14:paraId="540A3513" w14:textId="77777777">
                      <w:pPr>
                        <w:rPr>
                          <w:rFonts w:ascii="Courier Std" w:hAnsi="Courier Std"/>
                          <w:sz w:val="23"/>
                          <w:szCs w:val="23"/>
                        </w:rPr>
                      </w:pPr>
                    </w:p>
                    <w:p w:rsidRPr="00CA03C8" w:rsidR="00335899" w:rsidP="00CA03C8" w:rsidRDefault="00335899" w14:paraId="26A2F0F9" w14:textId="77777777">
                      <w:pPr>
                        <w:rPr>
                          <w:rFonts w:ascii="Courier Std" w:hAnsi="Courier Std"/>
                          <w:sz w:val="23"/>
                          <w:szCs w:val="23"/>
                        </w:rPr>
                      </w:pPr>
                      <w:r w:rsidRPr="00CA03C8">
                        <w:rPr>
                          <w:rFonts w:ascii="Courier Std" w:hAnsi="Courier Std"/>
                          <w:b/>
                          <w:sz w:val="23"/>
                          <w:szCs w:val="23"/>
                        </w:rPr>
                        <w:t>Intended use of the resulting data:</w:t>
                      </w:r>
                      <w:r w:rsidRPr="00CA03C8">
                        <w:rPr>
                          <w:rFonts w:ascii="Courier Std" w:hAnsi="Courier Std"/>
                          <w:sz w:val="23"/>
                          <w:szCs w:val="23"/>
                        </w:rPr>
                        <w:t xml:space="preserve"> Data will be used to inform the CDC’s Division of Adolescent and School Health’s (DASH) key school-based programmatic strategies of improving family- and school-level protective factors, bolstering health education, and increasing adolescent access to quality health services. Collecting primary data provides the opportunity to examine untested associations of these strategies with mental health, sexual health, and substance use outcomes. Additionally, this survey research complements and extends DASH's ongoing surveillance efforts.</w:t>
                      </w:r>
                    </w:p>
                    <w:p w:rsidRPr="00CA03C8" w:rsidR="00335899" w:rsidP="00CA03C8" w:rsidRDefault="00335899" w14:paraId="5403367B" w14:textId="77777777">
                      <w:pPr>
                        <w:rPr>
                          <w:rFonts w:ascii="Courier Std" w:hAnsi="Courier Std"/>
                          <w:sz w:val="23"/>
                          <w:szCs w:val="23"/>
                        </w:rPr>
                      </w:pPr>
                    </w:p>
                    <w:p w:rsidRPr="00CA03C8" w:rsidR="00335899" w:rsidP="00CA03C8" w:rsidRDefault="00335899" w14:paraId="1A4DE51A" w14:textId="67ED9CE2">
                      <w:pPr>
                        <w:rPr>
                          <w:rFonts w:ascii="Courier Std" w:hAnsi="Courier Std"/>
                          <w:sz w:val="23"/>
                          <w:szCs w:val="23"/>
                        </w:rPr>
                      </w:pPr>
                      <w:r w:rsidRPr="00CA03C8">
                        <w:rPr>
                          <w:rFonts w:ascii="Courier Std" w:hAnsi="Courier Std"/>
                          <w:b/>
                          <w:bCs/>
                          <w:sz w:val="23"/>
                          <w:szCs w:val="23"/>
                        </w:rPr>
                        <w:t>Methods to be used to collect:</w:t>
                      </w:r>
                      <w:r w:rsidRPr="00CA03C8">
                        <w:rPr>
                          <w:rFonts w:ascii="Courier Std" w:hAnsi="Courier Std"/>
                          <w:sz w:val="23"/>
                          <w:szCs w:val="23"/>
                        </w:rPr>
                        <w:t xml:space="preserve"> Using the AmeriSpeak existing online survey panels, a one-time, cross-sectional national sample of 15-</w:t>
                      </w:r>
                      <w:r w:rsidR="001D6438">
                        <w:rPr>
                          <w:rFonts w:ascii="Courier Std" w:hAnsi="Courier Std"/>
                          <w:sz w:val="23"/>
                          <w:szCs w:val="23"/>
                        </w:rPr>
                        <w:t>19 year</w:t>
                      </w:r>
                      <w:r w:rsidR="00520C3E">
                        <w:rPr>
                          <w:rFonts w:ascii="Courier Std" w:hAnsi="Courier Std"/>
                          <w:sz w:val="23"/>
                          <w:szCs w:val="23"/>
                        </w:rPr>
                        <w:t>-</w:t>
                      </w:r>
                      <w:r w:rsidR="001D6438">
                        <w:rPr>
                          <w:rFonts w:ascii="Courier Std" w:hAnsi="Courier Std"/>
                          <w:sz w:val="23"/>
                          <w:szCs w:val="23"/>
                        </w:rPr>
                        <w:t>old</w:t>
                      </w:r>
                      <w:r w:rsidRPr="00CA03C8">
                        <w:rPr>
                          <w:rFonts w:ascii="Courier Std" w:hAnsi="Courier Std"/>
                          <w:sz w:val="23"/>
                          <w:szCs w:val="23"/>
                        </w:rPr>
                        <w:t xml:space="preserve"> young people and a subset of matched parents/caregivers will be selected, invited, and consented and/or assented to participate in a web-based survey. Respondents will complete the self-administered web survey on their computer, phone, or tablet.</w:t>
                      </w:r>
                    </w:p>
                    <w:p w:rsidRPr="00CA03C8" w:rsidR="00335899" w:rsidP="00CA03C8" w:rsidRDefault="00335899" w14:paraId="395AD6CF" w14:textId="77777777">
                      <w:pPr>
                        <w:rPr>
                          <w:rFonts w:ascii="Courier Std" w:hAnsi="Courier Std"/>
                          <w:sz w:val="23"/>
                          <w:szCs w:val="23"/>
                        </w:rPr>
                      </w:pPr>
                    </w:p>
                    <w:p w:rsidRPr="00CA03C8" w:rsidR="00335899" w:rsidP="00CA03C8" w:rsidRDefault="00335899" w14:paraId="6CEF9E29" w14:textId="77777777">
                      <w:pPr>
                        <w:rPr>
                          <w:rFonts w:ascii="Courier Std" w:hAnsi="Courier Std"/>
                          <w:sz w:val="23"/>
                          <w:szCs w:val="23"/>
                        </w:rPr>
                      </w:pPr>
                      <w:r w:rsidRPr="00CA03C8">
                        <w:rPr>
                          <w:rFonts w:ascii="Courier Std" w:hAnsi="Courier Std"/>
                          <w:b/>
                          <w:bCs/>
                          <w:sz w:val="23"/>
                          <w:szCs w:val="23"/>
                        </w:rPr>
                        <w:t>The subpopulation to be studied:</w:t>
                      </w:r>
                      <w:r w:rsidRPr="00CA03C8">
                        <w:rPr>
                          <w:rFonts w:ascii="Courier Std" w:hAnsi="Courier Std"/>
                          <w:sz w:val="23"/>
                          <w:szCs w:val="23"/>
                        </w:rPr>
                        <w:t xml:space="preserve"> A national sample of adolescents ages 15 to 19 years will be generated. Additionally, the project will survey a matched parent/primary caregiver for the sub-sample of respondents ages 15-17 years of age.</w:t>
                      </w:r>
                    </w:p>
                    <w:p w:rsidR="00335899" w:rsidP="00CA03C8" w:rsidRDefault="00335899" w14:paraId="4E8D7B42" w14:textId="77777777">
                      <w:pPr>
                        <w:rPr>
                          <w:rFonts w:ascii="Courier Std" w:hAnsi="Courier Std"/>
                          <w:b/>
                          <w:bCs/>
                          <w:sz w:val="23"/>
                          <w:szCs w:val="23"/>
                        </w:rPr>
                      </w:pPr>
                    </w:p>
                    <w:p w:rsidRPr="00CA03C8" w:rsidR="00335899" w:rsidP="00CA03C8" w:rsidRDefault="00335899" w14:paraId="3F93785D" w14:textId="233BF75D">
                      <w:pPr>
                        <w:rPr>
                          <w:rFonts w:ascii="Courier Std" w:hAnsi="Courier Std"/>
                          <w:sz w:val="23"/>
                          <w:szCs w:val="23"/>
                        </w:rPr>
                      </w:pPr>
                      <w:r w:rsidRPr="00CA03C8">
                        <w:rPr>
                          <w:rFonts w:ascii="Courier Std" w:hAnsi="Courier Std"/>
                          <w:b/>
                          <w:bCs/>
                          <w:sz w:val="23"/>
                          <w:szCs w:val="23"/>
                        </w:rPr>
                        <w:t>How data will be analyzed:</w:t>
                      </w:r>
                      <w:r w:rsidRPr="00CA03C8">
                        <w:rPr>
                          <w:rFonts w:ascii="Courier Std" w:hAnsi="Courier Std"/>
                          <w:sz w:val="23"/>
                          <w:szCs w:val="23"/>
                        </w:rPr>
                        <w:t xml:space="preserve"> Appropriate statistical analyses of quantitative survey data will be used, including, but not limited to, frequencies, chi-squares, and logistic regressions.</w:t>
                      </w:r>
                    </w:p>
                    <w:p w:rsidR="00335899" w:rsidP="006567CD" w:rsidRDefault="00335899" w14:paraId="53342D38" w14:textId="7CBFC74A">
                      <w:pPr>
                        <w:rPr>
                          <w:rFonts w:ascii="Courier Std" w:hAnsi="Courier Std"/>
                          <w:sz w:val="23"/>
                          <w:szCs w:val="23"/>
                        </w:rPr>
                      </w:pPr>
                    </w:p>
                    <w:p w:rsidRPr="00F43C03" w:rsidR="00335899" w:rsidP="006567CD" w:rsidRDefault="00335899" w14:paraId="644D538C" w14:textId="63D6EDC1">
                      <w:pPr>
                        <w:rPr>
                          <w:rFonts w:ascii="Courier Std" w:hAnsi="Courier Std"/>
                          <w:sz w:val="23"/>
                          <w:szCs w:val="23"/>
                        </w:rPr>
                      </w:pPr>
                      <w:r>
                        <w:rPr>
                          <w:rFonts w:ascii="Courier Std" w:hAnsi="Courier Std"/>
                          <w:b/>
                          <w:bCs/>
                          <w:sz w:val="23"/>
                          <w:szCs w:val="23"/>
                        </w:rPr>
                        <w:t xml:space="preserve">Impact of Covid-19 on this collection:  </w:t>
                      </w:r>
                      <w:r>
                        <w:rPr>
                          <w:rFonts w:ascii="Courier Std" w:hAnsi="Courier Std"/>
                          <w:sz w:val="23"/>
                          <w:szCs w:val="23"/>
                        </w:rPr>
                        <w:t>This collection is not affected by the Covid-19 pandemic.  The recruitment and subsequent collection activities are impacted by masks and or social distancing requirements as this is an online survey.</w:t>
                      </w:r>
                    </w:p>
                  </w:txbxContent>
                </v:textbox>
                <w10:anchorlock/>
              </v:shape>
            </w:pict>
          </mc:Fallback>
        </mc:AlternateContent>
      </w:r>
    </w:p>
    <w:p w:rsidR="007E0A31" w:rsidRDefault="007E0A31" w14:paraId="3B24DEC0" w14:textId="42C3CE67">
      <w:pPr>
        <w:autoSpaceDE/>
        <w:autoSpaceDN/>
        <w:adjustRightInd/>
        <w:spacing w:after="160" w:line="259" w:lineRule="auto"/>
        <w:rPr>
          <w:rFonts w:cs="Courier New" w:asciiTheme="minorHAnsi" w:hAnsiTheme="minorHAnsi"/>
          <w:sz w:val="22"/>
          <w:szCs w:val="22"/>
        </w:rPr>
      </w:pPr>
      <w:r>
        <w:rPr>
          <w:rFonts w:cs="Courier New" w:asciiTheme="minorHAnsi" w:hAnsiTheme="minorHAnsi"/>
          <w:sz w:val="22"/>
          <w:szCs w:val="22"/>
        </w:rPr>
        <w:br w:type="page"/>
      </w:r>
    </w:p>
    <w:p w:rsidRPr="001525EC" w:rsidR="007E0A31" w:rsidP="00407C19" w:rsidRDefault="00FE6D86" w14:paraId="448BD3F2" w14:textId="6E739CF1">
      <w:pPr>
        <w:pStyle w:val="Heading1"/>
        <w:spacing w:before="0" w:after="240" w:line="360" w:lineRule="auto"/>
        <w:rPr>
          <w:rFonts w:ascii="Times New Roman" w:hAnsi="Times New Roman" w:cs="Times New Roman"/>
          <w:b/>
          <w:color w:val="auto"/>
          <w:sz w:val="24"/>
          <w:szCs w:val="24"/>
        </w:rPr>
      </w:pPr>
      <w:bookmarkStart w:name="_Toc50987033" w:id="1"/>
      <w:r>
        <w:rPr>
          <w:rFonts w:ascii="Times New Roman" w:hAnsi="Times New Roman" w:cs="Times New Roman"/>
          <w:b/>
          <w:color w:val="auto"/>
          <w:sz w:val="24"/>
          <w:szCs w:val="24"/>
        </w:rPr>
        <w:lastRenderedPageBreak/>
        <w:t>SECTION A - JUSTIFICATION</w:t>
      </w:r>
      <w:bookmarkEnd w:id="1"/>
    </w:p>
    <w:p w:rsidRPr="001525EC" w:rsidR="007E0A31" w:rsidP="00FC5D2E" w:rsidRDefault="00FC5D2E" w14:paraId="434EBBC3" w14:textId="5DCF2738">
      <w:pPr>
        <w:pStyle w:val="Heading2"/>
        <w:spacing w:before="240" w:after="200" w:line="360" w:lineRule="auto"/>
        <w:rPr>
          <w:rFonts w:ascii="Times New Roman" w:hAnsi="Times New Roman" w:cs="Times New Roman"/>
          <w:b/>
          <w:color w:val="auto"/>
          <w:sz w:val="24"/>
          <w:szCs w:val="24"/>
        </w:rPr>
      </w:pPr>
      <w:bookmarkStart w:name="_Toc453667178" w:id="2"/>
      <w:bookmarkStart w:name="_Toc50987034" w:id="3"/>
      <w:r>
        <w:rPr>
          <w:rFonts w:ascii="Times New Roman" w:hAnsi="Times New Roman" w:cs="Times New Roman"/>
          <w:b/>
          <w:color w:val="auto"/>
          <w:sz w:val="24"/>
          <w:szCs w:val="24"/>
        </w:rPr>
        <w:t>A.1.</w:t>
      </w:r>
      <w:r>
        <w:rPr>
          <w:rFonts w:ascii="Times New Roman" w:hAnsi="Times New Roman" w:cs="Times New Roman"/>
          <w:b/>
          <w:color w:val="auto"/>
          <w:sz w:val="24"/>
          <w:szCs w:val="24"/>
        </w:rPr>
        <w:tab/>
      </w:r>
      <w:r w:rsidRPr="001525EC" w:rsidR="007E0A31">
        <w:rPr>
          <w:rFonts w:ascii="Times New Roman" w:hAnsi="Times New Roman" w:cs="Times New Roman"/>
          <w:b/>
          <w:color w:val="auto"/>
          <w:sz w:val="24"/>
          <w:szCs w:val="24"/>
        </w:rPr>
        <w:t>Circumstances Making the Collection of Information Necessary</w:t>
      </w:r>
      <w:bookmarkEnd w:id="2"/>
      <w:bookmarkEnd w:id="3"/>
    </w:p>
    <w:p w:rsidRPr="00990438" w:rsidR="006E25C6" w:rsidP="006E25C6" w:rsidRDefault="00026BAC" w14:paraId="11F68A47" w14:textId="023490D4">
      <w:pPr>
        <w:spacing w:line="360" w:lineRule="auto"/>
        <w:rPr>
          <w:rFonts w:ascii="Times New Roman" w:hAnsi="Times New Roman"/>
          <w:sz w:val="22"/>
          <w:szCs w:val="22"/>
        </w:rPr>
      </w:pPr>
      <w:r w:rsidRPr="00026BAC">
        <w:rPr>
          <w:rFonts w:ascii="Times New Roman" w:hAnsi="Times New Roman"/>
          <w:sz w:val="22"/>
          <w:szCs w:val="22"/>
        </w:rPr>
        <w:t>The Centers for Disease Control and Prevention (CDC) requests a</w:t>
      </w:r>
      <w:r w:rsidR="006E0BEB">
        <w:rPr>
          <w:rFonts w:ascii="Times New Roman" w:hAnsi="Times New Roman"/>
          <w:sz w:val="22"/>
          <w:szCs w:val="22"/>
        </w:rPr>
        <w:t xml:space="preserve"> 2</w:t>
      </w:r>
      <w:r w:rsidRPr="00026BAC">
        <w:rPr>
          <w:rFonts w:ascii="Times New Roman" w:hAnsi="Times New Roman"/>
          <w:sz w:val="22"/>
          <w:szCs w:val="22"/>
        </w:rPr>
        <w:t>-year approval for a new information collection entitled, “</w:t>
      </w:r>
      <w:r>
        <w:rPr>
          <w:rFonts w:ascii="Times New Roman" w:hAnsi="Times New Roman"/>
          <w:sz w:val="22"/>
          <w:szCs w:val="22"/>
        </w:rPr>
        <w:t>Teen and Parent Surveys (TAPS)</w:t>
      </w:r>
      <w:r w:rsidRPr="00026BAC">
        <w:rPr>
          <w:rFonts w:ascii="Times New Roman" w:hAnsi="Times New Roman"/>
          <w:sz w:val="22"/>
          <w:szCs w:val="22"/>
        </w:rPr>
        <w:t xml:space="preserve">” </w:t>
      </w:r>
      <w:r>
        <w:rPr>
          <w:rFonts w:ascii="Times New Roman" w:hAnsi="Times New Roman"/>
          <w:sz w:val="22"/>
          <w:szCs w:val="22"/>
        </w:rPr>
        <w:t>for the one-time</w:t>
      </w:r>
      <w:r w:rsidRPr="00026BAC">
        <w:rPr>
          <w:rFonts w:ascii="Times New Roman" w:hAnsi="Times New Roman"/>
          <w:sz w:val="22"/>
          <w:szCs w:val="22"/>
        </w:rPr>
        <w:t xml:space="preserve"> collection of quantitative information from a national sample of 15-</w:t>
      </w:r>
      <w:r>
        <w:rPr>
          <w:rFonts w:ascii="Times New Roman" w:hAnsi="Times New Roman"/>
          <w:sz w:val="22"/>
          <w:szCs w:val="22"/>
        </w:rPr>
        <w:t xml:space="preserve"> to </w:t>
      </w:r>
      <w:r w:rsidRPr="00026BAC">
        <w:rPr>
          <w:rFonts w:ascii="Times New Roman" w:hAnsi="Times New Roman"/>
          <w:sz w:val="22"/>
          <w:szCs w:val="22"/>
        </w:rPr>
        <w:t>19</w:t>
      </w:r>
      <w:r>
        <w:rPr>
          <w:rFonts w:ascii="Times New Roman" w:hAnsi="Times New Roman"/>
          <w:sz w:val="22"/>
          <w:szCs w:val="22"/>
        </w:rPr>
        <w:t>-</w:t>
      </w:r>
      <w:r w:rsidRPr="00026BAC">
        <w:rPr>
          <w:rFonts w:ascii="Times New Roman" w:hAnsi="Times New Roman"/>
          <w:sz w:val="22"/>
          <w:szCs w:val="22"/>
        </w:rPr>
        <w:t>year</w:t>
      </w:r>
      <w:r>
        <w:rPr>
          <w:rFonts w:ascii="Times New Roman" w:hAnsi="Times New Roman"/>
          <w:sz w:val="22"/>
          <w:szCs w:val="22"/>
        </w:rPr>
        <w:t>-</w:t>
      </w:r>
      <w:r w:rsidRPr="00026BAC">
        <w:rPr>
          <w:rFonts w:ascii="Times New Roman" w:hAnsi="Times New Roman"/>
          <w:sz w:val="22"/>
          <w:szCs w:val="22"/>
        </w:rPr>
        <w:t>old</w:t>
      </w:r>
      <w:r>
        <w:rPr>
          <w:rFonts w:ascii="Times New Roman" w:hAnsi="Times New Roman"/>
          <w:sz w:val="22"/>
          <w:szCs w:val="22"/>
        </w:rPr>
        <w:t>s</w:t>
      </w:r>
      <w:r w:rsidRPr="00026BAC">
        <w:rPr>
          <w:rFonts w:ascii="Times New Roman" w:hAnsi="Times New Roman"/>
          <w:sz w:val="22"/>
          <w:szCs w:val="22"/>
        </w:rPr>
        <w:t xml:space="preserve"> and a subset of their parents/caregivers. </w:t>
      </w:r>
    </w:p>
    <w:p w:rsidRPr="00990438" w:rsidR="006E25C6" w:rsidP="006E25C6" w:rsidRDefault="006E25C6" w14:paraId="3A237AFE" w14:textId="335334CF">
      <w:pPr>
        <w:spacing w:before="240" w:after="200" w:line="360" w:lineRule="auto"/>
        <w:rPr>
          <w:rFonts w:ascii="Times New Roman" w:hAnsi="Times New Roman"/>
          <w:sz w:val="22"/>
          <w:szCs w:val="22"/>
        </w:rPr>
      </w:pPr>
      <w:r w:rsidRPr="00990438">
        <w:rPr>
          <w:rFonts w:ascii="Times New Roman" w:hAnsi="Times New Roman"/>
          <w:sz w:val="22"/>
          <w:szCs w:val="22"/>
        </w:rPr>
        <w:t xml:space="preserve">This project will gather information on </w:t>
      </w:r>
      <w:r>
        <w:rPr>
          <w:rFonts w:ascii="Times New Roman" w:hAnsi="Times New Roman"/>
          <w:sz w:val="22"/>
          <w:szCs w:val="22"/>
        </w:rPr>
        <w:t>protective factors</w:t>
      </w:r>
      <w:r w:rsidR="00026BAC">
        <w:rPr>
          <w:rFonts w:ascii="Times New Roman" w:hAnsi="Times New Roman"/>
          <w:sz w:val="22"/>
          <w:szCs w:val="22"/>
        </w:rPr>
        <w:t xml:space="preserve"> (e.g. communication with parents, school connectedness)</w:t>
      </w:r>
      <w:r>
        <w:rPr>
          <w:rFonts w:ascii="Times New Roman" w:hAnsi="Times New Roman"/>
          <w:sz w:val="22"/>
          <w:szCs w:val="22"/>
        </w:rPr>
        <w:t>, health education</w:t>
      </w:r>
      <w:r w:rsidR="00026BAC">
        <w:rPr>
          <w:rFonts w:ascii="Times New Roman" w:hAnsi="Times New Roman"/>
          <w:sz w:val="22"/>
          <w:szCs w:val="22"/>
        </w:rPr>
        <w:t xml:space="preserve"> experiences</w:t>
      </w:r>
      <w:r>
        <w:rPr>
          <w:rFonts w:ascii="Times New Roman" w:hAnsi="Times New Roman"/>
          <w:sz w:val="22"/>
          <w:szCs w:val="22"/>
        </w:rPr>
        <w:t>, health service</w:t>
      </w:r>
      <w:r w:rsidR="00026BAC">
        <w:rPr>
          <w:rFonts w:ascii="Times New Roman" w:hAnsi="Times New Roman"/>
          <w:sz w:val="22"/>
          <w:szCs w:val="22"/>
        </w:rPr>
        <w:t xml:space="preserve"> u</w:t>
      </w:r>
      <w:r>
        <w:rPr>
          <w:rFonts w:ascii="Times New Roman" w:hAnsi="Times New Roman"/>
          <w:sz w:val="22"/>
          <w:szCs w:val="22"/>
        </w:rPr>
        <w:t>s</w:t>
      </w:r>
      <w:r w:rsidR="00026BAC">
        <w:rPr>
          <w:rFonts w:ascii="Times New Roman" w:hAnsi="Times New Roman"/>
          <w:sz w:val="22"/>
          <w:szCs w:val="22"/>
        </w:rPr>
        <w:t>e</w:t>
      </w:r>
      <w:r>
        <w:rPr>
          <w:rFonts w:ascii="Times New Roman" w:hAnsi="Times New Roman"/>
          <w:sz w:val="22"/>
          <w:szCs w:val="22"/>
        </w:rPr>
        <w:t xml:space="preserve">, adolescent behavior, </w:t>
      </w:r>
      <w:r w:rsidR="005B7695">
        <w:rPr>
          <w:rFonts w:ascii="Times New Roman" w:hAnsi="Times New Roman"/>
          <w:sz w:val="22"/>
          <w:szCs w:val="22"/>
        </w:rPr>
        <w:t xml:space="preserve"> and </w:t>
      </w:r>
      <w:r>
        <w:rPr>
          <w:rFonts w:ascii="Times New Roman" w:hAnsi="Times New Roman"/>
          <w:sz w:val="22"/>
          <w:szCs w:val="22"/>
        </w:rPr>
        <w:t xml:space="preserve">mental health, </w:t>
      </w:r>
      <w:r w:rsidR="005B7695">
        <w:rPr>
          <w:rFonts w:ascii="Times New Roman" w:hAnsi="Times New Roman"/>
          <w:sz w:val="22"/>
          <w:szCs w:val="22"/>
        </w:rPr>
        <w:t xml:space="preserve">sexual health, </w:t>
      </w:r>
      <w:r>
        <w:rPr>
          <w:rFonts w:ascii="Times New Roman" w:hAnsi="Times New Roman"/>
          <w:sz w:val="22"/>
          <w:szCs w:val="22"/>
        </w:rPr>
        <w:t xml:space="preserve">and other </w:t>
      </w:r>
      <w:r w:rsidR="005B7695">
        <w:rPr>
          <w:rFonts w:ascii="Times New Roman" w:hAnsi="Times New Roman"/>
          <w:sz w:val="22"/>
          <w:szCs w:val="22"/>
        </w:rPr>
        <w:t>health outcomes</w:t>
      </w:r>
      <w:r>
        <w:rPr>
          <w:rFonts w:ascii="Times New Roman" w:hAnsi="Times New Roman"/>
          <w:sz w:val="22"/>
          <w:szCs w:val="22"/>
        </w:rPr>
        <w:t xml:space="preserve">, allowing </w:t>
      </w:r>
      <w:r w:rsidRPr="005B7695" w:rsidR="005B7695">
        <w:rPr>
          <w:rFonts w:ascii="Times New Roman" w:hAnsi="Times New Roman"/>
          <w:sz w:val="22"/>
          <w:szCs w:val="22"/>
        </w:rPr>
        <w:t xml:space="preserve">CDC’s Division of Adolescent and School Health’s (DASH) </w:t>
      </w:r>
      <w:r w:rsidR="005B7695">
        <w:rPr>
          <w:rFonts w:ascii="Times New Roman" w:hAnsi="Times New Roman"/>
          <w:sz w:val="22"/>
          <w:szCs w:val="22"/>
        </w:rPr>
        <w:t xml:space="preserve">to inform </w:t>
      </w:r>
      <w:r w:rsidRPr="005B7695" w:rsidR="005B7695">
        <w:rPr>
          <w:rFonts w:ascii="Times New Roman" w:hAnsi="Times New Roman"/>
          <w:sz w:val="22"/>
          <w:szCs w:val="22"/>
        </w:rPr>
        <w:t>key school-based programmatic strategies of improving family- and school-level protective factors, bolstering health education, and increasing adolescent access to quality health services.</w:t>
      </w:r>
    </w:p>
    <w:p w:rsidR="006E25C6" w:rsidP="006E25C6" w:rsidRDefault="006E25C6" w14:paraId="138D8272" w14:textId="77777777">
      <w:pPr>
        <w:spacing w:before="240" w:after="200" w:line="360" w:lineRule="auto"/>
        <w:contextualSpacing/>
        <w:rPr>
          <w:rFonts w:ascii="Times New Roman" w:hAnsi="Times New Roman"/>
          <w:b/>
          <w:sz w:val="22"/>
          <w:szCs w:val="22"/>
        </w:rPr>
      </w:pPr>
      <w:r w:rsidRPr="00990438">
        <w:rPr>
          <w:rFonts w:ascii="Times New Roman" w:hAnsi="Times New Roman"/>
          <w:b/>
          <w:sz w:val="22"/>
          <w:szCs w:val="22"/>
        </w:rPr>
        <w:t>Background</w:t>
      </w:r>
    </w:p>
    <w:p w:rsidRPr="006E25C6" w:rsidR="006E25C6" w:rsidP="006E25C6" w:rsidRDefault="006E25C6" w14:paraId="252E23D1" w14:textId="23AE4FF7">
      <w:pPr>
        <w:spacing w:line="360" w:lineRule="auto"/>
        <w:rPr>
          <w:rFonts w:ascii="Times New Roman" w:hAnsi="Times New Roman"/>
          <w:sz w:val="22"/>
          <w:szCs w:val="22"/>
        </w:rPr>
      </w:pPr>
      <w:r w:rsidRPr="006E25C6">
        <w:rPr>
          <w:rFonts w:ascii="Times New Roman" w:hAnsi="Times New Roman"/>
          <w:sz w:val="22"/>
          <w:szCs w:val="22"/>
        </w:rPr>
        <w:t>Documenting health-related risk behaviors and experiences</w:t>
      </w:r>
      <w:r w:rsidR="00DD6CB5">
        <w:rPr>
          <w:rFonts w:ascii="Times New Roman" w:hAnsi="Times New Roman"/>
          <w:sz w:val="22"/>
          <w:szCs w:val="22"/>
        </w:rPr>
        <w:t xml:space="preserve"> and health outcomes</w:t>
      </w:r>
      <w:r w:rsidRPr="006E25C6">
        <w:rPr>
          <w:rFonts w:ascii="Times New Roman" w:hAnsi="Times New Roman"/>
          <w:sz w:val="22"/>
          <w:szCs w:val="22"/>
        </w:rPr>
        <w:t xml:space="preserve"> </w:t>
      </w:r>
      <w:r w:rsidR="00DF00A8">
        <w:rPr>
          <w:rFonts w:ascii="Times New Roman" w:hAnsi="Times New Roman"/>
          <w:sz w:val="22"/>
          <w:szCs w:val="22"/>
        </w:rPr>
        <w:t>of you</w:t>
      </w:r>
      <w:r w:rsidR="00DD6CB5">
        <w:rPr>
          <w:rFonts w:ascii="Times New Roman" w:hAnsi="Times New Roman"/>
          <w:sz w:val="22"/>
          <w:szCs w:val="22"/>
        </w:rPr>
        <w:t>ng people</w:t>
      </w:r>
      <w:r w:rsidR="00DF00A8">
        <w:rPr>
          <w:rFonts w:ascii="Times New Roman" w:hAnsi="Times New Roman"/>
          <w:sz w:val="22"/>
          <w:szCs w:val="22"/>
        </w:rPr>
        <w:t xml:space="preserve"> </w:t>
      </w:r>
      <w:r w:rsidRPr="006E25C6">
        <w:rPr>
          <w:rFonts w:ascii="Times New Roman" w:hAnsi="Times New Roman"/>
          <w:sz w:val="22"/>
          <w:szCs w:val="22"/>
        </w:rPr>
        <w:t>through routine surveillance is a critical component of DASH’s</w:t>
      </w:r>
      <w:r w:rsidR="00DF00A8">
        <w:rPr>
          <w:rFonts w:ascii="Times New Roman" w:hAnsi="Times New Roman"/>
          <w:sz w:val="22"/>
          <w:szCs w:val="22"/>
        </w:rPr>
        <w:t xml:space="preserve"> </w:t>
      </w:r>
      <w:r w:rsidRPr="006E25C6">
        <w:rPr>
          <w:rFonts w:ascii="Times New Roman" w:hAnsi="Times New Roman"/>
          <w:sz w:val="22"/>
          <w:szCs w:val="22"/>
        </w:rPr>
        <w:t>prevention efforts. Another component</w:t>
      </w:r>
      <w:r w:rsidR="00DF00A8">
        <w:rPr>
          <w:rFonts w:ascii="Times New Roman" w:hAnsi="Times New Roman"/>
          <w:sz w:val="22"/>
          <w:szCs w:val="22"/>
        </w:rPr>
        <w:t xml:space="preserve"> of DASH’s efforts to </w:t>
      </w:r>
      <w:r w:rsidRPr="00DF00A8" w:rsidR="00DF00A8">
        <w:rPr>
          <w:rFonts w:ascii="Times New Roman" w:hAnsi="Times New Roman"/>
          <w:sz w:val="22"/>
          <w:szCs w:val="22"/>
        </w:rPr>
        <w:t xml:space="preserve">improve adolescent health </w:t>
      </w:r>
      <w:r w:rsidRPr="006E25C6">
        <w:rPr>
          <w:rFonts w:ascii="Times New Roman" w:hAnsi="Times New Roman"/>
          <w:sz w:val="22"/>
          <w:szCs w:val="22"/>
        </w:rPr>
        <w:t>is observational research</w:t>
      </w:r>
      <w:r w:rsidR="007D7B09">
        <w:rPr>
          <w:rFonts w:ascii="Times New Roman" w:hAnsi="Times New Roman"/>
          <w:sz w:val="22"/>
          <w:szCs w:val="22"/>
        </w:rPr>
        <w:t xml:space="preserve"> </w:t>
      </w:r>
      <w:r w:rsidRPr="009D655F" w:rsidR="009D655F">
        <w:rPr>
          <w:rFonts w:ascii="Times New Roman" w:hAnsi="Times New Roman"/>
          <w:sz w:val="22"/>
          <w:szCs w:val="22"/>
        </w:rPr>
        <w:t>to inform its school-based programmatic strategies</w:t>
      </w:r>
      <w:r w:rsidRPr="006E25C6">
        <w:rPr>
          <w:rFonts w:ascii="Times New Roman" w:hAnsi="Times New Roman"/>
          <w:sz w:val="22"/>
          <w:szCs w:val="22"/>
        </w:rPr>
        <w:t xml:space="preserve">. This type of research serves to inform priority settings and sub-populations for intervention </w:t>
      </w:r>
      <w:r w:rsidR="00DD6CB5">
        <w:rPr>
          <w:rFonts w:ascii="Times New Roman" w:hAnsi="Times New Roman"/>
          <w:sz w:val="22"/>
          <w:szCs w:val="22"/>
        </w:rPr>
        <w:t>as well as</w:t>
      </w:r>
      <w:r w:rsidRPr="006E25C6" w:rsidR="00DD6CB5">
        <w:rPr>
          <w:rFonts w:ascii="Times New Roman" w:hAnsi="Times New Roman"/>
          <w:sz w:val="22"/>
          <w:szCs w:val="22"/>
        </w:rPr>
        <w:t xml:space="preserve"> </w:t>
      </w:r>
      <w:r w:rsidRPr="006E25C6">
        <w:rPr>
          <w:rFonts w:ascii="Times New Roman" w:hAnsi="Times New Roman"/>
          <w:sz w:val="22"/>
          <w:szCs w:val="22"/>
        </w:rPr>
        <w:t>specific intervention strategies. To the extent possible, DASH uses secondary data sources for such research (e.g., National Survey of Family Growth, National Longitudinal Study of Adolescent to Adult Health), but has identified a need to collect primary data from a national sample of adolescents to complement what is already known through existing surveys.</w:t>
      </w:r>
      <w:r w:rsidR="00DF00A8">
        <w:rPr>
          <w:rFonts w:ascii="Times New Roman" w:hAnsi="Times New Roman"/>
          <w:sz w:val="22"/>
          <w:szCs w:val="22"/>
        </w:rPr>
        <w:t xml:space="preserve"> </w:t>
      </w:r>
      <w:r w:rsidRPr="006E25C6">
        <w:rPr>
          <w:rFonts w:ascii="Times New Roman" w:hAnsi="Times New Roman"/>
          <w:sz w:val="22"/>
          <w:szCs w:val="22"/>
        </w:rPr>
        <w:t xml:space="preserve">Of particular importance are factors that protect adolescents from harm and promote positive health and well-being. Specifically, there is interest in three areas that are the current focus of DASH’s school-based HIV/STD prevention approach: family- and school-level protective factors, health education, and health services. DASH’s funding to local education agencies </w:t>
      </w:r>
      <w:r w:rsidR="00DD6CB5">
        <w:rPr>
          <w:rFonts w:ascii="Times New Roman" w:hAnsi="Times New Roman"/>
          <w:sz w:val="22"/>
          <w:szCs w:val="22"/>
        </w:rPr>
        <w:t>supports work in</w:t>
      </w:r>
      <w:r w:rsidRPr="006E25C6" w:rsidR="00DD6CB5">
        <w:rPr>
          <w:rFonts w:ascii="Times New Roman" w:hAnsi="Times New Roman"/>
          <w:sz w:val="22"/>
          <w:szCs w:val="22"/>
        </w:rPr>
        <w:t xml:space="preserve"> </w:t>
      </w:r>
      <w:r w:rsidRPr="006E25C6">
        <w:rPr>
          <w:rFonts w:ascii="Times New Roman" w:hAnsi="Times New Roman"/>
          <w:sz w:val="22"/>
          <w:szCs w:val="22"/>
        </w:rPr>
        <w:t>these areas given their known impact on relevant health behaviors and outcomes. Protective factors such as parent-adolescent communication, parental monitoring, and school connectedness are associated with reductions in adolescent sexual behaviors and STD diagnosis in adulthood.</w:t>
      </w:r>
      <w:r w:rsidRPr="009B7369" w:rsidR="009B7369">
        <w:rPr>
          <w:rFonts w:ascii="Times New Roman" w:hAnsi="Times New Roman"/>
          <w:sz w:val="22"/>
          <w:szCs w:val="22"/>
          <w:vertAlign w:val="superscript"/>
        </w:rPr>
        <w:t>1-5</w:t>
      </w:r>
      <w:r w:rsidRPr="006E25C6" w:rsidR="009B7369">
        <w:rPr>
          <w:rFonts w:ascii="Times New Roman" w:hAnsi="Times New Roman"/>
          <w:sz w:val="22"/>
          <w:szCs w:val="22"/>
        </w:rPr>
        <w:t xml:space="preserve"> </w:t>
      </w:r>
      <w:r w:rsidRPr="006E25C6">
        <w:rPr>
          <w:rFonts w:ascii="Times New Roman" w:hAnsi="Times New Roman"/>
          <w:sz w:val="22"/>
          <w:szCs w:val="22"/>
        </w:rPr>
        <w:t>Sexual health education programs and preventive services (e.g., STD testing) are similarly associated with reductions in adolescent sexual risk behaviors and adverse outcomes.</w:t>
      </w:r>
      <w:r w:rsidRPr="009B7369" w:rsidR="009B7369">
        <w:rPr>
          <w:rFonts w:ascii="Times New Roman" w:hAnsi="Times New Roman"/>
          <w:sz w:val="22"/>
          <w:szCs w:val="22"/>
          <w:vertAlign w:val="superscript"/>
        </w:rPr>
        <w:t>6</w:t>
      </w:r>
      <w:r w:rsidR="00116934">
        <w:rPr>
          <w:rFonts w:ascii="Times New Roman" w:hAnsi="Times New Roman"/>
          <w:sz w:val="22"/>
          <w:szCs w:val="22"/>
          <w:vertAlign w:val="superscript"/>
        </w:rPr>
        <w:t>-</w:t>
      </w:r>
      <w:r w:rsidRPr="009B7369" w:rsidR="009B7369">
        <w:rPr>
          <w:rFonts w:ascii="Times New Roman" w:hAnsi="Times New Roman"/>
          <w:sz w:val="22"/>
          <w:szCs w:val="22"/>
          <w:vertAlign w:val="superscript"/>
        </w:rPr>
        <w:t>10</w:t>
      </w:r>
      <w:r w:rsidRPr="006E25C6">
        <w:rPr>
          <w:rFonts w:ascii="Times New Roman" w:hAnsi="Times New Roman"/>
          <w:sz w:val="22"/>
          <w:szCs w:val="22"/>
        </w:rPr>
        <w:t xml:space="preserve"> Moreover, family and school-level protective factors have benefits across other health outcomes of interest to DASH, including mental health, substance use, and violence,</w:t>
      </w:r>
      <w:r w:rsidRPr="009B7369">
        <w:rPr>
          <w:rFonts w:ascii="Times New Roman" w:hAnsi="Times New Roman"/>
          <w:sz w:val="22"/>
          <w:szCs w:val="22"/>
          <w:vertAlign w:val="superscript"/>
        </w:rPr>
        <w:t>1</w:t>
      </w:r>
      <w:r w:rsidRPr="009B7369" w:rsidR="009B7369">
        <w:rPr>
          <w:rFonts w:ascii="Times New Roman" w:hAnsi="Times New Roman"/>
          <w:sz w:val="22"/>
          <w:szCs w:val="22"/>
          <w:vertAlign w:val="superscript"/>
        </w:rPr>
        <w:t>1</w:t>
      </w:r>
      <w:r w:rsidRPr="009B7369">
        <w:rPr>
          <w:rFonts w:ascii="Times New Roman" w:hAnsi="Times New Roman"/>
          <w:sz w:val="22"/>
          <w:szCs w:val="22"/>
          <w:vertAlign w:val="superscript"/>
        </w:rPr>
        <w:t>-1</w:t>
      </w:r>
      <w:r w:rsidRPr="009B7369" w:rsidR="009B7369">
        <w:rPr>
          <w:rFonts w:ascii="Times New Roman" w:hAnsi="Times New Roman"/>
          <w:sz w:val="22"/>
          <w:szCs w:val="22"/>
          <w:vertAlign w:val="superscript"/>
        </w:rPr>
        <w:t>3</w:t>
      </w:r>
      <w:r w:rsidRPr="006E25C6">
        <w:rPr>
          <w:rFonts w:ascii="Times New Roman" w:hAnsi="Times New Roman"/>
          <w:sz w:val="22"/>
          <w:szCs w:val="22"/>
        </w:rPr>
        <w:t xml:space="preserve"> and health education and services can be tailored to address these outcomes, either individually or as part of a comprehensive, integrated approach </w:t>
      </w:r>
      <w:r w:rsidR="00DD6CB5">
        <w:rPr>
          <w:rFonts w:ascii="Times New Roman" w:hAnsi="Times New Roman"/>
          <w:sz w:val="22"/>
          <w:szCs w:val="22"/>
        </w:rPr>
        <w:t>to adolescent</w:t>
      </w:r>
      <w:r w:rsidRPr="006E25C6">
        <w:rPr>
          <w:rFonts w:ascii="Times New Roman" w:hAnsi="Times New Roman"/>
          <w:sz w:val="22"/>
          <w:szCs w:val="22"/>
        </w:rPr>
        <w:t xml:space="preserve"> health.</w:t>
      </w:r>
    </w:p>
    <w:p w:rsidR="009B7369" w:rsidP="006E25C6" w:rsidRDefault="009B7369" w14:paraId="72A2ABD4" w14:textId="77777777">
      <w:pPr>
        <w:spacing w:line="360" w:lineRule="auto"/>
        <w:rPr>
          <w:rFonts w:ascii="Times New Roman" w:hAnsi="Times New Roman"/>
          <w:sz w:val="22"/>
          <w:szCs w:val="22"/>
        </w:rPr>
      </w:pPr>
      <w:bookmarkStart w:name="_Hlk53785735" w:id="4"/>
    </w:p>
    <w:p w:rsidRPr="006E25C6" w:rsidR="006E25C6" w:rsidP="006E25C6" w:rsidRDefault="006E25C6" w14:paraId="478AEB83" w14:textId="69F4E283">
      <w:pPr>
        <w:spacing w:line="360" w:lineRule="auto"/>
        <w:rPr>
          <w:rFonts w:ascii="Times New Roman" w:hAnsi="Times New Roman"/>
          <w:sz w:val="22"/>
          <w:szCs w:val="22"/>
        </w:rPr>
      </w:pPr>
      <w:r w:rsidRPr="006E25C6">
        <w:rPr>
          <w:rFonts w:ascii="Times New Roman" w:hAnsi="Times New Roman"/>
          <w:sz w:val="22"/>
          <w:szCs w:val="22"/>
        </w:rPr>
        <w:t xml:space="preserve">Although evidence suggests these factors are valuable to promote as part of primary prevention efforts, there are some gaps in what is known. For example, there is limited recent national data on the prevalence of family- and school-level protective factors, and associations with health information- and health care-seeking have not been well-studied. </w:t>
      </w:r>
    </w:p>
    <w:p w:rsidR="009B7369" w:rsidP="006E25C6" w:rsidRDefault="009B7369" w14:paraId="4F1DC3A0" w14:textId="77777777">
      <w:pPr>
        <w:spacing w:line="360" w:lineRule="auto"/>
        <w:rPr>
          <w:rFonts w:ascii="Times New Roman" w:hAnsi="Times New Roman"/>
          <w:sz w:val="22"/>
          <w:szCs w:val="22"/>
        </w:rPr>
      </w:pPr>
    </w:p>
    <w:p w:rsidR="00D61698" w:rsidP="00D61698" w:rsidRDefault="006E25C6" w14:paraId="26595274" w14:textId="77777777">
      <w:pPr>
        <w:spacing w:line="360" w:lineRule="auto"/>
        <w:rPr>
          <w:rFonts w:ascii="Times New Roman" w:hAnsi="Times New Roman"/>
          <w:sz w:val="22"/>
          <w:szCs w:val="22"/>
        </w:rPr>
      </w:pPr>
      <w:r w:rsidRPr="006E25C6">
        <w:rPr>
          <w:rFonts w:ascii="Times New Roman" w:hAnsi="Times New Roman"/>
          <w:sz w:val="22"/>
          <w:szCs w:val="22"/>
        </w:rPr>
        <w:t xml:space="preserve">Collecting primary data also provides the opportunity to examine untested associations with sexual behavior outcomes, including those not typically measured in national surveillance systems. Likewise, associations with mental health, substance use and violence can be explored, considering indicators not included in </w:t>
      </w:r>
      <w:r w:rsidR="00DD6CB5">
        <w:rPr>
          <w:rFonts w:ascii="Times New Roman" w:hAnsi="Times New Roman"/>
          <w:sz w:val="22"/>
          <w:szCs w:val="22"/>
        </w:rPr>
        <w:t>existing surveillance systems</w:t>
      </w:r>
      <w:r w:rsidRPr="006E25C6">
        <w:rPr>
          <w:rFonts w:ascii="Times New Roman" w:hAnsi="Times New Roman"/>
          <w:sz w:val="22"/>
          <w:szCs w:val="22"/>
        </w:rPr>
        <w:t>. Including additional constructs and operationalizations as part of survey research would complement and extend DASH’s surveillance efforts.</w:t>
      </w:r>
      <w:bookmarkEnd w:id="4"/>
    </w:p>
    <w:p w:rsidR="00D61698" w:rsidP="00D61698" w:rsidRDefault="00D61698" w14:paraId="296DEFF7" w14:textId="77777777">
      <w:pPr>
        <w:spacing w:line="360" w:lineRule="auto"/>
        <w:rPr>
          <w:rFonts w:ascii="Times New Roman" w:hAnsi="Times New Roman"/>
          <w:sz w:val="22"/>
          <w:szCs w:val="22"/>
        </w:rPr>
      </w:pPr>
    </w:p>
    <w:p w:rsidRPr="00D61698" w:rsidR="00DD6CB5" w:rsidP="00D61698" w:rsidRDefault="00DD6CB5" w14:paraId="37F1C9F9" w14:textId="103A264D">
      <w:pPr>
        <w:spacing w:line="360" w:lineRule="auto"/>
        <w:rPr>
          <w:rFonts w:ascii="Times New Roman" w:hAnsi="Times New Roman"/>
          <w:sz w:val="22"/>
          <w:szCs w:val="22"/>
        </w:rPr>
      </w:pPr>
      <w:r w:rsidRPr="00DD6CB5">
        <w:rPr>
          <w:rFonts w:ascii="Times New Roman" w:hAnsi="Times New Roman"/>
          <w:sz w:val="24"/>
          <w:szCs w:val="24"/>
        </w:rPr>
        <w:t>CDC is authorized to collect the data described in this request by Section 301 of the Public Health Service Act (</w:t>
      </w:r>
      <w:bookmarkStart w:name="OLE_LINK3" w:id="5"/>
      <w:bookmarkStart w:name="OLE_LINK4" w:id="6"/>
      <w:r w:rsidRPr="00DD6CB5">
        <w:rPr>
          <w:rFonts w:ascii="Times New Roman" w:hAnsi="Times New Roman"/>
          <w:sz w:val="24"/>
          <w:szCs w:val="24"/>
        </w:rPr>
        <w:t>42 USC 241</w:t>
      </w:r>
      <w:bookmarkEnd w:id="5"/>
      <w:bookmarkEnd w:id="6"/>
      <w:r w:rsidRPr="00DD6CB5">
        <w:rPr>
          <w:rFonts w:ascii="Times New Roman" w:hAnsi="Times New Roman"/>
          <w:sz w:val="24"/>
          <w:szCs w:val="24"/>
        </w:rPr>
        <w:t xml:space="preserve">).  A copy of this enabling legislation is provided in </w:t>
      </w:r>
      <w:r w:rsidRPr="00196181">
        <w:rPr>
          <w:rFonts w:ascii="Times New Roman" w:hAnsi="Times New Roman"/>
          <w:b/>
          <w:sz w:val="24"/>
          <w:szCs w:val="24"/>
        </w:rPr>
        <w:t>Attachment 1</w:t>
      </w:r>
      <w:r w:rsidRPr="00196181">
        <w:rPr>
          <w:rFonts w:ascii="Times New Roman" w:hAnsi="Times New Roman"/>
          <w:sz w:val="24"/>
          <w:szCs w:val="24"/>
        </w:rPr>
        <w:t>.</w:t>
      </w:r>
      <w:r w:rsidRPr="00DD6CB5">
        <w:rPr>
          <w:rFonts w:ascii="Times New Roman" w:hAnsi="Times New Roman"/>
          <w:sz w:val="24"/>
          <w:szCs w:val="24"/>
        </w:rPr>
        <w:t xml:space="preserve">  In addition to this legislation, there are several national initiatives and programs that this information collection would serve to support, including but not limited to: </w:t>
      </w:r>
    </w:p>
    <w:p w:rsidRPr="00DD6CB5" w:rsidR="00DD6CB5" w:rsidP="00DD6CB5" w:rsidRDefault="00DD6CB5" w14:paraId="51DE154C" w14:textId="623ACB94">
      <w:pPr>
        <w:widowControl w:val="0"/>
        <w:numPr>
          <w:ilvl w:val="0"/>
          <w:numId w:val="27"/>
        </w:numPr>
        <w:spacing w:line="276" w:lineRule="auto"/>
        <w:contextualSpacing/>
        <w:rPr>
          <w:rFonts w:ascii="Times New Roman" w:hAnsi="Times New Roman" w:eastAsia="Calibri"/>
          <w:sz w:val="24"/>
          <w:szCs w:val="24"/>
        </w:rPr>
      </w:pPr>
      <w:r w:rsidRPr="00DD6CB5">
        <w:rPr>
          <w:rFonts w:ascii="Times New Roman" w:hAnsi="Times New Roman" w:eastAsia="Calibri"/>
          <w:i/>
          <w:iCs/>
          <w:sz w:val="24"/>
          <w:szCs w:val="24"/>
        </w:rPr>
        <w:t>Healthy People 20</w:t>
      </w:r>
      <w:r w:rsidR="00CF41B0">
        <w:rPr>
          <w:rFonts w:ascii="Times New Roman" w:hAnsi="Times New Roman" w:eastAsia="Calibri"/>
          <w:i/>
          <w:iCs/>
          <w:sz w:val="24"/>
          <w:szCs w:val="24"/>
        </w:rPr>
        <w:t>3</w:t>
      </w:r>
      <w:r w:rsidRPr="00DD6CB5">
        <w:rPr>
          <w:rFonts w:ascii="Times New Roman" w:hAnsi="Times New Roman" w:eastAsia="Calibri"/>
          <w:i/>
          <w:iCs/>
          <w:sz w:val="24"/>
          <w:szCs w:val="24"/>
        </w:rPr>
        <w:t xml:space="preserve">0, </w:t>
      </w:r>
      <w:r w:rsidRPr="00DD6CB5">
        <w:rPr>
          <w:rFonts w:ascii="Times New Roman" w:hAnsi="Times New Roman" w:eastAsia="Calibri"/>
          <w:iCs/>
          <w:sz w:val="24"/>
          <w:szCs w:val="24"/>
        </w:rPr>
        <w:t>which provides</w:t>
      </w:r>
      <w:r w:rsidRPr="00DD6CB5">
        <w:rPr>
          <w:rFonts w:ascii="Times New Roman" w:hAnsi="Times New Roman" w:eastAsia="Calibri"/>
          <w:sz w:val="24"/>
          <w:szCs w:val="24"/>
        </w:rPr>
        <w:t xml:space="preserve"> national health objectives and outlines a comprehensive plan for health promotion and disease prevention in the United States. Of the Healthy People 20</w:t>
      </w:r>
      <w:r w:rsidR="00CF41B0">
        <w:rPr>
          <w:rFonts w:ascii="Times New Roman" w:hAnsi="Times New Roman" w:eastAsia="Calibri"/>
          <w:sz w:val="24"/>
          <w:szCs w:val="24"/>
        </w:rPr>
        <w:t>3</w:t>
      </w:r>
      <w:r w:rsidRPr="00DD6CB5">
        <w:rPr>
          <w:rFonts w:ascii="Times New Roman" w:hAnsi="Times New Roman" w:eastAsia="Calibri"/>
          <w:sz w:val="24"/>
          <w:szCs w:val="24"/>
        </w:rPr>
        <w:t xml:space="preserve">0 objectives, many objectives align specifically with </w:t>
      </w:r>
      <w:r w:rsidR="00CF41B0">
        <w:rPr>
          <w:rFonts w:ascii="Times New Roman" w:hAnsi="Times New Roman" w:eastAsia="Calibri"/>
          <w:sz w:val="24"/>
          <w:szCs w:val="24"/>
        </w:rPr>
        <w:t>topics and evaluation questions generated from TAPS data</w:t>
      </w:r>
      <w:r w:rsidRPr="00DD6CB5">
        <w:rPr>
          <w:rFonts w:ascii="Times New Roman" w:hAnsi="Times New Roman" w:eastAsia="Calibri"/>
          <w:sz w:val="24"/>
          <w:szCs w:val="24"/>
        </w:rPr>
        <w:t xml:space="preserve">, including </w:t>
      </w:r>
      <w:r w:rsidR="00CF41B0">
        <w:rPr>
          <w:rFonts w:ascii="Times New Roman" w:hAnsi="Times New Roman" w:eastAsia="Calibri"/>
          <w:sz w:val="24"/>
          <w:szCs w:val="24"/>
        </w:rPr>
        <w:t>many</w:t>
      </w:r>
      <w:r w:rsidRPr="00DD6CB5" w:rsidR="00CF41B0">
        <w:rPr>
          <w:rFonts w:ascii="Times New Roman" w:hAnsi="Times New Roman" w:eastAsia="Calibri"/>
          <w:sz w:val="24"/>
          <w:szCs w:val="24"/>
        </w:rPr>
        <w:t xml:space="preserve"> </w:t>
      </w:r>
      <w:r w:rsidRPr="00DD6CB5">
        <w:rPr>
          <w:rFonts w:ascii="Times New Roman" w:hAnsi="Times New Roman" w:eastAsia="Calibri"/>
          <w:sz w:val="24"/>
          <w:szCs w:val="24"/>
        </w:rPr>
        <w:t xml:space="preserve">related to increasing protective factors </w:t>
      </w:r>
      <w:r w:rsidR="00CF41B0">
        <w:rPr>
          <w:rFonts w:ascii="Times New Roman" w:hAnsi="Times New Roman" w:eastAsia="Calibri"/>
          <w:sz w:val="24"/>
          <w:szCs w:val="24"/>
        </w:rPr>
        <w:t>like</w:t>
      </w:r>
      <w:r w:rsidRPr="00DD6CB5">
        <w:rPr>
          <w:rFonts w:ascii="Times New Roman" w:hAnsi="Times New Roman" w:eastAsia="Calibri"/>
          <w:sz w:val="24"/>
          <w:szCs w:val="24"/>
        </w:rPr>
        <w:t xml:space="preserve"> connections to parents or trusted adults</w:t>
      </w:r>
      <w:r w:rsidR="00CF41B0">
        <w:rPr>
          <w:rFonts w:ascii="Times New Roman" w:hAnsi="Times New Roman" w:eastAsia="Calibri"/>
          <w:sz w:val="24"/>
          <w:szCs w:val="24"/>
        </w:rPr>
        <w:t>, increased</w:t>
      </w:r>
      <w:r w:rsidRPr="00DD6CB5">
        <w:rPr>
          <w:rFonts w:ascii="Times New Roman" w:hAnsi="Times New Roman" w:eastAsia="Calibri"/>
          <w:sz w:val="24"/>
          <w:szCs w:val="24"/>
        </w:rPr>
        <w:t xml:space="preserve"> </w:t>
      </w:r>
      <w:proofErr w:type="gramStart"/>
      <w:r w:rsidR="00CF41B0">
        <w:rPr>
          <w:rFonts w:ascii="Times New Roman" w:hAnsi="Times New Roman" w:eastAsia="Calibri"/>
          <w:sz w:val="24"/>
          <w:szCs w:val="24"/>
        </w:rPr>
        <w:t>screening</w:t>
      </w:r>
      <w:proofErr w:type="gramEnd"/>
      <w:r w:rsidR="00CF41B0">
        <w:rPr>
          <w:rFonts w:ascii="Times New Roman" w:hAnsi="Times New Roman" w:eastAsia="Calibri"/>
          <w:sz w:val="24"/>
          <w:szCs w:val="24"/>
        </w:rPr>
        <w:t xml:space="preserve"> and treatment of mental health issues for adolescents, and </w:t>
      </w:r>
      <w:r w:rsidRPr="00DD6CB5">
        <w:rPr>
          <w:rFonts w:ascii="Times New Roman" w:hAnsi="Times New Roman" w:eastAsia="Calibri"/>
          <w:sz w:val="24"/>
          <w:szCs w:val="24"/>
        </w:rPr>
        <w:t>reducing HIV infection, other STD, and pregnancy among adolescents.</w:t>
      </w:r>
      <w:r w:rsidRPr="00A7682E" w:rsidR="00A7682E">
        <w:rPr>
          <w:rFonts w:ascii="Times New Roman" w:hAnsi="Times New Roman" w:eastAsia="Calibri"/>
          <w:sz w:val="24"/>
          <w:szCs w:val="24"/>
          <w:vertAlign w:val="superscript"/>
        </w:rPr>
        <w:t>14</w:t>
      </w:r>
    </w:p>
    <w:p w:rsidR="00DD6CB5" w:rsidP="00DD6CB5" w:rsidRDefault="00DD6CB5" w14:paraId="7275437C" w14:textId="19053C61">
      <w:pPr>
        <w:widowControl w:val="0"/>
        <w:numPr>
          <w:ilvl w:val="0"/>
          <w:numId w:val="27"/>
        </w:numPr>
        <w:spacing w:line="276" w:lineRule="auto"/>
        <w:contextualSpacing/>
        <w:rPr>
          <w:rFonts w:ascii="Times New Roman" w:hAnsi="Times New Roman" w:eastAsia="Calibri"/>
          <w:sz w:val="24"/>
          <w:szCs w:val="24"/>
        </w:rPr>
      </w:pPr>
      <w:r w:rsidRPr="00DD6CB5">
        <w:rPr>
          <w:rFonts w:ascii="Times New Roman" w:hAnsi="Times New Roman" w:eastAsia="Calibri"/>
          <w:i/>
          <w:sz w:val="24"/>
          <w:szCs w:val="24"/>
        </w:rPr>
        <w:t>Ending the HIV Epidemic (EHE)</w:t>
      </w:r>
      <w:r w:rsidRPr="00DD6CB5">
        <w:rPr>
          <w:rFonts w:ascii="Times New Roman" w:hAnsi="Times New Roman" w:eastAsia="Calibri"/>
          <w:sz w:val="24"/>
          <w:szCs w:val="24"/>
        </w:rPr>
        <w:t>, an initiative to end the HIV epidemic in the United States within 10 years.  This initiative will prioritize 57 geographic focus areas for first year efforts, and 20 of these overlap with communities in which CDC/DASH currently funds education agencies, offering opportunities for alignment between CDC/DASH efforts and the national EHE initiative.</w:t>
      </w:r>
      <w:r w:rsidRPr="00A7682E" w:rsidR="00A7682E">
        <w:rPr>
          <w:rFonts w:ascii="Times New Roman" w:hAnsi="Times New Roman" w:eastAsia="Calibri"/>
          <w:sz w:val="24"/>
          <w:szCs w:val="24"/>
          <w:vertAlign w:val="superscript"/>
        </w:rPr>
        <w:t>15</w:t>
      </w:r>
      <w:r w:rsidRPr="00DD6CB5">
        <w:rPr>
          <w:rFonts w:ascii="Times New Roman" w:hAnsi="Times New Roman" w:eastAsia="Calibri"/>
          <w:sz w:val="24"/>
          <w:szCs w:val="24"/>
        </w:rPr>
        <w:t xml:space="preserve"> </w:t>
      </w:r>
    </w:p>
    <w:p w:rsidRPr="00CF41B0" w:rsidR="00CF41B0" w:rsidP="00CF41B0" w:rsidRDefault="00CF41B0" w14:paraId="096A7018" w14:textId="0C29EA47">
      <w:pPr>
        <w:pStyle w:val="ListParagraph"/>
        <w:numPr>
          <w:ilvl w:val="0"/>
          <w:numId w:val="27"/>
        </w:numPr>
        <w:rPr>
          <w:rFonts w:ascii="Times New Roman" w:hAnsi="Times New Roman" w:eastAsia="Calibri" w:cs="Times New Roman"/>
          <w:sz w:val="24"/>
          <w:szCs w:val="24"/>
        </w:rPr>
      </w:pPr>
      <w:r w:rsidRPr="00CF41B0">
        <w:rPr>
          <w:rFonts w:ascii="Times New Roman" w:hAnsi="Times New Roman" w:eastAsia="Calibri" w:cs="Times New Roman"/>
          <w:sz w:val="24"/>
          <w:szCs w:val="24"/>
        </w:rPr>
        <w:t>The National Prevention Strategy (NPS) calls for “medically accurate, developmentally appropriate, and evidence-based sexual health education.” The NPS encourages the involvement of parents in educating their children about sexual health, the provision of sexual and reproductive health services, and the reduction of intimate partner violence.</w:t>
      </w:r>
      <w:r w:rsidRPr="00A7682E" w:rsidR="00A7682E">
        <w:rPr>
          <w:rFonts w:ascii="Times New Roman" w:hAnsi="Times New Roman" w:eastAsia="Calibri" w:cs="Times New Roman"/>
          <w:sz w:val="24"/>
          <w:szCs w:val="24"/>
          <w:vertAlign w:val="superscript"/>
        </w:rPr>
        <w:t>16</w:t>
      </w:r>
      <w:r w:rsidRPr="00CF41B0">
        <w:rPr>
          <w:rFonts w:ascii="Times New Roman" w:hAnsi="Times New Roman" w:eastAsia="Calibri" w:cs="Times New Roman"/>
          <w:sz w:val="24"/>
          <w:szCs w:val="24"/>
        </w:rPr>
        <w:t xml:space="preserve"> </w:t>
      </w:r>
    </w:p>
    <w:p w:rsidRPr="00990438" w:rsidR="00DD6CB5" w:rsidP="006E25C6" w:rsidRDefault="00DD6CB5" w14:paraId="0EF502F2" w14:textId="77777777">
      <w:pPr>
        <w:spacing w:line="360" w:lineRule="auto"/>
        <w:rPr>
          <w:rFonts w:ascii="Times New Roman" w:hAnsi="Times New Roman"/>
          <w:sz w:val="22"/>
          <w:szCs w:val="22"/>
        </w:rPr>
      </w:pPr>
    </w:p>
    <w:p w:rsidRPr="00FC5D2E" w:rsidR="003225F8" w:rsidP="00990438" w:rsidRDefault="00990438" w14:paraId="5E57FE4E" w14:textId="0004F59D">
      <w:pPr>
        <w:pStyle w:val="Heading2"/>
        <w:spacing w:before="240" w:after="200"/>
        <w:rPr>
          <w:rFonts w:ascii="Times New Roman" w:hAnsi="Times New Roman" w:cs="Times New Roman"/>
          <w:b/>
          <w:color w:val="auto"/>
          <w:sz w:val="24"/>
          <w:szCs w:val="24"/>
        </w:rPr>
      </w:pPr>
      <w:bookmarkStart w:name="_Toc50987035" w:id="7"/>
      <w:r>
        <w:rPr>
          <w:rFonts w:ascii="Times New Roman" w:hAnsi="Times New Roman" w:cs="Times New Roman"/>
          <w:b/>
          <w:color w:val="auto"/>
          <w:sz w:val="24"/>
          <w:szCs w:val="24"/>
        </w:rPr>
        <w:t>A.2.</w:t>
      </w:r>
      <w:r>
        <w:rPr>
          <w:rFonts w:ascii="Times New Roman" w:hAnsi="Times New Roman" w:cs="Times New Roman"/>
          <w:b/>
          <w:color w:val="auto"/>
          <w:sz w:val="24"/>
          <w:szCs w:val="24"/>
        </w:rPr>
        <w:tab/>
      </w:r>
      <w:r w:rsidRPr="00FC5D2E" w:rsidR="003225F8">
        <w:rPr>
          <w:rFonts w:ascii="Times New Roman" w:hAnsi="Times New Roman" w:cs="Times New Roman"/>
          <w:b/>
          <w:color w:val="auto"/>
          <w:sz w:val="24"/>
          <w:szCs w:val="24"/>
        </w:rPr>
        <w:t>Purpose and Use of the Information Collection</w:t>
      </w:r>
      <w:bookmarkEnd w:id="7"/>
    </w:p>
    <w:p w:rsidRPr="00CF41B0" w:rsidR="00BC0594" w:rsidP="00F37C7F" w:rsidRDefault="00831BE0" w14:paraId="475CD03B" w14:textId="447E6AE9">
      <w:pPr>
        <w:widowControl w:val="0"/>
        <w:spacing w:before="240" w:after="200" w:line="360" w:lineRule="auto"/>
        <w:rPr>
          <w:rFonts w:ascii="Times New Roman" w:hAnsi="Times New Roman"/>
          <w:color w:val="000000"/>
          <w:sz w:val="22"/>
          <w:szCs w:val="22"/>
        </w:rPr>
      </w:pPr>
      <w:r w:rsidRPr="00CF41B0">
        <w:rPr>
          <w:rFonts w:ascii="Times New Roman" w:hAnsi="Times New Roman"/>
          <w:color w:val="000000"/>
          <w:sz w:val="22"/>
          <w:szCs w:val="22"/>
        </w:rPr>
        <w:t xml:space="preserve">These data will allow DASH to refine existing strategies for funded school district partners to improve the </w:t>
      </w:r>
      <w:r w:rsidRPr="00CF41B0">
        <w:rPr>
          <w:rFonts w:ascii="Times New Roman" w:hAnsi="Times New Roman"/>
          <w:color w:val="000000"/>
          <w:sz w:val="22"/>
          <w:szCs w:val="22"/>
        </w:rPr>
        <w:lastRenderedPageBreak/>
        <w:t>quality of their programs and services to prevent HIV, other STDs, and pregnancy among adolescents as well as improve mental health, sexual health and other adolescent health outcomes (</w:t>
      </w:r>
      <w:proofErr w:type="gramStart"/>
      <w:r w:rsidRPr="00CF41B0">
        <w:rPr>
          <w:rFonts w:ascii="Times New Roman" w:hAnsi="Times New Roman"/>
          <w:color w:val="000000"/>
          <w:sz w:val="22"/>
          <w:szCs w:val="22"/>
        </w:rPr>
        <w:t>e.g.</w:t>
      </w:r>
      <w:proofErr w:type="gramEnd"/>
      <w:r w:rsidRPr="00CF41B0">
        <w:rPr>
          <w:rFonts w:ascii="Times New Roman" w:hAnsi="Times New Roman"/>
          <w:color w:val="000000"/>
          <w:sz w:val="22"/>
          <w:szCs w:val="22"/>
        </w:rPr>
        <w:t xml:space="preserve"> substance use, violence victimization). </w:t>
      </w:r>
      <w:r w:rsidRPr="00CF41B0" w:rsidR="00BC0594">
        <w:rPr>
          <w:rFonts w:ascii="Times New Roman" w:hAnsi="Times New Roman"/>
          <w:color w:val="000000"/>
          <w:sz w:val="22"/>
          <w:szCs w:val="22"/>
        </w:rPr>
        <w:t xml:space="preserve">Data will be used to inform DASH’s key school-based programmatic strategies of improving family- and school-level protective factors, bolstering health education, and increasing adolescent access to quality health services. This observational research complements and extends DASH's ongoing surveillance efforts through the Youth Risk Behavioral Surveillances System (YRBSS) </w:t>
      </w:r>
      <w:r w:rsidR="00B7589C">
        <w:rPr>
          <w:rFonts w:ascii="Times New Roman" w:hAnsi="Times New Roman"/>
          <w:color w:val="000000"/>
          <w:sz w:val="22"/>
          <w:szCs w:val="22"/>
        </w:rPr>
        <w:t xml:space="preserve">(OMB # </w:t>
      </w:r>
      <w:r w:rsidRPr="00B7589C" w:rsidR="00B7589C">
        <w:rPr>
          <w:rFonts w:ascii="Times New Roman" w:hAnsi="Times New Roman"/>
          <w:color w:val="000000"/>
          <w:sz w:val="22"/>
          <w:szCs w:val="22"/>
        </w:rPr>
        <w:t>0920-0493</w:t>
      </w:r>
      <w:r w:rsidR="00B7589C">
        <w:rPr>
          <w:rFonts w:ascii="Times New Roman" w:hAnsi="Times New Roman"/>
          <w:color w:val="000000"/>
          <w:sz w:val="22"/>
          <w:szCs w:val="22"/>
        </w:rPr>
        <w:t xml:space="preserve"> exp. </w:t>
      </w:r>
      <w:r w:rsidRPr="00B7589C" w:rsidR="00B7589C">
        <w:rPr>
          <w:rFonts w:ascii="Times New Roman" w:hAnsi="Times New Roman"/>
          <w:color w:val="000000"/>
          <w:sz w:val="22"/>
          <w:szCs w:val="22"/>
        </w:rPr>
        <w:t>11/30/2023</w:t>
      </w:r>
      <w:r w:rsidR="00B7589C">
        <w:rPr>
          <w:rFonts w:ascii="Times New Roman" w:hAnsi="Times New Roman"/>
          <w:color w:val="000000"/>
          <w:sz w:val="22"/>
          <w:szCs w:val="22"/>
        </w:rPr>
        <w:t>),</w:t>
      </w:r>
      <w:r w:rsidRPr="00CF41B0" w:rsidR="00BC0594">
        <w:rPr>
          <w:rFonts w:ascii="Times New Roman" w:hAnsi="Times New Roman"/>
          <w:color w:val="000000"/>
          <w:sz w:val="22"/>
          <w:szCs w:val="22"/>
        </w:rPr>
        <w:t xml:space="preserve">which provides key national estimates of adolescent health risk behaviors and health outcomes, by providing a deeper dive into individual, family, and school factors that positively associate with adolescent behaviors and health outcomes. </w:t>
      </w:r>
    </w:p>
    <w:p w:rsidRPr="00CF41B0" w:rsidR="00831BE0" w:rsidP="00F37C7F" w:rsidRDefault="00BC0594" w14:paraId="4520B94B" w14:textId="464B1077">
      <w:pPr>
        <w:widowControl w:val="0"/>
        <w:spacing w:before="240" w:after="200" w:line="360" w:lineRule="auto"/>
        <w:rPr>
          <w:rFonts w:ascii="Times New Roman" w:hAnsi="Times New Roman"/>
          <w:color w:val="000000"/>
          <w:sz w:val="22"/>
          <w:szCs w:val="22"/>
        </w:rPr>
      </w:pPr>
      <w:r w:rsidRPr="00CF41B0">
        <w:rPr>
          <w:rFonts w:ascii="Times New Roman" w:hAnsi="Times New Roman"/>
          <w:color w:val="000000"/>
          <w:sz w:val="22"/>
          <w:szCs w:val="22"/>
        </w:rPr>
        <w:t xml:space="preserve">Collecting this observational data provides the opportunity to examine untested associations of protective factors, health education experiences, and health service use (immediate outcomes of DASH strategies) with mental health, sexual health, and substance use outcomes. </w:t>
      </w:r>
    </w:p>
    <w:p w:rsidR="00F37C7F" w:rsidP="00F37C7F" w:rsidRDefault="00F37C7F" w14:paraId="5F77C22D" w14:textId="4D310E3E">
      <w:pPr>
        <w:widowControl w:val="0"/>
        <w:spacing w:before="240" w:after="200" w:line="360" w:lineRule="auto"/>
        <w:rPr>
          <w:rFonts w:ascii="Times New Roman" w:hAnsi="Times New Roman"/>
          <w:color w:val="000000"/>
          <w:sz w:val="22"/>
          <w:szCs w:val="22"/>
          <w:u w:val="single"/>
        </w:rPr>
      </w:pPr>
      <w:r w:rsidRPr="001F544F">
        <w:rPr>
          <w:rFonts w:ascii="Times New Roman" w:hAnsi="Times New Roman"/>
          <w:color w:val="000000"/>
          <w:sz w:val="22"/>
          <w:szCs w:val="22"/>
          <w:u w:val="single"/>
        </w:rPr>
        <w:t xml:space="preserve">Overview of the data collection </w:t>
      </w:r>
      <w:r>
        <w:rPr>
          <w:rFonts w:ascii="Times New Roman" w:hAnsi="Times New Roman"/>
          <w:color w:val="000000"/>
          <w:sz w:val="22"/>
          <w:szCs w:val="22"/>
          <w:u w:val="single"/>
        </w:rPr>
        <w:t>procedures</w:t>
      </w:r>
    </w:p>
    <w:p w:rsidRPr="00A7682E" w:rsidR="00A7682E" w:rsidP="00A7682E" w:rsidRDefault="00106627" w14:paraId="60A69A8F" w14:textId="216BF3FE">
      <w:pPr>
        <w:spacing w:line="360" w:lineRule="auto"/>
        <w:rPr>
          <w:rFonts w:ascii="Times New Roman" w:hAnsi="Times New Roman"/>
          <w:color w:val="000000"/>
          <w:sz w:val="22"/>
          <w:szCs w:val="22"/>
        </w:rPr>
      </w:pPr>
      <w:r w:rsidRPr="00106627">
        <w:rPr>
          <w:rFonts w:ascii="Times New Roman" w:hAnsi="Times New Roman"/>
          <w:color w:val="000000"/>
          <w:sz w:val="22"/>
          <w:szCs w:val="22"/>
        </w:rPr>
        <w:t>This one-time data collection will be conducted via a contract with NORC</w:t>
      </w:r>
      <w:r w:rsidR="00335899">
        <w:rPr>
          <w:rFonts w:ascii="Times New Roman" w:hAnsi="Times New Roman"/>
          <w:color w:val="000000"/>
          <w:sz w:val="22"/>
          <w:szCs w:val="22"/>
        </w:rPr>
        <w:t xml:space="preserve"> (no acronym, NORC is company name)</w:t>
      </w:r>
      <w:r w:rsidRPr="00106627">
        <w:rPr>
          <w:rFonts w:ascii="Times New Roman" w:hAnsi="Times New Roman"/>
          <w:color w:val="000000"/>
          <w:sz w:val="22"/>
          <w:szCs w:val="22"/>
        </w:rPr>
        <w:t xml:space="preserve"> and its national online panel survey, </w:t>
      </w:r>
      <w:proofErr w:type="spellStart"/>
      <w:r w:rsidRPr="00106627">
        <w:rPr>
          <w:rFonts w:ascii="Times New Roman" w:hAnsi="Times New Roman"/>
          <w:color w:val="000000"/>
          <w:sz w:val="22"/>
          <w:szCs w:val="22"/>
        </w:rPr>
        <w:t>AmeriSpeaks</w:t>
      </w:r>
      <w:proofErr w:type="spellEnd"/>
      <w:r w:rsidRPr="00106627">
        <w:rPr>
          <w:rFonts w:ascii="Times New Roman" w:hAnsi="Times New Roman"/>
          <w:color w:val="000000"/>
          <w:sz w:val="22"/>
          <w:szCs w:val="22"/>
        </w:rPr>
        <w:t xml:space="preserve">. </w:t>
      </w:r>
      <w:r w:rsidR="00F005F0">
        <w:rPr>
          <w:rFonts w:ascii="Times New Roman" w:hAnsi="Times New Roman"/>
          <w:color w:val="000000"/>
          <w:sz w:val="22"/>
          <w:szCs w:val="22"/>
        </w:rPr>
        <w:t>T</w:t>
      </w:r>
      <w:r w:rsidRPr="00106627">
        <w:rPr>
          <w:rFonts w:ascii="Times New Roman" w:hAnsi="Times New Roman"/>
          <w:color w:val="000000"/>
          <w:sz w:val="22"/>
          <w:szCs w:val="22"/>
        </w:rPr>
        <w:t xml:space="preserve">his </w:t>
      </w:r>
      <w:r w:rsidR="00F005F0">
        <w:rPr>
          <w:rFonts w:ascii="Times New Roman" w:hAnsi="Times New Roman"/>
          <w:color w:val="000000"/>
          <w:sz w:val="22"/>
          <w:szCs w:val="22"/>
        </w:rPr>
        <w:t xml:space="preserve">national </w:t>
      </w:r>
      <w:r w:rsidRPr="00106627">
        <w:rPr>
          <w:rFonts w:ascii="Times New Roman" w:hAnsi="Times New Roman"/>
          <w:color w:val="000000"/>
          <w:sz w:val="22"/>
          <w:szCs w:val="22"/>
        </w:rPr>
        <w:t>data collection is intended to provide key correlational associations between DASH strategies and adolescent health outcomes.</w:t>
      </w:r>
      <w:r w:rsidR="00A7682E">
        <w:rPr>
          <w:rFonts w:ascii="Times New Roman" w:hAnsi="Times New Roman"/>
          <w:color w:val="000000"/>
          <w:sz w:val="22"/>
          <w:szCs w:val="22"/>
        </w:rPr>
        <w:t xml:space="preserve"> </w:t>
      </w:r>
      <w:r w:rsidRPr="00A7682E" w:rsidR="00A7682E">
        <w:rPr>
          <w:rFonts w:ascii="Times New Roman" w:hAnsi="Times New Roman"/>
          <w:color w:val="000000"/>
          <w:sz w:val="22"/>
          <w:szCs w:val="22"/>
        </w:rPr>
        <w:t xml:space="preserve">Using the </w:t>
      </w:r>
      <w:proofErr w:type="spellStart"/>
      <w:r w:rsidRPr="00A7682E" w:rsidR="00A7682E">
        <w:rPr>
          <w:rFonts w:ascii="Times New Roman" w:hAnsi="Times New Roman"/>
          <w:color w:val="000000"/>
          <w:sz w:val="22"/>
          <w:szCs w:val="22"/>
        </w:rPr>
        <w:t>AmeriSpeak</w:t>
      </w:r>
      <w:proofErr w:type="spellEnd"/>
      <w:r w:rsidRPr="00A7682E" w:rsidR="00A7682E">
        <w:rPr>
          <w:rFonts w:ascii="Times New Roman" w:hAnsi="Times New Roman"/>
          <w:color w:val="000000"/>
          <w:sz w:val="22"/>
          <w:szCs w:val="22"/>
        </w:rPr>
        <w:t xml:space="preserve"> panel, a representative sample of adolescents and parents/caregivers for minor adolescents will be selected and invited to participate in a web survey. For minor adolescents, parents/caregivers will consent for their adolescent to participate before they are invited to complete the survey. Respondents will complete the self-administered web survey on their computer, phone, or tablet.</w:t>
      </w:r>
    </w:p>
    <w:p w:rsidR="00F37C7F" w:rsidP="00F37C7F" w:rsidRDefault="00F37C7F" w14:paraId="531D2B57" w14:textId="0718F245">
      <w:pPr>
        <w:widowControl w:val="0"/>
        <w:spacing w:before="240" w:after="200" w:line="360" w:lineRule="auto"/>
        <w:rPr>
          <w:rFonts w:ascii="Times New Roman" w:hAnsi="Times New Roman"/>
          <w:color w:val="000000"/>
          <w:sz w:val="22"/>
          <w:szCs w:val="22"/>
          <w:u w:val="single"/>
        </w:rPr>
      </w:pPr>
      <w:r w:rsidRPr="001F544F">
        <w:rPr>
          <w:rFonts w:ascii="Times New Roman" w:hAnsi="Times New Roman"/>
          <w:color w:val="000000"/>
          <w:sz w:val="22"/>
          <w:szCs w:val="22"/>
          <w:u w:val="single"/>
        </w:rPr>
        <w:t>Items of information to be collected</w:t>
      </w:r>
    </w:p>
    <w:p w:rsidRPr="00E05477" w:rsidR="00116934" w:rsidP="00F37C7F" w:rsidRDefault="00116934" w14:paraId="6312F956" w14:textId="39C3CEA6">
      <w:pPr>
        <w:widowControl w:val="0"/>
        <w:spacing w:before="240" w:after="200" w:line="360" w:lineRule="auto"/>
        <w:rPr>
          <w:rFonts w:ascii="Times New Roman" w:hAnsi="Times New Roman"/>
          <w:color w:val="000000"/>
          <w:sz w:val="22"/>
          <w:szCs w:val="22"/>
        </w:rPr>
      </w:pPr>
      <w:r w:rsidRPr="00E05477">
        <w:rPr>
          <w:rFonts w:ascii="Times New Roman" w:hAnsi="Times New Roman"/>
          <w:color w:val="000000"/>
          <w:sz w:val="22"/>
          <w:szCs w:val="22"/>
        </w:rPr>
        <w:t xml:space="preserve">In addition to the information that will be collected as part of this survey (see Table 1 below), NORC collects PII from </w:t>
      </w:r>
      <w:proofErr w:type="spellStart"/>
      <w:r w:rsidRPr="00E05477">
        <w:rPr>
          <w:rFonts w:ascii="Times New Roman" w:hAnsi="Times New Roman"/>
          <w:color w:val="000000"/>
          <w:sz w:val="22"/>
          <w:szCs w:val="22"/>
        </w:rPr>
        <w:t>AmeriSpeaks</w:t>
      </w:r>
      <w:proofErr w:type="spellEnd"/>
      <w:r w:rsidRPr="00E05477">
        <w:rPr>
          <w:rFonts w:ascii="Times New Roman" w:hAnsi="Times New Roman"/>
          <w:color w:val="000000"/>
          <w:sz w:val="22"/>
          <w:szCs w:val="22"/>
        </w:rPr>
        <w:t xml:space="preserve"> panel members during registration into the online panel in connection with the receipt and redemption of rewards and incentives. These data include including name, address, telephone numbers and email addresses. This information is not collected as part of this survey data collection and existing PII that </w:t>
      </w:r>
      <w:proofErr w:type="spellStart"/>
      <w:r w:rsidRPr="00E05477">
        <w:rPr>
          <w:rFonts w:ascii="Times New Roman" w:hAnsi="Times New Roman"/>
          <w:color w:val="000000"/>
          <w:sz w:val="22"/>
          <w:szCs w:val="22"/>
        </w:rPr>
        <w:t>AmeriSpeaks</w:t>
      </w:r>
      <w:proofErr w:type="spellEnd"/>
      <w:r w:rsidRPr="00E05477">
        <w:rPr>
          <w:rFonts w:ascii="Times New Roman" w:hAnsi="Times New Roman"/>
          <w:color w:val="000000"/>
          <w:sz w:val="22"/>
          <w:szCs w:val="22"/>
        </w:rPr>
        <w:t xml:space="preserve"> panel members have will not be shared with CDC.</w:t>
      </w:r>
    </w:p>
    <w:p w:rsidRPr="009776E4" w:rsidR="003C05F6" w:rsidP="003C05F6" w:rsidRDefault="00AB12F1" w14:paraId="1D813C30" w14:textId="42F1C93F">
      <w:pPr>
        <w:pStyle w:val="aExhibitTitle"/>
        <w:pBdr>
          <w:bottom w:val="none" w:color="auto" w:sz="0" w:space="0"/>
        </w:pBdr>
        <w:spacing w:before="0" w:after="0"/>
        <w:ind w:left="0" w:firstLine="0"/>
        <w:rPr>
          <w:sz w:val="22"/>
          <w:szCs w:val="22"/>
          <w:u w:val="single"/>
        </w:rPr>
      </w:pPr>
      <w:bookmarkStart w:name="_Toc476750025" w:id="8"/>
      <w:bookmarkStart w:name="_Toc492376053" w:id="9"/>
      <w:r w:rsidRPr="009776E4">
        <w:rPr>
          <w:rStyle w:val="aExhibitColor"/>
          <w:b w:val="0"/>
          <w:bCs/>
          <w:sz w:val="22"/>
          <w:szCs w:val="22"/>
          <w:u w:val="single"/>
        </w:rPr>
        <w:lastRenderedPageBreak/>
        <w:t>Table 1</w:t>
      </w:r>
      <w:r w:rsidRPr="009776E4" w:rsidR="003C05F6">
        <w:rPr>
          <w:rStyle w:val="aExhibitColor"/>
          <w:b w:val="0"/>
          <w:bCs/>
          <w:sz w:val="22"/>
          <w:szCs w:val="22"/>
          <w:u w:val="single"/>
        </w:rPr>
        <w:t>:</w:t>
      </w:r>
      <w:r w:rsidRPr="009776E4" w:rsidR="00AF2A7E">
        <w:rPr>
          <w:sz w:val="22"/>
          <w:szCs w:val="22"/>
          <w:u w:val="single"/>
        </w:rPr>
        <w:t xml:space="preserve"> </w:t>
      </w:r>
      <w:r w:rsidRPr="009776E4" w:rsidR="003C05F6">
        <w:rPr>
          <w:sz w:val="22"/>
          <w:szCs w:val="22"/>
          <w:u w:val="single"/>
        </w:rPr>
        <w:t xml:space="preserve">Items of Information to be </w:t>
      </w:r>
      <w:bookmarkEnd w:id="8"/>
      <w:r w:rsidRPr="009776E4" w:rsidR="003C05F6">
        <w:rPr>
          <w:sz w:val="22"/>
          <w:szCs w:val="22"/>
          <w:u w:val="single"/>
        </w:rPr>
        <w:t>Collected</w:t>
      </w:r>
      <w:bookmarkEnd w:id="9"/>
      <w:r w:rsidR="00116934">
        <w:rPr>
          <w:sz w:val="22"/>
          <w:szCs w:val="22"/>
          <w:u w:val="single"/>
        </w:rPr>
        <w:t xml:space="preserve"> for this data collection</w:t>
      </w:r>
    </w:p>
    <w:p w:rsidR="009935AF" w:rsidP="003C05F6" w:rsidRDefault="009935AF" w14:paraId="5FBFD746" w14:textId="77777777">
      <w:pPr>
        <w:pStyle w:val="aExhibitTitle"/>
        <w:pBdr>
          <w:bottom w:val="none" w:color="auto" w:sz="0" w:space="0"/>
        </w:pBdr>
        <w:spacing w:before="0" w:after="0"/>
        <w:ind w:left="0" w:firstLine="0"/>
      </w:pPr>
    </w:p>
    <w:p w:rsidRPr="006B2D1C" w:rsidR="009935AF" w:rsidP="003C05F6" w:rsidRDefault="009935AF" w14:paraId="256B897C" w14:textId="0ECDCA0B">
      <w:pPr>
        <w:pStyle w:val="aExhibitTitle"/>
        <w:pBdr>
          <w:bottom w:val="none" w:color="auto" w:sz="0" w:space="0"/>
        </w:pBdr>
        <w:spacing w:before="0" w:after="0"/>
        <w:ind w:left="0" w:firstLine="0"/>
        <w:rPr>
          <w:b/>
        </w:rPr>
      </w:pPr>
      <w:r w:rsidRPr="006B2D1C">
        <w:rPr>
          <w:b/>
        </w:rPr>
        <w:t>Teen Survey</w:t>
      </w:r>
    </w:p>
    <w:tbl>
      <w:tblPr>
        <w:tblStyle w:val="aTable"/>
        <w:tblW w:w="4906" w:type="pct"/>
        <w:jc w:val="center"/>
        <w:tblInd w:w="0" w:type="dxa"/>
        <w:tblLook w:val="04A0" w:firstRow="1" w:lastRow="0" w:firstColumn="1" w:lastColumn="0" w:noHBand="0" w:noVBand="1"/>
      </w:tblPr>
      <w:tblGrid>
        <w:gridCol w:w="2659"/>
        <w:gridCol w:w="6515"/>
      </w:tblGrid>
      <w:tr w:rsidR="003C05F6" w:rsidTr="006B2D1C" w14:paraId="5639A070" w14:textId="77777777">
        <w:trPr>
          <w:cnfStyle w:val="100000000000" w:firstRow="1" w:lastRow="0" w:firstColumn="0" w:lastColumn="0" w:oddVBand="0" w:evenVBand="0" w:oddHBand="0" w:evenHBand="0" w:firstRowFirstColumn="0" w:firstRowLastColumn="0" w:lastRowFirstColumn="0" w:lastRowLastColumn="0"/>
          <w:tblHeader/>
          <w:jc w:val="center"/>
        </w:trPr>
        <w:tc>
          <w:tcPr>
            <w:tcW w:w="0" w:type="auto"/>
            <w:hideMark/>
          </w:tcPr>
          <w:p w:rsidR="003C05F6" w:rsidRDefault="009935AF" w14:paraId="01EEC17A" w14:textId="49C32DC6">
            <w:pPr>
              <w:pStyle w:val="aTableHeaderC"/>
              <w:spacing w:before="0" w:after="0"/>
              <w:rPr>
                <w:szCs w:val="24"/>
              </w:rPr>
            </w:pPr>
            <w:r>
              <w:rPr>
                <w:szCs w:val="24"/>
              </w:rPr>
              <w:t>Sections</w:t>
            </w:r>
          </w:p>
        </w:tc>
        <w:tc>
          <w:tcPr>
            <w:tcW w:w="3551" w:type="pct"/>
            <w:hideMark/>
          </w:tcPr>
          <w:p w:rsidR="003C05F6" w:rsidRDefault="003C05F6" w14:paraId="3F811619" w14:textId="77777777">
            <w:pPr>
              <w:pStyle w:val="aTableHeaderC"/>
              <w:spacing w:before="0" w:after="0"/>
              <w:rPr>
                <w:szCs w:val="24"/>
              </w:rPr>
            </w:pPr>
            <w:r>
              <w:rPr>
                <w:szCs w:val="24"/>
              </w:rPr>
              <w:t>Description</w:t>
            </w:r>
          </w:p>
        </w:tc>
      </w:tr>
      <w:tr w:rsidR="003C05F6" w:rsidTr="006B2D1C" w14:paraId="59065478"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P="009935AF" w:rsidRDefault="009935AF" w14:paraId="7BCCD3FB" w14:textId="49F936BA">
            <w:pPr>
              <w:pStyle w:val="aTableBodyLeft"/>
              <w:spacing w:before="0" w:after="0"/>
              <w:rPr>
                <w:szCs w:val="24"/>
              </w:rPr>
            </w:pPr>
            <w:r>
              <w:rPr>
                <w:szCs w:val="24"/>
              </w:rPr>
              <w:t xml:space="preserve">Section A: </w:t>
            </w:r>
            <w:r w:rsidR="003C05F6">
              <w:rPr>
                <w:szCs w:val="24"/>
              </w:rPr>
              <w:t xml:space="preserve">Background </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P="009935AF" w:rsidRDefault="003C05F6" w14:paraId="4D02B09A" w14:textId="30A690A1">
            <w:pPr>
              <w:pStyle w:val="aTableBodyLeft"/>
              <w:spacing w:before="0" w:after="0"/>
              <w:rPr>
                <w:szCs w:val="24"/>
              </w:rPr>
            </w:pPr>
            <w:r>
              <w:rPr>
                <w:szCs w:val="24"/>
              </w:rPr>
              <w:t xml:space="preserve">Demographic data, using categorical responses, will be used to describe the </w:t>
            </w:r>
            <w:r w:rsidR="009935AF">
              <w:rPr>
                <w:szCs w:val="24"/>
              </w:rPr>
              <w:t xml:space="preserve">living arrangements, information on the adult/caregiver responsible for the teen, grade, and gender identity, </w:t>
            </w:r>
            <w:proofErr w:type="gramStart"/>
            <w:r w:rsidR="009935AF">
              <w:rPr>
                <w:szCs w:val="24"/>
              </w:rPr>
              <w:t>attraction</w:t>
            </w:r>
            <w:proofErr w:type="gramEnd"/>
            <w:r w:rsidR="009935AF">
              <w:rPr>
                <w:szCs w:val="24"/>
              </w:rPr>
              <w:t xml:space="preserve"> and expression.</w:t>
            </w:r>
          </w:p>
          <w:p w:rsidR="009935AF" w:rsidP="009935AF" w:rsidRDefault="009935AF" w14:paraId="7BED4894" w14:textId="6BC05827">
            <w:pPr>
              <w:pStyle w:val="aTableBodyLeft"/>
              <w:spacing w:before="0" w:after="0"/>
              <w:rPr>
                <w:szCs w:val="24"/>
              </w:rPr>
            </w:pPr>
          </w:p>
        </w:tc>
      </w:tr>
      <w:tr w:rsidR="003C05F6" w:rsidTr="006B2D1C" w14:paraId="2E2ECF48"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RDefault="009935AF" w14:paraId="62E35F6D" w14:textId="3C986C2D">
            <w:pPr>
              <w:pStyle w:val="aTableBodyLeft"/>
              <w:spacing w:before="0" w:after="0"/>
              <w:rPr>
                <w:szCs w:val="24"/>
              </w:rPr>
            </w:pPr>
            <w:r w:rsidRPr="009935AF">
              <w:rPr>
                <w:szCs w:val="24"/>
              </w:rPr>
              <w:t>Section B. Individual Protective Factors</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P="009935AF" w:rsidRDefault="009935AF" w14:paraId="28664168" w14:textId="77777777">
            <w:pPr>
              <w:pStyle w:val="aTableBodyLeft"/>
              <w:spacing w:before="0" w:after="0"/>
              <w:rPr>
                <w:szCs w:val="24"/>
              </w:rPr>
            </w:pPr>
            <w:r>
              <w:rPr>
                <w:szCs w:val="24"/>
              </w:rPr>
              <w:t>Q</w:t>
            </w:r>
            <w:r w:rsidR="003C05F6">
              <w:rPr>
                <w:szCs w:val="24"/>
              </w:rPr>
              <w:t xml:space="preserve">uestions will be used to learn more about participant’s </w:t>
            </w:r>
            <w:r w:rsidRPr="009935AF">
              <w:rPr>
                <w:szCs w:val="24"/>
              </w:rPr>
              <w:t xml:space="preserve">self-regulation, problem-solving, school-related self-efficacy, </w:t>
            </w:r>
            <w:r>
              <w:rPr>
                <w:szCs w:val="24"/>
              </w:rPr>
              <w:t>and future orientation.</w:t>
            </w:r>
          </w:p>
          <w:p w:rsidR="009935AF" w:rsidP="009935AF" w:rsidRDefault="009935AF" w14:paraId="47D0BEA6" w14:textId="7A2995D7">
            <w:pPr>
              <w:pStyle w:val="aTableBodyLeft"/>
              <w:spacing w:before="0" w:after="0"/>
              <w:rPr>
                <w:szCs w:val="24"/>
              </w:rPr>
            </w:pPr>
          </w:p>
        </w:tc>
      </w:tr>
      <w:tr w:rsidR="003C05F6" w:rsidTr="006B2D1C" w14:paraId="77EA2D47"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P="00C04722" w:rsidRDefault="00C04722" w14:paraId="54D2C2FD" w14:textId="5FA50A95">
            <w:pPr>
              <w:pStyle w:val="aTableBodyLeft"/>
              <w:spacing w:before="0" w:after="0"/>
              <w:rPr>
                <w:szCs w:val="24"/>
              </w:rPr>
            </w:pPr>
            <w:r w:rsidRPr="00C04722">
              <w:rPr>
                <w:szCs w:val="24"/>
              </w:rPr>
              <w:t xml:space="preserve">Section C. Family Protective Factors </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P="00C04722" w:rsidRDefault="003C05F6" w14:paraId="133F3269" w14:textId="43D7748B">
            <w:pPr>
              <w:pStyle w:val="aTableBodyLeft"/>
              <w:spacing w:before="0" w:after="0"/>
              <w:rPr>
                <w:szCs w:val="24"/>
              </w:rPr>
            </w:pPr>
            <w:r>
              <w:rPr>
                <w:szCs w:val="24"/>
              </w:rPr>
              <w:t xml:space="preserve">Questions about </w:t>
            </w:r>
            <w:r w:rsidRPr="00C04722" w:rsidR="00C04722">
              <w:rPr>
                <w:szCs w:val="24"/>
              </w:rPr>
              <w:t xml:space="preserve">family/parent connectedness, parental expectations, parental monitoring, </w:t>
            </w:r>
            <w:r w:rsidR="00C04722">
              <w:rPr>
                <w:szCs w:val="24"/>
              </w:rPr>
              <w:t xml:space="preserve">parent-adolescent communication will be used to </w:t>
            </w:r>
            <w:r>
              <w:rPr>
                <w:szCs w:val="24"/>
              </w:rPr>
              <w:t xml:space="preserve">understand the </w:t>
            </w:r>
            <w:r w:rsidR="00C04722">
              <w:rPr>
                <w:szCs w:val="24"/>
              </w:rPr>
              <w:t>dynamics of the teen and parent relationship</w:t>
            </w:r>
            <w:r w:rsidR="00CE057B">
              <w:rPr>
                <w:szCs w:val="24"/>
              </w:rPr>
              <w:t xml:space="preserve"> </w:t>
            </w:r>
            <w:proofErr w:type="gramStart"/>
            <w:r w:rsidR="00CE057B">
              <w:rPr>
                <w:szCs w:val="24"/>
              </w:rPr>
              <w:t>in order to</w:t>
            </w:r>
            <w:proofErr w:type="gramEnd"/>
            <w:r w:rsidR="00CE057B">
              <w:rPr>
                <w:szCs w:val="24"/>
              </w:rPr>
              <w:t xml:space="preserve"> identify ways to improve DASH parent engagement strategies</w:t>
            </w:r>
            <w:r w:rsidR="00C04722">
              <w:rPr>
                <w:szCs w:val="24"/>
              </w:rPr>
              <w:t>.</w:t>
            </w:r>
          </w:p>
          <w:p w:rsidR="00C04722" w:rsidP="00C04722" w:rsidRDefault="00C04722" w14:paraId="348F48D7" w14:textId="6F6866DD">
            <w:pPr>
              <w:pStyle w:val="aTableBodyLeft"/>
              <w:spacing w:before="0" w:after="0"/>
              <w:rPr>
                <w:szCs w:val="24"/>
              </w:rPr>
            </w:pPr>
          </w:p>
        </w:tc>
      </w:tr>
      <w:tr w:rsidR="003C05F6" w:rsidTr="006B2D1C" w14:paraId="181D5B02"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RDefault="00C04722" w14:paraId="6DD80071" w14:textId="5D1F1B13">
            <w:pPr>
              <w:pStyle w:val="aTableBodyLeft"/>
              <w:spacing w:before="0" w:after="0"/>
              <w:rPr>
                <w:szCs w:val="24"/>
              </w:rPr>
            </w:pPr>
            <w:r w:rsidRPr="00C04722">
              <w:rPr>
                <w:szCs w:val="24"/>
              </w:rPr>
              <w:t>Section D. Peer and School Protective Factors</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C04722" w:rsidRDefault="003C05F6" w14:paraId="4A824C63" w14:textId="23864D42">
            <w:pPr>
              <w:pStyle w:val="aTableBodyLeft"/>
              <w:spacing w:before="0" w:after="0"/>
              <w:rPr>
                <w:szCs w:val="24"/>
              </w:rPr>
            </w:pPr>
            <w:r>
              <w:rPr>
                <w:szCs w:val="24"/>
              </w:rPr>
              <w:t xml:space="preserve">Questions about participants’ </w:t>
            </w:r>
            <w:r w:rsidRPr="00C04722" w:rsidR="00C04722">
              <w:rPr>
                <w:szCs w:val="24"/>
              </w:rPr>
              <w:t>social support, school connectedness</w:t>
            </w:r>
            <w:r w:rsidR="009510C8">
              <w:rPr>
                <w:szCs w:val="24"/>
              </w:rPr>
              <w:t xml:space="preserve"> will help evaluate </w:t>
            </w:r>
            <w:r w:rsidR="00CE057B">
              <w:rPr>
                <w:szCs w:val="24"/>
              </w:rPr>
              <w:t xml:space="preserve">any positive associations with individual level behaviors and health outcomes </w:t>
            </w:r>
            <w:proofErr w:type="gramStart"/>
            <w:r w:rsidR="00CE057B">
              <w:rPr>
                <w:szCs w:val="24"/>
              </w:rPr>
              <w:t>in order to</w:t>
            </w:r>
            <w:proofErr w:type="gramEnd"/>
            <w:r w:rsidR="00CE057B">
              <w:rPr>
                <w:szCs w:val="24"/>
              </w:rPr>
              <w:t xml:space="preserve"> identify potential peer and teacher/counselor intervention strategies</w:t>
            </w:r>
            <w:r w:rsidR="009510C8">
              <w:rPr>
                <w:szCs w:val="24"/>
              </w:rPr>
              <w:t>.</w:t>
            </w:r>
            <w:r w:rsidRPr="00C04722" w:rsidR="00C04722">
              <w:rPr>
                <w:szCs w:val="24"/>
              </w:rPr>
              <w:t xml:space="preserve"> </w:t>
            </w:r>
          </w:p>
          <w:p w:rsidR="00C04722" w:rsidRDefault="00C04722" w14:paraId="777E256B" w14:textId="77777777">
            <w:pPr>
              <w:pStyle w:val="aTableBodyLeft"/>
              <w:spacing w:before="0" w:after="0"/>
              <w:rPr>
                <w:szCs w:val="24"/>
              </w:rPr>
            </w:pPr>
          </w:p>
          <w:p w:rsidR="003C05F6" w:rsidRDefault="003C05F6" w14:paraId="1295CE70" w14:textId="500F1683">
            <w:pPr>
              <w:pStyle w:val="aTableBodyLeft"/>
              <w:spacing w:before="0" w:after="0"/>
              <w:rPr>
                <w:szCs w:val="24"/>
              </w:rPr>
            </w:pPr>
          </w:p>
        </w:tc>
      </w:tr>
      <w:tr w:rsidR="003C05F6" w:rsidTr="006B2D1C" w14:paraId="6CBB9E58"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RDefault="009510C8" w14:paraId="393917AC" w14:textId="01E68A8D">
            <w:pPr>
              <w:pStyle w:val="aTableBodyLeft"/>
              <w:spacing w:before="0" w:after="0"/>
              <w:rPr>
                <w:szCs w:val="24"/>
              </w:rPr>
            </w:pPr>
            <w:r w:rsidRPr="009510C8">
              <w:rPr>
                <w:szCs w:val="24"/>
              </w:rPr>
              <w:t>Section E. Neighborhood/Community Protective Factors</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9510C8" w:rsidP="009510C8" w:rsidRDefault="009510C8" w14:paraId="2286D1E4" w14:textId="6B7FCB14">
            <w:pPr>
              <w:pStyle w:val="aTableBodyLeft"/>
              <w:spacing w:before="0" w:after="0"/>
              <w:rPr>
                <w:szCs w:val="24"/>
              </w:rPr>
            </w:pPr>
            <w:r>
              <w:rPr>
                <w:szCs w:val="24"/>
              </w:rPr>
              <w:t>Questions in this section</w:t>
            </w:r>
            <w:r w:rsidR="003C05F6">
              <w:rPr>
                <w:szCs w:val="24"/>
              </w:rPr>
              <w:t xml:space="preserve"> focus on </w:t>
            </w:r>
            <w:r w:rsidR="00CE057B">
              <w:rPr>
                <w:szCs w:val="24"/>
              </w:rPr>
              <w:t xml:space="preserve">connections to neighbors and organizations in an adolescent’s immediate community </w:t>
            </w:r>
            <w:proofErr w:type="gramStart"/>
            <w:r w:rsidR="00CE057B">
              <w:rPr>
                <w:szCs w:val="24"/>
              </w:rPr>
              <w:t>in order to</w:t>
            </w:r>
            <w:proofErr w:type="gramEnd"/>
            <w:r w:rsidR="00CE057B">
              <w:rPr>
                <w:szCs w:val="24"/>
              </w:rPr>
              <w:t xml:space="preserve"> identify </w:t>
            </w:r>
            <w:r w:rsidR="003F1120">
              <w:rPr>
                <w:szCs w:val="24"/>
              </w:rPr>
              <w:t>any positive associations between these agents and individual behaviors and health outcomes. Again, this is intended to identify appropriate intervention agents and strategies.</w:t>
            </w:r>
          </w:p>
          <w:p w:rsidR="009510C8" w:rsidP="009510C8" w:rsidRDefault="009510C8" w14:paraId="071154C8" w14:textId="77777777">
            <w:pPr>
              <w:pStyle w:val="aTableBodyLeft"/>
              <w:spacing w:before="0" w:after="0"/>
              <w:rPr>
                <w:szCs w:val="24"/>
              </w:rPr>
            </w:pPr>
          </w:p>
          <w:p w:rsidR="009510C8" w:rsidP="00ED6844" w:rsidRDefault="009510C8" w14:paraId="5E4DE0F2" w14:textId="6BD2F7AF">
            <w:pPr>
              <w:pStyle w:val="aTableBodyLeft"/>
              <w:spacing w:before="0" w:after="0"/>
              <w:rPr>
                <w:szCs w:val="24"/>
              </w:rPr>
            </w:pPr>
          </w:p>
        </w:tc>
      </w:tr>
      <w:tr w:rsidR="003C05F6" w:rsidTr="006B2D1C" w14:paraId="3CD7A085"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RDefault="009211E2" w14:paraId="74B68E87" w14:textId="52C7A1E7">
            <w:pPr>
              <w:pStyle w:val="aTableBodyLeft"/>
              <w:spacing w:before="0" w:after="0"/>
              <w:rPr>
                <w:szCs w:val="24"/>
              </w:rPr>
            </w:pPr>
            <w:r w:rsidRPr="009211E2">
              <w:rPr>
                <w:szCs w:val="24"/>
              </w:rPr>
              <w:t>Section F: Mental Health</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P="009211E2" w:rsidRDefault="009211E2" w14:paraId="145E8456" w14:textId="5DC71BF8">
            <w:pPr>
              <w:pStyle w:val="aTableBodyLeft"/>
              <w:spacing w:before="0" w:after="0"/>
              <w:rPr>
                <w:szCs w:val="24"/>
              </w:rPr>
            </w:pPr>
            <w:r w:rsidRPr="009211E2">
              <w:rPr>
                <w:szCs w:val="24"/>
              </w:rPr>
              <w:t>This sectio</w:t>
            </w:r>
            <w:r>
              <w:rPr>
                <w:szCs w:val="24"/>
              </w:rPr>
              <w:t xml:space="preserve">n contains questions about the </w:t>
            </w:r>
            <w:r w:rsidRPr="009211E2">
              <w:rPr>
                <w:szCs w:val="24"/>
              </w:rPr>
              <w:t xml:space="preserve">stress, anxiety, and depression.  </w:t>
            </w:r>
            <w:r>
              <w:rPr>
                <w:szCs w:val="24"/>
              </w:rPr>
              <w:t>Mental health is one of the key outcomes of interest for this study.</w:t>
            </w:r>
          </w:p>
          <w:p w:rsidR="009211E2" w:rsidP="009211E2" w:rsidRDefault="009211E2" w14:paraId="09078794" w14:textId="77777777">
            <w:pPr>
              <w:pStyle w:val="aTableBodyLeft"/>
              <w:spacing w:before="0" w:after="0"/>
              <w:rPr>
                <w:szCs w:val="24"/>
              </w:rPr>
            </w:pPr>
          </w:p>
          <w:p w:rsidR="009211E2" w:rsidP="009211E2" w:rsidRDefault="009211E2" w14:paraId="00E8E2F4" w14:textId="77777777">
            <w:pPr>
              <w:pStyle w:val="aTableBodyLeft"/>
              <w:spacing w:before="0" w:after="0"/>
              <w:rPr>
                <w:szCs w:val="24"/>
              </w:rPr>
            </w:pPr>
          </w:p>
          <w:p w:rsidR="009211E2" w:rsidP="009211E2" w:rsidRDefault="009211E2" w14:paraId="1A86B4ED" w14:textId="020EFF23">
            <w:pPr>
              <w:pStyle w:val="aTableBodyLeft"/>
              <w:spacing w:before="0" w:after="0"/>
              <w:rPr>
                <w:szCs w:val="24"/>
              </w:rPr>
            </w:pPr>
          </w:p>
        </w:tc>
      </w:tr>
      <w:tr w:rsidR="003C05F6" w:rsidTr="006B2D1C" w14:paraId="6FC3CADA"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RDefault="009211E2" w14:paraId="3735DF8A" w14:textId="7C3301DA">
            <w:pPr>
              <w:pStyle w:val="aTableBodyLeft"/>
              <w:spacing w:before="0" w:after="0"/>
              <w:rPr>
                <w:szCs w:val="24"/>
              </w:rPr>
            </w:pPr>
            <w:r w:rsidRPr="009211E2">
              <w:rPr>
                <w:szCs w:val="24"/>
              </w:rPr>
              <w:t>Section G. Adverse Childhood Events</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P="009211E2" w:rsidRDefault="003C05F6" w14:paraId="42883736" w14:textId="2AB3008F">
            <w:pPr>
              <w:pStyle w:val="aTableBodyLeft"/>
              <w:spacing w:before="0" w:after="0"/>
              <w:rPr>
                <w:szCs w:val="24"/>
              </w:rPr>
            </w:pPr>
            <w:r>
              <w:rPr>
                <w:szCs w:val="24"/>
              </w:rPr>
              <w:t xml:space="preserve">Questions on </w:t>
            </w:r>
            <w:r w:rsidR="009211E2">
              <w:rPr>
                <w:szCs w:val="24"/>
              </w:rPr>
              <w:t>adverse childhood events are included in NAHS</w:t>
            </w:r>
            <w:r>
              <w:rPr>
                <w:szCs w:val="24"/>
              </w:rPr>
              <w:t xml:space="preserve"> to assess </w:t>
            </w:r>
            <w:r w:rsidR="003F1120">
              <w:rPr>
                <w:szCs w:val="24"/>
              </w:rPr>
              <w:t>how DASH’s school-based strategies may help ameliorate the impact of ACES.</w:t>
            </w:r>
          </w:p>
          <w:p w:rsidR="009211E2" w:rsidP="009211E2" w:rsidRDefault="009211E2" w14:paraId="28CD8714" w14:textId="1B23ABF3">
            <w:pPr>
              <w:pStyle w:val="aTableBodyLeft"/>
              <w:spacing w:before="0" w:after="0"/>
              <w:rPr>
                <w:szCs w:val="24"/>
              </w:rPr>
            </w:pPr>
          </w:p>
        </w:tc>
      </w:tr>
      <w:tr w:rsidR="003C05F6" w:rsidTr="006B2D1C" w14:paraId="7D734C47"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3C05F6" w:rsidRDefault="009211E2" w14:paraId="427E2FFF" w14:textId="1D119FA7">
            <w:pPr>
              <w:pStyle w:val="aTableBodyLeft"/>
              <w:spacing w:before="0" w:after="0"/>
              <w:rPr>
                <w:szCs w:val="24"/>
              </w:rPr>
            </w:pPr>
            <w:r w:rsidRPr="009211E2">
              <w:rPr>
                <w:szCs w:val="24"/>
              </w:rPr>
              <w:t>Section H. Experience with Racism</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3C05F6" w:rsidP="009211E2" w:rsidRDefault="009211E2" w14:paraId="563744A5" w14:textId="056F72B2">
            <w:pPr>
              <w:pStyle w:val="aTableBodyLeft"/>
              <w:spacing w:before="0" w:after="0"/>
              <w:rPr>
                <w:szCs w:val="24"/>
              </w:rPr>
            </w:pPr>
            <w:r>
              <w:rPr>
                <w:szCs w:val="24"/>
              </w:rPr>
              <w:t>Q</w:t>
            </w:r>
            <w:r w:rsidR="003C05F6">
              <w:rPr>
                <w:szCs w:val="24"/>
              </w:rPr>
              <w:t xml:space="preserve">uestions will be used to gain a deeper understanding of participant’s level of </w:t>
            </w:r>
            <w:r>
              <w:rPr>
                <w:szCs w:val="24"/>
              </w:rPr>
              <w:t>discrimination they face in their community.</w:t>
            </w:r>
          </w:p>
          <w:p w:rsidR="009211E2" w:rsidP="009211E2" w:rsidRDefault="009211E2" w14:paraId="7E0413AA" w14:textId="28EE3A17">
            <w:pPr>
              <w:pStyle w:val="aTableBodyLeft"/>
              <w:spacing w:before="0" w:after="0"/>
              <w:rPr>
                <w:szCs w:val="24"/>
              </w:rPr>
            </w:pPr>
          </w:p>
        </w:tc>
      </w:tr>
      <w:tr w:rsidR="009211E2" w:rsidTr="006B2D1C" w14:paraId="1ECA3270"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9211E2" w:rsidR="009211E2" w:rsidRDefault="009211E2" w14:paraId="2A4E242E" w14:textId="215141F0">
            <w:pPr>
              <w:pStyle w:val="aTableBodyLeft"/>
              <w:spacing w:before="0" w:after="0"/>
              <w:rPr>
                <w:szCs w:val="24"/>
              </w:rPr>
            </w:pPr>
            <w:r w:rsidRPr="009211E2">
              <w:rPr>
                <w:szCs w:val="24"/>
              </w:rPr>
              <w:t>Section I. Health Education</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9211E2" w:rsidP="001F652A" w:rsidRDefault="009211E2" w14:paraId="43AB53A8" w14:textId="77777777">
            <w:pPr>
              <w:pStyle w:val="aTableBodyLeft"/>
              <w:spacing w:before="0" w:after="0"/>
              <w:rPr>
                <w:szCs w:val="24"/>
              </w:rPr>
            </w:pPr>
            <w:r>
              <w:rPr>
                <w:szCs w:val="24"/>
              </w:rPr>
              <w:t>Q</w:t>
            </w:r>
            <w:r w:rsidRPr="009211E2">
              <w:rPr>
                <w:szCs w:val="24"/>
              </w:rPr>
              <w:t>uestions</w:t>
            </w:r>
            <w:r>
              <w:rPr>
                <w:szCs w:val="24"/>
              </w:rPr>
              <w:t xml:space="preserve"> in this section focus on</w:t>
            </w:r>
            <w:r w:rsidRPr="009211E2">
              <w:rPr>
                <w:szCs w:val="24"/>
              </w:rPr>
              <w:t xml:space="preserve"> </w:t>
            </w:r>
            <w:r>
              <w:rPr>
                <w:szCs w:val="24"/>
              </w:rPr>
              <w:t xml:space="preserve">where sources and satisfaction with </w:t>
            </w:r>
            <w:r w:rsidRPr="009211E2">
              <w:rPr>
                <w:szCs w:val="24"/>
              </w:rPr>
              <w:t>information about mental health</w:t>
            </w:r>
            <w:r w:rsidR="001F652A">
              <w:t xml:space="preserve">, </w:t>
            </w:r>
            <w:r>
              <w:rPr>
                <w:szCs w:val="24"/>
              </w:rPr>
              <w:t>sexual and reproductive health</w:t>
            </w:r>
            <w:r w:rsidR="001F652A">
              <w:rPr>
                <w:szCs w:val="24"/>
              </w:rPr>
              <w:t>, and</w:t>
            </w:r>
            <w:r w:rsidR="001F652A">
              <w:t xml:space="preserve"> </w:t>
            </w:r>
            <w:r w:rsidRPr="001F652A" w:rsidR="001F652A">
              <w:rPr>
                <w:szCs w:val="24"/>
              </w:rPr>
              <w:t>school-based health education</w:t>
            </w:r>
            <w:r w:rsidR="001F652A">
              <w:rPr>
                <w:szCs w:val="24"/>
              </w:rPr>
              <w:t>.</w:t>
            </w:r>
          </w:p>
          <w:p w:rsidR="001F652A" w:rsidP="001F652A" w:rsidRDefault="001F652A" w14:paraId="12CEB388" w14:textId="0F156AB5">
            <w:pPr>
              <w:pStyle w:val="aTableBodyLeft"/>
              <w:spacing w:before="0" w:after="0"/>
              <w:rPr>
                <w:szCs w:val="24"/>
              </w:rPr>
            </w:pPr>
          </w:p>
        </w:tc>
      </w:tr>
      <w:tr w:rsidR="009211E2" w:rsidTr="006B2D1C" w14:paraId="2F6780FA"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9211E2" w:rsidRDefault="00211DF0" w14:paraId="04EE927D" w14:textId="77777777">
            <w:pPr>
              <w:pStyle w:val="aTableBodyLeft"/>
              <w:spacing w:before="0" w:after="0"/>
              <w:rPr>
                <w:szCs w:val="24"/>
              </w:rPr>
            </w:pPr>
            <w:r w:rsidRPr="00211DF0">
              <w:rPr>
                <w:szCs w:val="24"/>
              </w:rPr>
              <w:t>Section J. Health Services</w:t>
            </w:r>
          </w:p>
          <w:p w:rsidR="00211DF0" w:rsidRDefault="00211DF0" w14:paraId="4F76821A" w14:textId="77777777">
            <w:pPr>
              <w:pStyle w:val="aTableBodyLeft"/>
              <w:spacing w:before="0" w:after="0"/>
              <w:rPr>
                <w:szCs w:val="24"/>
              </w:rPr>
            </w:pPr>
          </w:p>
          <w:p w:rsidRPr="009211E2" w:rsidR="00211DF0" w:rsidRDefault="00211DF0" w14:paraId="3912A06B" w14:textId="57737F7C">
            <w:pPr>
              <w:pStyle w:val="aTableBodyLeft"/>
              <w:spacing w:before="0" w:after="0"/>
              <w:rPr>
                <w:szCs w:val="24"/>
              </w:rPr>
            </w:pP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9211E2" w:rsidP="00211DF0" w:rsidRDefault="00211DF0" w14:paraId="1AA10C74" w14:textId="30293BA7">
            <w:pPr>
              <w:pStyle w:val="aTableBodyLeft"/>
              <w:spacing w:before="0" w:after="0"/>
              <w:rPr>
                <w:szCs w:val="24"/>
              </w:rPr>
            </w:pPr>
            <w:r w:rsidRPr="00211DF0">
              <w:rPr>
                <w:szCs w:val="24"/>
              </w:rPr>
              <w:t xml:space="preserve">This </w:t>
            </w:r>
            <w:r>
              <w:rPr>
                <w:szCs w:val="24"/>
              </w:rPr>
              <w:t xml:space="preserve">section </w:t>
            </w:r>
            <w:r w:rsidRPr="00211DF0">
              <w:rPr>
                <w:szCs w:val="24"/>
              </w:rPr>
              <w:t xml:space="preserve">includes </w:t>
            </w:r>
            <w:r>
              <w:rPr>
                <w:szCs w:val="24"/>
              </w:rPr>
              <w:t xml:space="preserve">questions on participant </w:t>
            </w:r>
            <w:r w:rsidRPr="00211DF0">
              <w:rPr>
                <w:szCs w:val="24"/>
              </w:rPr>
              <w:t>experiences</w:t>
            </w:r>
            <w:r>
              <w:rPr>
                <w:szCs w:val="24"/>
              </w:rPr>
              <w:t xml:space="preserve"> </w:t>
            </w:r>
            <w:r w:rsidR="003F1120">
              <w:rPr>
                <w:szCs w:val="24"/>
              </w:rPr>
              <w:t xml:space="preserve">and communication </w:t>
            </w:r>
            <w:r>
              <w:rPr>
                <w:szCs w:val="24"/>
              </w:rPr>
              <w:t>with health providers</w:t>
            </w:r>
            <w:r w:rsidR="003F1120">
              <w:rPr>
                <w:szCs w:val="24"/>
              </w:rPr>
              <w:t xml:space="preserve">, health service use, receipt of quality adolescent health care, </w:t>
            </w:r>
            <w:r>
              <w:rPr>
                <w:szCs w:val="24"/>
              </w:rPr>
              <w:t xml:space="preserve"> and their </w:t>
            </w:r>
            <w:r w:rsidRPr="00211DF0">
              <w:rPr>
                <w:szCs w:val="24"/>
              </w:rPr>
              <w:t>satisfaction with the healthcare received.</w:t>
            </w:r>
          </w:p>
        </w:tc>
      </w:tr>
      <w:tr w:rsidR="009211E2" w:rsidTr="006B2D1C" w14:paraId="08D7C01A"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9211E2" w:rsidRDefault="00211DF0" w14:paraId="002F950A" w14:textId="77777777">
            <w:pPr>
              <w:pStyle w:val="aTableBodyLeft"/>
              <w:spacing w:before="0" w:after="0"/>
              <w:rPr>
                <w:szCs w:val="24"/>
              </w:rPr>
            </w:pPr>
            <w:r w:rsidRPr="00211DF0">
              <w:rPr>
                <w:szCs w:val="24"/>
              </w:rPr>
              <w:lastRenderedPageBreak/>
              <w:t>Section K. Sexual Health</w:t>
            </w:r>
          </w:p>
          <w:p w:rsidRPr="009211E2" w:rsidR="00DC2F7D" w:rsidRDefault="00DC2F7D" w14:paraId="454C1D41" w14:textId="16E4DBB5">
            <w:pPr>
              <w:pStyle w:val="aTableBodyLeft"/>
              <w:spacing w:before="0" w:after="0"/>
              <w:rPr>
                <w:szCs w:val="24"/>
              </w:rPr>
            </w:pP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9211E2" w:rsidRDefault="00211DF0" w14:paraId="140B1956" w14:textId="257C9C48">
            <w:pPr>
              <w:pStyle w:val="aTableBodyLeft"/>
              <w:spacing w:before="0" w:after="0"/>
              <w:rPr>
                <w:szCs w:val="24"/>
              </w:rPr>
            </w:pPr>
            <w:r>
              <w:rPr>
                <w:szCs w:val="24"/>
              </w:rPr>
              <w:t xml:space="preserve">Questions focus on </w:t>
            </w:r>
            <w:r w:rsidRPr="00211DF0">
              <w:rPr>
                <w:szCs w:val="24"/>
              </w:rPr>
              <w:t>sexual activity and sexual health</w:t>
            </w:r>
            <w:r w:rsidR="003F1120">
              <w:rPr>
                <w:szCs w:val="24"/>
              </w:rPr>
              <w:t xml:space="preserve"> and are intended to be used as health outcomes in analyses</w:t>
            </w:r>
            <w:r w:rsidRPr="00211DF0">
              <w:rPr>
                <w:szCs w:val="24"/>
              </w:rPr>
              <w:t>.</w:t>
            </w:r>
          </w:p>
        </w:tc>
      </w:tr>
      <w:tr w:rsidR="009211E2" w:rsidTr="006B2D1C" w14:paraId="4AD824E6"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9211E2" w:rsidRDefault="00211DF0" w14:paraId="0CBB155F" w14:textId="77777777">
            <w:pPr>
              <w:pStyle w:val="aTableBodyLeft"/>
              <w:spacing w:before="0" w:after="0"/>
              <w:rPr>
                <w:szCs w:val="24"/>
              </w:rPr>
            </w:pPr>
            <w:r w:rsidRPr="00211DF0">
              <w:rPr>
                <w:szCs w:val="24"/>
              </w:rPr>
              <w:t>Section L. Substance Use</w:t>
            </w:r>
          </w:p>
          <w:p w:rsidRPr="009211E2" w:rsidR="00DC2F7D" w:rsidRDefault="00DC2F7D" w14:paraId="2A488D59" w14:textId="4E28A54A">
            <w:pPr>
              <w:pStyle w:val="aTableBodyLeft"/>
              <w:spacing w:before="0" w:after="0"/>
              <w:rPr>
                <w:szCs w:val="24"/>
              </w:rPr>
            </w:pP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9211E2" w:rsidRDefault="00DC2F7D" w14:paraId="3C635C49" w14:textId="0F00B1E1">
            <w:pPr>
              <w:pStyle w:val="aTableBodyLeft"/>
              <w:spacing w:before="0" w:after="0"/>
              <w:rPr>
                <w:szCs w:val="24"/>
              </w:rPr>
            </w:pPr>
            <w:r>
              <w:rPr>
                <w:szCs w:val="24"/>
              </w:rPr>
              <w:t>Section focused on substance use and frequency.</w:t>
            </w:r>
          </w:p>
        </w:tc>
      </w:tr>
    </w:tbl>
    <w:p w:rsidR="00D15ECE" w:rsidP="00F37C7F" w:rsidRDefault="00D15ECE" w14:paraId="79D1DFE3" w14:textId="08E16C2C">
      <w:pPr>
        <w:widowControl w:val="0"/>
        <w:spacing w:before="240" w:after="200" w:line="360" w:lineRule="auto"/>
        <w:rPr>
          <w:rFonts w:ascii="Times New Roman" w:hAnsi="Times New Roman"/>
          <w:b/>
          <w:color w:val="000000"/>
          <w:sz w:val="22"/>
          <w:szCs w:val="22"/>
        </w:rPr>
      </w:pPr>
    </w:p>
    <w:p w:rsidR="00D15ECE" w:rsidRDefault="00D15ECE" w14:paraId="4AFF91F3" w14:textId="77777777">
      <w:pPr>
        <w:autoSpaceDE/>
        <w:autoSpaceDN/>
        <w:adjustRightInd/>
        <w:spacing w:after="160" w:line="259" w:lineRule="auto"/>
        <w:rPr>
          <w:rFonts w:ascii="Times New Roman" w:hAnsi="Times New Roman"/>
          <w:b/>
          <w:color w:val="000000"/>
          <w:sz w:val="22"/>
          <w:szCs w:val="22"/>
        </w:rPr>
      </w:pPr>
      <w:r>
        <w:rPr>
          <w:rFonts w:ascii="Times New Roman" w:hAnsi="Times New Roman"/>
          <w:b/>
          <w:color w:val="000000"/>
          <w:sz w:val="22"/>
          <w:szCs w:val="22"/>
        </w:rPr>
        <w:br w:type="page"/>
      </w:r>
    </w:p>
    <w:p w:rsidR="006B2D1C" w:rsidP="00F37C7F" w:rsidRDefault="006B2D1C" w14:paraId="2A61E6D6" w14:textId="77777777">
      <w:pPr>
        <w:widowControl w:val="0"/>
        <w:spacing w:before="240" w:after="200" w:line="360" w:lineRule="auto"/>
        <w:rPr>
          <w:rFonts w:ascii="Times New Roman" w:hAnsi="Times New Roman"/>
          <w:b/>
          <w:color w:val="000000"/>
          <w:sz w:val="22"/>
          <w:szCs w:val="22"/>
        </w:rPr>
      </w:pPr>
    </w:p>
    <w:p w:rsidRPr="006B2D1C" w:rsidR="003C05F6" w:rsidP="00F37C7F" w:rsidRDefault="00DC2F7D" w14:paraId="14429A6D" w14:textId="01406299">
      <w:pPr>
        <w:widowControl w:val="0"/>
        <w:spacing w:before="240" w:after="200" w:line="360" w:lineRule="auto"/>
        <w:rPr>
          <w:rFonts w:ascii="Times New Roman" w:hAnsi="Times New Roman"/>
          <w:b/>
          <w:color w:val="000000"/>
          <w:sz w:val="22"/>
          <w:szCs w:val="22"/>
        </w:rPr>
      </w:pPr>
      <w:r w:rsidRPr="006B2D1C">
        <w:rPr>
          <w:rFonts w:ascii="Times New Roman" w:hAnsi="Times New Roman"/>
          <w:b/>
          <w:color w:val="000000"/>
          <w:sz w:val="22"/>
          <w:szCs w:val="22"/>
        </w:rPr>
        <w:t>Parent Survey</w:t>
      </w:r>
    </w:p>
    <w:tbl>
      <w:tblPr>
        <w:tblStyle w:val="aTable"/>
        <w:tblW w:w="4906" w:type="pct"/>
        <w:jc w:val="center"/>
        <w:tblInd w:w="0" w:type="dxa"/>
        <w:tblLook w:val="04A0" w:firstRow="1" w:lastRow="0" w:firstColumn="1" w:lastColumn="0" w:noHBand="0" w:noVBand="1"/>
      </w:tblPr>
      <w:tblGrid>
        <w:gridCol w:w="2659"/>
        <w:gridCol w:w="6515"/>
      </w:tblGrid>
      <w:tr w:rsidR="006B2D1C" w:rsidTr="004A57B9" w14:paraId="16B96A19" w14:textId="77777777">
        <w:trPr>
          <w:cnfStyle w:val="100000000000" w:firstRow="1" w:lastRow="0" w:firstColumn="0" w:lastColumn="0" w:oddVBand="0" w:evenVBand="0" w:oddHBand="0" w:evenHBand="0" w:firstRowFirstColumn="0" w:firstRowLastColumn="0" w:lastRowFirstColumn="0" w:lastRowLastColumn="0"/>
          <w:tblHeader/>
          <w:jc w:val="center"/>
        </w:trPr>
        <w:tc>
          <w:tcPr>
            <w:tcW w:w="0" w:type="auto"/>
            <w:hideMark/>
          </w:tcPr>
          <w:p w:rsidR="006B2D1C" w:rsidP="004A57B9" w:rsidRDefault="006B2D1C" w14:paraId="59BD8549" w14:textId="77777777">
            <w:pPr>
              <w:pStyle w:val="aTableHeaderC"/>
              <w:spacing w:before="0" w:after="0"/>
              <w:rPr>
                <w:szCs w:val="24"/>
              </w:rPr>
            </w:pPr>
            <w:r>
              <w:rPr>
                <w:szCs w:val="24"/>
              </w:rPr>
              <w:t>Sections</w:t>
            </w:r>
          </w:p>
        </w:tc>
        <w:tc>
          <w:tcPr>
            <w:tcW w:w="3551" w:type="pct"/>
            <w:hideMark/>
          </w:tcPr>
          <w:p w:rsidR="006B2D1C" w:rsidP="004A57B9" w:rsidRDefault="006B2D1C" w14:paraId="56AF1B5C" w14:textId="77777777">
            <w:pPr>
              <w:pStyle w:val="aTableHeaderC"/>
              <w:spacing w:before="0" w:after="0"/>
              <w:rPr>
                <w:szCs w:val="24"/>
              </w:rPr>
            </w:pPr>
            <w:r>
              <w:rPr>
                <w:szCs w:val="24"/>
              </w:rPr>
              <w:t>Description</w:t>
            </w:r>
          </w:p>
        </w:tc>
      </w:tr>
      <w:tr w:rsidR="006B2D1C" w:rsidTr="004A57B9" w14:paraId="7F5B711D"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6B2D1C" w:rsidP="004A57B9" w:rsidRDefault="006B2D1C" w14:paraId="240DD793" w14:textId="6FAFA96C">
            <w:pPr>
              <w:pStyle w:val="aTableBodyLeft"/>
              <w:spacing w:before="0" w:after="0"/>
              <w:rPr>
                <w:szCs w:val="24"/>
              </w:rPr>
            </w:pPr>
            <w:r>
              <w:rPr>
                <w:szCs w:val="24"/>
              </w:rPr>
              <w:t>Section A</w:t>
            </w:r>
            <w:r w:rsidRPr="00C04722">
              <w:rPr>
                <w:szCs w:val="24"/>
              </w:rPr>
              <w:t xml:space="preserve">. Family Protective Factors </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6B2D1C" w:rsidP="004A57B9" w:rsidRDefault="006B2D1C" w14:paraId="4213DBA6" w14:textId="77777777">
            <w:pPr>
              <w:pStyle w:val="aTableBodyLeft"/>
              <w:spacing w:before="0" w:after="0"/>
              <w:rPr>
                <w:szCs w:val="24"/>
              </w:rPr>
            </w:pPr>
            <w:r>
              <w:rPr>
                <w:szCs w:val="24"/>
              </w:rPr>
              <w:t xml:space="preserve">Questions about </w:t>
            </w:r>
            <w:r w:rsidRPr="00C04722">
              <w:rPr>
                <w:szCs w:val="24"/>
              </w:rPr>
              <w:t xml:space="preserve">family/parent connectedness, parental expectations, parental monitoring, </w:t>
            </w:r>
            <w:r>
              <w:rPr>
                <w:szCs w:val="24"/>
              </w:rPr>
              <w:t>parent-adolescent communication will be used to understand the dynamics of the teen and parent relationship.</w:t>
            </w:r>
          </w:p>
          <w:p w:rsidR="006B2D1C" w:rsidP="004A57B9" w:rsidRDefault="006B2D1C" w14:paraId="0EDE4075" w14:textId="77777777">
            <w:pPr>
              <w:pStyle w:val="aTableBodyLeft"/>
              <w:spacing w:before="0" w:after="0"/>
              <w:rPr>
                <w:szCs w:val="24"/>
              </w:rPr>
            </w:pPr>
          </w:p>
        </w:tc>
      </w:tr>
      <w:tr w:rsidR="006B2D1C" w:rsidTr="004A57B9" w14:paraId="0F9A5630"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6B2D1C" w:rsidP="006B2D1C" w:rsidRDefault="006B2D1C" w14:paraId="344CD0AE" w14:textId="2D6C7D62">
            <w:pPr>
              <w:pStyle w:val="aTableBodyLeft"/>
              <w:spacing w:before="0" w:after="0"/>
              <w:rPr>
                <w:szCs w:val="24"/>
              </w:rPr>
            </w:pPr>
            <w:r w:rsidRPr="009211E2">
              <w:rPr>
                <w:szCs w:val="24"/>
              </w:rPr>
              <w:t xml:space="preserve">Section </w:t>
            </w:r>
            <w:r>
              <w:rPr>
                <w:szCs w:val="24"/>
              </w:rPr>
              <w:t>B</w:t>
            </w:r>
            <w:r w:rsidRPr="009211E2">
              <w:rPr>
                <w:szCs w:val="24"/>
              </w:rPr>
              <w:t>: Mental Health</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6B2D1C" w:rsidP="004A57B9" w:rsidRDefault="006B2D1C" w14:paraId="01EE75DC" w14:textId="77777777">
            <w:pPr>
              <w:pStyle w:val="aTableBodyLeft"/>
              <w:spacing w:before="0" w:after="0"/>
              <w:rPr>
                <w:szCs w:val="24"/>
              </w:rPr>
            </w:pPr>
            <w:r w:rsidRPr="009211E2">
              <w:rPr>
                <w:szCs w:val="24"/>
              </w:rPr>
              <w:t>This sectio</w:t>
            </w:r>
            <w:r>
              <w:rPr>
                <w:szCs w:val="24"/>
              </w:rPr>
              <w:t xml:space="preserve">n contains questions about the </w:t>
            </w:r>
            <w:r w:rsidRPr="009211E2">
              <w:rPr>
                <w:szCs w:val="24"/>
              </w:rPr>
              <w:t xml:space="preserve">stress, anxiety, and depression.  </w:t>
            </w:r>
            <w:r>
              <w:rPr>
                <w:szCs w:val="24"/>
              </w:rPr>
              <w:t>Mental health is one of the key outcomes of interest for this study.</w:t>
            </w:r>
          </w:p>
          <w:p w:rsidR="006B2D1C" w:rsidP="004A57B9" w:rsidRDefault="006B2D1C" w14:paraId="342C39D0" w14:textId="77777777">
            <w:pPr>
              <w:pStyle w:val="aTableBodyLeft"/>
              <w:spacing w:before="0" w:after="0"/>
              <w:rPr>
                <w:szCs w:val="24"/>
              </w:rPr>
            </w:pPr>
          </w:p>
          <w:p w:rsidR="006B2D1C" w:rsidP="004A57B9" w:rsidRDefault="006B2D1C" w14:paraId="1FB29F95" w14:textId="77777777">
            <w:pPr>
              <w:pStyle w:val="aTableBodyLeft"/>
              <w:spacing w:before="0" w:after="0"/>
              <w:rPr>
                <w:szCs w:val="24"/>
              </w:rPr>
            </w:pPr>
          </w:p>
          <w:p w:rsidR="006B2D1C" w:rsidP="004A57B9" w:rsidRDefault="006B2D1C" w14:paraId="22A0D865" w14:textId="77777777">
            <w:pPr>
              <w:pStyle w:val="aTableBodyLeft"/>
              <w:spacing w:before="0" w:after="0"/>
              <w:rPr>
                <w:szCs w:val="24"/>
              </w:rPr>
            </w:pPr>
          </w:p>
        </w:tc>
      </w:tr>
      <w:tr w:rsidR="006B2D1C" w:rsidTr="004A57B9" w14:paraId="1ADB714A"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6B2D1C" w:rsidP="006B2D1C" w:rsidRDefault="006B2D1C" w14:paraId="2EE92B75" w14:textId="2A265650">
            <w:pPr>
              <w:pStyle w:val="aTableBodyLeft"/>
              <w:spacing w:before="0" w:after="0"/>
              <w:rPr>
                <w:szCs w:val="24"/>
              </w:rPr>
            </w:pPr>
            <w:r w:rsidRPr="009211E2">
              <w:rPr>
                <w:szCs w:val="24"/>
              </w:rPr>
              <w:t xml:space="preserve">Section </w:t>
            </w:r>
            <w:r>
              <w:rPr>
                <w:szCs w:val="24"/>
              </w:rPr>
              <w:t>C</w:t>
            </w:r>
            <w:r w:rsidRPr="009211E2">
              <w:rPr>
                <w:szCs w:val="24"/>
              </w:rPr>
              <w:t>. Adverse Childhood Events</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006B2D1C" w:rsidP="004A57B9" w:rsidRDefault="006B2D1C" w14:paraId="4234EDF0" w14:textId="38E23702">
            <w:pPr>
              <w:pStyle w:val="aTableBodyLeft"/>
              <w:spacing w:before="0" w:after="0"/>
              <w:rPr>
                <w:szCs w:val="24"/>
              </w:rPr>
            </w:pPr>
            <w:r>
              <w:rPr>
                <w:szCs w:val="24"/>
              </w:rPr>
              <w:t xml:space="preserve">Questions on adverse childhood events are included in NAHS to assess </w:t>
            </w:r>
            <w:r w:rsidRPr="00ED6844" w:rsidR="00ED6844">
              <w:rPr>
                <w:szCs w:val="24"/>
              </w:rPr>
              <w:t>how DASH’s school-based strategies may help ameliorate the impact of ACES</w:t>
            </w:r>
            <w:r>
              <w:rPr>
                <w:szCs w:val="24"/>
              </w:rPr>
              <w:t>.</w:t>
            </w:r>
          </w:p>
          <w:p w:rsidR="006B2D1C" w:rsidP="004A57B9" w:rsidRDefault="006B2D1C" w14:paraId="0398E024" w14:textId="77777777">
            <w:pPr>
              <w:pStyle w:val="aTableBodyLeft"/>
              <w:spacing w:before="0" w:after="0"/>
              <w:rPr>
                <w:szCs w:val="24"/>
              </w:rPr>
            </w:pPr>
          </w:p>
        </w:tc>
      </w:tr>
      <w:tr w:rsidR="006B2D1C" w:rsidTr="004A57B9" w14:paraId="1189BB10"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9211E2" w:rsidR="006B2D1C" w:rsidP="006B2D1C" w:rsidRDefault="006B2D1C" w14:paraId="76D77E8A" w14:textId="5D61F789">
            <w:pPr>
              <w:pStyle w:val="aTableBodyLeft"/>
              <w:spacing w:before="0" w:after="0"/>
              <w:rPr>
                <w:szCs w:val="24"/>
              </w:rPr>
            </w:pPr>
            <w:r w:rsidRPr="009211E2">
              <w:rPr>
                <w:szCs w:val="24"/>
              </w:rPr>
              <w:t xml:space="preserve">Section </w:t>
            </w:r>
            <w:r>
              <w:rPr>
                <w:szCs w:val="24"/>
              </w:rPr>
              <w:t>D</w:t>
            </w:r>
            <w:r w:rsidRPr="009211E2">
              <w:rPr>
                <w:szCs w:val="24"/>
              </w:rPr>
              <w:t>. Health Education</w:t>
            </w: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6B2D1C" w:rsidP="004A57B9" w:rsidRDefault="006B2D1C" w14:paraId="441E5F22" w14:textId="77777777">
            <w:pPr>
              <w:pStyle w:val="aTableBodyLeft"/>
              <w:spacing w:before="0" w:after="0"/>
              <w:rPr>
                <w:szCs w:val="24"/>
              </w:rPr>
            </w:pPr>
            <w:r>
              <w:rPr>
                <w:szCs w:val="24"/>
              </w:rPr>
              <w:t>Q</w:t>
            </w:r>
            <w:r w:rsidRPr="009211E2">
              <w:rPr>
                <w:szCs w:val="24"/>
              </w:rPr>
              <w:t>uestions</w:t>
            </w:r>
            <w:r>
              <w:rPr>
                <w:szCs w:val="24"/>
              </w:rPr>
              <w:t xml:space="preserve"> in this section focus on</w:t>
            </w:r>
            <w:r w:rsidRPr="009211E2">
              <w:rPr>
                <w:szCs w:val="24"/>
              </w:rPr>
              <w:t xml:space="preserve"> </w:t>
            </w:r>
            <w:r>
              <w:rPr>
                <w:szCs w:val="24"/>
              </w:rPr>
              <w:t xml:space="preserve">where sources and satisfaction with </w:t>
            </w:r>
            <w:r w:rsidRPr="009211E2">
              <w:rPr>
                <w:szCs w:val="24"/>
              </w:rPr>
              <w:t>information about mental health</w:t>
            </w:r>
            <w:r>
              <w:t xml:space="preserve">, </w:t>
            </w:r>
            <w:r>
              <w:rPr>
                <w:szCs w:val="24"/>
              </w:rPr>
              <w:t>sexual and reproductive health, and</w:t>
            </w:r>
            <w:r>
              <w:t xml:space="preserve"> </w:t>
            </w:r>
            <w:r w:rsidRPr="001F652A">
              <w:rPr>
                <w:szCs w:val="24"/>
              </w:rPr>
              <w:t>school-based health education</w:t>
            </w:r>
            <w:r>
              <w:rPr>
                <w:szCs w:val="24"/>
              </w:rPr>
              <w:t>.</w:t>
            </w:r>
          </w:p>
          <w:p w:rsidR="006B2D1C" w:rsidP="004A57B9" w:rsidRDefault="006B2D1C" w14:paraId="5C34690D" w14:textId="77777777">
            <w:pPr>
              <w:pStyle w:val="aTableBodyLeft"/>
              <w:spacing w:before="0" w:after="0"/>
              <w:rPr>
                <w:szCs w:val="24"/>
              </w:rPr>
            </w:pPr>
          </w:p>
          <w:p w:rsidR="006B2D1C" w:rsidP="004A57B9" w:rsidRDefault="006B2D1C" w14:paraId="61AEFF6C" w14:textId="77777777">
            <w:pPr>
              <w:pStyle w:val="aTableBodyLeft"/>
              <w:spacing w:before="0" w:after="0"/>
              <w:rPr>
                <w:szCs w:val="24"/>
              </w:rPr>
            </w:pPr>
          </w:p>
        </w:tc>
      </w:tr>
      <w:tr w:rsidR="006B2D1C" w:rsidTr="004A57B9" w14:paraId="7A42E5C5"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6B2D1C" w:rsidP="004A57B9" w:rsidRDefault="006B2D1C" w14:paraId="6BDA0CB5" w14:textId="6F6F00FE">
            <w:pPr>
              <w:pStyle w:val="aTableBodyLeft"/>
              <w:spacing w:before="0" w:after="0"/>
              <w:rPr>
                <w:szCs w:val="24"/>
              </w:rPr>
            </w:pPr>
            <w:r w:rsidRPr="00211DF0">
              <w:rPr>
                <w:szCs w:val="24"/>
              </w:rPr>
              <w:t xml:space="preserve">Section </w:t>
            </w:r>
            <w:r>
              <w:rPr>
                <w:szCs w:val="24"/>
              </w:rPr>
              <w:t>E</w:t>
            </w:r>
            <w:r w:rsidRPr="00211DF0">
              <w:rPr>
                <w:szCs w:val="24"/>
              </w:rPr>
              <w:t>. Health Services</w:t>
            </w:r>
          </w:p>
          <w:p w:rsidR="006B2D1C" w:rsidP="004A57B9" w:rsidRDefault="006B2D1C" w14:paraId="272668ED" w14:textId="77777777">
            <w:pPr>
              <w:pStyle w:val="aTableBodyLeft"/>
              <w:spacing w:before="0" w:after="0"/>
              <w:rPr>
                <w:szCs w:val="24"/>
              </w:rPr>
            </w:pPr>
          </w:p>
          <w:p w:rsidRPr="009211E2" w:rsidR="006B2D1C" w:rsidP="004A57B9" w:rsidRDefault="006B2D1C" w14:paraId="0794189A" w14:textId="77777777">
            <w:pPr>
              <w:pStyle w:val="aTableBodyLeft"/>
              <w:spacing w:before="0" w:after="0"/>
              <w:rPr>
                <w:szCs w:val="24"/>
              </w:rPr>
            </w:pP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6B2D1C" w:rsidP="004A57B9" w:rsidRDefault="006B2D1C" w14:paraId="578090E1" w14:textId="77777777">
            <w:pPr>
              <w:pStyle w:val="aTableBodyLeft"/>
              <w:spacing w:before="0" w:after="0"/>
              <w:rPr>
                <w:szCs w:val="24"/>
              </w:rPr>
            </w:pPr>
            <w:r w:rsidRPr="00211DF0">
              <w:rPr>
                <w:szCs w:val="24"/>
              </w:rPr>
              <w:t xml:space="preserve">This </w:t>
            </w:r>
            <w:r>
              <w:rPr>
                <w:szCs w:val="24"/>
              </w:rPr>
              <w:t xml:space="preserve">section </w:t>
            </w:r>
            <w:r w:rsidRPr="00211DF0">
              <w:rPr>
                <w:szCs w:val="24"/>
              </w:rPr>
              <w:t xml:space="preserve">includes </w:t>
            </w:r>
            <w:r>
              <w:rPr>
                <w:szCs w:val="24"/>
              </w:rPr>
              <w:t xml:space="preserve">questions on participant </w:t>
            </w:r>
            <w:r w:rsidRPr="00211DF0">
              <w:rPr>
                <w:szCs w:val="24"/>
              </w:rPr>
              <w:t>experiences</w:t>
            </w:r>
            <w:r>
              <w:rPr>
                <w:szCs w:val="24"/>
              </w:rPr>
              <w:t xml:space="preserve"> with health providers and their </w:t>
            </w:r>
            <w:r w:rsidRPr="00211DF0">
              <w:rPr>
                <w:szCs w:val="24"/>
              </w:rPr>
              <w:t xml:space="preserve">satisfaction with the healthcare </w:t>
            </w:r>
            <w:r>
              <w:rPr>
                <w:szCs w:val="24"/>
              </w:rPr>
              <w:t xml:space="preserve">they have </w:t>
            </w:r>
            <w:r w:rsidRPr="00211DF0">
              <w:rPr>
                <w:szCs w:val="24"/>
              </w:rPr>
              <w:t>received.</w:t>
            </w:r>
          </w:p>
        </w:tc>
      </w:tr>
      <w:tr w:rsidR="006B2D1C" w:rsidTr="004A57B9" w14:paraId="05EFD4D8"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6B2D1C" w:rsidP="004A57B9" w:rsidRDefault="006B2D1C" w14:paraId="7375B531" w14:textId="406BD58D">
            <w:pPr>
              <w:pStyle w:val="aTableBodyLeft"/>
              <w:spacing w:before="0" w:after="0"/>
              <w:rPr>
                <w:szCs w:val="24"/>
              </w:rPr>
            </w:pPr>
            <w:r w:rsidRPr="00211DF0">
              <w:rPr>
                <w:szCs w:val="24"/>
              </w:rPr>
              <w:t xml:space="preserve">Section </w:t>
            </w:r>
            <w:r>
              <w:rPr>
                <w:szCs w:val="24"/>
              </w:rPr>
              <w:t>F</w:t>
            </w:r>
            <w:r w:rsidRPr="00211DF0">
              <w:rPr>
                <w:szCs w:val="24"/>
              </w:rPr>
              <w:t>. Sexual Health</w:t>
            </w:r>
          </w:p>
          <w:p w:rsidRPr="009211E2" w:rsidR="006B2D1C" w:rsidP="004A57B9" w:rsidRDefault="006B2D1C" w14:paraId="05B5181C" w14:textId="77777777">
            <w:pPr>
              <w:pStyle w:val="aTableBodyLeft"/>
              <w:spacing w:before="0" w:after="0"/>
              <w:rPr>
                <w:szCs w:val="24"/>
              </w:rPr>
            </w:pP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6B2D1C" w:rsidP="004A57B9" w:rsidRDefault="006B2D1C" w14:paraId="0F6A8EAA" w14:textId="51B4B631">
            <w:pPr>
              <w:pStyle w:val="aTableBodyLeft"/>
              <w:spacing w:before="0" w:after="0"/>
              <w:rPr>
                <w:szCs w:val="24"/>
              </w:rPr>
            </w:pPr>
            <w:r>
              <w:rPr>
                <w:szCs w:val="24"/>
              </w:rPr>
              <w:t xml:space="preserve">Questions focus on </w:t>
            </w:r>
            <w:r w:rsidR="00ED6844">
              <w:rPr>
                <w:szCs w:val="24"/>
              </w:rPr>
              <w:t xml:space="preserve">perceived </w:t>
            </w:r>
            <w:r w:rsidRPr="00211DF0">
              <w:rPr>
                <w:szCs w:val="24"/>
              </w:rPr>
              <w:t>sexual activity and sexual health</w:t>
            </w:r>
            <w:r w:rsidR="00ED6844">
              <w:rPr>
                <w:szCs w:val="24"/>
              </w:rPr>
              <w:t xml:space="preserve"> of adolescents, adolescent/parent communication about sexual health topics, and other parenting practices associated with positive adolescent sexual health outcomes</w:t>
            </w:r>
            <w:r w:rsidRPr="00211DF0">
              <w:rPr>
                <w:szCs w:val="24"/>
              </w:rPr>
              <w:t>.</w:t>
            </w:r>
          </w:p>
        </w:tc>
      </w:tr>
      <w:tr w:rsidR="006B2D1C" w:rsidTr="004A57B9" w14:paraId="2BC58A66"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6B2D1C" w:rsidP="004A57B9" w:rsidRDefault="006B2D1C" w14:paraId="5CC52813" w14:textId="7624B02F">
            <w:pPr>
              <w:pStyle w:val="aTableBodyLeft"/>
              <w:spacing w:before="0" w:after="0"/>
              <w:rPr>
                <w:szCs w:val="24"/>
              </w:rPr>
            </w:pPr>
            <w:r w:rsidRPr="00211DF0">
              <w:rPr>
                <w:szCs w:val="24"/>
              </w:rPr>
              <w:t>Section</w:t>
            </w:r>
            <w:r>
              <w:rPr>
                <w:szCs w:val="24"/>
              </w:rPr>
              <w:t xml:space="preserve"> G</w:t>
            </w:r>
            <w:r w:rsidRPr="00211DF0">
              <w:rPr>
                <w:szCs w:val="24"/>
              </w:rPr>
              <w:t>. Substance Use</w:t>
            </w:r>
          </w:p>
          <w:p w:rsidRPr="009211E2" w:rsidR="006B2D1C" w:rsidP="004A57B9" w:rsidRDefault="006B2D1C" w14:paraId="129F574B" w14:textId="77777777">
            <w:pPr>
              <w:pStyle w:val="aTableBodyLeft"/>
              <w:spacing w:before="0" w:after="0"/>
              <w:rPr>
                <w:szCs w:val="24"/>
              </w:rPr>
            </w:pPr>
          </w:p>
        </w:tc>
        <w:tc>
          <w:tcPr>
            <w:tcW w:w="3551"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006B2D1C" w:rsidP="004A57B9" w:rsidRDefault="006B2D1C" w14:paraId="05E48B6D" w14:textId="59650A30">
            <w:pPr>
              <w:pStyle w:val="aTableBodyLeft"/>
              <w:spacing w:before="0" w:after="0"/>
              <w:rPr>
                <w:szCs w:val="24"/>
              </w:rPr>
            </w:pPr>
            <w:r>
              <w:rPr>
                <w:szCs w:val="24"/>
              </w:rPr>
              <w:t xml:space="preserve">Section focused on </w:t>
            </w:r>
            <w:r w:rsidR="00ED6844">
              <w:rPr>
                <w:szCs w:val="24"/>
              </w:rPr>
              <w:t xml:space="preserve">perceived adolescent </w:t>
            </w:r>
            <w:r>
              <w:rPr>
                <w:szCs w:val="24"/>
              </w:rPr>
              <w:t>substance use.</w:t>
            </w:r>
          </w:p>
        </w:tc>
      </w:tr>
    </w:tbl>
    <w:p w:rsidRPr="001F544F" w:rsidR="00DC2F7D" w:rsidP="00F37C7F" w:rsidRDefault="00DC2F7D" w14:paraId="182A4835" w14:textId="7ADD708E">
      <w:pPr>
        <w:widowControl w:val="0"/>
        <w:spacing w:before="240" w:after="200" w:line="360" w:lineRule="auto"/>
        <w:rPr>
          <w:rFonts w:ascii="Times New Roman" w:hAnsi="Times New Roman"/>
          <w:color w:val="000000"/>
          <w:sz w:val="22"/>
          <w:szCs w:val="22"/>
          <w:u w:val="single"/>
        </w:rPr>
      </w:pPr>
    </w:p>
    <w:p w:rsidRPr="00FC5D2E" w:rsidR="00484BC6" w:rsidP="00990438" w:rsidRDefault="00990438" w14:paraId="760A0569" w14:textId="3AAA5579">
      <w:pPr>
        <w:pStyle w:val="Heading2"/>
        <w:spacing w:before="240" w:after="200"/>
        <w:rPr>
          <w:rFonts w:ascii="Times New Roman" w:hAnsi="Times New Roman" w:cs="Times New Roman"/>
          <w:b/>
          <w:color w:val="auto"/>
          <w:sz w:val="24"/>
          <w:szCs w:val="24"/>
        </w:rPr>
      </w:pPr>
      <w:bookmarkStart w:name="_Toc50987036" w:id="10"/>
      <w:r>
        <w:rPr>
          <w:rFonts w:ascii="Times New Roman" w:hAnsi="Times New Roman" w:cs="Times New Roman"/>
          <w:b/>
          <w:color w:val="auto"/>
          <w:sz w:val="24"/>
          <w:szCs w:val="24"/>
        </w:rPr>
        <w:t>A.3.</w:t>
      </w:r>
      <w:r>
        <w:rPr>
          <w:rFonts w:ascii="Times New Roman" w:hAnsi="Times New Roman" w:cs="Times New Roman"/>
          <w:b/>
          <w:color w:val="auto"/>
          <w:sz w:val="24"/>
          <w:szCs w:val="24"/>
        </w:rPr>
        <w:tab/>
      </w:r>
      <w:r w:rsidRPr="00FC5D2E" w:rsidR="00484BC6">
        <w:rPr>
          <w:rFonts w:ascii="Times New Roman" w:hAnsi="Times New Roman" w:cs="Times New Roman"/>
          <w:b/>
          <w:color w:val="auto"/>
          <w:sz w:val="24"/>
          <w:szCs w:val="24"/>
        </w:rPr>
        <w:t>Use of Improved Information Technology and Burden Reduction</w:t>
      </w:r>
      <w:bookmarkEnd w:id="10"/>
    </w:p>
    <w:p w:rsidRPr="00990438" w:rsidR="00484BC6" w:rsidP="00990438" w:rsidRDefault="005B5753" w14:paraId="66A48720" w14:textId="6B97C737">
      <w:pPr>
        <w:spacing w:before="240" w:after="200" w:line="360" w:lineRule="auto"/>
        <w:rPr>
          <w:rFonts w:ascii="Times New Roman" w:hAnsi="Times New Roman"/>
          <w:sz w:val="22"/>
          <w:szCs w:val="22"/>
        </w:rPr>
      </w:pPr>
      <w:r w:rsidRPr="005B5753">
        <w:rPr>
          <w:rFonts w:ascii="Times New Roman" w:hAnsi="Times New Roman"/>
          <w:sz w:val="22"/>
          <w:szCs w:val="22"/>
        </w:rPr>
        <w:t xml:space="preserve">We will use industry standard information technology for survey data collection </w:t>
      </w:r>
      <w:proofErr w:type="gramStart"/>
      <w:r w:rsidRPr="005B5753">
        <w:rPr>
          <w:rFonts w:ascii="Times New Roman" w:hAnsi="Times New Roman"/>
          <w:sz w:val="22"/>
          <w:szCs w:val="22"/>
        </w:rPr>
        <w:t>in order</w:t>
      </w:r>
      <w:r>
        <w:rPr>
          <w:rFonts w:ascii="Times New Roman" w:hAnsi="Times New Roman"/>
          <w:sz w:val="22"/>
          <w:szCs w:val="22"/>
        </w:rPr>
        <w:t xml:space="preserve"> to</w:t>
      </w:r>
      <w:proofErr w:type="gramEnd"/>
      <w:r>
        <w:rPr>
          <w:rFonts w:ascii="Times New Roman" w:hAnsi="Times New Roman"/>
          <w:sz w:val="22"/>
          <w:szCs w:val="22"/>
        </w:rPr>
        <w:t xml:space="preserve"> reduce respondent burden. The survey will be programmed using</w:t>
      </w:r>
      <w:r w:rsidRPr="005B5753">
        <w:rPr>
          <w:rFonts w:ascii="Times New Roman" w:hAnsi="Times New Roman"/>
          <w:sz w:val="22"/>
          <w:szCs w:val="22"/>
        </w:rPr>
        <w:t xml:space="preserve"> the </w:t>
      </w:r>
      <w:proofErr w:type="spellStart"/>
      <w:r w:rsidRPr="005B5753">
        <w:rPr>
          <w:rFonts w:ascii="Times New Roman" w:hAnsi="Times New Roman"/>
          <w:sz w:val="22"/>
          <w:szCs w:val="22"/>
        </w:rPr>
        <w:t>Voxco</w:t>
      </w:r>
      <w:proofErr w:type="spellEnd"/>
      <w:r w:rsidRPr="005B5753">
        <w:rPr>
          <w:rFonts w:ascii="Times New Roman" w:hAnsi="Times New Roman"/>
          <w:sz w:val="22"/>
          <w:szCs w:val="22"/>
        </w:rPr>
        <w:t xml:space="preserve"> system</w:t>
      </w:r>
      <w:r>
        <w:rPr>
          <w:rFonts w:ascii="Times New Roman" w:hAnsi="Times New Roman"/>
          <w:sz w:val="22"/>
          <w:szCs w:val="22"/>
        </w:rPr>
        <w:t>, a</w:t>
      </w:r>
      <w:r w:rsidR="002A62D6">
        <w:rPr>
          <w:rFonts w:ascii="Times New Roman" w:hAnsi="Times New Roman"/>
          <w:sz w:val="22"/>
          <w:szCs w:val="22"/>
        </w:rPr>
        <w:t xml:space="preserve"> </w:t>
      </w:r>
      <w:r>
        <w:rPr>
          <w:rFonts w:ascii="Times New Roman" w:hAnsi="Times New Roman"/>
          <w:sz w:val="22"/>
          <w:szCs w:val="22"/>
        </w:rPr>
        <w:t>computer-aided interviewing system,</w:t>
      </w:r>
      <w:r w:rsidRPr="005B5753">
        <w:rPr>
          <w:rFonts w:ascii="Times New Roman" w:hAnsi="Times New Roman"/>
          <w:sz w:val="22"/>
          <w:szCs w:val="22"/>
        </w:rPr>
        <w:t xml:space="preserve"> in order to provide </w:t>
      </w:r>
      <w:proofErr w:type="gramStart"/>
      <w:r w:rsidRPr="005B5753">
        <w:rPr>
          <w:rFonts w:ascii="Times New Roman" w:hAnsi="Times New Roman"/>
          <w:sz w:val="22"/>
          <w:szCs w:val="22"/>
        </w:rPr>
        <w:t>respondents</w:t>
      </w:r>
      <w:proofErr w:type="gramEnd"/>
      <w:r w:rsidRPr="005B5753">
        <w:rPr>
          <w:rFonts w:ascii="Times New Roman" w:hAnsi="Times New Roman"/>
          <w:sz w:val="22"/>
          <w:szCs w:val="22"/>
        </w:rPr>
        <w:t xml:space="preserve"> the opportunity to participate in the study online or by telephone with a professional NORC telephone interviewer. NORC’s </w:t>
      </w:r>
      <w:proofErr w:type="spellStart"/>
      <w:r w:rsidRPr="005B5753">
        <w:rPr>
          <w:rFonts w:ascii="Times New Roman" w:hAnsi="Times New Roman"/>
          <w:sz w:val="22"/>
          <w:szCs w:val="22"/>
        </w:rPr>
        <w:t>Voxco</w:t>
      </w:r>
      <w:proofErr w:type="spellEnd"/>
      <w:r w:rsidRPr="005B5753">
        <w:rPr>
          <w:rFonts w:ascii="Times New Roman" w:hAnsi="Times New Roman"/>
          <w:sz w:val="22"/>
          <w:szCs w:val="22"/>
        </w:rPr>
        <w:t xml:space="preserve"> survey software system supports both Computer Assisted Telephone Interviewing (CATI) and Computer Assisted Web Interviewing (CAWI) modes, providing an integrated sample management and data collection platform. </w:t>
      </w:r>
      <w:r w:rsidR="009724AA">
        <w:rPr>
          <w:rFonts w:ascii="Times New Roman" w:hAnsi="Times New Roman"/>
          <w:sz w:val="22"/>
          <w:szCs w:val="22"/>
        </w:rPr>
        <w:t xml:space="preserve">This mode </w:t>
      </w:r>
      <w:r w:rsidRPr="00990438" w:rsidR="00484BC6">
        <w:rPr>
          <w:rFonts w:ascii="Times New Roman" w:hAnsi="Times New Roman"/>
          <w:sz w:val="22"/>
          <w:szCs w:val="22"/>
        </w:rPr>
        <w:t xml:space="preserve">of questionnaire administration will include skip logic patterns to reduce overall respondent </w:t>
      </w:r>
      <w:r w:rsidRPr="00990438" w:rsidR="00484BC6">
        <w:rPr>
          <w:rFonts w:ascii="Times New Roman" w:hAnsi="Times New Roman"/>
          <w:sz w:val="22"/>
          <w:szCs w:val="22"/>
        </w:rPr>
        <w:lastRenderedPageBreak/>
        <w:t>burden</w:t>
      </w:r>
      <w:r w:rsidR="002A62D6">
        <w:rPr>
          <w:rFonts w:ascii="Times New Roman" w:hAnsi="Times New Roman"/>
          <w:sz w:val="22"/>
          <w:szCs w:val="22"/>
        </w:rPr>
        <w:t xml:space="preserve"> and minimize user errors such as missing data</w:t>
      </w:r>
      <w:r w:rsidRPr="00990438" w:rsidR="00484BC6">
        <w:rPr>
          <w:rFonts w:ascii="Times New Roman" w:hAnsi="Times New Roman"/>
          <w:sz w:val="22"/>
          <w:szCs w:val="22"/>
        </w:rPr>
        <w:t>. Use of a web survey will also reduce the time needed to complete the questionnaire. Transfer of data collected electronically will eliminate the need for data entry.</w:t>
      </w:r>
    </w:p>
    <w:p w:rsidRPr="002A62D6" w:rsidR="002A62D6" w:rsidP="002A62D6" w:rsidRDefault="002A62D6" w14:paraId="52969261" w14:textId="7C0D356C">
      <w:pPr>
        <w:spacing w:before="240" w:after="200" w:line="360" w:lineRule="auto"/>
        <w:rPr>
          <w:rFonts w:ascii="Times New Roman" w:hAnsi="Times New Roman"/>
          <w:b/>
          <w:sz w:val="22"/>
          <w:szCs w:val="22"/>
        </w:rPr>
      </w:pPr>
      <w:r w:rsidRPr="002A62D6">
        <w:rPr>
          <w:rFonts w:ascii="Times New Roman" w:hAnsi="Times New Roman"/>
          <w:sz w:val="22"/>
          <w:szCs w:val="22"/>
        </w:rPr>
        <w:t xml:space="preserve">To reduce respondent burden, </w:t>
      </w:r>
      <w:proofErr w:type="spellStart"/>
      <w:r w:rsidRPr="002A62D6">
        <w:rPr>
          <w:rFonts w:ascii="Times New Roman" w:hAnsi="Times New Roman"/>
          <w:sz w:val="22"/>
          <w:szCs w:val="22"/>
        </w:rPr>
        <w:t>AmeriSpeak</w:t>
      </w:r>
      <w:proofErr w:type="spellEnd"/>
      <w:r w:rsidRPr="002A62D6">
        <w:rPr>
          <w:rFonts w:ascii="Times New Roman" w:hAnsi="Times New Roman"/>
          <w:sz w:val="22"/>
          <w:szCs w:val="22"/>
        </w:rPr>
        <w:t xml:space="preserve"> enables respondents to</w:t>
      </w:r>
      <w:r w:rsidR="0084127C">
        <w:rPr>
          <w:rFonts w:ascii="Times New Roman" w:hAnsi="Times New Roman"/>
          <w:sz w:val="22"/>
          <w:szCs w:val="22"/>
        </w:rPr>
        <w:t xml:space="preserve"> use their personal smartphones, </w:t>
      </w:r>
      <w:r>
        <w:rPr>
          <w:rFonts w:ascii="Times New Roman" w:hAnsi="Times New Roman"/>
          <w:sz w:val="22"/>
          <w:szCs w:val="22"/>
        </w:rPr>
        <w:t>tablets</w:t>
      </w:r>
      <w:r w:rsidR="00F66C60">
        <w:rPr>
          <w:rFonts w:ascii="Times New Roman" w:hAnsi="Times New Roman"/>
          <w:sz w:val="22"/>
          <w:szCs w:val="22"/>
        </w:rPr>
        <w:t xml:space="preserve">, </w:t>
      </w:r>
      <w:r w:rsidR="0084127C">
        <w:rPr>
          <w:rFonts w:ascii="Times New Roman" w:hAnsi="Times New Roman"/>
          <w:sz w:val="22"/>
          <w:szCs w:val="22"/>
        </w:rPr>
        <w:t>c</w:t>
      </w:r>
      <w:r w:rsidR="00F66C60">
        <w:rPr>
          <w:rFonts w:ascii="Times New Roman" w:hAnsi="Times New Roman"/>
          <w:sz w:val="22"/>
          <w:szCs w:val="22"/>
        </w:rPr>
        <w:t>omputer</w:t>
      </w:r>
      <w:r w:rsidR="0084127C">
        <w:rPr>
          <w:rFonts w:ascii="Times New Roman" w:hAnsi="Times New Roman"/>
          <w:sz w:val="22"/>
          <w:szCs w:val="22"/>
        </w:rPr>
        <w:t>,</w:t>
      </w:r>
      <w:r w:rsidR="00F66C60">
        <w:rPr>
          <w:rFonts w:ascii="Times New Roman" w:hAnsi="Times New Roman"/>
          <w:sz w:val="22"/>
          <w:szCs w:val="22"/>
        </w:rPr>
        <w:t xml:space="preserve"> or laptop</w:t>
      </w:r>
      <w:r>
        <w:rPr>
          <w:rFonts w:ascii="Times New Roman" w:hAnsi="Times New Roman"/>
          <w:sz w:val="22"/>
          <w:szCs w:val="22"/>
        </w:rPr>
        <w:t xml:space="preserve">. </w:t>
      </w:r>
      <w:r w:rsidRPr="002A62D6">
        <w:rPr>
          <w:rFonts w:ascii="Times New Roman" w:hAnsi="Times New Roman"/>
          <w:sz w:val="22"/>
          <w:szCs w:val="22"/>
        </w:rPr>
        <w:t>For respondents</w:t>
      </w:r>
      <w:r w:rsidR="0084127C">
        <w:rPr>
          <w:rFonts w:ascii="Times New Roman" w:hAnsi="Times New Roman"/>
          <w:sz w:val="22"/>
          <w:szCs w:val="22"/>
        </w:rPr>
        <w:t xml:space="preserve"> using a mobile device</w:t>
      </w:r>
      <w:r w:rsidRPr="002A62D6">
        <w:rPr>
          <w:rFonts w:ascii="Times New Roman" w:hAnsi="Times New Roman"/>
          <w:sz w:val="22"/>
          <w:szCs w:val="22"/>
        </w:rPr>
        <w:t xml:space="preserve">, NORC’s </w:t>
      </w:r>
      <w:proofErr w:type="spellStart"/>
      <w:r w:rsidRPr="002A62D6">
        <w:rPr>
          <w:rFonts w:ascii="Times New Roman" w:hAnsi="Times New Roman"/>
          <w:sz w:val="22"/>
          <w:szCs w:val="22"/>
        </w:rPr>
        <w:t>Voxco</w:t>
      </w:r>
      <w:proofErr w:type="spellEnd"/>
      <w:r w:rsidRPr="002A62D6">
        <w:rPr>
          <w:rFonts w:ascii="Times New Roman" w:hAnsi="Times New Roman"/>
          <w:sz w:val="22"/>
          <w:szCs w:val="22"/>
        </w:rPr>
        <w:t xml:space="preserve"> system will render an optimized presentation of the questions for smartphone and tablet screens. </w:t>
      </w:r>
      <w:r w:rsidRPr="00990438">
        <w:rPr>
          <w:rFonts w:ascii="Times New Roman" w:hAnsi="Times New Roman"/>
          <w:sz w:val="22"/>
          <w:szCs w:val="22"/>
        </w:rPr>
        <w:t xml:space="preserve">The </w:t>
      </w:r>
      <w:proofErr w:type="spellStart"/>
      <w:r w:rsidRPr="00990438">
        <w:rPr>
          <w:rFonts w:ascii="Times New Roman" w:hAnsi="Times New Roman"/>
          <w:sz w:val="22"/>
          <w:szCs w:val="22"/>
        </w:rPr>
        <w:t>Voxco</w:t>
      </w:r>
      <w:proofErr w:type="spellEnd"/>
      <w:r w:rsidRPr="00990438">
        <w:rPr>
          <w:rFonts w:ascii="Times New Roman" w:hAnsi="Times New Roman"/>
          <w:sz w:val="22"/>
          <w:szCs w:val="22"/>
        </w:rPr>
        <w:t xml:space="preserve"> system produces fully responsive, 508-compliant web pages </w:t>
      </w:r>
      <w:r w:rsidR="0084127C">
        <w:rPr>
          <w:rFonts w:ascii="Times New Roman" w:hAnsi="Times New Roman"/>
          <w:sz w:val="22"/>
          <w:szCs w:val="22"/>
        </w:rPr>
        <w:t>that</w:t>
      </w:r>
      <w:r w:rsidRPr="00990438">
        <w:rPr>
          <w:rFonts w:ascii="Times New Roman" w:hAnsi="Times New Roman"/>
          <w:sz w:val="22"/>
          <w:szCs w:val="22"/>
        </w:rPr>
        <w:t xml:space="preserve"> can be viewed through most modern browsers (including Internet Explorer, Chrome, Firefox, and Safari). Each questionnaire </w:t>
      </w:r>
      <w:r w:rsidR="0084127C">
        <w:rPr>
          <w:rFonts w:ascii="Times New Roman" w:hAnsi="Times New Roman"/>
          <w:sz w:val="22"/>
          <w:szCs w:val="22"/>
        </w:rPr>
        <w:t>will be</w:t>
      </w:r>
      <w:r w:rsidRPr="00990438">
        <w:rPr>
          <w:rFonts w:ascii="Times New Roman" w:hAnsi="Times New Roman"/>
          <w:sz w:val="22"/>
          <w:szCs w:val="22"/>
        </w:rPr>
        <w:t xml:space="preserve"> programmed to create visual consistency </w:t>
      </w:r>
      <w:r>
        <w:rPr>
          <w:rFonts w:ascii="Times New Roman" w:hAnsi="Times New Roman"/>
          <w:sz w:val="22"/>
          <w:szCs w:val="22"/>
        </w:rPr>
        <w:t>across</w:t>
      </w:r>
      <w:r w:rsidRPr="00990438">
        <w:rPr>
          <w:rFonts w:ascii="Times New Roman" w:hAnsi="Times New Roman"/>
          <w:sz w:val="22"/>
          <w:szCs w:val="22"/>
        </w:rPr>
        <w:t xml:space="preserve"> questions, examine potential user proficiency and technology limitations, and accommodate multiple technology platforms. Questionnaires are formatted to maximize readability, including appropriate question spacing, pixilation, font type and size, and properly programmed branching patterns. Questionnaire formatting considerations also include the use of color, diagrams, and pictures to enhance respondent comprehension.</w:t>
      </w:r>
      <w:r>
        <w:rPr>
          <w:rFonts w:ascii="Times New Roman" w:hAnsi="Times New Roman"/>
          <w:sz w:val="22"/>
          <w:szCs w:val="22"/>
        </w:rPr>
        <w:t xml:space="preserve"> Screenshots of the formatted questionnaire can be found in </w:t>
      </w:r>
      <w:r w:rsidRPr="009776E4">
        <w:rPr>
          <w:rFonts w:ascii="Times New Roman" w:hAnsi="Times New Roman"/>
          <w:b/>
          <w:sz w:val="22"/>
          <w:szCs w:val="22"/>
        </w:rPr>
        <w:t>Attachment</w:t>
      </w:r>
      <w:r w:rsidR="005C5E08">
        <w:rPr>
          <w:rFonts w:ascii="Times New Roman" w:hAnsi="Times New Roman"/>
          <w:b/>
          <w:sz w:val="22"/>
          <w:szCs w:val="22"/>
        </w:rPr>
        <w:t>s</w:t>
      </w:r>
      <w:r w:rsidRPr="009776E4">
        <w:rPr>
          <w:rFonts w:ascii="Times New Roman" w:hAnsi="Times New Roman"/>
          <w:b/>
          <w:sz w:val="22"/>
          <w:szCs w:val="22"/>
        </w:rPr>
        <w:t xml:space="preserve"> </w:t>
      </w:r>
      <w:r w:rsidR="00C44D8E">
        <w:rPr>
          <w:rFonts w:ascii="Times New Roman" w:hAnsi="Times New Roman"/>
          <w:b/>
          <w:sz w:val="22"/>
          <w:szCs w:val="22"/>
        </w:rPr>
        <w:t>3 and 4</w:t>
      </w:r>
      <w:r>
        <w:rPr>
          <w:rFonts w:ascii="Times New Roman" w:hAnsi="Times New Roman"/>
          <w:b/>
          <w:sz w:val="22"/>
          <w:szCs w:val="22"/>
        </w:rPr>
        <w:t>.</w:t>
      </w:r>
    </w:p>
    <w:p w:rsidRPr="002A62D6" w:rsidR="002A62D6" w:rsidP="002A62D6" w:rsidRDefault="002A62D6" w14:paraId="757A6FC6" w14:textId="54486E58">
      <w:pPr>
        <w:spacing w:before="240" w:after="200" w:line="360" w:lineRule="auto"/>
        <w:rPr>
          <w:rFonts w:ascii="Times New Roman" w:hAnsi="Times New Roman"/>
          <w:sz w:val="22"/>
          <w:szCs w:val="22"/>
        </w:rPr>
      </w:pPr>
      <w:r w:rsidRPr="002A62D6">
        <w:rPr>
          <w:rFonts w:ascii="Times New Roman" w:hAnsi="Times New Roman"/>
          <w:sz w:val="22"/>
          <w:szCs w:val="22"/>
        </w:rPr>
        <w:t>For all participants regardless of mode, the survey technology includes tailored skip patterns and text fills, which allow respondents to move through the questions more easily and minimizes respondent burden. To reduce respondent burden, respondents can complete the survey online at any time that is convenient to the respondents.</w:t>
      </w:r>
      <w:r>
        <w:rPr>
          <w:rFonts w:ascii="Times New Roman" w:hAnsi="Times New Roman"/>
          <w:sz w:val="22"/>
          <w:szCs w:val="22"/>
        </w:rPr>
        <w:t xml:space="preserve"> </w:t>
      </w:r>
      <w:r w:rsidRPr="002A62D6">
        <w:rPr>
          <w:rFonts w:ascii="Times New Roman" w:hAnsi="Times New Roman"/>
          <w:sz w:val="22"/>
          <w:szCs w:val="22"/>
        </w:rPr>
        <w:t>Lastly</w:t>
      </w:r>
      <w:r w:rsidR="005E69E9">
        <w:rPr>
          <w:rFonts w:ascii="Times New Roman" w:hAnsi="Times New Roman"/>
          <w:sz w:val="22"/>
          <w:szCs w:val="22"/>
        </w:rPr>
        <w:t xml:space="preserve"> by </w:t>
      </w:r>
      <w:r w:rsidRPr="00CD7812" w:rsidR="00CD7812">
        <w:rPr>
          <w:rFonts w:ascii="Times New Roman" w:hAnsi="Times New Roman"/>
          <w:sz w:val="22"/>
          <w:szCs w:val="22"/>
        </w:rPr>
        <w:t xml:space="preserve">recruiting from the pre-selected </w:t>
      </w:r>
      <w:proofErr w:type="spellStart"/>
      <w:r w:rsidRPr="00CD7812" w:rsidR="00CD7812">
        <w:rPr>
          <w:rFonts w:ascii="Times New Roman" w:hAnsi="Times New Roman"/>
          <w:sz w:val="22"/>
          <w:szCs w:val="22"/>
        </w:rPr>
        <w:t>AmeriSpeak</w:t>
      </w:r>
      <w:proofErr w:type="spellEnd"/>
      <w:r w:rsidRPr="00CD7812" w:rsidR="00CD7812">
        <w:rPr>
          <w:rFonts w:ascii="Times New Roman" w:hAnsi="Times New Roman"/>
          <w:sz w:val="22"/>
          <w:szCs w:val="22"/>
        </w:rPr>
        <w:t xml:space="preserve"> Panel, potential participants have already been recruited to receive survey invites as part of the panel, </w:t>
      </w:r>
      <w:r w:rsidR="005E69E9">
        <w:rPr>
          <w:rFonts w:ascii="Times New Roman" w:hAnsi="Times New Roman"/>
          <w:sz w:val="22"/>
          <w:szCs w:val="22"/>
        </w:rPr>
        <w:t xml:space="preserve">and </w:t>
      </w:r>
      <w:r w:rsidRPr="00CD7812" w:rsidR="00CD7812">
        <w:rPr>
          <w:rFonts w:ascii="Times New Roman" w:hAnsi="Times New Roman"/>
          <w:sz w:val="22"/>
          <w:szCs w:val="22"/>
        </w:rPr>
        <w:t xml:space="preserve">costs </w:t>
      </w:r>
      <w:r w:rsidRPr="002A62D6">
        <w:rPr>
          <w:rFonts w:ascii="Times New Roman" w:hAnsi="Times New Roman"/>
          <w:sz w:val="22"/>
          <w:szCs w:val="22"/>
        </w:rPr>
        <w:t>and respondent burden associated with locating and contacting activities are kept to a minimum.</w:t>
      </w:r>
    </w:p>
    <w:p w:rsidR="007F7D10" w:rsidP="00990438" w:rsidRDefault="007F7D10" w14:paraId="00A9023D" w14:textId="43C7BFDE">
      <w:pPr>
        <w:pStyle w:val="Heading2"/>
        <w:spacing w:before="240" w:after="200"/>
        <w:rPr>
          <w:rFonts w:ascii="Times New Roman" w:hAnsi="Times New Roman" w:cs="Times New Roman"/>
          <w:b/>
          <w:color w:val="auto"/>
          <w:sz w:val="24"/>
          <w:szCs w:val="24"/>
        </w:rPr>
      </w:pPr>
      <w:bookmarkStart w:name="_Toc50987037" w:id="11"/>
      <w:r w:rsidRPr="00FC5D2E">
        <w:rPr>
          <w:rFonts w:ascii="Times New Roman" w:hAnsi="Times New Roman" w:cs="Times New Roman"/>
          <w:b/>
          <w:color w:val="auto"/>
          <w:sz w:val="24"/>
          <w:szCs w:val="24"/>
        </w:rPr>
        <w:t>A.4.</w:t>
      </w:r>
      <w:r w:rsidR="002F5B9E">
        <w:rPr>
          <w:rFonts w:ascii="Times New Roman" w:hAnsi="Times New Roman" w:cs="Times New Roman"/>
          <w:b/>
          <w:color w:val="auto"/>
          <w:sz w:val="24"/>
          <w:szCs w:val="24"/>
        </w:rPr>
        <w:tab/>
      </w:r>
      <w:r w:rsidRPr="00FC5D2E">
        <w:rPr>
          <w:rFonts w:ascii="Times New Roman" w:hAnsi="Times New Roman" w:cs="Times New Roman"/>
          <w:b/>
          <w:color w:val="auto"/>
          <w:sz w:val="24"/>
          <w:szCs w:val="24"/>
        </w:rPr>
        <w:t>Efforts to Identify Duplication and Use of Similar Information</w:t>
      </w:r>
      <w:bookmarkEnd w:id="11"/>
    </w:p>
    <w:p w:rsidR="006E25C6" w:rsidP="006E25C6" w:rsidRDefault="006E25C6" w14:paraId="0EDFE500" w14:textId="58B83338">
      <w:pPr>
        <w:pStyle w:val="ListParagraph"/>
        <w:spacing w:before="240" w:line="360" w:lineRule="auto"/>
        <w:ind w:left="0"/>
        <w:rPr>
          <w:rFonts w:ascii="Times New Roman" w:hAnsi="Times New Roman" w:cs="Times New Roman"/>
        </w:rPr>
      </w:pPr>
      <w:r w:rsidRPr="00F33FA1">
        <w:rPr>
          <w:rFonts w:ascii="Times New Roman" w:hAnsi="Times New Roman" w:cs="Times New Roman"/>
        </w:rPr>
        <w:t>Based on a division- and federal-wide review, CDC has determined that the planned data collection efforts do not duplicate any other current or previous data collection efforts related to</w:t>
      </w:r>
      <w:r>
        <w:rPr>
          <w:rFonts w:ascii="Times New Roman" w:hAnsi="Times New Roman" w:cs="Times New Roman"/>
        </w:rPr>
        <w:t xml:space="preserve"> </w:t>
      </w:r>
      <w:r w:rsidR="007E0753">
        <w:rPr>
          <w:rFonts w:ascii="Times New Roman" w:hAnsi="Times New Roman" w:cs="Times New Roman"/>
        </w:rPr>
        <w:t>protective factors, health education experiences, or health service use and mental health or sexual health</w:t>
      </w:r>
      <w:r>
        <w:rPr>
          <w:rFonts w:ascii="Times New Roman" w:hAnsi="Times New Roman" w:cs="Times New Roman"/>
        </w:rPr>
        <w:t xml:space="preserve">. </w:t>
      </w:r>
      <w:r w:rsidR="007E0753">
        <w:rPr>
          <w:rFonts w:ascii="Times New Roman" w:hAnsi="Times New Roman" w:cs="Times New Roman"/>
        </w:rPr>
        <w:t xml:space="preserve"> </w:t>
      </w:r>
      <w:r w:rsidRPr="007E0753" w:rsidR="007E0753">
        <w:rPr>
          <w:rFonts w:ascii="Times New Roman" w:hAnsi="Times New Roman" w:cs="Times New Roman"/>
        </w:rPr>
        <w:t xml:space="preserve">An ongoing and updated environmental scan and literature review revealed no known projects with </w:t>
      </w:r>
      <w:r w:rsidR="007E0753">
        <w:rPr>
          <w:rFonts w:ascii="Times New Roman" w:hAnsi="Times New Roman" w:cs="Times New Roman"/>
        </w:rPr>
        <w:t xml:space="preserve">a </w:t>
      </w:r>
      <w:r w:rsidRPr="007E0753" w:rsidR="007E0753">
        <w:rPr>
          <w:rFonts w:ascii="Times New Roman" w:hAnsi="Times New Roman" w:cs="Times New Roman"/>
        </w:rPr>
        <w:t>similar</w:t>
      </w:r>
      <w:r w:rsidR="007E0753">
        <w:rPr>
          <w:rFonts w:ascii="Times New Roman" w:hAnsi="Times New Roman" w:cs="Times New Roman"/>
        </w:rPr>
        <w:t>ly</w:t>
      </w:r>
      <w:r w:rsidRPr="007E0753" w:rsidR="007E0753">
        <w:rPr>
          <w:rFonts w:ascii="Times New Roman" w:hAnsi="Times New Roman" w:cs="Times New Roman"/>
        </w:rPr>
        <w:t xml:space="preserve"> </w:t>
      </w:r>
      <w:r w:rsidR="007E0753">
        <w:rPr>
          <w:rFonts w:ascii="Times New Roman" w:hAnsi="Times New Roman" w:cs="Times New Roman"/>
        </w:rPr>
        <w:t xml:space="preserve">focused </w:t>
      </w:r>
      <w:r w:rsidRPr="007E0753" w:rsidR="007E0753">
        <w:rPr>
          <w:rFonts w:ascii="Times New Roman" w:hAnsi="Times New Roman" w:cs="Times New Roman"/>
        </w:rPr>
        <w:t xml:space="preserve">data collection effort. Colleagues from </w:t>
      </w:r>
      <w:r w:rsidR="007E0753">
        <w:rPr>
          <w:rFonts w:ascii="Times New Roman" w:hAnsi="Times New Roman" w:cs="Times New Roman"/>
        </w:rPr>
        <w:t xml:space="preserve">other CDC Divisions including the Division of STD Prevention, the Division of Reproductive Health, and Division of Violence Prevention </w:t>
      </w:r>
      <w:r w:rsidRPr="007E0753" w:rsidR="007E0753">
        <w:rPr>
          <w:rFonts w:ascii="Times New Roman" w:hAnsi="Times New Roman" w:cs="Times New Roman"/>
        </w:rPr>
        <w:t xml:space="preserve">were </w:t>
      </w:r>
      <w:r w:rsidR="007E0753">
        <w:rPr>
          <w:rFonts w:ascii="Times New Roman" w:hAnsi="Times New Roman" w:cs="Times New Roman"/>
        </w:rPr>
        <w:t>consulted</w:t>
      </w:r>
      <w:r w:rsidRPr="007E0753" w:rsidR="007E0753">
        <w:rPr>
          <w:rFonts w:ascii="Times New Roman" w:hAnsi="Times New Roman" w:cs="Times New Roman"/>
        </w:rPr>
        <w:t xml:space="preserve"> </w:t>
      </w:r>
      <w:r w:rsidR="007E0753">
        <w:rPr>
          <w:rFonts w:ascii="Times New Roman" w:hAnsi="Times New Roman" w:cs="Times New Roman"/>
        </w:rPr>
        <w:t>to consolidate research questions across areas of interest and to review data collection tools. Additionally, external experts</w:t>
      </w:r>
      <w:r>
        <w:rPr>
          <w:rFonts w:ascii="Times New Roman" w:hAnsi="Times New Roman" w:cs="Times New Roman"/>
        </w:rPr>
        <w:t xml:space="preserve"> </w:t>
      </w:r>
      <w:r w:rsidR="007E0753">
        <w:rPr>
          <w:rFonts w:ascii="Times New Roman" w:hAnsi="Times New Roman" w:cs="Times New Roman"/>
        </w:rPr>
        <w:t xml:space="preserve">in the fields of health education, adolescent health, and mental and sexual health service research were regularly consulted throughout project and instrument development </w:t>
      </w:r>
      <w:r>
        <w:rPr>
          <w:rFonts w:ascii="Times New Roman" w:hAnsi="Times New Roman" w:cs="Times New Roman"/>
        </w:rPr>
        <w:t xml:space="preserve">to ensure the content was relevant and there were not similar efforts already in place. </w:t>
      </w:r>
    </w:p>
    <w:p w:rsidRPr="00FC5D2E" w:rsidR="007F7D10" w:rsidP="003756D0" w:rsidRDefault="002F5B9E" w14:paraId="1EDB2B75" w14:textId="0177A941">
      <w:pPr>
        <w:pStyle w:val="Heading2"/>
        <w:spacing w:before="240" w:after="200" w:line="360" w:lineRule="auto"/>
        <w:contextualSpacing/>
        <w:rPr>
          <w:rFonts w:ascii="Times New Roman" w:hAnsi="Times New Roman" w:cs="Times New Roman"/>
          <w:b/>
          <w:sz w:val="24"/>
          <w:szCs w:val="24"/>
        </w:rPr>
      </w:pPr>
      <w:bookmarkStart w:name="_Toc50987038" w:id="12"/>
      <w:r>
        <w:rPr>
          <w:rFonts w:ascii="Times New Roman" w:hAnsi="Times New Roman" w:cs="Times New Roman"/>
          <w:b/>
          <w:color w:val="auto"/>
          <w:sz w:val="24"/>
          <w:szCs w:val="24"/>
        </w:rPr>
        <w:lastRenderedPageBreak/>
        <w:t>A.5.</w:t>
      </w:r>
      <w:r>
        <w:rPr>
          <w:rFonts w:ascii="Times New Roman" w:hAnsi="Times New Roman" w:cs="Times New Roman"/>
          <w:b/>
          <w:color w:val="auto"/>
          <w:sz w:val="24"/>
          <w:szCs w:val="24"/>
        </w:rPr>
        <w:tab/>
      </w:r>
      <w:r w:rsidRPr="00FC5D2E" w:rsidR="007F7D10">
        <w:rPr>
          <w:rFonts w:ascii="Times New Roman" w:hAnsi="Times New Roman" w:cs="Times New Roman"/>
          <w:b/>
          <w:color w:val="auto"/>
          <w:sz w:val="24"/>
          <w:szCs w:val="24"/>
        </w:rPr>
        <w:t>Impact on Small Business or Other Small Entities</w:t>
      </w:r>
      <w:bookmarkEnd w:id="12"/>
    </w:p>
    <w:p w:rsidRPr="001F544F" w:rsidR="007F7D10" w:rsidP="003756D0" w:rsidRDefault="007F7D10" w14:paraId="591EF20E" w14:textId="77777777">
      <w:pPr>
        <w:spacing w:before="240" w:after="200" w:line="360" w:lineRule="auto"/>
        <w:contextualSpacing/>
        <w:rPr>
          <w:rFonts w:ascii="Times New Roman" w:hAnsi="Times New Roman"/>
          <w:sz w:val="22"/>
          <w:szCs w:val="22"/>
        </w:rPr>
      </w:pPr>
      <w:r w:rsidRPr="001F544F">
        <w:rPr>
          <w:rFonts w:ascii="Times New Roman" w:hAnsi="Times New Roman"/>
          <w:sz w:val="22"/>
          <w:szCs w:val="22"/>
        </w:rPr>
        <w:t>This data collection effort does not involve any small businesses or other small entities.</w:t>
      </w:r>
    </w:p>
    <w:p w:rsidR="007F7D10" w:rsidP="001F544F" w:rsidRDefault="002F5B9E" w14:paraId="678D18F4" w14:textId="5C00EA2D">
      <w:pPr>
        <w:pStyle w:val="Heading2"/>
        <w:spacing w:before="240" w:after="200" w:line="360" w:lineRule="auto"/>
        <w:rPr>
          <w:rFonts w:ascii="Times New Roman" w:hAnsi="Times New Roman" w:cs="Times New Roman"/>
          <w:b/>
          <w:color w:val="auto"/>
          <w:sz w:val="24"/>
          <w:szCs w:val="24"/>
        </w:rPr>
      </w:pPr>
      <w:bookmarkStart w:name="_Toc50987039" w:id="13"/>
      <w:r>
        <w:rPr>
          <w:rFonts w:ascii="Times New Roman" w:hAnsi="Times New Roman" w:cs="Times New Roman"/>
          <w:b/>
          <w:color w:val="auto"/>
          <w:sz w:val="24"/>
          <w:szCs w:val="24"/>
        </w:rPr>
        <w:t>A.6.</w:t>
      </w:r>
      <w:r>
        <w:rPr>
          <w:rFonts w:ascii="Times New Roman" w:hAnsi="Times New Roman" w:cs="Times New Roman"/>
          <w:b/>
          <w:color w:val="auto"/>
          <w:sz w:val="24"/>
          <w:szCs w:val="24"/>
        </w:rPr>
        <w:tab/>
      </w:r>
      <w:r w:rsidRPr="00FC5D2E" w:rsidR="007F7D10">
        <w:rPr>
          <w:rFonts w:ascii="Times New Roman" w:hAnsi="Times New Roman" w:cs="Times New Roman"/>
          <w:b/>
          <w:color w:val="auto"/>
          <w:sz w:val="24"/>
          <w:szCs w:val="24"/>
        </w:rPr>
        <w:t>Consequences of Collecting the Information Less Frequently</w:t>
      </w:r>
      <w:bookmarkEnd w:id="13"/>
      <w:r w:rsidRPr="00FC5D2E" w:rsidR="007F7D10">
        <w:rPr>
          <w:rFonts w:ascii="Times New Roman" w:hAnsi="Times New Roman" w:cs="Times New Roman"/>
          <w:b/>
          <w:color w:val="auto"/>
          <w:sz w:val="24"/>
          <w:szCs w:val="24"/>
        </w:rPr>
        <w:t xml:space="preserve"> </w:t>
      </w:r>
    </w:p>
    <w:p w:rsidR="005C4539" w:rsidP="00D15ECE" w:rsidRDefault="005C4539" w14:paraId="3A9B707D" w14:textId="212B8850">
      <w:pPr>
        <w:pStyle w:val="ListParagraph"/>
        <w:spacing w:before="240" w:line="360" w:lineRule="auto"/>
        <w:ind w:left="0"/>
        <w:rPr>
          <w:rFonts w:ascii="Times New Roman" w:hAnsi="Times New Roman" w:cs="Times New Roman"/>
        </w:rPr>
      </w:pPr>
      <w:r>
        <w:rPr>
          <w:rFonts w:ascii="Times New Roman" w:hAnsi="Times New Roman" w:cs="Times New Roman"/>
        </w:rPr>
        <w:t xml:space="preserve">Although there is a well-documented </w:t>
      </w:r>
      <w:r w:rsidR="00056797">
        <w:rPr>
          <w:rFonts w:ascii="Times New Roman" w:hAnsi="Times New Roman" w:cs="Times New Roman"/>
        </w:rPr>
        <w:t xml:space="preserve">research </w:t>
      </w:r>
      <w:r>
        <w:rPr>
          <w:rFonts w:ascii="Times New Roman" w:hAnsi="Times New Roman" w:cs="Times New Roman"/>
        </w:rPr>
        <w:t>on adolescent risk behaviors</w:t>
      </w:r>
      <w:r w:rsidRPr="001F544F" w:rsidR="006E25C6">
        <w:rPr>
          <w:rFonts w:ascii="Times New Roman" w:hAnsi="Times New Roman" w:cs="Times New Roman"/>
        </w:rPr>
        <w:t>, there is a gap in the existing knowledge base</w:t>
      </w:r>
      <w:r>
        <w:rPr>
          <w:rFonts w:ascii="Times New Roman" w:hAnsi="Times New Roman" w:cs="Times New Roman"/>
        </w:rPr>
        <w:t xml:space="preserve"> on the protective factors that may ameliorate negative adolescent experiences and health</w:t>
      </w:r>
      <w:r w:rsidRPr="001F544F" w:rsidR="006E25C6">
        <w:rPr>
          <w:rFonts w:ascii="Times New Roman" w:hAnsi="Times New Roman" w:cs="Times New Roman"/>
        </w:rPr>
        <w:t>.</w:t>
      </w:r>
      <w:r w:rsidR="00BA1E60">
        <w:rPr>
          <w:rFonts w:ascii="Times New Roman" w:hAnsi="Times New Roman" w:cs="Times New Roman"/>
        </w:rPr>
        <w:t xml:space="preserve"> </w:t>
      </w:r>
      <w:r>
        <w:rPr>
          <w:rFonts w:ascii="Times New Roman" w:hAnsi="Times New Roman" w:cs="Times New Roman"/>
        </w:rPr>
        <w:t>T</w:t>
      </w:r>
      <w:r w:rsidRPr="005C4539">
        <w:rPr>
          <w:rFonts w:ascii="Times New Roman" w:hAnsi="Times New Roman" w:cs="Times New Roman"/>
        </w:rPr>
        <w:t>here is limited recent national data on the prevalence of family- and school-level protective factors, and associations with health information- and health care-seeking have not been well-studied. In general, data about health education, whether school-based or via other channels, including social media, is sparse, and key dimensions such as acceptability and quality are additional detail about the nuances of adolescent-parent-provider interactions, such as adolescent comfort and truthfulness disclosing sensitive behaviors and parents’ reactions to time alone between an adolescent and provider.</w:t>
      </w:r>
    </w:p>
    <w:p w:rsidRPr="005C4539" w:rsidR="00D15ECE" w:rsidP="00D15ECE" w:rsidRDefault="00D15ECE" w14:paraId="0C0027C2" w14:textId="77777777">
      <w:pPr>
        <w:pStyle w:val="ListParagraph"/>
        <w:spacing w:before="240" w:line="360" w:lineRule="auto"/>
        <w:ind w:left="0"/>
        <w:rPr>
          <w:rFonts w:ascii="Times New Roman" w:hAnsi="Times New Roman" w:cs="Times New Roman"/>
        </w:rPr>
      </w:pPr>
    </w:p>
    <w:p w:rsidRPr="006E25C6" w:rsidR="006E25C6" w:rsidP="005C4539" w:rsidRDefault="005C4539" w14:paraId="5D27F741" w14:textId="5DAB1067">
      <w:pPr>
        <w:pStyle w:val="ListParagraph"/>
        <w:spacing w:before="240" w:line="360" w:lineRule="auto"/>
        <w:ind w:left="0"/>
        <w:rPr>
          <w:rFonts w:ascii="Times New Roman" w:hAnsi="Times New Roman" w:cs="Times New Roman"/>
        </w:rPr>
      </w:pPr>
      <w:r w:rsidRPr="005C4539">
        <w:rPr>
          <w:rFonts w:ascii="Times New Roman" w:hAnsi="Times New Roman" w:cs="Times New Roman"/>
        </w:rPr>
        <w:t xml:space="preserve">Collecting </w:t>
      </w:r>
      <w:r>
        <w:rPr>
          <w:rFonts w:ascii="Times New Roman" w:hAnsi="Times New Roman" w:cs="Times New Roman"/>
        </w:rPr>
        <w:t>a large</w:t>
      </w:r>
      <w:r w:rsidR="00D15ECE">
        <w:rPr>
          <w:rFonts w:ascii="Times New Roman" w:hAnsi="Times New Roman" w:cs="Times New Roman"/>
        </w:rPr>
        <w:t>-</w:t>
      </w:r>
      <w:r>
        <w:rPr>
          <w:rFonts w:ascii="Times New Roman" w:hAnsi="Times New Roman" w:cs="Times New Roman"/>
        </w:rPr>
        <w:t xml:space="preserve">scale comprehensive survey describing the role of protective factors, health education, and health service use </w:t>
      </w:r>
      <w:r w:rsidRPr="005C4539">
        <w:rPr>
          <w:rFonts w:ascii="Times New Roman" w:hAnsi="Times New Roman" w:cs="Times New Roman"/>
        </w:rPr>
        <w:t xml:space="preserve">provides the opportunity to examine untested associations with </w:t>
      </w:r>
      <w:r>
        <w:rPr>
          <w:rFonts w:ascii="Times New Roman" w:hAnsi="Times New Roman" w:cs="Times New Roman"/>
        </w:rPr>
        <w:t xml:space="preserve">mental health and </w:t>
      </w:r>
      <w:r w:rsidRPr="005C4539">
        <w:rPr>
          <w:rFonts w:ascii="Times New Roman" w:hAnsi="Times New Roman" w:cs="Times New Roman"/>
        </w:rPr>
        <w:t>sexual behavior outcomes</w:t>
      </w:r>
      <w:r w:rsidR="00D15ECE">
        <w:rPr>
          <w:rFonts w:ascii="Times New Roman" w:hAnsi="Times New Roman" w:cs="Times New Roman"/>
        </w:rPr>
        <w:t xml:space="preserve">. </w:t>
      </w:r>
      <w:r w:rsidRPr="001F544F" w:rsidR="006E25C6">
        <w:rPr>
          <w:rFonts w:ascii="Times New Roman" w:hAnsi="Times New Roman" w:cs="Times New Roman"/>
        </w:rPr>
        <w:t xml:space="preserve">Therefore, if data are not collected, an opportunity to assess the needs of this population and inform future public health efforts will have been missed. </w:t>
      </w:r>
      <w:r w:rsidR="006E25C6">
        <w:rPr>
          <w:rFonts w:ascii="Times New Roman" w:hAnsi="Times New Roman" w:cs="Times New Roman"/>
        </w:rPr>
        <w:t xml:space="preserve">Only key questions and topics are included in the survey </w:t>
      </w:r>
      <w:proofErr w:type="gramStart"/>
      <w:r w:rsidR="006E25C6">
        <w:rPr>
          <w:rFonts w:ascii="Times New Roman" w:hAnsi="Times New Roman" w:cs="Times New Roman"/>
        </w:rPr>
        <w:t>in order to</w:t>
      </w:r>
      <w:proofErr w:type="gramEnd"/>
      <w:r w:rsidR="006E25C6">
        <w:rPr>
          <w:rFonts w:ascii="Times New Roman" w:hAnsi="Times New Roman" w:cs="Times New Roman"/>
        </w:rPr>
        <w:t xml:space="preserve"> respect respondent burden, by keeping the survey administration time as short as possible.</w:t>
      </w:r>
    </w:p>
    <w:p w:rsidRPr="00FC5D2E" w:rsidR="00F865D0" w:rsidP="001F544F" w:rsidRDefault="001F544F" w14:paraId="6C268AEC" w14:textId="68FCDAA6">
      <w:pPr>
        <w:pStyle w:val="Heading2"/>
        <w:spacing w:before="240" w:after="200" w:line="360" w:lineRule="auto"/>
        <w:rPr>
          <w:rFonts w:ascii="Times New Roman" w:hAnsi="Times New Roman" w:cs="Times New Roman"/>
          <w:b/>
          <w:color w:val="auto"/>
          <w:sz w:val="24"/>
          <w:szCs w:val="24"/>
        </w:rPr>
      </w:pPr>
      <w:bookmarkStart w:name="_Toc50987040" w:id="14"/>
      <w:r>
        <w:rPr>
          <w:rFonts w:ascii="Times New Roman" w:hAnsi="Times New Roman" w:cs="Times New Roman"/>
          <w:b/>
          <w:color w:val="auto"/>
          <w:sz w:val="24"/>
          <w:szCs w:val="24"/>
        </w:rPr>
        <w:t>A.7.</w:t>
      </w:r>
      <w:r>
        <w:rPr>
          <w:rFonts w:ascii="Times New Roman" w:hAnsi="Times New Roman" w:cs="Times New Roman"/>
          <w:b/>
          <w:color w:val="auto"/>
          <w:sz w:val="24"/>
          <w:szCs w:val="24"/>
        </w:rPr>
        <w:tab/>
      </w:r>
      <w:r w:rsidRPr="00FC5D2E" w:rsidR="00F865D0">
        <w:rPr>
          <w:rFonts w:ascii="Times New Roman" w:hAnsi="Times New Roman" w:cs="Times New Roman"/>
          <w:b/>
          <w:color w:val="auto"/>
          <w:sz w:val="24"/>
          <w:szCs w:val="24"/>
        </w:rPr>
        <w:t>Special Circumstances Relating to the Guidelines of 5 CFR 1320.5</w:t>
      </w:r>
      <w:bookmarkEnd w:id="14"/>
    </w:p>
    <w:p w:rsidRPr="001F544F" w:rsidR="00F865D0" w:rsidP="001F544F" w:rsidRDefault="00F865D0" w14:paraId="7C72FA6A" w14:textId="77777777">
      <w:pPr>
        <w:spacing w:before="240" w:after="200" w:line="360" w:lineRule="auto"/>
        <w:rPr>
          <w:rFonts w:ascii="Times New Roman" w:hAnsi="Times New Roman"/>
          <w:sz w:val="22"/>
          <w:szCs w:val="22"/>
        </w:rPr>
      </w:pPr>
      <w:r w:rsidRPr="001F544F">
        <w:rPr>
          <w:rFonts w:ascii="Times New Roman" w:hAnsi="Times New Roman"/>
          <w:sz w:val="22"/>
          <w:szCs w:val="22"/>
        </w:rPr>
        <w:t>There are no special circumstances with this information collection package. This request fully complies with the regulation 5 CFR 1320.5.</w:t>
      </w:r>
    </w:p>
    <w:p w:rsidRPr="00FC5D2E" w:rsidR="00F865D0" w:rsidP="001F544F" w:rsidRDefault="001F544F" w14:paraId="49134550" w14:textId="5645F1CC">
      <w:pPr>
        <w:pStyle w:val="Heading2"/>
        <w:spacing w:before="240" w:after="200" w:line="360" w:lineRule="auto"/>
        <w:ind w:left="720" w:hanging="720"/>
        <w:rPr>
          <w:rFonts w:ascii="Times New Roman" w:hAnsi="Times New Roman" w:cs="Times New Roman"/>
          <w:b/>
          <w:color w:val="auto"/>
          <w:sz w:val="24"/>
          <w:szCs w:val="24"/>
        </w:rPr>
      </w:pPr>
      <w:bookmarkStart w:name="_Toc50987041" w:id="15"/>
      <w:r>
        <w:rPr>
          <w:rFonts w:ascii="Times New Roman" w:hAnsi="Times New Roman" w:cs="Times New Roman"/>
          <w:b/>
          <w:color w:val="auto"/>
          <w:sz w:val="24"/>
          <w:szCs w:val="24"/>
        </w:rPr>
        <w:t>A.8.</w:t>
      </w:r>
      <w:r>
        <w:rPr>
          <w:rFonts w:ascii="Times New Roman" w:hAnsi="Times New Roman" w:cs="Times New Roman"/>
          <w:b/>
          <w:color w:val="auto"/>
          <w:sz w:val="24"/>
          <w:szCs w:val="24"/>
        </w:rPr>
        <w:tab/>
      </w:r>
      <w:r w:rsidRPr="00FC5D2E" w:rsidR="00F865D0">
        <w:rPr>
          <w:rFonts w:ascii="Times New Roman" w:hAnsi="Times New Roman" w:cs="Times New Roman"/>
          <w:b/>
          <w:color w:val="auto"/>
          <w:sz w:val="24"/>
          <w:szCs w:val="24"/>
        </w:rPr>
        <w:t>Comments in Response to the Federal Register Notice and Efforts to Consult Outside the Agency</w:t>
      </w:r>
      <w:bookmarkEnd w:id="15"/>
    </w:p>
    <w:p w:rsidRPr="001F544F" w:rsidR="00F865D0" w:rsidP="001F544F" w:rsidRDefault="00F865D0" w14:paraId="3A80DE45" w14:textId="77777777">
      <w:pPr>
        <w:pStyle w:val="ListParagraph"/>
        <w:numPr>
          <w:ilvl w:val="0"/>
          <w:numId w:val="5"/>
        </w:numPr>
        <w:spacing w:before="240" w:line="360" w:lineRule="auto"/>
        <w:contextualSpacing w:val="0"/>
        <w:rPr>
          <w:rFonts w:ascii="Times New Roman" w:hAnsi="Times New Roman" w:cs="Times New Roman"/>
        </w:rPr>
      </w:pPr>
      <w:r w:rsidRPr="001F544F">
        <w:rPr>
          <w:rFonts w:ascii="Times New Roman" w:hAnsi="Times New Roman" w:cs="Times New Roman"/>
        </w:rPr>
        <w:t>Federal Register Notice</w:t>
      </w:r>
    </w:p>
    <w:p w:rsidR="00F865D0" w:rsidP="001F544F" w:rsidRDefault="00F865D0" w14:paraId="15B9D785" w14:textId="7219AA34">
      <w:pPr>
        <w:pStyle w:val="ListParagraph"/>
        <w:spacing w:before="240" w:line="360" w:lineRule="auto"/>
        <w:rPr>
          <w:rFonts w:ascii="Times New Roman" w:hAnsi="Times New Roman" w:cs="Times New Roman"/>
        </w:rPr>
      </w:pPr>
      <w:r w:rsidRPr="001F544F">
        <w:rPr>
          <w:rFonts w:ascii="Times New Roman" w:hAnsi="Times New Roman" w:cs="Times New Roman"/>
        </w:rPr>
        <w:t xml:space="preserve">In accordance with 5 CFR 1320.8(d), </w:t>
      </w:r>
      <w:r w:rsidRPr="0064103E" w:rsidR="0064103E">
        <w:rPr>
          <w:rFonts w:ascii="Times New Roman" w:hAnsi="Times New Roman" w:cs="Times New Roman"/>
        </w:rPr>
        <w:t>2021</w:t>
      </w:r>
      <w:r w:rsidR="0064103E">
        <w:rPr>
          <w:rFonts w:ascii="Times New Roman" w:hAnsi="Times New Roman" w:cs="Times New Roman"/>
        </w:rPr>
        <w:t xml:space="preserve"> </w:t>
      </w:r>
      <w:r w:rsidRPr="001F544F" w:rsidR="0064103E">
        <w:rPr>
          <w:rFonts w:ascii="Times New Roman" w:hAnsi="Times New Roman" w:cs="Times New Roman"/>
        </w:rPr>
        <w:t xml:space="preserve">a 60-day notice for public comment was published in the </w:t>
      </w:r>
      <w:r w:rsidRPr="001F544F" w:rsidR="0064103E">
        <w:rPr>
          <w:rFonts w:ascii="Times New Roman" w:hAnsi="Times New Roman" w:cs="Times New Roman"/>
          <w:i/>
        </w:rPr>
        <w:t>Federal Register</w:t>
      </w:r>
      <w:r w:rsidR="0064103E">
        <w:rPr>
          <w:rFonts w:ascii="Times New Roman" w:hAnsi="Times New Roman" w:cs="Times New Roman"/>
          <w:i/>
        </w:rPr>
        <w:t xml:space="preserve"> </w:t>
      </w:r>
      <w:r w:rsidRPr="0064103E" w:rsidR="0064103E">
        <w:rPr>
          <w:rFonts w:ascii="Times New Roman" w:hAnsi="Times New Roman" w:cs="Times New Roman"/>
        </w:rPr>
        <w:t>Friday, July 2</w:t>
      </w:r>
      <w:r w:rsidR="0064103E">
        <w:rPr>
          <w:rFonts w:ascii="Times New Roman" w:hAnsi="Times New Roman" w:cs="Times New Roman"/>
        </w:rPr>
        <w:t xml:space="preserve">, 2021, </w:t>
      </w:r>
      <w:r w:rsidRPr="0064103E" w:rsidR="0064103E">
        <w:rPr>
          <w:rFonts w:ascii="Times New Roman" w:hAnsi="Times New Roman" w:cs="Times New Roman"/>
        </w:rPr>
        <w:t>Vol. 86, No. 125,</w:t>
      </w:r>
      <w:r w:rsidR="0064103E">
        <w:rPr>
          <w:rFonts w:ascii="Times New Roman" w:hAnsi="Times New Roman" w:cs="Times New Roman"/>
        </w:rPr>
        <w:t xml:space="preserve"> page</w:t>
      </w:r>
      <w:r w:rsidRPr="0064103E" w:rsidR="0064103E">
        <w:rPr>
          <w:rFonts w:ascii="Times New Roman" w:hAnsi="Times New Roman" w:cs="Times New Roman"/>
        </w:rPr>
        <w:t xml:space="preserve"> </w:t>
      </w:r>
      <w:r w:rsidRPr="00A7692E" w:rsidR="00A7692E">
        <w:rPr>
          <w:rFonts w:ascii="Times New Roman" w:hAnsi="Times New Roman" w:cs="Times New Roman"/>
        </w:rPr>
        <w:t xml:space="preserve">35294 </w:t>
      </w:r>
      <w:r w:rsidR="00672FC9">
        <w:rPr>
          <w:rFonts w:ascii="Times New Roman" w:hAnsi="Times New Roman" w:cs="Times New Roman"/>
          <w:b/>
          <w:bCs/>
          <w:iCs/>
        </w:rPr>
        <w:t>(Attachments 2)</w:t>
      </w:r>
      <w:r w:rsidRPr="001F544F">
        <w:rPr>
          <w:rFonts w:ascii="Times New Roman" w:hAnsi="Times New Roman" w:cs="Times New Roman"/>
        </w:rPr>
        <w:t xml:space="preserve">. </w:t>
      </w:r>
      <w:r w:rsidR="00BB69B9">
        <w:rPr>
          <w:rFonts w:ascii="Times New Roman" w:hAnsi="Times New Roman" w:cs="Times New Roman"/>
        </w:rPr>
        <w:t>No public comments were received.</w:t>
      </w:r>
    </w:p>
    <w:p w:rsidRPr="001F544F" w:rsidR="001F544F" w:rsidP="001F544F" w:rsidRDefault="001F544F" w14:paraId="4C0DB37B" w14:textId="77777777">
      <w:pPr>
        <w:pStyle w:val="ListParagraph"/>
        <w:spacing w:before="240" w:line="360" w:lineRule="auto"/>
        <w:rPr>
          <w:rFonts w:ascii="Times New Roman" w:hAnsi="Times New Roman" w:cs="Times New Roman"/>
        </w:rPr>
      </w:pPr>
    </w:p>
    <w:p w:rsidR="00F865D0" w:rsidP="001F544F" w:rsidRDefault="00F865D0" w14:paraId="158DD12D" w14:textId="77777777">
      <w:pPr>
        <w:pStyle w:val="ListParagraph"/>
        <w:numPr>
          <w:ilvl w:val="0"/>
          <w:numId w:val="5"/>
        </w:numPr>
        <w:spacing w:before="240" w:line="360" w:lineRule="auto"/>
        <w:rPr>
          <w:rFonts w:ascii="Times New Roman" w:hAnsi="Times New Roman" w:cs="Times New Roman"/>
        </w:rPr>
      </w:pPr>
      <w:r w:rsidRPr="001F544F">
        <w:rPr>
          <w:rFonts w:ascii="Times New Roman" w:hAnsi="Times New Roman" w:cs="Times New Roman"/>
        </w:rPr>
        <w:t>Efforts to Consult Outside the Agency</w:t>
      </w:r>
    </w:p>
    <w:p w:rsidRPr="00F66C60" w:rsidR="00730527" w:rsidP="00730527" w:rsidRDefault="00730527" w14:paraId="23002663" w14:textId="02C3CC02">
      <w:pPr>
        <w:spacing w:before="240" w:line="360" w:lineRule="auto"/>
        <w:rPr>
          <w:rFonts w:ascii="Times New Roman" w:hAnsi="Times New Roman"/>
          <w:sz w:val="22"/>
          <w:szCs w:val="22"/>
        </w:rPr>
      </w:pPr>
      <w:r w:rsidRPr="00F66C60">
        <w:rPr>
          <w:rFonts w:ascii="Times New Roman" w:hAnsi="Times New Roman"/>
          <w:sz w:val="22"/>
          <w:szCs w:val="22"/>
        </w:rPr>
        <w:lastRenderedPageBreak/>
        <w:t xml:space="preserve">Subject matter experts (SMEs) were consulted to get feedback on the survey domains and constructs. They also provided review and feedback of the adolescent and parent/caregiver questionnaires. NORC staff involved in the statistical aspects of the project are listed in the Supporting Statement Part B OMB document. Titles and contact information for all SMEs consulted are listed in the Table </w:t>
      </w:r>
      <w:r w:rsidR="00A7682E">
        <w:rPr>
          <w:rFonts w:ascii="Times New Roman" w:hAnsi="Times New Roman"/>
          <w:sz w:val="22"/>
          <w:szCs w:val="22"/>
        </w:rPr>
        <w:t>2</w:t>
      </w:r>
      <w:r w:rsidRPr="00F66C60">
        <w:rPr>
          <w:rFonts w:ascii="Times New Roman" w:hAnsi="Times New Roman"/>
          <w:sz w:val="22"/>
          <w:szCs w:val="22"/>
        </w:rPr>
        <w:t xml:space="preserve"> below: </w:t>
      </w:r>
    </w:p>
    <w:p w:rsidRPr="00AF2A7E" w:rsidR="00730527" w:rsidP="00730527" w:rsidRDefault="00AB12F1" w14:paraId="0E818456" w14:textId="454D4D53">
      <w:pPr>
        <w:spacing w:before="240" w:line="360" w:lineRule="auto"/>
        <w:rPr>
          <w:rFonts w:ascii="Times New Roman" w:hAnsi="Times New Roman"/>
          <w:bCs/>
          <w:sz w:val="24"/>
          <w:szCs w:val="24"/>
          <w:u w:val="single"/>
        </w:rPr>
      </w:pPr>
      <w:r w:rsidRPr="00AF2A7E">
        <w:rPr>
          <w:rFonts w:ascii="Times New Roman" w:hAnsi="Times New Roman"/>
          <w:bCs/>
          <w:sz w:val="24"/>
          <w:szCs w:val="24"/>
          <w:u w:val="single"/>
        </w:rPr>
        <w:t>Table 2</w:t>
      </w:r>
      <w:r w:rsidRPr="00AF2A7E" w:rsidR="00730527">
        <w:rPr>
          <w:rFonts w:ascii="Times New Roman" w:hAnsi="Times New Roman"/>
          <w:bCs/>
          <w:sz w:val="24"/>
          <w:szCs w:val="24"/>
          <w:u w:val="single"/>
        </w:rPr>
        <w:t>. List of Consulted Subject Matter Experts (SMEs)</w:t>
      </w:r>
    </w:p>
    <w:tbl>
      <w:tblPr>
        <w:tblStyle w:val="GridTable1Light"/>
        <w:tblW w:w="0" w:type="auto"/>
        <w:tblLook w:val="04A0" w:firstRow="1" w:lastRow="0" w:firstColumn="1" w:lastColumn="0" w:noHBand="0" w:noVBand="1"/>
      </w:tblPr>
      <w:tblGrid>
        <w:gridCol w:w="1285"/>
        <w:gridCol w:w="2212"/>
        <w:gridCol w:w="2839"/>
        <w:gridCol w:w="3014"/>
      </w:tblGrid>
      <w:tr w:rsidR="0057332F" w:rsidTr="00DC2F7D" w14:paraId="747040E7" w14:textId="2BB13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50A92" w:rsidR="00DC2F7D" w:rsidP="00C50A92" w:rsidRDefault="00DC2F7D" w14:paraId="4589716F" w14:textId="4817FC56">
            <w:pPr>
              <w:spacing w:after="240" w:line="360" w:lineRule="auto"/>
              <w:rPr>
                <w:rFonts w:ascii="Times New Roman" w:hAnsi="Times New Roman"/>
              </w:rPr>
            </w:pPr>
            <w:r w:rsidRPr="00C50A92">
              <w:rPr>
                <w:rFonts w:ascii="Times New Roman" w:hAnsi="Times New Roman"/>
              </w:rPr>
              <w:t>Name</w:t>
            </w:r>
          </w:p>
        </w:tc>
        <w:tc>
          <w:tcPr>
            <w:tcW w:w="0" w:type="auto"/>
          </w:tcPr>
          <w:p w:rsidRPr="00C50A92" w:rsidR="00DC2F7D" w:rsidP="00C50A92" w:rsidRDefault="00DC2F7D" w14:paraId="44D178AE" w14:textId="1946F233">
            <w:pPr>
              <w:spacing w:after="24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50A92">
              <w:rPr>
                <w:rFonts w:ascii="Times New Roman" w:hAnsi="Times New Roman"/>
              </w:rPr>
              <w:t>Affiliation</w:t>
            </w:r>
          </w:p>
        </w:tc>
        <w:tc>
          <w:tcPr>
            <w:tcW w:w="0" w:type="auto"/>
          </w:tcPr>
          <w:p w:rsidRPr="00C50A92" w:rsidR="00DC2F7D" w:rsidP="00C50A92" w:rsidRDefault="00DC2F7D" w14:paraId="330F7E62" w14:textId="055AB14B">
            <w:pPr>
              <w:spacing w:after="24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50A92">
              <w:rPr>
                <w:rFonts w:ascii="Times New Roman" w:hAnsi="Times New Roman"/>
              </w:rPr>
              <w:t>Email Address</w:t>
            </w:r>
          </w:p>
        </w:tc>
        <w:tc>
          <w:tcPr>
            <w:tcW w:w="0" w:type="auto"/>
          </w:tcPr>
          <w:p w:rsidRPr="00C50A92" w:rsidR="00DC2F7D" w:rsidP="00C50A92" w:rsidRDefault="00DC2F7D" w14:paraId="49BF8A15" w14:textId="6AE84BC8">
            <w:pPr>
              <w:spacing w:after="24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Type of input</w:t>
            </w:r>
          </w:p>
        </w:tc>
      </w:tr>
      <w:tr w:rsidR="0057332F" w:rsidTr="00DC2F7D" w14:paraId="698C0D13" w14:textId="77777777">
        <w:tc>
          <w:tcPr>
            <w:cnfStyle w:val="001000000000" w:firstRow="0" w:lastRow="0" w:firstColumn="1" w:lastColumn="0" w:oddVBand="0" w:evenVBand="0" w:oddHBand="0" w:evenHBand="0" w:firstRowFirstColumn="0" w:firstRowLastColumn="0" w:lastRowFirstColumn="0" w:lastRowLastColumn="0"/>
            <w:tcW w:w="0" w:type="auto"/>
          </w:tcPr>
          <w:p w:rsidR="0057332F" w:rsidP="0057332F" w:rsidRDefault="0057332F" w14:paraId="25E54A3D" w14:textId="4BFBC250">
            <w:pPr>
              <w:spacing w:after="240"/>
              <w:rPr>
                <w:rFonts w:ascii="Times New Roman" w:hAnsi="Times New Roman"/>
                <w:b w:val="0"/>
              </w:rPr>
            </w:pPr>
            <w:proofErr w:type="spellStart"/>
            <w:r>
              <w:rPr>
                <w:rFonts w:ascii="Times New Roman" w:hAnsi="Times New Roman"/>
                <w:b w:val="0"/>
              </w:rPr>
              <w:t>Alida</w:t>
            </w:r>
            <w:proofErr w:type="spellEnd"/>
            <w:r>
              <w:rPr>
                <w:rFonts w:ascii="Times New Roman" w:hAnsi="Times New Roman"/>
                <w:b w:val="0"/>
              </w:rPr>
              <w:t xml:space="preserve"> </w:t>
            </w:r>
            <w:proofErr w:type="spellStart"/>
            <w:r>
              <w:rPr>
                <w:rFonts w:ascii="Times New Roman" w:hAnsi="Times New Roman"/>
                <w:b w:val="0"/>
              </w:rPr>
              <w:t>Bouris</w:t>
            </w:r>
            <w:proofErr w:type="spellEnd"/>
          </w:p>
        </w:tc>
        <w:tc>
          <w:tcPr>
            <w:tcW w:w="0" w:type="auto"/>
          </w:tcPr>
          <w:p w:rsidR="0057332F" w:rsidP="0057332F" w:rsidRDefault="0057332F" w14:paraId="685DDA9A" w14:textId="1C971F05">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University of Chicago School of Social Service Administration</w:t>
            </w:r>
          </w:p>
        </w:tc>
        <w:tc>
          <w:tcPr>
            <w:tcW w:w="0" w:type="auto"/>
          </w:tcPr>
          <w:p w:rsidRPr="006B2D1C" w:rsidR="0057332F" w:rsidP="0057332F" w:rsidRDefault="0057332F" w14:paraId="73983AFB" w14:textId="0B62CF52">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B2D1C">
              <w:rPr>
                <w:rFonts w:ascii="Times New Roman" w:hAnsi="Times New Roman"/>
              </w:rPr>
              <w:t>abouris@uchicago.edu</w:t>
            </w:r>
          </w:p>
        </w:tc>
        <w:tc>
          <w:tcPr>
            <w:tcW w:w="0" w:type="auto"/>
          </w:tcPr>
          <w:p w:rsidRPr="00543234" w:rsidR="0057332F" w:rsidP="0057332F" w:rsidRDefault="0057332F" w14:paraId="321BA4BF" w14:textId="6FF39F82">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Provide specialized subject matter expert</w:t>
            </w:r>
            <w:r>
              <w:rPr>
                <w:rFonts w:ascii="Times New Roman" w:hAnsi="Times New Roman"/>
              </w:rPr>
              <w:t>ise in the development of survey instruments with a specific focus on protective constructs and inclusivity for sexual and gender minority youth.</w:t>
            </w:r>
          </w:p>
        </w:tc>
      </w:tr>
      <w:tr w:rsidR="0057332F" w:rsidTr="00DC2F7D" w14:paraId="55BEEBC5" w14:textId="77777777">
        <w:tc>
          <w:tcPr>
            <w:cnfStyle w:val="001000000000" w:firstRow="0" w:lastRow="0" w:firstColumn="1" w:lastColumn="0" w:oddVBand="0" w:evenVBand="0" w:oddHBand="0" w:evenHBand="0" w:firstRowFirstColumn="0" w:firstRowLastColumn="0" w:lastRowFirstColumn="0" w:lastRowLastColumn="0"/>
            <w:tcW w:w="0" w:type="auto"/>
          </w:tcPr>
          <w:p w:rsidRPr="00C50A92" w:rsidR="0057332F" w:rsidP="0057332F" w:rsidRDefault="0057332F" w14:paraId="511545F9" w14:textId="4D2D6182">
            <w:pPr>
              <w:spacing w:after="240"/>
              <w:rPr>
                <w:rFonts w:ascii="Times New Roman" w:hAnsi="Times New Roman"/>
                <w:b w:val="0"/>
              </w:rPr>
            </w:pPr>
            <w:r>
              <w:rPr>
                <w:rFonts w:ascii="Times New Roman" w:hAnsi="Times New Roman"/>
                <w:b w:val="0"/>
              </w:rPr>
              <w:t>Kevin Haggerty</w:t>
            </w:r>
          </w:p>
        </w:tc>
        <w:tc>
          <w:tcPr>
            <w:tcW w:w="0" w:type="auto"/>
          </w:tcPr>
          <w:p w:rsidR="0057332F" w:rsidP="0057332F" w:rsidRDefault="0057332F" w14:paraId="382A383A" w14:textId="65C08E4C">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Director, Social Development Research Group, University of Washington School of Social Work</w:t>
            </w:r>
          </w:p>
        </w:tc>
        <w:tc>
          <w:tcPr>
            <w:tcW w:w="0" w:type="auto"/>
          </w:tcPr>
          <w:p w:rsidRPr="00755ECA" w:rsidR="0057332F" w:rsidP="0057332F" w:rsidRDefault="0057332F" w14:paraId="46BBC995" w14:textId="3E257FC2">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B2D1C">
              <w:rPr>
                <w:rFonts w:ascii="Times New Roman" w:hAnsi="Times New Roman"/>
              </w:rPr>
              <w:t>haggerty@uw.edu</w:t>
            </w:r>
          </w:p>
        </w:tc>
        <w:tc>
          <w:tcPr>
            <w:tcW w:w="0" w:type="auto"/>
          </w:tcPr>
          <w:p w:rsidRPr="00543234" w:rsidR="0057332F" w:rsidP="0057332F" w:rsidRDefault="0057332F" w14:paraId="2D314208" w14:textId="4D92F3B8">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Provide specialized subject matter expert</w:t>
            </w:r>
            <w:r>
              <w:rPr>
                <w:rFonts w:ascii="Times New Roman" w:hAnsi="Times New Roman"/>
              </w:rPr>
              <w:t>ise in the development of survey instruments with a specific focus on protective constructs.</w:t>
            </w:r>
          </w:p>
        </w:tc>
      </w:tr>
      <w:tr w:rsidR="0057332F" w:rsidTr="00DC2F7D" w14:paraId="18B86B5F" w14:textId="542129C9">
        <w:tc>
          <w:tcPr>
            <w:cnfStyle w:val="001000000000" w:firstRow="0" w:lastRow="0" w:firstColumn="1" w:lastColumn="0" w:oddVBand="0" w:evenVBand="0" w:oddHBand="0" w:evenHBand="0" w:firstRowFirstColumn="0" w:firstRowLastColumn="0" w:lastRowFirstColumn="0" w:lastRowLastColumn="0"/>
            <w:tcW w:w="0" w:type="auto"/>
          </w:tcPr>
          <w:p w:rsidRPr="00C50A92" w:rsidR="0057332F" w:rsidP="0057332F" w:rsidRDefault="0057332F" w14:paraId="1176CCD1" w14:textId="20027520">
            <w:pPr>
              <w:spacing w:after="240"/>
              <w:rPr>
                <w:rFonts w:ascii="Times New Roman" w:hAnsi="Times New Roman"/>
                <w:b w:val="0"/>
              </w:rPr>
            </w:pPr>
            <w:r w:rsidRPr="00C50A92">
              <w:rPr>
                <w:rFonts w:ascii="Times New Roman" w:hAnsi="Times New Roman"/>
                <w:b w:val="0"/>
              </w:rPr>
              <w:t>Philip Leaf</w:t>
            </w:r>
          </w:p>
        </w:tc>
        <w:tc>
          <w:tcPr>
            <w:tcW w:w="0" w:type="auto"/>
          </w:tcPr>
          <w:p w:rsidR="0057332F" w:rsidP="0057332F" w:rsidRDefault="0057332F" w14:paraId="159C1AD0" w14:textId="475F9AC8">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Director, Center for Adolescent Health, Johns Hopkins Bloomberg School of Public Health</w:t>
            </w:r>
          </w:p>
        </w:tc>
        <w:tc>
          <w:tcPr>
            <w:tcW w:w="0" w:type="auto"/>
          </w:tcPr>
          <w:p w:rsidR="0057332F" w:rsidP="0057332F" w:rsidRDefault="0057332F" w14:paraId="20BD4979" w14:textId="21C19E68">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ECA">
              <w:rPr>
                <w:rFonts w:ascii="Times New Roman" w:hAnsi="Times New Roman"/>
              </w:rPr>
              <w:t>pleaf1@jhu.edu</w:t>
            </w:r>
          </w:p>
        </w:tc>
        <w:tc>
          <w:tcPr>
            <w:tcW w:w="0" w:type="auto"/>
          </w:tcPr>
          <w:p w:rsidRPr="00755ECA" w:rsidR="0057332F" w:rsidP="0057332F" w:rsidRDefault="0057332F" w14:paraId="174CDBEA" w14:textId="03AE50A6">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Provide specialized subject matter expert</w:t>
            </w:r>
            <w:r>
              <w:rPr>
                <w:rFonts w:ascii="Times New Roman" w:hAnsi="Times New Roman"/>
              </w:rPr>
              <w:t>ise in the development of survey instruments with a specific focus on mental health and substance use items.</w:t>
            </w:r>
          </w:p>
        </w:tc>
      </w:tr>
      <w:tr w:rsidR="0057332F" w:rsidTr="00DC2F7D" w14:paraId="4299CD95" w14:textId="7A9D55F4">
        <w:tc>
          <w:tcPr>
            <w:cnfStyle w:val="001000000000" w:firstRow="0" w:lastRow="0" w:firstColumn="1" w:lastColumn="0" w:oddVBand="0" w:evenVBand="0" w:oddHBand="0" w:evenHBand="0" w:firstRowFirstColumn="0" w:firstRowLastColumn="0" w:lastRowFirstColumn="0" w:lastRowLastColumn="0"/>
            <w:tcW w:w="0" w:type="auto"/>
          </w:tcPr>
          <w:p w:rsidRPr="00C50A92" w:rsidR="0057332F" w:rsidP="0057332F" w:rsidRDefault="0057332F" w14:paraId="75FBC8C4" w14:textId="05A2EB8C">
            <w:pPr>
              <w:spacing w:after="240"/>
              <w:rPr>
                <w:rFonts w:ascii="Times New Roman" w:hAnsi="Times New Roman"/>
                <w:b w:val="0"/>
              </w:rPr>
            </w:pPr>
            <w:r w:rsidRPr="00C50A92">
              <w:rPr>
                <w:rFonts w:ascii="Times New Roman" w:hAnsi="Times New Roman"/>
                <w:b w:val="0"/>
              </w:rPr>
              <w:t>Annie-Laurie McRee</w:t>
            </w:r>
          </w:p>
        </w:tc>
        <w:tc>
          <w:tcPr>
            <w:tcW w:w="0" w:type="auto"/>
          </w:tcPr>
          <w:p w:rsidR="0057332F" w:rsidP="0057332F" w:rsidRDefault="0057332F" w14:paraId="5751FC51" w14:textId="05C673D4">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University of Minnesota Department of Pediatrics</w:t>
            </w:r>
          </w:p>
        </w:tc>
        <w:tc>
          <w:tcPr>
            <w:tcW w:w="0" w:type="auto"/>
          </w:tcPr>
          <w:p w:rsidR="0057332F" w:rsidP="0057332F" w:rsidRDefault="0057332F" w14:paraId="7F4985AA" w14:textId="6E5EBCFC">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ECA">
              <w:rPr>
                <w:rFonts w:ascii="Times New Roman" w:hAnsi="Times New Roman"/>
              </w:rPr>
              <w:t>almcree@umn.edu</w:t>
            </w:r>
          </w:p>
        </w:tc>
        <w:tc>
          <w:tcPr>
            <w:tcW w:w="0" w:type="auto"/>
          </w:tcPr>
          <w:p w:rsidRPr="00755ECA" w:rsidR="0057332F" w:rsidP="0057332F" w:rsidRDefault="0057332F" w14:paraId="00F76975" w14:textId="7E5CAC96">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 xml:space="preserve">Provide specialized subject matter expertise in the development of survey instruments with a specific focus on </w:t>
            </w:r>
            <w:r>
              <w:rPr>
                <w:rFonts w:ascii="Times New Roman" w:hAnsi="Times New Roman"/>
              </w:rPr>
              <w:t>health services, sexual health, and parent-child communication.</w:t>
            </w:r>
          </w:p>
        </w:tc>
      </w:tr>
      <w:tr w:rsidR="0057332F" w:rsidTr="00DC2F7D" w14:paraId="754B1B42" w14:textId="77777777">
        <w:tc>
          <w:tcPr>
            <w:cnfStyle w:val="001000000000" w:firstRow="0" w:lastRow="0" w:firstColumn="1" w:lastColumn="0" w:oddVBand="0" w:evenVBand="0" w:oddHBand="0" w:evenHBand="0" w:firstRowFirstColumn="0" w:firstRowLastColumn="0" w:lastRowFirstColumn="0" w:lastRowLastColumn="0"/>
            <w:tcW w:w="0" w:type="auto"/>
          </w:tcPr>
          <w:p w:rsidRPr="00C50A92" w:rsidR="0057332F" w:rsidP="0057332F" w:rsidRDefault="0057332F" w14:paraId="65ED432B" w14:textId="3A69052B">
            <w:pPr>
              <w:spacing w:after="240"/>
              <w:rPr>
                <w:rFonts w:ascii="Times New Roman" w:hAnsi="Times New Roman"/>
                <w:b w:val="0"/>
              </w:rPr>
            </w:pPr>
            <w:r>
              <w:rPr>
                <w:rFonts w:ascii="Times New Roman" w:hAnsi="Times New Roman"/>
                <w:b w:val="0"/>
              </w:rPr>
              <w:t>Chris Markham</w:t>
            </w:r>
          </w:p>
        </w:tc>
        <w:tc>
          <w:tcPr>
            <w:tcW w:w="0" w:type="auto"/>
          </w:tcPr>
          <w:p w:rsidRPr="00730527" w:rsidR="0057332F" w:rsidP="0057332F" w:rsidRDefault="0057332F" w14:paraId="5A36AF7F" w14:textId="0400D3D6">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Interim Chair, Health Promotion and Behavioral Sciences, University of Texas School of Public Health</w:t>
            </w:r>
          </w:p>
        </w:tc>
        <w:tc>
          <w:tcPr>
            <w:tcW w:w="0" w:type="auto"/>
          </w:tcPr>
          <w:p w:rsidRPr="00730527" w:rsidR="0057332F" w:rsidP="0057332F" w:rsidRDefault="0057332F" w14:paraId="7EF78408" w14:textId="7E37104A">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B2D1C">
              <w:rPr>
                <w:rFonts w:ascii="Times New Roman" w:hAnsi="Times New Roman"/>
              </w:rPr>
              <w:t>christine.markham@uth.tmc.edu</w:t>
            </w:r>
          </w:p>
        </w:tc>
        <w:tc>
          <w:tcPr>
            <w:tcW w:w="0" w:type="auto"/>
          </w:tcPr>
          <w:p w:rsidRPr="00543234" w:rsidR="0057332F" w:rsidP="0057332F" w:rsidRDefault="0057332F" w14:paraId="7891327F" w14:textId="365AF8B0">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Provide specialized subject matter expert</w:t>
            </w:r>
            <w:r>
              <w:rPr>
                <w:rFonts w:ascii="Times New Roman" w:hAnsi="Times New Roman"/>
              </w:rPr>
              <w:t>ise in the development of survey instruments with a specific focus on protective constructs.</w:t>
            </w:r>
          </w:p>
        </w:tc>
      </w:tr>
      <w:tr w:rsidR="0057332F" w:rsidTr="00DC2F7D" w14:paraId="38E20DEE" w14:textId="2E954BB4">
        <w:tc>
          <w:tcPr>
            <w:cnfStyle w:val="001000000000" w:firstRow="0" w:lastRow="0" w:firstColumn="1" w:lastColumn="0" w:oddVBand="0" w:evenVBand="0" w:oddHBand="0" w:evenHBand="0" w:firstRowFirstColumn="0" w:firstRowLastColumn="0" w:lastRowFirstColumn="0" w:lastRowLastColumn="0"/>
            <w:tcW w:w="0" w:type="auto"/>
          </w:tcPr>
          <w:p w:rsidRPr="00C50A92" w:rsidR="0057332F" w:rsidP="0057332F" w:rsidRDefault="0057332F" w14:paraId="2170ACAA" w14:textId="4F997CA4">
            <w:pPr>
              <w:spacing w:after="240"/>
              <w:rPr>
                <w:rFonts w:ascii="Times New Roman" w:hAnsi="Times New Roman"/>
                <w:b w:val="0"/>
              </w:rPr>
            </w:pPr>
            <w:r w:rsidRPr="00C50A92">
              <w:rPr>
                <w:rFonts w:ascii="Times New Roman" w:hAnsi="Times New Roman"/>
                <w:b w:val="0"/>
              </w:rPr>
              <w:t>John Santelli</w:t>
            </w:r>
          </w:p>
        </w:tc>
        <w:tc>
          <w:tcPr>
            <w:tcW w:w="0" w:type="auto"/>
          </w:tcPr>
          <w:p w:rsidR="0057332F" w:rsidP="0057332F" w:rsidRDefault="0057332F" w14:paraId="7A9CBFEF" w14:textId="0520B26A">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527">
              <w:rPr>
                <w:rFonts w:ascii="Times New Roman" w:hAnsi="Times New Roman"/>
              </w:rPr>
              <w:t>Population and Family Health and Pediatrics</w:t>
            </w:r>
            <w:r>
              <w:rPr>
                <w:rFonts w:ascii="Times New Roman" w:hAnsi="Times New Roman"/>
              </w:rPr>
              <w:t>, Columbia Mailman School of Public Health</w:t>
            </w:r>
          </w:p>
        </w:tc>
        <w:tc>
          <w:tcPr>
            <w:tcW w:w="0" w:type="auto"/>
          </w:tcPr>
          <w:p w:rsidR="0057332F" w:rsidP="0057332F" w:rsidRDefault="0057332F" w14:paraId="6A7C2D48" w14:textId="5828486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527">
              <w:rPr>
                <w:rFonts w:ascii="Times New Roman" w:hAnsi="Times New Roman"/>
              </w:rPr>
              <w:t>js2637@columbia.edu</w:t>
            </w:r>
          </w:p>
        </w:tc>
        <w:tc>
          <w:tcPr>
            <w:tcW w:w="0" w:type="auto"/>
          </w:tcPr>
          <w:p w:rsidRPr="00730527" w:rsidR="0057332F" w:rsidP="0057332F" w:rsidRDefault="0057332F" w14:paraId="3085F396" w14:textId="1629794D">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 xml:space="preserve">Provide specialized subject matter expertise in the development of survey instruments with a specific focus on </w:t>
            </w:r>
            <w:r>
              <w:rPr>
                <w:rFonts w:ascii="Times New Roman" w:hAnsi="Times New Roman"/>
              </w:rPr>
              <w:t xml:space="preserve">sexual health and healthy schools. </w:t>
            </w:r>
          </w:p>
        </w:tc>
      </w:tr>
      <w:tr w:rsidR="0057332F" w:rsidTr="00DC2F7D" w14:paraId="5EFC956C" w14:textId="1DDE9381">
        <w:tc>
          <w:tcPr>
            <w:cnfStyle w:val="001000000000" w:firstRow="0" w:lastRow="0" w:firstColumn="1" w:lastColumn="0" w:oddVBand="0" w:evenVBand="0" w:oddHBand="0" w:evenHBand="0" w:firstRowFirstColumn="0" w:firstRowLastColumn="0" w:lastRowFirstColumn="0" w:lastRowLastColumn="0"/>
            <w:tcW w:w="0" w:type="auto"/>
          </w:tcPr>
          <w:p w:rsidRPr="00C50A92" w:rsidR="0057332F" w:rsidP="0057332F" w:rsidRDefault="0057332F" w14:paraId="533D3714" w14:textId="40D8BA68">
            <w:pPr>
              <w:spacing w:after="240"/>
              <w:rPr>
                <w:rFonts w:ascii="Times New Roman" w:hAnsi="Times New Roman"/>
                <w:b w:val="0"/>
              </w:rPr>
            </w:pPr>
            <w:r w:rsidRPr="00C50A92">
              <w:rPr>
                <w:rFonts w:ascii="Times New Roman" w:hAnsi="Times New Roman"/>
                <w:b w:val="0"/>
              </w:rPr>
              <w:t>Renee Sieving</w:t>
            </w:r>
          </w:p>
        </w:tc>
        <w:tc>
          <w:tcPr>
            <w:tcW w:w="0" w:type="auto"/>
          </w:tcPr>
          <w:p w:rsidR="0057332F" w:rsidP="0057332F" w:rsidRDefault="0057332F" w14:paraId="0843FDDA" w14:textId="77777777">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527">
              <w:rPr>
                <w:rFonts w:ascii="Times New Roman" w:hAnsi="Times New Roman"/>
              </w:rPr>
              <w:t xml:space="preserve">Director, Center for Adolescent Nursing, </w:t>
            </w:r>
            <w:r>
              <w:rPr>
                <w:rFonts w:ascii="Times New Roman" w:hAnsi="Times New Roman"/>
              </w:rPr>
              <w:t xml:space="preserve">University of Minnesota </w:t>
            </w:r>
            <w:r w:rsidRPr="00730527">
              <w:rPr>
                <w:rFonts w:ascii="Times New Roman" w:hAnsi="Times New Roman"/>
              </w:rPr>
              <w:t>School of Nursing</w:t>
            </w:r>
          </w:p>
          <w:p w:rsidR="0057332F" w:rsidP="007A5263" w:rsidRDefault="0057332F" w14:paraId="6E76EF60" w14:textId="65168677">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30527">
              <w:rPr>
                <w:rFonts w:ascii="Times New Roman" w:hAnsi="Times New Roman"/>
              </w:rPr>
              <w:lastRenderedPageBreak/>
              <w:t>Director, Healthy Youth Developmen</w:t>
            </w:r>
            <w:r w:rsidR="007A5263">
              <w:rPr>
                <w:rFonts w:ascii="Times New Roman" w:hAnsi="Times New Roman"/>
              </w:rPr>
              <w:t>t - Prevention Research Center</w:t>
            </w:r>
          </w:p>
        </w:tc>
        <w:tc>
          <w:tcPr>
            <w:tcW w:w="0" w:type="auto"/>
          </w:tcPr>
          <w:p w:rsidR="0057332F" w:rsidP="0057332F" w:rsidRDefault="0057332F" w14:paraId="63CA3267" w14:textId="65520D5C">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ECA">
              <w:rPr>
                <w:rFonts w:ascii="Times New Roman" w:hAnsi="Times New Roman"/>
              </w:rPr>
              <w:lastRenderedPageBreak/>
              <w:t>sievi001@umn.edu</w:t>
            </w:r>
          </w:p>
        </w:tc>
        <w:tc>
          <w:tcPr>
            <w:tcW w:w="0" w:type="auto"/>
          </w:tcPr>
          <w:p w:rsidRPr="00755ECA" w:rsidR="0057332F" w:rsidP="0057332F" w:rsidRDefault="0057332F" w14:paraId="7ECD7B10" w14:textId="267A35F3">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Provide specialized subject matter expertise in the development of survey instruments</w:t>
            </w:r>
            <w:r>
              <w:rPr>
                <w:rFonts w:ascii="Times New Roman" w:hAnsi="Times New Roman"/>
              </w:rPr>
              <w:t xml:space="preserve"> with a specific </w:t>
            </w:r>
            <w:r>
              <w:rPr>
                <w:rFonts w:ascii="Times New Roman" w:hAnsi="Times New Roman"/>
              </w:rPr>
              <w:lastRenderedPageBreak/>
              <w:t>focus on protective constructs, dyad surveys, and sexual health</w:t>
            </w:r>
            <w:r w:rsidRPr="00543234">
              <w:rPr>
                <w:rFonts w:ascii="Times New Roman" w:hAnsi="Times New Roman"/>
              </w:rPr>
              <w:t>.</w:t>
            </w:r>
          </w:p>
        </w:tc>
      </w:tr>
      <w:tr w:rsidR="0057332F" w:rsidTr="00DC2F7D" w14:paraId="468D95D8" w14:textId="2BF70A0A">
        <w:tc>
          <w:tcPr>
            <w:cnfStyle w:val="001000000000" w:firstRow="0" w:lastRow="0" w:firstColumn="1" w:lastColumn="0" w:oddVBand="0" w:evenVBand="0" w:oddHBand="0" w:evenHBand="0" w:firstRowFirstColumn="0" w:firstRowLastColumn="0" w:lastRowFirstColumn="0" w:lastRowLastColumn="0"/>
            <w:tcW w:w="0" w:type="auto"/>
          </w:tcPr>
          <w:p w:rsidRPr="00C50A92" w:rsidR="0057332F" w:rsidP="0057332F" w:rsidRDefault="0057332F" w14:paraId="1AFD41AE" w14:textId="0007E0A0">
            <w:pPr>
              <w:spacing w:after="240"/>
              <w:rPr>
                <w:rFonts w:ascii="Times New Roman" w:hAnsi="Times New Roman"/>
                <w:b w:val="0"/>
              </w:rPr>
            </w:pPr>
            <w:r w:rsidRPr="00C50A92">
              <w:rPr>
                <w:rFonts w:ascii="Times New Roman" w:hAnsi="Times New Roman"/>
                <w:b w:val="0"/>
              </w:rPr>
              <w:lastRenderedPageBreak/>
              <w:t>Eric Walsh-Buhi</w:t>
            </w:r>
          </w:p>
        </w:tc>
        <w:tc>
          <w:tcPr>
            <w:tcW w:w="0" w:type="auto"/>
          </w:tcPr>
          <w:p w:rsidR="0057332F" w:rsidP="0057332F" w:rsidRDefault="0057332F" w14:paraId="00CD63D7" w14:textId="0F7ED27A">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Department Chair, Applied Health Science, Indiana University Bloomington School of Public Health</w:t>
            </w:r>
          </w:p>
        </w:tc>
        <w:tc>
          <w:tcPr>
            <w:tcW w:w="0" w:type="auto"/>
          </w:tcPr>
          <w:p w:rsidRPr="007A5263" w:rsidR="0057332F" w:rsidP="0057332F" w:rsidRDefault="0057332F" w14:paraId="627BE859" w14:textId="33C14027">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A5263">
              <w:rPr>
                <w:rStyle w:val="Hyperlink"/>
                <w:rFonts w:ascii="Times New Roman" w:hAnsi="Times New Roman"/>
                <w:color w:val="auto"/>
                <w:u w:val="none"/>
              </w:rPr>
              <w:t>erwals@iu.edu</w:t>
            </w:r>
          </w:p>
        </w:tc>
        <w:tc>
          <w:tcPr>
            <w:tcW w:w="0" w:type="auto"/>
          </w:tcPr>
          <w:p w:rsidRPr="00730527" w:rsidR="0057332F" w:rsidP="0057332F" w:rsidRDefault="0057332F" w14:paraId="3F48EF2F" w14:textId="273D6E76">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 xml:space="preserve">Provide specialized subject matter expertise in the development of survey instruments with a specific focus on </w:t>
            </w:r>
            <w:r>
              <w:rPr>
                <w:rFonts w:ascii="Times New Roman" w:hAnsi="Times New Roman"/>
              </w:rPr>
              <w:t>sexual health and communication</w:t>
            </w:r>
            <w:r w:rsidRPr="00543234">
              <w:rPr>
                <w:rFonts w:ascii="Times New Roman" w:hAnsi="Times New Roman"/>
              </w:rPr>
              <w:t>.</w:t>
            </w:r>
          </w:p>
        </w:tc>
      </w:tr>
      <w:tr w:rsidR="0057332F" w:rsidTr="00DC2F7D" w14:paraId="0F1BC1EA" w14:textId="77777777">
        <w:tc>
          <w:tcPr>
            <w:cnfStyle w:val="001000000000" w:firstRow="0" w:lastRow="0" w:firstColumn="1" w:lastColumn="0" w:oddVBand="0" w:evenVBand="0" w:oddHBand="0" w:evenHBand="0" w:firstRowFirstColumn="0" w:firstRowLastColumn="0" w:lastRowFirstColumn="0" w:lastRowLastColumn="0"/>
            <w:tcW w:w="0" w:type="auto"/>
          </w:tcPr>
          <w:p w:rsidRPr="00C50A92" w:rsidR="0057332F" w:rsidP="0057332F" w:rsidRDefault="0057332F" w14:paraId="5E838BA1" w14:textId="5641041B">
            <w:pPr>
              <w:spacing w:after="240"/>
              <w:rPr>
                <w:rFonts w:ascii="Times New Roman" w:hAnsi="Times New Roman"/>
                <w:b w:val="0"/>
              </w:rPr>
            </w:pPr>
            <w:r>
              <w:rPr>
                <w:rFonts w:ascii="Times New Roman" w:hAnsi="Times New Roman"/>
                <w:b w:val="0"/>
              </w:rPr>
              <w:t>Marc Zimmerman</w:t>
            </w:r>
          </w:p>
        </w:tc>
        <w:tc>
          <w:tcPr>
            <w:tcW w:w="0" w:type="auto"/>
          </w:tcPr>
          <w:p w:rsidR="0057332F" w:rsidP="0057332F" w:rsidRDefault="0057332F" w14:paraId="779099C5" w14:textId="153DF1F2">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Director, Prevention Research Center, University of Michigan School of Public Health</w:t>
            </w:r>
          </w:p>
        </w:tc>
        <w:tc>
          <w:tcPr>
            <w:tcW w:w="0" w:type="auto"/>
          </w:tcPr>
          <w:p w:rsidRPr="00730527" w:rsidR="0057332F" w:rsidP="0057332F" w:rsidRDefault="0057332F" w14:paraId="01680532" w14:textId="5E01473C">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B2D1C">
              <w:rPr>
                <w:rFonts w:ascii="Times New Roman" w:hAnsi="Times New Roman"/>
              </w:rPr>
              <w:t>marcz@umich.edu</w:t>
            </w:r>
          </w:p>
        </w:tc>
        <w:tc>
          <w:tcPr>
            <w:tcW w:w="0" w:type="auto"/>
          </w:tcPr>
          <w:p w:rsidRPr="00543234" w:rsidR="0057332F" w:rsidP="0057332F" w:rsidRDefault="0057332F" w14:paraId="0E9BEE90" w14:textId="1C6372B5">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43234">
              <w:rPr>
                <w:rFonts w:ascii="Times New Roman" w:hAnsi="Times New Roman"/>
              </w:rPr>
              <w:t>Provide specialized subject matter expert</w:t>
            </w:r>
            <w:r>
              <w:rPr>
                <w:rFonts w:ascii="Times New Roman" w:hAnsi="Times New Roman"/>
              </w:rPr>
              <w:t>ise in the development of survey instruments with a specific focus on protective constructs.</w:t>
            </w:r>
          </w:p>
        </w:tc>
      </w:tr>
    </w:tbl>
    <w:p w:rsidRPr="00730527" w:rsidR="00730527" w:rsidP="00730527" w:rsidRDefault="00730527" w14:paraId="48B47E6A" w14:textId="77777777">
      <w:pPr>
        <w:spacing w:before="240" w:line="360" w:lineRule="auto"/>
        <w:rPr>
          <w:rFonts w:ascii="Times New Roman" w:hAnsi="Times New Roman"/>
        </w:rPr>
      </w:pPr>
    </w:p>
    <w:p w:rsidR="00F865D0" w:rsidP="001F544F" w:rsidRDefault="001F544F" w14:paraId="7D43C037" w14:textId="5EBFE403">
      <w:pPr>
        <w:pStyle w:val="Heading2"/>
        <w:spacing w:before="240" w:after="200" w:line="360" w:lineRule="auto"/>
        <w:rPr>
          <w:rFonts w:ascii="Times New Roman" w:hAnsi="Times New Roman" w:cs="Times New Roman"/>
          <w:b/>
          <w:color w:val="auto"/>
          <w:sz w:val="24"/>
          <w:szCs w:val="24"/>
        </w:rPr>
      </w:pPr>
      <w:bookmarkStart w:name="_Toc50987042" w:id="16"/>
      <w:r>
        <w:rPr>
          <w:rFonts w:ascii="Times New Roman" w:hAnsi="Times New Roman" w:cs="Times New Roman"/>
          <w:b/>
          <w:color w:val="auto"/>
          <w:sz w:val="24"/>
          <w:szCs w:val="24"/>
        </w:rPr>
        <w:t>A.9.</w:t>
      </w:r>
      <w:r>
        <w:rPr>
          <w:rFonts w:ascii="Times New Roman" w:hAnsi="Times New Roman" w:cs="Times New Roman"/>
          <w:b/>
          <w:color w:val="auto"/>
          <w:sz w:val="24"/>
          <w:szCs w:val="24"/>
        </w:rPr>
        <w:tab/>
      </w:r>
      <w:r w:rsidRPr="00FC5D2E" w:rsidR="00F865D0">
        <w:rPr>
          <w:rFonts w:ascii="Times New Roman" w:hAnsi="Times New Roman" w:cs="Times New Roman"/>
          <w:b/>
          <w:color w:val="auto"/>
          <w:sz w:val="24"/>
          <w:szCs w:val="24"/>
        </w:rPr>
        <w:t>Explanation of Any Payment or Gift to Respondents</w:t>
      </w:r>
      <w:bookmarkEnd w:id="16"/>
    </w:p>
    <w:p w:rsidR="00A7682E" w:rsidP="00F93EAD" w:rsidRDefault="00C9350F" w14:paraId="02D7207C" w14:textId="6FE40D0E">
      <w:pPr>
        <w:spacing w:line="360" w:lineRule="auto"/>
        <w:rPr>
          <w:rFonts w:ascii="Times New Roman" w:hAnsi="Times New Roman"/>
          <w:sz w:val="22"/>
          <w:szCs w:val="22"/>
        </w:rPr>
      </w:pPr>
      <w:r w:rsidRPr="00C9350F">
        <w:rPr>
          <w:rFonts w:ascii="Times New Roman" w:hAnsi="Times New Roman"/>
          <w:sz w:val="22"/>
          <w:szCs w:val="22"/>
        </w:rPr>
        <w:t xml:space="preserve">Participants in the Teen and Parent Surveys of Health (TAPS) will be offered an incentive with $20 cash value. </w:t>
      </w:r>
      <w:proofErr w:type="spellStart"/>
      <w:r w:rsidRPr="00C9350F">
        <w:rPr>
          <w:rFonts w:ascii="Times New Roman" w:hAnsi="Times New Roman"/>
          <w:sz w:val="22"/>
          <w:szCs w:val="22"/>
        </w:rPr>
        <w:t>AmeriSpeak</w:t>
      </w:r>
      <w:proofErr w:type="spellEnd"/>
      <w:r w:rsidRPr="00C9350F">
        <w:rPr>
          <w:rFonts w:ascii="Times New Roman" w:hAnsi="Times New Roman"/>
          <w:sz w:val="22"/>
          <w:szCs w:val="22"/>
        </w:rPr>
        <w:t xml:space="preserve"> panel members will receive this incentive as survey choice “points” to redeem for prizes which are commonly provided to survey panel respondents who complete online surveys. Respondents redeem these points for cash, Amazon gift codes, virtual Mastercard currency, or physical goods via the </w:t>
      </w:r>
      <w:proofErr w:type="spellStart"/>
      <w:r w:rsidRPr="00C9350F">
        <w:rPr>
          <w:rFonts w:ascii="Times New Roman" w:hAnsi="Times New Roman"/>
          <w:sz w:val="22"/>
          <w:szCs w:val="22"/>
        </w:rPr>
        <w:t>AmeriSpeak</w:t>
      </w:r>
      <w:proofErr w:type="spellEnd"/>
      <w:r w:rsidRPr="00C9350F">
        <w:rPr>
          <w:rFonts w:ascii="Times New Roman" w:hAnsi="Times New Roman"/>
          <w:sz w:val="22"/>
          <w:szCs w:val="22"/>
        </w:rPr>
        <w:t xml:space="preserve"> Panel member web portal or by calling the </w:t>
      </w:r>
      <w:proofErr w:type="spellStart"/>
      <w:r w:rsidRPr="00C9350F">
        <w:rPr>
          <w:rFonts w:ascii="Times New Roman" w:hAnsi="Times New Roman"/>
          <w:sz w:val="22"/>
          <w:szCs w:val="22"/>
        </w:rPr>
        <w:t>AmeriSpeak</w:t>
      </w:r>
      <w:proofErr w:type="spellEnd"/>
      <w:r w:rsidRPr="00C9350F">
        <w:rPr>
          <w:rFonts w:ascii="Times New Roman" w:hAnsi="Times New Roman"/>
          <w:sz w:val="22"/>
          <w:szCs w:val="22"/>
        </w:rPr>
        <w:t xml:space="preserve"> support toll-free telephone number. The points are funded by </w:t>
      </w:r>
      <w:proofErr w:type="gramStart"/>
      <w:r w:rsidRPr="00C9350F">
        <w:rPr>
          <w:rFonts w:ascii="Times New Roman" w:hAnsi="Times New Roman"/>
          <w:sz w:val="22"/>
          <w:szCs w:val="22"/>
        </w:rPr>
        <w:t>CDC, and</w:t>
      </w:r>
      <w:proofErr w:type="gramEnd"/>
      <w:r w:rsidRPr="00C9350F">
        <w:rPr>
          <w:rFonts w:ascii="Times New Roman" w:hAnsi="Times New Roman"/>
          <w:sz w:val="22"/>
          <w:szCs w:val="22"/>
        </w:rPr>
        <w:t xml:space="preserve"> delivered via the online panel provider to respondents who complete the survey. Respondents who are not yet </w:t>
      </w:r>
      <w:proofErr w:type="spellStart"/>
      <w:r w:rsidRPr="00C9350F">
        <w:rPr>
          <w:rFonts w:ascii="Times New Roman" w:hAnsi="Times New Roman"/>
          <w:sz w:val="22"/>
          <w:szCs w:val="22"/>
        </w:rPr>
        <w:t>AmeriSpeak</w:t>
      </w:r>
      <w:proofErr w:type="spellEnd"/>
      <w:r w:rsidRPr="00C9350F">
        <w:rPr>
          <w:rFonts w:ascii="Times New Roman" w:hAnsi="Times New Roman"/>
          <w:sz w:val="22"/>
          <w:szCs w:val="22"/>
        </w:rPr>
        <w:t xml:space="preserve"> panel members will receive a $20 gift card in lieu of points.</w:t>
      </w:r>
    </w:p>
    <w:p w:rsidR="00FE33C3" w:rsidP="00F93EAD" w:rsidRDefault="00FE33C3" w14:paraId="1AD5B2F9" w14:textId="77777777">
      <w:pPr>
        <w:spacing w:line="360" w:lineRule="auto"/>
        <w:rPr>
          <w:rFonts w:ascii="Times New Roman" w:hAnsi="Times New Roman"/>
          <w:sz w:val="22"/>
          <w:szCs w:val="22"/>
        </w:rPr>
      </w:pPr>
    </w:p>
    <w:p w:rsidRPr="0064647B" w:rsidR="0064647B" w:rsidP="0064647B" w:rsidRDefault="00F93EAD" w14:paraId="0DBF0B8B" w14:textId="0D846D04">
      <w:pPr>
        <w:spacing w:line="360" w:lineRule="auto"/>
        <w:rPr>
          <w:rFonts w:ascii="Times New Roman" w:hAnsi="Times New Roman"/>
          <w:sz w:val="22"/>
          <w:szCs w:val="22"/>
        </w:rPr>
      </w:pPr>
      <w:r>
        <w:rPr>
          <w:rFonts w:ascii="Times New Roman" w:hAnsi="Times New Roman"/>
          <w:sz w:val="22"/>
          <w:szCs w:val="22"/>
        </w:rPr>
        <w:t xml:space="preserve">Points will be offered to keep participants engaged and motivated </w:t>
      </w:r>
      <w:proofErr w:type="gramStart"/>
      <w:r>
        <w:rPr>
          <w:rFonts w:ascii="Times New Roman" w:hAnsi="Times New Roman"/>
          <w:sz w:val="22"/>
          <w:szCs w:val="22"/>
        </w:rPr>
        <w:t>in order to</w:t>
      </w:r>
      <w:proofErr w:type="gramEnd"/>
      <w:r>
        <w:rPr>
          <w:rFonts w:ascii="Times New Roman" w:hAnsi="Times New Roman"/>
          <w:sz w:val="22"/>
          <w:szCs w:val="22"/>
        </w:rPr>
        <w:t xml:space="preserve"> obtain maximum survey participation. </w:t>
      </w:r>
      <w:r w:rsidRPr="00F93EAD">
        <w:rPr>
          <w:rFonts w:ascii="Times New Roman" w:hAnsi="Times New Roman"/>
          <w:sz w:val="22"/>
          <w:szCs w:val="22"/>
        </w:rPr>
        <w:t>Providing points to panelists is positively associated with response rates and helps to build trust.</w:t>
      </w:r>
      <w:r w:rsidR="00BA1E60">
        <w:rPr>
          <w:rFonts w:ascii="Times New Roman" w:hAnsi="Times New Roman"/>
          <w:sz w:val="22"/>
          <w:szCs w:val="22"/>
          <w:vertAlign w:val="superscript"/>
        </w:rPr>
        <w:t>17,18</w:t>
      </w:r>
      <w:r w:rsidRPr="00603C59" w:rsidR="00603C59">
        <w:rPr>
          <w:rFonts w:ascii="Times New Roman" w:hAnsi="Times New Roman"/>
          <w:sz w:val="22"/>
          <w:szCs w:val="22"/>
        </w:rPr>
        <w:t xml:space="preserve"> For </w:t>
      </w:r>
      <w:r w:rsidR="00760225">
        <w:rPr>
          <w:rFonts w:ascii="Times New Roman" w:hAnsi="Times New Roman"/>
          <w:sz w:val="22"/>
          <w:szCs w:val="22"/>
        </w:rPr>
        <w:t>TAPS</w:t>
      </w:r>
      <w:r w:rsidRPr="00603C59" w:rsidR="00603C59">
        <w:rPr>
          <w:rFonts w:ascii="Times New Roman" w:hAnsi="Times New Roman"/>
          <w:sz w:val="22"/>
          <w:szCs w:val="22"/>
        </w:rPr>
        <w:t>, points having $</w:t>
      </w:r>
      <w:r w:rsidR="00940B27">
        <w:rPr>
          <w:rFonts w:ascii="Times New Roman" w:hAnsi="Times New Roman"/>
          <w:sz w:val="22"/>
          <w:szCs w:val="22"/>
        </w:rPr>
        <w:t>2</w:t>
      </w:r>
      <w:r w:rsidRPr="00603C59" w:rsidR="00603C59">
        <w:rPr>
          <w:rFonts w:ascii="Times New Roman" w:hAnsi="Times New Roman"/>
          <w:sz w:val="22"/>
          <w:szCs w:val="22"/>
        </w:rPr>
        <w:t>0 cash value will be awarded to the age</w:t>
      </w:r>
      <w:r w:rsidR="00940B27">
        <w:rPr>
          <w:rFonts w:ascii="Times New Roman" w:hAnsi="Times New Roman"/>
          <w:sz w:val="22"/>
          <w:szCs w:val="22"/>
        </w:rPr>
        <w:t xml:space="preserve"> 18-19 adult respondents, and $2</w:t>
      </w:r>
      <w:r w:rsidRPr="00603C59" w:rsidR="00603C59">
        <w:rPr>
          <w:rFonts w:ascii="Times New Roman" w:hAnsi="Times New Roman"/>
          <w:sz w:val="22"/>
          <w:szCs w:val="22"/>
        </w:rPr>
        <w:t>0 in points will also be awarded to both respondents in the parent and the teen pairs completing the survey ($</w:t>
      </w:r>
      <w:r w:rsidR="00940B27">
        <w:rPr>
          <w:rFonts w:ascii="Times New Roman" w:hAnsi="Times New Roman"/>
          <w:sz w:val="22"/>
          <w:szCs w:val="22"/>
        </w:rPr>
        <w:t>4</w:t>
      </w:r>
      <w:r w:rsidRPr="00603C59" w:rsidR="00603C59">
        <w:rPr>
          <w:rFonts w:ascii="Times New Roman" w:hAnsi="Times New Roman"/>
          <w:sz w:val="22"/>
          <w:szCs w:val="22"/>
        </w:rPr>
        <w:t xml:space="preserve">0 in total). </w:t>
      </w:r>
      <w:r w:rsidR="00940B27">
        <w:rPr>
          <w:rFonts w:ascii="Times New Roman" w:hAnsi="Times New Roman"/>
          <w:sz w:val="22"/>
          <w:szCs w:val="22"/>
        </w:rPr>
        <w:t xml:space="preserve">Non-responders </w:t>
      </w:r>
      <w:r w:rsidRPr="00603C59" w:rsidR="00603C59">
        <w:rPr>
          <w:rFonts w:ascii="Times New Roman" w:hAnsi="Times New Roman"/>
          <w:sz w:val="22"/>
          <w:szCs w:val="22"/>
        </w:rPr>
        <w:t>invited to participate in the study will also receive a non-contingent payment in the form of a $2 bill included in a USPS mailed letter for boosting cooperation.</w:t>
      </w:r>
      <w:r w:rsidR="0064647B">
        <w:rPr>
          <w:rFonts w:ascii="Times New Roman" w:hAnsi="Times New Roman"/>
          <w:sz w:val="22"/>
          <w:szCs w:val="22"/>
        </w:rPr>
        <w:t xml:space="preserve"> </w:t>
      </w:r>
      <w:r w:rsidRPr="0064647B" w:rsidR="0064647B">
        <w:rPr>
          <w:rFonts w:ascii="Times New Roman" w:hAnsi="Times New Roman"/>
          <w:sz w:val="22"/>
          <w:szCs w:val="22"/>
        </w:rPr>
        <w:t>If the non-continent incentive is needed to boost response, we will follow up with known parents or teens who have not responded to survey invites via mail, including a letter and a $2 bill to encourage response.  This would be limited to parents who have not yet initiated the survey, or teens (either dyad-teens or non-dyads) who have not yet responded.</w:t>
      </w:r>
    </w:p>
    <w:p w:rsidRPr="00F93EAD" w:rsidR="00F93EAD" w:rsidP="0064647B" w:rsidRDefault="0064647B" w14:paraId="48B3F608" w14:textId="752A87B8">
      <w:pPr>
        <w:spacing w:line="360" w:lineRule="auto"/>
        <w:rPr>
          <w:rFonts w:ascii="Times New Roman" w:hAnsi="Times New Roman"/>
          <w:sz w:val="22"/>
          <w:szCs w:val="22"/>
        </w:rPr>
      </w:pPr>
      <w:r w:rsidRPr="0064647B">
        <w:rPr>
          <w:rFonts w:ascii="Times New Roman" w:hAnsi="Times New Roman"/>
          <w:sz w:val="22"/>
          <w:szCs w:val="22"/>
        </w:rPr>
        <w:lastRenderedPageBreak/>
        <w:t>We anticipate sending non-contingent incentives to 75% of the invited sample. Of that 75%, we plan for 40% of the non-contingent incentives to be mailed to parents and 60% to teens. We will only send incentives to those parents who have a known eligible teen member in the home.</w:t>
      </w:r>
    </w:p>
    <w:p w:rsidRPr="00FC5D2E" w:rsidR="001C7F07" w:rsidP="001F544F" w:rsidRDefault="001F544F" w14:paraId="55A5CDD5" w14:textId="5945CA3B">
      <w:pPr>
        <w:pStyle w:val="Heading2"/>
        <w:spacing w:before="240" w:after="200" w:line="360" w:lineRule="auto"/>
        <w:ind w:left="720" w:hanging="720"/>
        <w:rPr>
          <w:rFonts w:ascii="Times New Roman" w:hAnsi="Times New Roman" w:cs="Times New Roman"/>
          <w:b/>
          <w:color w:val="auto"/>
          <w:sz w:val="24"/>
          <w:szCs w:val="24"/>
        </w:rPr>
      </w:pPr>
      <w:bookmarkStart w:name="_Toc50987043" w:id="17"/>
      <w:r>
        <w:rPr>
          <w:rFonts w:ascii="Times New Roman" w:hAnsi="Times New Roman" w:cs="Times New Roman"/>
          <w:b/>
          <w:color w:val="auto"/>
          <w:sz w:val="24"/>
          <w:szCs w:val="24"/>
        </w:rPr>
        <w:t>A.10.</w:t>
      </w:r>
      <w:r>
        <w:rPr>
          <w:rFonts w:ascii="Times New Roman" w:hAnsi="Times New Roman" w:cs="Times New Roman"/>
          <w:b/>
          <w:color w:val="auto"/>
          <w:sz w:val="24"/>
          <w:szCs w:val="24"/>
        </w:rPr>
        <w:tab/>
      </w:r>
      <w:r w:rsidRPr="00FC5D2E" w:rsidR="001C7F07">
        <w:rPr>
          <w:rFonts w:ascii="Times New Roman" w:hAnsi="Times New Roman" w:cs="Times New Roman"/>
          <w:b/>
          <w:color w:val="auto"/>
          <w:sz w:val="24"/>
          <w:szCs w:val="24"/>
        </w:rPr>
        <w:t>Protection of the Privacy and Confidentiality of Information Provided by Respondents</w:t>
      </w:r>
      <w:bookmarkEnd w:id="17"/>
    </w:p>
    <w:p w:rsidRPr="001F544F" w:rsidR="001C7F07" w:rsidP="001F544F" w:rsidRDefault="00D43251" w14:paraId="7782032D" w14:textId="3BEDCF0C">
      <w:pPr>
        <w:spacing w:before="240" w:after="200" w:line="360" w:lineRule="auto"/>
        <w:rPr>
          <w:rFonts w:ascii="Times New Roman" w:hAnsi="Times New Roman"/>
          <w:sz w:val="22"/>
          <w:szCs w:val="22"/>
        </w:rPr>
      </w:pPr>
      <w:r w:rsidRPr="00D43251">
        <w:rPr>
          <w:rFonts w:ascii="Times New Roman" w:hAnsi="Times New Roman"/>
          <w:sz w:val="22"/>
          <w:szCs w:val="22"/>
        </w:rPr>
        <w:t xml:space="preserve">The CDC NCHHSTP Privacy and Confidentiality Review Officer has assessed this package for applicability of 5 U.S.C. § </w:t>
      </w:r>
      <w:proofErr w:type="gramStart"/>
      <w:r w:rsidRPr="00D43251">
        <w:rPr>
          <w:rFonts w:ascii="Times New Roman" w:hAnsi="Times New Roman"/>
          <w:sz w:val="22"/>
          <w:szCs w:val="22"/>
        </w:rPr>
        <w:t>552a, and</w:t>
      </w:r>
      <w:proofErr w:type="gramEnd"/>
      <w:r w:rsidRPr="00D43251">
        <w:rPr>
          <w:rFonts w:ascii="Times New Roman" w:hAnsi="Times New Roman"/>
          <w:sz w:val="22"/>
          <w:szCs w:val="22"/>
        </w:rPr>
        <w:t xml:space="preserve"> has determined that the Privacy Act </w:t>
      </w:r>
      <w:r w:rsidR="00E86980">
        <w:rPr>
          <w:rFonts w:ascii="Times New Roman" w:hAnsi="Times New Roman"/>
          <w:sz w:val="22"/>
          <w:szCs w:val="22"/>
        </w:rPr>
        <w:t>does not apply</w:t>
      </w:r>
      <w:r w:rsidRPr="00D43251">
        <w:rPr>
          <w:rFonts w:ascii="Times New Roman" w:hAnsi="Times New Roman"/>
          <w:sz w:val="22"/>
          <w:szCs w:val="22"/>
        </w:rPr>
        <w:t xml:space="preserve"> to the information collection</w:t>
      </w:r>
      <w:r w:rsidR="00E836AD">
        <w:rPr>
          <w:rFonts w:ascii="Times New Roman" w:hAnsi="Times New Roman"/>
          <w:sz w:val="22"/>
          <w:szCs w:val="22"/>
        </w:rPr>
        <w:t xml:space="preserve">. </w:t>
      </w:r>
      <w:r w:rsidRPr="00E836AD" w:rsidR="00E836AD">
        <w:rPr>
          <w:rFonts w:ascii="Times New Roman" w:hAnsi="Times New Roman"/>
          <w:sz w:val="22"/>
          <w:szCs w:val="22"/>
        </w:rPr>
        <w:t>The Privacy Office has determined that PII not being collected. Therefore, a signed PIA is not required for this submission</w:t>
      </w:r>
      <w:r>
        <w:rPr>
          <w:rFonts w:ascii="Times New Roman" w:hAnsi="Times New Roman"/>
          <w:sz w:val="22"/>
          <w:szCs w:val="22"/>
        </w:rPr>
        <w:t xml:space="preserve"> </w:t>
      </w:r>
      <w:r w:rsidR="00A77A8F">
        <w:rPr>
          <w:rFonts w:ascii="Times New Roman" w:hAnsi="Times New Roman"/>
          <w:sz w:val="22"/>
          <w:szCs w:val="22"/>
        </w:rPr>
        <w:t>(</w:t>
      </w:r>
      <w:r w:rsidRPr="00E836AD">
        <w:rPr>
          <w:rFonts w:ascii="Times New Roman" w:hAnsi="Times New Roman"/>
          <w:b/>
          <w:bCs/>
          <w:sz w:val="22"/>
          <w:szCs w:val="22"/>
        </w:rPr>
        <w:t xml:space="preserve">Attachment </w:t>
      </w:r>
      <w:r w:rsidRPr="00E836AD" w:rsidR="00C44D8E">
        <w:rPr>
          <w:rFonts w:ascii="Times New Roman" w:hAnsi="Times New Roman"/>
          <w:b/>
          <w:bCs/>
          <w:sz w:val="22"/>
          <w:szCs w:val="22"/>
        </w:rPr>
        <w:t>5</w:t>
      </w:r>
      <w:r w:rsidRPr="00E836AD">
        <w:rPr>
          <w:rFonts w:ascii="Times New Roman" w:hAnsi="Times New Roman"/>
          <w:sz w:val="22"/>
          <w:szCs w:val="22"/>
        </w:rPr>
        <w:t>- Privacy Impact Assessment</w:t>
      </w:r>
      <w:r>
        <w:rPr>
          <w:rFonts w:ascii="Times New Roman" w:hAnsi="Times New Roman"/>
          <w:sz w:val="22"/>
          <w:szCs w:val="22"/>
        </w:rPr>
        <w:t>)</w:t>
      </w:r>
      <w:r w:rsidRPr="00D43251">
        <w:rPr>
          <w:rFonts w:ascii="Times New Roman" w:hAnsi="Times New Roman"/>
          <w:sz w:val="22"/>
          <w:szCs w:val="22"/>
        </w:rPr>
        <w:t xml:space="preserve">.  </w:t>
      </w:r>
      <w:r w:rsidRPr="00F03614" w:rsidR="00F03614">
        <w:rPr>
          <w:rFonts w:ascii="Times New Roman" w:hAnsi="Times New Roman"/>
          <w:sz w:val="22"/>
          <w:szCs w:val="22"/>
        </w:rPr>
        <w:t xml:space="preserve">CDC is contracting with NORC to collect and analyze the survey data. NORC already maintains PII, such as name, address, telephone numbers, and email address as part of their maintenance of the </w:t>
      </w:r>
      <w:proofErr w:type="spellStart"/>
      <w:r w:rsidRPr="00F03614" w:rsidR="00F03614">
        <w:rPr>
          <w:rFonts w:ascii="Times New Roman" w:hAnsi="Times New Roman"/>
          <w:sz w:val="22"/>
          <w:szCs w:val="22"/>
        </w:rPr>
        <w:t>AmeriSpeak</w:t>
      </w:r>
      <w:proofErr w:type="spellEnd"/>
      <w:r w:rsidRPr="00F03614" w:rsidR="00F03614">
        <w:rPr>
          <w:rFonts w:ascii="Times New Roman" w:hAnsi="Times New Roman"/>
          <w:sz w:val="22"/>
          <w:szCs w:val="22"/>
        </w:rPr>
        <w:t xml:space="preserve"> online panel. This PII was collected </w:t>
      </w:r>
      <w:proofErr w:type="gramStart"/>
      <w:r w:rsidRPr="00F03614" w:rsidR="00F03614">
        <w:rPr>
          <w:rFonts w:ascii="Times New Roman" w:hAnsi="Times New Roman"/>
          <w:sz w:val="22"/>
          <w:szCs w:val="22"/>
        </w:rPr>
        <w:t>in order to</w:t>
      </w:r>
      <w:proofErr w:type="gramEnd"/>
      <w:r w:rsidRPr="00F03614" w:rsidR="00F03614">
        <w:rPr>
          <w:rFonts w:ascii="Times New Roman" w:hAnsi="Times New Roman"/>
          <w:sz w:val="22"/>
          <w:szCs w:val="22"/>
        </w:rPr>
        <w:t xml:space="preserve"> contact individuals for participation and reimbursement and is maintained according to privacy regulations. CDC will not receive nor have access to </w:t>
      </w:r>
      <w:proofErr w:type="spellStart"/>
      <w:r w:rsidRPr="00F03614" w:rsidR="00F03614">
        <w:rPr>
          <w:rFonts w:ascii="Times New Roman" w:hAnsi="Times New Roman"/>
          <w:sz w:val="22"/>
          <w:szCs w:val="22"/>
        </w:rPr>
        <w:t>AmeriSpeak</w:t>
      </w:r>
      <w:proofErr w:type="spellEnd"/>
      <w:r w:rsidRPr="00F03614" w:rsidR="00F03614">
        <w:rPr>
          <w:rFonts w:ascii="Times New Roman" w:hAnsi="Times New Roman"/>
          <w:sz w:val="22"/>
          <w:szCs w:val="22"/>
        </w:rPr>
        <w:t xml:space="preserve"> panel members' PII. The TAPS questionnaires do not collect additional PII.</w:t>
      </w:r>
    </w:p>
    <w:p w:rsidRPr="001F544F" w:rsidR="001C7F07" w:rsidP="001F544F" w:rsidRDefault="001C7F07" w14:paraId="51C0DE8A" w14:textId="5BD7232E">
      <w:pPr>
        <w:spacing w:before="240" w:after="200" w:line="360" w:lineRule="auto"/>
        <w:rPr>
          <w:rFonts w:ascii="Times New Roman" w:hAnsi="Times New Roman"/>
          <w:sz w:val="22"/>
          <w:szCs w:val="22"/>
        </w:rPr>
      </w:pPr>
      <w:r w:rsidRPr="001F544F">
        <w:rPr>
          <w:rFonts w:ascii="Times New Roman" w:hAnsi="Times New Roman"/>
          <w:sz w:val="22"/>
          <w:szCs w:val="22"/>
        </w:rPr>
        <w:t>To maintain the confidentiality of the participants, any data files shared with</w:t>
      </w:r>
      <w:r w:rsidR="002A2D1E">
        <w:rPr>
          <w:rFonts w:ascii="Times New Roman" w:hAnsi="Times New Roman"/>
          <w:sz w:val="22"/>
          <w:szCs w:val="22"/>
        </w:rPr>
        <w:t xml:space="preserve"> CDC will be stripped of any PII</w:t>
      </w:r>
      <w:r w:rsidRPr="001F544F">
        <w:rPr>
          <w:rFonts w:ascii="Times New Roman" w:hAnsi="Times New Roman"/>
          <w:sz w:val="22"/>
          <w:szCs w:val="22"/>
        </w:rPr>
        <w:t>. At the conclusion of the study, the final dataset</w:t>
      </w:r>
      <w:r w:rsidR="005F0599">
        <w:rPr>
          <w:rFonts w:ascii="Times New Roman" w:hAnsi="Times New Roman"/>
          <w:sz w:val="22"/>
          <w:szCs w:val="22"/>
        </w:rPr>
        <w:t>s</w:t>
      </w:r>
      <w:r w:rsidRPr="001F544F">
        <w:rPr>
          <w:rFonts w:ascii="Times New Roman" w:hAnsi="Times New Roman"/>
          <w:sz w:val="22"/>
          <w:szCs w:val="22"/>
        </w:rPr>
        <w:t xml:space="preserve"> will be delivered to CDC in de-identified format. Additionally, data files will be delivered using a secure file transfer protocol (SFTP) site. When reporting data from this study, only aggregate data will be used to report study results.</w:t>
      </w:r>
    </w:p>
    <w:p w:rsidRPr="00BA1E60" w:rsidR="000747E6" w:rsidP="001F544F" w:rsidRDefault="000747E6" w14:paraId="4F08ED71" w14:textId="7C965E4D">
      <w:pPr>
        <w:spacing w:before="240" w:after="200" w:line="360" w:lineRule="auto"/>
        <w:rPr>
          <w:rFonts w:ascii="Times New Roman" w:hAnsi="Times New Roman"/>
          <w:b/>
          <w:sz w:val="22"/>
          <w:szCs w:val="22"/>
        </w:rPr>
      </w:pPr>
      <w:r w:rsidRPr="001F544F">
        <w:rPr>
          <w:rFonts w:ascii="Times New Roman" w:hAnsi="Times New Roman"/>
          <w:sz w:val="22"/>
          <w:szCs w:val="22"/>
        </w:rPr>
        <w:t xml:space="preserve">Key safeguards have been put in place to assure respondents that their responses will be treated in a secure and private manner. Prior to </w:t>
      </w:r>
      <w:r w:rsidR="00F37C7F">
        <w:rPr>
          <w:rFonts w:ascii="Times New Roman" w:hAnsi="Times New Roman"/>
          <w:sz w:val="22"/>
          <w:szCs w:val="22"/>
        </w:rPr>
        <w:t>the start of the survey</w:t>
      </w:r>
      <w:r w:rsidRPr="001F544F">
        <w:rPr>
          <w:rFonts w:ascii="Times New Roman" w:hAnsi="Times New Roman"/>
          <w:sz w:val="22"/>
          <w:szCs w:val="22"/>
        </w:rPr>
        <w:t xml:space="preserve">, the prospective respondent will be shown a </w:t>
      </w:r>
      <w:r w:rsidRPr="00252D96">
        <w:rPr>
          <w:rFonts w:ascii="Times New Roman" w:hAnsi="Times New Roman"/>
          <w:sz w:val="22"/>
          <w:szCs w:val="22"/>
        </w:rPr>
        <w:t xml:space="preserve">landing page with informed consent text </w:t>
      </w:r>
      <w:r w:rsidRPr="00252D96">
        <w:rPr>
          <w:rFonts w:ascii="Times New Roman" w:hAnsi="Times New Roman"/>
          <w:bCs/>
          <w:sz w:val="22"/>
          <w:szCs w:val="22"/>
        </w:rPr>
        <w:t>(</w:t>
      </w:r>
      <w:r w:rsidRPr="008A4BF7">
        <w:rPr>
          <w:rFonts w:ascii="Times New Roman" w:hAnsi="Times New Roman"/>
          <w:b/>
          <w:sz w:val="22"/>
          <w:szCs w:val="22"/>
        </w:rPr>
        <w:t>Attachment</w:t>
      </w:r>
      <w:r w:rsidR="000B4B71">
        <w:rPr>
          <w:rFonts w:ascii="Times New Roman" w:hAnsi="Times New Roman"/>
          <w:b/>
          <w:sz w:val="22"/>
          <w:szCs w:val="22"/>
        </w:rPr>
        <w:t>s</w:t>
      </w:r>
      <w:r w:rsidRPr="008A4BF7" w:rsidR="00252D96">
        <w:rPr>
          <w:rFonts w:ascii="Times New Roman" w:hAnsi="Times New Roman"/>
          <w:b/>
          <w:sz w:val="22"/>
          <w:szCs w:val="22"/>
        </w:rPr>
        <w:t xml:space="preserve"> </w:t>
      </w:r>
      <w:r w:rsidR="00E979CB">
        <w:rPr>
          <w:rFonts w:ascii="Times New Roman" w:hAnsi="Times New Roman"/>
          <w:b/>
          <w:sz w:val="22"/>
          <w:szCs w:val="22"/>
        </w:rPr>
        <w:t>6 and 7</w:t>
      </w:r>
      <w:r w:rsidRPr="00252D96">
        <w:rPr>
          <w:rFonts w:ascii="Times New Roman" w:hAnsi="Times New Roman"/>
          <w:bCs/>
          <w:sz w:val="22"/>
          <w:szCs w:val="22"/>
        </w:rPr>
        <w:t>)</w:t>
      </w:r>
      <w:r w:rsidRPr="00252D96">
        <w:rPr>
          <w:rFonts w:ascii="Times New Roman" w:hAnsi="Times New Roman"/>
          <w:sz w:val="22"/>
          <w:szCs w:val="22"/>
        </w:rPr>
        <w:t>. The informed consent language is written in simple language (grade 7.5 Flesch-Kinkaid reading level). In addition to the landing page, a Frequently Asked Questions (FAQs) link will be provided</w:t>
      </w:r>
      <w:r w:rsidRPr="001F544F">
        <w:rPr>
          <w:rFonts w:ascii="Times New Roman" w:hAnsi="Times New Roman"/>
          <w:sz w:val="22"/>
          <w:szCs w:val="22"/>
        </w:rPr>
        <w:t xml:space="preserve"> at the bottom of each survey page. Consent includes a brief description of the study and contains the following key points:</w:t>
      </w:r>
    </w:p>
    <w:p w:rsidRPr="001F544F" w:rsidR="000747E6" w:rsidP="00F37C7F" w:rsidRDefault="000747E6" w14:paraId="2489E02B" w14:textId="77777777">
      <w:pPr>
        <w:numPr>
          <w:ilvl w:val="0"/>
          <w:numId w:val="6"/>
        </w:numPr>
        <w:autoSpaceDE/>
        <w:autoSpaceDN/>
        <w:adjustRightInd/>
        <w:spacing w:line="360" w:lineRule="auto"/>
        <w:contextualSpacing/>
        <w:rPr>
          <w:rFonts w:ascii="Times New Roman" w:hAnsi="Times New Roman"/>
          <w:sz w:val="22"/>
          <w:szCs w:val="22"/>
        </w:rPr>
      </w:pPr>
      <w:r w:rsidRPr="001F544F">
        <w:rPr>
          <w:rFonts w:ascii="Times New Roman" w:hAnsi="Times New Roman"/>
          <w:sz w:val="22"/>
          <w:szCs w:val="22"/>
        </w:rPr>
        <w:t>Purpose of the study</w:t>
      </w:r>
    </w:p>
    <w:p w:rsidRPr="001F544F" w:rsidR="000747E6" w:rsidP="00F37C7F" w:rsidRDefault="000747E6" w14:paraId="58699C79" w14:textId="77777777">
      <w:pPr>
        <w:numPr>
          <w:ilvl w:val="0"/>
          <w:numId w:val="6"/>
        </w:numPr>
        <w:autoSpaceDE/>
        <w:autoSpaceDN/>
        <w:adjustRightInd/>
        <w:spacing w:line="360" w:lineRule="auto"/>
        <w:contextualSpacing/>
        <w:rPr>
          <w:rFonts w:ascii="Times New Roman" w:hAnsi="Times New Roman"/>
          <w:sz w:val="22"/>
          <w:szCs w:val="22"/>
        </w:rPr>
      </w:pPr>
      <w:r w:rsidRPr="001F544F">
        <w:rPr>
          <w:rFonts w:ascii="Times New Roman" w:hAnsi="Times New Roman"/>
          <w:sz w:val="22"/>
          <w:szCs w:val="22"/>
        </w:rPr>
        <w:t>Study procedures</w:t>
      </w:r>
    </w:p>
    <w:p w:rsidRPr="001F544F" w:rsidR="000747E6" w:rsidP="00F37C7F" w:rsidRDefault="000747E6" w14:paraId="66A4B967" w14:textId="77777777">
      <w:pPr>
        <w:numPr>
          <w:ilvl w:val="0"/>
          <w:numId w:val="6"/>
        </w:numPr>
        <w:autoSpaceDE/>
        <w:autoSpaceDN/>
        <w:adjustRightInd/>
        <w:spacing w:line="360" w:lineRule="auto"/>
        <w:contextualSpacing/>
        <w:rPr>
          <w:rFonts w:ascii="Times New Roman" w:hAnsi="Times New Roman"/>
          <w:sz w:val="22"/>
          <w:szCs w:val="22"/>
        </w:rPr>
      </w:pPr>
      <w:r w:rsidRPr="001F544F">
        <w:rPr>
          <w:rFonts w:ascii="Times New Roman" w:hAnsi="Times New Roman"/>
          <w:sz w:val="22"/>
          <w:szCs w:val="22"/>
        </w:rPr>
        <w:t>Question topics</w:t>
      </w:r>
    </w:p>
    <w:p w:rsidRPr="001F544F" w:rsidR="000747E6" w:rsidP="00F37C7F" w:rsidRDefault="000747E6" w14:paraId="58699063" w14:textId="77777777">
      <w:pPr>
        <w:numPr>
          <w:ilvl w:val="0"/>
          <w:numId w:val="6"/>
        </w:numPr>
        <w:autoSpaceDE/>
        <w:autoSpaceDN/>
        <w:adjustRightInd/>
        <w:spacing w:line="360" w:lineRule="auto"/>
        <w:contextualSpacing/>
        <w:rPr>
          <w:rFonts w:ascii="Times New Roman" w:hAnsi="Times New Roman"/>
          <w:sz w:val="22"/>
          <w:szCs w:val="22"/>
        </w:rPr>
      </w:pPr>
      <w:r w:rsidRPr="001F544F">
        <w:rPr>
          <w:rFonts w:ascii="Times New Roman" w:hAnsi="Times New Roman"/>
          <w:sz w:val="22"/>
          <w:szCs w:val="22"/>
        </w:rPr>
        <w:t>Estimated time required to participate</w:t>
      </w:r>
    </w:p>
    <w:p w:rsidRPr="001F544F" w:rsidR="000747E6" w:rsidP="00F37C7F" w:rsidRDefault="000747E6" w14:paraId="64D51C5A" w14:textId="77777777">
      <w:pPr>
        <w:numPr>
          <w:ilvl w:val="0"/>
          <w:numId w:val="6"/>
        </w:numPr>
        <w:autoSpaceDE/>
        <w:autoSpaceDN/>
        <w:adjustRightInd/>
        <w:spacing w:line="360" w:lineRule="auto"/>
        <w:contextualSpacing/>
        <w:rPr>
          <w:rFonts w:ascii="Times New Roman" w:hAnsi="Times New Roman"/>
          <w:sz w:val="22"/>
          <w:szCs w:val="22"/>
        </w:rPr>
      </w:pPr>
      <w:r w:rsidRPr="001F544F">
        <w:rPr>
          <w:rFonts w:ascii="Times New Roman" w:hAnsi="Times New Roman"/>
          <w:sz w:val="22"/>
          <w:szCs w:val="22"/>
        </w:rPr>
        <w:t>Disclosure of incentive</w:t>
      </w:r>
    </w:p>
    <w:p w:rsidRPr="001F544F" w:rsidR="000747E6" w:rsidP="00F37C7F" w:rsidRDefault="000747E6" w14:paraId="5EAD823C" w14:textId="77777777">
      <w:pPr>
        <w:numPr>
          <w:ilvl w:val="0"/>
          <w:numId w:val="6"/>
        </w:numPr>
        <w:autoSpaceDE/>
        <w:autoSpaceDN/>
        <w:adjustRightInd/>
        <w:spacing w:line="360" w:lineRule="auto"/>
        <w:contextualSpacing/>
        <w:rPr>
          <w:rFonts w:ascii="Times New Roman" w:hAnsi="Times New Roman"/>
          <w:sz w:val="22"/>
          <w:szCs w:val="22"/>
        </w:rPr>
      </w:pPr>
      <w:r w:rsidRPr="001F544F">
        <w:rPr>
          <w:rFonts w:ascii="Times New Roman" w:hAnsi="Times New Roman"/>
          <w:sz w:val="22"/>
          <w:szCs w:val="22"/>
        </w:rPr>
        <w:t>Potential risks and benefits</w:t>
      </w:r>
    </w:p>
    <w:p w:rsidRPr="001F544F" w:rsidR="000747E6" w:rsidP="00F37C7F" w:rsidRDefault="000747E6" w14:paraId="416A13F5" w14:textId="77777777">
      <w:pPr>
        <w:numPr>
          <w:ilvl w:val="0"/>
          <w:numId w:val="6"/>
        </w:numPr>
        <w:autoSpaceDE/>
        <w:autoSpaceDN/>
        <w:adjustRightInd/>
        <w:spacing w:line="360" w:lineRule="auto"/>
        <w:contextualSpacing/>
        <w:rPr>
          <w:rFonts w:ascii="Times New Roman" w:hAnsi="Times New Roman"/>
          <w:sz w:val="22"/>
          <w:szCs w:val="22"/>
        </w:rPr>
      </w:pPr>
      <w:r w:rsidRPr="001F544F">
        <w:rPr>
          <w:rFonts w:ascii="Times New Roman" w:hAnsi="Times New Roman"/>
          <w:sz w:val="22"/>
          <w:szCs w:val="22"/>
        </w:rPr>
        <w:lastRenderedPageBreak/>
        <w:t>Statement that participation is voluntary</w:t>
      </w:r>
    </w:p>
    <w:p w:rsidRPr="001F544F" w:rsidR="000747E6" w:rsidP="00F37C7F" w:rsidRDefault="000747E6" w14:paraId="1D8C87E1" w14:textId="77777777">
      <w:pPr>
        <w:numPr>
          <w:ilvl w:val="0"/>
          <w:numId w:val="6"/>
        </w:numPr>
        <w:autoSpaceDE/>
        <w:autoSpaceDN/>
        <w:adjustRightInd/>
        <w:spacing w:line="360" w:lineRule="auto"/>
        <w:contextualSpacing/>
        <w:rPr>
          <w:rFonts w:ascii="Times New Roman" w:hAnsi="Times New Roman"/>
          <w:sz w:val="22"/>
          <w:szCs w:val="22"/>
        </w:rPr>
      </w:pPr>
      <w:r w:rsidRPr="001F544F">
        <w:rPr>
          <w:rFonts w:ascii="Times New Roman" w:hAnsi="Times New Roman"/>
          <w:sz w:val="22"/>
          <w:szCs w:val="22"/>
        </w:rPr>
        <w:t xml:space="preserve">Telephone numbers of persons they may </w:t>
      </w:r>
      <w:proofErr w:type="gramStart"/>
      <w:r w:rsidRPr="001F544F">
        <w:rPr>
          <w:rFonts w:ascii="Times New Roman" w:hAnsi="Times New Roman"/>
          <w:sz w:val="22"/>
          <w:szCs w:val="22"/>
        </w:rPr>
        <w:t>contact with</w:t>
      </w:r>
      <w:proofErr w:type="gramEnd"/>
      <w:r w:rsidRPr="001F544F">
        <w:rPr>
          <w:rFonts w:ascii="Times New Roman" w:hAnsi="Times New Roman"/>
          <w:sz w:val="22"/>
          <w:szCs w:val="22"/>
        </w:rPr>
        <w:t xml:space="preserve"> further questions</w:t>
      </w:r>
    </w:p>
    <w:p w:rsidRPr="002A2D1E" w:rsidR="002A2D1E" w:rsidP="002A2D1E" w:rsidRDefault="000747E6" w14:paraId="58A48EC5" w14:textId="2D6F7041">
      <w:pPr>
        <w:numPr>
          <w:ilvl w:val="0"/>
          <w:numId w:val="6"/>
        </w:numPr>
        <w:autoSpaceDE/>
        <w:autoSpaceDN/>
        <w:adjustRightInd/>
        <w:spacing w:after="240" w:line="360" w:lineRule="auto"/>
        <w:contextualSpacing/>
        <w:rPr>
          <w:rFonts w:ascii="Times New Roman" w:hAnsi="Times New Roman"/>
          <w:sz w:val="22"/>
          <w:szCs w:val="22"/>
        </w:rPr>
      </w:pPr>
      <w:r w:rsidRPr="001F544F">
        <w:rPr>
          <w:rFonts w:ascii="Times New Roman" w:hAnsi="Times New Roman"/>
          <w:sz w:val="22"/>
          <w:szCs w:val="22"/>
        </w:rPr>
        <w:t>Authority for the data collection</w:t>
      </w:r>
    </w:p>
    <w:p w:rsidR="00AC01F2" w:rsidP="002A2D1E" w:rsidRDefault="00AC01F2" w14:paraId="67D45956" w14:textId="41FC62E1">
      <w:pPr>
        <w:autoSpaceDE/>
        <w:autoSpaceDN/>
        <w:adjustRightInd/>
        <w:spacing w:before="240" w:line="360" w:lineRule="auto"/>
        <w:contextualSpacing/>
        <w:rPr>
          <w:rFonts w:ascii="Times New Roman" w:hAnsi="Times New Roman"/>
          <w:sz w:val="22"/>
          <w:szCs w:val="22"/>
        </w:rPr>
      </w:pPr>
      <w:r>
        <w:rPr>
          <w:rFonts w:ascii="Times New Roman" w:hAnsi="Times New Roman"/>
          <w:sz w:val="22"/>
          <w:szCs w:val="22"/>
        </w:rPr>
        <w:t xml:space="preserve">For minor participants ages 15-17 years old, parental consent will be collected prior to their being invited to participate in the survey. </w:t>
      </w:r>
      <w:r w:rsidR="00CA5BBD">
        <w:rPr>
          <w:rFonts w:ascii="Times New Roman" w:hAnsi="Times New Roman"/>
          <w:sz w:val="22"/>
          <w:szCs w:val="22"/>
        </w:rPr>
        <w:t>Consent will include a brief description of the study and contain the key points listed above. Minors will also be required to assent to participate before initiating the survey.</w:t>
      </w:r>
    </w:p>
    <w:p w:rsidRPr="00F93EAD" w:rsidR="00930E86" w:rsidP="00AC01F2" w:rsidRDefault="00F93EAD" w14:paraId="45C601B1" w14:textId="78F01B52">
      <w:pPr>
        <w:autoSpaceDE/>
        <w:autoSpaceDN/>
        <w:adjustRightInd/>
        <w:spacing w:before="240" w:after="240" w:line="360" w:lineRule="auto"/>
        <w:contextualSpacing/>
        <w:rPr>
          <w:rFonts w:ascii="Times New Roman" w:hAnsi="Times New Roman"/>
          <w:sz w:val="22"/>
          <w:szCs w:val="22"/>
        </w:rPr>
      </w:pPr>
      <w:r w:rsidRPr="00F93EAD">
        <w:rPr>
          <w:rFonts w:ascii="Times New Roman" w:hAnsi="Times New Roman"/>
          <w:sz w:val="22"/>
          <w:szCs w:val="22"/>
        </w:rPr>
        <w:t xml:space="preserve">Every </w:t>
      </w:r>
      <w:proofErr w:type="spellStart"/>
      <w:r w:rsidRPr="00F93EAD">
        <w:rPr>
          <w:rFonts w:ascii="Times New Roman" w:hAnsi="Times New Roman"/>
          <w:sz w:val="22"/>
          <w:szCs w:val="22"/>
        </w:rPr>
        <w:t>AmeriSpeak</w:t>
      </w:r>
      <w:proofErr w:type="spellEnd"/>
      <w:r w:rsidRPr="00F93EAD">
        <w:rPr>
          <w:rFonts w:ascii="Times New Roman" w:hAnsi="Times New Roman"/>
          <w:sz w:val="22"/>
          <w:szCs w:val="22"/>
        </w:rPr>
        <w:t xml:space="preserve"> panelist is provided a Privacy Statement, which outlines the information that will be collected and how the information will be used. Because each panel member is asked to provide key demographic data such as age, gender, race/ethnicity, state of residence, household income, and more, the Privacy Statement also tells panel members how they can verify the accuracy of their PII and how they can request that the information be deleted or updated. </w:t>
      </w:r>
    </w:p>
    <w:p w:rsidR="00252D96" w:rsidP="00AC01F2" w:rsidRDefault="00252D96" w14:paraId="55E6DC09" w14:textId="77777777">
      <w:pPr>
        <w:autoSpaceDE/>
        <w:autoSpaceDN/>
        <w:adjustRightInd/>
        <w:spacing w:before="240" w:line="360" w:lineRule="auto"/>
        <w:contextualSpacing/>
        <w:rPr>
          <w:rFonts w:ascii="Times New Roman" w:hAnsi="Times New Roman"/>
          <w:sz w:val="22"/>
          <w:szCs w:val="22"/>
        </w:rPr>
      </w:pPr>
    </w:p>
    <w:p w:rsidRPr="00F93EAD" w:rsidR="00F93EAD" w:rsidP="00AC01F2" w:rsidRDefault="00F93EAD" w14:paraId="14B03BCD" w14:textId="1E24154C">
      <w:pPr>
        <w:autoSpaceDE/>
        <w:autoSpaceDN/>
        <w:adjustRightInd/>
        <w:spacing w:before="240" w:line="360" w:lineRule="auto"/>
        <w:contextualSpacing/>
        <w:rPr>
          <w:rFonts w:ascii="Times New Roman" w:hAnsi="Times New Roman"/>
          <w:sz w:val="22"/>
          <w:szCs w:val="22"/>
        </w:rPr>
      </w:pPr>
      <w:r w:rsidRPr="00F93EAD">
        <w:rPr>
          <w:rFonts w:ascii="Times New Roman" w:hAnsi="Times New Roman"/>
          <w:sz w:val="22"/>
          <w:szCs w:val="22"/>
        </w:rPr>
        <w:t xml:space="preserve">The </w:t>
      </w:r>
      <w:proofErr w:type="spellStart"/>
      <w:r w:rsidRPr="00F93EAD">
        <w:rPr>
          <w:rFonts w:ascii="Times New Roman" w:hAnsi="Times New Roman"/>
          <w:sz w:val="22"/>
          <w:szCs w:val="22"/>
        </w:rPr>
        <w:t>AmeriSpeak</w:t>
      </w:r>
      <w:proofErr w:type="spellEnd"/>
      <w:r w:rsidRPr="00F93EAD">
        <w:rPr>
          <w:rFonts w:ascii="Times New Roman" w:hAnsi="Times New Roman"/>
          <w:sz w:val="22"/>
          <w:szCs w:val="22"/>
        </w:rPr>
        <w:t xml:space="preserve"> Privacy Statement </w:t>
      </w:r>
      <w:r>
        <w:rPr>
          <w:rFonts w:ascii="Times New Roman" w:hAnsi="Times New Roman"/>
          <w:sz w:val="22"/>
          <w:szCs w:val="22"/>
        </w:rPr>
        <w:t xml:space="preserve"> includes the following:</w:t>
      </w:r>
    </w:p>
    <w:p w:rsidRPr="00F93EAD" w:rsidR="00F93EAD" w:rsidP="00F93EAD" w:rsidRDefault="00F93EAD" w14:paraId="47F2EA89" w14:textId="68F1342C">
      <w:pPr>
        <w:pStyle w:val="ListParagraph"/>
        <w:numPr>
          <w:ilvl w:val="0"/>
          <w:numId w:val="25"/>
        </w:numPr>
        <w:spacing w:line="360" w:lineRule="auto"/>
        <w:rPr>
          <w:rFonts w:ascii="Times New Roman" w:hAnsi="Times New Roman"/>
        </w:rPr>
      </w:pPr>
      <w:r w:rsidRPr="00F93EAD">
        <w:rPr>
          <w:rFonts w:ascii="Times New Roman" w:hAnsi="Times New Roman"/>
        </w:rPr>
        <w:t xml:space="preserve">A promise to treat all </w:t>
      </w:r>
      <w:proofErr w:type="spellStart"/>
      <w:r w:rsidRPr="00F93EAD">
        <w:rPr>
          <w:rFonts w:ascii="Times New Roman" w:hAnsi="Times New Roman"/>
        </w:rPr>
        <w:t>AmeriSpeak</w:t>
      </w:r>
      <w:proofErr w:type="spellEnd"/>
      <w:r w:rsidRPr="00F93EAD">
        <w:rPr>
          <w:rFonts w:ascii="Times New Roman" w:hAnsi="Times New Roman"/>
        </w:rPr>
        <w:t xml:space="preserve"> panelists and their information with respect.</w:t>
      </w:r>
    </w:p>
    <w:p w:rsidRPr="00F93EAD" w:rsidR="00F93EAD" w:rsidP="00F93EAD" w:rsidRDefault="00F93EAD" w14:paraId="52AAE5ED" w14:textId="1946CBA3">
      <w:pPr>
        <w:pStyle w:val="ListParagraph"/>
        <w:numPr>
          <w:ilvl w:val="0"/>
          <w:numId w:val="25"/>
        </w:numPr>
        <w:spacing w:line="360" w:lineRule="auto"/>
        <w:rPr>
          <w:rFonts w:ascii="Times New Roman" w:hAnsi="Times New Roman"/>
        </w:rPr>
      </w:pPr>
      <w:r w:rsidRPr="00F93EAD">
        <w:rPr>
          <w:rFonts w:ascii="Times New Roman" w:hAnsi="Times New Roman"/>
        </w:rPr>
        <w:t xml:space="preserve">The assurance that participation in any </w:t>
      </w:r>
      <w:proofErr w:type="spellStart"/>
      <w:r w:rsidRPr="00F93EAD">
        <w:rPr>
          <w:rFonts w:ascii="Times New Roman" w:hAnsi="Times New Roman"/>
        </w:rPr>
        <w:t>AmeriSpeak</w:t>
      </w:r>
      <w:proofErr w:type="spellEnd"/>
      <w:r w:rsidRPr="00F93EAD">
        <w:rPr>
          <w:rFonts w:ascii="Times New Roman" w:hAnsi="Times New Roman"/>
        </w:rPr>
        <w:t xml:space="preserve"> study is completely voluntary and that panel members may choose not to answer any questions that they do not wish to answer. Furthermore, panel members may withdraw their participation in </w:t>
      </w:r>
      <w:proofErr w:type="spellStart"/>
      <w:r w:rsidRPr="00F93EAD">
        <w:rPr>
          <w:rFonts w:ascii="Times New Roman" w:hAnsi="Times New Roman"/>
        </w:rPr>
        <w:t>AmeriSpeak</w:t>
      </w:r>
      <w:proofErr w:type="spellEnd"/>
      <w:r w:rsidRPr="00F93EAD">
        <w:rPr>
          <w:rFonts w:ascii="Times New Roman" w:hAnsi="Times New Roman"/>
        </w:rPr>
        <w:t xml:space="preserve"> at any time.</w:t>
      </w:r>
    </w:p>
    <w:p w:rsidRPr="00F93EAD" w:rsidR="00F93EAD" w:rsidP="00F93EAD" w:rsidRDefault="00F93EAD" w14:paraId="163FD0D7" w14:textId="0D5989A5">
      <w:pPr>
        <w:pStyle w:val="ListParagraph"/>
        <w:numPr>
          <w:ilvl w:val="0"/>
          <w:numId w:val="25"/>
        </w:numPr>
        <w:spacing w:line="360" w:lineRule="auto"/>
        <w:rPr>
          <w:rFonts w:ascii="Times New Roman" w:hAnsi="Times New Roman"/>
        </w:rPr>
      </w:pPr>
      <w:proofErr w:type="spellStart"/>
      <w:r w:rsidRPr="00F93EAD">
        <w:rPr>
          <w:rFonts w:ascii="Times New Roman" w:hAnsi="Times New Roman"/>
        </w:rPr>
        <w:t>AmeriSpeak</w:t>
      </w:r>
      <w:proofErr w:type="spellEnd"/>
      <w:r w:rsidRPr="00F93EAD">
        <w:rPr>
          <w:rFonts w:ascii="Times New Roman" w:hAnsi="Times New Roman"/>
        </w:rPr>
        <w:t xml:space="preserve"> will never try to sell the panel member anything or ask for donations.</w:t>
      </w:r>
    </w:p>
    <w:p w:rsidRPr="00F93EAD" w:rsidR="00F93EAD" w:rsidP="00F93EAD" w:rsidRDefault="00F93EAD" w14:paraId="698B059A" w14:textId="55BEDD3A">
      <w:pPr>
        <w:pStyle w:val="ListParagraph"/>
        <w:numPr>
          <w:ilvl w:val="0"/>
          <w:numId w:val="25"/>
        </w:numPr>
        <w:spacing w:line="360" w:lineRule="auto"/>
        <w:rPr>
          <w:rFonts w:ascii="Times New Roman" w:hAnsi="Times New Roman"/>
        </w:rPr>
      </w:pPr>
      <w:proofErr w:type="spellStart"/>
      <w:r w:rsidRPr="00F93EAD">
        <w:rPr>
          <w:rFonts w:ascii="Times New Roman" w:hAnsi="Times New Roman"/>
        </w:rPr>
        <w:t>AmeriSpeak</w:t>
      </w:r>
      <w:proofErr w:type="spellEnd"/>
      <w:r w:rsidRPr="00F93EAD">
        <w:rPr>
          <w:rFonts w:ascii="Times New Roman" w:hAnsi="Times New Roman"/>
        </w:rPr>
        <w:t xml:space="preserve"> will not share the personally identifying information with any clients unless panel members have given explicit permission to do so. Only survey responses will be shared with clients.</w:t>
      </w:r>
    </w:p>
    <w:p w:rsidRPr="00F93EAD" w:rsidR="00F93EAD" w:rsidP="00F93EAD" w:rsidRDefault="00F93EAD" w14:paraId="0CB1B361" w14:textId="456C0D55">
      <w:pPr>
        <w:pStyle w:val="ListParagraph"/>
        <w:numPr>
          <w:ilvl w:val="0"/>
          <w:numId w:val="25"/>
        </w:numPr>
        <w:spacing w:line="360" w:lineRule="auto"/>
        <w:rPr>
          <w:rFonts w:ascii="Times New Roman" w:hAnsi="Times New Roman"/>
        </w:rPr>
      </w:pPr>
      <w:r w:rsidRPr="00F93EAD">
        <w:rPr>
          <w:rFonts w:ascii="Times New Roman" w:hAnsi="Times New Roman"/>
        </w:rPr>
        <w:t>Personal information will never be shared with telemarketers or others who would try to sell panel members anything.</w:t>
      </w:r>
    </w:p>
    <w:p w:rsidRPr="00F93EAD" w:rsidR="00F93EAD" w:rsidP="00F93EAD" w:rsidRDefault="00F93EAD" w14:paraId="366200FA" w14:textId="3894A99F">
      <w:pPr>
        <w:pStyle w:val="ListParagraph"/>
        <w:numPr>
          <w:ilvl w:val="0"/>
          <w:numId w:val="25"/>
        </w:numPr>
        <w:spacing w:line="360" w:lineRule="auto"/>
        <w:rPr>
          <w:rFonts w:ascii="Times New Roman" w:hAnsi="Times New Roman"/>
        </w:rPr>
      </w:pPr>
      <w:proofErr w:type="spellStart"/>
      <w:r w:rsidRPr="00F93EAD">
        <w:rPr>
          <w:rFonts w:ascii="Times New Roman" w:hAnsi="Times New Roman"/>
        </w:rPr>
        <w:t>AmeriSpeak</w:t>
      </w:r>
      <w:proofErr w:type="spellEnd"/>
      <w:r w:rsidRPr="00F93EAD">
        <w:rPr>
          <w:rFonts w:ascii="Times New Roman" w:hAnsi="Times New Roman"/>
        </w:rPr>
        <w:t xml:space="preserve"> has established security measures to protect the security and confidentiality of its panel members.</w:t>
      </w:r>
    </w:p>
    <w:p w:rsidRPr="00F93EAD" w:rsidR="00F93EAD" w:rsidP="00F93EAD" w:rsidRDefault="00F93EAD" w14:paraId="483EBCCC" w14:textId="2DCAADCF">
      <w:pPr>
        <w:pStyle w:val="ListParagraph"/>
        <w:numPr>
          <w:ilvl w:val="0"/>
          <w:numId w:val="25"/>
        </w:numPr>
        <w:spacing w:line="360" w:lineRule="auto"/>
        <w:rPr>
          <w:rFonts w:ascii="Times New Roman" w:hAnsi="Times New Roman"/>
        </w:rPr>
      </w:pPr>
      <w:r w:rsidRPr="00F93EAD">
        <w:rPr>
          <w:rFonts w:ascii="Times New Roman" w:hAnsi="Times New Roman"/>
        </w:rPr>
        <w:t xml:space="preserve">Panel members control their personal information and have the right to view their personal information or ask </w:t>
      </w:r>
      <w:proofErr w:type="spellStart"/>
      <w:r w:rsidRPr="00F93EAD">
        <w:rPr>
          <w:rFonts w:ascii="Times New Roman" w:hAnsi="Times New Roman"/>
        </w:rPr>
        <w:t>AmeriSpeak</w:t>
      </w:r>
      <w:proofErr w:type="spellEnd"/>
      <w:r w:rsidRPr="00F93EAD">
        <w:rPr>
          <w:rFonts w:ascii="Times New Roman" w:hAnsi="Times New Roman"/>
        </w:rPr>
        <w:t xml:space="preserve"> to delete it.</w:t>
      </w:r>
    </w:p>
    <w:p w:rsidRPr="00FC5D2E" w:rsidR="00954D97" w:rsidP="001F544F" w:rsidRDefault="001F544F" w14:paraId="4342E30E" w14:textId="50870D01">
      <w:pPr>
        <w:pStyle w:val="Heading2"/>
        <w:spacing w:before="240" w:after="200" w:line="360" w:lineRule="auto"/>
        <w:rPr>
          <w:rFonts w:ascii="Times New Roman" w:hAnsi="Times New Roman" w:cs="Times New Roman"/>
          <w:b/>
          <w:color w:val="auto"/>
          <w:sz w:val="24"/>
          <w:szCs w:val="24"/>
        </w:rPr>
      </w:pPr>
      <w:bookmarkStart w:name="_Toc50987044" w:id="18"/>
      <w:r>
        <w:rPr>
          <w:rFonts w:ascii="Times New Roman" w:hAnsi="Times New Roman" w:cs="Times New Roman"/>
          <w:b/>
          <w:color w:val="auto"/>
          <w:sz w:val="24"/>
          <w:szCs w:val="24"/>
        </w:rPr>
        <w:t>A.11.</w:t>
      </w:r>
      <w:r>
        <w:rPr>
          <w:rFonts w:ascii="Times New Roman" w:hAnsi="Times New Roman" w:cs="Times New Roman"/>
          <w:b/>
          <w:color w:val="auto"/>
          <w:sz w:val="24"/>
          <w:szCs w:val="24"/>
        </w:rPr>
        <w:tab/>
      </w:r>
      <w:r w:rsidRPr="00FC5D2E" w:rsidR="00954D97">
        <w:rPr>
          <w:rFonts w:ascii="Times New Roman" w:hAnsi="Times New Roman" w:cs="Times New Roman"/>
          <w:b/>
          <w:color w:val="auto"/>
          <w:sz w:val="24"/>
          <w:szCs w:val="24"/>
        </w:rPr>
        <w:t>Institutional Review Board (IRB) and Justification for Sensitive Questions</w:t>
      </w:r>
      <w:bookmarkEnd w:id="18"/>
    </w:p>
    <w:p w:rsidRPr="001F544F" w:rsidR="00954D97" w:rsidP="001F544F" w:rsidRDefault="00954D97" w14:paraId="37C7A233" w14:textId="77777777">
      <w:pPr>
        <w:pStyle w:val="ListParagraph"/>
        <w:spacing w:before="240" w:line="360" w:lineRule="auto"/>
        <w:ind w:left="0"/>
        <w:rPr>
          <w:rFonts w:ascii="Times New Roman" w:hAnsi="Times New Roman" w:cs="Times New Roman"/>
          <w:b/>
        </w:rPr>
      </w:pPr>
      <w:r w:rsidRPr="001F544F">
        <w:rPr>
          <w:rFonts w:ascii="Times New Roman" w:hAnsi="Times New Roman" w:cs="Times New Roman"/>
          <w:b/>
        </w:rPr>
        <w:t>IRB Approval</w:t>
      </w:r>
    </w:p>
    <w:p w:rsidRPr="001F544F" w:rsidR="00954D97" w:rsidP="001F544F" w:rsidRDefault="00133C7A" w14:paraId="062BFBC2" w14:textId="0F87D92B">
      <w:pPr>
        <w:widowControl w:val="0"/>
        <w:spacing w:before="240" w:after="200" w:line="360" w:lineRule="auto"/>
        <w:rPr>
          <w:rFonts w:ascii="Times New Roman" w:hAnsi="Times New Roman"/>
          <w:color w:val="000000"/>
          <w:sz w:val="22"/>
          <w:szCs w:val="22"/>
        </w:rPr>
      </w:pPr>
      <w:r>
        <w:rPr>
          <w:rFonts w:ascii="Times New Roman" w:hAnsi="Times New Roman"/>
          <w:color w:val="000000"/>
          <w:sz w:val="22"/>
          <w:szCs w:val="22"/>
        </w:rPr>
        <w:t xml:space="preserve">NORC submitted the initial study protocol for </w:t>
      </w:r>
      <w:r w:rsidR="00EE5E82">
        <w:rPr>
          <w:rFonts w:ascii="Times New Roman" w:hAnsi="Times New Roman"/>
          <w:color w:val="000000"/>
          <w:sz w:val="22"/>
          <w:szCs w:val="22"/>
        </w:rPr>
        <w:t xml:space="preserve">IRB </w:t>
      </w:r>
      <w:r>
        <w:rPr>
          <w:rFonts w:ascii="Times New Roman" w:hAnsi="Times New Roman"/>
          <w:color w:val="000000"/>
          <w:sz w:val="22"/>
          <w:szCs w:val="22"/>
        </w:rPr>
        <w:t xml:space="preserve">approval to conduct cognitive interviews; the cognitive interview protocol was approved in </w:t>
      </w:r>
      <w:r w:rsidR="009724AA">
        <w:rPr>
          <w:rFonts w:ascii="Times New Roman" w:hAnsi="Times New Roman"/>
          <w:color w:val="000000"/>
          <w:sz w:val="22"/>
          <w:szCs w:val="22"/>
        </w:rPr>
        <w:t>2020</w:t>
      </w:r>
      <w:r w:rsidR="008A4BF7">
        <w:rPr>
          <w:rFonts w:ascii="Times New Roman" w:hAnsi="Times New Roman"/>
          <w:color w:val="000000"/>
          <w:sz w:val="22"/>
          <w:szCs w:val="22"/>
        </w:rPr>
        <w:t xml:space="preserve"> (</w:t>
      </w:r>
      <w:r w:rsidRPr="00BA1E60" w:rsidR="008A4BF7">
        <w:rPr>
          <w:rFonts w:ascii="Times New Roman" w:hAnsi="Times New Roman"/>
          <w:b/>
          <w:bCs/>
          <w:color w:val="000000"/>
          <w:sz w:val="22"/>
          <w:szCs w:val="22"/>
        </w:rPr>
        <w:t xml:space="preserve">Attachment </w:t>
      </w:r>
      <w:r w:rsidR="00E979CB">
        <w:rPr>
          <w:rFonts w:ascii="Times New Roman" w:hAnsi="Times New Roman"/>
          <w:b/>
          <w:bCs/>
          <w:color w:val="000000"/>
          <w:sz w:val="22"/>
          <w:szCs w:val="22"/>
        </w:rPr>
        <w:t>8</w:t>
      </w:r>
      <w:r w:rsidRPr="00BA1E60" w:rsidR="008A4BF7">
        <w:rPr>
          <w:rFonts w:ascii="Times New Roman" w:hAnsi="Times New Roman"/>
          <w:color w:val="000000"/>
          <w:sz w:val="22"/>
          <w:szCs w:val="22"/>
        </w:rPr>
        <w:t>)</w:t>
      </w:r>
      <w:r w:rsidRPr="00BA1E60">
        <w:rPr>
          <w:rFonts w:ascii="Times New Roman" w:hAnsi="Times New Roman"/>
          <w:color w:val="000000"/>
          <w:sz w:val="22"/>
          <w:szCs w:val="22"/>
        </w:rPr>
        <w:t xml:space="preserve">. An amendment for the main data collection effort was submitted in </w:t>
      </w:r>
      <w:r w:rsidRPr="00BA1E60" w:rsidR="00252D96">
        <w:rPr>
          <w:rFonts w:ascii="Times New Roman" w:hAnsi="Times New Roman"/>
          <w:color w:val="000000"/>
          <w:sz w:val="22"/>
          <w:szCs w:val="22"/>
        </w:rPr>
        <w:t>January 2021</w:t>
      </w:r>
      <w:r w:rsidRPr="00BA1E60">
        <w:rPr>
          <w:rFonts w:ascii="Times New Roman" w:hAnsi="Times New Roman"/>
          <w:color w:val="000000"/>
          <w:sz w:val="22"/>
          <w:szCs w:val="22"/>
        </w:rPr>
        <w:t xml:space="preserve">; the main data collection </w:t>
      </w:r>
      <w:r w:rsidRPr="00BA1E60" w:rsidR="00954D97">
        <w:rPr>
          <w:rFonts w:ascii="Times New Roman" w:hAnsi="Times New Roman"/>
          <w:color w:val="000000"/>
          <w:sz w:val="22"/>
          <w:szCs w:val="22"/>
        </w:rPr>
        <w:t xml:space="preserve">was approved by NORC’s IRB </w:t>
      </w:r>
      <w:r w:rsidRPr="00BA1E60" w:rsidR="00954D97">
        <w:rPr>
          <w:rFonts w:ascii="Times New Roman" w:hAnsi="Times New Roman"/>
          <w:color w:val="000000"/>
          <w:sz w:val="22"/>
          <w:szCs w:val="22"/>
        </w:rPr>
        <w:lastRenderedPageBreak/>
        <w:t>(</w:t>
      </w:r>
      <w:r w:rsidRPr="00BA1E60" w:rsidR="00954D97">
        <w:rPr>
          <w:rFonts w:ascii="Times New Roman" w:hAnsi="Times New Roman"/>
          <w:b/>
          <w:color w:val="000000"/>
          <w:sz w:val="22"/>
          <w:szCs w:val="22"/>
        </w:rPr>
        <w:t xml:space="preserve">Attachment </w:t>
      </w:r>
      <w:r w:rsidR="00E979CB">
        <w:rPr>
          <w:rFonts w:ascii="Times New Roman" w:hAnsi="Times New Roman"/>
          <w:b/>
          <w:color w:val="000000"/>
          <w:sz w:val="22"/>
          <w:szCs w:val="22"/>
        </w:rPr>
        <w:t>9</w:t>
      </w:r>
      <w:r w:rsidRPr="00BA1E60" w:rsidR="00954D97">
        <w:rPr>
          <w:rFonts w:ascii="Times New Roman" w:hAnsi="Times New Roman"/>
          <w:color w:val="000000"/>
          <w:sz w:val="22"/>
          <w:szCs w:val="22"/>
        </w:rPr>
        <w:t>)</w:t>
      </w:r>
      <w:r w:rsidRPr="00BA1E60">
        <w:rPr>
          <w:rFonts w:ascii="Times New Roman" w:hAnsi="Times New Roman"/>
          <w:color w:val="000000"/>
          <w:sz w:val="22"/>
          <w:szCs w:val="22"/>
        </w:rPr>
        <w:t xml:space="preserve">. </w:t>
      </w:r>
    </w:p>
    <w:p w:rsidR="003B0840" w:rsidP="001F544F" w:rsidRDefault="003B0840" w14:paraId="0518F0D3" w14:textId="28DB7DA2">
      <w:pPr>
        <w:widowControl w:val="0"/>
        <w:spacing w:before="240" w:after="200" w:line="360" w:lineRule="auto"/>
        <w:rPr>
          <w:rFonts w:ascii="Times New Roman" w:hAnsi="Times New Roman"/>
          <w:b/>
          <w:color w:val="000000"/>
          <w:sz w:val="22"/>
          <w:szCs w:val="22"/>
        </w:rPr>
      </w:pPr>
      <w:r w:rsidRPr="001F544F">
        <w:rPr>
          <w:rFonts w:ascii="Times New Roman" w:hAnsi="Times New Roman"/>
          <w:b/>
          <w:color w:val="000000"/>
          <w:sz w:val="22"/>
          <w:szCs w:val="22"/>
        </w:rPr>
        <w:t>Sensitive Questions</w:t>
      </w:r>
    </w:p>
    <w:p w:rsidR="00E912BA" w:rsidP="00DD0EC8" w:rsidRDefault="00DD0EC8" w14:paraId="430F0E69" w14:textId="2D5C5515">
      <w:pPr>
        <w:spacing w:after="240" w:line="360" w:lineRule="auto"/>
        <w:rPr>
          <w:rFonts w:ascii="Times New Roman" w:hAnsi="Times New Roman"/>
          <w:sz w:val="22"/>
          <w:szCs w:val="22"/>
        </w:rPr>
      </w:pPr>
      <w:r>
        <w:rPr>
          <w:rFonts w:ascii="Times New Roman" w:hAnsi="Times New Roman"/>
          <w:sz w:val="22"/>
          <w:szCs w:val="22"/>
        </w:rPr>
        <w:t xml:space="preserve">The adolescent survey can be found in </w:t>
      </w:r>
      <w:r w:rsidRPr="00EF4861">
        <w:rPr>
          <w:rFonts w:ascii="Times New Roman" w:hAnsi="Times New Roman"/>
          <w:b/>
          <w:bCs/>
          <w:sz w:val="22"/>
          <w:szCs w:val="22"/>
        </w:rPr>
        <w:t xml:space="preserve">Attachment </w:t>
      </w:r>
      <w:r>
        <w:rPr>
          <w:rFonts w:ascii="Times New Roman" w:hAnsi="Times New Roman"/>
          <w:b/>
          <w:bCs/>
          <w:sz w:val="22"/>
          <w:szCs w:val="22"/>
        </w:rPr>
        <w:t xml:space="preserve">10 </w:t>
      </w:r>
      <w:r w:rsidRPr="00923739">
        <w:rPr>
          <w:rFonts w:ascii="Times New Roman" w:hAnsi="Times New Roman"/>
          <w:sz w:val="22"/>
          <w:szCs w:val="22"/>
        </w:rPr>
        <w:t>and the parent survey is in</w:t>
      </w:r>
      <w:r>
        <w:rPr>
          <w:rFonts w:ascii="Times New Roman" w:hAnsi="Times New Roman"/>
          <w:b/>
          <w:bCs/>
          <w:sz w:val="22"/>
          <w:szCs w:val="22"/>
        </w:rPr>
        <w:t xml:space="preserve"> Attachment 11</w:t>
      </w:r>
      <w:r>
        <w:rPr>
          <w:rFonts w:ascii="Times New Roman" w:hAnsi="Times New Roman"/>
          <w:sz w:val="22"/>
          <w:szCs w:val="22"/>
        </w:rPr>
        <w:t xml:space="preserve">. </w:t>
      </w:r>
      <w:r w:rsidRPr="00DD1836" w:rsidR="00DD1836">
        <w:rPr>
          <w:rFonts w:ascii="Times New Roman" w:hAnsi="Times New Roman"/>
          <w:sz w:val="22"/>
          <w:szCs w:val="22"/>
        </w:rPr>
        <w:t xml:space="preserve">The proposed data collection includes sensitive information related to the respondent’s </w:t>
      </w:r>
      <w:r w:rsidR="00DD1836">
        <w:rPr>
          <w:rFonts w:ascii="Times New Roman" w:hAnsi="Times New Roman"/>
          <w:sz w:val="22"/>
          <w:szCs w:val="22"/>
        </w:rPr>
        <w:t>mental health, sexual history, and substance use</w:t>
      </w:r>
      <w:r w:rsidRPr="00DD1836" w:rsidR="00DD1836">
        <w:rPr>
          <w:rFonts w:ascii="Times New Roman" w:hAnsi="Times New Roman"/>
          <w:sz w:val="22"/>
          <w:szCs w:val="22"/>
        </w:rPr>
        <w:t xml:space="preserve">. </w:t>
      </w:r>
      <w:r w:rsidRPr="00DD1836" w:rsidR="00E912BA">
        <w:rPr>
          <w:rFonts w:ascii="Times New Roman" w:hAnsi="Times New Roman"/>
          <w:sz w:val="22"/>
          <w:szCs w:val="22"/>
        </w:rPr>
        <w:t xml:space="preserve">Sensitive information is required </w:t>
      </w:r>
      <w:proofErr w:type="gramStart"/>
      <w:r w:rsidRPr="00DD1836" w:rsidR="00E912BA">
        <w:rPr>
          <w:rFonts w:ascii="Times New Roman" w:hAnsi="Times New Roman"/>
          <w:sz w:val="22"/>
          <w:szCs w:val="22"/>
        </w:rPr>
        <w:t>in order to</w:t>
      </w:r>
      <w:proofErr w:type="gramEnd"/>
      <w:r w:rsidRPr="00DD1836" w:rsidR="00E912BA">
        <w:rPr>
          <w:rFonts w:ascii="Times New Roman" w:hAnsi="Times New Roman"/>
          <w:sz w:val="22"/>
          <w:szCs w:val="22"/>
        </w:rPr>
        <w:t xml:space="preserve"> describe and understand the relationship between </w:t>
      </w:r>
      <w:r w:rsidR="00E912BA">
        <w:rPr>
          <w:rFonts w:ascii="Times New Roman" w:hAnsi="Times New Roman"/>
          <w:sz w:val="22"/>
          <w:szCs w:val="22"/>
        </w:rPr>
        <w:t>p</w:t>
      </w:r>
      <w:r w:rsidRPr="00E912BA" w:rsidR="00E912BA">
        <w:rPr>
          <w:rFonts w:ascii="Times New Roman" w:hAnsi="Times New Roman"/>
          <w:sz w:val="22"/>
          <w:szCs w:val="22"/>
        </w:rPr>
        <w:t>rotective factors such as parent-adolescent communication, parental monitoring, and school connectedness</w:t>
      </w:r>
      <w:r w:rsidR="00E912BA">
        <w:rPr>
          <w:rFonts w:ascii="Times New Roman" w:hAnsi="Times New Roman"/>
          <w:sz w:val="22"/>
          <w:szCs w:val="22"/>
        </w:rPr>
        <w:t>, and adolescent sexual behaviors. We</w:t>
      </w:r>
      <w:r w:rsidRPr="00DD1836" w:rsidR="00E912BA">
        <w:rPr>
          <w:rFonts w:ascii="Times New Roman" w:hAnsi="Times New Roman"/>
          <w:sz w:val="22"/>
          <w:szCs w:val="22"/>
        </w:rPr>
        <w:t xml:space="preserve"> will ask respondents to provide a </w:t>
      </w:r>
      <w:r w:rsidR="00E912BA">
        <w:rPr>
          <w:rFonts w:ascii="Times New Roman" w:hAnsi="Times New Roman"/>
          <w:sz w:val="22"/>
          <w:szCs w:val="22"/>
        </w:rPr>
        <w:t xml:space="preserve">summary of their sexual history and risk reduction behaviors (such as condom use) to allow us to conduct this sort of analysis. Further, health education programs are similarly associated with reductions in high-risk sexual behavior. Knowing what sort of </w:t>
      </w:r>
      <w:proofErr w:type="gramStart"/>
      <w:r w:rsidR="00E912BA">
        <w:rPr>
          <w:rFonts w:ascii="Times New Roman" w:hAnsi="Times New Roman"/>
          <w:sz w:val="22"/>
          <w:szCs w:val="22"/>
        </w:rPr>
        <w:t>methods</w:t>
      </w:r>
      <w:proofErr w:type="gramEnd"/>
      <w:r w:rsidR="00E912BA">
        <w:rPr>
          <w:rFonts w:ascii="Times New Roman" w:hAnsi="Times New Roman"/>
          <w:sz w:val="22"/>
          <w:szCs w:val="22"/>
        </w:rPr>
        <w:t xml:space="preserve"> the adolescent is using for STI</w:t>
      </w:r>
      <w:r w:rsidRPr="00DD1836" w:rsidR="00E912BA">
        <w:rPr>
          <w:rFonts w:ascii="Times New Roman" w:hAnsi="Times New Roman"/>
          <w:sz w:val="22"/>
          <w:szCs w:val="22"/>
        </w:rPr>
        <w:t xml:space="preserve"> </w:t>
      </w:r>
      <w:r w:rsidR="00E912BA">
        <w:rPr>
          <w:rFonts w:ascii="Times New Roman" w:hAnsi="Times New Roman"/>
          <w:sz w:val="22"/>
          <w:szCs w:val="22"/>
        </w:rPr>
        <w:t xml:space="preserve">and pregnancy prevention will allow us to understand what features of health education and other protective factors at the family, school, and neighborhood level help to reduce risk. </w:t>
      </w:r>
      <w:r w:rsidRPr="00E912BA" w:rsidR="00E912BA">
        <w:rPr>
          <w:rFonts w:ascii="Times New Roman" w:hAnsi="Times New Roman"/>
          <w:sz w:val="22"/>
          <w:szCs w:val="22"/>
        </w:rPr>
        <w:t>In general, data about health education, whether school-based or via other channels, including social media, is sparse, and key dimensions such a</w:t>
      </w:r>
      <w:r w:rsidR="00E912BA">
        <w:rPr>
          <w:rFonts w:ascii="Times New Roman" w:hAnsi="Times New Roman"/>
          <w:sz w:val="22"/>
          <w:szCs w:val="22"/>
        </w:rPr>
        <w:t xml:space="preserve">s acceptability and quality are not routinely </w:t>
      </w:r>
      <w:r w:rsidRPr="00E912BA" w:rsidR="00E912BA">
        <w:rPr>
          <w:rFonts w:ascii="Times New Roman" w:hAnsi="Times New Roman"/>
          <w:sz w:val="22"/>
          <w:szCs w:val="22"/>
        </w:rPr>
        <w:t>assessed.</w:t>
      </w:r>
    </w:p>
    <w:p w:rsidR="00E912BA" w:rsidP="00E51A4E" w:rsidRDefault="00E912BA" w14:paraId="6FCF2DEC" w14:textId="4EEAFC59">
      <w:pPr>
        <w:spacing w:before="240" w:line="360" w:lineRule="auto"/>
        <w:rPr>
          <w:rFonts w:ascii="Times New Roman" w:hAnsi="Times New Roman"/>
          <w:sz w:val="22"/>
          <w:szCs w:val="22"/>
        </w:rPr>
      </w:pPr>
      <w:r w:rsidRPr="00E912BA">
        <w:rPr>
          <w:rFonts w:ascii="Times New Roman" w:hAnsi="Times New Roman"/>
          <w:sz w:val="22"/>
          <w:szCs w:val="22"/>
        </w:rPr>
        <w:t>DASH also seeks to address health risk behaviors and experiences that co-occur with sexual risk and independently contribute to substantial morbidity and mortality among young people,</w:t>
      </w:r>
      <w:r>
        <w:rPr>
          <w:rFonts w:ascii="Times New Roman" w:hAnsi="Times New Roman"/>
          <w:sz w:val="22"/>
          <w:szCs w:val="22"/>
        </w:rPr>
        <w:t xml:space="preserve"> including mental health issues and</w:t>
      </w:r>
      <w:r w:rsidRPr="00E912BA">
        <w:rPr>
          <w:rFonts w:ascii="Times New Roman" w:hAnsi="Times New Roman"/>
          <w:sz w:val="22"/>
          <w:szCs w:val="22"/>
        </w:rPr>
        <w:t xml:space="preserve"> substance use</w:t>
      </w:r>
      <w:r>
        <w:rPr>
          <w:rFonts w:ascii="Times New Roman" w:hAnsi="Times New Roman"/>
          <w:sz w:val="22"/>
          <w:szCs w:val="22"/>
        </w:rPr>
        <w:t>.</w:t>
      </w:r>
      <w:r w:rsidRPr="00DD1836">
        <w:rPr>
          <w:rFonts w:ascii="Times New Roman" w:hAnsi="Times New Roman"/>
          <w:sz w:val="22"/>
          <w:szCs w:val="22"/>
        </w:rPr>
        <w:t xml:space="preserve"> We will ask if </w:t>
      </w:r>
      <w:r>
        <w:rPr>
          <w:rFonts w:ascii="Times New Roman" w:hAnsi="Times New Roman"/>
          <w:sz w:val="22"/>
          <w:szCs w:val="22"/>
        </w:rPr>
        <w:t xml:space="preserve">adolescent sample members have used illicit substances, and to what degree, to facilitate this analysis. </w:t>
      </w:r>
      <w:r w:rsidRPr="00E51A4E" w:rsidR="00E51A4E">
        <w:rPr>
          <w:rFonts w:ascii="Times New Roman" w:hAnsi="Times New Roman"/>
          <w:sz w:val="22"/>
          <w:szCs w:val="22"/>
        </w:rPr>
        <w:t>In terms of mental</w:t>
      </w:r>
      <w:r w:rsidR="00E51A4E">
        <w:rPr>
          <w:rFonts w:ascii="Times New Roman" w:hAnsi="Times New Roman"/>
          <w:sz w:val="22"/>
          <w:szCs w:val="22"/>
        </w:rPr>
        <w:t xml:space="preserve"> </w:t>
      </w:r>
      <w:r w:rsidRPr="00E51A4E" w:rsidR="00E51A4E">
        <w:rPr>
          <w:rFonts w:ascii="Times New Roman" w:hAnsi="Times New Roman"/>
          <w:sz w:val="22"/>
          <w:szCs w:val="22"/>
        </w:rPr>
        <w:t>health, most ten</w:t>
      </w:r>
      <w:r w:rsidR="008A4BF7">
        <w:rPr>
          <w:rFonts w:ascii="Times New Roman" w:hAnsi="Times New Roman"/>
          <w:sz w:val="22"/>
          <w:szCs w:val="22"/>
        </w:rPr>
        <w:t>-</w:t>
      </w:r>
      <w:r w:rsidRPr="00E51A4E" w:rsidR="00E51A4E">
        <w:rPr>
          <w:rFonts w:ascii="Times New Roman" w:hAnsi="Times New Roman"/>
          <w:sz w:val="22"/>
          <w:szCs w:val="22"/>
        </w:rPr>
        <w:t>year trends for mental health and suicide-relat</w:t>
      </w:r>
      <w:r w:rsidR="00E51A4E">
        <w:rPr>
          <w:rFonts w:ascii="Times New Roman" w:hAnsi="Times New Roman"/>
          <w:sz w:val="22"/>
          <w:szCs w:val="22"/>
        </w:rPr>
        <w:t xml:space="preserve">ed </w:t>
      </w:r>
      <w:r w:rsidRPr="00E51A4E" w:rsidR="00E51A4E">
        <w:rPr>
          <w:rFonts w:ascii="Times New Roman" w:hAnsi="Times New Roman"/>
          <w:sz w:val="22"/>
          <w:szCs w:val="22"/>
        </w:rPr>
        <w:t>indicators are concerning, and in 2017, nearly one-fifth (17.2%) of</w:t>
      </w:r>
      <w:r w:rsidR="00E51A4E">
        <w:rPr>
          <w:rFonts w:ascii="Times New Roman" w:hAnsi="Times New Roman"/>
          <w:sz w:val="22"/>
          <w:szCs w:val="22"/>
        </w:rPr>
        <w:t xml:space="preserve"> </w:t>
      </w:r>
      <w:r w:rsidRPr="00E51A4E" w:rsidR="00E51A4E">
        <w:rPr>
          <w:rFonts w:ascii="Times New Roman" w:hAnsi="Times New Roman"/>
          <w:sz w:val="22"/>
          <w:szCs w:val="22"/>
        </w:rPr>
        <w:t>high school students had seriously considered attempt</w:t>
      </w:r>
      <w:r w:rsidR="00E51A4E">
        <w:rPr>
          <w:rFonts w:ascii="Times New Roman" w:hAnsi="Times New Roman"/>
          <w:sz w:val="22"/>
          <w:szCs w:val="22"/>
        </w:rPr>
        <w:t>ing suicide in the prior year. We want to understand what factors protect adolescents from harm, including family- and school-level protective factors, health education, and health services, as DASH funds work in these areas. Collecting data on mental health and substance use allows us to explore these associations.</w:t>
      </w:r>
    </w:p>
    <w:p w:rsidRPr="00DD1836" w:rsidR="00DD1836" w:rsidP="00DD1836" w:rsidRDefault="00DD1836" w14:paraId="10A987EE" w14:textId="7A21A5DA">
      <w:pPr>
        <w:spacing w:before="240" w:line="360" w:lineRule="auto"/>
        <w:rPr>
          <w:rFonts w:ascii="Times New Roman" w:hAnsi="Times New Roman"/>
          <w:sz w:val="22"/>
          <w:szCs w:val="22"/>
        </w:rPr>
      </w:pPr>
      <w:r w:rsidRPr="00DD1836">
        <w:rPr>
          <w:rFonts w:ascii="Times New Roman" w:hAnsi="Times New Roman"/>
          <w:sz w:val="22"/>
          <w:szCs w:val="22"/>
        </w:rPr>
        <w:t xml:space="preserve">In addition, questions concerning education may be viewed as sensitive by a portion of respondents. </w:t>
      </w:r>
      <w:r>
        <w:rPr>
          <w:rFonts w:ascii="Times New Roman" w:hAnsi="Times New Roman"/>
          <w:sz w:val="22"/>
          <w:szCs w:val="22"/>
        </w:rPr>
        <w:t xml:space="preserve">Other demographic data, such as race/ethnicity, are already collected as part of the </w:t>
      </w:r>
      <w:proofErr w:type="spellStart"/>
      <w:r>
        <w:rPr>
          <w:rFonts w:ascii="Times New Roman" w:hAnsi="Times New Roman"/>
          <w:sz w:val="22"/>
          <w:szCs w:val="22"/>
        </w:rPr>
        <w:t>AmeriSpeak</w:t>
      </w:r>
      <w:proofErr w:type="spellEnd"/>
      <w:r>
        <w:rPr>
          <w:rFonts w:ascii="Times New Roman" w:hAnsi="Times New Roman"/>
          <w:sz w:val="22"/>
          <w:szCs w:val="22"/>
        </w:rPr>
        <w:t xml:space="preserve"> panel. </w:t>
      </w:r>
      <w:r w:rsidRPr="00DD1836">
        <w:rPr>
          <w:rFonts w:ascii="Times New Roman" w:hAnsi="Times New Roman"/>
          <w:sz w:val="22"/>
          <w:szCs w:val="22"/>
        </w:rPr>
        <w:t xml:space="preserve">The sensitivity of the data to be collected necessitates privacy protection. </w:t>
      </w:r>
    </w:p>
    <w:p w:rsidRPr="002F7180" w:rsidR="002F7180" w:rsidP="00D15ECE" w:rsidRDefault="00DD1836" w14:paraId="48D8559E" w14:textId="06A11E35">
      <w:pPr>
        <w:widowControl w:val="0"/>
        <w:spacing w:before="240" w:after="200" w:line="360" w:lineRule="auto"/>
        <w:rPr>
          <w:rFonts w:ascii="Times New Roman" w:hAnsi="Times New Roman"/>
          <w:b/>
          <w:color w:val="000000"/>
        </w:rPr>
      </w:pPr>
      <w:r w:rsidRPr="00DD1836">
        <w:rPr>
          <w:rFonts w:ascii="Times New Roman" w:hAnsi="Times New Roman"/>
          <w:sz w:val="22"/>
          <w:szCs w:val="22"/>
        </w:rPr>
        <w:t>To minimize psychological distress, participants will be informed that they may skip over any questions that they do not want to answer and that they may stop participating at any time.</w:t>
      </w:r>
      <w:r>
        <w:rPr>
          <w:rFonts w:ascii="Times New Roman" w:hAnsi="Times New Roman"/>
          <w:sz w:val="22"/>
          <w:szCs w:val="22"/>
        </w:rPr>
        <w:t xml:space="preserve"> T</w:t>
      </w:r>
      <w:r w:rsidRPr="00DD1836">
        <w:rPr>
          <w:rFonts w:ascii="Times New Roman" w:hAnsi="Times New Roman"/>
          <w:sz w:val="22"/>
          <w:szCs w:val="22"/>
        </w:rPr>
        <w:t xml:space="preserve">he project </w:t>
      </w:r>
      <w:r>
        <w:rPr>
          <w:rFonts w:ascii="Times New Roman" w:hAnsi="Times New Roman"/>
          <w:sz w:val="22"/>
          <w:szCs w:val="22"/>
        </w:rPr>
        <w:t>will be covered by</w:t>
      </w:r>
      <w:r w:rsidRPr="00DD1836">
        <w:rPr>
          <w:rFonts w:ascii="Times New Roman" w:hAnsi="Times New Roman"/>
          <w:sz w:val="22"/>
          <w:szCs w:val="22"/>
        </w:rPr>
        <w:t xml:space="preserve"> a Certificate of Confidentiality to further safeguard participant privacy as it relates to sensitive personal information such as questions about genetic testing. Participants will be given the toll-free </w:t>
      </w:r>
      <w:r>
        <w:rPr>
          <w:rFonts w:ascii="Times New Roman" w:hAnsi="Times New Roman"/>
          <w:sz w:val="22"/>
          <w:szCs w:val="22"/>
        </w:rPr>
        <w:t>telephone number and email address</w:t>
      </w:r>
      <w:r w:rsidRPr="00DD1836">
        <w:rPr>
          <w:rFonts w:ascii="Times New Roman" w:hAnsi="Times New Roman"/>
          <w:sz w:val="22"/>
          <w:szCs w:val="22"/>
        </w:rPr>
        <w:t xml:space="preserve"> of the </w:t>
      </w:r>
      <w:proofErr w:type="spellStart"/>
      <w:r>
        <w:rPr>
          <w:rFonts w:ascii="Times New Roman" w:hAnsi="Times New Roman"/>
          <w:sz w:val="22"/>
          <w:szCs w:val="22"/>
        </w:rPr>
        <w:t>AmeriSpeak</w:t>
      </w:r>
      <w:proofErr w:type="spellEnd"/>
      <w:r>
        <w:rPr>
          <w:rFonts w:ascii="Times New Roman" w:hAnsi="Times New Roman"/>
          <w:sz w:val="22"/>
          <w:szCs w:val="22"/>
        </w:rPr>
        <w:t xml:space="preserve"> Support Team </w:t>
      </w:r>
      <w:r w:rsidRPr="00DD1836">
        <w:rPr>
          <w:rFonts w:ascii="Times New Roman" w:hAnsi="Times New Roman"/>
          <w:sz w:val="22"/>
          <w:szCs w:val="22"/>
        </w:rPr>
        <w:t xml:space="preserve">as well as the NORC IRB to </w:t>
      </w:r>
      <w:r w:rsidRPr="00DD1836">
        <w:rPr>
          <w:rFonts w:ascii="Times New Roman" w:hAnsi="Times New Roman"/>
          <w:sz w:val="22"/>
          <w:szCs w:val="22"/>
        </w:rPr>
        <w:lastRenderedPageBreak/>
        <w:t xml:space="preserve">answer questions pertaining to the study or their rights as a research volunteer. </w:t>
      </w:r>
    </w:p>
    <w:p w:rsidRPr="00186F1E" w:rsidR="00186F1E" w:rsidP="00186F1E" w:rsidRDefault="00186F1E" w14:paraId="0B8049B2" w14:textId="77777777">
      <w:pPr>
        <w:keepNext/>
        <w:keepLines/>
        <w:spacing w:before="240" w:after="200" w:line="360" w:lineRule="auto"/>
        <w:outlineLvl w:val="1"/>
        <w:rPr>
          <w:rFonts w:ascii="Times New Roman" w:hAnsi="Times New Roman" w:eastAsiaTheme="majorEastAsia"/>
          <w:b/>
          <w:sz w:val="24"/>
          <w:szCs w:val="24"/>
        </w:rPr>
      </w:pPr>
      <w:bookmarkStart w:name="_Toc50987045" w:id="19"/>
      <w:r w:rsidRPr="00186F1E">
        <w:rPr>
          <w:rFonts w:ascii="Times New Roman" w:hAnsi="Times New Roman" w:eastAsiaTheme="majorEastAsia"/>
          <w:b/>
          <w:sz w:val="24"/>
          <w:szCs w:val="24"/>
        </w:rPr>
        <w:t>A.12.</w:t>
      </w:r>
      <w:r w:rsidRPr="00186F1E">
        <w:rPr>
          <w:rFonts w:ascii="Times New Roman" w:hAnsi="Times New Roman" w:eastAsiaTheme="majorEastAsia"/>
          <w:b/>
          <w:sz w:val="24"/>
          <w:szCs w:val="24"/>
        </w:rPr>
        <w:tab/>
        <w:t>Estimates of Annualized Burden Hours and Costs</w:t>
      </w:r>
      <w:bookmarkEnd w:id="19"/>
    </w:p>
    <w:p w:rsidRPr="00186F1E" w:rsidR="00186F1E" w:rsidP="00186F1E" w:rsidRDefault="00186F1E" w14:paraId="5397F5FF" w14:textId="666BC5BD">
      <w:pPr>
        <w:autoSpaceDE/>
        <w:autoSpaceDN/>
        <w:adjustRightInd/>
        <w:spacing w:before="240" w:after="200" w:line="360" w:lineRule="auto"/>
        <w:rPr>
          <w:rFonts w:ascii="Times New Roman" w:hAnsi="Times New Roman" w:eastAsiaTheme="minorEastAsia" w:cstheme="minorBidi"/>
          <w:sz w:val="22"/>
          <w:szCs w:val="22"/>
        </w:rPr>
      </w:pPr>
      <w:bookmarkStart w:name="_Hlk65047246" w:id="20"/>
      <w:r w:rsidRPr="00186F1E">
        <w:rPr>
          <w:rFonts w:ascii="Times New Roman" w:hAnsi="Times New Roman" w:eastAsiaTheme="minorEastAsia"/>
          <w:sz w:val="22"/>
          <w:szCs w:val="22"/>
        </w:rPr>
        <w:t>NORC expects to contact 129,762 households to screen and interview 1,500 adolescents and 2,093 parents/caregivers  for TAPS.</w:t>
      </w:r>
      <w:bookmarkEnd w:id="20"/>
      <w:r w:rsidRPr="00186F1E">
        <w:rPr>
          <w:rFonts w:ascii="Times New Roman" w:hAnsi="Times New Roman" w:eastAsiaTheme="minorEastAsia"/>
          <w:sz w:val="22"/>
          <w:szCs w:val="22"/>
        </w:rPr>
        <w:t xml:space="preserve"> The table below shows the breakdown of cases by respondent type. The </w:t>
      </w:r>
      <w:r w:rsidR="00934A7D">
        <w:rPr>
          <w:rFonts w:ascii="Times New Roman" w:hAnsi="Times New Roman" w:eastAsiaTheme="minorEastAsia"/>
          <w:sz w:val="22"/>
          <w:szCs w:val="22"/>
        </w:rPr>
        <w:t>original</w:t>
      </w:r>
      <w:r w:rsidRPr="00186F1E">
        <w:rPr>
          <w:rFonts w:ascii="Times New Roman" w:hAnsi="Times New Roman" w:eastAsiaTheme="minorEastAsia"/>
          <w:sz w:val="22"/>
          <w:szCs w:val="22"/>
        </w:rPr>
        <w:t xml:space="preserve"> </w:t>
      </w:r>
      <w:proofErr w:type="spellStart"/>
      <w:r w:rsidRPr="00186F1E">
        <w:rPr>
          <w:rFonts w:ascii="Times New Roman" w:hAnsi="Times New Roman" w:eastAsiaTheme="minorEastAsia"/>
          <w:sz w:val="22"/>
          <w:szCs w:val="22"/>
        </w:rPr>
        <w:t>AmeriSpeak</w:t>
      </w:r>
      <w:proofErr w:type="spellEnd"/>
      <w:r w:rsidRPr="00186F1E">
        <w:rPr>
          <w:rFonts w:ascii="Times New Roman" w:hAnsi="Times New Roman" w:eastAsiaTheme="minorEastAsia"/>
          <w:sz w:val="22"/>
          <w:szCs w:val="22"/>
        </w:rPr>
        <w:t xml:space="preserve"> sample</w:t>
      </w:r>
      <w:r w:rsidR="008C1E48">
        <w:rPr>
          <w:rFonts w:ascii="Times New Roman" w:hAnsi="Times New Roman" w:eastAsiaTheme="minorEastAsia"/>
          <w:sz w:val="22"/>
          <w:szCs w:val="22"/>
        </w:rPr>
        <w:t xml:space="preserve"> was established previously and a</w:t>
      </w:r>
      <w:r w:rsidRPr="008C1E48" w:rsidR="008C1E48">
        <w:rPr>
          <w:rFonts w:ascii="Times New Roman" w:hAnsi="Times New Roman" w:eastAsiaTheme="minorEastAsia"/>
          <w:sz w:val="22"/>
          <w:szCs w:val="22"/>
        </w:rPr>
        <w:t xml:space="preserve">dditional information on the sampling and recruitment can be found in </w:t>
      </w:r>
      <w:r w:rsidRPr="008C1E48" w:rsidR="008C1E48">
        <w:rPr>
          <w:rFonts w:ascii="Times New Roman" w:hAnsi="Times New Roman" w:eastAsiaTheme="minorEastAsia"/>
          <w:b/>
          <w:bCs/>
          <w:sz w:val="22"/>
          <w:szCs w:val="22"/>
        </w:rPr>
        <w:t>Attachment 12</w:t>
      </w:r>
      <w:r w:rsidRPr="008C1E48" w:rsidR="008C1E48">
        <w:rPr>
          <w:rFonts w:ascii="Times New Roman" w:hAnsi="Times New Roman" w:eastAsiaTheme="minorEastAsia"/>
          <w:sz w:val="22"/>
          <w:szCs w:val="22"/>
        </w:rPr>
        <w:t xml:space="preserve">. </w:t>
      </w:r>
      <w:r w:rsidRPr="00186F1E">
        <w:rPr>
          <w:rFonts w:ascii="Times New Roman" w:hAnsi="Times New Roman" w:eastAsiaTheme="minorEastAsia"/>
          <w:sz w:val="22"/>
          <w:szCs w:val="22"/>
        </w:rPr>
        <w:t xml:space="preserve"> </w:t>
      </w:r>
      <w:r w:rsidR="00934A7D">
        <w:rPr>
          <w:rFonts w:ascii="Times New Roman" w:hAnsi="Times New Roman" w:eastAsiaTheme="minorEastAsia"/>
          <w:sz w:val="22"/>
          <w:szCs w:val="22"/>
        </w:rPr>
        <w:t xml:space="preserve">For these purposes, it </w:t>
      </w:r>
      <w:r w:rsidRPr="00186F1E">
        <w:rPr>
          <w:rFonts w:ascii="Times New Roman" w:hAnsi="Times New Roman" w:eastAsiaTheme="minorEastAsia"/>
          <w:sz w:val="22"/>
          <w:szCs w:val="22"/>
        </w:rPr>
        <w:t xml:space="preserve">has been screened for a </w:t>
      </w:r>
      <w:proofErr w:type="gramStart"/>
      <w:r w:rsidRPr="00186F1E">
        <w:rPr>
          <w:rFonts w:ascii="Times New Roman" w:hAnsi="Times New Roman" w:eastAsiaTheme="minorEastAsia"/>
          <w:sz w:val="22"/>
          <w:szCs w:val="22"/>
        </w:rPr>
        <w:t>15-17 year old</w:t>
      </w:r>
      <w:proofErr w:type="gramEnd"/>
      <w:r w:rsidRPr="00186F1E">
        <w:rPr>
          <w:rFonts w:ascii="Times New Roman" w:hAnsi="Times New Roman" w:eastAsiaTheme="minorEastAsia"/>
          <w:sz w:val="22"/>
          <w:szCs w:val="22"/>
        </w:rPr>
        <w:t xml:space="preserve"> living in the household</w:t>
      </w:r>
      <w:r w:rsidR="00B860E6">
        <w:rPr>
          <w:rFonts w:ascii="Times New Roman" w:hAnsi="Times New Roman" w:eastAsiaTheme="minorEastAsia"/>
          <w:sz w:val="22"/>
          <w:szCs w:val="22"/>
        </w:rPr>
        <w:t xml:space="preserve"> to identify a sampling frame for participation</w:t>
      </w:r>
      <w:r w:rsidRPr="00186F1E">
        <w:rPr>
          <w:rFonts w:ascii="Times New Roman" w:hAnsi="Times New Roman" w:eastAsiaTheme="minorEastAsia"/>
          <w:sz w:val="22"/>
          <w:szCs w:val="22"/>
        </w:rPr>
        <w:t xml:space="preserve">. </w:t>
      </w:r>
      <w:r w:rsidRPr="007971EE" w:rsidR="003C51ED">
        <w:rPr>
          <w:rFonts w:ascii="Times New Roman" w:hAnsi="Times New Roman"/>
          <w:sz w:val="22"/>
          <w:szCs w:val="22"/>
        </w:rPr>
        <w:t xml:space="preserve">Outreach and contacting materials are included as </w:t>
      </w:r>
      <w:r w:rsidRPr="007971EE" w:rsidR="003C51ED">
        <w:rPr>
          <w:rFonts w:ascii="Times New Roman" w:hAnsi="Times New Roman"/>
          <w:b/>
          <w:sz w:val="22"/>
          <w:szCs w:val="22"/>
        </w:rPr>
        <w:t xml:space="preserve">Attachments </w:t>
      </w:r>
      <w:r w:rsidR="003C51ED">
        <w:rPr>
          <w:rFonts w:ascii="Times New Roman" w:hAnsi="Times New Roman"/>
          <w:b/>
          <w:sz w:val="22"/>
          <w:szCs w:val="22"/>
        </w:rPr>
        <w:t xml:space="preserve">13-21. </w:t>
      </w:r>
      <w:r w:rsidRPr="0051467C">
        <w:rPr>
          <w:rFonts w:ascii="Times New Roman" w:hAnsi="Times New Roman" w:cstheme="minorBidi"/>
          <w:sz w:val="22"/>
          <w:szCs w:val="22"/>
        </w:rPr>
        <w:t xml:space="preserve">After </w:t>
      </w:r>
      <w:r w:rsidR="00516B2C">
        <w:rPr>
          <w:rFonts w:ascii="Times New Roman" w:hAnsi="Times New Roman" w:cstheme="minorBidi"/>
          <w:sz w:val="22"/>
          <w:szCs w:val="22"/>
        </w:rPr>
        <w:t xml:space="preserve">establishing </w:t>
      </w:r>
      <w:r w:rsidR="003C51ED">
        <w:rPr>
          <w:rFonts w:ascii="Times New Roman" w:hAnsi="Times New Roman" w:cstheme="minorBidi"/>
          <w:sz w:val="22"/>
          <w:szCs w:val="22"/>
        </w:rPr>
        <w:t xml:space="preserve">contact and </w:t>
      </w:r>
      <w:r w:rsidRPr="0051467C">
        <w:rPr>
          <w:rFonts w:ascii="Times New Roman" w:hAnsi="Times New Roman" w:cstheme="minorBidi"/>
          <w:sz w:val="22"/>
          <w:szCs w:val="22"/>
        </w:rPr>
        <w:t>re-confirming eligibility at the beginning of the interview, we expect 98% of households to be eligible for a parent and teen interview, and 82% of the eligible households to complete the parent survey.</w:t>
      </w:r>
      <w:r w:rsidRPr="0051467C">
        <w:rPr>
          <w:rFonts w:ascii="Times New Roman" w:hAnsi="Times New Roman" w:eastAsiaTheme="minorEastAsia"/>
          <w:sz w:val="22"/>
          <w:szCs w:val="22"/>
        </w:rPr>
        <w:t xml:space="preserve"> F</w:t>
      </w:r>
      <w:r w:rsidRPr="00186F1E">
        <w:rPr>
          <w:rFonts w:ascii="Times New Roman" w:hAnsi="Times New Roman" w:eastAsiaTheme="minorEastAsia"/>
          <w:sz w:val="22"/>
          <w:szCs w:val="22"/>
        </w:rPr>
        <w:t>or the new ABS sample, we expect 6% of the addresses to be an eligible household and 65% of eligible households to complete the parent survey. Participants will initially be contacted via advance postcard or letter through the mail and will ask about their interest in participating in a new survey about adolescent health.</w:t>
      </w:r>
    </w:p>
    <w:p w:rsidRPr="00186F1E" w:rsidR="00186F1E" w:rsidP="00186F1E" w:rsidRDefault="00186F1E" w14:paraId="07C52AA8" w14:textId="77777777">
      <w:pPr>
        <w:autoSpaceDE/>
        <w:autoSpaceDN/>
        <w:adjustRightInd/>
        <w:spacing w:after="160" w:line="259" w:lineRule="auto"/>
        <w:rPr>
          <w:rFonts w:ascii="Times New Roman" w:hAnsi="Times New Roman"/>
        </w:rPr>
      </w:pPr>
      <w:r w:rsidRPr="00186F1E">
        <w:rPr>
          <w:rFonts w:ascii="Calibri" w:hAnsi="Calibri" w:cs="Calibri"/>
          <w:b/>
          <w:snapToGrid w:val="0"/>
          <w:sz w:val="22"/>
          <w:szCs w:val="22"/>
        </w:rPr>
        <w:t>Exhibit A.12.</w:t>
      </w:r>
      <w:proofErr w:type="gramStart"/>
      <w:r w:rsidRPr="00186F1E">
        <w:rPr>
          <w:rFonts w:ascii="Calibri" w:hAnsi="Calibri" w:cs="Calibri"/>
          <w:b/>
          <w:snapToGrid w:val="0"/>
          <w:sz w:val="22"/>
          <w:szCs w:val="22"/>
        </w:rPr>
        <w:t>A</w:t>
      </w:r>
      <w:proofErr w:type="gramEnd"/>
      <w:r w:rsidRPr="00186F1E">
        <w:rPr>
          <w:rFonts w:ascii="Calibri" w:hAnsi="Calibri" w:cs="Calibri"/>
          <w:b/>
          <w:snapToGrid w:val="0"/>
          <w:sz w:val="22"/>
          <w:szCs w:val="22"/>
        </w:rPr>
        <w:t xml:space="preserve"> Estimated Teen and Parent Survey Completes </w:t>
      </w:r>
      <w:r w:rsidRPr="00186F1E">
        <w:rPr>
          <w:rFonts w:ascii="Times New Roman" w:hAnsi="Times New Roman"/>
        </w:rPr>
        <w:t xml:space="preserve"> </w:t>
      </w:r>
    </w:p>
    <w:tbl>
      <w:tblPr>
        <w:tblW w:w="0" w:type="dxa"/>
        <w:tblLayout w:type="fixed"/>
        <w:tblCellMar>
          <w:left w:w="0" w:type="dxa"/>
          <w:right w:w="0" w:type="dxa"/>
        </w:tblCellMar>
        <w:tblLook w:val="04A0" w:firstRow="1" w:lastRow="0" w:firstColumn="1" w:lastColumn="0" w:noHBand="0" w:noVBand="1"/>
      </w:tblPr>
      <w:tblGrid>
        <w:gridCol w:w="3210"/>
        <w:gridCol w:w="2232"/>
        <w:gridCol w:w="2232"/>
        <w:gridCol w:w="1676"/>
      </w:tblGrid>
      <w:tr w:rsidRPr="00186F1E" w:rsidR="00186F1E" w:rsidTr="00D82C69" w14:paraId="28C68B84" w14:textId="77777777">
        <w:trPr>
          <w:trHeight w:val="300"/>
        </w:trPr>
        <w:tc>
          <w:tcPr>
            <w:tcW w:w="32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32021B8A" w14:textId="77777777">
            <w:pPr>
              <w:autoSpaceDE/>
              <w:adjustRightInd/>
              <w:spacing w:line="256" w:lineRule="auto"/>
              <w:rPr>
                <w:rFonts w:ascii="Times New Roman" w:hAnsi="Times New Roman"/>
                <w:sz w:val="22"/>
              </w:rPr>
            </w:pPr>
            <w:r w:rsidRPr="00186F1E">
              <w:rPr>
                <w:rFonts w:ascii="Times New Roman" w:hAnsi="Times New Roman"/>
                <w:sz w:val="22"/>
              </w:rPr>
              <w:t> </w:t>
            </w:r>
          </w:p>
        </w:tc>
        <w:tc>
          <w:tcPr>
            <w:tcW w:w="22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15E752EE" w14:textId="77777777">
            <w:pPr>
              <w:spacing w:line="256" w:lineRule="auto"/>
              <w:rPr>
                <w:rFonts w:ascii="Times New Roman" w:hAnsi="Times New Roman"/>
                <w:b/>
                <w:sz w:val="22"/>
              </w:rPr>
            </w:pPr>
            <w:r w:rsidRPr="00186F1E">
              <w:rPr>
                <w:rFonts w:ascii="Times New Roman" w:hAnsi="Times New Roman"/>
                <w:b/>
                <w:sz w:val="22"/>
              </w:rPr>
              <w:t xml:space="preserve">Current </w:t>
            </w:r>
            <w:proofErr w:type="spellStart"/>
            <w:r w:rsidRPr="00186F1E">
              <w:rPr>
                <w:rFonts w:ascii="Times New Roman" w:hAnsi="Times New Roman"/>
                <w:b/>
                <w:sz w:val="22"/>
              </w:rPr>
              <w:t>AmeriSpeak</w:t>
            </w:r>
            <w:proofErr w:type="spellEnd"/>
            <w:r w:rsidRPr="00186F1E">
              <w:rPr>
                <w:rFonts w:ascii="Times New Roman" w:hAnsi="Times New Roman"/>
                <w:b/>
                <w:sz w:val="22"/>
              </w:rPr>
              <w:t xml:space="preserve"> Sample</w:t>
            </w:r>
          </w:p>
        </w:tc>
        <w:tc>
          <w:tcPr>
            <w:tcW w:w="22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6665271C" w14:textId="77777777">
            <w:pPr>
              <w:spacing w:line="256" w:lineRule="auto"/>
              <w:rPr>
                <w:rFonts w:ascii="Times New Roman" w:hAnsi="Times New Roman"/>
                <w:b/>
                <w:sz w:val="22"/>
              </w:rPr>
            </w:pPr>
            <w:r w:rsidRPr="00186F1E">
              <w:rPr>
                <w:rFonts w:ascii="Times New Roman" w:hAnsi="Times New Roman"/>
                <w:b/>
                <w:bCs/>
                <w:sz w:val="22"/>
                <w:szCs w:val="22"/>
              </w:rPr>
              <w:t>New</w:t>
            </w:r>
            <w:r w:rsidRPr="00186F1E">
              <w:rPr>
                <w:rFonts w:ascii="Times New Roman" w:hAnsi="Times New Roman"/>
                <w:b/>
                <w:sz w:val="22"/>
              </w:rPr>
              <w:t xml:space="preserve"> ABS Sample</w:t>
            </w:r>
          </w:p>
        </w:tc>
        <w:tc>
          <w:tcPr>
            <w:tcW w:w="167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19A5548" w14:textId="77777777">
            <w:pPr>
              <w:spacing w:line="256" w:lineRule="auto"/>
              <w:rPr>
                <w:rFonts w:ascii="Times New Roman" w:hAnsi="Times New Roman"/>
                <w:b/>
                <w:sz w:val="22"/>
              </w:rPr>
            </w:pPr>
            <w:r w:rsidRPr="00186F1E">
              <w:rPr>
                <w:rFonts w:ascii="Times New Roman" w:hAnsi="Times New Roman"/>
                <w:b/>
                <w:sz w:val="22"/>
              </w:rPr>
              <w:t>Total Completes</w:t>
            </w:r>
          </w:p>
        </w:tc>
      </w:tr>
      <w:tr w:rsidRPr="00186F1E" w:rsidR="00186F1E" w:rsidTr="00D82C69" w14:paraId="25E31617" w14:textId="77777777">
        <w:trPr>
          <w:trHeight w:val="300"/>
        </w:trPr>
        <w:tc>
          <w:tcPr>
            <w:tcW w:w="321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63E3110E" w14:textId="77777777">
            <w:pPr>
              <w:spacing w:line="256" w:lineRule="auto"/>
              <w:rPr>
                <w:rFonts w:ascii="Times New Roman" w:hAnsi="Times New Roman"/>
                <w:b/>
                <w:sz w:val="22"/>
              </w:rPr>
            </w:pPr>
            <w:proofErr w:type="gramStart"/>
            <w:r w:rsidRPr="00186F1E">
              <w:rPr>
                <w:rFonts w:ascii="Times New Roman" w:hAnsi="Times New Roman"/>
                <w:b/>
                <w:bCs/>
                <w:sz w:val="22"/>
                <w:szCs w:val="22"/>
              </w:rPr>
              <w:t xml:space="preserve">15-17 year </w:t>
            </w:r>
            <w:proofErr w:type="spellStart"/>
            <w:r w:rsidRPr="00186F1E">
              <w:rPr>
                <w:rFonts w:ascii="Times New Roman" w:hAnsi="Times New Roman"/>
                <w:b/>
                <w:bCs/>
                <w:sz w:val="22"/>
                <w:szCs w:val="22"/>
              </w:rPr>
              <w:t>olds</w:t>
            </w:r>
            <w:proofErr w:type="spellEnd"/>
            <w:proofErr w:type="gramEnd"/>
            <w:r w:rsidRPr="00186F1E">
              <w:rPr>
                <w:rFonts w:ascii="Times New Roman" w:hAnsi="Times New Roman"/>
                <w:b/>
                <w:bCs/>
                <w:sz w:val="22"/>
                <w:szCs w:val="22"/>
              </w:rPr>
              <w:t xml:space="preserve"> / Dyads</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19123894" w14:textId="77777777">
            <w:pPr>
              <w:spacing w:line="256" w:lineRule="auto"/>
              <w:rPr>
                <w:rFonts w:ascii="Times New Roman" w:hAnsi="Times New Roman"/>
                <w:sz w:val="22"/>
              </w:rPr>
            </w:pPr>
            <w:r w:rsidRPr="00186F1E">
              <w:rPr>
                <w:rFonts w:ascii="Times New Roman" w:hAnsi="Times New Roman"/>
                <w:sz w:val="22"/>
              </w:rPr>
              <w:t> </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6B114E38" w14:textId="77777777">
            <w:pPr>
              <w:spacing w:line="256" w:lineRule="auto"/>
              <w:rPr>
                <w:rFonts w:ascii="Times New Roman" w:hAnsi="Times New Roman"/>
                <w:sz w:val="22"/>
              </w:rPr>
            </w:pPr>
            <w:r w:rsidRPr="00186F1E">
              <w:rPr>
                <w:rFonts w:ascii="Times New Roman" w:hAnsi="Times New Roman"/>
                <w:sz w:val="22"/>
              </w:rPr>
              <w:t> </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11F2ACFD"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29F5A9DA" w14:textId="77777777">
        <w:trPr>
          <w:trHeight w:val="510"/>
        </w:trPr>
        <w:tc>
          <w:tcPr>
            <w:tcW w:w="32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186F1E" w:rsidR="00186F1E" w:rsidP="00186F1E" w:rsidRDefault="00186F1E" w14:paraId="13D34254" w14:textId="77777777">
            <w:pPr>
              <w:spacing w:line="256" w:lineRule="auto"/>
              <w:rPr>
                <w:rFonts w:ascii="Times New Roman" w:hAnsi="Times New Roman"/>
                <w:sz w:val="22"/>
              </w:rPr>
            </w:pPr>
            <w:r w:rsidRPr="00186F1E">
              <w:rPr>
                <w:rFonts w:ascii="Times New Roman" w:hAnsi="Times New Roman"/>
                <w:sz w:val="22"/>
              </w:rPr>
              <w:t xml:space="preserve">Initial postcard to </w:t>
            </w:r>
            <w:proofErr w:type="spellStart"/>
            <w:r w:rsidRPr="00186F1E">
              <w:rPr>
                <w:rFonts w:ascii="Times New Roman" w:hAnsi="Times New Roman"/>
                <w:sz w:val="22"/>
              </w:rPr>
              <w:t>AmeriSpeak</w:t>
            </w:r>
            <w:proofErr w:type="spellEnd"/>
            <w:r w:rsidRPr="00186F1E">
              <w:rPr>
                <w:rFonts w:ascii="Times New Roman" w:hAnsi="Times New Roman"/>
                <w:sz w:val="22"/>
              </w:rPr>
              <w:t xml:space="preserve">/ </w:t>
            </w:r>
            <w:r w:rsidRPr="00186F1E">
              <w:rPr>
                <w:rFonts w:ascii="Times New Roman" w:hAnsi="Times New Roman"/>
                <w:sz w:val="22"/>
              </w:rPr>
              <w:br/>
              <w:t>Initial Letter to ABS</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2AA45F6B" w14:textId="77777777">
            <w:pPr>
              <w:spacing w:line="256" w:lineRule="auto"/>
              <w:jc w:val="right"/>
              <w:rPr>
                <w:rFonts w:ascii="Times New Roman" w:hAnsi="Times New Roman"/>
                <w:sz w:val="22"/>
              </w:rPr>
            </w:pPr>
            <w:r w:rsidRPr="00186F1E">
              <w:rPr>
                <w:rFonts w:ascii="Times New Roman" w:hAnsi="Times New Roman"/>
                <w:sz w:val="22"/>
              </w:rPr>
              <w:t>3,597</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7EED499C" w14:textId="77777777">
            <w:pPr>
              <w:spacing w:line="256" w:lineRule="auto"/>
              <w:jc w:val="right"/>
              <w:rPr>
                <w:rFonts w:ascii="Times New Roman" w:hAnsi="Times New Roman"/>
                <w:sz w:val="22"/>
              </w:rPr>
            </w:pPr>
            <w:r w:rsidRPr="00186F1E">
              <w:rPr>
                <w:rFonts w:ascii="Times New Roman" w:hAnsi="Times New Roman"/>
                <w:sz w:val="22"/>
              </w:rPr>
              <w:t>59,797</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702DD949"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61DD7B72" w14:textId="77777777">
        <w:trPr>
          <w:trHeight w:val="300"/>
        </w:trPr>
        <w:tc>
          <w:tcPr>
            <w:tcW w:w="321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081CC10" w14:textId="77777777">
            <w:pPr>
              <w:spacing w:line="256" w:lineRule="auto"/>
              <w:rPr>
                <w:rFonts w:ascii="Times New Roman" w:hAnsi="Times New Roman"/>
                <w:sz w:val="22"/>
              </w:rPr>
            </w:pPr>
            <w:r w:rsidRPr="00186F1E">
              <w:rPr>
                <w:rFonts w:ascii="Times New Roman" w:hAnsi="Times New Roman"/>
                <w:sz w:val="22"/>
              </w:rPr>
              <w:t>Reminder letter w/$2 incentive</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1E7E60AD" w14:textId="77777777">
            <w:pPr>
              <w:spacing w:line="256" w:lineRule="auto"/>
              <w:jc w:val="right"/>
              <w:rPr>
                <w:rFonts w:ascii="Times New Roman" w:hAnsi="Times New Roman"/>
                <w:sz w:val="22"/>
              </w:rPr>
            </w:pPr>
            <w:r w:rsidRPr="00186F1E">
              <w:rPr>
                <w:rFonts w:ascii="Times New Roman" w:hAnsi="Times New Roman"/>
                <w:sz w:val="22"/>
              </w:rPr>
              <w:t>1,439</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714F7EAC" w14:textId="77777777">
            <w:pPr>
              <w:spacing w:line="256" w:lineRule="auto"/>
              <w:jc w:val="right"/>
              <w:rPr>
                <w:rFonts w:ascii="Times New Roman" w:hAnsi="Times New Roman"/>
                <w:sz w:val="22"/>
              </w:rPr>
            </w:pPr>
            <w:r w:rsidRPr="00186F1E">
              <w:rPr>
                <w:rFonts w:ascii="Times New Roman" w:hAnsi="Times New Roman"/>
                <w:sz w:val="22"/>
              </w:rPr>
              <w:t>53,817</w:t>
            </w:r>
          </w:p>
        </w:tc>
        <w:tc>
          <w:tcPr>
            <w:tcW w:w="167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186F1E" w:rsidR="00186F1E" w:rsidP="00186F1E" w:rsidRDefault="00186F1E" w14:paraId="11BB84AC"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2F3674E8" w14:textId="77777777">
        <w:trPr>
          <w:trHeight w:val="510"/>
        </w:trPr>
        <w:tc>
          <w:tcPr>
            <w:tcW w:w="32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186F1E" w:rsidR="00186F1E" w:rsidP="00186F1E" w:rsidRDefault="00186F1E" w14:paraId="08D5B0C4" w14:textId="77777777">
            <w:pPr>
              <w:spacing w:line="256" w:lineRule="auto"/>
              <w:rPr>
                <w:rFonts w:ascii="Times New Roman" w:hAnsi="Times New Roman"/>
                <w:sz w:val="22"/>
              </w:rPr>
            </w:pPr>
            <w:r w:rsidRPr="00186F1E">
              <w:rPr>
                <w:rFonts w:ascii="Times New Roman" w:hAnsi="Times New Roman"/>
                <w:sz w:val="22"/>
              </w:rPr>
              <w:t xml:space="preserve">Screen for </w:t>
            </w:r>
            <w:proofErr w:type="gramStart"/>
            <w:r w:rsidRPr="00186F1E">
              <w:rPr>
                <w:rFonts w:ascii="Times New Roman" w:hAnsi="Times New Roman"/>
                <w:sz w:val="22"/>
              </w:rPr>
              <w:t>15-17 year old</w:t>
            </w:r>
            <w:proofErr w:type="gramEnd"/>
            <w:r w:rsidRPr="00186F1E">
              <w:rPr>
                <w:rFonts w:ascii="Times New Roman" w:hAnsi="Times New Roman"/>
                <w:sz w:val="22"/>
              </w:rPr>
              <w:t xml:space="preserve"> in the household</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08EAF558" w14:textId="77777777">
            <w:pPr>
              <w:spacing w:line="256" w:lineRule="auto"/>
              <w:jc w:val="right"/>
              <w:rPr>
                <w:rFonts w:ascii="Times New Roman" w:hAnsi="Times New Roman"/>
                <w:sz w:val="22"/>
              </w:rPr>
            </w:pPr>
            <w:r w:rsidRPr="00186F1E">
              <w:rPr>
                <w:rFonts w:ascii="Times New Roman" w:hAnsi="Times New Roman"/>
                <w:sz w:val="22"/>
              </w:rPr>
              <w:t>1,417</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38D2F5E7" w14:textId="77777777">
            <w:pPr>
              <w:spacing w:line="256" w:lineRule="auto"/>
              <w:jc w:val="right"/>
              <w:rPr>
                <w:rFonts w:ascii="Times New Roman" w:hAnsi="Times New Roman"/>
                <w:sz w:val="22"/>
              </w:rPr>
            </w:pPr>
            <w:r w:rsidRPr="00186F1E">
              <w:rPr>
                <w:rFonts w:ascii="Times New Roman" w:hAnsi="Times New Roman"/>
                <w:sz w:val="22"/>
              </w:rPr>
              <w:t>3,588</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10307CF5"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64007BFD" w14:textId="77777777">
        <w:trPr>
          <w:trHeight w:val="510"/>
        </w:trPr>
        <w:tc>
          <w:tcPr>
            <w:tcW w:w="32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186F1E" w:rsidR="00186F1E" w:rsidP="00186F1E" w:rsidRDefault="00186F1E" w14:paraId="572FC112" w14:textId="77777777">
            <w:pPr>
              <w:spacing w:line="256" w:lineRule="auto"/>
              <w:rPr>
                <w:rFonts w:ascii="Times New Roman" w:hAnsi="Times New Roman"/>
                <w:sz w:val="22"/>
              </w:rPr>
            </w:pPr>
            <w:r w:rsidRPr="00186F1E">
              <w:rPr>
                <w:rFonts w:ascii="Times New Roman" w:hAnsi="Times New Roman"/>
                <w:sz w:val="22"/>
              </w:rPr>
              <w:t>Complete Parent Interview w/$20 incentive</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E0EB2BE" w14:textId="77777777">
            <w:pPr>
              <w:spacing w:line="256" w:lineRule="auto"/>
              <w:jc w:val="right"/>
              <w:rPr>
                <w:rFonts w:ascii="Times New Roman" w:hAnsi="Times New Roman"/>
                <w:sz w:val="22"/>
              </w:rPr>
            </w:pPr>
            <w:r w:rsidRPr="00186F1E">
              <w:rPr>
                <w:rFonts w:ascii="Times New Roman" w:hAnsi="Times New Roman"/>
                <w:sz w:val="22"/>
              </w:rPr>
              <w:t>1,163</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74EC0FBE" w14:textId="77777777">
            <w:pPr>
              <w:spacing w:line="256" w:lineRule="auto"/>
              <w:jc w:val="right"/>
              <w:rPr>
                <w:rFonts w:ascii="Times New Roman" w:hAnsi="Times New Roman"/>
                <w:sz w:val="22"/>
              </w:rPr>
            </w:pPr>
            <w:r w:rsidRPr="00186F1E">
              <w:rPr>
                <w:rFonts w:ascii="Times New Roman" w:hAnsi="Times New Roman"/>
                <w:sz w:val="22"/>
              </w:rPr>
              <w:t>1,471</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1F24DB5F" w14:textId="77777777">
            <w:pPr>
              <w:spacing w:line="256" w:lineRule="auto"/>
              <w:jc w:val="right"/>
              <w:rPr>
                <w:rFonts w:ascii="Times New Roman" w:hAnsi="Times New Roman"/>
                <w:sz w:val="22"/>
              </w:rPr>
            </w:pPr>
            <w:r w:rsidRPr="00186F1E">
              <w:rPr>
                <w:rFonts w:ascii="Times New Roman" w:hAnsi="Times New Roman"/>
                <w:sz w:val="22"/>
              </w:rPr>
              <w:t>2,093</w:t>
            </w:r>
          </w:p>
        </w:tc>
      </w:tr>
      <w:tr w:rsidRPr="00186F1E" w:rsidR="00186F1E" w:rsidTr="00D82C69" w14:paraId="0DC8191F" w14:textId="77777777">
        <w:trPr>
          <w:trHeight w:val="300"/>
        </w:trPr>
        <w:tc>
          <w:tcPr>
            <w:tcW w:w="321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01A186C2" w14:textId="77777777">
            <w:pPr>
              <w:spacing w:line="256" w:lineRule="auto"/>
              <w:rPr>
                <w:rFonts w:ascii="Times New Roman" w:hAnsi="Times New Roman"/>
                <w:sz w:val="22"/>
              </w:rPr>
            </w:pPr>
            <w:r w:rsidRPr="00186F1E">
              <w:rPr>
                <w:rFonts w:ascii="Times New Roman" w:hAnsi="Times New Roman"/>
                <w:sz w:val="22"/>
              </w:rPr>
              <w:t>Consent to interview teen</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2CBB7EE5" w14:textId="77777777">
            <w:pPr>
              <w:spacing w:line="256" w:lineRule="auto"/>
              <w:jc w:val="right"/>
              <w:rPr>
                <w:rFonts w:ascii="Times New Roman" w:hAnsi="Times New Roman"/>
                <w:sz w:val="22"/>
              </w:rPr>
            </w:pPr>
            <w:r w:rsidRPr="00186F1E">
              <w:rPr>
                <w:rFonts w:ascii="Times New Roman" w:hAnsi="Times New Roman"/>
                <w:sz w:val="22"/>
              </w:rPr>
              <w:t>698</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2FFFD66F" w14:textId="77777777">
            <w:pPr>
              <w:spacing w:line="256" w:lineRule="auto"/>
              <w:jc w:val="right"/>
              <w:rPr>
                <w:rFonts w:ascii="Times New Roman" w:hAnsi="Times New Roman"/>
                <w:sz w:val="22"/>
              </w:rPr>
            </w:pPr>
            <w:r w:rsidRPr="00186F1E">
              <w:rPr>
                <w:rFonts w:ascii="Times New Roman" w:hAnsi="Times New Roman"/>
                <w:sz w:val="22"/>
              </w:rPr>
              <w:t>956</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04D22AFF"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1061A221" w14:textId="77777777">
        <w:trPr>
          <w:trHeight w:val="300"/>
        </w:trPr>
        <w:tc>
          <w:tcPr>
            <w:tcW w:w="321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07876FE" w14:textId="77777777">
            <w:pPr>
              <w:spacing w:line="256" w:lineRule="auto"/>
              <w:rPr>
                <w:rFonts w:ascii="Times New Roman" w:hAnsi="Times New Roman"/>
                <w:sz w:val="22"/>
              </w:rPr>
            </w:pPr>
            <w:r w:rsidRPr="00186F1E">
              <w:rPr>
                <w:rFonts w:ascii="Times New Roman" w:hAnsi="Times New Roman"/>
                <w:sz w:val="22"/>
              </w:rPr>
              <w:t>Teen invitation letter w/$2 incentive</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3879BD5C" w14:textId="77777777">
            <w:pPr>
              <w:spacing w:line="256" w:lineRule="auto"/>
              <w:jc w:val="right"/>
              <w:rPr>
                <w:rFonts w:ascii="Times New Roman" w:hAnsi="Times New Roman"/>
                <w:sz w:val="22"/>
              </w:rPr>
            </w:pPr>
            <w:r w:rsidRPr="00186F1E">
              <w:rPr>
                <w:rFonts w:ascii="Times New Roman" w:hAnsi="Times New Roman"/>
                <w:sz w:val="22"/>
              </w:rPr>
              <w:t> </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316254BB" w14:textId="77777777">
            <w:pPr>
              <w:spacing w:line="256" w:lineRule="auto"/>
              <w:jc w:val="right"/>
              <w:rPr>
                <w:rFonts w:ascii="Times New Roman" w:hAnsi="Times New Roman"/>
                <w:sz w:val="22"/>
              </w:rPr>
            </w:pPr>
            <w:r w:rsidRPr="00186F1E">
              <w:rPr>
                <w:rFonts w:ascii="Times New Roman" w:hAnsi="Times New Roman"/>
                <w:sz w:val="22"/>
              </w:rPr>
              <w:t>956</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24594966"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3AF47037" w14:textId="77777777">
        <w:trPr>
          <w:trHeight w:val="765"/>
        </w:trPr>
        <w:tc>
          <w:tcPr>
            <w:tcW w:w="32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186F1E" w:rsidR="00186F1E" w:rsidP="00186F1E" w:rsidRDefault="00186F1E" w14:paraId="0C9577D3" w14:textId="77777777">
            <w:pPr>
              <w:spacing w:line="256" w:lineRule="auto"/>
              <w:rPr>
                <w:rFonts w:ascii="Times New Roman" w:hAnsi="Times New Roman"/>
                <w:sz w:val="22"/>
              </w:rPr>
            </w:pPr>
            <w:r w:rsidRPr="00186F1E">
              <w:rPr>
                <w:rFonts w:ascii="Times New Roman" w:hAnsi="Times New Roman"/>
                <w:sz w:val="22"/>
              </w:rPr>
              <w:t>Teen reminder letter w/$2 incentive/Reminder Calls</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D229718" w14:textId="77777777">
            <w:pPr>
              <w:spacing w:line="256" w:lineRule="auto"/>
              <w:jc w:val="right"/>
              <w:rPr>
                <w:rFonts w:ascii="Times New Roman" w:hAnsi="Times New Roman"/>
                <w:sz w:val="22"/>
              </w:rPr>
            </w:pPr>
            <w:r w:rsidRPr="00186F1E">
              <w:rPr>
                <w:rFonts w:ascii="Times New Roman" w:hAnsi="Times New Roman"/>
                <w:sz w:val="22"/>
              </w:rPr>
              <w:t>628</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130B4B76" w14:textId="77777777">
            <w:pPr>
              <w:spacing w:line="256" w:lineRule="auto"/>
              <w:jc w:val="right"/>
              <w:rPr>
                <w:rFonts w:ascii="Times New Roman" w:hAnsi="Times New Roman"/>
                <w:sz w:val="22"/>
              </w:rPr>
            </w:pPr>
            <w:r w:rsidRPr="00186F1E">
              <w:rPr>
                <w:rFonts w:ascii="Times New Roman" w:hAnsi="Times New Roman"/>
                <w:sz w:val="22"/>
              </w:rPr>
              <w:t>860</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335ABC3E"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5F95C14A" w14:textId="77777777">
        <w:trPr>
          <w:trHeight w:val="300"/>
        </w:trPr>
        <w:tc>
          <w:tcPr>
            <w:tcW w:w="321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4E81B1B7" w14:textId="77777777">
            <w:pPr>
              <w:spacing w:line="256" w:lineRule="auto"/>
              <w:rPr>
                <w:rFonts w:ascii="Times New Roman" w:hAnsi="Times New Roman"/>
                <w:sz w:val="22"/>
              </w:rPr>
            </w:pPr>
            <w:r w:rsidRPr="00186F1E">
              <w:rPr>
                <w:rFonts w:ascii="Times New Roman" w:hAnsi="Times New Roman"/>
                <w:sz w:val="22"/>
              </w:rPr>
              <w:t>Teen complete w/$20 incentive</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608B9B1C" w14:textId="77777777">
            <w:pPr>
              <w:spacing w:line="256" w:lineRule="auto"/>
              <w:jc w:val="right"/>
              <w:rPr>
                <w:rFonts w:ascii="Times New Roman" w:hAnsi="Times New Roman"/>
                <w:sz w:val="22"/>
              </w:rPr>
            </w:pPr>
            <w:r w:rsidRPr="00186F1E">
              <w:rPr>
                <w:rFonts w:ascii="Times New Roman" w:hAnsi="Times New Roman"/>
                <w:sz w:val="22"/>
              </w:rPr>
              <w:t>422</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66CA7502" w14:textId="77777777">
            <w:pPr>
              <w:spacing w:line="256" w:lineRule="auto"/>
              <w:jc w:val="right"/>
              <w:rPr>
                <w:rFonts w:ascii="Times New Roman" w:hAnsi="Times New Roman"/>
                <w:sz w:val="22"/>
              </w:rPr>
            </w:pPr>
            <w:r w:rsidRPr="00186F1E">
              <w:rPr>
                <w:rFonts w:ascii="Times New Roman" w:hAnsi="Times New Roman"/>
                <w:sz w:val="22"/>
              </w:rPr>
              <w:t>478</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7FF7C6E2" w14:textId="77777777">
            <w:pPr>
              <w:spacing w:line="256" w:lineRule="auto"/>
              <w:jc w:val="right"/>
              <w:rPr>
                <w:rFonts w:ascii="Times New Roman" w:hAnsi="Times New Roman"/>
                <w:sz w:val="22"/>
              </w:rPr>
            </w:pPr>
            <w:r w:rsidRPr="00186F1E">
              <w:rPr>
                <w:rFonts w:ascii="Times New Roman" w:hAnsi="Times New Roman"/>
                <w:sz w:val="22"/>
              </w:rPr>
              <w:t>900</w:t>
            </w:r>
          </w:p>
        </w:tc>
      </w:tr>
      <w:tr w:rsidRPr="00186F1E" w:rsidR="00186F1E" w:rsidTr="00D82C69" w14:paraId="755EF5F7" w14:textId="77777777">
        <w:trPr>
          <w:trHeight w:val="137"/>
        </w:trPr>
        <w:tc>
          <w:tcPr>
            <w:tcW w:w="3210" w:type="dxa"/>
            <w:tcBorders>
              <w:top w:val="single" w:color="auto" w:sz="4" w:space="0"/>
              <w:left w:val="single" w:color="auto" w:sz="4" w:space="0"/>
              <w:bottom w:val="single" w:color="auto" w:sz="4" w:space="0"/>
              <w:right w:val="nil"/>
            </w:tcBorders>
            <w:shd w:val="clear" w:color="auto" w:fill="BFBFBF" w:themeFill="background1" w:themeFillShade="BF"/>
            <w:noWrap/>
            <w:tcMar>
              <w:top w:w="15" w:type="dxa"/>
              <w:left w:w="15" w:type="dxa"/>
              <w:bottom w:w="0" w:type="dxa"/>
              <w:right w:w="15" w:type="dxa"/>
            </w:tcMar>
            <w:vAlign w:val="center"/>
            <w:hideMark/>
          </w:tcPr>
          <w:p w:rsidRPr="00186F1E" w:rsidR="00186F1E" w:rsidP="00186F1E" w:rsidRDefault="00186F1E" w14:paraId="0F251106" w14:textId="77777777">
            <w:pPr>
              <w:spacing w:line="256" w:lineRule="auto"/>
              <w:rPr>
                <w:rFonts w:ascii="Times New Roman" w:hAnsi="Times New Roman"/>
                <w:sz w:val="22"/>
              </w:rPr>
            </w:pPr>
            <w:r w:rsidRPr="00186F1E">
              <w:rPr>
                <w:rFonts w:ascii="Times New Roman" w:hAnsi="Times New Roman"/>
                <w:sz w:val="22"/>
              </w:rPr>
              <w:t> </w:t>
            </w:r>
          </w:p>
        </w:tc>
        <w:tc>
          <w:tcPr>
            <w:tcW w:w="2232" w:type="dxa"/>
            <w:tcBorders>
              <w:top w:val="single" w:color="auto" w:sz="4" w:space="0"/>
              <w:left w:val="nil"/>
              <w:bottom w:val="single" w:color="auto" w:sz="4" w:space="0"/>
              <w:right w:val="nil"/>
            </w:tcBorders>
            <w:shd w:val="clear" w:color="auto" w:fill="BFBFBF" w:themeFill="background1" w:themeFillShade="BF"/>
            <w:noWrap/>
            <w:tcMar>
              <w:top w:w="15" w:type="dxa"/>
              <w:left w:w="15" w:type="dxa"/>
              <w:bottom w:w="0" w:type="dxa"/>
              <w:right w:w="15" w:type="dxa"/>
            </w:tcMar>
            <w:vAlign w:val="center"/>
            <w:hideMark/>
          </w:tcPr>
          <w:p w:rsidRPr="00186F1E" w:rsidR="00186F1E" w:rsidP="00186F1E" w:rsidRDefault="00186F1E" w14:paraId="1C0ABE31" w14:textId="77777777">
            <w:pPr>
              <w:spacing w:line="256" w:lineRule="auto"/>
              <w:rPr>
                <w:rFonts w:ascii="Times New Roman" w:hAnsi="Times New Roman"/>
                <w:sz w:val="22"/>
              </w:rPr>
            </w:pPr>
            <w:r w:rsidRPr="00186F1E">
              <w:rPr>
                <w:rFonts w:ascii="Times New Roman" w:hAnsi="Times New Roman"/>
                <w:sz w:val="22"/>
              </w:rPr>
              <w:t> </w:t>
            </w:r>
          </w:p>
        </w:tc>
        <w:tc>
          <w:tcPr>
            <w:tcW w:w="2232" w:type="dxa"/>
            <w:tcBorders>
              <w:top w:val="single" w:color="auto" w:sz="4" w:space="0"/>
              <w:left w:val="nil"/>
              <w:bottom w:val="single" w:color="auto" w:sz="4" w:space="0"/>
              <w:right w:val="nil"/>
            </w:tcBorders>
            <w:shd w:val="clear" w:color="auto" w:fill="BFBFBF" w:themeFill="background1" w:themeFillShade="BF"/>
            <w:noWrap/>
            <w:tcMar>
              <w:top w:w="15" w:type="dxa"/>
              <w:left w:w="15" w:type="dxa"/>
              <w:bottom w:w="0" w:type="dxa"/>
              <w:right w:w="15" w:type="dxa"/>
            </w:tcMar>
            <w:hideMark/>
          </w:tcPr>
          <w:p w:rsidRPr="00186F1E" w:rsidR="00186F1E" w:rsidP="00186F1E" w:rsidRDefault="00186F1E" w14:paraId="632F1B51" w14:textId="77777777">
            <w:pPr>
              <w:spacing w:line="256" w:lineRule="auto"/>
              <w:rPr>
                <w:rFonts w:ascii="Times New Roman" w:hAnsi="Times New Roman"/>
                <w:sz w:val="22"/>
              </w:rPr>
            </w:pPr>
            <w:r w:rsidRPr="00186F1E">
              <w:rPr>
                <w:rFonts w:ascii="Times New Roman" w:hAnsi="Times New Roman"/>
                <w:sz w:val="22"/>
              </w:rPr>
              <w:t> </w:t>
            </w:r>
          </w:p>
        </w:tc>
        <w:tc>
          <w:tcPr>
            <w:tcW w:w="1676" w:type="dxa"/>
            <w:tcBorders>
              <w:top w:val="single" w:color="auto" w:sz="4" w:space="0"/>
              <w:left w:val="nil"/>
              <w:bottom w:val="single" w:color="auto" w:sz="4" w:space="0"/>
              <w:right w:val="single" w:color="auto" w:sz="4" w:space="0"/>
            </w:tcBorders>
            <w:shd w:val="clear" w:color="auto" w:fill="BFBFBF" w:themeFill="background1" w:themeFillShade="BF"/>
            <w:noWrap/>
            <w:tcMar>
              <w:top w:w="15" w:type="dxa"/>
              <w:left w:w="15" w:type="dxa"/>
              <w:bottom w:w="0" w:type="dxa"/>
              <w:right w:w="15" w:type="dxa"/>
            </w:tcMar>
            <w:hideMark/>
          </w:tcPr>
          <w:p w:rsidRPr="00186F1E" w:rsidR="00186F1E" w:rsidP="00186F1E" w:rsidRDefault="00186F1E" w14:paraId="2137D123"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56746526" w14:textId="77777777">
        <w:trPr>
          <w:trHeight w:val="300"/>
        </w:trPr>
        <w:tc>
          <w:tcPr>
            <w:tcW w:w="321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70F0528" w14:textId="77777777">
            <w:pPr>
              <w:spacing w:line="256" w:lineRule="auto"/>
              <w:rPr>
                <w:rFonts w:ascii="Times New Roman" w:hAnsi="Times New Roman"/>
                <w:b/>
                <w:sz w:val="22"/>
              </w:rPr>
            </w:pPr>
            <w:proofErr w:type="gramStart"/>
            <w:r w:rsidRPr="00186F1E">
              <w:rPr>
                <w:rFonts w:ascii="Times New Roman" w:hAnsi="Times New Roman"/>
                <w:b/>
                <w:sz w:val="22"/>
              </w:rPr>
              <w:t xml:space="preserve">18-19 year </w:t>
            </w:r>
            <w:proofErr w:type="spellStart"/>
            <w:r w:rsidRPr="00186F1E">
              <w:rPr>
                <w:rFonts w:ascii="Times New Roman" w:hAnsi="Times New Roman"/>
                <w:b/>
                <w:sz w:val="22"/>
              </w:rPr>
              <w:t>olds</w:t>
            </w:r>
            <w:proofErr w:type="spellEnd"/>
            <w:proofErr w:type="gramEnd"/>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7645B641" w14:textId="77777777">
            <w:pPr>
              <w:spacing w:line="256" w:lineRule="auto"/>
              <w:rPr>
                <w:rFonts w:ascii="Times New Roman" w:hAnsi="Times New Roman"/>
                <w:b/>
                <w:sz w:val="22"/>
              </w:rPr>
            </w:pPr>
            <w:r w:rsidRPr="00186F1E">
              <w:rPr>
                <w:rFonts w:ascii="Times New Roman" w:hAnsi="Times New Roman"/>
                <w:b/>
                <w:sz w:val="22"/>
              </w:rPr>
              <w:t xml:space="preserve">Current </w:t>
            </w:r>
            <w:proofErr w:type="spellStart"/>
            <w:r w:rsidRPr="00186F1E">
              <w:rPr>
                <w:rFonts w:ascii="Times New Roman" w:hAnsi="Times New Roman"/>
                <w:b/>
                <w:sz w:val="22"/>
              </w:rPr>
              <w:t>AmeriSpeak</w:t>
            </w:r>
            <w:proofErr w:type="spellEnd"/>
            <w:r w:rsidRPr="00186F1E">
              <w:rPr>
                <w:rFonts w:ascii="Times New Roman" w:hAnsi="Times New Roman"/>
                <w:b/>
                <w:sz w:val="22"/>
              </w:rPr>
              <w:t xml:space="preserve"> Sample</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6B6DDCF0" w14:textId="77777777">
            <w:pPr>
              <w:spacing w:line="256" w:lineRule="auto"/>
              <w:rPr>
                <w:rFonts w:ascii="Times New Roman" w:hAnsi="Times New Roman"/>
                <w:b/>
                <w:sz w:val="22"/>
              </w:rPr>
            </w:pPr>
            <w:r w:rsidRPr="00186F1E">
              <w:rPr>
                <w:rFonts w:ascii="Times New Roman" w:hAnsi="Times New Roman"/>
                <w:b/>
                <w:sz w:val="22"/>
              </w:rPr>
              <w:t>New ABS Sample</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70C1D0CE" w14:textId="77777777">
            <w:pPr>
              <w:spacing w:line="256" w:lineRule="auto"/>
              <w:rPr>
                <w:rFonts w:ascii="Times New Roman" w:hAnsi="Times New Roman"/>
                <w:b/>
                <w:sz w:val="22"/>
              </w:rPr>
            </w:pPr>
            <w:r w:rsidRPr="00186F1E">
              <w:rPr>
                <w:rFonts w:ascii="Times New Roman" w:hAnsi="Times New Roman"/>
                <w:sz w:val="22"/>
                <w:szCs w:val="22"/>
              </w:rPr>
              <w:t> </w:t>
            </w:r>
            <w:r w:rsidRPr="00186F1E">
              <w:rPr>
                <w:rFonts w:ascii="Times New Roman" w:hAnsi="Times New Roman"/>
                <w:b/>
                <w:sz w:val="22"/>
                <w:szCs w:val="22"/>
              </w:rPr>
              <w:t>Total Completes</w:t>
            </w:r>
            <w:r w:rsidRPr="00186F1E">
              <w:rPr>
                <w:color w:val="000000"/>
              </w:rPr>
              <w:t> </w:t>
            </w:r>
          </w:p>
        </w:tc>
      </w:tr>
      <w:tr w:rsidRPr="00186F1E" w:rsidR="00186F1E" w:rsidTr="00D82C69" w14:paraId="1D6470FC" w14:textId="77777777">
        <w:trPr>
          <w:trHeight w:val="510"/>
        </w:trPr>
        <w:tc>
          <w:tcPr>
            <w:tcW w:w="32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186F1E" w:rsidR="00186F1E" w:rsidP="00186F1E" w:rsidRDefault="00186F1E" w14:paraId="4A593573" w14:textId="77777777">
            <w:pPr>
              <w:spacing w:line="256" w:lineRule="auto"/>
              <w:rPr>
                <w:rFonts w:ascii="Times New Roman" w:hAnsi="Times New Roman"/>
                <w:sz w:val="22"/>
              </w:rPr>
            </w:pPr>
            <w:r w:rsidRPr="00186F1E">
              <w:rPr>
                <w:rFonts w:ascii="Times New Roman" w:hAnsi="Times New Roman"/>
                <w:sz w:val="22"/>
              </w:rPr>
              <w:t xml:space="preserve">Initial postcard to </w:t>
            </w:r>
            <w:proofErr w:type="spellStart"/>
            <w:r w:rsidRPr="00186F1E">
              <w:rPr>
                <w:rFonts w:ascii="Times New Roman" w:hAnsi="Times New Roman"/>
                <w:sz w:val="22"/>
              </w:rPr>
              <w:t>AmeriSpeak</w:t>
            </w:r>
            <w:proofErr w:type="spellEnd"/>
            <w:r w:rsidRPr="00186F1E">
              <w:rPr>
                <w:rFonts w:ascii="Times New Roman" w:hAnsi="Times New Roman"/>
                <w:sz w:val="22"/>
              </w:rPr>
              <w:t xml:space="preserve">/ </w:t>
            </w:r>
            <w:r w:rsidRPr="00186F1E">
              <w:rPr>
                <w:rFonts w:ascii="Times New Roman" w:hAnsi="Times New Roman"/>
                <w:sz w:val="22"/>
              </w:rPr>
              <w:br/>
              <w:t>Initial Letter to ABS</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B646407" w14:textId="77777777">
            <w:pPr>
              <w:spacing w:line="256" w:lineRule="auto"/>
              <w:jc w:val="right"/>
              <w:rPr>
                <w:rFonts w:ascii="Times New Roman" w:hAnsi="Times New Roman"/>
                <w:sz w:val="22"/>
              </w:rPr>
            </w:pPr>
            <w:r w:rsidRPr="00186F1E">
              <w:rPr>
                <w:rFonts w:ascii="Times New Roman" w:hAnsi="Times New Roman"/>
                <w:sz w:val="22"/>
              </w:rPr>
              <w:t>368</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355E45EC" w14:textId="77777777">
            <w:pPr>
              <w:spacing w:line="256" w:lineRule="auto"/>
              <w:jc w:val="right"/>
              <w:rPr>
                <w:rFonts w:ascii="Times New Roman" w:hAnsi="Times New Roman"/>
                <w:sz w:val="22"/>
              </w:rPr>
            </w:pPr>
            <w:r w:rsidRPr="00186F1E">
              <w:rPr>
                <w:rFonts w:ascii="Times New Roman" w:hAnsi="Times New Roman"/>
                <w:sz w:val="22"/>
              </w:rPr>
              <w:t>66,000</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7CAD3F5B"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5FBE12F8" w14:textId="77777777">
        <w:trPr>
          <w:trHeight w:val="300"/>
        </w:trPr>
        <w:tc>
          <w:tcPr>
            <w:tcW w:w="321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314F2ED1" w14:textId="77777777">
            <w:pPr>
              <w:spacing w:line="256" w:lineRule="auto"/>
              <w:rPr>
                <w:rFonts w:ascii="Times New Roman" w:hAnsi="Times New Roman"/>
                <w:sz w:val="22"/>
              </w:rPr>
            </w:pPr>
            <w:r w:rsidRPr="00186F1E">
              <w:rPr>
                <w:rFonts w:ascii="Times New Roman" w:hAnsi="Times New Roman"/>
                <w:sz w:val="22"/>
              </w:rPr>
              <w:t xml:space="preserve">Screen for </w:t>
            </w:r>
            <w:proofErr w:type="gramStart"/>
            <w:r w:rsidRPr="00186F1E">
              <w:rPr>
                <w:rFonts w:ascii="Times New Roman" w:hAnsi="Times New Roman"/>
                <w:sz w:val="22"/>
              </w:rPr>
              <w:t>18-19 year old</w:t>
            </w:r>
            <w:proofErr w:type="gramEnd"/>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45C3D567" w14:textId="77777777">
            <w:pPr>
              <w:spacing w:line="256" w:lineRule="auto"/>
              <w:jc w:val="right"/>
              <w:rPr>
                <w:rFonts w:ascii="Times New Roman" w:hAnsi="Times New Roman"/>
                <w:sz w:val="22"/>
              </w:rPr>
            </w:pPr>
            <w:r w:rsidRPr="00186F1E">
              <w:rPr>
                <w:rFonts w:ascii="Times New Roman" w:hAnsi="Times New Roman"/>
                <w:sz w:val="22"/>
              </w:rPr>
              <w:t>NA</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04DEA338" w14:textId="77777777">
            <w:pPr>
              <w:spacing w:line="256" w:lineRule="auto"/>
              <w:jc w:val="right"/>
              <w:rPr>
                <w:rFonts w:ascii="Times New Roman" w:hAnsi="Times New Roman"/>
                <w:sz w:val="22"/>
              </w:rPr>
            </w:pPr>
            <w:r w:rsidRPr="00186F1E">
              <w:rPr>
                <w:rFonts w:ascii="Times New Roman" w:hAnsi="Times New Roman"/>
                <w:sz w:val="22"/>
              </w:rPr>
              <w:t>2,640</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6C2843CD" w14:textId="77777777">
            <w:pPr>
              <w:spacing w:line="256" w:lineRule="auto"/>
              <w:jc w:val="right"/>
              <w:rPr>
                <w:rFonts w:ascii="Times New Roman" w:hAnsi="Times New Roman"/>
                <w:sz w:val="22"/>
              </w:rPr>
            </w:pPr>
            <w:r w:rsidRPr="00186F1E">
              <w:rPr>
                <w:rFonts w:ascii="Times New Roman" w:hAnsi="Times New Roman"/>
                <w:sz w:val="22"/>
              </w:rPr>
              <w:t> </w:t>
            </w:r>
          </w:p>
        </w:tc>
      </w:tr>
      <w:tr w:rsidRPr="00186F1E" w:rsidR="00186F1E" w:rsidTr="00D82C69" w14:paraId="209DDB6B" w14:textId="77777777">
        <w:trPr>
          <w:trHeight w:val="765"/>
        </w:trPr>
        <w:tc>
          <w:tcPr>
            <w:tcW w:w="32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186F1E" w:rsidR="00186F1E" w:rsidP="00186F1E" w:rsidRDefault="00186F1E" w14:paraId="19EAABE8" w14:textId="77777777">
            <w:pPr>
              <w:spacing w:line="256" w:lineRule="auto"/>
              <w:rPr>
                <w:rFonts w:ascii="Times New Roman" w:hAnsi="Times New Roman"/>
                <w:sz w:val="22"/>
              </w:rPr>
            </w:pPr>
            <w:r w:rsidRPr="00186F1E">
              <w:rPr>
                <w:rFonts w:ascii="Times New Roman" w:hAnsi="Times New Roman"/>
                <w:sz w:val="22"/>
              </w:rPr>
              <w:lastRenderedPageBreak/>
              <w:t>18-19 reminder letter w/$2 incentive/Reminder Calls</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AD1A7C4" w14:textId="77777777">
            <w:pPr>
              <w:spacing w:line="256" w:lineRule="auto"/>
              <w:jc w:val="right"/>
              <w:rPr>
                <w:rFonts w:ascii="Times New Roman" w:hAnsi="Times New Roman"/>
                <w:sz w:val="22"/>
              </w:rPr>
            </w:pPr>
            <w:r w:rsidRPr="00186F1E">
              <w:rPr>
                <w:rFonts w:ascii="Times New Roman" w:hAnsi="Times New Roman"/>
                <w:sz w:val="22"/>
              </w:rPr>
              <w:t>298</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381DE4CB" w14:textId="77777777">
            <w:pPr>
              <w:spacing w:line="256" w:lineRule="auto"/>
              <w:jc w:val="right"/>
              <w:rPr>
                <w:rFonts w:ascii="Times New Roman" w:hAnsi="Times New Roman"/>
                <w:sz w:val="22"/>
              </w:rPr>
            </w:pPr>
            <w:r w:rsidRPr="00186F1E">
              <w:rPr>
                <w:rFonts w:ascii="Times New Roman" w:hAnsi="Times New Roman"/>
                <w:sz w:val="22"/>
              </w:rPr>
              <w:t>2,376</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hideMark/>
          </w:tcPr>
          <w:p w:rsidRPr="00186F1E" w:rsidR="00186F1E" w:rsidP="00186F1E" w:rsidRDefault="00186F1E" w14:paraId="6DDF0A5F" w14:textId="77777777">
            <w:pPr>
              <w:spacing w:line="256" w:lineRule="auto"/>
              <w:rPr>
                <w:rFonts w:ascii="Times New Roman" w:hAnsi="Times New Roman"/>
                <w:sz w:val="22"/>
              </w:rPr>
            </w:pPr>
            <w:r w:rsidRPr="00186F1E">
              <w:rPr>
                <w:rFonts w:ascii="Times New Roman" w:hAnsi="Times New Roman"/>
                <w:sz w:val="22"/>
              </w:rPr>
              <w:t> </w:t>
            </w:r>
          </w:p>
        </w:tc>
      </w:tr>
      <w:tr w:rsidRPr="00186F1E" w:rsidR="00186F1E" w:rsidTr="00D82C69" w14:paraId="6B80DFE8" w14:textId="77777777">
        <w:trPr>
          <w:trHeight w:val="300"/>
        </w:trPr>
        <w:tc>
          <w:tcPr>
            <w:tcW w:w="321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62F769EA" w14:textId="77777777">
            <w:pPr>
              <w:spacing w:line="256" w:lineRule="auto"/>
              <w:rPr>
                <w:rFonts w:ascii="Times New Roman" w:hAnsi="Times New Roman"/>
                <w:sz w:val="22"/>
              </w:rPr>
            </w:pPr>
            <w:r w:rsidRPr="00186F1E">
              <w:rPr>
                <w:rFonts w:ascii="Times New Roman" w:hAnsi="Times New Roman"/>
                <w:sz w:val="22"/>
              </w:rPr>
              <w:t>18-19 complete w/$20 incentive</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48A7323D" w14:textId="77777777">
            <w:pPr>
              <w:spacing w:line="256" w:lineRule="auto"/>
              <w:jc w:val="right"/>
              <w:rPr>
                <w:rFonts w:ascii="Times New Roman" w:hAnsi="Times New Roman"/>
                <w:sz w:val="22"/>
              </w:rPr>
            </w:pPr>
            <w:r w:rsidRPr="00186F1E">
              <w:rPr>
                <w:rFonts w:ascii="Times New Roman" w:hAnsi="Times New Roman"/>
                <w:sz w:val="22"/>
              </w:rPr>
              <w:t>72</w:t>
            </w:r>
          </w:p>
        </w:tc>
        <w:tc>
          <w:tcPr>
            <w:tcW w:w="2232"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513F2E24" w14:textId="77777777">
            <w:pPr>
              <w:spacing w:line="256" w:lineRule="auto"/>
              <w:jc w:val="right"/>
              <w:rPr>
                <w:rFonts w:ascii="Times New Roman" w:hAnsi="Times New Roman"/>
                <w:sz w:val="22"/>
              </w:rPr>
            </w:pPr>
            <w:r w:rsidRPr="00186F1E">
              <w:rPr>
                <w:rFonts w:ascii="Times New Roman" w:hAnsi="Times New Roman"/>
                <w:sz w:val="22"/>
              </w:rPr>
              <w:t>528</w:t>
            </w:r>
          </w:p>
        </w:tc>
        <w:tc>
          <w:tcPr>
            <w:tcW w:w="1676" w:type="dxa"/>
            <w:tcBorders>
              <w:top w:val="nil"/>
              <w:left w:val="nil"/>
              <w:bottom w:val="single" w:color="auto" w:sz="4" w:space="0"/>
              <w:right w:val="single" w:color="auto" w:sz="4" w:space="0"/>
            </w:tcBorders>
            <w:noWrap/>
            <w:tcMar>
              <w:top w:w="15" w:type="dxa"/>
              <w:left w:w="15" w:type="dxa"/>
              <w:bottom w:w="0" w:type="dxa"/>
              <w:right w:w="15" w:type="dxa"/>
            </w:tcMar>
            <w:vAlign w:val="center"/>
            <w:hideMark/>
          </w:tcPr>
          <w:p w:rsidRPr="00186F1E" w:rsidR="00186F1E" w:rsidP="00186F1E" w:rsidRDefault="00186F1E" w14:paraId="7FDA0F10" w14:textId="77777777">
            <w:pPr>
              <w:spacing w:line="256" w:lineRule="auto"/>
              <w:jc w:val="right"/>
              <w:rPr>
                <w:rFonts w:ascii="Times New Roman" w:hAnsi="Times New Roman"/>
                <w:sz w:val="22"/>
              </w:rPr>
            </w:pPr>
            <w:r w:rsidRPr="00186F1E">
              <w:rPr>
                <w:rFonts w:ascii="Times New Roman" w:hAnsi="Times New Roman"/>
                <w:sz w:val="22"/>
              </w:rPr>
              <w:t>600</w:t>
            </w:r>
          </w:p>
        </w:tc>
      </w:tr>
    </w:tbl>
    <w:p w:rsidRPr="00186F1E" w:rsidR="00186F1E" w:rsidP="00186F1E" w:rsidRDefault="00186F1E" w14:paraId="4A1AB44D" w14:textId="77777777">
      <w:pPr>
        <w:autoSpaceDE/>
        <w:autoSpaceDN/>
        <w:adjustRightInd/>
        <w:spacing w:after="160" w:line="259" w:lineRule="auto"/>
        <w:rPr>
          <w:rFonts w:ascii="Calibri" w:hAnsi="Calibri" w:cs="Calibri"/>
          <w:b/>
          <w:snapToGrid w:val="0"/>
        </w:rPr>
      </w:pPr>
    </w:p>
    <w:p w:rsidRPr="00186F1E" w:rsidR="00186F1E" w:rsidP="00186F1E" w:rsidRDefault="00186F1E" w14:paraId="7D83D2E6" w14:textId="44D19F4A">
      <w:pPr>
        <w:autoSpaceDE/>
        <w:autoSpaceDN/>
        <w:adjustRightInd/>
        <w:spacing w:line="360" w:lineRule="auto"/>
        <w:rPr>
          <w:rFonts w:ascii="Times New Roman" w:hAnsi="Times New Roman"/>
        </w:rPr>
      </w:pPr>
      <w:r w:rsidRPr="00186F1E">
        <w:rPr>
          <w:rFonts w:ascii="Times New Roman" w:hAnsi="Times New Roman" w:eastAsiaTheme="minorEastAsia" w:cstheme="minorBidi"/>
          <w:sz w:val="22"/>
          <w:szCs w:val="22"/>
        </w:rPr>
        <w:t>The estimate of burden for the instruments is based on cognitive interviews with nine respondents. A variety of instruments and platforms will be used to collect information from respondents. The annual burden hours requested (1,</w:t>
      </w:r>
      <w:r w:rsidR="007531EB">
        <w:rPr>
          <w:rFonts w:ascii="Times New Roman" w:hAnsi="Times New Roman"/>
          <w:bCs/>
        </w:rPr>
        <w:t>378</w:t>
      </w:r>
      <w:r w:rsidRPr="00186F1E">
        <w:rPr>
          <w:rFonts w:ascii="Times New Roman" w:hAnsi="Times New Roman" w:eastAsiaTheme="minorEastAsia" w:cstheme="minorBidi"/>
          <w:sz w:val="22"/>
          <w:szCs w:val="22"/>
        </w:rPr>
        <w:t xml:space="preserve">) are based on the number of completed responses we expect to collect over the requested period for this clearance. </w:t>
      </w:r>
      <w:r w:rsidRPr="00186F1E">
        <w:rPr>
          <w:rFonts w:ascii="Times New Roman" w:hAnsi="Times New Roman"/>
          <w:sz w:val="22"/>
        </w:rPr>
        <w:t xml:space="preserve">The survey, which will only be administered once, is estimated at no longer than 20 minutes per respondent. </w:t>
      </w:r>
    </w:p>
    <w:p w:rsidR="007531EB" w:rsidP="00186F1E" w:rsidRDefault="007531EB" w14:paraId="1E67A4DB" w14:textId="77777777">
      <w:pPr>
        <w:autoSpaceDE/>
        <w:autoSpaceDN/>
        <w:adjustRightInd/>
        <w:spacing w:after="160" w:line="259" w:lineRule="auto"/>
        <w:rPr>
          <w:rFonts w:ascii="Calibri" w:hAnsi="Calibri" w:cs="Calibri"/>
          <w:b/>
          <w:snapToGrid w:val="0"/>
          <w:sz w:val="22"/>
          <w:szCs w:val="22"/>
        </w:rPr>
      </w:pPr>
    </w:p>
    <w:p w:rsidR="00186F1E" w:rsidP="00186F1E" w:rsidRDefault="00186F1E" w14:paraId="11B63728" w14:textId="7B398668">
      <w:pPr>
        <w:autoSpaceDE/>
        <w:autoSpaceDN/>
        <w:adjustRightInd/>
        <w:spacing w:after="160" w:line="259" w:lineRule="auto"/>
        <w:rPr>
          <w:rFonts w:ascii="Calibri" w:hAnsi="Calibri" w:cs="Calibri"/>
          <w:b/>
          <w:snapToGrid w:val="0"/>
          <w:sz w:val="22"/>
          <w:szCs w:val="22"/>
        </w:rPr>
      </w:pPr>
      <w:r w:rsidRPr="00186F1E">
        <w:rPr>
          <w:rFonts w:ascii="Calibri" w:hAnsi="Calibri" w:cs="Calibri"/>
          <w:b/>
          <w:snapToGrid w:val="0"/>
          <w:sz w:val="22"/>
          <w:szCs w:val="22"/>
        </w:rPr>
        <w:t>Exhibit A.12.</w:t>
      </w:r>
      <w:proofErr w:type="gramStart"/>
      <w:r w:rsidR="007531EB">
        <w:rPr>
          <w:rFonts w:ascii="Calibri" w:hAnsi="Calibri" w:cs="Calibri"/>
          <w:b/>
          <w:snapToGrid w:val="0"/>
          <w:sz w:val="22"/>
          <w:szCs w:val="22"/>
        </w:rPr>
        <w:t>A</w:t>
      </w:r>
      <w:proofErr w:type="gramEnd"/>
      <w:r w:rsidRPr="00186F1E">
        <w:rPr>
          <w:rFonts w:ascii="Calibri" w:hAnsi="Calibri" w:cs="Calibri"/>
          <w:b/>
          <w:snapToGrid w:val="0"/>
          <w:sz w:val="22"/>
          <w:szCs w:val="22"/>
        </w:rPr>
        <w:t xml:space="preserve"> Annualized Burden Hours </w:t>
      </w:r>
    </w:p>
    <w:tbl>
      <w:tblPr>
        <w:tblW w:w="9980" w:type="dxa"/>
        <w:tblLayout w:type="fixed"/>
        <w:tblCellMar>
          <w:left w:w="0" w:type="dxa"/>
          <w:right w:w="0" w:type="dxa"/>
        </w:tblCellMar>
        <w:tblLook w:val="04A0" w:firstRow="1" w:lastRow="0" w:firstColumn="1" w:lastColumn="0" w:noHBand="0" w:noVBand="1"/>
      </w:tblPr>
      <w:tblGrid>
        <w:gridCol w:w="1970"/>
        <w:gridCol w:w="1710"/>
        <w:gridCol w:w="1890"/>
        <w:gridCol w:w="1710"/>
        <w:gridCol w:w="1440"/>
        <w:gridCol w:w="1260"/>
      </w:tblGrid>
      <w:tr w:rsidRPr="00DA77D3" w:rsidR="00DA77D3" w:rsidTr="00781837" w14:paraId="60B2F52F" w14:textId="77777777">
        <w:trPr>
          <w:trHeight w:val="323"/>
        </w:trPr>
        <w:tc>
          <w:tcPr>
            <w:tcW w:w="19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10E5EE41"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Type of Respondents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5FF1DFF8"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Form Name</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5D2A1B50"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No. of Respondents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3366AD52"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No. of Responses per Respondent</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0513F3CA"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 xml:space="preserve">Avg. Burden per Response (in </w:t>
            </w:r>
            <w:proofErr w:type="spellStart"/>
            <w:r w:rsidRPr="00DA77D3">
              <w:rPr>
                <w:rFonts w:ascii="Times New Roman" w:hAnsi="Times New Roman"/>
                <w:color w:val="000000"/>
                <w:sz w:val="22"/>
                <w:szCs w:val="22"/>
              </w:rPr>
              <w:t>hrs</w:t>
            </w:r>
            <w:proofErr w:type="spellEnd"/>
            <w:r w:rsidRPr="00DA77D3">
              <w:rPr>
                <w:rFonts w:ascii="Times New Roman" w:hAnsi="Times New Roman"/>
                <w:color w:val="000000"/>
                <w:sz w:val="22"/>
                <w:szCs w:val="22"/>
              </w:rPr>
              <w:t>)</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697C4D6B"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 xml:space="preserve">Total Burden (in </w:t>
            </w:r>
            <w:proofErr w:type="spellStart"/>
            <w:r w:rsidRPr="00DA77D3">
              <w:rPr>
                <w:rFonts w:ascii="Times New Roman" w:hAnsi="Times New Roman"/>
                <w:color w:val="000000"/>
                <w:sz w:val="22"/>
                <w:szCs w:val="22"/>
              </w:rPr>
              <w:t>hrs</w:t>
            </w:r>
            <w:proofErr w:type="spellEnd"/>
            <w:r w:rsidRPr="00DA77D3">
              <w:rPr>
                <w:rFonts w:ascii="Times New Roman" w:hAnsi="Times New Roman"/>
                <w:color w:val="000000"/>
                <w:sz w:val="22"/>
                <w:szCs w:val="22"/>
              </w:rPr>
              <w:t>)</w:t>
            </w:r>
          </w:p>
        </w:tc>
      </w:tr>
      <w:tr w:rsidRPr="00DA77D3" w:rsidR="00DA77D3" w:rsidTr="00781837" w14:paraId="72E1C517" w14:textId="77777777">
        <w:trPr>
          <w:trHeight w:val="647"/>
        </w:trPr>
        <w:tc>
          <w:tcPr>
            <w:tcW w:w="19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4C74FAD1"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 xml:space="preserve">Parents/Caregivers of </w:t>
            </w:r>
            <w:proofErr w:type="gramStart"/>
            <w:r w:rsidRPr="00DA77D3">
              <w:rPr>
                <w:rFonts w:ascii="Times New Roman" w:hAnsi="Times New Roman"/>
                <w:color w:val="000000"/>
                <w:sz w:val="22"/>
                <w:szCs w:val="22"/>
              </w:rPr>
              <w:t xml:space="preserve">15-17 year </w:t>
            </w:r>
            <w:proofErr w:type="spellStart"/>
            <w:r w:rsidRPr="00DA77D3">
              <w:rPr>
                <w:rFonts w:ascii="Times New Roman" w:hAnsi="Times New Roman"/>
                <w:color w:val="000000"/>
                <w:sz w:val="22"/>
                <w:szCs w:val="22"/>
              </w:rPr>
              <w:t>olds</w:t>
            </w:r>
            <w:proofErr w:type="spellEnd"/>
            <w:proofErr w:type="gramEnd"/>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3EC70F99"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Adult/Caregiver Survey</w:t>
            </w:r>
          </w:p>
          <w:p w:rsidRPr="00DA77D3" w:rsidR="00DA77D3" w:rsidP="00781837" w:rsidRDefault="00DA77D3" w14:paraId="75AE3B18" w14:textId="77777777">
            <w:pPr>
              <w:widowControl w:val="0"/>
              <w:tabs>
                <w:tab w:val="left" w:pos="0"/>
              </w:tabs>
              <w:rPr>
                <w:rFonts w:ascii="Times New Roman" w:hAnsi="Times New Roman"/>
                <w:color w:val="000000"/>
                <w:sz w:val="22"/>
                <w:szCs w:val="22"/>
              </w:rPr>
            </w:pPr>
            <w:proofErr w:type="spellStart"/>
            <w:r w:rsidRPr="00DA77D3">
              <w:rPr>
                <w:rFonts w:ascii="Times New Roman" w:hAnsi="Times New Roman"/>
                <w:color w:val="000000"/>
                <w:sz w:val="22"/>
                <w:szCs w:val="22"/>
              </w:rPr>
              <w:t>Att</w:t>
            </w:r>
            <w:proofErr w:type="spellEnd"/>
            <w:r w:rsidRPr="00DA77D3">
              <w:rPr>
                <w:rFonts w:ascii="Times New Roman" w:hAnsi="Times New Roman"/>
                <w:color w:val="000000"/>
                <w:sz w:val="22"/>
                <w:szCs w:val="22"/>
              </w:rPr>
              <w:t xml:space="preserve"> 11</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381DF1BE" w14:textId="77777777">
            <w:pPr>
              <w:widowControl w:val="0"/>
              <w:tabs>
                <w:tab w:val="left" w:pos="0"/>
              </w:tabs>
              <w:jc w:val="center"/>
              <w:rPr>
                <w:rFonts w:ascii="Times New Roman" w:hAnsi="Times New Roman"/>
                <w:color w:val="000000"/>
                <w:sz w:val="22"/>
                <w:szCs w:val="22"/>
              </w:rPr>
            </w:pPr>
            <w:r w:rsidRPr="00DA77D3">
              <w:rPr>
                <w:rFonts w:ascii="Times New Roman" w:hAnsi="Times New Roman"/>
                <w:color w:val="000000"/>
                <w:sz w:val="22"/>
                <w:szCs w:val="22"/>
              </w:rPr>
              <w:t>2,634</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6FCFE0C2" w14:textId="77777777">
            <w:pPr>
              <w:widowControl w:val="0"/>
              <w:tabs>
                <w:tab w:val="left" w:pos="0"/>
              </w:tabs>
              <w:jc w:val="center"/>
              <w:rPr>
                <w:rFonts w:ascii="Times New Roman" w:hAnsi="Times New Roman"/>
                <w:color w:val="000000"/>
                <w:sz w:val="22"/>
                <w:szCs w:val="22"/>
              </w:rPr>
            </w:pPr>
            <w:r w:rsidRPr="00DA77D3">
              <w:rPr>
                <w:rFonts w:ascii="Times New Roman" w:hAnsi="Times New Roman"/>
                <w:color w:val="000000"/>
                <w:sz w:val="22"/>
                <w:szCs w:val="22"/>
              </w:rPr>
              <w:t>1</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14EE7168"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20/60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1A81713C" w14:textId="77777777">
            <w:pPr>
              <w:widowControl w:val="0"/>
              <w:tabs>
                <w:tab w:val="left" w:pos="0"/>
              </w:tabs>
              <w:jc w:val="right"/>
              <w:rPr>
                <w:rFonts w:ascii="Times New Roman" w:hAnsi="Times New Roman"/>
                <w:color w:val="000000"/>
                <w:sz w:val="22"/>
                <w:szCs w:val="22"/>
              </w:rPr>
            </w:pPr>
            <w:r w:rsidRPr="00DA77D3">
              <w:rPr>
                <w:rFonts w:ascii="Times New Roman" w:hAnsi="Times New Roman"/>
                <w:color w:val="000000"/>
                <w:sz w:val="22"/>
                <w:szCs w:val="22"/>
              </w:rPr>
              <w:t>878</w:t>
            </w:r>
          </w:p>
        </w:tc>
      </w:tr>
      <w:tr w:rsidRPr="00DA77D3" w:rsidR="00DA77D3" w:rsidTr="00781837" w14:paraId="6AFEEE34" w14:textId="77777777">
        <w:trPr>
          <w:trHeight w:val="647"/>
        </w:trPr>
        <w:tc>
          <w:tcPr>
            <w:tcW w:w="19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5A52E955"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 xml:space="preserve">Adolescent </w:t>
            </w:r>
            <w:proofErr w:type="gramStart"/>
            <w:r w:rsidRPr="00DA77D3">
              <w:rPr>
                <w:rFonts w:ascii="Times New Roman" w:hAnsi="Times New Roman"/>
                <w:color w:val="000000"/>
                <w:sz w:val="22"/>
                <w:szCs w:val="22"/>
              </w:rPr>
              <w:t xml:space="preserve">15-17 year </w:t>
            </w:r>
            <w:proofErr w:type="spellStart"/>
            <w:r w:rsidRPr="00DA77D3">
              <w:rPr>
                <w:rFonts w:ascii="Times New Roman" w:hAnsi="Times New Roman"/>
                <w:color w:val="000000"/>
                <w:sz w:val="22"/>
                <w:szCs w:val="22"/>
              </w:rPr>
              <w:t>olds</w:t>
            </w:r>
            <w:proofErr w:type="spellEnd"/>
            <w:proofErr w:type="gramEnd"/>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39CE43F6"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Adolescent Survey</w:t>
            </w:r>
          </w:p>
          <w:p w:rsidRPr="00DA77D3" w:rsidR="00DA77D3" w:rsidP="00781837" w:rsidRDefault="00DA77D3" w14:paraId="3912054A" w14:textId="77777777">
            <w:pPr>
              <w:widowControl w:val="0"/>
              <w:tabs>
                <w:tab w:val="left" w:pos="0"/>
              </w:tabs>
              <w:rPr>
                <w:rFonts w:ascii="Times New Roman" w:hAnsi="Times New Roman"/>
                <w:color w:val="000000"/>
                <w:sz w:val="22"/>
                <w:szCs w:val="22"/>
              </w:rPr>
            </w:pPr>
            <w:proofErr w:type="spellStart"/>
            <w:r w:rsidRPr="00DA77D3">
              <w:rPr>
                <w:rFonts w:ascii="Times New Roman" w:hAnsi="Times New Roman"/>
                <w:color w:val="000000"/>
                <w:sz w:val="22"/>
                <w:szCs w:val="22"/>
              </w:rPr>
              <w:t>Att</w:t>
            </w:r>
            <w:proofErr w:type="spellEnd"/>
            <w:r w:rsidRPr="00DA77D3">
              <w:rPr>
                <w:rFonts w:ascii="Times New Roman" w:hAnsi="Times New Roman"/>
                <w:color w:val="000000"/>
                <w:sz w:val="22"/>
                <w:szCs w:val="22"/>
              </w:rPr>
              <w:t xml:space="preserve"> 10</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0361C852" w14:textId="77777777">
            <w:pPr>
              <w:widowControl w:val="0"/>
              <w:tabs>
                <w:tab w:val="left" w:pos="0"/>
              </w:tabs>
              <w:jc w:val="center"/>
              <w:rPr>
                <w:rFonts w:ascii="Times New Roman" w:hAnsi="Times New Roman"/>
                <w:color w:val="000000"/>
                <w:sz w:val="22"/>
                <w:szCs w:val="22"/>
              </w:rPr>
            </w:pPr>
            <w:r w:rsidRPr="00DA77D3">
              <w:rPr>
                <w:rFonts w:ascii="Times New Roman" w:hAnsi="Times New Roman"/>
                <w:color w:val="000000"/>
                <w:sz w:val="22"/>
                <w:szCs w:val="22"/>
              </w:rPr>
              <w:t>900</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594E9C7F" w14:textId="77777777">
            <w:pPr>
              <w:widowControl w:val="0"/>
              <w:tabs>
                <w:tab w:val="left" w:pos="0"/>
              </w:tabs>
              <w:jc w:val="center"/>
              <w:rPr>
                <w:rFonts w:ascii="Times New Roman" w:hAnsi="Times New Roman"/>
                <w:color w:val="000000"/>
                <w:sz w:val="22"/>
                <w:szCs w:val="22"/>
              </w:rPr>
            </w:pPr>
            <w:r w:rsidRPr="00DA77D3">
              <w:rPr>
                <w:rFonts w:ascii="Times New Roman" w:hAnsi="Times New Roman"/>
                <w:color w:val="000000"/>
                <w:sz w:val="22"/>
                <w:szCs w:val="22"/>
              </w:rPr>
              <w:t>1</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37D6A282"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20/60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7D3" w:rsidR="00DA77D3" w:rsidP="00781837" w:rsidRDefault="00DA77D3" w14:paraId="40251E0F" w14:textId="77777777">
            <w:pPr>
              <w:widowControl w:val="0"/>
              <w:tabs>
                <w:tab w:val="left" w:pos="0"/>
              </w:tabs>
              <w:jc w:val="right"/>
              <w:rPr>
                <w:rFonts w:ascii="Times New Roman" w:hAnsi="Times New Roman"/>
                <w:color w:val="000000"/>
                <w:sz w:val="22"/>
                <w:szCs w:val="22"/>
              </w:rPr>
            </w:pPr>
            <w:r w:rsidRPr="00DA77D3">
              <w:rPr>
                <w:rFonts w:ascii="Times New Roman" w:hAnsi="Times New Roman"/>
                <w:color w:val="000000"/>
                <w:sz w:val="22"/>
                <w:szCs w:val="22"/>
              </w:rPr>
              <w:t>300</w:t>
            </w:r>
          </w:p>
        </w:tc>
      </w:tr>
      <w:tr w:rsidRPr="00DA77D3" w:rsidR="00DA77D3" w:rsidTr="00781837" w14:paraId="59F6985E" w14:textId="77777777">
        <w:trPr>
          <w:trHeight w:val="647"/>
        </w:trPr>
        <w:tc>
          <w:tcPr>
            <w:tcW w:w="197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DA77D3" w:rsidR="00DA77D3" w:rsidP="00781837" w:rsidRDefault="00DA77D3" w14:paraId="5105290A"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 xml:space="preserve">Adolescent </w:t>
            </w:r>
            <w:proofErr w:type="gramStart"/>
            <w:r w:rsidRPr="00DA77D3">
              <w:rPr>
                <w:rFonts w:ascii="Times New Roman" w:hAnsi="Times New Roman"/>
                <w:color w:val="000000"/>
                <w:sz w:val="22"/>
                <w:szCs w:val="22"/>
              </w:rPr>
              <w:t xml:space="preserve">18-19 year </w:t>
            </w:r>
            <w:proofErr w:type="spellStart"/>
            <w:r w:rsidRPr="00DA77D3">
              <w:rPr>
                <w:rFonts w:ascii="Times New Roman" w:hAnsi="Times New Roman"/>
                <w:color w:val="000000"/>
                <w:sz w:val="22"/>
                <w:szCs w:val="22"/>
              </w:rPr>
              <w:t>olds</w:t>
            </w:r>
            <w:proofErr w:type="spellEnd"/>
            <w:proofErr w:type="gramEnd"/>
          </w:p>
        </w:tc>
        <w:tc>
          <w:tcPr>
            <w:tcW w:w="171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DA77D3" w:rsidR="00DA77D3" w:rsidP="00781837" w:rsidRDefault="00DA77D3" w14:paraId="4E04510E"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Adolescent Survey</w:t>
            </w:r>
          </w:p>
          <w:p w:rsidRPr="00DA77D3" w:rsidR="00DA77D3" w:rsidP="00781837" w:rsidRDefault="00DA77D3" w14:paraId="16A6598F" w14:textId="77777777">
            <w:pPr>
              <w:widowControl w:val="0"/>
              <w:tabs>
                <w:tab w:val="left" w:pos="0"/>
              </w:tabs>
              <w:rPr>
                <w:rFonts w:ascii="Times New Roman" w:hAnsi="Times New Roman"/>
                <w:color w:val="000000"/>
                <w:sz w:val="22"/>
                <w:szCs w:val="22"/>
              </w:rPr>
            </w:pPr>
            <w:proofErr w:type="spellStart"/>
            <w:r w:rsidRPr="00DA77D3">
              <w:rPr>
                <w:rFonts w:ascii="Times New Roman" w:hAnsi="Times New Roman"/>
                <w:color w:val="000000"/>
                <w:sz w:val="22"/>
                <w:szCs w:val="22"/>
              </w:rPr>
              <w:t>Att</w:t>
            </w:r>
            <w:proofErr w:type="spellEnd"/>
            <w:r w:rsidRPr="00DA77D3">
              <w:rPr>
                <w:rFonts w:ascii="Times New Roman" w:hAnsi="Times New Roman"/>
                <w:color w:val="000000"/>
                <w:sz w:val="22"/>
                <w:szCs w:val="22"/>
              </w:rPr>
              <w:t xml:space="preserve"> 10</w:t>
            </w:r>
          </w:p>
        </w:tc>
        <w:tc>
          <w:tcPr>
            <w:tcW w:w="189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DA77D3" w:rsidR="00DA77D3" w:rsidP="00781837" w:rsidRDefault="00DA77D3" w14:paraId="06C683C4" w14:textId="77777777">
            <w:pPr>
              <w:widowControl w:val="0"/>
              <w:tabs>
                <w:tab w:val="left" w:pos="0"/>
              </w:tabs>
              <w:jc w:val="center"/>
              <w:rPr>
                <w:rFonts w:ascii="Times New Roman" w:hAnsi="Times New Roman"/>
                <w:color w:val="000000"/>
                <w:sz w:val="22"/>
                <w:szCs w:val="22"/>
              </w:rPr>
            </w:pPr>
            <w:r w:rsidRPr="00DA77D3">
              <w:rPr>
                <w:rFonts w:ascii="Times New Roman" w:hAnsi="Times New Roman"/>
                <w:color w:val="000000"/>
                <w:sz w:val="22"/>
                <w:szCs w:val="22"/>
              </w:rPr>
              <w:t>600</w:t>
            </w:r>
          </w:p>
        </w:tc>
        <w:tc>
          <w:tcPr>
            <w:tcW w:w="171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DA77D3" w:rsidR="00DA77D3" w:rsidP="00781837" w:rsidRDefault="00DA77D3" w14:paraId="08B9AE41" w14:textId="77777777">
            <w:pPr>
              <w:widowControl w:val="0"/>
              <w:tabs>
                <w:tab w:val="left" w:pos="0"/>
              </w:tabs>
              <w:jc w:val="center"/>
              <w:rPr>
                <w:rFonts w:ascii="Times New Roman" w:hAnsi="Times New Roman"/>
                <w:color w:val="000000"/>
                <w:sz w:val="22"/>
                <w:szCs w:val="22"/>
              </w:rPr>
            </w:pPr>
            <w:r w:rsidRPr="00DA77D3">
              <w:rPr>
                <w:rFonts w:ascii="Times New Roman" w:hAnsi="Times New Roman"/>
                <w:color w:val="000000"/>
                <w:sz w:val="22"/>
                <w:szCs w:val="22"/>
              </w:rPr>
              <w:t>1</w:t>
            </w:r>
          </w:p>
        </w:tc>
        <w:tc>
          <w:tcPr>
            <w:tcW w:w="144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DA77D3" w:rsidR="00DA77D3" w:rsidP="00781837" w:rsidRDefault="00DA77D3" w14:paraId="565EA1FE"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20/60</w:t>
            </w:r>
          </w:p>
        </w:tc>
        <w:tc>
          <w:tcPr>
            <w:tcW w:w="126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DA77D3" w:rsidR="00DA77D3" w:rsidP="00781837" w:rsidRDefault="00DA77D3" w14:paraId="077977D3" w14:textId="77777777">
            <w:pPr>
              <w:widowControl w:val="0"/>
              <w:tabs>
                <w:tab w:val="left" w:pos="0"/>
              </w:tabs>
              <w:jc w:val="right"/>
              <w:rPr>
                <w:rFonts w:ascii="Times New Roman" w:hAnsi="Times New Roman"/>
                <w:color w:val="000000"/>
                <w:sz w:val="22"/>
                <w:szCs w:val="22"/>
              </w:rPr>
            </w:pPr>
            <w:r w:rsidRPr="00DA77D3">
              <w:rPr>
                <w:rFonts w:ascii="Times New Roman" w:hAnsi="Times New Roman"/>
                <w:color w:val="000000"/>
                <w:sz w:val="22"/>
                <w:szCs w:val="22"/>
              </w:rPr>
              <w:t>200</w:t>
            </w:r>
          </w:p>
        </w:tc>
      </w:tr>
      <w:tr w:rsidRPr="00DA77D3" w:rsidR="00DA77D3" w:rsidTr="00781837" w14:paraId="28DB9AD3" w14:textId="77777777">
        <w:trPr>
          <w:trHeight w:val="647"/>
        </w:trPr>
        <w:tc>
          <w:tcPr>
            <w:tcW w:w="1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A77D3" w:rsidR="00DA77D3" w:rsidP="00781837" w:rsidRDefault="00DA77D3" w14:paraId="64402942" w14:textId="77777777">
            <w:pPr>
              <w:widowControl w:val="0"/>
              <w:tabs>
                <w:tab w:val="left" w:pos="0"/>
              </w:tabs>
              <w:rPr>
                <w:rFonts w:ascii="Times New Roman" w:hAnsi="Times New Roman"/>
                <w:color w:val="000000"/>
                <w:sz w:val="22"/>
                <w:szCs w:val="22"/>
              </w:rPr>
            </w:pPr>
            <w:r w:rsidRPr="00DA77D3">
              <w:rPr>
                <w:rFonts w:ascii="Times New Roman" w:hAnsi="Times New Roman"/>
                <w:color w:val="000000"/>
                <w:sz w:val="22"/>
                <w:szCs w:val="22"/>
              </w:rPr>
              <w:t>Totals</w:t>
            </w:r>
          </w:p>
        </w:tc>
        <w:tc>
          <w:tcPr>
            <w:tcW w:w="17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A77D3" w:rsidR="00DA77D3" w:rsidP="00781837" w:rsidRDefault="00DA77D3" w14:paraId="0C7BC463" w14:textId="77777777">
            <w:pPr>
              <w:widowControl w:val="0"/>
              <w:tabs>
                <w:tab w:val="left" w:pos="0"/>
              </w:tabs>
              <w:rPr>
                <w:rFonts w:ascii="Times New Roman" w:hAnsi="Times New Roman"/>
                <w:color w:val="000000"/>
                <w:sz w:val="22"/>
                <w:szCs w:val="22"/>
              </w:rPr>
            </w:pP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A77D3" w:rsidR="00DA77D3" w:rsidP="00781837" w:rsidRDefault="00DA77D3" w14:paraId="0329C3AA" w14:textId="77777777">
            <w:pPr>
              <w:widowControl w:val="0"/>
              <w:tabs>
                <w:tab w:val="left" w:pos="0"/>
              </w:tabs>
              <w:rPr>
                <w:rFonts w:ascii="Times New Roman" w:hAnsi="Times New Roman"/>
                <w:color w:val="000000"/>
                <w:sz w:val="22"/>
                <w:szCs w:val="22"/>
              </w:rPr>
            </w:pPr>
          </w:p>
        </w:tc>
        <w:tc>
          <w:tcPr>
            <w:tcW w:w="17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A77D3" w:rsidR="00DA77D3" w:rsidP="00781837" w:rsidRDefault="00DA77D3" w14:paraId="7443FEFC" w14:textId="77777777">
            <w:pPr>
              <w:widowControl w:val="0"/>
              <w:tabs>
                <w:tab w:val="left" w:pos="0"/>
              </w:tabs>
              <w:rPr>
                <w:rFonts w:ascii="Times New Roman" w:hAnsi="Times New Roman"/>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A77D3" w:rsidR="00DA77D3" w:rsidP="00781837" w:rsidRDefault="00DA77D3" w14:paraId="6F9A0C85" w14:textId="77777777">
            <w:pPr>
              <w:widowControl w:val="0"/>
              <w:tabs>
                <w:tab w:val="left" w:pos="0"/>
              </w:tabs>
              <w:rPr>
                <w:rFonts w:ascii="Times New Roman" w:hAnsi="Times New Roman"/>
                <w:color w:val="000000"/>
                <w:sz w:val="22"/>
                <w:szCs w:val="22"/>
              </w:rPr>
            </w:pP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A77D3" w:rsidR="00DA77D3" w:rsidP="00781837" w:rsidRDefault="00DA77D3" w14:paraId="03DF4EB8" w14:textId="77777777">
            <w:pPr>
              <w:widowControl w:val="0"/>
              <w:tabs>
                <w:tab w:val="left" w:pos="0"/>
              </w:tabs>
              <w:jc w:val="right"/>
              <w:rPr>
                <w:rFonts w:ascii="Times New Roman" w:hAnsi="Times New Roman"/>
                <w:color w:val="000000"/>
                <w:sz w:val="22"/>
                <w:szCs w:val="22"/>
              </w:rPr>
            </w:pPr>
            <w:r w:rsidRPr="00DA77D3">
              <w:rPr>
                <w:rFonts w:ascii="Times New Roman" w:hAnsi="Times New Roman"/>
                <w:color w:val="000000"/>
                <w:sz w:val="22"/>
                <w:szCs w:val="22"/>
              </w:rPr>
              <w:t>1,378</w:t>
            </w:r>
          </w:p>
        </w:tc>
      </w:tr>
    </w:tbl>
    <w:p w:rsidR="00DA77D3" w:rsidP="00186F1E" w:rsidRDefault="00DA77D3" w14:paraId="1E3219C1" w14:textId="0312D57D">
      <w:pPr>
        <w:autoSpaceDE/>
        <w:autoSpaceDN/>
        <w:adjustRightInd/>
        <w:spacing w:after="160" w:line="259" w:lineRule="auto"/>
        <w:rPr>
          <w:rFonts w:ascii="Calibri" w:hAnsi="Calibri" w:cs="Calibri"/>
          <w:b/>
          <w:snapToGrid w:val="0"/>
          <w:sz w:val="22"/>
          <w:szCs w:val="22"/>
        </w:rPr>
      </w:pPr>
    </w:p>
    <w:p w:rsidR="00E05788" w:rsidP="00186F1E" w:rsidRDefault="00E05788" w14:paraId="503DB263" w14:textId="77777777">
      <w:pPr>
        <w:tabs>
          <w:tab w:val="left" w:pos="0"/>
        </w:tabs>
        <w:rPr>
          <w:rFonts w:ascii="Calibri" w:hAnsi="Calibri" w:cs="Calibri"/>
          <w:b/>
          <w:bCs/>
          <w:sz w:val="22"/>
          <w:szCs w:val="22"/>
        </w:rPr>
      </w:pPr>
      <w:bookmarkStart w:name="_Toc50987046" w:id="21"/>
    </w:p>
    <w:p w:rsidRPr="00186F1E" w:rsidR="00186F1E" w:rsidP="00186F1E" w:rsidRDefault="00186F1E" w14:paraId="772936E9" w14:textId="20F77484">
      <w:pPr>
        <w:tabs>
          <w:tab w:val="left" w:pos="0"/>
        </w:tabs>
        <w:rPr>
          <w:rFonts w:ascii="Calibri" w:hAnsi="Calibri" w:cs="Calibri"/>
          <w:b/>
          <w:bCs/>
          <w:sz w:val="22"/>
          <w:szCs w:val="22"/>
        </w:rPr>
      </w:pPr>
      <w:r w:rsidRPr="00186F1E">
        <w:rPr>
          <w:rFonts w:ascii="Calibri" w:hAnsi="Calibri" w:cs="Calibri"/>
          <w:b/>
          <w:bCs/>
          <w:sz w:val="22"/>
          <w:szCs w:val="22"/>
        </w:rPr>
        <w:t xml:space="preserve">A.12.B Estimated Annualized Costs </w:t>
      </w:r>
    </w:p>
    <w:p w:rsidRPr="00186F1E" w:rsidR="007531EB" w:rsidP="007531EB" w:rsidRDefault="007531EB" w14:paraId="68E62B68" w14:textId="15E2EC73">
      <w:pPr>
        <w:autoSpaceDE/>
        <w:autoSpaceDN/>
        <w:adjustRightInd/>
        <w:spacing w:before="240" w:after="200" w:line="360" w:lineRule="auto"/>
        <w:rPr>
          <w:rFonts w:ascii="Times New Roman" w:hAnsi="Times New Roman" w:eastAsiaTheme="minorEastAsia"/>
          <w:sz w:val="22"/>
          <w:szCs w:val="22"/>
        </w:rPr>
      </w:pPr>
      <w:r w:rsidRPr="00186F1E">
        <w:rPr>
          <w:rFonts w:ascii="Times New Roman" w:hAnsi="Times New Roman" w:eastAsiaTheme="minorEastAsia"/>
          <w:sz w:val="22"/>
          <w:szCs w:val="22"/>
        </w:rPr>
        <w:t xml:space="preserve">The annualized wages are based on data from the United States Department of Labor, Bureau of Labor Statistics (2019) </w:t>
      </w:r>
      <w:r w:rsidRPr="00186F1E">
        <w:rPr>
          <w:rFonts w:ascii="Times New Roman" w:hAnsi="Times New Roman" w:eastAsia="Calibri"/>
          <w:sz w:val="22"/>
          <w:szCs w:val="22"/>
        </w:rPr>
        <w:t xml:space="preserve">(https://www.bls.gov/oes/current/naics4_611100.htm ) </w:t>
      </w:r>
      <w:r w:rsidRPr="00186F1E">
        <w:rPr>
          <w:rFonts w:ascii="Times New Roman" w:hAnsi="Times New Roman" w:eastAsiaTheme="minorEastAsia"/>
          <w:sz w:val="22"/>
          <w:szCs w:val="22"/>
        </w:rPr>
        <w:t>for state, local, and private industry earning and assumes an average hourly wage rate for respondents who work an estimated 40-hour work week and usual hourly earnings of $25.72.</w:t>
      </w:r>
      <w:r w:rsidRPr="00186F1E">
        <w:rPr>
          <w:rFonts w:ascii="Times New Roman" w:hAnsi="Times New Roman" w:eastAsiaTheme="minorEastAsia"/>
          <w:sz w:val="22"/>
          <w:szCs w:val="22"/>
          <w:vertAlign w:val="superscript"/>
        </w:rPr>
        <w:footnoteReference w:id="1"/>
      </w:r>
      <w:r w:rsidRPr="00186F1E">
        <w:rPr>
          <w:rFonts w:ascii="Times New Roman" w:hAnsi="Times New Roman" w:eastAsiaTheme="minorEastAsia"/>
          <w:sz w:val="22"/>
          <w:szCs w:val="22"/>
        </w:rPr>
        <w:t xml:space="preserve"> </w:t>
      </w:r>
    </w:p>
    <w:p w:rsidRPr="00186F1E" w:rsidR="00186F1E" w:rsidP="00186F1E" w:rsidRDefault="00186F1E" w14:paraId="2B70C164" w14:textId="77777777">
      <w:pPr>
        <w:autoSpaceDE/>
        <w:autoSpaceDN/>
        <w:adjustRightInd/>
        <w:rPr>
          <w:rFonts w:ascii="Times New Roman" w:hAnsi="Times New Roman" w:eastAsia="Calibri"/>
          <w:sz w:val="22"/>
          <w:szCs w:val="22"/>
          <w:u w:val="single"/>
        </w:rPr>
      </w:pPr>
    </w:p>
    <w:tbl>
      <w:tblPr>
        <w:tblW w:w="5000" w:type="pct"/>
        <w:tblCellMar>
          <w:left w:w="0" w:type="dxa"/>
          <w:right w:w="0" w:type="dxa"/>
        </w:tblCellMar>
        <w:tblLook w:val="04A0" w:firstRow="1" w:lastRow="0" w:firstColumn="1" w:lastColumn="0" w:noHBand="0" w:noVBand="1"/>
      </w:tblPr>
      <w:tblGrid>
        <w:gridCol w:w="1878"/>
        <w:gridCol w:w="1646"/>
        <w:gridCol w:w="1959"/>
        <w:gridCol w:w="1339"/>
        <w:gridCol w:w="1311"/>
        <w:gridCol w:w="1207"/>
      </w:tblGrid>
      <w:tr w:rsidRPr="00186F1E" w:rsidR="00186F1E" w:rsidTr="00D82C69" w14:paraId="0DCAE089" w14:textId="77777777">
        <w:trPr>
          <w:trHeight w:val="647"/>
        </w:trPr>
        <w:tc>
          <w:tcPr>
            <w:tcW w:w="100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86F1E" w:rsidR="00186F1E" w:rsidP="00186F1E" w:rsidRDefault="00186F1E" w14:paraId="1FB7DBDE" w14:textId="77777777">
            <w:pPr>
              <w:autoSpaceDE/>
              <w:autoSpaceDN/>
              <w:adjustRightInd/>
              <w:rPr>
                <w:rFonts w:ascii="Times New Roman" w:hAnsi="Times New Roman" w:eastAsia="Calibri"/>
                <w:b/>
                <w:bCs/>
                <w:sz w:val="22"/>
                <w:szCs w:val="22"/>
              </w:rPr>
            </w:pPr>
            <w:r w:rsidRPr="00186F1E">
              <w:rPr>
                <w:rFonts w:ascii="Times New Roman" w:hAnsi="Times New Roman" w:eastAsia="Calibri"/>
                <w:b/>
                <w:bCs/>
                <w:sz w:val="22"/>
                <w:szCs w:val="22"/>
              </w:rPr>
              <w:t>Type of Respondents</w:t>
            </w:r>
          </w:p>
        </w:tc>
        <w:tc>
          <w:tcPr>
            <w:tcW w:w="88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86F1E" w:rsidR="00186F1E" w:rsidP="00186F1E" w:rsidRDefault="00186F1E" w14:paraId="6B7A9283" w14:textId="77777777">
            <w:pPr>
              <w:autoSpaceDE/>
              <w:autoSpaceDN/>
              <w:adjustRightInd/>
              <w:rPr>
                <w:rFonts w:ascii="Times New Roman" w:hAnsi="Times New Roman" w:eastAsia="Calibri"/>
                <w:b/>
                <w:bCs/>
                <w:sz w:val="22"/>
                <w:szCs w:val="22"/>
              </w:rPr>
            </w:pPr>
            <w:r w:rsidRPr="00186F1E">
              <w:rPr>
                <w:rFonts w:ascii="Times New Roman" w:hAnsi="Times New Roman" w:eastAsia="Calibri"/>
                <w:b/>
                <w:bCs/>
                <w:sz w:val="22"/>
                <w:szCs w:val="22"/>
              </w:rPr>
              <w:t>Form Name</w:t>
            </w:r>
          </w:p>
        </w:tc>
        <w:tc>
          <w:tcPr>
            <w:tcW w:w="104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86F1E" w:rsidR="00186F1E" w:rsidP="00186F1E" w:rsidRDefault="00186F1E" w14:paraId="585394A3" w14:textId="77777777">
            <w:pPr>
              <w:autoSpaceDE/>
              <w:autoSpaceDN/>
              <w:adjustRightInd/>
              <w:rPr>
                <w:rFonts w:ascii="Times New Roman" w:hAnsi="Times New Roman" w:eastAsia="Calibri"/>
                <w:b/>
                <w:bCs/>
                <w:sz w:val="22"/>
                <w:szCs w:val="22"/>
              </w:rPr>
            </w:pPr>
            <w:r w:rsidRPr="00186F1E">
              <w:rPr>
                <w:rFonts w:ascii="Times New Roman" w:hAnsi="Times New Roman" w:eastAsia="Calibri"/>
                <w:b/>
                <w:bCs/>
                <w:sz w:val="22"/>
                <w:szCs w:val="22"/>
              </w:rPr>
              <w:t>No. of Respondents</w:t>
            </w:r>
          </w:p>
        </w:tc>
        <w:tc>
          <w:tcPr>
            <w:tcW w:w="71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86F1E" w:rsidR="00186F1E" w:rsidP="00186F1E" w:rsidRDefault="00186F1E" w14:paraId="197A2488" w14:textId="77777777">
            <w:pPr>
              <w:autoSpaceDE/>
              <w:autoSpaceDN/>
              <w:adjustRightInd/>
              <w:rPr>
                <w:rFonts w:ascii="Times New Roman" w:hAnsi="Times New Roman" w:eastAsia="Calibri"/>
                <w:b/>
                <w:bCs/>
                <w:sz w:val="22"/>
                <w:szCs w:val="22"/>
              </w:rPr>
            </w:pPr>
            <w:r w:rsidRPr="00186F1E">
              <w:rPr>
                <w:rFonts w:ascii="Times New Roman" w:hAnsi="Times New Roman" w:eastAsia="Calibri"/>
                <w:b/>
                <w:bCs/>
                <w:sz w:val="22"/>
                <w:szCs w:val="22"/>
              </w:rPr>
              <w:t>Total Burden</w:t>
            </w:r>
          </w:p>
          <w:p w:rsidRPr="00186F1E" w:rsidR="00186F1E" w:rsidP="00186F1E" w:rsidRDefault="00186F1E" w14:paraId="7DD83DC9" w14:textId="77777777">
            <w:pPr>
              <w:autoSpaceDE/>
              <w:autoSpaceDN/>
              <w:adjustRightInd/>
              <w:rPr>
                <w:rFonts w:ascii="Times New Roman" w:hAnsi="Times New Roman" w:eastAsia="Calibri"/>
                <w:b/>
                <w:bCs/>
                <w:sz w:val="22"/>
                <w:szCs w:val="22"/>
              </w:rPr>
            </w:pPr>
            <w:r w:rsidRPr="00186F1E">
              <w:rPr>
                <w:rFonts w:ascii="Times New Roman" w:hAnsi="Times New Roman" w:eastAsia="Calibri"/>
                <w:b/>
                <w:bCs/>
                <w:sz w:val="22"/>
                <w:szCs w:val="22"/>
              </w:rPr>
              <w:t>(in hrs.)</w:t>
            </w:r>
          </w:p>
        </w:tc>
        <w:tc>
          <w:tcPr>
            <w:tcW w:w="70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86F1E" w:rsidR="00186F1E" w:rsidP="00186F1E" w:rsidRDefault="00186F1E" w14:paraId="6BC733B0" w14:textId="77777777">
            <w:pPr>
              <w:autoSpaceDE/>
              <w:autoSpaceDN/>
              <w:adjustRightInd/>
              <w:rPr>
                <w:rFonts w:ascii="Times New Roman" w:hAnsi="Times New Roman" w:eastAsia="Calibri"/>
                <w:b/>
                <w:bCs/>
                <w:sz w:val="22"/>
                <w:szCs w:val="22"/>
              </w:rPr>
            </w:pPr>
            <w:r w:rsidRPr="00186F1E">
              <w:rPr>
                <w:rFonts w:ascii="Times New Roman" w:hAnsi="Times New Roman" w:eastAsia="Calibri"/>
                <w:b/>
                <w:bCs/>
                <w:sz w:val="22"/>
                <w:szCs w:val="22"/>
              </w:rPr>
              <w:t>Hourly Wage Rate</w:t>
            </w:r>
          </w:p>
        </w:tc>
        <w:tc>
          <w:tcPr>
            <w:tcW w:w="64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86F1E" w:rsidR="00186F1E" w:rsidP="00186F1E" w:rsidRDefault="00186F1E" w14:paraId="5416E7E3" w14:textId="77777777">
            <w:pPr>
              <w:autoSpaceDE/>
              <w:autoSpaceDN/>
              <w:adjustRightInd/>
              <w:rPr>
                <w:rFonts w:ascii="Times New Roman" w:hAnsi="Times New Roman" w:eastAsia="Calibri"/>
                <w:b/>
                <w:bCs/>
                <w:sz w:val="22"/>
                <w:szCs w:val="22"/>
              </w:rPr>
            </w:pPr>
            <w:r w:rsidRPr="00186F1E">
              <w:rPr>
                <w:rFonts w:ascii="Times New Roman" w:hAnsi="Times New Roman" w:eastAsia="Calibri"/>
                <w:b/>
                <w:bCs/>
                <w:sz w:val="22"/>
                <w:szCs w:val="22"/>
              </w:rPr>
              <w:t>Total Cost</w:t>
            </w:r>
          </w:p>
        </w:tc>
      </w:tr>
      <w:tr w:rsidRPr="00186F1E" w:rsidR="00E05788" w:rsidTr="00D82C69" w14:paraId="1055AA04" w14:textId="77777777">
        <w:trPr>
          <w:trHeight w:val="647"/>
        </w:trPr>
        <w:tc>
          <w:tcPr>
            <w:tcW w:w="100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00AFE7C7"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lastRenderedPageBreak/>
              <w:t xml:space="preserve">Parents/Caregivers of </w:t>
            </w:r>
            <w:proofErr w:type="gramStart"/>
            <w:r w:rsidRPr="00186F1E">
              <w:rPr>
                <w:rFonts w:ascii="Times New Roman" w:hAnsi="Times New Roman" w:eastAsia="Calibri"/>
                <w:sz w:val="22"/>
                <w:szCs w:val="22"/>
              </w:rPr>
              <w:t xml:space="preserve">15-17 year </w:t>
            </w:r>
            <w:proofErr w:type="spellStart"/>
            <w:r w:rsidRPr="00186F1E">
              <w:rPr>
                <w:rFonts w:ascii="Times New Roman" w:hAnsi="Times New Roman" w:eastAsia="Calibri"/>
                <w:sz w:val="22"/>
                <w:szCs w:val="22"/>
              </w:rPr>
              <w:t>olds</w:t>
            </w:r>
            <w:proofErr w:type="spellEnd"/>
            <w:proofErr w:type="gramEnd"/>
          </w:p>
        </w:tc>
        <w:tc>
          <w:tcPr>
            <w:tcW w:w="881"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775B62D4"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t>Adult/Caregiver Survey</w:t>
            </w:r>
          </w:p>
        </w:tc>
        <w:tc>
          <w:tcPr>
            <w:tcW w:w="104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07EB5F4C" w14:textId="77777777">
            <w:pPr>
              <w:autoSpaceDE/>
              <w:autoSpaceDN/>
              <w:adjustRightInd/>
              <w:rPr>
                <w:rFonts w:ascii="Times New Roman" w:hAnsi="Times New Roman" w:eastAsia="Calibri"/>
                <w:sz w:val="22"/>
                <w:szCs w:val="22"/>
              </w:rPr>
            </w:pPr>
            <w:r w:rsidRPr="00186F1E">
              <w:rPr>
                <w:rFonts w:ascii="Times New Roman" w:hAnsi="Times New Roman" w:eastAsia="Calibri"/>
                <w:color w:val="000000"/>
                <w:sz w:val="22"/>
                <w:szCs w:val="22"/>
              </w:rPr>
              <w:t>2,634</w:t>
            </w:r>
          </w:p>
        </w:tc>
        <w:tc>
          <w:tcPr>
            <w:tcW w:w="71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6BB3A46C" w14:textId="016A5133">
            <w:pPr>
              <w:autoSpaceDE/>
              <w:autoSpaceDN/>
              <w:adjustRightInd/>
              <w:rPr>
                <w:rFonts w:ascii="Times New Roman" w:hAnsi="Times New Roman" w:eastAsia="Calibri"/>
                <w:sz w:val="22"/>
                <w:szCs w:val="22"/>
              </w:rPr>
            </w:pPr>
            <w:r w:rsidRPr="00DA77D3">
              <w:rPr>
                <w:rFonts w:ascii="Times New Roman" w:hAnsi="Times New Roman"/>
                <w:color w:val="000000"/>
                <w:sz w:val="22"/>
                <w:szCs w:val="22"/>
              </w:rPr>
              <w:t>878</w:t>
            </w:r>
          </w:p>
        </w:tc>
        <w:tc>
          <w:tcPr>
            <w:tcW w:w="70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65B7BDD1"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t>$25.72</w:t>
            </w:r>
          </w:p>
        </w:tc>
        <w:tc>
          <w:tcPr>
            <w:tcW w:w="646"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54F9DB0F" w14:textId="0405B696">
            <w:pPr>
              <w:autoSpaceDE/>
              <w:autoSpaceDN/>
              <w:adjustRightInd/>
              <w:rPr>
                <w:rFonts w:ascii="Times New Roman" w:hAnsi="Times New Roman" w:eastAsia="Calibri"/>
                <w:sz w:val="22"/>
                <w:szCs w:val="22"/>
              </w:rPr>
            </w:pPr>
            <w:r w:rsidRPr="00186F1E">
              <w:rPr>
                <w:rFonts w:ascii="Times New Roman" w:hAnsi="Times New Roman"/>
                <w:color w:val="000000"/>
                <w:sz w:val="22"/>
              </w:rPr>
              <w:t>$</w:t>
            </w:r>
            <w:r w:rsidR="00A701F4">
              <w:rPr>
                <w:rFonts w:ascii="Times New Roman" w:hAnsi="Times New Roman"/>
                <w:color w:val="000000"/>
                <w:sz w:val="22"/>
              </w:rPr>
              <w:t>22,812.16</w:t>
            </w:r>
            <w:r w:rsidRPr="00186F1E">
              <w:rPr>
                <w:rFonts w:ascii="Times New Roman" w:hAnsi="Times New Roman"/>
                <w:color w:val="000000"/>
                <w:sz w:val="22"/>
                <w:szCs w:val="22"/>
              </w:rPr>
              <w:t xml:space="preserve"> </w:t>
            </w:r>
          </w:p>
        </w:tc>
      </w:tr>
      <w:tr w:rsidRPr="00186F1E" w:rsidR="00E05788" w:rsidTr="00D82C69" w14:paraId="38CC93D2" w14:textId="77777777">
        <w:trPr>
          <w:trHeight w:val="647"/>
        </w:trPr>
        <w:tc>
          <w:tcPr>
            <w:tcW w:w="100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21FAB051"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t xml:space="preserve">Adolescent </w:t>
            </w:r>
            <w:proofErr w:type="gramStart"/>
            <w:r w:rsidRPr="00186F1E">
              <w:rPr>
                <w:rFonts w:ascii="Times New Roman" w:hAnsi="Times New Roman" w:eastAsia="Calibri"/>
                <w:sz w:val="22"/>
                <w:szCs w:val="22"/>
              </w:rPr>
              <w:t xml:space="preserve">15-17 year </w:t>
            </w:r>
            <w:proofErr w:type="spellStart"/>
            <w:r w:rsidRPr="00186F1E">
              <w:rPr>
                <w:rFonts w:ascii="Times New Roman" w:hAnsi="Times New Roman" w:eastAsia="Calibri"/>
                <w:sz w:val="22"/>
                <w:szCs w:val="22"/>
              </w:rPr>
              <w:t>olds</w:t>
            </w:r>
            <w:proofErr w:type="spellEnd"/>
            <w:proofErr w:type="gramEnd"/>
          </w:p>
        </w:tc>
        <w:tc>
          <w:tcPr>
            <w:tcW w:w="881"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294ACFBF"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t>Adolescent Survey</w:t>
            </w:r>
          </w:p>
        </w:tc>
        <w:tc>
          <w:tcPr>
            <w:tcW w:w="104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36108E55" w14:textId="77777777">
            <w:pPr>
              <w:autoSpaceDE/>
              <w:autoSpaceDN/>
              <w:adjustRightInd/>
              <w:rPr>
                <w:rFonts w:ascii="Times New Roman" w:hAnsi="Times New Roman" w:eastAsia="Calibri"/>
                <w:sz w:val="22"/>
                <w:szCs w:val="22"/>
              </w:rPr>
            </w:pPr>
            <w:r w:rsidRPr="00186F1E">
              <w:rPr>
                <w:rFonts w:ascii="Times New Roman" w:hAnsi="Times New Roman" w:eastAsia="Calibri"/>
                <w:color w:val="000000"/>
                <w:sz w:val="22"/>
              </w:rPr>
              <w:t>900</w:t>
            </w:r>
          </w:p>
        </w:tc>
        <w:tc>
          <w:tcPr>
            <w:tcW w:w="71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34311258" w14:textId="0103BAD1">
            <w:pPr>
              <w:autoSpaceDE/>
              <w:autoSpaceDN/>
              <w:adjustRightInd/>
              <w:rPr>
                <w:rFonts w:ascii="Times New Roman" w:hAnsi="Times New Roman" w:eastAsia="Calibri"/>
                <w:sz w:val="22"/>
                <w:szCs w:val="22"/>
              </w:rPr>
            </w:pPr>
            <w:r w:rsidRPr="00DA77D3">
              <w:rPr>
                <w:rFonts w:ascii="Times New Roman" w:hAnsi="Times New Roman"/>
                <w:color w:val="000000"/>
                <w:sz w:val="22"/>
                <w:szCs w:val="22"/>
              </w:rPr>
              <w:t>300</w:t>
            </w:r>
          </w:p>
        </w:tc>
        <w:tc>
          <w:tcPr>
            <w:tcW w:w="70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59998E09"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t>$25.72</w:t>
            </w:r>
          </w:p>
        </w:tc>
        <w:tc>
          <w:tcPr>
            <w:tcW w:w="646"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72EAE7D4" w14:textId="7069C50B">
            <w:pPr>
              <w:autoSpaceDE/>
              <w:autoSpaceDN/>
              <w:adjustRightInd/>
              <w:rPr>
                <w:rFonts w:ascii="Times New Roman" w:hAnsi="Times New Roman" w:eastAsia="Calibri"/>
                <w:sz w:val="22"/>
                <w:szCs w:val="22"/>
              </w:rPr>
            </w:pPr>
            <w:r w:rsidRPr="00186F1E">
              <w:rPr>
                <w:rFonts w:ascii="Times New Roman" w:hAnsi="Times New Roman"/>
                <w:color w:val="000000"/>
                <w:sz w:val="22"/>
              </w:rPr>
              <w:t>$</w:t>
            </w:r>
            <w:r w:rsidR="009E2CE6">
              <w:rPr>
                <w:rFonts w:ascii="Times New Roman" w:hAnsi="Times New Roman"/>
                <w:color w:val="000000"/>
                <w:sz w:val="22"/>
              </w:rPr>
              <w:t>7,716</w:t>
            </w:r>
            <w:r w:rsidR="00164774">
              <w:rPr>
                <w:rFonts w:ascii="Times New Roman" w:hAnsi="Times New Roman"/>
                <w:color w:val="000000"/>
                <w:sz w:val="22"/>
              </w:rPr>
              <w:t>.00</w:t>
            </w:r>
            <w:r w:rsidRPr="00186F1E">
              <w:rPr>
                <w:rFonts w:ascii="Times New Roman" w:hAnsi="Times New Roman"/>
                <w:color w:val="000000"/>
                <w:sz w:val="22"/>
                <w:szCs w:val="22"/>
              </w:rPr>
              <w:t xml:space="preserve"> </w:t>
            </w:r>
          </w:p>
        </w:tc>
      </w:tr>
      <w:tr w:rsidRPr="00186F1E" w:rsidR="00E05788" w:rsidTr="00D82C69" w14:paraId="177683AE" w14:textId="77777777">
        <w:trPr>
          <w:trHeight w:val="647"/>
        </w:trPr>
        <w:tc>
          <w:tcPr>
            <w:tcW w:w="100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43AB0C4E"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t xml:space="preserve">Adolescent </w:t>
            </w:r>
            <w:proofErr w:type="gramStart"/>
            <w:r w:rsidRPr="00186F1E">
              <w:rPr>
                <w:rFonts w:ascii="Times New Roman" w:hAnsi="Times New Roman" w:eastAsia="Calibri"/>
                <w:sz w:val="22"/>
                <w:szCs w:val="22"/>
              </w:rPr>
              <w:t xml:space="preserve">18-19 year </w:t>
            </w:r>
            <w:proofErr w:type="spellStart"/>
            <w:r w:rsidRPr="00186F1E">
              <w:rPr>
                <w:rFonts w:ascii="Times New Roman" w:hAnsi="Times New Roman" w:eastAsia="Calibri"/>
                <w:sz w:val="22"/>
                <w:szCs w:val="22"/>
              </w:rPr>
              <w:t>olds</w:t>
            </w:r>
            <w:proofErr w:type="spellEnd"/>
            <w:proofErr w:type="gramEnd"/>
          </w:p>
        </w:tc>
        <w:tc>
          <w:tcPr>
            <w:tcW w:w="881"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1403F7C9"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t>Adolescent Survey</w:t>
            </w:r>
          </w:p>
        </w:tc>
        <w:tc>
          <w:tcPr>
            <w:tcW w:w="104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77459FA0" w14:textId="77777777">
            <w:pPr>
              <w:autoSpaceDE/>
              <w:autoSpaceDN/>
              <w:adjustRightInd/>
              <w:rPr>
                <w:rFonts w:ascii="Times New Roman" w:hAnsi="Times New Roman" w:eastAsia="Calibri"/>
                <w:sz w:val="22"/>
                <w:szCs w:val="22"/>
              </w:rPr>
            </w:pPr>
            <w:r w:rsidRPr="00186F1E">
              <w:rPr>
                <w:rFonts w:ascii="Times New Roman" w:hAnsi="Times New Roman" w:eastAsia="Calibri"/>
                <w:color w:val="000000"/>
                <w:sz w:val="22"/>
              </w:rPr>
              <w:t>600</w:t>
            </w:r>
          </w:p>
        </w:tc>
        <w:tc>
          <w:tcPr>
            <w:tcW w:w="71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4509B383" w14:textId="520C1F23">
            <w:pPr>
              <w:autoSpaceDE/>
              <w:autoSpaceDN/>
              <w:adjustRightInd/>
              <w:rPr>
                <w:rFonts w:ascii="Times New Roman" w:hAnsi="Times New Roman" w:eastAsia="Calibri"/>
                <w:sz w:val="22"/>
                <w:szCs w:val="22"/>
              </w:rPr>
            </w:pPr>
            <w:r w:rsidRPr="00DA77D3">
              <w:rPr>
                <w:rFonts w:ascii="Times New Roman" w:hAnsi="Times New Roman"/>
                <w:color w:val="000000"/>
                <w:sz w:val="22"/>
                <w:szCs w:val="22"/>
              </w:rPr>
              <w:t>200</w:t>
            </w:r>
          </w:p>
        </w:tc>
        <w:tc>
          <w:tcPr>
            <w:tcW w:w="702"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20388222" w14:textId="77777777">
            <w:pPr>
              <w:autoSpaceDE/>
              <w:autoSpaceDN/>
              <w:adjustRightInd/>
              <w:rPr>
                <w:rFonts w:ascii="Times New Roman" w:hAnsi="Times New Roman" w:eastAsia="Calibri"/>
                <w:sz w:val="22"/>
                <w:szCs w:val="22"/>
              </w:rPr>
            </w:pPr>
            <w:r w:rsidRPr="00186F1E">
              <w:rPr>
                <w:rFonts w:ascii="Times New Roman" w:hAnsi="Times New Roman" w:eastAsia="Calibri"/>
                <w:sz w:val="22"/>
                <w:szCs w:val="22"/>
              </w:rPr>
              <w:t>$25.72</w:t>
            </w:r>
          </w:p>
        </w:tc>
        <w:tc>
          <w:tcPr>
            <w:tcW w:w="646"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86F1E" w:rsidR="00E05788" w:rsidP="00E05788" w:rsidRDefault="00E05788" w14:paraId="32E50827" w14:textId="6E92A7DB">
            <w:pPr>
              <w:autoSpaceDE/>
              <w:autoSpaceDN/>
              <w:adjustRightInd/>
              <w:rPr>
                <w:rFonts w:ascii="Times New Roman" w:hAnsi="Times New Roman" w:eastAsia="Calibri"/>
                <w:sz w:val="22"/>
                <w:szCs w:val="22"/>
              </w:rPr>
            </w:pPr>
            <w:r w:rsidRPr="00186F1E">
              <w:rPr>
                <w:rFonts w:ascii="Times New Roman" w:hAnsi="Times New Roman"/>
                <w:color w:val="000000"/>
                <w:sz w:val="22"/>
              </w:rPr>
              <w:t>$5,</w:t>
            </w:r>
            <w:r w:rsidR="00164774">
              <w:rPr>
                <w:rFonts w:ascii="Times New Roman" w:hAnsi="Times New Roman"/>
                <w:color w:val="000000"/>
                <w:sz w:val="22"/>
              </w:rPr>
              <w:t>144.00</w:t>
            </w:r>
            <w:r w:rsidRPr="00186F1E">
              <w:rPr>
                <w:rFonts w:ascii="Times New Roman" w:hAnsi="Times New Roman"/>
                <w:color w:val="000000"/>
                <w:sz w:val="22"/>
                <w:szCs w:val="22"/>
              </w:rPr>
              <w:t xml:space="preserve"> </w:t>
            </w:r>
          </w:p>
        </w:tc>
      </w:tr>
    </w:tbl>
    <w:p w:rsidRPr="00186F1E" w:rsidR="00186F1E" w:rsidP="00186F1E" w:rsidRDefault="00186F1E" w14:paraId="38A676F0" w14:textId="77777777">
      <w:pPr>
        <w:keepNext/>
        <w:keepLines/>
        <w:spacing w:before="360" w:after="200" w:line="360" w:lineRule="auto"/>
        <w:outlineLvl w:val="1"/>
        <w:rPr>
          <w:rFonts w:ascii="Times New Roman" w:hAnsi="Times New Roman" w:eastAsiaTheme="majorEastAsia"/>
          <w:b/>
          <w:sz w:val="24"/>
          <w:szCs w:val="24"/>
        </w:rPr>
      </w:pPr>
      <w:r w:rsidRPr="00186F1E">
        <w:rPr>
          <w:rFonts w:ascii="Times New Roman" w:hAnsi="Times New Roman" w:eastAsiaTheme="majorEastAsia"/>
          <w:b/>
          <w:sz w:val="24"/>
          <w:szCs w:val="24"/>
        </w:rPr>
        <w:t>A.13.</w:t>
      </w:r>
      <w:r w:rsidRPr="00186F1E">
        <w:rPr>
          <w:rFonts w:ascii="Times New Roman" w:hAnsi="Times New Roman" w:eastAsiaTheme="majorEastAsia"/>
          <w:b/>
          <w:sz w:val="24"/>
          <w:szCs w:val="24"/>
        </w:rPr>
        <w:tab/>
        <w:t>Estimates of Other Total Annual Cost Burden to Respondents or Record Keepers</w:t>
      </w:r>
      <w:bookmarkEnd w:id="21"/>
    </w:p>
    <w:p w:rsidRPr="00186F1E" w:rsidR="00186F1E" w:rsidP="00186F1E" w:rsidRDefault="00186F1E" w14:paraId="652DAF06" w14:textId="77777777">
      <w:pPr>
        <w:spacing w:before="240" w:after="200" w:line="360" w:lineRule="auto"/>
        <w:rPr>
          <w:rFonts w:ascii="Times New Roman" w:hAnsi="Times New Roman"/>
          <w:sz w:val="22"/>
          <w:szCs w:val="22"/>
        </w:rPr>
      </w:pPr>
      <w:r w:rsidRPr="00186F1E">
        <w:rPr>
          <w:rFonts w:ascii="Times New Roman" w:hAnsi="Times New Roman"/>
          <w:sz w:val="22"/>
          <w:szCs w:val="22"/>
        </w:rPr>
        <w:t xml:space="preserve">There will be no direct costs to the respondents other than their time to complete the survey. </w:t>
      </w:r>
    </w:p>
    <w:p w:rsidRPr="00186F1E" w:rsidR="00186F1E" w:rsidP="00186F1E" w:rsidRDefault="00186F1E" w14:paraId="24A07138" w14:textId="77777777">
      <w:pPr>
        <w:keepNext/>
        <w:keepLines/>
        <w:spacing w:before="240" w:after="200" w:line="360" w:lineRule="auto"/>
        <w:outlineLvl w:val="1"/>
        <w:rPr>
          <w:rFonts w:ascii="Times New Roman" w:hAnsi="Times New Roman" w:eastAsiaTheme="majorEastAsia"/>
          <w:b/>
          <w:sz w:val="24"/>
          <w:szCs w:val="24"/>
        </w:rPr>
      </w:pPr>
      <w:bookmarkStart w:name="_Toc50987047" w:id="22"/>
      <w:r w:rsidRPr="00186F1E">
        <w:rPr>
          <w:rFonts w:ascii="Times New Roman" w:hAnsi="Times New Roman" w:eastAsiaTheme="majorEastAsia"/>
          <w:b/>
          <w:sz w:val="24"/>
          <w:szCs w:val="24"/>
        </w:rPr>
        <w:t>A.14.</w:t>
      </w:r>
      <w:r w:rsidRPr="00186F1E">
        <w:rPr>
          <w:rFonts w:ascii="Times New Roman" w:hAnsi="Times New Roman" w:eastAsiaTheme="majorEastAsia"/>
          <w:b/>
          <w:sz w:val="24"/>
          <w:szCs w:val="24"/>
        </w:rPr>
        <w:tab/>
        <w:t>Annualized Cost to the Government</w:t>
      </w:r>
      <w:bookmarkEnd w:id="22"/>
    </w:p>
    <w:p w:rsidRPr="00186F1E" w:rsidR="00186F1E" w:rsidP="00186F1E" w:rsidRDefault="00186F1E" w14:paraId="3A24245F" w14:textId="77777777">
      <w:pPr>
        <w:spacing w:line="360" w:lineRule="auto"/>
        <w:rPr>
          <w:rFonts w:ascii="Times New Roman" w:hAnsi="Times New Roman"/>
          <w:color w:val="000000"/>
          <w:sz w:val="22"/>
          <w:szCs w:val="22"/>
        </w:rPr>
      </w:pPr>
      <w:r w:rsidRPr="00186F1E">
        <w:rPr>
          <w:rFonts w:ascii="Times New Roman" w:hAnsi="Times New Roman"/>
          <w:color w:val="000000"/>
          <w:sz w:val="22"/>
          <w:szCs w:val="22"/>
        </w:rPr>
        <w:t xml:space="preserve">Total estimated cost to the government is $580,687 based on the estimated participation of two, CDC health scientists at 4% time (GS-14) who are responsible for the project design, obtaining approvals, providing project oversight, and analysis and dissemination of the results. The CDC scientists will provide remote technical assistance to local area implementing data collection. Costs are estimated based on GS14, step 9 salaries for Atlanta area federal employees.  Contractor costs $569,175 are estimated for survey development, recruitment, and survey administration. </w:t>
      </w:r>
      <w:r w:rsidRPr="00186F1E">
        <w:rPr>
          <w:rFonts w:ascii="Times New Roman" w:hAnsi="Times New Roman"/>
          <w:sz w:val="22"/>
          <w:szCs w:val="22"/>
        </w:rPr>
        <w:t>With the expected period of performance, the annual cost to the federal government from contractor and other expenses is estimated to be approximately</w:t>
      </w:r>
    </w:p>
    <w:p w:rsidR="00186F1E" w:rsidP="00186F1E" w:rsidRDefault="00186F1E" w14:paraId="17941EBD" w14:textId="1705D5A9">
      <w:pPr>
        <w:rPr>
          <w:rFonts w:ascii="Times New Roman" w:hAnsi="Times New Roman"/>
          <w:color w:val="000000"/>
          <w:sz w:val="24"/>
          <w:szCs w:val="24"/>
        </w:rPr>
      </w:pPr>
    </w:p>
    <w:p w:rsidR="00186F1E" w:rsidP="00186F1E" w:rsidRDefault="00186F1E" w14:paraId="5203D026" w14:textId="7755193E">
      <w:pPr>
        <w:rPr>
          <w:rFonts w:ascii="Times New Roman" w:hAnsi="Times New Roman"/>
          <w:color w:val="000000"/>
          <w:sz w:val="24"/>
          <w:szCs w:val="24"/>
        </w:rPr>
      </w:pPr>
    </w:p>
    <w:p w:rsidRPr="00186F1E" w:rsidR="00186F1E" w:rsidP="00186F1E" w:rsidRDefault="00186F1E" w14:paraId="286C046A" w14:textId="77777777">
      <w:pPr>
        <w:spacing w:before="120" w:after="240"/>
        <w:rPr>
          <w:rFonts w:ascii="Times New Roman" w:hAnsi="Times New Roman"/>
          <w:bCs/>
          <w:color w:val="000000"/>
          <w:sz w:val="22"/>
          <w:szCs w:val="22"/>
          <w:u w:val="single"/>
        </w:rPr>
      </w:pPr>
      <w:r w:rsidRPr="00186F1E">
        <w:rPr>
          <w:rFonts w:ascii="Times New Roman" w:hAnsi="Times New Roman"/>
          <w:bCs/>
          <w:color w:val="000000"/>
          <w:sz w:val="22"/>
          <w:szCs w:val="22"/>
          <w:u w:val="single"/>
        </w:rPr>
        <w:t>Table 6. Estimated Annualized Cost to the Government</w:t>
      </w:r>
    </w:p>
    <w:tbl>
      <w:tblPr>
        <w:tblW w:w="9365" w:type="dxa"/>
        <w:tblInd w:w="115" w:type="dxa"/>
        <w:tblCellMar>
          <w:top w:w="14" w:type="dxa"/>
          <w:left w:w="14" w:type="dxa"/>
          <w:bottom w:w="14" w:type="dxa"/>
          <w:right w:w="14" w:type="dxa"/>
        </w:tblCellMar>
        <w:tblLook w:val="04A0" w:firstRow="1" w:lastRow="0" w:firstColumn="1" w:lastColumn="0" w:noHBand="0" w:noVBand="1"/>
      </w:tblPr>
      <w:tblGrid>
        <w:gridCol w:w="3422"/>
        <w:gridCol w:w="3422"/>
        <w:gridCol w:w="2521"/>
      </w:tblGrid>
      <w:tr w:rsidRPr="00186F1E" w:rsidR="00186F1E" w:rsidTr="00D82C69" w14:paraId="4DE2BFD3" w14:textId="77777777">
        <w:trPr>
          <w:cantSplit/>
        </w:trPr>
        <w:tc>
          <w:tcPr>
            <w:tcW w:w="3422" w:type="dxa"/>
            <w:tcBorders>
              <w:top w:val="single" w:color="auto" w:sz="8" w:space="0"/>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52F2227C" w14:textId="77777777">
            <w:pPr>
              <w:widowControl w:val="0"/>
              <w:rPr>
                <w:rFonts w:ascii="Times New Roman" w:hAnsi="Times New Roman"/>
                <w:b/>
                <w:sz w:val="22"/>
              </w:rPr>
            </w:pPr>
            <w:bookmarkStart w:name="_Toc50987048" w:id="23"/>
            <w:r w:rsidRPr="00186F1E">
              <w:rPr>
                <w:rFonts w:ascii="Times New Roman" w:hAnsi="Times New Roman"/>
                <w:b/>
                <w:sz w:val="22"/>
              </w:rPr>
              <w:t>Expense Type</w:t>
            </w:r>
          </w:p>
        </w:tc>
        <w:tc>
          <w:tcPr>
            <w:tcW w:w="3422" w:type="dxa"/>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2E21CFEE" w14:textId="77777777">
            <w:pPr>
              <w:widowControl w:val="0"/>
              <w:rPr>
                <w:rFonts w:ascii="Times New Roman" w:hAnsi="Times New Roman"/>
                <w:b/>
                <w:sz w:val="22"/>
              </w:rPr>
            </w:pPr>
            <w:r w:rsidRPr="00186F1E">
              <w:rPr>
                <w:rFonts w:ascii="Times New Roman" w:hAnsi="Times New Roman"/>
                <w:b/>
                <w:sz w:val="22"/>
              </w:rPr>
              <w:t xml:space="preserve">Expense Explanation </w:t>
            </w:r>
          </w:p>
        </w:tc>
        <w:tc>
          <w:tcPr>
            <w:tcW w:w="2521" w:type="dxa"/>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6232B1FA" w14:textId="77777777">
            <w:pPr>
              <w:widowControl w:val="0"/>
              <w:rPr>
                <w:rFonts w:ascii="Times New Roman" w:hAnsi="Times New Roman"/>
                <w:b/>
                <w:sz w:val="22"/>
              </w:rPr>
            </w:pPr>
            <w:r w:rsidRPr="00186F1E">
              <w:rPr>
                <w:rFonts w:ascii="Times New Roman" w:hAnsi="Times New Roman"/>
                <w:b/>
                <w:sz w:val="22"/>
              </w:rPr>
              <w:t>Annual Costs (dollars)</w:t>
            </w:r>
          </w:p>
        </w:tc>
      </w:tr>
      <w:tr w:rsidRPr="00186F1E" w:rsidR="00186F1E" w:rsidTr="00D82C69" w14:paraId="26ABB9B6" w14:textId="77777777">
        <w:trPr>
          <w:cantSplit/>
        </w:trPr>
        <w:tc>
          <w:tcPr>
            <w:tcW w:w="9365" w:type="dxa"/>
            <w:gridSpan w:val="3"/>
            <w:tcBorders>
              <w:top w:val="nil"/>
              <w:left w:val="single" w:color="auto" w:sz="8" w:space="0"/>
              <w:bottom w:val="single" w:color="auto" w:sz="8" w:space="0"/>
              <w:right w:val="single" w:color="auto" w:sz="8" w:space="0"/>
            </w:tcBorders>
            <w:shd w:val="clear" w:color="auto" w:fill="D9D9D9"/>
            <w:tcMar>
              <w:top w:w="0" w:type="dxa"/>
              <w:left w:w="115" w:type="dxa"/>
              <w:bottom w:w="0" w:type="dxa"/>
              <w:right w:w="115" w:type="dxa"/>
            </w:tcMar>
            <w:vAlign w:val="center"/>
            <w:hideMark/>
          </w:tcPr>
          <w:p w:rsidRPr="00186F1E" w:rsidR="00186F1E" w:rsidP="00186F1E" w:rsidRDefault="00186F1E" w14:paraId="0EE5F319" w14:textId="77777777">
            <w:pPr>
              <w:widowControl w:val="0"/>
              <w:rPr>
                <w:rFonts w:ascii="Times New Roman" w:hAnsi="Times New Roman"/>
                <w:i/>
                <w:sz w:val="22"/>
              </w:rPr>
            </w:pPr>
            <w:r w:rsidRPr="00186F1E">
              <w:rPr>
                <w:rFonts w:ascii="Times New Roman" w:hAnsi="Times New Roman"/>
                <w:b/>
                <w:i/>
                <w:sz w:val="22"/>
              </w:rPr>
              <w:t>Direct Cost to the Federal Government</w:t>
            </w:r>
          </w:p>
        </w:tc>
      </w:tr>
      <w:tr w:rsidRPr="00186F1E" w:rsidR="00186F1E" w:rsidTr="00D82C69" w14:paraId="38D1042F" w14:textId="77777777">
        <w:trPr>
          <w:cantSplit/>
        </w:trPr>
        <w:tc>
          <w:tcPr>
            <w:tcW w:w="3422"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2500345D" w14:textId="77777777">
            <w:pPr>
              <w:widowControl w:val="0"/>
              <w:rPr>
                <w:rFonts w:ascii="Times New Roman" w:hAnsi="Times New Roman"/>
                <w:b/>
                <w:sz w:val="22"/>
              </w:rPr>
            </w:pPr>
            <w:r w:rsidRPr="00186F1E">
              <w:rPr>
                <w:rFonts w:ascii="Times New Roman" w:hAnsi="Times New Roman"/>
                <w:sz w:val="22"/>
              </w:rPr>
              <w:t>CDC employee oversight of contractor for project</w:t>
            </w:r>
          </w:p>
        </w:tc>
        <w:tc>
          <w:tcPr>
            <w:tcW w:w="3422"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13E5A4EF" w14:textId="77777777">
            <w:pPr>
              <w:widowControl w:val="0"/>
              <w:rPr>
                <w:rFonts w:ascii="Times New Roman" w:hAnsi="Times New Roman"/>
                <w:sz w:val="22"/>
              </w:rPr>
            </w:pPr>
            <w:r w:rsidRPr="00186F1E">
              <w:rPr>
                <w:rFonts w:ascii="Times New Roman" w:hAnsi="Times New Roman"/>
                <w:sz w:val="22"/>
              </w:rPr>
              <w:t>CDC non-supervisory employee (GS-14, step 9) labor costs for 2 employees at 4% time</w:t>
            </w:r>
          </w:p>
        </w:tc>
        <w:tc>
          <w:tcPr>
            <w:tcW w:w="2521"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6BF533CC" w14:textId="77777777">
            <w:pPr>
              <w:widowControl w:val="0"/>
              <w:rPr>
                <w:rFonts w:ascii="Times New Roman" w:hAnsi="Times New Roman"/>
                <w:sz w:val="22"/>
              </w:rPr>
            </w:pPr>
            <w:r w:rsidRPr="00186F1E">
              <w:rPr>
                <w:rFonts w:ascii="Times New Roman" w:hAnsi="Times New Roman"/>
                <w:sz w:val="22"/>
              </w:rPr>
              <w:t>$11,512</w:t>
            </w:r>
          </w:p>
        </w:tc>
      </w:tr>
      <w:tr w:rsidRPr="00186F1E" w:rsidR="00186F1E" w:rsidTr="00D82C69" w14:paraId="372F4AE0" w14:textId="77777777">
        <w:trPr>
          <w:cantSplit/>
        </w:trPr>
        <w:tc>
          <w:tcPr>
            <w:tcW w:w="6844" w:type="dxa"/>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459A4847" w14:textId="77777777">
            <w:pPr>
              <w:widowControl w:val="0"/>
              <w:rPr>
                <w:rFonts w:ascii="Times New Roman" w:hAnsi="Times New Roman"/>
                <w:b/>
                <w:sz w:val="22"/>
              </w:rPr>
            </w:pPr>
            <w:r w:rsidRPr="00186F1E">
              <w:rPr>
                <w:rFonts w:ascii="Times New Roman" w:hAnsi="Times New Roman"/>
                <w:b/>
                <w:sz w:val="22"/>
              </w:rPr>
              <w:t>Subtotal, Direct Costs to the Government per year</w:t>
            </w:r>
          </w:p>
        </w:tc>
        <w:tc>
          <w:tcPr>
            <w:tcW w:w="2521"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4AD3B764" w14:textId="77777777">
            <w:pPr>
              <w:widowControl w:val="0"/>
              <w:rPr>
                <w:rFonts w:ascii="Times New Roman" w:hAnsi="Times New Roman"/>
                <w:b/>
                <w:sz w:val="22"/>
              </w:rPr>
            </w:pPr>
            <w:r w:rsidRPr="00186F1E">
              <w:rPr>
                <w:rFonts w:ascii="Times New Roman" w:hAnsi="Times New Roman"/>
                <w:b/>
                <w:sz w:val="22"/>
              </w:rPr>
              <w:t>$11,512</w:t>
            </w:r>
          </w:p>
        </w:tc>
      </w:tr>
      <w:tr w:rsidRPr="00186F1E" w:rsidR="00186F1E" w:rsidTr="00D82C69" w14:paraId="4FE247D2" w14:textId="77777777">
        <w:trPr>
          <w:cantSplit/>
        </w:trPr>
        <w:tc>
          <w:tcPr>
            <w:tcW w:w="9365" w:type="dxa"/>
            <w:gridSpan w:val="3"/>
            <w:tcBorders>
              <w:top w:val="nil"/>
              <w:left w:val="single" w:color="auto" w:sz="8" w:space="0"/>
              <w:bottom w:val="single" w:color="auto" w:sz="8" w:space="0"/>
              <w:right w:val="single" w:color="auto" w:sz="8" w:space="0"/>
            </w:tcBorders>
            <w:shd w:val="clear" w:color="auto" w:fill="D9D9D9"/>
            <w:tcMar>
              <w:top w:w="0" w:type="dxa"/>
              <w:left w:w="115" w:type="dxa"/>
              <w:bottom w:w="0" w:type="dxa"/>
              <w:right w:w="115" w:type="dxa"/>
            </w:tcMar>
            <w:vAlign w:val="center"/>
            <w:hideMark/>
          </w:tcPr>
          <w:p w:rsidRPr="00186F1E" w:rsidR="00186F1E" w:rsidP="00186F1E" w:rsidRDefault="00186F1E" w14:paraId="2C583B28" w14:textId="77777777">
            <w:pPr>
              <w:widowControl w:val="0"/>
              <w:rPr>
                <w:rFonts w:ascii="Times New Roman" w:hAnsi="Times New Roman"/>
                <w:b/>
                <w:i/>
                <w:sz w:val="22"/>
              </w:rPr>
            </w:pPr>
            <w:r w:rsidRPr="00186F1E">
              <w:rPr>
                <w:rFonts w:ascii="Times New Roman" w:hAnsi="Times New Roman"/>
                <w:b/>
                <w:i/>
                <w:sz w:val="22"/>
              </w:rPr>
              <w:t>Contractor and Other Expenses</w:t>
            </w:r>
          </w:p>
        </w:tc>
      </w:tr>
      <w:tr w:rsidRPr="00186F1E" w:rsidR="00186F1E" w:rsidTr="00D82C69" w14:paraId="0DECD879" w14:textId="77777777">
        <w:trPr>
          <w:cantSplit/>
        </w:trPr>
        <w:tc>
          <w:tcPr>
            <w:tcW w:w="3422"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36EA1869" w14:textId="77777777">
            <w:pPr>
              <w:widowControl w:val="0"/>
              <w:rPr>
                <w:rFonts w:ascii="Times New Roman" w:hAnsi="Times New Roman"/>
                <w:sz w:val="22"/>
              </w:rPr>
            </w:pPr>
            <w:r w:rsidRPr="00186F1E">
              <w:rPr>
                <w:rFonts w:ascii="Times New Roman" w:hAnsi="Times New Roman"/>
                <w:color w:val="000000"/>
                <w:sz w:val="22"/>
              </w:rPr>
              <w:t>Assistance with data collection, processing, and preliminary analysis</w:t>
            </w:r>
          </w:p>
        </w:tc>
        <w:tc>
          <w:tcPr>
            <w:tcW w:w="3422" w:type="dxa"/>
            <w:tcBorders>
              <w:top w:val="nil"/>
              <w:left w:val="single" w:color="auto" w:sz="8" w:space="0"/>
              <w:bottom w:val="single" w:color="auto" w:sz="8" w:space="0"/>
              <w:right w:val="single" w:color="auto" w:sz="8" w:space="0"/>
            </w:tcBorders>
            <w:vAlign w:val="center"/>
          </w:tcPr>
          <w:p w:rsidRPr="00186F1E" w:rsidR="00186F1E" w:rsidP="00186F1E" w:rsidRDefault="00186F1E" w14:paraId="4DB734CF" w14:textId="77777777">
            <w:pPr>
              <w:widowControl w:val="0"/>
              <w:ind w:left="76"/>
              <w:rPr>
                <w:rFonts w:ascii="Times New Roman" w:hAnsi="Times New Roman"/>
                <w:sz w:val="22"/>
              </w:rPr>
            </w:pPr>
            <w:r w:rsidRPr="00186F1E">
              <w:rPr>
                <w:rFonts w:ascii="Times New Roman" w:hAnsi="Times New Roman"/>
                <w:color w:val="000000"/>
                <w:sz w:val="22"/>
              </w:rPr>
              <w:t>Labor and other direct costs for survey development, recruitment, and administration</w:t>
            </w:r>
          </w:p>
        </w:tc>
        <w:tc>
          <w:tcPr>
            <w:tcW w:w="2521"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0871B9AD" w14:textId="77777777">
            <w:pPr>
              <w:widowControl w:val="0"/>
              <w:rPr>
                <w:rFonts w:ascii="Times New Roman" w:hAnsi="Times New Roman"/>
                <w:sz w:val="22"/>
              </w:rPr>
            </w:pPr>
            <w:r w:rsidRPr="00186F1E">
              <w:rPr>
                <w:rFonts w:ascii="Times New Roman" w:hAnsi="Times New Roman"/>
                <w:sz w:val="22"/>
              </w:rPr>
              <w:t>$</w:t>
            </w:r>
            <w:r w:rsidRPr="00186F1E">
              <w:rPr>
                <w:rFonts w:ascii="Times New Roman" w:hAnsi="Times New Roman"/>
                <w:sz w:val="22"/>
                <w:szCs w:val="22"/>
              </w:rPr>
              <w:t>569,175</w:t>
            </w:r>
          </w:p>
        </w:tc>
      </w:tr>
      <w:tr w:rsidRPr="00186F1E" w:rsidR="00186F1E" w:rsidTr="00D82C69" w14:paraId="646466BC" w14:textId="77777777">
        <w:trPr>
          <w:cantSplit/>
        </w:trPr>
        <w:tc>
          <w:tcPr>
            <w:tcW w:w="6844" w:type="dxa"/>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52395D64" w14:textId="77777777">
            <w:pPr>
              <w:widowControl w:val="0"/>
              <w:ind w:left="76"/>
              <w:rPr>
                <w:rFonts w:ascii="Times New Roman" w:hAnsi="Times New Roman"/>
                <w:b/>
                <w:sz w:val="22"/>
              </w:rPr>
            </w:pPr>
            <w:r w:rsidRPr="00186F1E">
              <w:rPr>
                <w:rFonts w:ascii="Times New Roman" w:hAnsi="Times New Roman"/>
                <w:b/>
                <w:sz w:val="22"/>
              </w:rPr>
              <w:t>Subtotal, Contract and Other Expenses per year</w:t>
            </w:r>
          </w:p>
        </w:tc>
        <w:tc>
          <w:tcPr>
            <w:tcW w:w="2521"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186F1E" w:rsidR="00186F1E" w:rsidP="00186F1E" w:rsidRDefault="00186F1E" w14:paraId="7DC0B172" w14:textId="77777777">
            <w:pPr>
              <w:widowControl w:val="0"/>
              <w:rPr>
                <w:rFonts w:ascii="Times New Roman" w:hAnsi="Times New Roman"/>
                <w:i/>
                <w:sz w:val="22"/>
              </w:rPr>
            </w:pPr>
            <w:r w:rsidRPr="00186F1E">
              <w:rPr>
                <w:rFonts w:ascii="Times New Roman" w:hAnsi="Times New Roman"/>
                <w:b/>
                <w:color w:val="000000"/>
                <w:sz w:val="22"/>
              </w:rPr>
              <w:t>$</w:t>
            </w:r>
            <w:r w:rsidRPr="00186F1E">
              <w:rPr>
                <w:rFonts w:ascii="Times New Roman" w:hAnsi="Times New Roman"/>
                <w:b/>
                <w:bCs/>
                <w:color w:val="000000"/>
                <w:sz w:val="22"/>
                <w:szCs w:val="22"/>
              </w:rPr>
              <w:t>580,687</w:t>
            </w:r>
          </w:p>
        </w:tc>
      </w:tr>
    </w:tbl>
    <w:p w:rsidRPr="00186F1E" w:rsidR="00186F1E" w:rsidP="00186F1E" w:rsidRDefault="00186F1E" w14:paraId="7AC6321B" w14:textId="77777777">
      <w:pPr>
        <w:keepNext/>
        <w:keepLines/>
        <w:spacing w:before="240" w:after="200" w:line="360" w:lineRule="auto"/>
        <w:outlineLvl w:val="1"/>
        <w:rPr>
          <w:rFonts w:ascii="Times New Roman" w:hAnsi="Times New Roman" w:eastAsiaTheme="majorEastAsia"/>
          <w:b/>
          <w:sz w:val="24"/>
          <w:szCs w:val="24"/>
        </w:rPr>
      </w:pPr>
      <w:r w:rsidRPr="00186F1E">
        <w:rPr>
          <w:rFonts w:ascii="Times New Roman" w:hAnsi="Times New Roman" w:eastAsiaTheme="majorEastAsia"/>
          <w:b/>
          <w:sz w:val="24"/>
          <w:szCs w:val="24"/>
        </w:rPr>
        <w:t>A.15.</w:t>
      </w:r>
      <w:r w:rsidRPr="00186F1E">
        <w:rPr>
          <w:rFonts w:ascii="Times New Roman" w:hAnsi="Times New Roman" w:eastAsiaTheme="majorEastAsia"/>
          <w:b/>
          <w:sz w:val="24"/>
          <w:szCs w:val="24"/>
        </w:rPr>
        <w:tab/>
        <w:t>Explanation for Program Changes or Adjustments</w:t>
      </w:r>
      <w:bookmarkEnd w:id="23"/>
    </w:p>
    <w:p w:rsidRPr="00186F1E" w:rsidR="00186F1E" w:rsidP="00186F1E" w:rsidRDefault="00186F1E" w14:paraId="207D20A9" w14:textId="77777777">
      <w:pPr>
        <w:spacing w:before="240" w:after="200" w:line="360" w:lineRule="auto"/>
        <w:rPr>
          <w:rFonts w:ascii="Times New Roman" w:hAnsi="Times New Roman"/>
          <w:sz w:val="22"/>
          <w:szCs w:val="22"/>
        </w:rPr>
      </w:pPr>
      <w:r w:rsidRPr="00186F1E">
        <w:rPr>
          <w:rFonts w:ascii="Times New Roman" w:hAnsi="Times New Roman"/>
          <w:sz w:val="22"/>
          <w:szCs w:val="22"/>
        </w:rPr>
        <w:t>This is a new information collection request (ICR).</w:t>
      </w:r>
    </w:p>
    <w:p w:rsidRPr="00186F1E" w:rsidR="00186F1E" w:rsidP="00186F1E" w:rsidRDefault="00186F1E" w14:paraId="7B5AA7C4" w14:textId="77777777">
      <w:pPr>
        <w:keepNext/>
        <w:keepLines/>
        <w:spacing w:before="240" w:after="200" w:line="360" w:lineRule="auto"/>
        <w:outlineLvl w:val="1"/>
        <w:rPr>
          <w:rFonts w:ascii="Times New Roman" w:hAnsi="Times New Roman" w:eastAsiaTheme="majorEastAsia"/>
          <w:b/>
          <w:sz w:val="24"/>
          <w:szCs w:val="24"/>
        </w:rPr>
      </w:pPr>
      <w:bookmarkStart w:name="_Toc50987049" w:id="24"/>
      <w:r w:rsidRPr="00186F1E">
        <w:rPr>
          <w:rFonts w:ascii="Times New Roman" w:hAnsi="Times New Roman" w:eastAsiaTheme="majorEastAsia"/>
          <w:b/>
          <w:sz w:val="24"/>
          <w:szCs w:val="24"/>
        </w:rPr>
        <w:lastRenderedPageBreak/>
        <w:t>A.16.</w:t>
      </w:r>
      <w:r w:rsidRPr="00186F1E">
        <w:rPr>
          <w:rFonts w:ascii="Times New Roman" w:hAnsi="Times New Roman" w:eastAsiaTheme="majorEastAsia"/>
          <w:b/>
          <w:sz w:val="24"/>
          <w:szCs w:val="24"/>
        </w:rPr>
        <w:tab/>
        <w:t>Plans for Tabulation and Publication and Project Time Schedule</w:t>
      </w:r>
      <w:bookmarkEnd w:id="24"/>
    </w:p>
    <w:p w:rsidRPr="00186F1E" w:rsidR="00186F1E" w:rsidP="00186F1E" w:rsidRDefault="00186F1E" w14:paraId="5FE30921" w14:textId="77777777">
      <w:pPr>
        <w:rPr>
          <w:rFonts w:ascii="Times New Roman" w:hAnsi="Times New Roman"/>
          <w:sz w:val="22"/>
          <w:szCs w:val="22"/>
          <w:u w:val="single"/>
        </w:rPr>
      </w:pPr>
      <w:r w:rsidRPr="00186F1E">
        <w:rPr>
          <w:rFonts w:ascii="Times New Roman" w:hAnsi="Times New Roman"/>
          <w:sz w:val="22"/>
          <w:szCs w:val="22"/>
          <w:u w:val="single"/>
        </w:rPr>
        <w:t>Project Time Schedule</w:t>
      </w:r>
    </w:p>
    <w:p w:rsidRPr="00186F1E" w:rsidR="00186F1E" w:rsidP="00186F1E" w:rsidRDefault="00186F1E" w14:paraId="23E22BCE" w14:textId="77777777">
      <w:pPr>
        <w:autoSpaceDE/>
        <w:autoSpaceDN/>
        <w:adjustRightInd/>
        <w:spacing w:before="240" w:after="200" w:line="360" w:lineRule="auto"/>
        <w:rPr>
          <w:rFonts w:ascii="Times New Roman" w:hAnsi="Times New Roman"/>
          <w:bCs/>
          <w:sz w:val="22"/>
          <w:szCs w:val="22"/>
          <w:u w:val="single"/>
        </w:rPr>
      </w:pPr>
      <w:r w:rsidRPr="00186F1E">
        <w:rPr>
          <w:rFonts w:ascii="Times New Roman" w:hAnsi="Times New Roman"/>
          <w:color w:val="000000"/>
          <w:sz w:val="22"/>
          <w:szCs w:val="22"/>
        </w:rPr>
        <w:t xml:space="preserve">Table 7 presents the estimated timeline for conducting data collection following receipt of OMB clearance. Information will be collected over approximately a 6-month </w:t>
      </w:r>
      <w:proofErr w:type="gramStart"/>
      <w:r w:rsidRPr="00186F1E">
        <w:rPr>
          <w:rFonts w:ascii="Times New Roman" w:hAnsi="Times New Roman"/>
          <w:color w:val="000000"/>
          <w:sz w:val="22"/>
          <w:szCs w:val="22"/>
        </w:rPr>
        <w:t>time period</w:t>
      </w:r>
      <w:proofErr w:type="gramEnd"/>
      <w:r w:rsidRPr="00186F1E">
        <w:rPr>
          <w:rFonts w:ascii="Times New Roman" w:hAnsi="Times New Roman"/>
          <w:color w:val="000000"/>
          <w:sz w:val="22"/>
          <w:szCs w:val="22"/>
        </w:rPr>
        <w:t xml:space="preserve"> and will not exceed the approved expiration date.</w:t>
      </w:r>
      <w:r w:rsidRPr="00186F1E">
        <w:rPr>
          <w:rFonts w:ascii="Times New Roman" w:hAnsi="Times New Roman"/>
          <w:bCs/>
          <w:sz w:val="22"/>
          <w:szCs w:val="22"/>
          <w:u w:val="single"/>
        </w:rPr>
        <w:br w:type="page"/>
      </w:r>
    </w:p>
    <w:p w:rsidRPr="00186F1E" w:rsidR="00186F1E" w:rsidP="00186F1E" w:rsidRDefault="00186F1E" w14:paraId="36B73822" w14:textId="77777777">
      <w:pPr>
        <w:keepNext/>
        <w:rPr>
          <w:rFonts w:ascii="Times New Roman" w:hAnsi="Times New Roman"/>
          <w:bCs/>
          <w:sz w:val="22"/>
          <w:szCs w:val="22"/>
          <w:u w:val="single"/>
        </w:rPr>
      </w:pPr>
      <w:r w:rsidRPr="00186F1E">
        <w:rPr>
          <w:rFonts w:ascii="Times New Roman" w:hAnsi="Times New Roman"/>
          <w:bCs/>
          <w:sz w:val="22"/>
          <w:szCs w:val="22"/>
          <w:u w:val="single"/>
        </w:rPr>
        <w:lastRenderedPageBreak/>
        <w:t>Table 7: Estimated schedule for survey recruitment, administration, data analysis, and publication.</w:t>
      </w:r>
    </w:p>
    <w:p w:rsidRPr="00186F1E" w:rsidR="00186F1E" w:rsidP="00186F1E" w:rsidRDefault="00186F1E" w14:paraId="2DF12FF8" w14:textId="77777777">
      <w:pPr>
        <w:keepNext/>
        <w:rPr>
          <w:rFonts w:ascii="Times New Roman" w:hAnsi="Times New Roman"/>
          <w:b/>
          <w:sz w:val="22"/>
          <w:szCs w:val="22"/>
        </w:rPr>
      </w:pPr>
    </w:p>
    <w:p w:rsidRPr="00186F1E" w:rsidR="00186F1E" w:rsidP="00186F1E" w:rsidRDefault="00186F1E" w14:paraId="18C9F8BD" w14:textId="77777777">
      <w:pPr>
        <w:keepNext/>
        <w:rPr>
          <w:rFonts w:ascii="Times New Roman" w:hAnsi="Times New Roman"/>
          <w:b/>
          <w:sz w:val="22"/>
          <w:szCs w:val="22"/>
        </w:rPr>
      </w:pPr>
    </w:p>
    <w:tbl>
      <w:tblPr>
        <w:tblStyle w:val="aTable"/>
        <w:tblW w:w="5000" w:type="pct"/>
        <w:jc w:val="center"/>
        <w:tblInd w:w="0" w:type="dxa"/>
        <w:tblLook w:val="04A0" w:firstRow="1" w:lastRow="0" w:firstColumn="1" w:lastColumn="0" w:noHBand="0" w:noVBand="1"/>
      </w:tblPr>
      <w:tblGrid>
        <w:gridCol w:w="4617"/>
        <w:gridCol w:w="4733"/>
      </w:tblGrid>
      <w:tr w:rsidRPr="00186F1E" w:rsidR="00186F1E" w:rsidTr="00D82C69" w14:paraId="1DE5248E" w14:textId="77777777">
        <w:trPr>
          <w:cnfStyle w:val="100000000000" w:firstRow="1" w:lastRow="0" w:firstColumn="0" w:lastColumn="0" w:oddVBand="0" w:evenVBand="0" w:oddHBand="0" w:evenHBand="0" w:firstRowFirstColumn="0" w:firstRowLastColumn="0" w:lastRowFirstColumn="0" w:lastRowLastColumn="0"/>
          <w:tblHeader/>
          <w:jc w:val="center"/>
        </w:trPr>
        <w:tc>
          <w:tcPr>
            <w:tcW w:w="0" w:type="auto"/>
            <w:hideMark/>
          </w:tcPr>
          <w:p w:rsidRPr="00186F1E" w:rsidR="00186F1E" w:rsidP="00186F1E" w:rsidRDefault="00186F1E" w14:paraId="1758349E" w14:textId="77777777">
            <w:pPr>
              <w:keepNext/>
              <w:autoSpaceDE/>
              <w:autoSpaceDN/>
              <w:adjustRightInd/>
              <w:rPr>
                <w:rFonts w:ascii="Times New Roman" w:hAnsi="Times New Roman"/>
                <w:b/>
                <w:sz w:val="22"/>
                <w:szCs w:val="18"/>
              </w:rPr>
            </w:pPr>
            <w:r w:rsidRPr="00186F1E">
              <w:rPr>
                <w:rFonts w:ascii="Times New Roman" w:hAnsi="Times New Roman"/>
                <w:b/>
                <w:sz w:val="22"/>
                <w:szCs w:val="18"/>
              </w:rPr>
              <w:t>Activity</w:t>
            </w:r>
          </w:p>
        </w:tc>
        <w:tc>
          <w:tcPr>
            <w:tcW w:w="0" w:type="auto"/>
            <w:hideMark/>
          </w:tcPr>
          <w:p w:rsidRPr="00186F1E" w:rsidR="00186F1E" w:rsidP="00186F1E" w:rsidRDefault="00186F1E" w14:paraId="2DE74F97" w14:textId="77777777">
            <w:pPr>
              <w:keepNext/>
              <w:autoSpaceDE/>
              <w:autoSpaceDN/>
              <w:adjustRightInd/>
              <w:rPr>
                <w:rFonts w:ascii="Times New Roman" w:hAnsi="Times New Roman"/>
                <w:b/>
                <w:sz w:val="22"/>
                <w:szCs w:val="18"/>
              </w:rPr>
            </w:pPr>
            <w:r w:rsidRPr="00186F1E">
              <w:rPr>
                <w:rFonts w:ascii="Times New Roman" w:hAnsi="Times New Roman"/>
                <w:b/>
                <w:sz w:val="22"/>
                <w:szCs w:val="18"/>
              </w:rPr>
              <w:t>Time Schedule</w:t>
            </w:r>
          </w:p>
        </w:tc>
      </w:tr>
      <w:tr w:rsidRPr="00186F1E" w:rsidR="00186F1E" w:rsidTr="00D82C69" w14:paraId="66B1F769"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186F1E" w:rsidR="00186F1E" w:rsidP="00186F1E" w:rsidRDefault="00186F1E" w14:paraId="7AB8271C" w14:textId="77777777">
            <w:pPr>
              <w:autoSpaceDE/>
              <w:autoSpaceDN/>
              <w:adjustRightInd/>
              <w:rPr>
                <w:rFonts w:ascii="Times New Roman" w:hAnsi="Times New Roman"/>
                <w:sz w:val="22"/>
                <w:szCs w:val="18"/>
              </w:rPr>
            </w:pPr>
            <w:r w:rsidRPr="00186F1E">
              <w:rPr>
                <w:rFonts w:ascii="Times New Roman" w:hAnsi="Times New Roman"/>
                <w:sz w:val="22"/>
                <w:szCs w:val="18"/>
              </w:rPr>
              <w:t>Survey recruitment and administration</w:t>
            </w:r>
          </w:p>
        </w:tc>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186F1E" w:rsidR="00186F1E" w:rsidP="00186F1E" w:rsidRDefault="00186F1E" w14:paraId="05C160FA" w14:textId="77777777">
            <w:pPr>
              <w:autoSpaceDE/>
              <w:autoSpaceDN/>
              <w:adjustRightInd/>
              <w:rPr>
                <w:rFonts w:ascii="Times New Roman" w:hAnsi="Times New Roman"/>
                <w:sz w:val="22"/>
                <w:szCs w:val="18"/>
              </w:rPr>
            </w:pPr>
            <w:r w:rsidRPr="00186F1E">
              <w:rPr>
                <w:rFonts w:ascii="Times New Roman" w:hAnsi="Times New Roman"/>
                <w:sz w:val="22"/>
                <w:szCs w:val="18"/>
              </w:rPr>
              <w:t>1 month after OMB approval</w:t>
            </w:r>
          </w:p>
        </w:tc>
      </w:tr>
      <w:tr w:rsidRPr="00186F1E" w:rsidR="00186F1E" w:rsidTr="00D82C69" w14:paraId="3D37DBFD"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186F1E" w:rsidR="00186F1E" w:rsidP="00186F1E" w:rsidRDefault="00186F1E" w14:paraId="546D77DF" w14:textId="77777777">
            <w:pPr>
              <w:autoSpaceDE/>
              <w:autoSpaceDN/>
              <w:adjustRightInd/>
              <w:rPr>
                <w:rFonts w:ascii="Times New Roman" w:hAnsi="Times New Roman"/>
                <w:sz w:val="22"/>
                <w:szCs w:val="18"/>
              </w:rPr>
            </w:pPr>
            <w:r w:rsidRPr="00186F1E">
              <w:rPr>
                <w:rFonts w:ascii="Times New Roman" w:hAnsi="Times New Roman"/>
                <w:sz w:val="22"/>
                <w:szCs w:val="18"/>
              </w:rPr>
              <w:t>Data delivery and documentation</w:t>
            </w:r>
          </w:p>
        </w:tc>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hideMark/>
          </w:tcPr>
          <w:p w:rsidRPr="00186F1E" w:rsidR="00186F1E" w:rsidP="00186F1E" w:rsidRDefault="00186F1E" w14:paraId="069C821A" w14:textId="77777777">
            <w:pPr>
              <w:autoSpaceDE/>
              <w:autoSpaceDN/>
              <w:adjustRightInd/>
              <w:rPr>
                <w:rFonts w:ascii="Times New Roman" w:hAnsi="Times New Roman"/>
                <w:sz w:val="22"/>
                <w:szCs w:val="18"/>
              </w:rPr>
            </w:pPr>
            <w:r w:rsidRPr="00186F1E">
              <w:rPr>
                <w:rFonts w:ascii="Times New Roman" w:hAnsi="Times New Roman"/>
                <w:sz w:val="22"/>
                <w:szCs w:val="18"/>
              </w:rPr>
              <w:t>7 months after OMB approval</w:t>
            </w:r>
          </w:p>
        </w:tc>
      </w:tr>
      <w:tr w:rsidRPr="00186F1E" w:rsidR="00186F1E" w:rsidTr="00D82C69" w14:paraId="1CA2A2BF" w14:textId="77777777">
        <w:trPr>
          <w:cnfStyle w:val="000000100000" w:firstRow="0" w:lastRow="0" w:firstColumn="0" w:lastColumn="0" w:oddVBand="0" w:evenVBand="0" w:oddHBand="1" w:evenHBand="0"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186F1E" w:rsidR="00186F1E" w:rsidP="00186F1E" w:rsidRDefault="00186F1E" w14:paraId="22FF49C3" w14:textId="77777777">
            <w:pPr>
              <w:autoSpaceDE/>
              <w:autoSpaceDN/>
              <w:adjustRightInd/>
              <w:rPr>
                <w:rFonts w:ascii="Times New Roman" w:hAnsi="Times New Roman"/>
                <w:sz w:val="22"/>
                <w:szCs w:val="18"/>
              </w:rPr>
            </w:pPr>
            <w:r w:rsidRPr="00186F1E">
              <w:rPr>
                <w:rFonts w:ascii="Times New Roman" w:hAnsi="Times New Roman"/>
                <w:sz w:val="22"/>
                <w:szCs w:val="18"/>
              </w:rPr>
              <w:t>Data Analysis</w:t>
            </w:r>
          </w:p>
        </w:tc>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186F1E" w:rsidR="00186F1E" w:rsidP="00186F1E" w:rsidRDefault="00186F1E" w14:paraId="36BD70F1" w14:textId="77777777">
            <w:pPr>
              <w:autoSpaceDE/>
              <w:autoSpaceDN/>
              <w:adjustRightInd/>
              <w:rPr>
                <w:rFonts w:ascii="Times New Roman" w:hAnsi="Times New Roman"/>
                <w:sz w:val="22"/>
                <w:szCs w:val="18"/>
              </w:rPr>
            </w:pPr>
            <w:r w:rsidRPr="00186F1E">
              <w:rPr>
                <w:rFonts w:ascii="Times New Roman" w:hAnsi="Times New Roman"/>
                <w:sz w:val="22"/>
                <w:szCs w:val="18"/>
              </w:rPr>
              <w:t>7-13 months after OMB approval</w:t>
            </w:r>
          </w:p>
        </w:tc>
      </w:tr>
      <w:tr w:rsidRPr="00186F1E" w:rsidR="00186F1E" w:rsidTr="00D82C69" w14:paraId="531133FB" w14:textId="77777777">
        <w:trPr>
          <w:cnfStyle w:val="000000010000" w:firstRow="0" w:lastRow="0" w:firstColumn="0" w:lastColumn="0" w:oddVBand="0" w:evenVBand="0" w:oddHBand="0" w:evenHBand="1" w:firstRowFirstColumn="0" w:firstRowLastColumn="0" w:lastRowFirstColumn="0" w:lastRowLastColumn="0"/>
          <w:cantSplit/>
          <w:jc w:val="center"/>
        </w:trPr>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186F1E" w:rsidR="00186F1E" w:rsidP="00186F1E" w:rsidRDefault="00186F1E" w14:paraId="264A4105" w14:textId="77777777">
            <w:pPr>
              <w:autoSpaceDE/>
              <w:autoSpaceDN/>
              <w:adjustRightInd/>
              <w:rPr>
                <w:rFonts w:ascii="Times New Roman" w:hAnsi="Times New Roman"/>
                <w:sz w:val="22"/>
                <w:szCs w:val="18"/>
              </w:rPr>
            </w:pPr>
            <w:r w:rsidRPr="00186F1E">
              <w:rPr>
                <w:rFonts w:ascii="Times New Roman" w:hAnsi="Times New Roman"/>
                <w:sz w:val="22"/>
                <w:szCs w:val="18"/>
              </w:rPr>
              <w:t>Publication</w:t>
            </w:r>
          </w:p>
        </w:tc>
        <w:tc>
          <w:tcPr>
            <w:tcW w:w="0" w:type="auto"/>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186F1E" w:rsidR="00186F1E" w:rsidP="00186F1E" w:rsidRDefault="00186F1E" w14:paraId="09AD292C" w14:textId="77777777">
            <w:pPr>
              <w:autoSpaceDE/>
              <w:autoSpaceDN/>
              <w:adjustRightInd/>
              <w:rPr>
                <w:rFonts w:ascii="Times New Roman" w:hAnsi="Times New Roman"/>
                <w:sz w:val="22"/>
                <w:szCs w:val="18"/>
              </w:rPr>
            </w:pPr>
            <w:r w:rsidRPr="00186F1E">
              <w:rPr>
                <w:rFonts w:ascii="Times New Roman" w:hAnsi="Times New Roman"/>
                <w:sz w:val="22"/>
                <w:szCs w:val="18"/>
              </w:rPr>
              <w:t>13 months onward after OMB approval</w:t>
            </w:r>
          </w:p>
        </w:tc>
      </w:tr>
    </w:tbl>
    <w:p w:rsidRPr="00186F1E" w:rsidR="00186F1E" w:rsidP="00186F1E" w:rsidRDefault="00186F1E" w14:paraId="56040A76" w14:textId="77777777">
      <w:pPr>
        <w:keepNext/>
        <w:rPr>
          <w:rFonts w:ascii="Times New Roman" w:hAnsi="Times New Roman"/>
          <w:b/>
          <w:sz w:val="22"/>
          <w:szCs w:val="22"/>
        </w:rPr>
      </w:pPr>
    </w:p>
    <w:p w:rsidRPr="00186F1E" w:rsidR="00186F1E" w:rsidP="00186F1E" w:rsidRDefault="00186F1E" w14:paraId="74122861" w14:textId="77777777">
      <w:pPr>
        <w:autoSpaceDE/>
        <w:autoSpaceDN/>
        <w:adjustRightInd/>
        <w:spacing w:line="360" w:lineRule="auto"/>
        <w:outlineLvl w:val="0"/>
        <w:rPr>
          <w:rFonts w:ascii="Times New Roman" w:hAnsi="Times New Roman"/>
          <w:color w:val="000000"/>
          <w:sz w:val="24"/>
          <w:szCs w:val="24"/>
        </w:rPr>
      </w:pPr>
      <w:r w:rsidRPr="00186F1E">
        <w:rPr>
          <w:rFonts w:ascii="Times New Roman" w:hAnsi="Times New Roman"/>
          <w:color w:val="000000"/>
          <w:sz w:val="24"/>
          <w:szCs w:val="24"/>
        </w:rPr>
        <w:t xml:space="preserve">Survey findings will inform comprehensive adolescent health planning efforts and inform the CDC’s Division of Adolescent and School Health’s (DASH) key school-based programmatic strategies of improving family- and school-level protective factors, bolstering health education, and increasing adolescent access to quality health services. Findings will be used to: 1) describe the prevalence of key factors that protect young people’s health (including family and school-level protective factors), health education experiences, health service use, and health behaviors and experiences, and (2) examine associations between these factors and adolescent mental health, sexual and reproductive health, and substance use outcomes which will aid DASH in developing and refining programmatic strategies to improve adolescent health. Additionally, findings will be disseminated through presentations and/or posters at meetings and publications in peer-reviewed journals. All abstracts, poster presentations, and manuscripts will undergo CDC clearance review prior to submission to conferences or journals. In addition to standard peer-reviewed publications and conference presentation, reports of results for the public will be developed and posted on the CDC website. These brief results synopses for the lay public will focus on the aims of this study and the gaps and issues identified.  These descriptions will focus heavily on data visualizations to ease interpretation of results and will be developed with health literacy and numeracy needs of the public in mind. These results briefs will also be shared with partner organizations in adolescent health for dissemination and use in decision-making and priority setting. Additional briefs may be developed based on feedback from partner organizations or based on interesting results. </w:t>
      </w:r>
    </w:p>
    <w:p w:rsidRPr="00186F1E" w:rsidR="00186F1E" w:rsidP="00186F1E" w:rsidRDefault="00186F1E" w14:paraId="77A4176F" w14:textId="77777777">
      <w:pPr>
        <w:autoSpaceDE/>
        <w:autoSpaceDN/>
        <w:adjustRightInd/>
        <w:spacing w:line="360" w:lineRule="auto"/>
        <w:outlineLvl w:val="0"/>
        <w:rPr>
          <w:rFonts w:ascii="Times New Roman" w:hAnsi="Times New Roman"/>
          <w:color w:val="000000"/>
          <w:sz w:val="24"/>
          <w:szCs w:val="24"/>
        </w:rPr>
      </w:pPr>
    </w:p>
    <w:p w:rsidRPr="00186F1E" w:rsidR="00186F1E" w:rsidP="00186F1E" w:rsidRDefault="00186F1E" w14:paraId="6D23E373" w14:textId="77777777">
      <w:pPr>
        <w:autoSpaceDE/>
        <w:autoSpaceDN/>
        <w:adjustRightInd/>
        <w:spacing w:line="360" w:lineRule="auto"/>
        <w:outlineLvl w:val="0"/>
        <w:rPr>
          <w:rFonts w:ascii="Times New Roman" w:hAnsi="Times New Roman"/>
          <w:color w:val="000000"/>
          <w:sz w:val="24"/>
          <w:szCs w:val="24"/>
        </w:rPr>
      </w:pPr>
      <w:r w:rsidRPr="00186F1E">
        <w:rPr>
          <w:rFonts w:ascii="Times New Roman" w:hAnsi="Times New Roman"/>
          <w:color w:val="000000"/>
          <w:sz w:val="24"/>
          <w:szCs w:val="24"/>
        </w:rPr>
        <w:t xml:space="preserve">Specific questions will be based on the specific aims of the study as well as identification of gaps in the literature identified by previous CDC work and input from adolescent health experts. Namely we will look at the relationships between protective factors and sexual and mental health outcomes. For each manuscript, we first will use descriptive statistics to summarize the </w:t>
      </w:r>
      <w:r w:rsidRPr="00186F1E">
        <w:rPr>
          <w:rFonts w:ascii="Times New Roman" w:hAnsi="Times New Roman"/>
          <w:color w:val="000000"/>
          <w:sz w:val="24"/>
          <w:szCs w:val="24"/>
        </w:rPr>
        <w:lastRenderedPageBreak/>
        <w:t xml:space="preserve">characteristics of the study sample and examine the distribution of individual variables. For scales that were drawn from the literature and are being used as they were originally designed, scale scores will be calculated as described by the instruments’ developers. Means and standard deviations will be calculated for the scale items and where possible, compared to scores reported in the literature. We will conduct a series of analyses employing descriptive statistics (means, medians, t-tests, and chi-square tests), linear and logistic regression, and other multivariate techniques to address the questions outlined below. </w:t>
      </w:r>
    </w:p>
    <w:p w:rsidRPr="00186F1E" w:rsidR="00186F1E" w:rsidP="00186F1E" w:rsidRDefault="00186F1E" w14:paraId="14D9A2CC" w14:textId="77777777">
      <w:pPr>
        <w:keepNext/>
        <w:keepLines/>
        <w:spacing w:before="240" w:after="120" w:line="360" w:lineRule="auto"/>
        <w:outlineLvl w:val="1"/>
        <w:rPr>
          <w:rFonts w:ascii="Times New Roman" w:hAnsi="Times New Roman" w:eastAsiaTheme="majorEastAsia"/>
          <w:b/>
          <w:sz w:val="24"/>
          <w:szCs w:val="24"/>
        </w:rPr>
      </w:pPr>
      <w:bookmarkStart w:name="_Toc50987050" w:id="25"/>
      <w:r w:rsidRPr="00186F1E">
        <w:rPr>
          <w:rFonts w:ascii="Times New Roman" w:hAnsi="Times New Roman" w:eastAsiaTheme="majorEastAsia"/>
          <w:b/>
          <w:sz w:val="24"/>
          <w:szCs w:val="24"/>
        </w:rPr>
        <w:t>A.17.</w:t>
      </w:r>
      <w:r w:rsidRPr="00186F1E">
        <w:rPr>
          <w:rFonts w:ascii="Times New Roman" w:hAnsi="Times New Roman" w:eastAsiaTheme="majorEastAsia"/>
          <w:b/>
          <w:sz w:val="24"/>
          <w:szCs w:val="24"/>
        </w:rPr>
        <w:tab/>
        <w:t>Reason(s) Display of OMB Expiration Date is Inappropriate</w:t>
      </w:r>
      <w:bookmarkEnd w:id="25"/>
    </w:p>
    <w:p w:rsidRPr="00186F1E" w:rsidR="00186F1E" w:rsidP="00186F1E" w:rsidRDefault="00186F1E" w14:paraId="7C4734DD" w14:textId="77777777">
      <w:pPr>
        <w:spacing w:before="120" w:after="200" w:line="360" w:lineRule="auto"/>
        <w:rPr>
          <w:rFonts w:ascii="Times New Roman" w:hAnsi="Times New Roman"/>
          <w:sz w:val="22"/>
          <w:szCs w:val="22"/>
        </w:rPr>
      </w:pPr>
      <w:r w:rsidRPr="00186F1E">
        <w:rPr>
          <w:rFonts w:ascii="Times New Roman" w:hAnsi="Times New Roman"/>
          <w:sz w:val="22"/>
          <w:szCs w:val="22"/>
        </w:rPr>
        <w:t>The display of the OMB expiration date is not inappropriate. We are not requesting an exemption.</w:t>
      </w:r>
    </w:p>
    <w:p w:rsidRPr="00186F1E" w:rsidR="00186F1E" w:rsidP="00186F1E" w:rsidRDefault="00186F1E" w14:paraId="52C3EA6F" w14:textId="77777777">
      <w:pPr>
        <w:keepNext/>
        <w:keepLines/>
        <w:spacing w:before="240" w:after="200" w:line="360" w:lineRule="auto"/>
        <w:outlineLvl w:val="1"/>
        <w:rPr>
          <w:rFonts w:ascii="Times New Roman" w:hAnsi="Times New Roman" w:eastAsiaTheme="majorEastAsia"/>
          <w:b/>
          <w:sz w:val="24"/>
          <w:szCs w:val="24"/>
        </w:rPr>
      </w:pPr>
      <w:bookmarkStart w:name="_Toc50987051" w:id="26"/>
      <w:r w:rsidRPr="00186F1E">
        <w:rPr>
          <w:rFonts w:ascii="Times New Roman" w:hAnsi="Times New Roman" w:eastAsiaTheme="majorEastAsia"/>
          <w:b/>
          <w:sz w:val="24"/>
          <w:szCs w:val="24"/>
        </w:rPr>
        <w:t>A.18.</w:t>
      </w:r>
      <w:r w:rsidRPr="00186F1E">
        <w:rPr>
          <w:rFonts w:ascii="Times New Roman" w:hAnsi="Times New Roman" w:eastAsiaTheme="majorEastAsia"/>
          <w:b/>
          <w:sz w:val="24"/>
          <w:szCs w:val="24"/>
        </w:rPr>
        <w:tab/>
        <w:t>Exceptions to Certification for Paperwork Reduction Act Submissions</w:t>
      </w:r>
      <w:bookmarkEnd w:id="26"/>
    </w:p>
    <w:p w:rsidRPr="00186F1E" w:rsidR="00186F1E" w:rsidP="00186F1E" w:rsidRDefault="00186F1E" w14:paraId="410590BF" w14:textId="77777777">
      <w:pPr>
        <w:spacing w:before="240" w:after="200" w:line="360" w:lineRule="auto"/>
        <w:rPr>
          <w:rFonts w:ascii="Times New Roman" w:hAnsi="Times New Roman"/>
          <w:sz w:val="22"/>
          <w:szCs w:val="22"/>
        </w:rPr>
      </w:pPr>
      <w:r w:rsidRPr="00186F1E">
        <w:rPr>
          <w:rFonts w:ascii="Times New Roman" w:hAnsi="Times New Roman"/>
          <w:sz w:val="22"/>
          <w:szCs w:val="22"/>
        </w:rPr>
        <w:t>No certification exemption is being sought. These activities comply with the requirements in 5 CFR 1320.9.</w:t>
      </w:r>
    </w:p>
    <w:p w:rsidR="00B1254E" w:rsidRDefault="00B1254E" w14:paraId="5B544A73" w14:textId="77777777">
      <w:pPr>
        <w:autoSpaceDE/>
        <w:autoSpaceDN/>
        <w:adjustRightInd/>
        <w:spacing w:after="160" w:line="259" w:lineRule="auto"/>
        <w:rPr>
          <w:rFonts w:ascii="Times New Roman" w:hAnsi="Times New Roman"/>
          <w:sz w:val="22"/>
          <w:szCs w:val="22"/>
        </w:rPr>
      </w:pPr>
      <w:r>
        <w:rPr>
          <w:rFonts w:ascii="Times New Roman" w:hAnsi="Times New Roman"/>
          <w:sz w:val="22"/>
          <w:szCs w:val="22"/>
        </w:rPr>
        <w:br w:type="page"/>
      </w:r>
    </w:p>
    <w:p w:rsidRPr="00B1254E" w:rsidR="00B1254E" w:rsidP="00B1254E" w:rsidRDefault="00B1254E" w14:paraId="48203407" w14:textId="7BAF2EB9">
      <w:pPr>
        <w:pStyle w:val="ListParagraph"/>
        <w:numPr>
          <w:ilvl w:val="0"/>
          <w:numId w:val="29"/>
        </w:numPr>
        <w:spacing w:before="240" w:line="360" w:lineRule="auto"/>
        <w:rPr>
          <w:rFonts w:ascii="Times New Roman" w:hAnsi="Times New Roman"/>
        </w:rPr>
      </w:pPr>
      <w:r w:rsidRPr="00B1254E">
        <w:rPr>
          <w:rFonts w:ascii="Times New Roman" w:hAnsi="Times New Roman"/>
        </w:rPr>
        <w:lastRenderedPageBreak/>
        <w:t xml:space="preserve">Dittus PJ, Harper CR, </w:t>
      </w:r>
      <w:proofErr w:type="spellStart"/>
      <w:r w:rsidRPr="00B1254E">
        <w:rPr>
          <w:rFonts w:ascii="Times New Roman" w:hAnsi="Times New Roman"/>
        </w:rPr>
        <w:t>Hoo</w:t>
      </w:r>
      <w:proofErr w:type="spellEnd"/>
      <w:r w:rsidRPr="00B1254E">
        <w:rPr>
          <w:rFonts w:ascii="Times New Roman" w:hAnsi="Times New Roman"/>
        </w:rPr>
        <w:t xml:space="preserve"> E, et al. The Project Connect parental monitoring intervention: Population-level effects on adolescent perceptions of parental enforcement of family rules.  2015 International Society for Sexually Transmitted Disease Research Brisbane, Australia 2015.</w:t>
      </w:r>
    </w:p>
    <w:p w:rsidR="00B1254E" w:rsidP="00B838D7" w:rsidRDefault="00B1254E" w14:paraId="4FC75E8F" w14:textId="77777777">
      <w:pPr>
        <w:pStyle w:val="ListParagraph"/>
        <w:numPr>
          <w:ilvl w:val="0"/>
          <w:numId w:val="29"/>
        </w:numPr>
        <w:spacing w:before="240" w:line="360" w:lineRule="auto"/>
        <w:rPr>
          <w:rFonts w:ascii="Times New Roman" w:hAnsi="Times New Roman"/>
        </w:rPr>
      </w:pPr>
      <w:r w:rsidRPr="00B1254E">
        <w:rPr>
          <w:rFonts w:ascii="Times New Roman" w:hAnsi="Times New Roman"/>
        </w:rPr>
        <w:t xml:space="preserve">Markham CM, </w:t>
      </w:r>
      <w:proofErr w:type="spellStart"/>
      <w:r w:rsidRPr="00B1254E">
        <w:rPr>
          <w:rFonts w:ascii="Times New Roman" w:hAnsi="Times New Roman"/>
        </w:rPr>
        <w:t>Lormand</w:t>
      </w:r>
      <w:proofErr w:type="spellEnd"/>
      <w:r w:rsidRPr="00B1254E">
        <w:rPr>
          <w:rFonts w:ascii="Times New Roman" w:hAnsi="Times New Roman"/>
        </w:rPr>
        <w:t xml:space="preserve"> D, </w:t>
      </w:r>
      <w:proofErr w:type="spellStart"/>
      <w:r w:rsidRPr="00B1254E">
        <w:rPr>
          <w:rFonts w:ascii="Times New Roman" w:hAnsi="Times New Roman"/>
        </w:rPr>
        <w:t>Gloppen</w:t>
      </w:r>
      <w:proofErr w:type="spellEnd"/>
      <w:r w:rsidRPr="00B1254E">
        <w:rPr>
          <w:rFonts w:ascii="Times New Roman" w:hAnsi="Times New Roman"/>
        </w:rPr>
        <w:t xml:space="preserve"> KM, et al. Connectedness as a predictor of sexual and reproductive health outcomes for youth. 2010;46:S23-S41.</w:t>
      </w:r>
    </w:p>
    <w:p w:rsidR="00B1254E" w:rsidP="00B1254E" w:rsidRDefault="00B1254E" w14:paraId="6F42AD1C" w14:textId="77777777">
      <w:pPr>
        <w:pStyle w:val="ListParagraph"/>
        <w:numPr>
          <w:ilvl w:val="0"/>
          <w:numId w:val="29"/>
        </w:numPr>
        <w:spacing w:before="240" w:line="360" w:lineRule="auto"/>
        <w:rPr>
          <w:rFonts w:ascii="Times New Roman" w:hAnsi="Times New Roman"/>
        </w:rPr>
      </w:pPr>
      <w:r w:rsidRPr="00B1254E">
        <w:rPr>
          <w:rFonts w:ascii="Times New Roman" w:hAnsi="Times New Roman"/>
        </w:rPr>
        <w:t>DiClemente RJ, Salazar LF, Crosby RA, et al. Prevention and control of sexually transmitted infections among adolescents: the importance of a socio-ecological perspective—a commentary. Public Health 2005;119:825-836.</w:t>
      </w:r>
    </w:p>
    <w:p w:rsidR="00B1254E" w:rsidP="00B1254E" w:rsidRDefault="00B1254E" w14:paraId="5BFA9560" w14:textId="77777777">
      <w:pPr>
        <w:pStyle w:val="ListParagraph"/>
        <w:numPr>
          <w:ilvl w:val="0"/>
          <w:numId w:val="29"/>
        </w:numPr>
        <w:spacing w:before="240" w:line="360" w:lineRule="auto"/>
        <w:rPr>
          <w:rFonts w:ascii="Times New Roman" w:hAnsi="Times New Roman"/>
        </w:rPr>
      </w:pPr>
      <w:r w:rsidRPr="00B1254E">
        <w:rPr>
          <w:rFonts w:ascii="Times New Roman" w:hAnsi="Times New Roman"/>
        </w:rPr>
        <w:t xml:space="preserve">Dittus PJ, Michael SL, </w:t>
      </w:r>
      <w:proofErr w:type="spellStart"/>
      <w:r w:rsidRPr="00B1254E">
        <w:rPr>
          <w:rFonts w:ascii="Times New Roman" w:hAnsi="Times New Roman"/>
        </w:rPr>
        <w:t>Becasen</w:t>
      </w:r>
      <w:proofErr w:type="spellEnd"/>
      <w:r w:rsidRPr="00B1254E">
        <w:rPr>
          <w:rFonts w:ascii="Times New Roman" w:hAnsi="Times New Roman"/>
        </w:rPr>
        <w:t xml:space="preserve"> JS, et al. Parental monitoring and its associations with adolescent sexual risk behavior: A meta-analysis. Pediatrics 2015;136:e1587-1599.</w:t>
      </w:r>
    </w:p>
    <w:p w:rsidR="00232019" w:rsidP="00B1254E" w:rsidRDefault="00B1254E" w14:paraId="219F5DF9" w14:textId="464599A2">
      <w:pPr>
        <w:pStyle w:val="ListParagraph"/>
        <w:numPr>
          <w:ilvl w:val="0"/>
          <w:numId w:val="29"/>
        </w:numPr>
        <w:spacing w:before="240" w:line="360" w:lineRule="auto"/>
        <w:rPr>
          <w:rFonts w:ascii="Times New Roman" w:hAnsi="Times New Roman"/>
        </w:rPr>
      </w:pPr>
      <w:r w:rsidRPr="00B1254E">
        <w:rPr>
          <w:rFonts w:ascii="Times New Roman" w:hAnsi="Times New Roman"/>
        </w:rPr>
        <w:t xml:space="preserve">Ethier KA, Harper CR, </w:t>
      </w:r>
      <w:proofErr w:type="spellStart"/>
      <w:r w:rsidRPr="00B1254E">
        <w:rPr>
          <w:rFonts w:ascii="Times New Roman" w:hAnsi="Times New Roman"/>
        </w:rPr>
        <w:t>Hoo</w:t>
      </w:r>
      <w:proofErr w:type="spellEnd"/>
      <w:r w:rsidRPr="00B1254E">
        <w:rPr>
          <w:rFonts w:ascii="Times New Roman" w:hAnsi="Times New Roman"/>
        </w:rPr>
        <w:t xml:space="preserve"> E, et al. The longitudinal impact of perceptions of parental monitoring on adolescent initiation of sexual activity. 2016;59:570-576.</w:t>
      </w:r>
    </w:p>
    <w:p w:rsidRPr="00C944EC" w:rsidR="00C944EC" w:rsidP="00C944EC" w:rsidRDefault="00C944EC" w14:paraId="1AE5AF67" w14:textId="77777777">
      <w:pPr>
        <w:pStyle w:val="ListParagraph"/>
        <w:numPr>
          <w:ilvl w:val="0"/>
          <w:numId w:val="29"/>
        </w:numPr>
        <w:spacing w:before="240" w:line="360" w:lineRule="auto"/>
        <w:rPr>
          <w:rFonts w:ascii="Times New Roman" w:hAnsi="Times New Roman"/>
        </w:rPr>
      </w:pPr>
      <w:proofErr w:type="spellStart"/>
      <w:r w:rsidRPr="00C944EC">
        <w:rPr>
          <w:rFonts w:ascii="Times New Roman" w:hAnsi="Times New Roman"/>
        </w:rPr>
        <w:t>Basch</w:t>
      </w:r>
      <w:proofErr w:type="spellEnd"/>
      <w:r w:rsidRPr="00C944EC">
        <w:rPr>
          <w:rFonts w:ascii="Times New Roman" w:hAnsi="Times New Roman"/>
        </w:rPr>
        <w:t xml:space="preserve"> CE. Healthier students are better learners: A missing link in school reforms to close the achievement gap. J Sch Health. 2011;81(10):593-598.</w:t>
      </w:r>
    </w:p>
    <w:p w:rsidRPr="00C944EC" w:rsidR="00C944EC" w:rsidP="00C944EC" w:rsidRDefault="00C944EC" w14:paraId="7886BA3D" w14:textId="43716491">
      <w:pPr>
        <w:pStyle w:val="ListParagraph"/>
        <w:numPr>
          <w:ilvl w:val="0"/>
          <w:numId w:val="29"/>
        </w:numPr>
        <w:spacing w:before="240" w:line="360" w:lineRule="auto"/>
        <w:rPr>
          <w:rFonts w:ascii="Times New Roman" w:hAnsi="Times New Roman"/>
        </w:rPr>
      </w:pPr>
      <w:r w:rsidRPr="00C944EC">
        <w:rPr>
          <w:rFonts w:ascii="Times New Roman" w:hAnsi="Times New Roman"/>
        </w:rPr>
        <w:t xml:space="preserve">Rasberry CN, Tiu GF, </w:t>
      </w:r>
      <w:proofErr w:type="spellStart"/>
      <w:r w:rsidRPr="00C944EC">
        <w:rPr>
          <w:rFonts w:ascii="Times New Roman" w:hAnsi="Times New Roman"/>
        </w:rPr>
        <w:t>Kann</w:t>
      </w:r>
      <w:proofErr w:type="spellEnd"/>
      <w:r w:rsidRPr="00C944EC">
        <w:rPr>
          <w:rFonts w:ascii="Times New Roman" w:hAnsi="Times New Roman"/>
        </w:rPr>
        <w:t xml:space="preserve"> L, et al. Health-related </w:t>
      </w:r>
      <w:proofErr w:type="gramStart"/>
      <w:r w:rsidRPr="00C944EC">
        <w:rPr>
          <w:rFonts w:ascii="Times New Roman" w:hAnsi="Times New Roman"/>
        </w:rPr>
        <w:t>behaviors</w:t>
      </w:r>
      <w:proofErr w:type="gramEnd"/>
      <w:r w:rsidRPr="00C944EC">
        <w:rPr>
          <w:rFonts w:ascii="Times New Roman" w:hAnsi="Times New Roman"/>
        </w:rPr>
        <w:t xml:space="preserve"> and academic achievement among high school students—United States, 2015. MMWR Morbidity and Mortality Weekly Report. 2017;66(35):921.</w:t>
      </w:r>
    </w:p>
    <w:p w:rsidRPr="00C944EC" w:rsidR="00C944EC" w:rsidP="00C944EC" w:rsidRDefault="00C944EC" w14:paraId="63A39C5C" w14:textId="3F294EFD">
      <w:pPr>
        <w:pStyle w:val="ListParagraph"/>
        <w:numPr>
          <w:ilvl w:val="0"/>
          <w:numId w:val="29"/>
        </w:numPr>
        <w:spacing w:before="240" w:line="360" w:lineRule="auto"/>
        <w:rPr>
          <w:rFonts w:ascii="Times New Roman" w:hAnsi="Times New Roman"/>
        </w:rPr>
      </w:pPr>
      <w:r w:rsidRPr="00C944EC">
        <w:rPr>
          <w:rFonts w:ascii="Times New Roman" w:hAnsi="Times New Roman"/>
        </w:rPr>
        <w:t xml:space="preserve">Hagan JF, Shaw JS, Duncan PM. Bright futures: Guidelines for health supervision of infants, children, and adolescents. Am </w:t>
      </w:r>
      <w:proofErr w:type="spellStart"/>
      <w:r w:rsidRPr="00C944EC">
        <w:rPr>
          <w:rFonts w:ascii="Times New Roman" w:hAnsi="Times New Roman"/>
        </w:rPr>
        <w:t>Acad</w:t>
      </w:r>
      <w:proofErr w:type="spellEnd"/>
      <w:r w:rsidRPr="00C944EC">
        <w:rPr>
          <w:rFonts w:ascii="Times New Roman" w:hAnsi="Times New Roman"/>
        </w:rPr>
        <w:t xml:space="preserve"> Pediatrics; 2007.</w:t>
      </w:r>
    </w:p>
    <w:p w:rsidR="00C944EC" w:rsidP="00C944EC" w:rsidRDefault="00C944EC" w14:paraId="53D5D517" w14:textId="77777777">
      <w:pPr>
        <w:pStyle w:val="ListParagraph"/>
        <w:numPr>
          <w:ilvl w:val="0"/>
          <w:numId w:val="29"/>
        </w:numPr>
        <w:spacing w:before="240" w:line="360" w:lineRule="auto"/>
        <w:rPr>
          <w:rFonts w:ascii="Times New Roman" w:hAnsi="Times New Roman"/>
        </w:rPr>
      </w:pPr>
      <w:r w:rsidRPr="00C944EC">
        <w:rPr>
          <w:rFonts w:ascii="Times New Roman" w:hAnsi="Times New Roman"/>
        </w:rPr>
        <w:t>USPSTF. Guide to clinical preventive services. In: Alexandria, VA: International Medical Publishing; 1996.</w:t>
      </w:r>
    </w:p>
    <w:p w:rsidR="00C944EC" w:rsidP="00C944EC" w:rsidRDefault="00C944EC" w14:paraId="7723B011" w14:textId="38F2341B">
      <w:pPr>
        <w:pStyle w:val="ListParagraph"/>
        <w:numPr>
          <w:ilvl w:val="0"/>
          <w:numId w:val="29"/>
        </w:numPr>
        <w:spacing w:before="240" w:line="360" w:lineRule="auto"/>
        <w:rPr>
          <w:rFonts w:ascii="Times New Roman" w:hAnsi="Times New Roman"/>
        </w:rPr>
      </w:pPr>
      <w:proofErr w:type="spellStart"/>
      <w:r w:rsidRPr="00C944EC">
        <w:rPr>
          <w:rFonts w:ascii="Times New Roman" w:hAnsi="Times New Roman"/>
        </w:rPr>
        <w:t>Elster</w:t>
      </w:r>
      <w:proofErr w:type="spellEnd"/>
      <w:r w:rsidRPr="00C944EC">
        <w:rPr>
          <w:rFonts w:ascii="Times New Roman" w:hAnsi="Times New Roman"/>
        </w:rPr>
        <w:t xml:space="preserve"> AB, Kuznets NJ. AMA guidelines for adolescent preventive services (GAPS): recommendations and rationale. Williams &amp; Wilkins; 1994.</w:t>
      </w:r>
    </w:p>
    <w:p w:rsidRPr="00C944EC" w:rsidR="00C944EC" w:rsidP="00C944EC" w:rsidRDefault="00C944EC" w14:paraId="16722A1D" w14:textId="77777777">
      <w:pPr>
        <w:pStyle w:val="ListParagraph"/>
        <w:numPr>
          <w:ilvl w:val="0"/>
          <w:numId w:val="29"/>
        </w:numPr>
        <w:spacing w:before="240" w:line="360" w:lineRule="auto"/>
        <w:rPr>
          <w:rFonts w:ascii="Times New Roman" w:hAnsi="Times New Roman"/>
        </w:rPr>
      </w:pPr>
      <w:proofErr w:type="spellStart"/>
      <w:r w:rsidRPr="00C944EC">
        <w:rPr>
          <w:rFonts w:ascii="Times New Roman" w:hAnsi="Times New Roman"/>
        </w:rPr>
        <w:t>Marraccini</w:t>
      </w:r>
      <w:proofErr w:type="spellEnd"/>
      <w:r w:rsidRPr="00C944EC">
        <w:rPr>
          <w:rFonts w:ascii="Times New Roman" w:hAnsi="Times New Roman"/>
        </w:rPr>
        <w:t xml:space="preserve"> ME, Brier ZM. School connectedness and suicidal thoughts and behaviors: A systematic meta-analysis. Sch Psychol Q. 2017;32(1):5-21.</w:t>
      </w:r>
    </w:p>
    <w:p w:rsidRPr="00C944EC" w:rsidR="00C944EC" w:rsidP="00C944EC" w:rsidRDefault="00C944EC" w14:paraId="34C65FD8" w14:textId="725E5541">
      <w:pPr>
        <w:pStyle w:val="ListParagraph"/>
        <w:numPr>
          <w:ilvl w:val="0"/>
          <w:numId w:val="29"/>
        </w:numPr>
        <w:spacing w:before="240" w:line="360" w:lineRule="auto"/>
        <w:rPr>
          <w:rFonts w:ascii="Times New Roman" w:hAnsi="Times New Roman"/>
        </w:rPr>
      </w:pPr>
      <w:r w:rsidRPr="00C944EC">
        <w:rPr>
          <w:rFonts w:ascii="Times New Roman" w:hAnsi="Times New Roman"/>
        </w:rPr>
        <w:t>Resnick MD, Bearman PS, Blum RW, et al. Protecting adolescents from harm. Findings from the National Longitudinal Study on Adolescent Health. JAMA. 1997;278(10):823-832.</w:t>
      </w:r>
    </w:p>
    <w:p w:rsidR="00C944EC" w:rsidP="00C944EC" w:rsidRDefault="00C944EC" w14:paraId="3EC5B1F8" w14:textId="4432FD20">
      <w:pPr>
        <w:pStyle w:val="ListParagraph"/>
        <w:numPr>
          <w:ilvl w:val="0"/>
          <w:numId w:val="29"/>
        </w:numPr>
        <w:spacing w:before="240" w:line="360" w:lineRule="auto"/>
        <w:rPr>
          <w:rFonts w:ascii="Times New Roman" w:hAnsi="Times New Roman"/>
        </w:rPr>
      </w:pPr>
      <w:r w:rsidRPr="00C944EC">
        <w:rPr>
          <w:rFonts w:ascii="Times New Roman" w:hAnsi="Times New Roman"/>
        </w:rPr>
        <w:t xml:space="preserve">Clark HK, </w:t>
      </w:r>
      <w:proofErr w:type="spellStart"/>
      <w:r w:rsidRPr="00C944EC">
        <w:rPr>
          <w:rFonts w:ascii="Times New Roman" w:hAnsi="Times New Roman"/>
        </w:rPr>
        <w:t>Shamblen</w:t>
      </w:r>
      <w:proofErr w:type="spellEnd"/>
      <w:r w:rsidRPr="00C944EC">
        <w:rPr>
          <w:rFonts w:ascii="Times New Roman" w:hAnsi="Times New Roman"/>
        </w:rPr>
        <w:t xml:space="preserve"> SR, </w:t>
      </w:r>
      <w:proofErr w:type="spellStart"/>
      <w:r w:rsidRPr="00C944EC">
        <w:rPr>
          <w:rFonts w:ascii="Times New Roman" w:hAnsi="Times New Roman"/>
        </w:rPr>
        <w:t>Ringwalt</w:t>
      </w:r>
      <w:proofErr w:type="spellEnd"/>
      <w:r w:rsidRPr="00C944EC">
        <w:rPr>
          <w:rFonts w:ascii="Times New Roman" w:hAnsi="Times New Roman"/>
        </w:rPr>
        <w:t xml:space="preserve"> CL, Hanley S. Predicting high risk adolescents' substance use over time: the role of parental monitoring. J Prim Prev. 2012;33(2-3):67-77.</w:t>
      </w:r>
    </w:p>
    <w:p w:rsidR="00C944EC" w:rsidP="00C944EC" w:rsidRDefault="00C944EC" w14:paraId="732599DA" w14:textId="233C5493">
      <w:pPr>
        <w:pStyle w:val="ListParagraph"/>
        <w:numPr>
          <w:ilvl w:val="0"/>
          <w:numId w:val="29"/>
        </w:numPr>
        <w:spacing w:before="240" w:line="360" w:lineRule="auto"/>
        <w:rPr>
          <w:rFonts w:ascii="Times New Roman" w:hAnsi="Times New Roman"/>
        </w:rPr>
      </w:pPr>
      <w:r w:rsidRPr="00C944EC">
        <w:rPr>
          <w:rFonts w:ascii="Times New Roman" w:hAnsi="Times New Roman"/>
        </w:rPr>
        <w:t xml:space="preserve">Healthy People 2030. Objectives and Data. Retrieved </w:t>
      </w:r>
      <w:r w:rsidR="000D6C86">
        <w:rPr>
          <w:rFonts w:ascii="Times New Roman" w:hAnsi="Times New Roman"/>
        </w:rPr>
        <w:t>March 1</w:t>
      </w:r>
      <w:r w:rsidRPr="00C944EC">
        <w:rPr>
          <w:rFonts w:ascii="Times New Roman" w:hAnsi="Times New Roman"/>
        </w:rPr>
        <w:t xml:space="preserve">0, 2021 from: </w:t>
      </w:r>
      <w:hyperlink w:history="1" r:id="rId8">
        <w:r w:rsidRPr="007A01E6">
          <w:rPr>
            <w:rStyle w:val="Hyperlink"/>
            <w:rFonts w:ascii="Times New Roman" w:hAnsi="Times New Roman"/>
          </w:rPr>
          <w:t>https://health.gov/healthypeople/objectives-and-data</w:t>
        </w:r>
      </w:hyperlink>
    </w:p>
    <w:p w:rsidR="00C944EC" w:rsidP="00C944EC" w:rsidRDefault="000D6C86" w14:paraId="028FFD03" w14:textId="338FBD05">
      <w:pPr>
        <w:pStyle w:val="ListParagraph"/>
        <w:numPr>
          <w:ilvl w:val="0"/>
          <w:numId w:val="29"/>
        </w:numPr>
        <w:spacing w:before="240" w:line="360" w:lineRule="auto"/>
        <w:rPr>
          <w:rFonts w:ascii="Times New Roman" w:hAnsi="Times New Roman"/>
        </w:rPr>
      </w:pPr>
      <w:r>
        <w:rPr>
          <w:rFonts w:ascii="Times New Roman" w:hAnsi="Times New Roman"/>
        </w:rPr>
        <w:t xml:space="preserve">Centers for Disease Control and Prevention. Ending the HIV Epidemic: A Plan for America. Retrieved March 10, 2021 from: </w:t>
      </w:r>
      <w:hyperlink w:history="1" r:id="rId9">
        <w:r w:rsidRPr="007A01E6">
          <w:rPr>
            <w:rStyle w:val="Hyperlink"/>
            <w:rFonts w:ascii="Times New Roman" w:hAnsi="Times New Roman"/>
          </w:rPr>
          <w:t>https://www.cdc.gov/endhiv/index.html</w:t>
        </w:r>
      </w:hyperlink>
    </w:p>
    <w:p w:rsidR="000D6C86" w:rsidP="000D6C86" w:rsidRDefault="000D6C86" w14:paraId="42FC4F42" w14:textId="77777777">
      <w:pPr>
        <w:pStyle w:val="ListParagraph"/>
        <w:spacing w:before="240" w:line="360" w:lineRule="auto"/>
        <w:rPr>
          <w:rFonts w:ascii="Times New Roman" w:hAnsi="Times New Roman"/>
        </w:rPr>
      </w:pPr>
    </w:p>
    <w:p w:rsidR="00C944EC" w:rsidP="00C944EC" w:rsidRDefault="00C944EC" w14:paraId="4881AC1A" w14:textId="62EAF010">
      <w:pPr>
        <w:pStyle w:val="ListParagraph"/>
        <w:numPr>
          <w:ilvl w:val="0"/>
          <w:numId w:val="29"/>
        </w:numPr>
        <w:spacing w:before="240" w:line="360" w:lineRule="auto"/>
        <w:rPr>
          <w:rFonts w:ascii="Times New Roman" w:hAnsi="Times New Roman"/>
        </w:rPr>
      </w:pPr>
      <w:r w:rsidRPr="00C944EC">
        <w:rPr>
          <w:rFonts w:ascii="Times New Roman" w:hAnsi="Times New Roman"/>
        </w:rPr>
        <w:lastRenderedPageBreak/>
        <w:t xml:space="preserve">Prevention Strategy, Washington, DC: U.S. Department of Health and Human Services, Office of the Surgeon General. Retrieved </w:t>
      </w:r>
      <w:r w:rsidR="000D6C86">
        <w:rPr>
          <w:rFonts w:ascii="Times New Roman" w:hAnsi="Times New Roman"/>
        </w:rPr>
        <w:t>March 1</w:t>
      </w:r>
      <w:r w:rsidRPr="00C944EC">
        <w:rPr>
          <w:rFonts w:ascii="Times New Roman" w:hAnsi="Times New Roman"/>
        </w:rPr>
        <w:t xml:space="preserve">0, 2021, from: </w:t>
      </w:r>
      <w:hyperlink w:history="1" r:id="rId10">
        <w:r w:rsidRPr="007A01E6" w:rsidR="00BA1E60">
          <w:rPr>
            <w:rStyle w:val="Hyperlink"/>
            <w:rFonts w:ascii="Times New Roman" w:hAnsi="Times New Roman"/>
          </w:rPr>
          <w:t>http://www.surgeongeneral.gov/priorities/prevention/strategy/report.pdf</w:t>
        </w:r>
      </w:hyperlink>
    </w:p>
    <w:p w:rsidRPr="00BA1E60" w:rsidR="00BA1E60" w:rsidP="00BA1E60" w:rsidRDefault="00BA1E60" w14:paraId="6A087857" w14:textId="77777777">
      <w:pPr>
        <w:pStyle w:val="ListParagraph"/>
        <w:rPr>
          <w:rFonts w:ascii="Times New Roman" w:hAnsi="Times New Roman"/>
        </w:rPr>
      </w:pPr>
    </w:p>
    <w:p w:rsidRPr="00BA1E60" w:rsidR="00BA1E60" w:rsidP="00BA1E60" w:rsidRDefault="00BA1E60" w14:paraId="2A2D866C" w14:textId="77777777">
      <w:pPr>
        <w:pStyle w:val="ListParagraph"/>
        <w:numPr>
          <w:ilvl w:val="0"/>
          <w:numId w:val="29"/>
        </w:numPr>
        <w:spacing w:before="240" w:line="360" w:lineRule="auto"/>
        <w:rPr>
          <w:rFonts w:ascii="Times New Roman" w:hAnsi="Times New Roman"/>
        </w:rPr>
      </w:pPr>
      <w:r w:rsidRPr="00BA1E60">
        <w:rPr>
          <w:rFonts w:ascii="Times New Roman" w:hAnsi="Times New Roman"/>
        </w:rPr>
        <w:t>Thompson, W. (1985). Utility of paying respondents: evidence from the Residential Energy Consumption Surveys. Paper presented at the annual conference of the American Association for Public Opinion Research, May 1985.</w:t>
      </w:r>
    </w:p>
    <w:p w:rsidRPr="00BA1E60" w:rsidR="00BA1E60" w:rsidP="00BA1E60" w:rsidRDefault="00BA1E60" w14:paraId="2F8AA82A" w14:textId="5058018D">
      <w:pPr>
        <w:pStyle w:val="ListParagraph"/>
        <w:spacing w:before="240" w:line="360" w:lineRule="auto"/>
        <w:rPr>
          <w:rFonts w:ascii="Times New Roman" w:hAnsi="Times New Roman"/>
        </w:rPr>
      </w:pPr>
    </w:p>
    <w:p w:rsidRPr="00C944EC" w:rsidR="00BA1E60" w:rsidP="00BA1E60" w:rsidRDefault="00BA1E60" w14:paraId="335BC327" w14:textId="75621F4F">
      <w:pPr>
        <w:pStyle w:val="ListParagraph"/>
        <w:numPr>
          <w:ilvl w:val="0"/>
          <w:numId w:val="29"/>
        </w:numPr>
        <w:spacing w:before="240" w:line="360" w:lineRule="auto"/>
        <w:rPr>
          <w:rFonts w:ascii="Times New Roman" w:hAnsi="Times New Roman"/>
        </w:rPr>
      </w:pPr>
      <w:proofErr w:type="spellStart"/>
      <w:r w:rsidRPr="00BA1E60">
        <w:rPr>
          <w:rFonts w:ascii="Times New Roman" w:hAnsi="Times New Roman"/>
        </w:rPr>
        <w:t>Dillman</w:t>
      </w:r>
      <w:proofErr w:type="spellEnd"/>
      <w:r w:rsidRPr="00BA1E60">
        <w:rPr>
          <w:rFonts w:ascii="Times New Roman" w:hAnsi="Times New Roman"/>
        </w:rPr>
        <w:t xml:space="preserve"> D.A., Smyth J.D., &amp; Christian, L.M. (2014). Internet, phone, mail, and mixed-mode surveys: The tailored design method (Fourth Edition). John Wiley &amp; Sons, Inc.</w:t>
      </w:r>
    </w:p>
    <w:p w:rsidRPr="00232019" w:rsidR="00232019" w:rsidP="00EC01FB" w:rsidRDefault="00232019" w14:paraId="5D2C149D" w14:textId="15A616A4">
      <w:pPr>
        <w:pStyle w:val="ListParagraph"/>
        <w:ind w:left="648"/>
        <w:rPr>
          <w:rFonts w:ascii="Times New Roman" w:hAnsi="Times New Roman"/>
        </w:rPr>
      </w:pPr>
    </w:p>
    <w:sectPr w:rsidRPr="00232019" w:rsidR="002320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495C" w14:textId="77777777" w:rsidR="00F15436" w:rsidRDefault="00F15436" w:rsidP="00CA0E41">
      <w:r>
        <w:separator/>
      </w:r>
    </w:p>
  </w:endnote>
  <w:endnote w:type="continuationSeparator" w:id="0">
    <w:p w14:paraId="5E47CC9E" w14:textId="77777777" w:rsidR="00F15436" w:rsidRDefault="00F15436" w:rsidP="00CA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Std">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01DF8" w14:textId="77777777" w:rsidR="00F15436" w:rsidRDefault="00F15436" w:rsidP="00CA0E41">
      <w:r>
        <w:separator/>
      </w:r>
    </w:p>
  </w:footnote>
  <w:footnote w:type="continuationSeparator" w:id="0">
    <w:p w14:paraId="00E8710D" w14:textId="77777777" w:rsidR="00F15436" w:rsidRDefault="00F15436" w:rsidP="00CA0E41">
      <w:r>
        <w:continuationSeparator/>
      </w:r>
    </w:p>
  </w:footnote>
  <w:footnote w:id="1">
    <w:p w14:paraId="611C16B6" w14:textId="77777777" w:rsidR="007531EB" w:rsidRDefault="007531EB" w:rsidP="007531EB">
      <w:pPr>
        <w:pStyle w:val="FootnoteText"/>
      </w:pPr>
      <w:r>
        <w:rPr>
          <w:rStyle w:val="FootnoteReference"/>
        </w:rPr>
        <w:footnoteRef/>
      </w:r>
      <w:r>
        <w:t xml:space="preserve"> </w:t>
      </w:r>
      <w:hyperlink r:id="rId1" w:anchor="00-0000" w:history="1">
        <w:r>
          <w:rPr>
            <w:rStyle w:val="Hyperlink"/>
          </w:rPr>
          <w:t>https://www.bls.gov/oes/current/oes_nat.htm#00-0000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1DDC"/>
    <w:multiLevelType w:val="hybridMultilevel"/>
    <w:tmpl w:val="B6DE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01142"/>
    <w:multiLevelType w:val="hybridMultilevel"/>
    <w:tmpl w:val="85023960"/>
    <w:lvl w:ilvl="0" w:tplc="0409000F">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0862402F"/>
    <w:multiLevelType w:val="hybridMultilevel"/>
    <w:tmpl w:val="89727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04937"/>
    <w:multiLevelType w:val="hybridMultilevel"/>
    <w:tmpl w:val="E4E4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94E91"/>
    <w:multiLevelType w:val="hybridMultilevel"/>
    <w:tmpl w:val="5884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F7E54"/>
    <w:multiLevelType w:val="hybridMultilevel"/>
    <w:tmpl w:val="827AE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A5B77"/>
    <w:multiLevelType w:val="hybridMultilevel"/>
    <w:tmpl w:val="42B8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72854"/>
    <w:multiLevelType w:val="hybridMultilevel"/>
    <w:tmpl w:val="6BB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628CE"/>
    <w:multiLevelType w:val="hybridMultilevel"/>
    <w:tmpl w:val="AD82E87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91695"/>
    <w:multiLevelType w:val="hybridMultilevel"/>
    <w:tmpl w:val="3CA4C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10B50"/>
    <w:multiLevelType w:val="hybridMultilevel"/>
    <w:tmpl w:val="4052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43056"/>
    <w:multiLevelType w:val="hybridMultilevel"/>
    <w:tmpl w:val="6F661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D5A83"/>
    <w:multiLevelType w:val="hybridMultilevel"/>
    <w:tmpl w:val="5A76C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D58B5"/>
    <w:multiLevelType w:val="hybridMultilevel"/>
    <w:tmpl w:val="9914F996"/>
    <w:lvl w:ilvl="0" w:tplc="CD5865C4">
      <w:start w:val="1"/>
      <w:numFmt w:val="decimal"/>
      <w:lvlText w:val="%1."/>
      <w:lvlJc w:val="left"/>
      <w:pPr>
        <w:ind w:left="126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03902"/>
    <w:multiLevelType w:val="hybridMultilevel"/>
    <w:tmpl w:val="A78E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3707A"/>
    <w:multiLevelType w:val="hybridMultilevel"/>
    <w:tmpl w:val="029EE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00AC0"/>
    <w:multiLevelType w:val="hybridMultilevel"/>
    <w:tmpl w:val="D96A7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B4DD7"/>
    <w:multiLevelType w:val="hybridMultilevel"/>
    <w:tmpl w:val="CE24F5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04A28"/>
    <w:multiLevelType w:val="hybridMultilevel"/>
    <w:tmpl w:val="C4A69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155E9"/>
    <w:multiLevelType w:val="hybridMultilevel"/>
    <w:tmpl w:val="8DB4B8EE"/>
    <w:lvl w:ilvl="0" w:tplc="DC44B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922FC"/>
    <w:multiLevelType w:val="hybridMultilevel"/>
    <w:tmpl w:val="87CC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9052E"/>
    <w:multiLevelType w:val="hybridMultilevel"/>
    <w:tmpl w:val="D4D6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04CF8"/>
    <w:multiLevelType w:val="hybridMultilevel"/>
    <w:tmpl w:val="89727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C70B38"/>
    <w:multiLevelType w:val="hybridMultilevel"/>
    <w:tmpl w:val="2050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72093"/>
    <w:multiLevelType w:val="hybridMultilevel"/>
    <w:tmpl w:val="D96A7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6665F"/>
    <w:multiLevelType w:val="hybridMultilevel"/>
    <w:tmpl w:val="4364C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D4706"/>
    <w:multiLevelType w:val="hybridMultilevel"/>
    <w:tmpl w:val="D2D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A45EFE"/>
    <w:multiLevelType w:val="hybridMultilevel"/>
    <w:tmpl w:val="12B03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DB97CE0"/>
    <w:multiLevelType w:val="hybridMultilevel"/>
    <w:tmpl w:val="1BE68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F1F9E"/>
    <w:multiLevelType w:val="hybridMultilevel"/>
    <w:tmpl w:val="5492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13"/>
  </w:num>
  <w:num w:numId="4">
    <w:abstractNumId w:val="21"/>
  </w:num>
  <w:num w:numId="5">
    <w:abstractNumId w:val="10"/>
  </w:num>
  <w:num w:numId="6">
    <w:abstractNumId w:val="11"/>
  </w:num>
  <w:num w:numId="7">
    <w:abstractNumId w:val="16"/>
  </w:num>
  <w:num w:numId="8">
    <w:abstractNumId w:val="14"/>
  </w:num>
  <w:num w:numId="9">
    <w:abstractNumId w:val="20"/>
  </w:num>
  <w:num w:numId="10">
    <w:abstractNumId w:val="29"/>
  </w:num>
  <w:num w:numId="11">
    <w:abstractNumId w:val="2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1"/>
  </w:num>
  <w:num w:numId="16">
    <w:abstractNumId w:val="19"/>
  </w:num>
  <w:num w:numId="17">
    <w:abstractNumId w:val="9"/>
  </w:num>
  <w:num w:numId="18">
    <w:abstractNumId w:val="2"/>
  </w:num>
  <w:num w:numId="19">
    <w:abstractNumId w:val="17"/>
  </w:num>
  <w:num w:numId="20">
    <w:abstractNumId w:val="5"/>
  </w:num>
  <w:num w:numId="21">
    <w:abstractNumId w:val="8"/>
  </w:num>
  <w:num w:numId="22">
    <w:abstractNumId w:val="12"/>
  </w:num>
  <w:num w:numId="23">
    <w:abstractNumId w:val="15"/>
  </w:num>
  <w:num w:numId="24">
    <w:abstractNumId w:val="25"/>
  </w:num>
  <w:num w:numId="25">
    <w:abstractNumId w:val="22"/>
  </w:num>
  <w:num w:numId="26">
    <w:abstractNumId w:val="23"/>
  </w:num>
  <w:num w:numId="27">
    <w:abstractNumId w:val="4"/>
  </w:num>
  <w:num w:numId="28">
    <w:abstractNumId w:val="30"/>
  </w:num>
  <w:num w:numId="29">
    <w:abstractNumId w:val="3"/>
  </w:num>
  <w:num w:numId="30">
    <w:abstractNumId w:val="0"/>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CD"/>
    <w:rsid w:val="000043A0"/>
    <w:rsid w:val="00021E6A"/>
    <w:rsid w:val="00026BAC"/>
    <w:rsid w:val="00031415"/>
    <w:rsid w:val="00032210"/>
    <w:rsid w:val="000438E8"/>
    <w:rsid w:val="0004699E"/>
    <w:rsid w:val="00050070"/>
    <w:rsid w:val="000517BD"/>
    <w:rsid w:val="00056797"/>
    <w:rsid w:val="000604E0"/>
    <w:rsid w:val="000705F7"/>
    <w:rsid w:val="000706FA"/>
    <w:rsid w:val="00071295"/>
    <w:rsid w:val="000725AB"/>
    <w:rsid w:val="000747E6"/>
    <w:rsid w:val="00082699"/>
    <w:rsid w:val="00082ED9"/>
    <w:rsid w:val="00085404"/>
    <w:rsid w:val="00094FA1"/>
    <w:rsid w:val="00097462"/>
    <w:rsid w:val="000A698E"/>
    <w:rsid w:val="000B2142"/>
    <w:rsid w:val="000B4B71"/>
    <w:rsid w:val="000C335D"/>
    <w:rsid w:val="000C61E0"/>
    <w:rsid w:val="000D5E3B"/>
    <w:rsid w:val="000D6C86"/>
    <w:rsid w:val="000F0A15"/>
    <w:rsid w:val="000F1393"/>
    <w:rsid w:val="000F5117"/>
    <w:rsid w:val="00100231"/>
    <w:rsid w:val="00105FC2"/>
    <w:rsid w:val="00106627"/>
    <w:rsid w:val="00116934"/>
    <w:rsid w:val="00120ABC"/>
    <w:rsid w:val="00127108"/>
    <w:rsid w:val="00133C7A"/>
    <w:rsid w:val="001351D3"/>
    <w:rsid w:val="00147E52"/>
    <w:rsid w:val="00150EA9"/>
    <w:rsid w:val="001525EC"/>
    <w:rsid w:val="00164774"/>
    <w:rsid w:val="001655D6"/>
    <w:rsid w:val="00166E1A"/>
    <w:rsid w:val="00180735"/>
    <w:rsid w:val="00183C05"/>
    <w:rsid w:val="00184E56"/>
    <w:rsid w:val="00185897"/>
    <w:rsid w:val="00186F1E"/>
    <w:rsid w:val="00191E11"/>
    <w:rsid w:val="00196181"/>
    <w:rsid w:val="001A5105"/>
    <w:rsid w:val="001B1D69"/>
    <w:rsid w:val="001C0864"/>
    <w:rsid w:val="001C09AA"/>
    <w:rsid w:val="001C5016"/>
    <w:rsid w:val="001C75DF"/>
    <w:rsid w:val="001C7F07"/>
    <w:rsid w:val="001D182C"/>
    <w:rsid w:val="001D1F5F"/>
    <w:rsid w:val="001D6438"/>
    <w:rsid w:val="001E103F"/>
    <w:rsid w:val="001E2DA4"/>
    <w:rsid w:val="001E30F3"/>
    <w:rsid w:val="001F544F"/>
    <w:rsid w:val="001F652A"/>
    <w:rsid w:val="00211DF0"/>
    <w:rsid w:val="00231FAF"/>
    <w:rsid w:val="00232019"/>
    <w:rsid w:val="00233200"/>
    <w:rsid w:val="00234CCF"/>
    <w:rsid w:val="002473E3"/>
    <w:rsid w:val="00252D96"/>
    <w:rsid w:val="0025629D"/>
    <w:rsid w:val="00261CB5"/>
    <w:rsid w:val="00264474"/>
    <w:rsid w:val="00267984"/>
    <w:rsid w:val="002718AB"/>
    <w:rsid w:val="00274A0A"/>
    <w:rsid w:val="00275312"/>
    <w:rsid w:val="0028110D"/>
    <w:rsid w:val="00287AD5"/>
    <w:rsid w:val="002931A7"/>
    <w:rsid w:val="0029571D"/>
    <w:rsid w:val="00297640"/>
    <w:rsid w:val="002A24E9"/>
    <w:rsid w:val="002A2D1E"/>
    <w:rsid w:val="002A62D6"/>
    <w:rsid w:val="002B178E"/>
    <w:rsid w:val="002B5612"/>
    <w:rsid w:val="002C5A6E"/>
    <w:rsid w:val="002D0728"/>
    <w:rsid w:val="002D5696"/>
    <w:rsid w:val="002D6E38"/>
    <w:rsid w:val="002E07EF"/>
    <w:rsid w:val="002E1622"/>
    <w:rsid w:val="002F0F24"/>
    <w:rsid w:val="002F5B9E"/>
    <w:rsid w:val="002F7180"/>
    <w:rsid w:val="00305050"/>
    <w:rsid w:val="00310CA8"/>
    <w:rsid w:val="00314DCF"/>
    <w:rsid w:val="0031739F"/>
    <w:rsid w:val="003206EE"/>
    <w:rsid w:val="00320B27"/>
    <w:rsid w:val="0032151F"/>
    <w:rsid w:val="0032164B"/>
    <w:rsid w:val="003225F8"/>
    <w:rsid w:val="00335328"/>
    <w:rsid w:val="00335899"/>
    <w:rsid w:val="00355261"/>
    <w:rsid w:val="003756D0"/>
    <w:rsid w:val="003846A6"/>
    <w:rsid w:val="003947BB"/>
    <w:rsid w:val="003A4449"/>
    <w:rsid w:val="003A6A79"/>
    <w:rsid w:val="003A6E1F"/>
    <w:rsid w:val="003A6F0F"/>
    <w:rsid w:val="003B0840"/>
    <w:rsid w:val="003B1913"/>
    <w:rsid w:val="003B2583"/>
    <w:rsid w:val="003C05F6"/>
    <w:rsid w:val="003C51ED"/>
    <w:rsid w:val="003D1366"/>
    <w:rsid w:val="003E1F64"/>
    <w:rsid w:val="003F0FE0"/>
    <w:rsid w:val="003F1120"/>
    <w:rsid w:val="003F7A99"/>
    <w:rsid w:val="00400873"/>
    <w:rsid w:val="00403909"/>
    <w:rsid w:val="00403CAD"/>
    <w:rsid w:val="00407C19"/>
    <w:rsid w:val="00413B10"/>
    <w:rsid w:val="0042156C"/>
    <w:rsid w:val="004225DB"/>
    <w:rsid w:val="0042393B"/>
    <w:rsid w:val="00423D27"/>
    <w:rsid w:val="00431F3E"/>
    <w:rsid w:val="00435864"/>
    <w:rsid w:val="00443BD3"/>
    <w:rsid w:val="00447B29"/>
    <w:rsid w:val="004670D4"/>
    <w:rsid w:val="004840B6"/>
    <w:rsid w:val="00484BC6"/>
    <w:rsid w:val="004944CB"/>
    <w:rsid w:val="004A12FC"/>
    <w:rsid w:val="004A57B9"/>
    <w:rsid w:val="004B0142"/>
    <w:rsid w:val="004B22ED"/>
    <w:rsid w:val="004B4CB7"/>
    <w:rsid w:val="004C1E6C"/>
    <w:rsid w:val="004C3A92"/>
    <w:rsid w:val="004D48CA"/>
    <w:rsid w:val="004D49B2"/>
    <w:rsid w:val="004E0131"/>
    <w:rsid w:val="004E1B80"/>
    <w:rsid w:val="004E3FA0"/>
    <w:rsid w:val="004F0E0B"/>
    <w:rsid w:val="004F176C"/>
    <w:rsid w:val="004F3600"/>
    <w:rsid w:val="004F42A6"/>
    <w:rsid w:val="0050714D"/>
    <w:rsid w:val="00511133"/>
    <w:rsid w:val="0051467C"/>
    <w:rsid w:val="00516B2C"/>
    <w:rsid w:val="00520180"/>
    <w:rsid w:val="00520C3E"/>
    <w:rsid w:val="00531711"/>
    <w:rsid w:val="005325BD"/>
    <w:rsid w:val="00534324"/>
    <w:rsid w:val="00534DE7"/>
    <w:rsid w:val="00543234"/>
    <w:rsid w:val="00554514"/>
    <w:rsid w:val="00562854"/>
    <w:rsid w:val="00566E29"/>
    <w:rsid w:val="00570467"/>
    <w:rsid w:val="0057332F"/>
    <w:rsid w:val="005958CE"/>
    <w:rsid w:val="005A4BED"/>
    <w:rsid w:val="005A62C8"/>
    <w:rsid w:val="005B5753"/>
    <w:rsid w:val="005B605F"/>
    <w:rsid w:val="005B7695"/>
    <w:rsid w:val="005C1A58"/>
    <w:rsid w:val="005C4539"/>
    <w:rsid w:val="005C4DC7"/>
    <w:rsid w:val="005C5E08"/>
    <w:rsid w:val="005C7C47"/>
    <w:rsid w:val="005D0702"/>
    <w:rsid w:val="005D2382"/>
    <w:rsid w:val="005D518D"/>
    <w:rsid w:val="005E188A"/>
    <w:rsid w:val="005E1AA8"/>
    <w:rsid w:val="005E4F3E"/>
    <w:rsid w:val="005E69E9"/>
    <w:rsid w:val="005E7774"/>
    <w:rsid w:val="005F0599"/>
    <w:rsid w:val="005F139F"/>
    <w:rsid w:val="005F5F7C"/>
    <w:rsid w:val="00602443"/>
    <w:rsid w:val="00603C59"/>
    <w:rsid w:val="00624908"/>
    <w:rsid w:val="006250FA"/>
    <w:rsid w:val="00630761"/>
    <w:rsid w:val="00630A92"/>
    <w:rsid w:val="00633D95"/>
    <w:rsid w:val="0064103E"/>
    <w:rsid w:val="006418AE"/>
    <w:rsid w:val="00642787"/>
    <w:rsid w:val="0064647B"/>
    <w:rsid w:val="006567CD"/>
    <w:rsid w:val="00666307"/>
    <w:rsid w:val="0067049C"/>
    <w:rsid w:val="00672FC9"/>
    <w:rsid w:val="00684711"/>
    <w:rsid w:val="006905E8"/>
    <w:rsid w:val="00695567"/>
    <w:rsid w:val="00696685"/>
    <w:rsid w:val="006A5C9E"/>
    <w:rsid w:val="006B28FB"/>
    <w:rsid w:val="006B2D1C"/>
    <w:rsid w:val="006D4D0A"/>
    <w:rsid w:val="006E0BEB"/>
    <w:rsid w:val="006E25C6"/>
    <w:rsid w:val="006E74B8"/>
    <w:rsid w:val="006E7643"/>
    <w:rsid w:val="00716BC7"/>
    <w:rsid w:val="00716C81"/>
    <w:rsid w:val="00726C6C"/>
    <w:rsid w:val="00730527"/>
    <w:rsid w:val="00737334"/>
    <w:rsid w:val="007373A4"/>
    <w:rsid w:val="007531EB"/>
    <w:rsid w:val="00753A97"/>
    <w:rsid w:val="00754FF9"/>
    <w:rsid w:val="0075584E"/>
    <w:rsid w:val="00755ECA"/>
    <w:rsid w:val="00760225"/>
    <w:rsid w:val="00762752"/>
    <w:rsid w:val="00782531"/>
    <w:rsid w:val="0079095D"/>
    <w:rsid w:val="00796EB4"/>
    <w:rsid w:val="007A5263"/>
    <w:rsid w:val="007A5EA8"/>
    <w:rsid w:val="007C6E85"/>
    <w:rsid w:val="007D0C9C"/>
    <w:rsid w:val="007D0F6D"/>
    <w:rsid w:val="007D7B09"/>
    <w:rsid w:val="007E0753"/>
    <w:rsid w:val="007E0A31"/>
    <w:rsid w:val="007F1717"/>
    <w:rsid w:val="007F7D10"/>
    <w:rsid w:val="0080182B"/>
    <w:rsid w:val="008212B4"/>
    <w:rsid w:val="00821ACE"/>
    <w:rsid w:val="00821DA6"/>
    <w:rsid w:val="00826E69"/>
    <w:rsid w:val="00831B94"/>
    <w:rsid w:val="00831BE0"/>
    <w:rsid w:val="00832DCF"/>
    <w:rsid w:val="00834F40"/>
    <w:rsid w:val="0084127C"/>
    <w:rsid w:val="00843A55"/>
    <w:rsid w:val="00843E5B"/>
    <w:rsid w:val="00853037"/>
    <w:rsid w:val="008622B2"/>
    <w:rsid w:val="00871A03"/>
    <w:rsid w:val="00876AFC"/>
    <w:rsid w:val="008832A1"/>
    <w:rsid w:val="00896F3E"/>
    <w:rsid w:val="008A1032"/>
    <w:rsid w:val="008A4BF7"/>
    <w:rsid w:val="008B1F03"/>
    <w:rsid w:val="008B607D"/>
    <w:rsid w:val="008C1E48"/>
    <w:rsid w:val="008C6391"/>
    <w:rsid w:val="008D0FD2"/>
    <w:rsid w:val="008D56FB"/>
    <w:rsid w:val="008F1950"/>
    <w:rsid w:val="008F4D67"/>
    <w:rsid w:val="008F5A29"/>
    <w:rsid w:val="0090020C"/>
    <w:rsid w:val="00902083"/>
    <w:rsid w:val="009072B8"/>
    <w:rsid w:val="00912B22"/>
    <w:rsid w:val="009211E2"/>
    <w:rsid w:val="00922A17"/>
    <w:rsid w:val="00930E86"/>
    <w:rsid w:val="00934A7D"/>
    <w:rsid w:val="00940B27"/>
    <w:rsid w:val="00942148"/>
    <w:rsid w:val="009510C8"/>
    <w:rsid w:val="00951E44"/>
    <w:rsid w:val="009547B0"/>
    <w:rsid w:val="00954D97"/>
    <w:rsid w:val="00961AEB"/>
    <w:rsid w:val="00961C02"/>
    <w:rsid w:val="00962174"/>
    <w:rsid w:val="00966DB5"/>
    <w:rsid w:val="00967E06"/>
    <w:rsid w:val="0097198F"/>
    <w:rsid w:val="00972291"/>
    <w:rsid w:val="009724AA"/>
    <w:rsid w:val="009776E4"/>
    <w:rsid w:val="00983325"/>
    <w:rsid w:val="00990438"/>
    <w:rsid w:val="009935AF"/>
    <w:rsid w:val="00995842"/>
    <w:rsid w:val="0099781F"/>
    <w:rsid w:val="009B300B"/>
    <w:rsid w:val="009B7369"/>
    <w:rsid w:val="009C1F9E"/>
    <w:rsid w:val="009D1D9B"/>
    <w:rsid w:val="009D655F"/>
    <w:rsid w:val="009D689A"/>
    <w:rsid w:val="009E2CE6"/>
    <w:rsid w:val="00A064A8"/>
    <w:rsid w:val="00A2539D"/>
    <w:rsid w:val="00A402D1"/>
    <w:rsid w:val="00A40DA6"/>
    <w:rsid w:val="00A4341B"/>
    <w:rsid w:val="00A45F93"/>
    <w:rsid w:val="00A552B4"/>
    <w:rsid w:val="00A66E2A"/>
    <w:rsid w:val="00A701F4"/>
    <w:rsid w:val="00A7144D"/>
    <w:rsid w:val="00A71FCE"/>
    <w:rsid w:val="00A75F31"/>
    <w:rsid w:val="00A7682E"/>
    <w:rsid w:val="00A7692E"/>
    <w:rsid w:val="00A77A8F"/>
    <w:rsid w:val="00A80444"/>
    <w:rsid w:val="00A821FE"/>
    <w:rsid w:val="00A832B2"/>
    <w:rsid w:val="00AA0323"/>
    <w:rsid w:val="00AB12F1"/>
    <w:rsid w:val="00AB32C2"/>
    <w:rsid w:val="00AC01F2"/>
    <w:rsid w:val="00AC1B84"/>
    <w:rsid w:val="00AC43E9"/>
    <w:rsid w:val="00AC4869"/>
    <w:rsid w:val="00AC5742"/>
    <w:rsid w:val="00AF2A7E"/>
    <w:rsid w:val="00AF34D3"/>
    <w:rsid w:val="00AF35C3"/>
    <w:rsid w:val="00B00166"/>
    <w:rsid w:val="00B00BA3"/>
    <w:rsid w:val="00B03818"/>
    <w:rsid w:val="00B04AF5"/>
    <w:rsid w:val="00B06889"/>
    <w:rsid w:val="00B07A58"/>
    <w:rsid w:val="00B1254E"/>
    <w:rsid w:val="00B13285"/>
    <w:rsid w:val="00B318EC"/>
    <w:rsid w:val="00B35EF8"/>
    <w:rsid w:val="00B43AC6"/>
    <w:rsid w:val="00B50DB9"/>
    <w:rsid w:val="00B53FB3"/>
    <w:rsid w:val="00B5606E"/>
    <w:rsid w:val="00B5756C"/>
    <w:rsid w:val="00B57DE4"/>
    <w:rsid w:val="00B750C5"/>
    <w:rsid w:val="00B7589C"/>
    <w:rsid w:val="00B82617"/>
    <w:rsid w:val="00B837C4"/>
    <w:rsid w:val="00B860E6"/>
    <w:rsid w:val="00BA1E60"/>
    <w:rsid w:val="00BA27C3"/>
    <w:rsid w:val="00BA592B"/>
    <w:rsid w:val="00BB69B9"/>
    <w:rsid w:val="00BC0594"/>
    <w:rsid w:val="00BC08AA"/>
    <w:rsid w:val="00BC0EE4"/>
    <w:rsid w:val="00BD05A6"/>
    <w:rsid w:val="00BD6ACA"/>
    <w:rsid w:val="00BE6BEA"/>
    <w:rsid w:val="00C033C3"/>
    <w:rsid w:val="00C04722"/>
    <w:rsid w:val="00C05534"/>
    <w:rsid w:val="00C33B92"/>
    <w:rsid w:val="00C43FFB"/>
    <w:rsid w:val="00C4499D"/>
    <w:rsid w:val="00C44D8E"/>
    <w:rsid w:val="00C50A92"/>
    <w:rsid w:val="00C513FE"/>
    <w:rsid w:val="00C57519"/>
    <w:rsid w:val="00C6343D"/>
    <w:rsid w:val="00C8405F"/>
    <w:rsid w:val="00C9350F"/>
    <w:rsid w:val="00C944EC"/>
    <w:rsid w:val="00CA03C8"/>
    <w:rsid w:val="00CA0E41"/>
    <w:rsid w:val="00CA5BBD"/>
    <w:rsid w:val="00CA6E0D"/>
    <w:rsid w:val="00CB12ED"/>
    <w:rsid w:val="00CB4056"/>
    <w:rsid w:val="00CD2860"/>
    <w:rsid w:val="00CD7812"/>
    <w:rsid w:val="00CE02DB"/>
    <w:rsid w:val="00CE057B"/>
    <w:rsid w:val="00CF326E"/>
    <w:rsid w:val="00CF41B0"/>
    <w:rsid w:val="00D06D1C"/>
    <w:rsid w:val="00D15ECE"/>
    <w:rsid w:val="00D160EF"/>
    <w:rsid w:val="00D241EC"/>
    <w:rsid w:val="00D43251"/>
    <w:rsid w:val="00D505B2"/>
    <w:rsid w:val="00D50EF6"/>
    <w:rsid w:val="00D61698"/>
    <w:rsid w:val="00D72885"/>
    <w:rsid w:val="00D733B2"/>
    <w:rsid w:val="00D7408A"/>
    <w:rsid w:val="00D74C70"/>
    <w:rsid w:val="00D76249"/>
    <w:rsid w:val="00D82C93"/>
    <w:rsid w:val="00D84EFE"/>
    <w:rsid w:val="00D862DE"/>
    <w:rsid w:val="00D87C3C"/>
    <w:rsid w:val="00DA096C"/>
    <w:rsid w:val="00DA1842"/>
    <w:rsid w:val="00DA6DC5"/>
    <w:rsid w:val="00DA77D3"/>
    <w:rsid w:val="00DC08C6"/>
    <w:rsid w:val="00DC1E0B"/>
    <w:rsid w:val="00DC2A31"/>
    <w:rsid w:val="00DC2F7D"/>
    <w:rsid w:val="00DC6302"/>
    <w:rsid w:val="00DC71EF"/>
    <w:rsid w:val="00DD0EC8"/>
    <w:rsid w:val="00DD1836"/>
    <w:rsid w:val="00DD6CB5"/>
    <w:rsid w:val="00DE0782"/>
    <w:rsid w:val="00DE3B03"/>
    <w:rsid w:val="00DE7D80"/>
    <w:rsid w:val="00DF00A8"/>
    <w:rsid w:val="00DF3245"/>
    <w:rsid w:val="00E05477"/>
    <w:rsid w:val="00E05788"/>
    <w:rsid w:val="00E23C8C"/>
    <w:rsid w:val="00E27829"/>
    <w:rsid w:val="00E363A8"/>
    <w:rsid w:val="00E37EAA"/>
    <w:rsid w:val="00E46239"/>
    <w:rsid w:val="00E46C0F"/>
    <w:rsid w:val="00E51A4E"/>
    <w:rsid w:val="00E562F1"/>
    <w:rsid w:val="00E61BB7"/>
    <w:rsid w:val="00E836AD"/>
    <w:rsid w:val="00E86980"/>
    <w:rsid w:val="00E912BA"/>
    <w:rsid w:val="00E979CB"/>
    <w:rsid w:val="00EA6219"/>
    <w:rsid w:val="00EA7944"/>
    <w:rsid w:val="00EB0F15"/>
    <w:rsid w:val="00EB2650"/>
    <w:rsid w:val="00EB2B3D"/>
    <w:rsid w:val="00EB3710"/>
    <w:rsid w:val="00EB4F2B"/>
    <w:rsid w:val="00EB67BD"/>
    <w:rsid w:val="00EC01FB"/>
    <w:rsid w:val="00EC48B8"/>
    <w:rsid w:val="00ED6844"/>
    <w:rsid w:val="00EE40EA"/>
    <w:rsid w:val="00EE4DDE"/>
    <w:rsid w:val="00EE5E82"/>
    <w:rsid w:val="00EF7106"/>
    <w:rsid w:val="00EF73CE"/>
    <w:rsid w:val="00F005F0"/>
    <w:rsid w:val="00F03614"/>
    <w:rsid w:val="00F103C4"/>
    <w:rsid w:val="00F15436"/>
    <w:rsid w:val="00F215AC"/>
    <w:rsid w:val="00F24D97"/>
    <w:rsid w:val="00F2600D"/>
    <w:rsid w:val="00F321DC"/>
    <w:rsid w:val="00F33FA1"/>
    <w:rsid w:val="00F37B9B"/>
    <w:rsid w:val="00F37C7F"/>
    <w:rsid w:val="00F43C03"/>
    <w:rsid w:val="00F44A84"/>
    <w:rsid w:val="00F45CD4"/>
    <w:rsid w:val="00F6428C"/>
    <w:rsid w:val="00F66C60"/>
    <w:rsid w:val="00F73E43"/>
    <w:rsid w:val="00F76417"/>
    <w:rsid w:val="00F8327C"/>
    <w:rsid w:val="00F84B27"/>
    <w:rsid w:val="00F84D82"/>
    <w:rsid w:val="00F8646D"/>
    <w:rsid w:val="00F865D0"/>
    <w:rsid w:val="00F93EAD"/>
    <w:rsid w:val="00F973D1"/>
    <w:rsid w:val="00FA31B8"/>
    <w:rsid w:val="00FA6E83"/>
    <w:rsid w:val="00FB75B3"/>
    <w:rsid w:val="00FC0AB9"/>
    <w:rsid w:val="00FC5D2E"/>
    <w:rsid w:val="00FD0495"/>
    <w:rsid w:val="00FD729A"/>
    <w:rsid w:val="00FE33C3"/>
    <w:rsid w:val="00FE6D86"/>
    <w:rsid w:val="00FE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FF277"/>
  <w15:chartTrackingRefBased/>
  <w15:docId w15:val="{81AF9285-77C8-45FA-AD34-4E0A1E8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CD"/>
    <w:pPr>
      <w:autoSpaceDE w:val="0"/>
      <w:autoSpaceDN w:val="0"/>
      <w:adjustRightInd w:val="0"/>
      <w:spacing w:after="0" w:line="240" w:lineRule="auto"/>
    </w:pPr>
    <w:rPr>
      <w:rFonts w:ascii="Courier 10cpi" w:eastAsia="Times New Roman" w:hAnsi="Courier 10cpi" w:cs="Times New Roman"/>
      <w:sz w:val="20"/>
      <w:szCs w:val="20"/>
    </w:rPr>
  </w:style>
  <w:style w:type="paragraph" w:styleId="Heading1">
    <w:name w:val="heading 1"/>
    <w:basedOn w:val="Normal"/>
    <w:next w:val="Normal"/>
    <w:link w:val="Heading1Char"/>
    <w:uiPriority w:val="9"/>
    <w:qFormat/>
    <w:rsid w:val="00656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0A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7CD"/>
    <w:pPr>
      <w:tabs>
        <w:tab w:val="center" w:pos="4680"/>
        <w:tab w:val="right" w:pos="9360"/>
      </w:tabs>
      <w:autoSpaceDE/>
      <w:autoSpaceDN/>
      <w:adjustRightInd/>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567CD"/>
    <w:rPr>
      <w:rFonts w:eastAsiaTheme="minorEastAsia"/>
    </w:rPr>
  </w:style>
  <w:style w:type="character" w:styleId="CommentReference">
    <w:name w:val="annotation reference"/>
    <w:basedOn w:val="DefaultParagraphFont"/>
    <w:uiPriority w:val="99"/>
    <w:semiHidden/>
    <w:unhideWhenUsed/>
    <w:rsid w:val="006567CD"/>
    <w:rPr>
      <w:sz w:val="16"/>
      <w:szCs w:val="16"/>
    </w:rPr>
  </w:style>
  <w:style w:type="paragraph" w:styleId="CommentText">
    <w:name w:val="annotation text"/>
    <w:basedOn w:val="Normal"/>
    <w:link w:val="CommentTextChar"/>
    <w:uiPriority w:val="99"/>
    <w:unhideWhenUsed/>
    <w:rsid w:val="006567CD"/>
    <w:pPr>
      <w:autoSpaceDE/>
      <w:autoSpaceDN/>
      <w:adjustRightInd/>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6567CD"/>
    <w:rPr>
      <w:rFonts w:eastAsiaTheme="minorEastAsia"/>
      <w:sz w:val="20"/>
      <w:szCs w:val="20"/>
    </w:rPr>
  </w:style>
  <w:style w:type="character" w:styleId="Hyperlink">
    <w:name w:val="Hyperlink"/>
    <w:basedOn w:val="DefaultParagraphFont"/>
    <w:uiPriority w:val="99"/>
    <w:unhideWhenUsed/>
    <w:rsid w:val="006567CD"/>
    <w:rPr>
      <w:color w:val="0000FF"/>
      <w:u w:val="single"/>
    </w:rPr>
  </w:style>
  <w:style w:type="paragraph" w:styleId="TOC1">
    <w:name w:val="toc 1"/>
    <w:basedOn w:val="Normal"/>
    <w:next w:val="Normal"/>
    <w:autoRedefine/>
    <w:uiPriority w:val="39"/>
    <w:unhideWhenUsed/>
    <w:rsid w:val="006567CD"/>
    <w:pPr>
      <w:tabs>
        <w:tab w:val="left" w:pos="660"/>
        <w:tab w:val="right" w:leader="dot" w:pos="10080"/>
      </w:tabs>
      <w:autoSpaceDE/>
      <w:autoSpaceDN/>
      <w:adjustRightInd/>
      <w:spacing w:after="100" w:line="276" w:lineRule="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6567C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567CD"/>
    <w:pPr>
      <w:autoSpaceDE/>
      <w:autoSpaceDN/>
      <w:adjustRightInd/>
      <w:spacing w:line="256" w:lineRule="auto"/>
      <w:outlineLvl w:val="9"/>
    </w:pPr>
  </w:style>
  <w:style w:type="paragraph" w:styleId="BalloonText">
    <w:name w:val="Balloon Text"/>
    <w:basedOn w:val="Normal"/>
    <w:link w:val="BalloonTextChar"/>
    <w:uiPriority w:val="99"/>
    <w:semiHidden/>
    <w:unhideWhenUsed/>
    <w:rsid w:val="00656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C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567CD"/>
    <w:pPr>
      <w:autoSpaceDE w:val="0"/>
      <w:autoSpaceDN w:val="0"/>
      <w:adjustRightInd w:val="0"/>
      <w:spacing w:after="0"/>
    </w:pPr>
    <w:rPr>
      <w:rFonts w:ascii="Courier 10cpi" w:eastAsia="Times New Roman" w:hAnsi="Courier 10cpi" w:cs="Times New Roman"/>
      <w:b/>
      <w:bCs/>
    </w:rPr>
  </w:style>
  <w:style w:type="character" w:customStyle="1" w:styleId="CommentSubjectChar">
    <w:name w:val="Comment Subject Char"/>
    <w:basedOn w:val="CommentTextChar"/>
    <w:link w:val="CommentSubject"/>
    <w:uiPriority w:val="99"/>
    <w:semiHidden/>
    <w:rsid w:val="006567CD"/>
    <w:rPr>
      <w:rFonts w:ascii="Courier 10cpi" w:eastAsia="Times New Roman" w:hAnsi="Courier 10cpi" w:cs="Times New Roman"/>
      <w:b/>
      <w:bCs/>
      <w:sz w:val="20"/>
      <w:szCs w:val="20"/>
    </w:rPr>
  </w:style>
  <w:style w:type="paragraph" w:styleId="ListParagraph">
    <w:name w:val="List Paragraph"/>
    <w:basedOn w:val="Normal"/>
    <w:link w:val="ListParagraphChar"/>
    <w:uiPriority w:val="34"/>
    <w:qFormat/>
    <w:rsid w:val="006567CD"/>
    <w:pPr>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7E0A31"/>
    <w:rPr>
      <w:rFonts w:asciiTheme="majorHAnsi" w:eastAsiaTheme="majorEastAsia" w:hAnsiTheme="majorHAnsi" w:cstheme="majorBidi"/>
      <w:color w:val="2E74B5" w:themeColor="accent1" w:themeShade="BF"/>
      <w:sz w:val="26"/>
      <w:szCs w:val="26"/>
    </w:rPr>
  </w:style>
  <w:style w:type="paragraph" w:customStyle="1" w:styleId="CM89">
    <w:name w:val="CM89"/>
    <w:basedOn w:val="Normal"/>
    <w:next w:val="Normal"/>
    <w:uiPriority w:val="99"/>
    <w:rsid w:val="00954D97"/>
    <w:rPr>
      <w:rFonts w:ascii="Arial" w:hAnsi="Arial" w:cs="Arial"/>
      <w:sz w:val="24"/>
      <w:szCs w:val="24"/>
    </w:rPr>
  </w:style>
  <w:style w:type="character" w:customStyle="1" w:styleId="ListParagraphChar">
    <w:name w:val="List Paragraph Char"/>
    <w:basedOn w:val="DefaultParagraphFont"/>
    <w:link w:val="ListParagraph"/>
    <w:uiPriority w:val="34"/>
    <w:locked/>
    <w:rsid w:val="003B0840"/>
    <w:rPr>
      <w:rFonts w:eastAsiaTheme="minorEastAsia"/>
    </w:rPr>
  </w:style>
  <w:style w:type="paragraph" w:styleId="FootnoteText">
    <w:name w:val="footnote text"/>
    <w:basedOn w:val="Normal"/>
    <w:link w:val="FootnoteTextChar"/>
    <w:unhideWhenUsed/>
    <w:rsid w:val="00CA0E41"/>
    <w:pPr>
      <w:widowControl w:val="0"/>
    </w:pPr>
    <w:rPr>
      <w:rFonts w:ascii="Courier New" w:hAnsi="Courier New"/>
    </w:rPr>
  </w:style>
  <w:style w:type="character" w:customStyle="1" w:styleId="FootnoteTextChar">
    <w:name w:val="Footnote Text Char"/>
    <w:basedOn w:val="DefaultParagraphFont"/>
    <w:link w:val="FootnoteText"/>
    <w:rsid w:val="00CA0E41"/>
    <w:rPr>
      <w:rFonts w:ascii="Courier New" w:eastAsia="Times New Roman" w:hAnsi="Courier New" w:cs="Times New Roman"/>
      <w:sz w:val="20"/>
      <w:szCs w:val="20"/>
    </w:rPr>
  </w:style>
  <w:style w:type="character" w:styleId="FootnoteReference">
    <w:name w:val="footnote reference"/>
    <w:basedOn w:val="DefaultParagraphFont"/>
    <w:unhideWhenUsed/>
    <w:rsid w:val="00CA0E41"/>
    <w:rPr>
      <w:vertAlign w:val="superscript"/>
    </w:rPr>
  </w:style>
  <w:style w:type="paragraph" w:styleId="TOC2">
    <w:name w:val="toc 2"/>
    <w:basedOn w:val="Normal"/>
    <w:next w:val="Normal"/>
    <w:autoRedefine/>
    <w:uiPriority w:val="39"/>
    <w:unhideWhenUsed/>
    <w:rsid w:val="00FC5D2E"/>
    <w:pPr>
      <w:spacing w:after="100"/>
      <w:ind w:left="200"/>
    </w:pPr>
  </w:style>
  <w:style w:type="table" w:styleId="TableGrid">
    <w:name w:val="Table Grid"/>
    <w:basedOn w:val="TableNormal"/>
    <w:uiPriority w:val="39"/>
    <w:rsid w:val="001F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eftGaramond">
    <w:name w:val="NORC Table Body Left (Garamond)"/>
    <w:rsid w:val="005D518D"/>
    <w:pPr>
      <w:tabs>
        <w:tab w:val="left" w:pos="144"/>
      </w:tabs>
      <w:spacing w:before="20" w:after="20" w:line="240" w:lineRule="auto"/>
    </w:pPr>
    <w:rPr>
      <w:rFonts w:ascii="Garamond" w:eastAsia="Times New Roman" w:hAnsi="Garamond" w:cs="Times New Roman"/>
      <w:color w:val="000000"/>
    </w:rPr>
  </w:style>
  <w:style w:type="paragraph" w:customStyle="1" w:styleId="NORCTableBodyCenterGaramond">
    <w:name w:val="NORC Table Body Center (Garamond)"/>
    <w:basedOn w:val="NORCTableBodyLeftGaramond"/>
    <w:qFormat/>
    <w:rsid w:val="005D518D"/>
    <w:pPr>
      <w:jc w:val="center"/>
    </w:pPr>
  </w:style>
  <w:style w:type="paragraph" w:customStyle="1" w:styleId="NORCTableSubheadingCenterGaramond">
    <w:name w:val="NORC Table Subheading Center Garamond"/>
    <w:qFormat/>
    <w:rsid w:val="005D518D"/>
    <w:pPr>
      <w:keepNext/>
      <w:spacing w:before="20" w:after="20" w:line="240" w:lineRule="auto"/>
      <w:jc w:val="center"/>
    </w:pPr>
    <w:rPr>
      <w:rFonts w:ascii="Garamond" w:eastAsia="Times New Roman" w:hAnsi="Garamond" w:cs="Times New Roman"/>
      <w:b/>
      <w:bCs/>
      <w:color w:val="000000" w:themeColor="text1"/>
    </w:rPr>
  </w:style>
  <w:style w:type="character" w:styleId="FollowedHyperlink">
    <w:name w:val="FollowedHyperlink"/>
    <w:basedOn w:val="DefaultParagraphFont"/>
    <w:uiPriority w:val="99"/>
    <w:semiHidden/>
    <w:unhideWhenUsed/>
    <w:rsid w:val="00DC2A31"/>
    <w:rPr>
      <w:color w:val="954F72" w:themeColor="followedHyperlink"/>
      <w:u w:val="single"/>
    </w:rPr>
  </w:style>
  <w:style w:type="table" w:styleId="GridTable1Light">
    <w:name w:val="Grid Table 1 Light"/>
    <w:basedOn w:val="TableNormal"/>
    <w:uiPriority w:val="46"/>
    <w:rsid w:val="00C50A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E30F3"/>
    <w:pPr>
      <w:autoSpaceDE/>
      <w:autoSpaceDN/>
      <w:adjustRightInd/>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5325BD"/>
    <w:pPr>
      <w:spacing w:after="200"/>
    </w:pPr>
    <w:rPr>
      <w:i/>
      <w:iCs/>
      <w:color w:val="44546A" w:themeColor="text2"/>
      <w:sz w:val="18"/>
      <w:szCs w:val="18"/>
    </w:rPr>
  </w:style>
  <w:style w:type="paragraph" w:styleId="BodyText">
    <w:name w:val="Body Text"/>
    <w:basedOn w:val="Normal"/>
    <w:link w:val="BodyTextChar"/>
    <w:uiPriority w:val="99"/>
    <w:semiHidden/>
    <w:unhideWhenUsed/>
    <w:rsid w:val="003C05F6"/>
    <w:pPr>
      <w:widowControl w:val="0"/>
      <w:tabs>
        <w:tab w:val="left" w:pos="720"/>
        <w:tab w:val="left" w:pos="1440"/>
        <w:tab w:val="left" w:pos="2160"/>
        <w:tab w:val="right" w:pos="9360"/>
      </w:tabs>
      <w:autoSpaceDE/>
      <w:autoSpaceDN/>
      <w:adjustRightInd/>
      <w:snapToGrid w:val="0"/>
    </w:pPr>
    <w:rPr>
      <w:rFonts w:ascii="Times New Roman" w:hAnsi="Times New Roman"/>
      <w:lang w:val="x-none" w:eastAsia="x-none"/>
    </w:rPr>
  </w:style>
  <w:style w:type="character" w:customStyle="1" w:styleId="BodyTextChar">
    <w:name w:val="Body Text Char"/>
    <w:basedOn w:val="DefaultParagraphFont"/>
    <w:link w:val="BodyText"/>
    <w:uiPriority w:val="99"/>
    <w:semiHidden/>
    <w:rsid w:val="003C05F6"/>
    <w:rPr>
      <w:rFonts w:ascii="Times New Roman" w:eastAsia="Times New Roman" w:hAnsi="Times New Roman" w:cs="Times New Roman"/>
      <w:sz w:val="20"/>
      <w:szCs w:val="20"/>
      <w:lang w:val="x-none" w:eastAsia="x-none"/>
    </w:rPr>
  </w:style>
  <w:style w:type="paragraph" w:customStyle="1" w:styleId="aTableBodyLeft">
    <w:name w:val="a. Table Body Left"/>
    <w:basedOn w:val="Normal"/>
    <w:qFormat/>
    <w:rsid w:val="003C05F6"/>
    <w:pPr>
      <w:autoSpaceDE/>
      <w:autoSpaceDN/>
      <w:adjustRightInd/>
      <w:spacing w:before="6" w:after="10"/>
    </w:pPr>
    <w:rPr>
      <w:rFonts w:ascii="Times New Roman" w:hAnsi="Times New Roman"/>
      <w:sz w:val="24"/>
      <w:szCs w:val="18"/>
    </w:rPr>
  </w:style>
  <w:style w:type="paragraph" w:customStyle="1" w:styleId="aExhibitTitle">
    <w:name w:val="a. Exhibit Title"/>
    <w:basedOn w:val="Normal"/>
    <w:rsid w:val="003C05F6"/>
    <w:pPr>
      <w:keepNext/>
      <w:pBdr>
        <w:bottom w:val="single" w:sz="4" w:space="1" w:color="auto"/>
      </w:pBdr>
      <w:spacing w:before="360" w:after="60"/>
      <w:ind w:left="1728" w:hanging="1728"/>
    </w:pPr>
    <w:rPr>
      <w:rFonts w:ascii="Times New Roman" w:hAnsi="Times New Roman"/>
      <w:sz w:val="24"/>
    </w:rPr>
  </w:style>
  <w:style w:type="paragraph" w:customStyle="1" w:styleId="aTableHeaderC">
    <w:name w:val="a. Table Header C"/>
    <w:basedOn w:val="aTableBodyLeft"/>
    <w:qFormat/>
    <w:rsid w:val="003C05F6"/>
    <w:pPr>
      <w:keepNext/>
      <w:jc w:val="center"/>
    </w:pPr>
    <w:rPr>
      <w:b/>
    </w:rPr>
  </w:style>
  <w:style w:type="character" w:customStyle="1" w:styleId="aExhibitColor">
    <w:name w:val="a. Exhibit Color"/>
    <w:uiPriority w:val="1"/>
    <w:qFormat/>
    <w:rsid w:val="003C05F6"/>
    <w:rPr>
      <w:b/>
      <w:bCs w:val="0"/>
    </w:rPr>
  </w:style>
  <w:style w:type="table" w:customStyle="1" w:styleId="aTable">
    <w:name w:val="a. Table"/>
    <w:basedOn w:val="TableNormal"/>
    <w:uiPriority w:val="59"/>
    <w:rsid w:val="003C05F6"/>
    <w:pPr>
      <w:spacing w:after="0" w:line="240" w:lineRule="auto"/>
    </w:pPr>
    <w:rPr>
      <w:rFonts w:ascii="Times New Roman" w:eastAsia="Times New Roman" w:hAnsi="Times New Roman" w:cs="Times New Roman"/>
      <w:sz w:val="20"/>
      <w:szCs w:val="20"/>
    </w:rPr>
    <w:tblPr>
      <w:tblStyleRowBandSize w:val="1"/>
      <w:tblInd w:w="0" w:type="nil"/>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cPr>
      <w:shd w:val="clear" w:color="auto" w:fill="FFFFFF" w:themeFill="background1"/>
    </w:tcPr>
    <w:tblStylePr w:type="firstRow">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Revision">
    <w:name w:val="Revision"/>
    <w:hidden/>
    <w:uiPriority w:val="99"/>
    <w:semiHidden/>
    <w:rsid w:val="006A5C9E"/>
    <w:pPr>
      <w:spacing w:after="0" w:line="240" w:lineRule="auto"/>
    </w:pPr>
    <w:rPr>
      <w:rFonts w:ascii="Courier 10cpi" w:eastAsia="Times New Roman" w:hAnsi="Courier 10cpi" w:cs="Times New Roman"/>
      <w:sz w:val="20"/>
      <w:szCs w:val="20"/>
    </w:rPr>
  </w:style>
  <w:style w:type="character" w:styleId="UnresolvedMention">
    <w:name w:val="Unresolved Mention"/>
    <w:basedOn w:val="DefaultParagraphFont"/>
    <w:uiPriority w:val="99"/>
    <w:semiHidden/>
    <w:unhideWhenUsed/>
    <w:rsid w:val="00C9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77609">
      <w:bodyDiv w:val="1"/>
      <w:marLeft w:val="0"/>
      <w:marRight w:val="0"/>
      <w:marTop w:val="0"/>
      <w:marBottom w:val="0"/>
      <w:divBdr>
        <w:top w:val="none" w:sz="0" w:space="0" w:color="auto"/>
        <w:left w:val="none" w:sz="0" w:space="0" w:color="auto"/>
        <w:bottom w:val="none" w:sz="0" w:space="0" w:color="auto"/>
        <w:right w:val="none" w:sz="0" w:space="0" w:color="auto"/>
      </w:divBdr>
    </w:div>
    <w:div w:id="497306951">
      <w:bodyDiv w:val="1"/>
      <w:marLeft w:val="0"/>
      <w:marRight w:val="0"/>
      <w:marTop w:val="0"/>
      <w:marBottom w:val="0"/>
      <w:divBdr>
        <w:top w:val="none" w:sz="0" w:space="0" w:color="auto"/>
        <w:left w:val="none" w:sz="0" w:space="0" w:color="auto"/>
        <w:bottom w:val="none" w:sz="0" w:space="0" w:color="auto"/>
        <w:right w:val="none" w:sz="0" w:space="0" w:color="auto"/>
      </w:divBdr>
    </w:div>
    <w:div w:id="613756932">
      <w:bodyDiv w:val="1"/>
      <w:marLeft w:val="0"/>
      <w:marRight w:val="0"/>
      <w:marTop w:val="0"/>
      <w:marBottom w:val="0"/>
      <w:divBdr>
        <w:top w:val="none" w:sz="0" w:space="0" w:color="auto"/>
        <w:left w:val="none" w:sz="0" w:space="0" w:color="auto"/>
        <w:bottom w:val="none" w:sz="0" w:space="0" w:color="auto"/>
        <w:right w:val="none" w:sz="0" w:space="0" w:color="auto"/>
      </w:divBdr>
    </w:div>
    <w:div w:id="799998189">
      <w:bodyDiv w:val="1"/>
      <w:marLeft w:val="0"/>
      <w:marRight w:val="0"/>
      <w:marTop w:val="0"/>
      <w:marBottom w:val="0"/>
      <w:divBdr>
        <w:top w:val="none" w:sz="0" w:space="0" w:color="auto"/>
        <w:left w:val="none" w:sz="0" w:space="0" w:color="auto"/>
        <w:bottom w:val="none" w:sz="0" w:space="0" w:color="auto"/>
        <w:right w:val="none" w:sz="0" w:space="0" w:color="auto"/>
      </w:divBdr>
    </w:div>
    <w:div w:id="856426523">
      <w:bodyDiv w:val="1"/>
      <w:marLeft w:val="0"/>
      <w:marRight w:val="0"/>
      <w:marTop w:val="0"/>
      <w:marBottom w:val="0"/>
      <w:divBdr>
        <w:top w:val="none" w:sz="0" w:space="0" w:color="auto"/>
        <w:left w:val="none" w:sz="0" w:space="0" w:color="auto"/>
        <w:bottom w:val="none" w:sz="0" w:space="0" w:color="auto"/>
        <w:right w:val="none" w:sz="0" w:space="0" w:color="auto"/>
      </w:divBdr>
    </w:div>
    <w:div w:id="1226574437">
      <w:bodyDiv w:val="1"/>
      <w:marLeft w:val="0"/>
      <w:marRight w:val="0"/>
      <w:marTop w:val="0"/>
      <w:marBottom w:val="0"/>
      <w:divBdr>
        <w:top w:val="none" w:sz="0" w:space="0" w:color="auto"/>
        <w:left w:val="none" w:sz="0" w:space="0" w:color="auto"/>
        <w:bottom w:val="none" w:sz="0" w:space="0" w:color="auto"/>
        <w:right w:val="none" w:sz="0" w:space="0" w:color="auto"/>
      </w:divBdr>
    </w:div>
    <w:div w:id="1510753756">
      <w:bodyDiv w:val="1"/>
      <w:marLeft w:val="0"/>
      <w:marRight w:val="0"/>
      <w:marTop w:val="0"/>
      <w:marBottom w:val="0"/>
      <w:divBdr>
        <w:top w:val="none" w:sz="0" w:space="0" w:color="auto"/>
        <w:left w:val="none" w:sz="0" w:space="0" w:color="auto"/>
        <w:bottom w:val="none" w:sz="0" w:space="0" w:color="auto"/>
        <w:right w:val="none" w:sz="0" w:space="0" w:color="auto"/>
      </w:divBdr>
    </w:div>
    <w:div w:id="2065716967">
      <w:bodyDiv w:val="1"/>
      <w:marLeft w:val="0"/>
      <w:marRight w:val="0"/>
      <w:marTop w:val="0"/>
      <w:marBottom w:val="0"/>
      <w:divBdr>
        <w:top w:val="none" w:sz="0" w:space="0" w:color="auto"/>
        <w:left w:val="none" w:sz="0" w:space="0" w:color="auto"/>
        <w:bottom w:val="none" w:sz="0" w:space="0" w:color="auto"/>
        <w:right w:val="none" w:sz="0" w:space="0" w:color="auto"/>
      </w:divBdr>
    </w:div>
    <w:div w:id="214022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gov/healthypeople/objectives-and-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rgeongeneral.gov/priorities/prevention/strategy/report.pdf" TargetMode="External"/><Relationship Id="rId4" Type="http://schemas.openxmlformats.org/officeDocument/2006/relationships/settings" Target="settings.xml"/><Relationship Id="rId9" Type="http://schemas.openxmlformats.org/officeDocument/2006/relationships/hyperlink" Target="https://www.cdc.gov/endhiv/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3A8E-B74F-497C-80FE-78816CF1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6847</Words>
  <Characters>39029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Burgess</dc:creator>
  <cp:keywords/>
  <dc:description/>
  <cp:lastModifiedBy>Joyce, Kevin J. (CDC/DDPHSS/OS/OSI)</cp:lastModifiedBy>
  <cp:revision>3</cp:revision>
  <cp:lastPrinted>2019-01-31T14:34:00Z</cp:lastPrinted>
  <dcterms:created xsi:type="dcterms:W3CDTF">2021-10-14T13:57:00Z</dcterms:created>
  <dcterms:modified xsi:type="dcterms:W3CDTF">2021-10-14T17:23:00Z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2021-01-14T18:33:32Z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f6562bce-44a5-4057-8ee7-ceda08174f03</vt:lpwstr>
  </property>
  <property fmtid="{D5CDD505-2E9C-101B-9397-08002B2CF9AE}" pid="8" name="MSIP_Label_7b94a7b8-f06c-4dfe-bdcc-9b548fd58c31_ContentBits">
    <vt:lpwstr>0</vt:lpwstr>
  </property>
</Properties>
</file>