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0387" w:rsidP="00320387" w14:paraId="61885AE4"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4713D71C"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5F3037CB" w14:textId="77777777">
      <w:pPr>
        <w:keepNext/>
        <w:numPr>
          <w:ilvl w:val="12"/>
          <w:numId w:val="0"/>
        </w:numPr>
        <w:ind w:left="360"/>
      </w:pPr>
    </w:p>
    <w:p w:rsidR="00B9425C" w:rsidP="00B9425C" w14:paraId="7ED78413" w14:textId="52A659A5">
      <w:pPr>
        <w:pStyle w:val="FootnoteText"/>
        <w:ind w:left="360"/>
        <w:rPr>
          <w:sz w:val="24"/>
          <w:szCs w:val="24"/>
        </w:rPr>
      </w:pPr>
      <w:r>
        <w:rPr>
          <w:sz w:val="24"/>
          <w:szCs w:val="24"/>
        </w:rPr>
        <w:t>Pursuant to the Aviation and Transportation Security Act (ATSA),</w:t>
      </w:r>
      <w:r>
        <w:rPr>
          <w:rStyle w:val="FootnoteReference"/>
          <w:sz w:val="24"/>
          <w:szCs w:val="24"/>
        </w:rPr>
        <w:footnoteReference w:id="2"/>
      </w:r>
      <w:r>
        <w:rPr>
          <w:sz w:val="24"/>
          <w:szCs w:val="24"/>
        </w:rPr>
        <w:t xml:space="preserve"> </w:t>
      </w:r>
      <w:r w:rsidRPr="00730238">
        <w:rPr>
          <w:sz w:val="24"/>
          <w:szCs w:val="24"/>
        </w:rPr>
        <w:t>and delegated authority from the Secretary of Homeland Security, TSA has broad responsibility and authority for “security in all modes of transportation including security responsibilities over modes of transportation that are exercised by the Department of Transportation</w:t>
      </w:r>
      <w:r>
        <w:rPr>
          <w:sz w:val="24"/>
          <w:szCs w:val="24"/>
        </w:rPr>
        <w:t>.</w:t>
      </w:r>
      <w:r w:rsidR="002F6132">
        <w:rPr>
          <w:sz w:val="24"/>
          <w:szCs w:val="24"/>
        </w:rPr>
        <w:t>”</w:t>
      </w:r>
      <w:r>
        <w:rPr>
          <w:sz w:val="24"/>
          <w:szCs w:val="24"/>
        </w:rPr>
        <w:t xml:space="preserve">  Section </w:t>
      </w:r>
      <w:r w:rsidRPr="00730238">
        <w:rPr>
          <w:sz w:val="24"/>
          <w:szCs w:val="24"/>
        </w:rPr>
        <w:t>1557 of the Implementing Recommendations of the 9/11 Commission Act</w:t>
      </w:r>
      <w:r>
        <w:rPr>
          <w:sz w:val="24"/>
          <w:szCs w:val="24"/>
        </w:rPr>
        <w:t xml:space="preserve"> (9/11 Act),</w:t>
      </w:r>
      <w:r>
        <w:rPr>
          <w:rStyle w:val="FootnoteReference"/>
          <w:sz w:val="24"/>
          <w:szCs w:val="24"/>
        </w:rPr>
        <w:footnoteReference w:id="3"/>
      </w:r>
      <w:r w:rsidRPr="00730238">
        <w:rPr>
          <w:sz w:val="24"/>
          <w:szCs w:val="24"/>
        </w:rPr>
        <w:t xml:space="preserve"> </w:t>
      </w:r>
      <w:r>
        <w:rPr>
          <w:sz w:val="24"/>
          <w:szCs w:val="24"/>
        </w:rPr>
        <w:t>recognizes this authority and further requires TSA to take specific actions related to pipeline security.</w:t>
      </w:r>
      <w:r>
        <w:rPr>
          <w:rStyle w:val="FootnoteReference"/>
          <w:sz w:val="24"/>
          <w:szCs w:val="24"/>
        </w:rPr>
        <w:footnoteReference w:id="4"/>
      </w:r>
    </w:p>
    <w:p w:rsidR="00B9425C" w:rsidP="00B9425C" w14:paraId="2CF2CFCE" w14:textId="52D98D36">
      <w:pPr>
        <w:pStyle w:val="FootnoteText"/>
        <w:ind w:left="360"/>
        <w:rPr>
          <w:sz w:val="24"/>
          <w:szCs w:val="24"/>
        </w:rPr>
      </w:pPr>
    </w:p>
    <w:p w:rsidR="005C7DDC" w:rsidP="00B9425C" w14:paraId="7F0B438E" w14:textId="2280F67C">
      <w:pPr>
        <w:pStyle w:val="FootnoteText"/>
        <w:ind w:left="360"/>
        <w:rPr>
          <w:sz w:val="24"/>
          <w:szCs w:val="24"/>
        </w:rPr>
      </w:pPr>
      <w:r>
        <w:rPr>
          <w:sz w:val="24"/>
          <w:szCs w:val="24"/>
        </w:rPr>
        <w:t>This ICR covers both a voluntary collection and a mandatory collection as detailed below</w:t>
      </w:r>
      <w:r w:rsidR="005D179A">
        <w:rPr>
          <w:sz w:val="24"/>
          <w:szCs w:val="24"/>
        </w:rPr>
        <w:t>:</w:t>
      </w:r>
    </w:p>
    <w:p w:rsidR="005C7DDC" w:rsidP="00B9425C" w14:paraId="732037ED" w14:textId="77777777">
      <w:pPr>
        <w:pStyle w:val="FootnoteText"/>
        <w:ind w:left="360"/>
        <w:rPr>
          <w:sz w:val="24"/>
          <w:szCs w:val="24"/>
        </w:rPr>
      </w:pPr>
    </w:p>
    <w:p w:rsidR="005C7DDC" w:rsidRPr="005D179A" w:rsidP="00B9425C" w14:paraId="1BFD7B21" w14:textId="6883D558">
      <w:pPr>
        <w:pStyle w:val="FootnoteText"/>
        <w:ind w:left="360"/>
        <w:rPr>
          <w:sz w:val="24"/>
          <w:szCs w:val="24"/>
          <w:u w:val="single"/>
        </w:rPr>
      </w:pPr>
      <w:r w:rsidRPr="005D179A">
        <w:rPr>
          <w:sz w:val="24"/>
          <w:szCs w:val="24"/>
          <w:u w:val="single"/>
        </w:rPr>
        <w:t>Voluntary Collection</w:t>
      </w:r>
    </w:p>
    <w:p w:rsidR="00B9425C" w:rsidRPr="003A0ABF" w:rsidP="00B9425C" w14:paraId="7A1AD1E5" w14:textId="595F09FF">
      <w:pPr>
        <w:pStyle w:val="FootnoteText"/>
        <w:ind w:left="360"/>
        <w:rPr>
          <w:sz w:val="24"/>
          <w:szCs w:val="24"/>
        </w:rPr>
      </w:pPr>
      <w:r w:rsidRPr="00E91063">
        <w:rPr>
          <w:sz w:val="24"/>
          <w:szCs w:val="24"/>
        </w:rPr>
        <w:t>In order to execute its security responsibilities within the pipeline industry, it is important for TSA to have knowledge of the security post</w:t>
      </w:r>
      <w:r>
        <w:rPr>
          <w:sz w:val="24"/>
          <w:szCs w:val="24"/>
        </w:rPr>
        <w:t>ure of critical pipeline facili</w:t>
      </w:r>
      <w:r w:rsidRPr="00E91063">
        <w:rPr>
          <w:sz w:val="24"/>
          <w:szCs w:val="24"/>
        </w:rPr>
        <w:t>t</w:t>
      </w:r>
      <w:r>
        <w:rPr>
          <w:sz w:val="24"/>
          <w:szCs w:val="24"/>
        </w:rPr>
        <w:t>i</w:t>
      </w:r>
      <w:r w:rsidRPr="00E91063">
        <w:rPr>
          <w:sz w:val="24"/>
          <w:szCs w:val="24"/>
        </w:rPr>
        <w:t>es in the pipeline industry</w:t>
      </w:r>
      <w:r w:rsidR="005C7DDC">
        <w:rPr>
          <w:sz w:val="24"/>
          <w:szCs w:val="24"/>
        </w:rPr>
        <w:t xml:space="preserve">.  </w:t>
      </w:r>
      <w:r w:rsidRPr="003A0ABF">
        <w:rPr>
          <w:sz w:val="24"/>
          <w:szCs w:val="24"/>
        </w:rPr>
        <w:t>TSA issued Pipeline Security Guidelines in December 2010 and April 2011, and subsequently updated the Guidelines in March 2018 and April 2021.</w:t>
      </w:r>
      <w:r>
        <w:rPr>
          <w:rStyle w:val="FootnoteReference"/>
          <w:sz w:val="24"/>
          <w:szCs w:val="24"/>
        </w:rPr>
        <w:footnoteReference w:id="5"/>
      </w:r>
      <w:r w:rsidRPr="003A0ABF">
        <w:rPr>
          <w:sz w:val="24"/>
          <w:szCs w:val="24"/>
        </w:rPr>
        <w:t xml:space="preserve">  These </w:t>
      </w:r>
      <w:r w:rsidRPr="00500CA9">
        <w:rPr>
          <w:sz w:val="24"/>
          <w:szCs w:val="24"/>
        </w:rPr>
        <w:t>voluntary guidelines</w:t>
      </w:r>
      <w:r w:rsidRPr="003A0ABF">
        <w:rPr>
          <w:sz w:val="24"/>
          <w:szCs w:val="24"/>
        </w:rPr>
        <w:t xml:space="preserve"> were developed with the assistance of industry and government members of the Pipeline Sector and Government Coordinating Councils, industry association representatives, and other interested parties.  These </w:t>
      </w:r>
      <w:r w:rsidR="0077686F">
        <w:rPr>
          <w:sz w:val="24"/>
          <w:szCs w:val="24"/>
        </w:rPr>
        <w:t>G</w:t>
      </w:r>
      <w:r w:rsidRPr="003A0ABF" w:rsidR="0077686F">
        <w:rPr>
          <w:sz w:val="24"/>
          <w:szCs w:val="24"/>
        </w:rPr>
        <w:t xml:space="preserve">uidelines </w:t>
      </w:r>
      <w:r w:rsidR="00C269C6">
        <w:rPr>
          <w:sz w:val="24"/>
          <w:szCs w:val="24"/>
        </w:rPr>
        <w:t xml:space="preserve">provide </w:t>
      </w:r>
      <w:r>
        <w:rPr>
          <w:sz w:val="24"/>
          <w:szCs w:val="24"/>
        </w:rPr>
        <w:t xml:space="preserve">guidance to operators on their voluntary </w:t>
      </w:r>
      <w:r w:rsidR="005C7DDC">
        <w:rPr>
          <w:sz w:val="24"/>
          <w:szCs w:val="24"/>
        </w:rPr>
        <w:t xml:space="preserve">identification </w:t>
      </w:r>
      <w:r>
        <w:rPr>
          <w:sz w:val="24"/>
          <w:szCs w:val="24"/>
        </w:rPr>
        <w:t xml:space="preserve">of critical pipeline facilities and </w:t>
      </w:r>
      <w:r w:rsidRPr="003A0ABF">
        <w:rPr>
          <w:sz w:val="24"/>
          <w:szCs w:val="24"/>
        </w:rPr>
        <w:t xml:space="preserve">recommend </w:t>
      </w:r>
      <w:r>
        <w:rPr>
          <w:sz w:val="24"/>
          <w:szCs w:val="24"/>
        </w:rPr>
        <w:t>specific security measures for those facilities</w:t>
      </w:r>
      <w:r w:rsidR="000D459B">
        <w:rPr>
          <w:sz w:val="24"/>
          <w:szCs w:val="24"/>
        </w:rPr>
        <w:t xml:space="preserve">.   </w:t>
      </w:r>
    </w:p>
    <w:p w:rsidR="00B9425C" w:rsidP="00736231" w14:paraId="71F34A01" w14:textId="77777777">
      <w:pPr>
        <w:pStyle w:val="FootnoteText"/>
        <w:ind w:left="360"/>
        <w:rPr>
          <w:sz w:val="24"/>
          <w:szCs w:val="24"/>
        </w:rPr>
      </w:pPr>
    </w:p>
    <w:p w:rsidR="00352102" w:rsidP="00B74063" w14:paraId="1D6B0678" w14:textId="524F0E30">
      <w:pPr>
        <w:numPr>
          <w:ilvl w:val="12"/>
          <w:numId w:val="0"/>
        </w:numPr>
        <w:ind w:left="360"/>
      </w:pPr>
      <w:r>
        <w:t xml:space="preserve">TSA </w:t>
      </w:r>
      <w:r w:rsidR="00D97689">
        <w:t xml:space="preserve">visits </w:t>
      </w:r>
      <w:r w:rsidR="00B74063">
        <w:t>c</w:t>
      </w:r>
      <w:r>
        <w:t xml:space="preserve">ritical pipeline facilities to </w:t>
      </w:r>
      <w:r w:rsidR="00B74063">
        <w:t>collect site-specific information from pipeline operators on facility security policies, procedures, and physical security measures. Information</w:t>
      </w:r>
      <w:r>
        <w:t xml:space="preserve"> </w:t>
      </w:r>
      <w:r w:rsidR="001337C2">
        <w:t xml:space="preserve">provided by the operator </w:t>
      </w:r>
      <w:r>
        <w:t xml:space="preserve">is </w:t>
      </w:r>
      <w:r w:rsidR="00B74063">
        <w:t xml:space="preserve">collected </w:t>
      </w:r>
      <w:r w:rsidR="001337C2">
        <w:t xml:space="preserve">by TSA </w:t>
      </w:r>
      <w:r w:rsidR="00B74063">
        <w:t xml:space="preserve">on a Critical Facility Security Review (CFSR) Form. </w:t>
      </w:r>
      <w:r w:rsidR="00FA405E">
        <w:t xml:space="preserve"> </w:t>
      </w:r>
    </w:p>
    <w:p w:rsidR="00352102" w:rsidP="00B74063" w14:paraId="2DE3F80C" w14:textId="77777777">
      <w:pPr>
        <w:numPr>
          <w:ilvl w:val="12"/>
          <w:numId w:val="0"/>
        </w:numPr>
        <w:ind w:left="360"/>
      </w:pPr>
    </w:p>
    <w:p w:rsidR="001F3E24" w:rsidP="00B74063" w14:paraId="1DAF9EA8" w14:textId="21907CE8">
      <w:pPr>
        <w:numPr>
          <w:ilvl w:val="12"/>
          <w:numId w:val="0"/>
        </w:numPr>
        <w:ind w:left="360"/>
      </w:pPr>
      <w:r>
        <w:t xml:space="preserve">During </w:t>
      </w:r>
      <w:r w:rsidR="00E91063">
        <w:t>these</w:t>
      </w:r>
      <w:r w:rsidR="005C7DDC">
        <w:t xml:space="preserve"> security </w:t>
      </w:r>
      <w:r>
        <w:t xml:space="preserve">visits, TSA documents security assessment results and provides recommendations on the CFSR Form to pipeline operators to improve the security posture of the reviewed facility.  </w:t>
      </w:r>
      <w:r w:rsidR="00E91063">
        <w:t>Using the form completed at the visit</w:t>
      </w:r>
      <w:r w:rsidRPr="005C7DDC" w:rsidR="00E91063">
        <w:t xml:space="preserve">, </w:t>
      </w:r>
      <w:r w:rsidRPr="000A32A3">
        <w:t xml:space="preserve">TSA follows up with pipeline </w:t>
      </w:r>
      <w:r w:rsidRPr="000A32A3">
        <w:t xml:space="preserve">operators </w:t>
      </w:r>
      <w:r w:rsidR="005C7DDC">
        <w:t>at intervals of 6, 12</w:t>
      </w:r>
      <w:r w:rsidR="00D80459">
        <w:t>,</w:t>
      </w:r>
      <w:r w:rsidR="005C7DDC">
        <w:t xml:space="preserve"> and 18 months </w:t>
      </w:r>
      <w:r w:rsidRPr="000A32A3">
        <w:t xml:space="preserve">on the implementation of </w:t>
      </w:r>
      <w:r w:rsidR="005C7DDC">
        <w:t xml:space="preserve">the TSA </w:t>
      </w:r>
      <w:r w:rsidRPr="000A32A3">
        <w:t>security recommendations</w:t>
      </w:r>
      <w:r w:rsidR="005C7DDC">
        <w:t xml:space="preserve"> made at the visit</w:t>
      </w:r>
      <w:r w:rsidRPr="000A32A3">
        <w:t>.</w:t>
      </w:r>
      <w:r>
        <w:t xml:space="preserve"> </w:t>
      </w:r>
      <w:r w:rsidR="00FA405E">
        <w:t xml:space="preserve"> </w:t>
      </w:r>
    </w:p>
    <w:p w:rsidR="001F3E24" w:rsidP="00B74063" w14:paraId="756652A4" w14:textId="77777777">
      <w:pPr>
        <w:numPr>
          <w:ilvl w:val="12"/>
          <w:numId w:val="0"/>
        </w:numPr>
        <w:ind w:left="360"/>
      </w:pPr>
    </w:p>
    <w:p w:rsidR="005C7DDC" w:rsidRPr="005D179A" w:rsidP="000051EE" w14:paraId="5A64E7CB" w14:textId="5B15BCE5">
      <w:pPr>
        <w:numPr>
          <w:ilvl w:val="12"/>
          <w:numId w:val="0"/>
        </w:numPr>
        <w:ind w:left="360"/>
        <w:rPr>
          <w:u w:val="single"/>
        </w:rPr>
      </w:pPr>
      <w:r w:rsidRPr="005D179A">
        <w:rPr>
          <w:u w:val="single"/>
        </w:rPr>
        <w:t>Mandatory Collection</w:t>
      </w:r>
    </w:p>
    <w:p w:rsidR="00090591" w:rsidP="000051EE" w14:paraId="53B2ED10" w14:textId="2E02C255">
      <w:pPr>
        <w:numPr>
          <w:ilvl w:val="12"/>
          <w:numId w:val="0"/>
        </w:numPr>
        <w:ind w:left="360"/>
      </w:pPr>
      <w:r>
        <w:rPr>
          <w:color w:val="000000" w:themeColor="text1"/>
        </w:rPr>
        <w:t>O</w:t>
      </w:r>
      <w:r w:rsidRPr="00B66723" w:rsidR="00B66723">
        <w:rPr>
          <w:color w:val="000000" w:themeColor="text1"/>
        </w:rPr>
        <w:t xml:space="preserve">n May 26, 2021, OMB approved TSA’s request for an </w:t>
      </w:r>
      <w:r w:rsidRPr="00B66723" w:rsidR="00381222">
        <w:rPr>
          <w:color w:val="000000" w:themeColor="text1"/>
        </w:rPr>
        <w:t xml:space="preserve">emergency revision </w:t>
      </w:r>
      <w:r w:rsidRPr="00B66723" w:rsidR="00B66723">
        <w:rPr>
          <w:color w:val="000000" w:themeColor="text1"/>
        </w:rPr>
        <w:t>o</w:t>
      </w:r>
      <w:r w:rsidR="00381222">
        <w:rPr>
          <w:color w:val="000000" w:themeColor="text1"/>
        </w:rPr>
        <w:t>f</w:t>
      </w:r>
      <w:r w:rsidRPr="00B66723" w:rsidR="00B66723">
        <w:rPr>
          <w:color w:val="000000" w:themeColor="text1"/>
        </w:rPr>
        <w:t xml:space="preserve"> this information collection, </w:t>
      </w:r>
      <w:r w:rsidR="00381222">
        <w:rPr>
          <w:color w:val="000000" w:themeColor="text1"/>
        </w:rPr>
        <w:t>allowing for the institution o</w:t>
      </w:r>
      <w:r>
        <w:rPr>
          <w:color w:val="000000" w:themeColor="text1"/>
        </w:rPr>
        <w:t>f</w:t>
      </w:r>
      <w:r w:rsidR="00381222">
        <w:rPr>
          <w:color w:val="000000" w:themeColor="text1"/>
        </w:rPr>
        <w:t xml:space="preserve"> mandatory requirements.</w:t>
      </w:r>
      <w:r>
        <w:rPr>
          <w:rStyle w:val="FootnoteReference"/>
          <w:color w:val="000000" w:themeColor="text1"/>
        </w:rPr>
        <w:footnoteReference w:id="6"/>
      </w:r>
      <w:r w:rsidR="00381222">
        <w:rPr>
          <w:color w:val="000000" w:themeColor="text1"/>
        </w:rPr>
        <w:t xml:space="preserve">  The revision was necessary </w:t>
      </w:r>
      <w:r w:rsidRPr="00090591" w:rsidR="00DD1317">
        <w:t>to address the ongoing cybersecurity threat to pipeline system</w:t>
      </w:r>
      <w:r w:rsidR="00DD1317">
        <w:t>s and associated infrastructure</w:t>
      </w:r>
      <w:r w:rsidR="00B9425C">
        <w:t xml:space="preserve">.  </w:t>
      </w:r>
      <w:r w:rsidRPr="00141B76" w:rsidR="009206CA">
        <w:rPr>
          <w:color w:val="000000" w:themeColor="text1"/>
        </w:rPr>
        <w:t>TSA issue</w:t>
      </w:r>
      <w:r w:rsidR="00DD1317">
        <w:rPr>
          <w:color w:val="000000" w:themeColor="text1"/>
        </w:rPr>
        <w:t>d</w:t>
      </w:r>
      <w:r w:rsidRPr="00141B76" w:rsidR="009206CA">
        <w:rPr>
          <w:color w:val="000000" w:themeColor="text1"/>
        </w:rPr>
        <w:t xml:space="preserve"> a Security Directive (SD) </w:t>
      </w:r>
      <w:r w:rsidR="00381222">
        <w:rPr>
          <w:color w:val="000000" w:themeColor="text1"/>
        </w:rPr>
        <w:t>applicable to</w:t>
      </w:r>
      <w:r w:rsidRPr="00141B76" w:rsidR="009206CA">
        <w:rPr>
          <w:color w:val="000000" w:themeColor="text1"/>
        </w:rPr>
        <w:t xml:space="preserve"> </w:t>
      </w:r>
      <w:r w:rsidRPr="00141B76" w:rsidR="00381222">
        <w:rPr>
          <w:color w:val="000000" w:themeColor="text1"/>
        </w:rPr>
        <w:t xml:space="preserve">owner/operators </w:t>
      </w:r>
      <w:r w:rsidRPr="00141B76" w:rsidR="009206CA">
        <w:rPr>
          <w:color w:val="000000" w:themeColor="text1"/>
        </w:rPr>
        <w:t xml:space="preserve">of </w:t>
      </w:r>
      <w:r w:rsidR="00A3249C">
        <w:rPr>
          <w:color w:val="000000" w:themeColor="text1"/>
        </w:rPr>
        <w:t xml:space="preserve">a </w:t>
      </w:r>
      <w:r w:rsidRPr="00141B76" w:rsidR="009206CA">
        <w:rPr>
          <w:color w:val="000000" w:themeColor="text1"/>
        </w:rPr>
        <w:t xml:space="preserve">hazardous liquid and natural gas pipeline </w:t>
      </w:r>
      <w:r w:rsidR="00381222">
        <w:rPr>
          <w:color w:val="000000" w:themeColor="text1"/>
        </w:rPr>
        <w:t>or</w:t>
      </w:r>
      <w:r w:rsidRPr="00141B76" w:rsidR="00381222">
        <w:rPr>
          <w:color w:val="000000" w:themeColor="text1"/>
        </w:rPr>
        <w:t xml:space="preserve"> </w:t>
      </w:r>
      <w:r w:rsidRPr="00141B76" w:rsidR="009206CA">
        <w:rPr>
          <w:color w:val="000000" w:themeColor="text1"/>
        </w:rPr>
        <w:t>liquefied natural gas facilit</w:t>
      </w:r>
      <w:r w:rsidR="00381222">
        <w:rPr>
          <w:color w:val="000000" w:themeColor="text1"/>
        </w:rPr>
        <w:t>y notified by TSA that their pipeline system or facility is critical</w:t>
      </w:r>
      <w:r w:rsidRPr="00141B76" w:rsidR="009206CA">
        <w:rPr>
          <w:color w:val="000000" w:themeColor="text1"/>
        </w:rPr>
        <w:t>.  Th</w:t>
      </w:r>
      <w:r w:rsidR="00381222">
        <w:rPr>
          <w:color w:val="000000" w:themeColor="text1"/>
        </w:rPr>
        <w:t>ese owner/operators are required to review</w:t>
      </w:r>
      <w:r w:rsidRPr="00090591">
        <w:t xml:space="preserve"> Section 7 of TSA’s </w:t>
      </w:r>
      <w:r w:rsidR="00A3249C">
        <w:t xml:space="preserve">2018 </w:t>
      </w:r>
      <w:r>
        <w:t xml:space="preserve">Pipeline Security </w:t>
      </w:r>
      <w:r w:rsidRPr="00090591">
        <w:t xml:space="preserve">Guidelines </w:t>
      </w:r>
      <w:r w:rsidR="00A3249C">
        <w:t xml:space="preserve">(with Change 1 (April 2021)) </w:t>
      </w:r>
      <w:r w:rsidRPr="00090591">
        <w:t>and assess current activities</w:t>
      </w:r>
      <w:r w:rsidR="00580A3B">
        <w:t xml:space="preserve">, using </w:t>
      </w:r>
      <w:r w:rsidR="00B9425C">
        <w:t>TSA-</w:t>
      </w:r>
      <w:r w:rsidRPr="007613C0" w:rsidR="007613C0">
        <w:t>Pipeline Cybersecurity Vulnerability Self-</w:t>
      </w:r>
      <w:r w:rsidRPr="007613C0" w:rsidR="005D179A">
        <w:t>Assessment</w:t>
      </w:r>
      <w:r w:rsidR="005D179A">
        <w:t xml:space="preserve"> form</w:t>
      </w:r>
      <w:r w:rsidR="00580A3B">
        <w:t>,</w:t>
      </w:r>
      <w:r w:rsidRPr="00090591">
        <w:t xml:space="preserve"> to address cyber risk</w:t>
      </w:r>
      <w:r w:rsidR="00C614F0">
        <w:t xml:space="preserve">, </w:t>
      </w:r>
      <w:r w:rsidRPr="00C614F0" w:rsidR="00C614F0">
        <w:t>and identify remediation measures that will be taken to fill those gaps and a time</w:t>
      </w:r>
      <w:r w:rsidR="00A3249C">
        <w:t>line</w:t>
      </w:r>
      <w:r w:rsidR="00C614F0">
        <w:t xml:space="preserve"> for achieving those measures</w:t>
      </w:r>
      <w:r w:rsidRPr="00090591">
        <w:t>.</w:t>
      </w:r>
      <w:r w:rsidR="00381222">
        <w:t xml:space="preserve">  The form</w:t>
      </w:r>
      <w:r w:rsidR="00834AD5">
        <w:t xml:space="preserve"> is</w:t>
      </w:r>
      <w:r w:rsidR="00381222">
        <w:t xml:space="preserve"> limited to cybersecurity issues and augmented to address the scope of the SD.  </w:t>
      </w:r>
    </w:p>
    <w:p w:rsidR="00B74063" w:rsidP="00B74063" w14:paraId="562E53F6" w14:textId="77777777">
      <w:pPr>
        <w:numPr>
          <w:ilvl w:val="12"/>
          <w:numId w:val="0"/>
        </w:numPr>
        <w:ind w:left="360"/>
      </w:pPr>
    </w:p>
    <w:p w:rsidR="00320387" w:rsidP="00320387" w14:paraId="27EEA930"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09DD51B6" w14:textId="77777777">
      <w:pPr>
        <w:keepNext/>
        <w:numPr>
          <w:ilvl w:val="12"/>
          <w:numId w:val="0"/>
        </w:numPr>
        <w:ind w:left="360"/>
      </w:pPr>
    </w:p>
    <w:p w:rsidR="001116B8" w:rsidRPr="004141F8" w:rsidP="00F6572D" w14:paraId="0A945A3C" w14:textId="77777777">
      <w:pPr>
        <w:numPr>
          <w:ilvl w:val="12"/>
          <w:numId w:val="0"/>
        </w:numPr>
        <w:ind w:left="360"/>
        <w:rPr>
          <w:i/>
        </w:rPr>
      </w:pPr>
      <w:r w:rsidRPr="00A37EC3">
        <w:rPr>
          <w:u w:val="single"/>
        </w:rPr>
        <w:t>Voluntary Collection</w:t>
      </w:r>
      <w:r w:rsidRPr="004141F8">
        <w:rPr>
          <w:i/>
        </w:rPr>
        <w:t>.</w:t>
      </w:r>
    </w:p>
    <w:p w:rsidR="00DB65C5" w:rsidP="00F6572D" w14:paraId="78565C3A" w14:textId="631A0FF8">
      <w:pPr>
        <w:numPr>
          <w:ilvl w:val="12"/>
          <w:numId w:val="0"/>
        </w:numPr>
        <w:ind w:left="360"/>
      </w:pPr>
      <w:r>
        <w:t>TSA analyzes the i</w:t>
      </w:r>
      <w:r w:rsidR="00BC12AE">
        <w:t xml:space="preserve">nformation collected </w:t>
      </w:r>
      <w:r w:rsidR="00A75AC7">
        <w:t>on the CFSR form during the onsite facility reviews, as well as the information collected from follow</w:t>
      </w:r>
      <w:r w:rsidR="001F3E24">
        <w:t>-</w:t>
      </w:r>
      <w:r w:rsidR="00A75AC7">
        <w:t>up with facility operators on the status of recommendations made during the reviews,</w:t>
      </w:r>
      <w:r w:rsidR="00B50326">
        <w:t xml:space="preserve"> </w:t>
      </w:r>
      <w:r w:rsidR="00BC12AE">
        <w:t xml:space="preserve">to determine strengths and weaknesses at the nation's critical pipeline facilities, areas to target for risk reduction strategies, pipeline industry implementation of the </w:t>
      </w:r>
      <w:r w:rsidR="00B50326">
        <w:t>TSA “Pipeline Security Guidelines</w:t>
      </w:r>
      <w:r w:rsidR="00A56B46">
        <w:t>,</w:t>
      </w:r>
      <w:r w:rsidR="00B50326">
        <w:t>”</w:t>
      </w:r>
      <w:r w:rsidR="00073401">
        <w:t xml:space="preserve"> </w:t>
      </w:r>
      <w:r w:rsidR="00BC12AE">
        <w:t xml:space="preserve">and the </w:t>
      </w:r>
      <w:r w:rsidR="001D4265">
        <w:t xml:space="preserve">possible </w:t>
      </w:r>
      <w:r w:rsidR="00BC12AE">
        <w:t xml:space="preserve">need for regulations in accordance </w:t>
      </w:r>
      <w:r w:rsidRPr="000051EE" w:rsidR="00BC12AE">
        <w:t xml:space="preserve">with </w:t>
      </w:r>
      <w:r w:rsidRPr="000051EE" w:rsidR="001A54C4">
        <w:t>s</w:t>
      </w:r>
      <w:r w:rsidRPr="005B2B70" w:rsidR="00BC12AE">
        <w:t xml:space="preserve">ection 1557(d) of the 9/11 </w:t>
      </w:r>
      <w:r w:rsidRPr="005B2B70" w:rsidR="001A54C4">
        <w:t>Act</w:t>
      </w:r>
      <w:r w:rsidR="00BC12AE">
        <w:t>.</w:t>
      </w:r>
      <w:r w:rsidR="00A75AC7">
        <w:t xml:space="preserve">  </w:t>
      </w:r>
      <w:r w:rsidRPr="0018287D" w:rsidR="00CA47B2">
        <w:t xml:space="preserve">TSA may </w:t>
      </w:r>
      <w:r w:rsidR="00CA47B2">
        <w:t xml:space="preserve">also </w:t>
      </w:r>
      <w:r w:rsidRPr="0018287D" w:rsidR="00CA47B2">
        <w:t>use information submitted for vulnerability identification, trend analysis, or to generate anonymized indicators of compromise or other security products</w:t>
      </w:r>
      <w:r w:rsidR="00CA47B2">
        <w:t>.</w:t>
      </w:r>
    </w:p>
    <w:p w:rsidR="00714106" w:rsidP="00F6572D" w14:paraId="4B6D2E1D" w14:textId="77777777">
      <w:pPr>
        <w:numPr>
          <w:ilvl w:val="12"/>
          <w:numId w:val="0"/>
        </w:numPr>
        <w:ind w:left="360"/>
      </w:pPr>
    </w:p>
    <w:p w:rsidR="008C0326" w:rsidRPr="00E97782" w:rsidP="008C0326" w14:paraId="0A524B1E" w14:textId="77777777">
      <w:pPr>
        <w:numPr>
          <w:ilvl w:val="12"/>
          <w:numId w:val="0"/>
        </w:numPr>
        <w:ind w:left="360"/>
        <w:rPr>
          <w:i/>
        </w:rPr>
      </w:pPr>
      <w:r w:rsidRPr="008A5B10">
        <w:rPr>
          <w:u w:val="single"/>
        </w:rPr>
        <w:t>Revision</w:t>
      </w:r>
      <w:r w:rsidR="00B9425C">
        <w:rPr>
          <w:u w:val="single"/>
        </w:rPr>
        <w:t xml:space="preserve"> to voluntary collection</w:t>
      </w:r>
      <w:r w:rsidRPr="00E97782">
        <w:rPr>
          <w:i/>
        </w:rPr>
        <w:t>.</w:t>
      </w:r>
    </w:p>
    <w:p w:rsidR="008C0326" w:rsidP="008C0326" w14:paraId="121868E9" w14:textId="090D6ACE">
      <w:pPr>
        <w:numPr>
          <w:ilvl w:val="12"/>
          <w:numId w:val="0"/>
        </w:numPr>
        <w:ind w:left="360"/>
      </w:pPr>
      <w:r>
        <w:t>TSA is revising the information collection to align the CFSR question set with the revised Pipeline Security Guidelines.  As a result, the question set has been edited by removing, adding</w:t>
      </w:r>
      <w:r w:rsidR="00D80459">
        <w:t>,</w:t>
      </w:r>
      <w:r>
        <w:t xml:space="preserve"> and rewriting several questions to meet the Pipeline Security Guidelines and criticality needs.  Further, TSA is moving the collection instrument from a PDF format to an Excel Workbook format. </w:t>
      </w:r>
      <w:r w:rsidR="00B9425C">
        <w:t xml:space="preserve"> </w:t>
      </w:r>
    </w:p>
    <w:p w:rsidR="008C0326" w:rsidP="008C0326" w14:paraId="4D7D7029" w14:textId="77777777">
      <w:pPr>
        <w:numPr>
          <w:ilvl w:val="12"/>
          <w:numId w:val="0"/>
        </w:numPr>
        <w:ind w:left="360"/>
      </w:pPr>
    </w:p>
    <w:p w:rsidR="008C0326" w:rsidP="008C0326" w14:paraId="6044B39A" w14:textId="77777777">
      <w:pPr>
        <w:numPr>
          <w:ilvl w:val="12"/>
          <w:numId w:val="0"/>
        </w:numPr>
        <w:ind w:left="360"/>
        <w:rPr>
          <w:color w:val="000000" w:themeColor="text1"/>
        </w:rPr>
      </w:pPr>
      <w:r w:rsidRPr="00A37EC3">
        <w:rPr>
          <w:color w:val="000000" w:themeColor="text1"/>
          <w:u w:val="single"/>
        </w:rPr>
        <w:t>Mandatory</w:t>
      </w:r>
      <w:r>
        <w:rPr>
          <w:color w:val="000000" w:themeColor="text1"/>
          <w:u w:val="single"/>
        </w:rPr>
        <w:t xml:space="preserve"> Collection</w:t>
      </w:r>
      <w:r w:rsidR="00A37EC3">
        <w:rPr>
          <w:color w:val="000000" w:themeColor="text1"/>
          <w:u w:val="single"/>
        </w:rPr>
        <w:t xml:space="preserve"> resulting from </w:t>
      </w:r>
      <w:r w:rsidRPr="00A37EC3" w:rsidR="00A37EC3">
        <w:rPr>
          <w:i/>
          <w:color w:val="000000" w:themeColor="text1"/>
          <w:u w:val="single"/>
        </w:rPr>
        <w:t>E</w:t>
      </w:r>
      <w:r w:rsidRPr="00A37EC3">
        <w:rPr>
          <w:i/>
          <w:color w:val="000000" w:themeColor="text1"/>
          <w:u w:val="single"/>
        </w:rPr>
        <w:t>mergency Revision</w:t>
      </w:r>
      <w:r w:rsidRPr="00A37EC3">
        <w:rPr>
          <w:color w:val="000000" w:themeColor="text1"/>
          <w:u w:val="single"/>
        </w:rPr>
        <w:t>.</w:t>
      </w:r>
    </w:p>
    <w:p w:rsidR="0077150E" w:rsidP="00F6572D" w14:paraId="46AB0B90" w14:textId="23691273">
      <w:pPr>
        <w:numPr>
          <w:ilvl w:val="12"/>
          <w:numId w:val="0"/>
        </w:numPr>
        <w:ind w:left="360"/>
      </w:pPr>
      <w:r>
        <w:t xml:space="preserve">The </w:t>
      </w:r>
      <w:r w:rsidR="00BE2366">
        <w:t xml:space="preserve">TSA Security Directive 2021-01 </w:t>
      </w:r>
      <w:r>
        <w:t xml:space="preserve">series </w:t>
      </w:r>
      <w:r w:rsidR="00BE2366">
        <w:t>requires operators notified by TSA to conduct a cybersecurity self-assessment on a TSA prescribed form</w:t>
      </w:r>
      <w:r w:rsidR="00CA47B2">
        <w:t xml:space="preserve">.  </w:t>
      </w:r>
      <w:r w:rsidRPr="001116B8" w:rsidR="001116B8">
        <w:t xml:space="preserve">OMB’s emergency approval allowed the revision of the collection to mandate </w:t>
      </w:r>
      <w:r w:rsidR="009206CA">
        <w:t>th</w:t>
      </w:r>
      <w:r w:rsidR="00B9425C">
        <w:t>at th</w:t>
      </w:r>
      <w:r w:rsidR="009206CA">
        <w:t xml:space="preserve">e owner/operators subject to the requirements </w:t>
      </w:r>
      <w:r w:rsidR="001116B8">
        <w:t xml:space="preserve">of the SD </w:t>
      </w:r>
      <w:r w:rsidR="009206CA">
        <w:t xml:space="preserve">conduct a self-assessment of their cybersecurity using a portion of the previously approved assessment tool.  While the currently approved </w:t>
      </w:r>
      <w:r w:rsidR="00CA47B2">
        <w:t xml:space="preserve">voluntary CFSR Form </w:t>
      </w:r>
      <w:r w:rsidR="009206CA">
        <w:t xml:space="preserve">involves TSA identifying the vulnerabilities identified as part of the assessment and may recommend actions the owner/operator could take to address vulnerabilities, the SD requires </w:t>
      </w:r>
      <w:r w:rsidR="009206CA">
        <w:t xml:space="preserve">owner/operators to identify areas where their practices do not align with the recommendations in the Guidelines and develop a remediation plan. </w:t>
      </w:r>
      <w:r w:rsidR="00735F8E">
        <w:t xml:space="preserve"> </w:t>
      </w:r>
      <w:r w:rsidRPr="006506B7" w:rsidR="006506B7">
        <w:t>The assessment</w:t>
      </w:r>
      <w:r w:rsidR="001337C2">
        <w:t>,</w:t>
      </w:r>
      <w:r w:rsidRPr="006506B7" w:rsidR="006506B7">
        <w:t xml:space="preserve"> identification of gaps</w:t>
      </w:r>
      <w:r>
        <w:t>,</w:t>
      </w:r>
      <w:r w:rsidR="001337C2">
        <w:t xml:space="preserve"> and identification of remediation measures </w:t>
      </w:r>
      <w:r w:rsidRPr="006506B7" w:rsidR="006506B7">
        <w:t xml:space="preserve">must be completed using </w:t>
      </w:r>
      <w:r w:rsidR="00B9425C">
        <w:t xml:space="preserve">a </w:t>
      </w:r>
      <w:r w:rsidRPr="00580A3B" w:rsidR="00580A3B">
        <w:t>Pipeline Cybersecurity Self-Assessment</w:t>
      </w:r>
      <w:r w:rsidRPr="006506B7" w:rsidR="006506B7">
        <w:t xml:space="preserve"> form provided by TSA.</w:t>
      </w:r>
      <w:r w:rsidR="009206CA">
        <w:t xml:space="preserve"> </w:t>
      </w:r>
      <w:r w:rsidR="00735F8E">
        <w:t xml:space="preserve"> </w:t>
      </w:r>
      <w:r w:rsidR="009206CA">
        <w:t>TSA</w:t>
      </w:r>
      <w:r w:rsidR="0018287D">
        <w:t xml:space="preserve"> </w:t>
      </w:r>
      <w:r w:rsidR="001116B8">
        <w:t>u</w:t>
      </w:r>
      <w:r w:rsidR="0018287D">
        <w:t>se</w:t>
      </w:r>
      <w:r w:rsidR="001116B8">
        <w:t>s</w:t>
      </w:r>
      <w:r w:rsidR="0018287D">
        <w:t xml:space="preserve"> the results of the assessments to </w:t>
      </w:r>
      <w:r w:rsidRPr="0018287D" w:rsidR="0018287D">
        <w:t>make a global assessment of the cyber risk posture of the industry</w:t>
      </w:r>
      <w:r w:rsidR="009206CA">
        <w:t xml:space="preserve"> and possibly impose </w:t>
      </w:r>
      <w:r w:rsidRPr="0018287D" w:rsidR="0018287D">
        <w:t xml:space="preserve">additional security measures as appropriate or necessary.  TSA may also use the information, with company-specific data redacted, for TSA’s intelligence-derived reports.  TSA and </w:t>
      </w:r>
      <w:r>
        <w:t xml:space="preserve">the </w:t>
      </w:r>
      <w:r w:rsidRPr="009362E2" w:rsidR="009362E2">
        <w:t xml:space="preserve">Cybersecurity and Infrastructure Security Agency </w:t>
      </w:r>
      <w:r w:rsidRPr="0018287D" w:rsidR="0018287D">
        <w:t xml:space="preserve">may </w:t>
      </w:r>
      <w:r w:rsidR="009206CA">
        <w:t xml:space="preserve">also </w:t>
      </w:r>
      <w:r w:rsidRPr="0018287D" w:rsidR="0018287D">
        <w:t>use information submitted for vulnerability identification, trend analysis, or to generate anonymized indicators of compromise or other cybersecurity products to prevent other cybersecurity incidents.</w:t>
      </w:r>
    </w:p>
    <w:p w:rsidR="00105F86" w:rsidP="00F6572D" w14:paraId="2AE76D61" w14:textId="77777777">
      <w:pPr>
        <w:numPr>
          <w:ilvl w:val="12"/>
          <w:numId w:val="0"/>
        </w:numPr>
        <w:ind w:left="360"/>
      </w:pPr>
    </w:p>
    <w:p w:rsidR="00320387" w:rsidRPr="00DB65C5" w:rsidP="00DB65C5" w14:paraId="0B5BE275" w14:textId="77777777">
      <w:pPr>
        <w:numPr>
          <w:ilvl w:val="0"/>
          <w:numId w:val="1"/>
        </w:numPr>
        <w:rPr>
          <w:b/>
          <w:i/>
        </w:rPr>
      </w:pPr>
      <w:r w:rsidRPr="00DB65C5">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B65C5">
        <w:rPr>
          <w:rFonts w:ascii="Courier New" w:hAnsi="Courier New"/>
          <w:b/>
          <w:i/>
          <w:snapToGrid w:val="0"/>
        </w:rPr>
        <w:t xml:space="preserve">  </w:t>
      </w:r>
    </w:p>
    <w:p w:rsidR="00450077" w:rsidP="00116B86" w14:paraId="5F0B492A" w14:textId="77777777">
      <w:pPr>
        <w:numPr>
          <w:ilvl w:val="12"/>
          <w:numId w:val="0"/>
        </w:numPr>
        <w:ind w:left="360"/>
      </w:pPr>
    </w:p>
    <w:p w:rsidR="00320387" w:rsidP="00116B86" w14:paraId="4F02C5F8" w14:textId="44CB23F3">
      <w:pPr>
        <w:numPr>
          <w:ilvl w:val="12"/>
          <w:numId w:val="0"/>
        </w:numPr>
        <w:ind w:left="360"/>
      </w:pPr>
      <w:r>
        <w:t xml:space="preserve">Voluntary collection: </w:t>
      </w:r>
      <w:r w:rsidR="004815E8">
        <w:t>TSA personnel collect f</w:t>
      </w:r>
      <w:r w:rsidRPr="00450077" w:rsidR="00450077">
        <w:t>acility-specific information on security policies, procedures, and phys</w:t>
      </w:r>
      <w:r w:rsidR="00450077">
        <w:t>ical security measures</w:t>
      </w:r>
      <w:r w:rsidRPr="00450077" w:rsidR="00450077">
        <w:t xml:space="preserve"> </w:t>
      </w:r>
      <w:r w:rsidR="005E14BE">
        <w:t xml:space="preserve">from the operator </w:t>
      </w:r>
      <w:r w:rsidRPr="00450077" w:rsidR="00450077">
        <w:t xml:space="preserve">on-site </w:t>
      </w:r>
      <w:r w:rsidR="004815E8">
        <w:t>using</w:t>
      </w:r>
      <w:r w:rsidRPr="00450077" w:rsidR="00450077">
        <w:t xml:space="preserve"> </w:t>
      </w:r>
      <w:r w:rsidR="001A54C4">
        <w:t xml:space="preserve">the </w:t>
      </w:r>
      <w:r w:rsidRPr="00450077" w:rsidR="00450077">
        <w:t xml:space="preserve">CFSR Form. </w:t>
      </w:r>
      <w:r w:rsidR="009206CA">
        <w:t xml:space="preserve"> </w:t>
      </w:r>
      <w:r w:rsidR="005E14BE">
        <w:t xml:space="preserve">The operator confirms that their answers have been accurately recorded at the completion of the assessment.  </w:t>
      </w:r>
      <w:r w:rsidRPr="00450077" w:rsidR="00450077">
        <w:t>TSA personnel</w:t>
      </w:r>
      <w:r w:rsidR="004815E8">
        <w:t xml:space="preserve"> </w:t>
      </w:r>
      <w:r w:rsidR="005E14BE">
        <w:t xml:space="preserve">conduct a final review of the </w:t>
      </w:r>
      <w:r w:rsidR="004815E8">
        <w:t>form</w:t>
      </w:r>
      <w:r w:rsidR="005E14BE">
        <w:t xml:space="preserve"> and </w:t>
      </w:r>
      <w:r w:rsidR="004815E8">
        <w:t>then forward</w:t>
      </w:r>
      <w:r w:rsidR="001A54C4">
        <w:t xml:space="preserve"> </w:t>
      </w:r>
      <w:r w:rsidR="005E14BE">
        <w:t>the assessment, including security recommendations</w:t>
      </w:r>
      <w:r w:rsidR="00D80459">
        <w:t>,</w:t>
      </w:r>
      <w:r w:rsidR="005E14BE">
        <w:t xml:space="preserve"> </w:t>
      </w:r>
      <w:r w:rsidRPr="00450077" w:rsidR="00450077">
        <w:t>to operators via electronic mail.</w:t>
      </w:r>
      <w:r w:rsidR="00450077">
        <w:t xml:space="preserve">  </w:t>
      </w:r>
      <w:r w:rsidR="007C58EE">
        <w:t xml:space="preserve">The information collected is </w:t>
      </w:r>
      <w:r w:rsidRPr="00736231" w:rsidR="007C58EE">
        <w:t>considered Sensitive Security Information under 49 CFR part 1520</w:t>
      </w:r>
      <w:r w:rsidR="007C58EE">
        <w:t xml:space="preserve">.  </w:t>
      </w:r>
      <w:r w:rsidR="004815E8">
        <w:t xml:space="preserve">TSA sends </w:t>
      </w:r>
      <w:r w:rsidR="008F03DF">
        <w:t xml:space="preserve">requests to follow up with pipeline operators </w:t>
      </w:r>
      <w:r w:rsidR="00C23E57">
        <w:t>regarding</w:t>
      </w:r>
      <w:r w:rsidR="008F03DF">
        <w:t xml:space="preserve"> the status </w:t>
      </w:r>
      <w:r w:rsidR="00C23E57">
        <w:t>of their</w:t>
      </w:r>
      <w:r w:rsidR="008F03DF">
        <w:t xml:space="preserve"> implementation of the </w:t>
      </w:r>
      <w:r w:rsidR="00B43483">
        <w:t xml:space="preserve">recommendations made during </w:t>
      </w:r>
      <w:r w:rsidR="008F03DF">
        <w:t>critic</w:t>
      </w:r>
      <w:r w:rsidR="00450077">
        <w:t xml:space="preserve">al facility visits </w:t>
      </w:r>
      <w:r w:rsidR="008F03DF">
        <w:t>via electronic mail.</w:t>
      </w:r>
      <w:r w:rsidR="00F068DF">
        <w:t xml:space="preserve"> </w:t>
      </w:r>
      <w:r w:rsidR="00DC6837">
        <w:t xml:space="preserve"> </w:t>
      </w:r>
    </w:p>
    <w:p w:rsidR="00167D90" w:rsidP="00116B86" w14:paraId="3871A2A5" w14:textId="77777777">
      <w:pPr>
        <w:numPr>
          <w:ilvl w:val="12"/>
          <w:numId w:val="0"/>
        </w:numPr>
        <w:ind w:left="360"/>
      </w:pPr>
    </w:p>
    <w:p w:rsidR="00643A43" w:rsidP="00643A43" w14:paraId="41F47DC8" w14:textId="7712D6C5">
      <w:pPr>
        <w:numPr>
          <w:ilvl w:val="12"/>
          <w:numId w:val="0"/>
        </w:numPr>
        <w:ind w:left="360"/>
      </w:pPr>
      <w:r>
        <w:t xml:space="preserve">Mandatory collection: </w:t>
      </w:r>
      <w:r w:rsidR="005E14BE">
        <w:t>O</w:t>
      </w:r>
      <w:r w:rsidR="009206CA">
        <w:t xml:space="preserve">wner/operators </w:t>
      </w:r>
      <w:r w:rsidR="001116B8">
        <w:t>are</w:t>
      </w:r>
      <w:r w:rsidR="009206CA">
        <w:t xml:space="preserve"> required to conduct the assessment of their cybersecurity posture</w:t>
      </w:r>
      <w:r w:rsidR="00580A3B">
        <w:t xml:space="preserve"> using the</w:t>
      </w:r>
      <w:r w:rsidR="009206CA">
        <w:t xml:space="preserve"> </w:t>
      </w:r>
      <w:r w:rsidRPr="00580A3B" w:rsidR="00580A3B">
        <w:t>TSA Pipeline Cybersecurity Self-Assessment</w:t>
      </w:r>
      <w:r w:rsidR="00580A3B">
        <w:t xml:space="preserve"> form </w:t>
      </w:r>
      <w:r w:rsidR="009206CA">
        <w:t xml:space="preserve">and submit the results to TSA. </w:t>
      </w:r>
      <w:r w:rsidR="00735F8E">
        <w:t xml:space="preserve"> </w:t>
      </w:r>
      <w:r w:rsidR="005E14BE">
        <w:t xml:space="preserve">Owner/operator may choose one of </w:t>
      </w:r>
      <w:r w:rsidRPr="00736231" w:rsidR="009206CA">
        <w:t>t</w:t>
      </w:r>
      <w:r w:rsidR="005E14BE">
        <w:t xml:space="preserve">hree </w:t>
      </w:r>
      <w:r w:rsidRPr="00736231" w:rsidR="00196AD4">
        <w:t xml:space="preserve">methods </w:t>
      </w:r>
      <w:r w:rsidRPr="00736231" w:rsidR="009206CA">
        <w:t>to submit the required information</w:t>
      </w:r>
      <w:r w:rsidR="00AD30FD">
        <w:t xml:space="preserve">.  </w:t>
      </w:r>
      <w:r w:rsidR="005E14BE">
        <w:t xml:space="preserve">The information collected is </w:t>
      </w:r>
      <w:r w:rsidRPr="00736231" w:rsidR="00196AD4">
        <w:t xml:space="preserve">considered Sensitive Security Information </w:t>
      </w:r>
      <w:r w:rsidRPr="00736231" w:rsidR="009206CA">
        <w:t>under 49 CFR part 1520</w:t>
      </w:r>
      <w:r w:rsidRPr="00736231" w:rsidR="00196AD4">
        <w:t xml:space="preserve">. </w:t>
      </w:r>
      <w:r w:rsidR="00735F8E">
        <w:t xml:space="preserve"> </w:t>
      </w:r>
      <w:r w:rsidRPr="00736231" w:rsidR="00196AD4">
        <w:t xml:space="preserve">The first </w:t>
      </w:r>
      <w:r>
        <w:t xml:space="preserve">option </w:t>
      </w:r>
      <w:r w:rsidRPr="00736231" w:rsidR="00196AD4">
        <w:t xml:space="preserve">is via email and a password protected document with the password being sent in a separate email.  The second </w:t>
      </w:r>
      <w:r>
        <w:t>option i</w:t>
      </w:r>
      <w:r w:rsidRPr="00736231" w:rsidR="00196AD4">
        <w:t>s to upload the document on a specific secure portal that TSA has established.</w:t>
      </w:r>
      <w:r>
        <w:t xml:space="preserve">  The third option is to upload the document on a secure portal within the Department of Homeland Security Homeland Security Information Network Critical Infrastructure (HSIN-CI) Community. </w:t>
      </w:r>
    </w:p>
    <w:p w:rsidR="00196AD4" w:rsidP="00196AD4" w14:paraId="1F9DA185" w14:textId="77777777">
      <w:pPr>
        <w:numPr>
          <w:ilvl w:val="12"/>
          <w:numId w:val="0"/>
        </w:numPr>
        <w:ind w:left="360"/>
      </w:pPr>
    </w:p>
    <w:p w:rsidR="00320387" w:rsidP="00320387" w14:paraId="7D4A315F"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22550359" w14:textId="77777777">
      <w:pPr>
        <w:keepNext/>
        <w:numPr>
          <w:ilvl w:val="12"/>
          <w:numId w:val="0"/>
        </w:numPr>
        <w:ind w:left="360"/>
      </w:pPr>
    </w:p>
    <w:p w:rsidR="00A174AA" w:rsidP="00EB52AB" w14:paraId="326E2E4C" w14:textId="3A11D73A">
      <w:pPr>
        <w:numPr>
          <w:ilvl w:val="12"/>
          <w:numId w:val="0"/>
        </w:numPr>
        <w:ind w:left="360"/>
      </w:pPr>
      <w:r>
        <w:t>In some instances</w:t>
      </w:r>
      <w:r w:rsidR="00130690">
        <w:t>,</w:t>
      </w:r>
      <w:r>
        <w:t xml:space="preserve"> </w:t>
      </w:r>
      <w:r>
        <w:t xml:space="preserve">pipeline critical facilities may also fall under the requirements of domestic maritime security regulations </w:t>
      </w:r>
      <w:r w:rsidR="00EB52AB">
        <w:t xml:space="preserve">required by the </w:t>
      </w:r>
      <w:r>
        <w:t>Maritime Transportation Security Act</w:t>
      </w:r>
      <w:r w:rsidR="00EB52AB">
        <w:t xml:space="preserve"> of 2002</w:t>
      </w:r>
      <w:r w:rsidR="00831C39">
        <w:t>,</w:t>
      </w:r>
      <w:r w:rsidR="00EB52AB">
        <w:t xml:space="preserve"> </w:t>
      </w:r>
      <w:r w:rsidR="00831C39">
        <w:t xml:space="preserve">Public Law 107-295 (November 25, 2002) </w:t>
      </w:r>
      <w:r w:rsidR="00EB52AB">
        <w:t>(MTSA).  MTSA reg</w:t>
      </w:r>
      <w:r w:rsidR="00B93422">
        <w:t>ulations are enforced by the U.</w:t>
      </w:r>
      <w:r w:rsidR="00EB52AB">
        <w:t xml:space="preserve">S. Coast Guard and contain specific security requirements for maritime facilities.  </w:t>
      </w:r>
      <w:r w:rsidR="00560462">
        <w:t xml:space="preserve">Many of </w:t>
      </w:r>
      <w:r w:rsidR="00560462">
        <w:t>the maritime security requirements are similar to those TSA w</w:t>
      </w:r>
      <w:r w:rsidR="00C23E57">
        <w:t>ould</w:t>
      </w:r>
      <w:r w:rsidR="00560462">
        <w:t xml:space="preserve"> review and </w:t>
      </w:r>
      <w:r w:rsidR="00C23E57">
        <w:t xml:space="preserve">under which TSA would </w:t>
      </w:r>
      <w:r w:rsidR="00560462">
        <w:t>collect information during pipeline security rev</w:t>
      </w:r>
      <w:r>
        <w:t xml:space="preserve">iews.  </w:t>
      </w:r>
      <w:r w:rsidR="00C23E57">
        <w:t xml:space="preserve">Therefore, </w:t>
      </w:r>
      <w:r w:rsidR="00A244FF">
        <w:t>TSA asks each operator to identify those pipeline critical facilities that are</w:t>
      </w:r>
      <w:r>
        <w:t xml:space="preserve"> also MTSA-regulated facilities, and </w:t>
      </w:r>
      <w:r w:rsidR="00B93422">
        <w:t>then confirms with the U.</w:t>
      </w:r>
      <w:r w:rsidR="00A244FF">
        <w:t>S. Coast Guard that the facilities are indeed MTSA-regulat</w:t>
      </w:r>
      <w:r w:rsidR="00867372">
        <w:t xml:space="preserve">ed.  </w:t>
      </w:r>
      <w:r w:rsidR="00C23E57">
        <w:t xml:space="preserve">Upon receiving confirmation from the U.S. Coast Guard, </w:t>
      </w:r>
      <w:r w:rsidR="00867372">
        <w:t>TSA does not review facilities that are MTSA-regulated as security information has already been collec</w:t>
      </w:r>
      <w:r w:rsidR="00B93422">
        <w:t>ted by the U.</w:t>
      </w:r>
      <w:r w:rsidR="00867372">
        <w:t>S. Coast Guard and is ava</w:t>
      </w:r>
      <w:r w:rsidR="005C3C74">
        <w:t xml:space="preserve">ilable for TSA review as </w:t>
      </w:r>
      <w:r w:rsidR="00867372">
        <w:t>necessary.</w:t>
      </w:r>
    </w:p>
    <w:p w:rsidR="0041387E" w:rsidP="00EB52AB" w14:paraId="47F2DF98" w14:textId="77777777">
      <w:pPr>
        <w:numPr>
          <w:ilvl w:val="12"/>
          <w:numId w:val="0"/>
        </w:numPr>
        <w:ind w:left="360"/>
      </w:pPr>
    </w:p>
    <w:p w:rsidR="0041387E" w:rsidP="00EB52AB" w14:paraId="4B7896B8" w14:textId="3B1CFCE5">
      <w:pPr>
        <w:numPr>
          <w:ilvl w:val="12"/>
          <w:numId w:val="0"/>
        </w:numPr>
        <w:ind w:left="360"/>
      </w:pPr>
      <w:r>
        <w:t xml:space="preserve">Regarding the </w:t>
      </w:r>
      <w:r w:rsidR="001116B8">
        <w:t>mandated information collection</w:t>
      </w:r>
      <w:r>
        <w:t>, no other agency requires submission of cybersecurity assessments</w:t>
      </w:r>
      <w:r w:rsidR="00096F75">
        <w:t xml:space="preserve"> by pipeline operators</w:t>
      </w:r>
      <w:r>
        <w:t xml:space="preserve"> so no similar information is available to be used</w:t>
      </w:r>
      <w:r w:rsidR="00FC32C6">
        <w:t xml:space="preserve"> by </w:t>
      </w:r>
      <w:r w:rsidR="00BE61CF">
        <w:t>DHS</w:t>
      </w:r>
      <w:r>
        <w:t xml:space="preserve">.  </w:t>
      </w:r>
    </w:p>
    <w:p w:rsidR="004F590A" w:rsidP="00481282" w14:paraId="6C3AFC24" w14:textId="77777777">
      <w:pPr>
        <w:numPr>
          <w:ilvl w:val="12"/>
          <w:numId w:val="0"/>
        </w:numPr>
        <w:ind w:left="360"/>
      </w:pPr>
    </w:p>
    <w:p w:rsidR="00320387" w:rsidP="00320387" w14:paraId="2DE7CF1D"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310163E0" w14:textId="77777777">
      <w:pPr>
        <w:keepNext/>
        <w:numPr>
          <w:ilvl w:val="12"/>
          <w:numId w:val="0"/>
        </w:numPr>
        <w:ind w:left="360"/>
      </w:pPr>
    </w:p>
    <w:p w:rsidR="00320387" w:rsidP="00F068DF" w14:paraId="1D616823" w14:textId="72436C93">
      <w:pPr>
        <w:numPr>
          <w:ilvl w:val="12"/>
          <w:numId w:val="0"/>
        </w:numPr>
        <w:ind w:left="360"/>
      </w:pPr>
      <w:r>
        <w:t xml:space="preserve">There will </w:t>
      </w:r>
      <w:r w:rsidR="00F068DF">
        <w:t>b</w:t>
      </w:r>
      <w:r w:rsidR="00B147F6">
        <w:t xml:space="preserve">e no impact on </w:t>
      </w:r>
      <w:r>
        <w:t>small businesses</w:t>
      </w:r>
      <w:r w:rsidR="00E1574F">
        <w:t xml:space="preserve"> or small entities</w:t>
      </w:r>
      <w:r>
        <w:t xml:space="preserve">.  </w:t>
      </w:r>
      <w:r w:rsidR="00A82CA4">
        <w:t>T</w:t>
      </w:r>
      <w:r>
        <w:t xml:space="preserve">his </w:t>
      </w:r>
      <w:r w:rsidR="00A82CA4">
        <w:t>informat</w:t>
      </w:r>
      <w:r w:rsidR="002D3C6A">
        <w:t xml:space="preserve">ion request </w:t>
      </w:r>
      <w:r w:rsidR="00E1574F">
        <w:t xml:space="preserve">affects </w:t>
      </w:r>
      <w:r w:rsidR="002D3C6A">
        <w:t>the Top 100</w:t>
      </w:r>
      <w:r w:rsidR="00C44C54">
        <w:t xml:space="preserve"> most critical </w:t>
      </w:r>
      <w:r w:rsidR="00F66645">
        <w:t xml:space="preserve">pipeline </w:t>
      </w:r>
      <w:r w:rsidR="00A82CA4">
        <w:t>systems</w:t>
      </w:r>
      <w:r w:rsidR="009531AB">
        <w:t xml:space="preserve"> in the </w:t>
      </w:r>
      <w:r w:rsidR="00452511">
        <w:t>United States</w:t>
      </w:r>
      <w:r w:rsidR="00E1574F">
        <w:t>.  N</w:t>
      </w:r>
      <w:r w:rsidR="00A82CA4">
        <w:t>one of the</w:t>
      </w:r>
      <w:r w:rsidR="009C70A5">
        <w:t xml:space="preserve"> </w:t>
      </w:r>
      <w:r w:rsidR="00A82CA4">
        <w:t>operators of these pipeline systems</w:t>
      </w:r>
      <w:r w:rsidR="00E1574F">
        <w:t>,</w:t>
      </w:r>
      <w:r w:rsidR="00A82CA4">
        <w:t xml:space="preserve"> or their parent companies</w:t>
      </w:r>
      <w:r w:rsidR="00E1574F">
        <w:t>,</w:t>
      </w:r>
      <w:r w:rsidR="00A82CA4">
        <w:t xml:space="preserve"> </w:t>
      </w:r>
      <w:r w:rsidR="00E1574F">
        <w:t>are</w:t>
      </w:r>
      <w:r w:rsidR="0070557E">
        <w:t xml:space="preserve"> </w:t>
      </w:r>
      <w:r w:rsidR="00A82CA4">
        <w:t>small business</w:t>
      </w:r>
      <w:r w:rsidR="00E1574F">
        <w:t>es</w:t>
      </w:r>
      <w:r w:rsidR="00670AB6">
        <w:t xml:space="preserve"> or entities</w:t>
      </w:r>
      <w:r w:rsidR="00A82CA4">
        <w:t>.</w:t>
      </w:r>
      <w:r w:rsidR="00C44C54">
        <w:t xml:space="preserve"> </w:t>
      </w:r>
    </w:p>
    <w:p w:rsidR="00320387" w:rsidP="00320387" w14:paraId="3CE4BF70" w14:textId="77777777">
      <w:pPr>
        <w:numPr>
          <w:ilvl w:val="12"/>
          <w:numId w:val="0"/>
        </w:numPr>
      </w:pPr>
    </w:p>
    <w:p w:rsidR="00320387" w:rsidP="00320387" w14:paraId="2E90F26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09B0DEB2" w14:textId="77777777">
      <w:pPr>
        <w:keepNext/>
        <w:numPr>
          <w:ilvl w:val="12"/>
          <w:numId w:val="0"/>
        </w:numPr>
        <w:ind w:left="360"/>
      </w:pPr>
    </w:p>
    <w:p w:rsidR="00320387" w:rsidP="00320387" w14:paraId="615C14C0" w14:textId="4A9174CA">
      <w:pPr>
        <w:numPr>
          <w:ilvl w:val="12"/>
          <w:numId w:val="0"/>
        </w:numPr>
        <w:ind w:left="360"/>
        <w:rPr>
          <w:szCs w:val="24"/>
        </w:rPr>
      </w:pPr>
      <w:r>
        <w:rPr>
          <w:szCs w:val="24"/>
        </w:rPr>
        <w:t xml:space="preserve">Failure to obtain </w:t>
      </w:r>
      <w:r w:rsidR="00F82C06">
        <w:rPr>
          <w:szCs w:val="24"/>
        </w:rPr>
        <w:t xml:space="preserve">the information </w:t>
      </w:r>
      <w:r w:rsidR="004B76D9">
        <w:rPr>
          <w:szCs w:val="24"/>
        </w:rPr>
        <w:t>from these</w:t>
      </w:r>
      <w:r w:rsidR="00F82C06">
        <w:rPr>
          <w:szCs w:val="24"/>
        </w:rPr>
        <w:t xml:space="preserve"> collection</w:t>
      </w:r>
      <w:r w:rsidR="005E222A">
        <w:rPr>
          <w:szCs w:val="24"/>
        </w:rPr>
        <w:t>s</w:t>
      </w:r>
      <w:r w:rsidR="00F82C06">
        <w:rPr>
          <w:szCs w:val="24"/>
        </w:rPr>
        <w:t xml:space="preserve"> would impact TSA’s ability to </w:t>
      </w:r>
      <w:r w:rsidR="00217BBB">
        <w:rPr>
          <w:szCs w:val="24"/>
        </w:rPr>
        <w:t xml:space="preserve">assess the security posture of </w:t>
      </w:r>
      <w:r>
        <w:rPr>
          <w:szCs w:val="24"/>
        </w:rPr>
        <w:t xml:space="preserve">the nation’s critical pipeline </w:t>
      </w:r>
      <w:r w:rsidR="00096F75">
        <w:rPr>
          <w:szCs w:val="24"/>
        </w:rPr>
        <w:t xml:space="preserve">operators and </w:t>
      </w:r>
      <w:r>
        <w:rPr>
          <w:szCs w:val="24"/>
        </w:rPr>
        <w:t>facilities</w:t>
      </w:r>
      <w:r w:rsidR="003A3FF7">
        <w:rPr>
          <w:szCs w:val="24"/>
        </w:rPr>
        <w:t xml:space="preserve">, which </w:t>
      </w:r>
      <w:r>
        <w:rPr>
          <w:szCs w:val="24"/>
        </w:rPr>
        <w:t xml:space="preserve">will prevent the agency from being able to make specific recommendations to improve each facility’s security. </w:t>
      </w:r>
      <w:r w:rsidR="00831C39">
        <w:rPr>
          <w:szCs w:val="24"/>
        </w:rPr>
        <w:t xml:space="preserve"> </w:t>
      </w:r>
      <w:r w:rsidR="001A54C4">
        <w:rPr>
          <w:szCs w:val="24"/>
        </w:rPr>
        <w:t xml:space="preserve">The 9/11 Act requires TSA to monitor implementation of security recommendations in order to determine if regulations are required to mitigate risks that are not being addressed.  </w:t>
      </w:r>
      <w:r w:rsidR="001A54C4">
        <w:rPr>
          <w:i/>
          <w:szCs w:val="24"/>
        </w:rPr>
        <w:t xml:space="preserve">See </w:t>
      </w:r>
      <w:r w:rsidR="001A54C4">
        <w:rPr>
          <w:szCs w:val="24"/>
        </w:rPr>
        <w:t>section 1557</w:t>
      </w:r>
      <w:r w:rsidR="00831C39">
        <w:rPr>
          <w:szCs w:val="24"/>
        </w:rPr>
        <w:t>(d)</w:t>
      </w:r>
      <w:r w:rsidR="001A54C4">
        <w:rPr>
          <w:szCs w:val="24"/>
        </w:rPr>
        <w:t xml:space="preserve"> of the 9/11 Act.  Obtaining this information is also necessary for TSA to make company or site-specific recommendations to </w:t>
      </w:r>
      <w:r>
        <w:rPr>
          <w:szCs w:val="24"/>
        </w:rPr>
        <w:t>operators</w:t>
      </w:r>
      <w:r w:rsidR="003A3FF7">
        <w:rPr>
          <w:szCs w:val="24"/>
        </w:rPr>
        <w:t xml:space="preserve"> of critical pipeline facilities</w:t>
      </w:r>
      <w:r w:rsidR="001A54C4">
        <w:rPr>
          <w:szCs w:val="24"/>
        </w:rPr>
        <w:t>.  Absent this information</w:t>
      </w:r>
      <w:r>
        <w:rPr>
          <w:szCs w:val="24"/>
        </w:rPr>
        <w:t xml:space="preserve">, the agency will </w:t>
      </w:r>
      <w:r w:rsidR="001A54C4">
        <w:rPr>
          <w:szCs w:val="24"/>
        </w:rPr>
        <w:t>be un</w:t>
      </w:r>
      <w:r>
        <w:rPr>
          <w:szCs w:val="24"/>
        </w:rPr>
        <w:t xml:space="preserve">able to assess the implementation of </w:t>
      </w:r>
      <w:r w:rsidR="001A54C4">
        <w:rPr>
          <w:szCs w:val="24"/>
        </w:rPr>
        <w:t xml:space="preserve">security </w:t>
      </w:r>
      <w:r>
        <w:rPr>
          <w:szCs w:val="24"/>
        </w:rPr>
        <w:t xml:space="preserve">recommendations at a later date, </w:t>
      </w:r>
      <w:r w:rsidR="003A7A0B">
        <w:rPr>
          <w:szCs w:val="24"/>
        </w:rPr>
        <w:t xml:space="preserve">as recommended by </w:t>
      </w:r>
      <w:r w:rsidRPr="00E32447" w:rsidR="003A7A0B">
        <w:rPr>
          <w:szCs w:val="24"/>
        </w:rPr>
        <w:t>the U.S. Government Accountability Office</w:t>
      </w:r>
      <w:r w:rsidR="003A7A0B">
        <w:rPr>
          <w:szCs w:val="24"/>
        </w:rPr>
        <w:t xml:space="preserve"> </w:t>
      </w:r>
      <w:r w:rsidRPr="00E32447" w:rsidR="003A7A0B">
        <w:rPr>
          <w:szCs w:val="24"/>
        </w:rPr>
        <w:t>(GAO-10-867, August 2010</w:t>
      </w:r>
      <w:r w:rsidR="003A7A0B">
        <w:rPr>
          <w:szCs w:val="24"/>
        </w:rPr>
        <w:t xml:space="preserve">). </w:t>
      </w:r>
      <w:r w:rsidR="00735F8E">
        <w:rPr>
          <w:szCs w:val="24"/>
        </w:rPr>
        <w:t xml:space="preserve"> </w:t>
      </w:r>
      <w:r w:rsidR="00876D76">
        <w:rPr>
          <w:szCs w:val="24"/>
        </w:rPr>
        <w:t>In summary, t</w:t>
      </w:r>
      <w:r w:rsidR="003A7A0B">
        <w:rPr>
          <w:szCs w:val="24"/>
        </w:rPr>
        <w:t>he inability to conduct these collections would greatly impede TSA’s mission to protect</w:t>
      </w:r>
      <w:r w:rsidR="00CF51ED">
        <w:rPr>
          <w:szCs w:val="24"/>
        </w:rPr>
        <w:t xml:space="preserve"> and secure</w:t>
      </w:r>
      <w:r w:rsidR="003A7A0B">
        <w:rPr>
          <w:szCs w:val="24"/>
        </w:rPr>
        <w:t xml:space="preserve"> the nation’s hazardous liquid and natural gas pipeline infrastructure. </w:t>
      </w:r>
    </w:p>
    <w:p w:rsidR="00167D90" w:rsidP="00320387" w14:paraId="2494EB89" w14:textId="77777777">
      <w:pPr>
        <w:numPr>
          <w:ilvl w:val="12"/>
          <w:numId w:val="0"/>
        </w:numPr>
        <w:ind w:left="360"/>
        <w:rPr>
          <w:szCs w:val="24"/>
        </w:rPr>
      </w:pPr>
    </w:p>
    <w:p w:rsidR="00167D90" w:rsidRPr="00E32447" w:rsidP="00320387" w14:paraId="001C9BD3" w14:textId="77777777">
      <w:pPr>
        <w:numPr>
          <w:ilvl w:val="12"/>
          <w:numId w:val="0"/>
        </w:numPr>
        <w:ind w:left="360"/>
        <w:rPr>
          <w:szCs w:val="24"/>
        </w:rPr>
      </w:pPr>
      <w:r w:rsidRPr="00167D90">
        <w:rPr>
          <w:szCs w:val="24"/>
        </w:rPr>
        <w:t xml:space="preserve">Without </w:t>
      </w:r>
      <w:r w:rsidR="001116B8">
        <w:rPr>
          <w:szCs w:val="24"/>
        </w:rPr>
        <w:t>the mandated collection</w:t>
      </w:r>
      <w:r w:rsidRPr="00167D90">
        <w:rPr>
          <w:szCs w:val="24"/>
        </w:rPr>
        <w:t xml:space="preserve">, </w:t>
      </w:r>
      <w:r w:rsidR="00BE61CF">
        <w:rPr>
          <w:szCs w:val="24"/>
        </w:rPr>
        <w:t>DHS</w:t>
      </w:r>
      <w:r w:rsidRPr="00167D90">
        <w:rPr>
          <w:szCs w:val="24"/>
        </w:rPr>
        <w:t xml:space="preserve"> will be unable to address the critical threat to the nation’s pipeline systems. </w:t>
      </w:r>
    </w:p>
    <w:p w:rsidR="00320387" w:rsidP="00320387" w14:paraId="649291D7" w14:textId="77777777">
      <w:pPr>
        <w:numPr>
          <w:ilvl w:val="12"/>
          <w:numId w:val="0"/>
        </w:numPr>
      </w:pPr>
    </w:p>
    <w:p w:rsidR="00320387" w:rsidP="00320387" w14:paraId="65F1DB0B"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0A6D197B" w14:textId="77777777">
      <w:pPr>
        <w:keepNext/>
        <w:numPr>
          <w:ilvl w:val="12"/>
          <w:numId w:val="0"/>
        </w:numPr>
        <w:ind w:left="360"/>
      </w:pPr>
    </w:p>
    <w:p w:rsidR="00BB6224" w:rsidP="00320387" w14:paraId="1677270D" w14:textId="72F381DD">
      <w:pPr>
        <w:keepNext/>
        <w:numPr>
          <w:ilvl w:val="12"/>
          <w:numId w:val="0"/>
        </w:numPr>
        <w:ind w:left="360"/>
      </w:pPr>
      <w:r>
        <w:t>This collection will be conducted consistent with the information collection guidelines</w:t>
      </w:r>
      <w:r>
        <w:t xml:space="preserve"> </w:t>
      </w:r>
      <w:r>
        <w:t>in 5</w:t>
      </w:r>
      <w:r w:rsidR="00643BBE">
        <w:t> </w:t>
      </w:r>
      <w:r>
        <w:t>CFR 1320.5(d)(2).</w:t>
      </w:r>
    </w:p>
    <w:p w:rsidR="007C17CB" w:rsidP="00320387" w14:paraId="7421ED5E" w14:textId="77777777">
      <w:pPr>
        <w:keepNext/>
        <w:numPr>
          <w:ilvl w:val="12"/>
          <w:numId w:val="0"/>
        </w:numPr>
        <w:ind w:left="360"/>
      </w:pPr>
    </w:p>
    <w:p w:rsidR="00320387" w:rsidP="00320387" w14:paraId="549C3292"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074CFBF6" w14:textId="77777777">
      <w:pPr>
        <w:keepNext/>
        <w:numPr>
          <w:ilvl w:val="12"/>
          <w:numId w:val="0"/>
        </w:numPr>
        <w:ind w:left="360"/>
      </w:pPr>
    </w:p>
    <w:p w:rsidR="002F1722" w:rsidP="002F1722" w14:paraId="2F6AB594" w14:textId="782A3895">
      <w:pPr>
        <w:numPr>
          <w:ilvl w:val="12"/>
          <w:numId w:val="0"/>
        </w:numPr>
        <w:ind w:left="360"/>
      </w:pPr>
      <w:r w:rsidRPr="006C20FA">
        <w:t xml:space="preserve">TSA </w:t>
      </w:r>
      <w:r w:rsidR="00C30512">
        <w:t xml:space="preserve">published a </w:t>
      </w:r>
      <w:r w:rsidRPr="006C20FA">
        <w:rPr>
          <w:i/>
        </w:rPr>
        <w:t>Federal Register</w:t>
      </w:r>
      <w:r w:rsidRPr="006C20FA">
        <w:t xml:space="preserve"> </w:t>
      </w:r>
      <w:r w:rsidR="00C30512">
        <w:t>notice</w:t>
      </w:r>
      <w:r w:rsidRPr="006C20FA" w:rsidR="00C30512">
        <w:t>,</w:t>
      </w:r>
      <w:r w:rsidR="00C30512">
        <w:t xml:space="preserve"> with</w:t>
      </w:r>
      <w:r w:rsidRPr="006C20FA" w:rsidR="00C30512">
        <w:t xml:space="preserve"> a 60-day </w:t>
      </w:r>
      <w:r w:rsidR="00C30512">
        <w:t>comment period, soliciting comments on the information collection.  86 FR 3477</w:t>
      </w:r>
      <w:r w:rsidR="00AA7F24">
        <w:t>6</w:t>
      </w:r>
      <w:r w:rsidRPr="006C20FA" w:rsidR="00C30512">
        <w:t xml:space="preserve"> </w:t>
      </w:r>
      <w:r w:rsidR="00C30512">
        <w:t>(</w:t>
      </w:r>
      <w:r w:rsidR="003D3F3C">
        <w:t>June 30</w:t>
      </w:r>
      <w:r w:rsidR="00C30512">
        <w:t xml:space="preserve">, 2021).  </w:t>
      </w:r>
      <w:r w:rsidRPr="006C20FA">
        <w:t xml:space="preserve"> </w:t>
      </w:r>
    </w:p>
    <w:p w:rsidR="002F1722" w:rsidP="00E9652B" w14:paraId="2BC4C4DC" w14:textId="77777777">
      <w:pPr>
        <w:numPr>
          <w:ilvl w:val="12"/>
          <w:numId w:val="0"/>
        </w:numPr>
        <w:ind w:left="360"/>
      </w:pPr>
    </w:p>
    <w:p w:rsidR="002F1722" w:rsidRPr="002371BF" w:rsidP="002F1722" w14:paraId="36C0FA73" w14:textId="77777777">
      <w:pPr>
        <w:ind w:left="360"/>
      </w:pPr>
      <w:r w:rsidRPr="002371BF">
        <w:t xml:space="preserve">TSA received </w:t>
      </w:r>
      <w:r w:rsidR="00F9365E">
        <w:t>three (3)</w:t>
      </w:r>
      <w:r w:rsidRPr="002371BF" w:rsidR="00F9365E">
        <w:t xml:space="preserve"> </w:t>
      </w:r>
      <w:r w:rsidRPr="002371BF">
        <w:t>comment</w:t>
      </w:r>
      <w:r w:rsidR="008A5B10">
        <w:t>s</w:t>
      </w:r>
      <w:r w:rsidRPr="002371BF">
        <w:t xml:space="preserve"> on the 60-day notice</w:t>
      </w:r>
      <w:r w:rsidR="008A5B10">
        <w:t xml:space="preserve">. </w:t>
      </w:r>
      <w:r w:rsidRPr="003D3F3C" w:rsidR="008A5B10">
        <w:rPr>
          <w:i/>
        </w:rPr>
        <w:t xml:space="preserve"> See</w:t>
      </w:r>
      <w:r w:rsidR="008A5B10">
        <w:t xml:space="preserve"> Supporting Statement </w:t>
      </w:r>
      <w:r w:rsidR="00AC1B5B">
        <w:t xml:space="preserve">Appendix </w:t>
      </w:r>
      <w:r w:rsidR="008A5B10">
        <w:t>for TSA’s response to the comments</w:t>
      </w:r>
    </w:p>
    <w:p w:rsidR="002F1722" w:rsidP="002F1722" w14:paraId="2454CF0B" w14:textId="77777777">
      <w:pPr>
        <w:numPr>
          <w:ilvl w:val="12"/>
          <w:numId w:val="0"/>
        </w:numPr>
        <w:ind w:left="360"/>
      </w:pPr>
    </w:p>
    <w:p w:rsidR="002F1722" w:rsidP="002F1722" w14:paraId="6497947D" w14:textId="0DEC4869">
      <w:pPr>
        <w:numPr>
          <w:ilvl w:val="12"/>
          <w:numId w:val="0"/>
        </w:numPr>
        <w:ind w:left="360"/>
      </w:pPr>
      <w:r>
        <w:t xml:space="preserve">TSA also published an additional notice in the </w:t>
      </w:r>
      <w:r w:rsidRPr="00E76E44">
        <w:t>Federal Register</w:t>
      </w:r>
      <w:r>
        <w:t xml:space="preserve"> with a 30-day running period.  </w:t>
      </w:r>
      <w:r w:rsidRPr="006C20FA">
        <w:t>8</w:t>
      </w:r>
      <w:r>
        <w:t>6</w:t>
      </w:r>
      <w:r w:rsidRPr="006C20FA">
        <w:t xml:space="preserve"> FR </w:t>
      </w:r>
      <w:r w:rsidR="00AC1B5B">
        <w:t>57197</w:t>
      </w:r>
      <w:r w:rsidRPr="006C20FA" w:rsidR="00AC1B5B">
        <w:t xml:space="preserve"> </w:t>
      </w:r>
      <w:r w:rsidRPr="00AC1B5B">
        <w:t>(</w:t>
      </w:r>
      <w:r w:rsidRPr="00AC1B5B" w:rsidR="00AC1B5B">
        <w:t>October 14</w:t>
      </w:r>
      <w:r w:rsidRPr="00AC1B5B">
        <w:t xml:space="preserve">, 2021).  </w:t>
      </w:r>
      <w:r w:rsidRPr="00AC1B5B">
        <w:t>TSA did not receive any comments on the 30-day notice.</w:t>
      </w:r>
    </w:p>
    <w:p w:rsidR="00320387" w:rsidP="005B6F11" w14:paraId="763C6F2D" w14:textId="13362474">
      <w:pPr>
        <w:numPr>
          <w:ilvl w:val="12"/>
          <w:numId w:val="0"/>
        </w:numPr>
        <w:ind w:left="360"/>
      </w:pPr>
    </w:p>
    <w:p w:rsidR="00320387" w:rsidP="00320387" w14:paraId="078207AA" w14:textId="77777777">
      <w:pPr>
        <w:keepNext/>
        <w:numPr>
          <w:ilvl w:val="0"/>
          <w:numId w:val="1"/>
        </w:numPr>
        <w:tabs>
          <w:tab w:val="left" w:pos="360"/>
        </w:tabs>
        <w:rPr>
          <w:b/>
          <w:i/>
        </w:rPr>
      </w:pPr>
      <w:r>
        <w:rPr>
          <w:b/>
          <w:i/>
        </w:rPr>
        <w:t>Explain any decision to provide any payment or gift to respondents, other than remuneration of contractors or gran</w:t>
      </w:r>
      <w:r w:rsidR="00563E6C">
        <w:rPr>
          <w:b/>
          <w:i/>
        </w:rPr>
        <w:t>tees.</w:t>
      </w:r>
    </w:p>
    <w:p w:rsidR="00320387" w:rsidP="00320387" w14:paraId="226CB10B" w14:textId="77777777">
      <w:pPr>
        <w:keepNext/>
        <w:numPr>
          <w:ilvl w:val="12"/>
          <w:numId w:val="0"/>
        </w:numPr>
        <w:ind w:left="360"/>
      </w:pPr>
    </w:p>
    <w:p w:rsidR="00320387" w:rsidP="00320387" w14:paraId="3ED0B3E2" w14:textId="77777777">
      <w:pPr>
        <w:numPr>
          <w:ilvl w:val="12"/>
          <w:numId w:val="0"/>
        </w:numPr>
        <w:ind w:left="360"/>
      </w:pPr>
      <w:r>
        <w:t>No payment or gift will be provided to respondents.</w:t>
      </w:r>
    </w:p>
    <w:p w:rsidR="00320387" w:rsidP="00320387" w14:paraId="6791CA7A" w14:textId="77777777">
      <w:pPr>
        <w:numPr>
          <w:ilvl w:val="12"/>
          <w:numId w:val="0"/>
        </w:numPr>
      </w:pPr>
    </w:p>
    <w:p w:rsidR="00320387" w:rsidP="00320387" w14:paraId="5F11A14E"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42661842" w14:textId="77777777">
      <w:pPr>
        <w:keepNext/>
        <w:numPr>
          <w:ilvl w:val="12"/>
          <w:numId w:val="0"/>
        </w:numPr>
        <w:ind w:left="360"/>
      </w:pPr>
    </w:p>
    <w:p w:rsidR="005B6F11" w:rsidP="002B67AF" w14:paraId="61BD7D88" w14:textId="77777777">
      <w:pPr>
        <w:numPr>
          <w:ilvl w:val="12"/>
          <w:numId w:val="0"/>
        </w:numPr>
        <w:ind w:left="360"/>
      </w:pPr>
      <w:r w:rsidRPr="00AF0143">
        <w:t>To the extent permissible under the law, DHS will seek to protect the trade secrets and commercial and financial information of the pipeline owner/operators.</w:t>
      </w:r>
      <w:r w:rsidR="00F53227">
        <w:t xml:space="preserve">  </w:t>
      </w:r>
      <w:r>
        <w:t>Also, t</w:t>
      </w:r>
      <w:r w:rsidR="004F590A">
        <w:t>o the extent that t</w:t>
      </w:r>
      <w:r>
        <w:t xml:space="preserve">he information provided </w:t>
      </w:r>
      <w:r w:rsidR="00B147F6">
        <w:t xml:space="preserve">by </w:t>
      </w:r>
      <w:r>
        <w:t xml:space="preserve">operators is Security Sensitive Information, </w:t>
      </w:r>
      <w:r w:rsidR="004F590A">
        <w:t>it</w:t>
      </w:r>
      <w:r>
        <w:t xml:space="preserve"> will be protected in accordance with procedures meeting the transmission, handling</w:t>
      </w:r>
      <w:r w:rsidR="009C3E10">
        <w:t>,</w:t>
      </w:r>
      <w:r>
        <w:t xml:space="preserve"> and storage</w:t>
      </w:r>
      <w:r w:rsidR="00711E67">
        <w:t xml:space="preserve"> requirements </w:t>
      </w:r>
      <w:r w:rsidR="001A46F9">
        <w:t>set forth in 49 CFR</w:t>
      </w:r>
      <w:r>
        <w:t xml:space="preserve"> part</w:t>
      </w:r>
      <w:r w:rsidR="00321E8C">
        <w:t xml:space="preserve"> </w:t>
      </w:r>
      <w:r>
        <w:t>1520.</w:t>
      </w:r>
      <w:r w:rsidR="002B67AF">
        <w:t xml:space="preserve">  In addition, </w:t>
      </w:r>
      <w:r w:rsidRPr="002B0440" w:rsidR="002B0440">
        <w:t>business contact information is collected and handled pursuant to the DHS/ALL/PIA-006 DHS General Contact Lists PIA to facilitate the assessment of cyber risks and identify remedial measures for critical pipelines.</w:t>
      </w:r>
    </w:p>
    <w:p w:rsidR="00320387" w:rsidP="00320387" w14:paraId="3D85B747" w14:textId="77777777">
      <w:pPr>
        <w:numPr>
          <w:ilvl w:val="12"/>
          <w:numId w:val="0"/>
        </w:numPr>
      </w:pPr>
    </w:p>
    <w:p w:rsidR="00320387" w:rsidP="00320387" w14:paraId="4DD4F5B6"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9C70A5" w14:paraId="7DE31590" w14:textId="77777777">
      <w:pPr>
        <w:keepNext/>
        <w:numPr>
          <w:ilvl w:val="12"/>
          <w:numId w:val="0"/>
        </w:numPr>
        <w:ind w:left="360"/>
      </w:pPr>
    </w:p>
    <w:p w:rsidR="004F590A" w:rsidP="004F590A" w14:paraId="0BBF3C56" w14:textId="77777777">
      <w:pPr>
        <w:numPr>
          <w:ilvl w:val="12"/>
          <w:numId w:val="0"/>
        </w:numPr>
        <w:ind w:left="360"/>
      </w:pPr>
      <w:r>
        <w:t>There are no questions of sensitive nature</w:t>
      </w:r>
      <w:r w:rsidR="00BC6C3D">
        <w:t xml:space="preserve"> posed in the collection</w:t>
      </w:r>
      <w:r>
        <w:t>.</w:t>
      </w:r>
    </w:p>
    <w:p w:rsidR="004F590A" w:rsidP="004F590A" w14:paraId="427A6F02" w14:textId="77777777">
      <w:pPr>
        <w:numPr>
          <w:ilvl w:val="12"/>
          <w:numId w:val="0"/>
        </w:numPr>
      </w:pPr>
    </w:p>
    <w:p w:rsidR="00320387" w:rsidP="00320387" w14:paraId="6E01694E" w14:textId="77777777">
      <w:pPr>
        <w:keepNext/>
        <w:numPr>
          <w:ilvl w:val="0"/>
          <w:numId w:val="1"/>
        </w:numPr>
        <w:tabs>
          <w:tab w:val="left" w:pos="360"/>
        </w:tabs>
        <w:rPr>
          <w:b/>
          <w:i/>
        </w:rPr>
      </w:pPr>
      <w:r>
        <w:rPr>
          <w:b/>
          <w:i/>
        </w:rPr>
        <w:t>Provide estimates of hour burden of the collection of information.</w:t>
      </w:r>
    </w:p>
    <w:p w:rsidR="00320387" w:rsidP="00320387" w14:paraId="4731BD69" w14:textId="77777777">
      <w:pPr>
        <w:keepNext/>
        <w:numPr>
          <w:ilvl w:val="12"/>
          <w:numId w:val="0"/>
        </w:numPr>
        <w:ind w:left="360"/>
      </w:pPr>
    </w:p>
    <w:p w:rsidR="00BB2AEC" w:rsidP="00076039" w14:paraId="5A3C4A85" w14:textId="77777777">
      <w:pPr>
        <w:ind w:left="360"/>
      </w:pPr>
      <w:r>
        <w:t>TSA estimates t</w:t>
      </w:r>
      <w:r w:rsidR="00076039">
        <w:t>he annual</w:t>
      </w:r>
      <w:r w:rsidR="001567C9">
        <w:t xml:space="preserve"> burden for the </w:t>
      </w:r>
      <w:r w:rsidR="00076039">
        <w:t xml:space="preserve">information collection related to the </w:t>
      </w:r>
      <w:r w:rsidR="004F07CE">
        <w:t xml:space="preserve">CFSR </w:t>
      </w:r>
      <w:r w:rsidR="00202AB4">
        <w:t>Form to be 3</w:t>
      </w:r>
      <w:r w:rsidR="00130AA8">
        <w:t>2</w:t>
      </w:r>
      <w:r w:rsidR="00202AB4">
        <w:t xml:space="preserve">0 hours.  </w:t>
      </w:r>
      <w:r>
        <w:t>TSA estimates a</w:t>
      </w:r>
      <w:r w:rsidR="00202AB4">
        <w:t xml:space="preserve"> maximum of </w:t>
      </w:r>
      <w:r w:rsidR="00130AA8">
        <w:t>8</w:t>
      </w:r>
      <w:r w:rsidR="00202AB4">
        <w:t xml:space="preserve">0 </w:t>
      </w:r>
      <w:r w:rsidR="00076039">
        <w:t>facility reviews will be conducted each year</w:t>
      </w:r>
      <w:r>
        <w:t>,</w:t>
      </w:r>
      <w:r w:rsidR="00076039">
        <w:t xml:space="preserve"> with each review t</w:t>
      </w:r>
      <w:r w:rsidR="00202AB4">
        <w:t>aking approximately 4 hours (</w:t>
      </w:r>
      <w:r w:rsidR="00130AA8">
        <w:t>8</w:t>
      </w:r>
      <w:r w:rsidR="00202AB4">
        <w:t>0</w:t>
      </w:r>
      <w:r w:rsidR="00076039">
        <w:t xml:space="preserve"> </w:t>
      </w:r>
      <w:r w:rsidR="00130AA8">
        <w:t xml:space="preserve">facility reviews </w:t>
      </w:r>
      <w:r>
        <w:t>x</w:t>
      </w:r>
      <w:r w:rsidR="00076039">
        <w:t xml:space="preserve"> 4</w:t>
      </w:r>
      <w:r w:rsidR="00202AB4">
        <w:t xml:space="preserve"> </w:t>
      </w:r>
      <w:r w:rsidR="00130AA8">
        <w:t xml:space="preserve">hours </w:t>
      </w:r>
      <w:r w:rsidR="00202AB4">
        <w:t>= 3</w:t>
      </w:r>
      <w:r w:rsidR="00130AA8">
        <w:t>2</w:t>
      </w:r>
      <w:r w:rsidR="00202AB4">
        <w:t>0</w:t>
      </w:r>
      <w:r w:rsidR="00130AA8">
        <w:t xml:space="preserve"> hours</w:t>
      </w:r>
      <w:r w:rsidR="00076039">
        <w:t xml:space="preserve">). </w:t>
      </w:r>
    </w:p>
    <w:p w:rsidR="0037119C" w:rsidP="00076039" w14:paraId="5603C74D" w14:textId="77777777">
      <w:pPr>
        <w:ind w:left="360"/>
      </w:pPr>
    </w:p>
    <w:p w:rsidR="0037119C" w:rsidP="0037119C" w14:paraId="6A01BFE5" w14:textId="77777777">
      <w:pPr>
        <w:ind w:left="360"/>
      </w:pPr>
      <w:r>
        <w:t xml:space="preserve">TSA conducts a follow-up with each reviewed facility operator at 6 months, 12 months, and 18 months after the initial review, for a total of 3 follow-ups per facility operator. </w:t>
      </w:r>
      <w:r w:rsidR="00B55BEB">
        <w:t xml:space="preserve"> </w:t>
      </w:r>
      <w:r>
        <w:t xml:space="preserve">TSA estimates it will take approximately 2 hours for each operator to submit a response to TSA regarding its implementation of security recommendations during each follow-up visit, for a total of 6 hours (3 visits x 2 hours). </w:t>
      </w:r>
      <w:r w:rsidR="00B55BEB">
        <w:t xml:space="preserve"> </w:t>
      </w:r>
      <w:r>
        <w:t xml:space="preserve">TSA estimates a maximum of 80 critical facilities are reviewed each year, and TSA estimates the total annual burden to be approximately </w:t>
      </w:r>
      <w:r w:rsidR="00BB305B">
        <w:t xml:space="preserve">480 </w:t>
      </w:r>
      <w:r>
        <w:t xml:space="preserve">hours (80 CFSR follow ups x 6 hours per follow up).  </w:t>
      </w:r>
    </w:p>
    <w:p w:rsidR="0037119C" w:rsidP="0037119C" w14:paraId="602B95BF" w14:textId="77777777">
      <w:pPr>
        <w:ind w:left="360"/>
      </w:pPr>
    </w:p>
    <w:p w:rsidR="0037119C" w:rsidP="0037119C" w14:paraId="031CAD43" w14:textId="77777777">
      <w:pPr>
        <w:ind w:left="360"/>
      </w:pPr>
      <w:r>
        <w:rPr>
          <w:szCs w:val="24"/>
        </w:rPr>
        <w:t>TSA estimates 100 owner/operators will complete and submit the Pipeline Cybersecurity Self-Assessment form, and it will take each owner/operator 6 hours to complete and submit this form, for a total of 600 hours (100 x 6).</w:t>
      </w:r>
    </w:p>
    <w:p w:rsidR="0037119C" w:rsidP="0037119C" w14:paraId="7E2F93E4" w14:textId="77777777">
      <w:pPr>
        <w:ind w:left="360"/>
      </w:pPr>
    </w:p>
    <w:p w:rsidR="0037119C" w:rsidP="0037119C" w14:paraId="024986A6" w14:textId="77777777">
      <w:pPr>
        <w:ind w:left="360"/>
      </w:pPr>
      <w:r>
        <w:t xml:space="preserve">TSA estimates the total estimated annual number of responses is 260 with a total annual burden of 1400 hours. </w:t>
      </w:r>
      <w:r w:rsidR="00B55BEB">
        <w:t xml:space="preserve"> </w:t>
      </w:r>
      <w:r>
        <w:t xml:space="preserve">Table 1 displays the total estimated annual hour burden for this ICR.  </w:t>
      </w:r>
    </w:p>
    <w:p w:rsidR="0037119C" w:rsidP="0037119C" w14:paraId="59BF393D" w14:textId="77777777">
      <w:pPr>
        <w:ind w:left="360"/>
      </w:pPr>
    </w:p>
    <w:tbl>
      <w:tblPr>
        <w:tblW w:w="7876" w:type="dxa"/>
        <w:tblInd w:w="612" w:type="dxa"/>
        <w:tblLook w:val="04A0"/>
      </w:tblPr>
      <w:tblGrid>
        <w:gridCol w:w="2247"/>
        <w:gridCol w:w="1812"/>
        <w:gridCol w:w="1461"/>
        <w:gridCol w:w="2356"/>
      </w:tblGrid>
      <w:tr w14:paraId="616CCA5F" w14:textId="77777777" w:rsidTr="002063F8">
        <w:tblPrEx>
          <w:tblW w:w="7876" w:type="dxa"/>
          <w:tblInd w:w="612" w:type="dxa"/>
          <w:tblLook w:val="04A0"/>
        </w:tblPrEx>
        <w:trPr>
          <w:trHeight w:val="290"/>
        </w:trPr>
        <w:tc>
          <w:tcPr>
            <w:tcW w:w="7876" w:type="dxa"/>
            <w:gridSpan w:val="4"/>
            <w:tcBorders>
              <w:top w:val="nil"/>
              <w:left w:val="nil"/>
              <w:bottom w:val="single" w:sz="8" w:space="0" w:color="auto"/>
              <w:right w:val="nil"/>
            </w:tcBorders>
            <w:shd w:val="clear" w:color="auto" w:fill="auto"/>
            <w:noWrap/>
            <w:vAlign w:val="bottom"/>
            <w:hideMark/>
          </w:tcPr>
          <w:p w:rsidR="0037119C" w:rsidRPr="004A636B" w:rsidP="007C58EE" w14:paraId="1803B614" w14:textId="77777777">
            <w:pPr>
              <w:rPr>
                <w:rFonts w:cs="Times New Roman"/>
                <w:b/>
                <w:bCs/>
                <w:color w:val="auto"/>
                <w:sz w:val="22"/>
                <w:szCs w:val="22"/>
              </w:rPr>
            </w:pPr>
            <w:r w:rsidRPr="004A636B">
              <w:rPr>
                <w:rFonts w:cs="Times New Roman"/>
                <w:b/>
                <w:bCs/>
                <w:color w:val="auto"/>
                <w:sz w:val="22"/>
                <w:szCs w:val="22"/>
              </w:rPr>
              <w:t>Table 1:  Total Annual Hourly Burden</w:t>
            </w:r>
          </w:p>
        </w:tc>
      </w:tr>
      <w:tr w14:paraId="0D94915C" w14:textId="77777777" w:rsidTr="002063F8">
        <w:tblPrEx>
          <w:tblW w:w="7876" w:type="dxa"/>
          <w:tblInd w:w="612" w:type="dxa"/>
          <w:tblLook w:val="04A0"/>
        </w:tblPrEx>
        <w:trPr>
          <w:trHeight w:val="570"/>
        </w:trPr>
        <w:tc>
          <w:tcPr>
            <w:tcW w:w="224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37119C" w:rsidRPr="004A636B" w:rsidP="007C58EE" w14:paraId="259C85B1" w14:textId="77777777">
            <w:pPr>
              <w:jc w:val="center"/>
              <w:rPr>
                <w:rFonts w:cs="Times New Roman"/>
                <w:b/>
                <w:bCs/>
                <w:color w:val="auto"/>
                <w:sz w:val="22"/>
                <w:szCs w:val="22"/>
              </w:rPr>
            </w:pPr>
            <w:r w:rsidRPr="004A636B">
              <w:rPr>
                <w:rFonts w:cs="Times New Roman"/>
                <w:b/>
                <w:bCs/>
                <w:color w:val="auto"/>
                <w:sz w:val="22"/>
                <w:szCs w:val="22"/>
              </w:rPr>
              <w:t>Collection</w:t>
            </w:r>
          </w:p>
        </w:tc>
        <w:tc>
          <w:tcPr>
            <w:tcW w:w="1812" w:type="dxa"/>
            <w:tcBorders>
              <w:top w:val="nil"/>
              <w:left w:val="nil"/>
              <w:bottom w:val="nil"/>
              <w:right w:val="single" w:sz="8" w:space="0" w:color="auto"/>
            </w:tcBorders>
            <w:shd w:val="clear" w:color="000000" w:fill="EEECE1"/>
            <w:vAlign w:val="center"/>
            <w:hideMark/>
          </w:tcPr>
          <w:p w:rsidR="0037119C" w:rsidRPr="004A636B" w:rsidP="007C58EE" w14:paraId="00C18F5A" w14:textId="77777777">
            <w:pPr>
              <w:jc w:val="center"/>
              <w:rPr>
                <w:rFonts w:cs="Times New Roman"/>
                <w:b/>
                <w:bCs/>
                <w:color w:val="auto"/>
                <w:sz w:val="22"/>
                <w:szCs w:val="22"/>
              </w:rPr>
            </w:pPr>
            <w:r w:rsidRPr="004A636B">
              <w:rPr>
                <w:rFonts w:cs="Times New Roman"/>
                <w:b/>
                <w:bCs/>
                <w:color w:val="auto"/>
                <w:sz w:val="22"/>
                <w:szCs w:val="22"/>
              </w:rPr>
              <w:t xml:space="preserve">Number of Respondents </w:t>
            </w:r>
          </w:p>
        </w:tc>
        <w:tc>
          <w:tcPr>
            <w:tcW w:w="1461" w:type="dxa"/>
            <w:tcBorders>
              <w:top w:val="nil"/>
              <w:left w:val="nil"/>
              <w:bottom w:val="nil"/>
              <w:right w:val="single" w:sz="8" w:space="0" w:color="auto"/>
            </w:tcBorders>
            <w:shd w:val="clear" w:color="000000" w:fill="EEECE1"/>
            <w:vAlign w:val="center"/>
            <w:hideMark/>
          </w:tcPr>
          <w:p w:rsidR="0037119C" w:rsidRPr="004A636B" w:rsidP="007C58EE" w14:paraId="1CA51E14" w14:textId="77777777">
            <w:pPr>
              <w:jc w:val="center"/>
              <w:rPr>
                <w:rFonts w:cs="Times New Roman"/>
                <w:b/>
                <w:bCs/>
                <w:color w:val="auto"/>
                <w:sz w:val="22"/>
                <w:szCs w:val="22"/>
              </w:rPr>
            </w:pPr>
            <w:r w:rsidRPr="004A636B">
              <w:rPr>
                <w:rFonts w:cs="Times New Roman"/>
                <w:b/>
                <w:bCs/>
                <w:color w:val="auto"/>
                <w:sz w:val="22"/>
                <w:szCs w:val="22"/>
              </w:rPr>
              <w:t>Hourly Burden</w:t>
            </w:r>
          </w:p>
        </w:tc>
        <w:tc>
          <w:tcPr>
            <w:tcW w:w="2356" w:type="dxa"/>
            <w:tcBorders>
              <w:top w:val="nil"/>
              <w:left w:val="nil"/>
              <w:bottom w:val="nil"/>
              <w:right w:val="single" w:sz="8" w:space="0" w:color="auto"/>
            </w:tcBorders>
            <w:shd w:val="clear" w:color="000000" w:fill="EEECE1"/>
            <w:vAlign w:val="center"/>
            <w:hideMark/>
          </w:tcPr>
          <w:p w:rsidR="0037119C" w:rsidRPr="004A636B" w:rsidP="007C58EE" w14:paraId="057FA975" w14:textId="77777777">
            <w:pPr>
              <w:jc w:val="center"/>
              <w:rPr>
                <w:rFonts w:cs="Times New Roman"/>
                <w:b/>
                <w:bCs/>
                <w:color w:val="auto"/>
                <w:sz w:val="22"/>
                <w:szCs w:val="22"/>
              </w:rPr>
            </w:pPr>
            <w:r w:rsidRPr="004A636B">
              <w:rPr>
                <w:rFonts w:cs="Times New Roman"/>
                <w:b/>
                <w:bCs/>
                <w:color w:val="auto"/>
                <w:sz w:val="22"/>
                <w:szCs w:val="22"/>
              </w:rPr>
              <w:t>Total  Annual Hourly Burden</w:t>
            </w:r>
          </w:p>
        </w:tc>
      </w:tr>
      <w:tr w14:paraId="447F4351" w14:textId="77777777" w:rsidTr="002063F8">
        <w:tblPrEx>
          <w:tblW w:w="7876" w:type="dxa"/>
          <w:tblInd w:w="612" w:type="dxa"/>
          <w:tblLook w:val="04A0"/>
        </w:tblPrEx>
        <w:trPr>
          <w:trHeight w:val="300"/>
        </w:trPr>
        <w:tc>
          <w:tcPr>
            <w:tcW w:w="2247" w:type="dxa"/>
            <w:vMerge/>
            <w:tcBorders>
              <w:top w:val="nil"/>
              <w:left w:val="single" w:sz="8" w:space="0" w:color="auto"/>
              <w:bottom w:val="single" w:sz="8" w:space="0" w:color="000000"/>
              <w:right w:val="single" w:sz="8" w:space="0" w:color="auto"/>
            </w:tcBorders>
            <w:vAlign w:val="center"/>
            <w:hideMark/>
          </w:tcPr>
          <w:p w:rsidR="0037119C" w:rsidRPr="004A636B" w:rsidP="007C58EE" w14:paraId="179939D3" w14:textId="77777777">
            <w:pPr>
              <w:rPr>
                <w:rFonts w:cs="Times New Roman"/>
                <w:b/>
                <w:bCs/>
                <w:color w:val="auto"/>
                <w:sz w:val="22"/>
                <w:szCs w:val="22"/>
              </w:rPr>
            </w:pPr>
          </w:p>
        </w:tc>
        <w:tc>
          <w:tcPr>
            <w:tcW w:w="1812" w:type="dxa"/>
            <w:tcBorders>
              <w:top w:val="single" w:sz="8" w:space="0" w:color="auto"/>
              <w:left w:val="nil"/>
              <w:bottom w:val="single" w:sz="8" w:space="0" w:color="auto"/>
              <w:right w:val="single" w:sz="8" w:space="0" w:color="auto"/>
            </w:tcBorders>
            <w:shd w:val="clear" w:color="000000" w:fill="EEECE1"/>
            <w:vAlign w:val="center"/>
            <w:hideMark/>
          </w:tcPr>
          <w:p w:rsidR="0037119C" w:rsidRPr="004A636B" w:rsidP="007C58EE" w14:paraId="6C4C02BE" w14:textId="77777777">
            <w:pPr>
              <w:jc w:val="center"/>
              <w:rPr>
                <w:rFonts w:cs="Times New Roman"/>
                <w:b/>
                <w:bCs/>
                <w:color w:val="auto"/>
                <w:sz w:val="22"/>
                <w:szCs w:val="22"/>
              </w:rPr>
            </w:pPr>
            <w:r w:rsidRPr="004A636B">
              <w:rPr>
                <w:rFonts w:cs="Times New Roman"/>
                <w:b/>
                <w:bCs/>
                <w:color w:val="auto"/>
                <w:sz w:val="22"/>
                <w:szCs w:val="22"/>
              </w:rPr>
              <w:t>A</w:t>
            </w:r>
          </w:p>
        </w:tc>
        <w:tc>
          <w:tcPr>
            <w:tcW w:w="1461" w:type="dxa"/>
            <w:tcBorders>
              <w:top w:val="single" w:sz="8" w:space="0" w:color="auto"/>
              <w:left w:val="nil"/>
              <w:bottom w:val="single" w:sz="8" w:space="0" w:color="auto"/>
              <w:right w:val="single" w:sz="8" w:space="0" w:color="auto"/>
            </w:tcBorders>
            <w:shd w:val="clear" w:color="000000" w:fill="EEECE1"/>
            <w:vAlign w:val="center"/>
            <w:hideMark/>
          </w:tcPr>
          <w:p w:rsidR="0037119C" w:rsidRPr="004A636B" w:rsidP="007C58EE" w14:paraId="3B12263A" w14:textId="77777777">
            <w:pPr>
              <w:jc w:val="center"/>
              <w:rPr>
                <w:rFonts w:cs="Times New Roman"/>
                <w:b/>
                <w:bCs/>
                <w:color w:val="auto"/>
                <w:sz w:val="22"/>
                <w:szCs w:val="22"/>
              </w:rPr>
            </w:pPr>
            <w:r w:rsidRPr="004A636B">
              <w:rPr>
                <w:rFonts w:cs="Times New Roman"/>
                <w:b/>
                <w:bCs/>
                <w:color w:val="auto"/>
                <w:sz w:val="22"/>
                <w:szCs w:val="22"/>
              </w:rPr>
              <w:t>B</w:t>
            </w:r>
          </w:p>
        </w:tc>
        <w:tc>
          <w:tcPr>
            <w:tcW w:w="2356" w:type="dxa"/>
            <w:tcBorders>
              <w:top w:val="single" w:sz="8" w:space="0" w:color="auto"/>
              <w:left w:val="nil"/>
              <w:bottom w:val="single" w:sz="8" w:space="0" w:color="auto"/>
              <w:right w:val="single" w:sz="8" w:space="0" w:color="auto"/>
            </w:tcBorders>
            <w:shd w:val="clear" w:color="000000" w:fill="EEECE1"/>
            <w:vAlign w:val="center"/>
            <w:hideMark/>
          </w:tcPr>
          <w:p w:rsidR="0037119C" w:rsidRPr="004A636B" w:rsidP="007C58EE" w14:paraId="42515038" w14:textId="77777777">
            <w:pPr>
              <w:jc w:val="center"/>
              <w:rPr>
                <w:rFonts w:cs="Times New Roman"/>
                <w:b/>
                <w:bCs/>
                <w:color w:val="auto"/>
                <w:sz w:val="22"/>
                <w:szCs w:val="22"/>
              </w:rPr>
            </w:pPr>
            <w:r w:rsidRPr="004A636B">
              <w:rPr>
                <w:rFonts w:cs="Times New Roman"/>
                <w:b/>
                <w:bCs/>
                <w:color w:val="auto"/>
                <w:sz w:val="22"/>
                <w:szCs w:val="22"/>
              </w:rPr>
              <w:t>C = A x B</w:t>
            </w:r>
          </w:p>
        </w:tc>
      </w:tr>
      <w:tr w14:paraId="55A7F515" w14:textId="77777777" w:rsidTr="002063F8">
        <w:tblPrEx>
          <w:tblW w:w="7876" w:type="dxa"/>
          <w:tblInd w:w="612" w:type="dxa"/>
          <w:tblLook w:val="04A0"/>
        </w:tblPrEx>
        <w:trPr>
          <w:trHeight w:val="280"/>
        </w:trPr>
        <w:tc>
          <w:tcPr>
            <w:tcW w:w="2247" w:type="dxa"/>
            <w:tcBorders>
              <w:top w:val="nil"/>
              <w:left w:val="single" w:sz="8" w:space="0" w:color="auto"/>
              <w:bottom w:val="single" w:sz="4" w:space="0" w:color="auto"/>
              <w:right w:val="single" w:sz="4" w:space="0" w:color="auto"/>
            </w:tcBorders>
            <w:shd w:val="clear" w:color="auto" w:fill="auto"/>
            <w:vAlign w:val="center"/>
            <w:hideMark/>
          </w:tcPr>
          <w:p w:rsidR="0037119C" w:rsidRPr="004A636B" w:rsidP="007C58EE" w14:paraId="6146657F" w14:textId="77777777">
            <w:pPr>
              <w:rPr>
                <w:rFonts w:cs="Times New Roman"/>
                <w:color w:val="auto"/>
                <w:sz w:val="22"/>
                <w:szCs w:val="22"/>
              </w:rPr>
            </w:pPr>
            <w:r w:rsidRPr="004A636B">
              <w:rPr>
                <w:rFonts w:cs="Times New Roman"/>
                <w:color w:val="auto"/>
                <w:sz w:val="22"/>
                <w:szCs w:val="22"/>
              </w:rPr>
              <w:t>CFSR Form</w:t>
            </w:r>
          </w:p>
        </w:tc>
        <w:tc>
          <w:tcPr>
            <w:tcW w:w="1812" w:type="dxa"/>
            <w:tcBorders>
              <w:top w:val="nil"/>
              <w:left w:val="nil"/>
              <w:bottom w:val="single" w:sz="4" w:space="0" w:color="auto"/>
              <w:right w:val="single" w:sz="4" w:space="0" w:color="auto"/>
            </w:tcBorders>
            <w:shd w:val="clear" w:color="auto" w:fill="auto"/>
            <w:noWrap/>
            <w:vAlign w:val="bottom"/>
            <w:hideMark/>
          </w:tcPr>
          <w:p w:rsidR="0037119C" w:rsidRPr="004A636B" w:rsidP="007C58EE" w14:paraId="64B0A8A1" w14:textId="77777777">
            <w:pPr>
              <w:jc w:val="center"/>
              <w:rPr>
                <w:rFonts w:cs="Times New Roman"/>
                <w:color w:val="auto"/>
                <w:sz w:val="22"/>
                <w:szCs w:val="22"/>
              </w:rPr>
            </w:pPr>
            <w:r w:rsidRPr="004A636B">
              <w:rPr>
                <w:rFonts w:cs="Times New Roman"/>
                <w:color w:val="auto"/>
                <w:sz w:val="22"/>
                <w:szCs w:val="22"/>
              </w:rPr>
              <w:t>80</w:t>
            </w:r>
          </w:p>
        </w:tc>
        <w:tc>
          <w:tcPr>
            <w:tcW w:w="1461" w:type="dxa"/>
            <w:tcBorders>
              <w:top w:val="nil"/>
              <w:left w:val="nil"/>
              <w:bottom w:val="single" w:sz="4" w:space="0" w:color="auto"/>
              <w:right w:val="single" w:sz="4" w:space="0" w:color="auto"/>
            </w:tcBorders>
            <w:shd w:val="clear" w:color="auto" w:fill="auto"/>
            <w:noWrap/>
            <w:vAlign w:val="bottom"/>
            <w:hideMark/>
          </w:tcPr>
          <w:p w:rsidR="0037119C" w:rsidRPr="004A636B" w:rsidP="007C58EE" w14:paraId="68420D1D" w14:textId="77777777">
            <w:pPr>
              <w:jc w:val="center"/>
              <w:rPr>
                <w:rFonts w:cs="Times New Roman"/>
                <w:color w:val="auto"/>
                <w:sz w:val="22"/>
                <w:szCs w:val="22"/>
              </w:rPr>
            </w:pPr>
            <w:r w:rsidRPr="004A636B">
              <w:rPr>
                <w:rFonts w:cs="Times New Roman"/>
                <w:color w:val="auto"/>
                <w:sz w:val="22"/>
                <w:szCs w:val="22"/>
              </w:rPr>
              <w:t>4</w:t>
            </w:r>
          </w:p>
        </w:tc>
        <w:tc>
          <w:tcPr>
            <w:tcW w:w="2356" w:type="dxa"/>
            <w:tcBorders>
              <w:top w:val="nil"/>
              <w:left w:val="nil"/>
              <w:bottom w:val="single" w:sz="4" w:space="0" w:color="auto"/>
              <w:right w:val="single" w:sz="8" w:space="0" w:color="auto"/>
            </w:tcBorders>
            <w:shd w:val="clear" w:color="auto" w:fill="auto"/>
            <w:noWrap/>
            <w:vAlign w:val="bottom"/>
            <w:hideMark/>
          </w:tcPr>
          <w:p w:rsidR="0037119C" w:rsidRPr="004A636B" w:rsidP="007C58EE" w14:paraId="48FE0F90" w14:textId="77777777">
            <w:pPr>
              <w:jc w:val="center"/>
              <w:rPr>
                <w:rFonts w:cs="Times New Roman"/>
                <w:color w:val="auto"/>
                <w:sz w:val="22"/>
                <w:szCs w:val="22"/>
              </w:rPr>
            </w:pPr>
            <w:r w:rsidRPr="004A636B">
              <w:rPr>
                <w:rFonts w:cs="Times New Roman"/>
                <w:color w:val="auto"/>
                <w:sz w:val="22"/>
                <w:szCs w:val="22"/>
              </w:rPr>
              <w:t>320</w:t>
            </w:r>
          </w:p>
        </w:tc>
      </w:tr>
      <w:tr w14:paraId="1CE38F4D" w14:textId="77777777" w:rsidTr="002063F8">
        <w:tblPrEx>
          <w:tblW w:w="7876" w:type="dxa"/>
          <w:tblInd w:w="612" w:type="dxa"/>
          <w:tblLook w:val="04A0"/>
        </w:tblPrEx>
        <w:trPr>
          <w:trHeight w:val="840"/>
        </w:trPr>
        <w:tc>
          <w:tcPr>
            <w:tcW w:w="2247" w:type="dxa"/>
            <w:tcBorders>
              <w:top w:val="nil"/>
              <w:left w:val="single" w:sz="8" w:space="0" w:color="auto"/>
              <w:bottom w:val="single" w:sz="4" w:space="0" w:color="auto"/>
              <w:right w:val="single" w:sz="4" w:space="0" w:color="auto"/>
            </w:tcBorders>
            <w:shd w:val="clear" w:color="auto" w:fill="auto"/>
            <w:vAlign w:val="center"/>
            <w:hideMark/>
          </w:tcPr>
          <w:p w:rsidR="0037119C" w:rsidRPr="004A636B" w:rsidP="007C58EE" w14:paraId="27720471" w14:textId="77777777">
            <w:pPr>
              <w:rPr>
                <w:rFonts w:cs="Times New Roman"/>
                <w:color w:val="auto"/>
                <w:sz w:val="22"/>
                <w:szCs w:val="22"/>
              </w:rPr>
            </w:pPr>
            <w:r w:rsidRPr="004A636B">
              <w:rPr>
                <w:rFonts w:cs="Times New Roman"/>
                <w:color w:val="auto"/>
                <w:sz w:val="22"/>
                <w:szCs w:val="22"/>
              </w:rPr>
              <w:t>CFSR Recommendation Follow-up</w:t>
            </w:r>
          </w:p>
        </w:tc>
        <w:tc>
          <w:tcPr>
            <w:tcW w:w="1812" w:type="dxa"/>
            <w:tcBorders>
              <w:top w:val="nil"/>
              <w:left w:val="nil"/>
              <w:bottom w:val="single" w:sz="4" w:space="0" w:color="auto"/>
              <w:right w:val="single" w:sz="4" w:space="0" w:color="auto"/>
            </w:tcBorders>
            <w:shd w:val="clear" w:color="auto" w:fill="auto"/>
            <w:noWrap/>
            <w:vAlign w:val="bottom"/>
            <w:hideMark/>
          </w:tcPr>
          <w:p w:rsidR="0037119C" w:rsidRPr="004A636B" w:rsidP="007C58EE" w14:paraId="5C212669" w14:textId="77777777">
            <w:pPr>
              <w:jc w:val="center"/>
              <w:rPr>
                <w:rFonts w:cs="Times New Roman"/>
                <w:color w:val="auto"/>
                <w:sz w:val="22"/>
                <w:szCs w:val="22"/>
              </w:rPr>
            </w:pPr>
            <w:r w:rsidRPr="004A636B">
              <w:rPr>
                <w:rFonts w:cs="Times New Roman"/>
                <w:color w:val="auto"/>
                <w:sz w:val="22"/>
                <w:szCs w:val="22"/>
              </w:rPr>
              <w:t>80</w:t>
            </w:r>
          </w:p>
        </w:tc>
        <w:tc>
          <w:tcPr>
            <w:tcW w:w="1461" w:type="dxa"/>
            <w:tcBorders>
              <w:top w:val="nil"/>
              <w:left w:val="nil"/>
              <w:bottom w:val="single" w:sz="4" w:space="0" w:color="auto"/>
              <w:right w:val="single" w:sz="4" w:space="0" w:color="auto"/>
            </w:tcBorders>
            <w:shd w:val="clear" w:color="auto" w:fill="auto"/>
            <w:noWrap/>
            <w:vAlign w:val="bottom"/>
            <w:hideMark/>
          </w:tcPr>
          <w:p w:rsidR="0037119C" w:rsidRPr="004A636B" w:rsidP="007C58EE" w14:paraId="7ECB6F4B" w14:textId="77777777">
            <w:pPr>
              <w:jc w:val="center"/>
              <w:rPr>
                <w:rFonts w:cs="Times New Roman"/>
                <w:color w:val="auto"/>
                <w:sz w:val="22"/>
                <w:szCs w:val="22"/>
              </w:rPr>
            </w:pPr>
            <w:r w:rsidRPr="004A636B">
              <w:rPr>
                <w:rFonts w:cs="Times New Roman"/>
                <w:color w:val="auto"/>
                <w:sz w:val="22"/>
                <w:szCs w:val="22"/>
              </w:rPr>
              <w:t>6</w:t>
            </w:r>
          </w:p>
        </w:tc>
        <w:tc>
          <w:tcPr>
            <w:tcW w:w="2356" w:type="dxa"/>
            <w:tcBorders>
              <w:top w:val="nil"/>
              <w:left w:val="nil"/>
              <w:bottom w:val="single" w:sz="4" w:space="0" w:color="auto"/>
              <w:right w:val="single" w:sz="8" w:space="0" w:color="auto"/>
            </w:tcBorders>
            <w:shd w:val="clear" w:color="auto" w:fill="auto"/>
            <w:noWrap/>
            <w:vAlign w:val="bottom"/>
            <w:hideMark/>
          </w:tcPr>
          <w:p w:rsidR="0037119C" w:rsidRPr="004A636B" w:rsidP="007C58EE" w14:paraId="5D7998B0" w14:textId="77777777">
            <w:pPr>
              <w:jc w:val="center"/>
              <w:rPr>
                <w:rFonts w:cs="Times New Roman"/>
                <w:color w:val="auto"/>
                <w:sz w:val="22"/>
                <w:szCs w:val="22"/>
              </w:rPr>
            </w:pPr>
            <w:r w:rsidRPr="004A636B">
              <w:rPr>
                <w:rFonts w:cs="Times New Roman"/>
                <w:color w:val="auto"/>
                <w:sz w:val="22"/>
                <w:szCs w:val="22"/>
              </w:rPr>
              <w:t>480</w:t>
            </w:r>
          </w:p>
        </w:tc>
      </w:tr>
      <w:tr w14:paraId="6D25271D" w14:textId="77777777" w:rsidTr="002063F8">
        <w:tblPrEx>
          <w:tblW w:w="7876" w:type="dxa"/>
          <w:tblInd w:w="612" w:type="dxa"/>
          <w:tblLook w:val="04A0"/>
        </w:tblPrEx>
        <w:trPr>
          <w:trHeight w:val="570"/>
        </w:trPr>
        <w:tc>
          <w:tcPr>
            <w:tcW w:w="2247" w:type="dxa"/>
            <w:tcBorders>
              <w:top w:val="nil"/>
              <w:left w:val="single" w:sz="8" w:space="0" w:color="auto"/>
              <w:bottom w:val="nil"/>
              <w:right w:val="single" w:sz="4" w:space="0" w:color="auto"/>
            </w:tcBorders>
            <w:shd w:val="clear" w:color="auto" w:fill="auto"/>
            <w:vAlign w:val="center"/>
            <w:hideMark/>
          </w:tcPr>
          <w:p w:rsidR="0037119C" w:rsidRPr="004A636B" w:rsidP="007C58EE" w14:paraId="60FD3E02" w14:textId="77777777">
            <w:pPr>
              <w:rPr>
                <w:rFonts w:cs="Times New Roman"/>
                <w:color w:val="auto"/>
                <w:sz w:val="22"/>
                <w:szCs w:val="22"/>
              </w:rPr>
            </w:pPr>
            <w:r w:rsidRPr="0059404A">
              <w:rPr>
                <w:rFonts w:cs="Times New Roman"/>
                <w:color w:val="auto"/>
                <w:sz w:val="22"/>
                <w:szCs w:val="22"/>
              </w:rPr>
              <w:t>Pipeline Cybersecurity Self-Assessment Form</w:t>
            </w:r>
          </w:p>
        </w:tc>
        <w:tc>
          <w:tcPr>
            <w:tcW w:w="1812" w:type="dxa"/>
            <w:tcBorders>
              <w:top w:val="nil"/>
              <w:left w:val="nil"/>
              <w:bottom w:val="nil"/>
              <w:right w:val="single" w:sz="4" w:space="0" w:color="auto"/>
            </w:tcBorders>
            <w:shd w:val="clear" w:color="auto" w:fill="auto"/>
            <w:noWrap/>
            <w:vAlign w:val="bottom"/>
            <w:hideMark/>
          </w:tcPr>
          <w:p w:rsidR="0037119C" w:rsidRPr="004A636B" w:rsidP="007C58EE" w14:paraId="6E40C60A" w14:textId="77777777">
            <w:pPr>
              <w:jc w:val="center"/>
              <w:rPr>
                <w:rFonts w:cs="Times New Roman"/>
                <w:color w:val="auto"/>
                <w:sz w:val="22"/>
                <w:szCs w:val="22"/>
              </w:rPr>
            </w:pPr>
            <w:r w:rsidRPr="004A636B">
              <w:rPr>
                <w:rFonts w:cs="Times New Roman"/>
                <w:color w:val="auto"/>
                <w:sz w:val="22"/>
                <w:szCs w:val="22"/>
              </w:rPr>
              <w:t>100</w:t>
            </w:r>
          </w:p>
        </w:tc>
        <w:tc>
          <w:tcPr>
            <w:tcW w:w="1461" w:type="dxa"/>
            <w:tcBorders>
              <w:top w:val="nil"/>
              <w:left w:val="nil"/>
              <w:bottom w:val="nil"/>
              <w:right w:val="single" w:sz="4" w:space="0" w:color="auto"/>
            </w:tcBorders>
            <w:shd w:val="clear" w:color="auto" w:fill="auto"/>
            <w:noWrap/>
            <w:vAlign w:val="bottom"/>
            <w:hideMark/>
          </w:tcPr>
          <w:p w:rsidR="0037119C" w:rsidRPr="004A636B" w:rsidP="007C58EE" w14:paraId="45FA5C60" w14:textId="77777777">
            <w:pPr>
              <w:jc w:val="center"/>
              <w:rPr>
                <w:rFonts w:cs="Times New Roman"/>
                <w:color w:val="auto"/>
                <w:sz w:val="22"/>
                <w:szCs w:val="22"/>
              </w:rPr>
            </w:pPr>
            <w:r w:rsidRPr="004A636B">
              <w:rPr>
                <w:rFonts w:cs="Times New Roman"/>
                <w:color w:val="auto"/>
                <w:sz w:val="22"/>
                <w:szCs w:val="22"/>
              </w:rPr>
              <w:t>6</w:t>
            </w:r>
          </w:p>
        </w:tc>
        <w:tc>
          <w:tcPr>
            <w:tcW w:w="2356" w:type="dxa"/>
            <w:tcBorders>
              <w:top w:val="nil"/>
              <w:left w:val="nil"/>
              <w:bottom w:val="single" w:sz="4" w:space="0" w:color="auto"/>
              <w:right w:val="single" w:sz="8" w:space="0" w:color="auto"/>
            </w:tcBorders>
            <w:shd w:val="clear" w:color="auto" w:fill="auto"/>
            <w:noWrap/>
            <w:vAlign w:val="bottom"/>
            <w:hideMark/>
          </w:tcPr>
          <w:p w:rsidR="0037119C" w:rsidRPr="004A636B" w:rsidP="007C58EE" w14:paraId="30B6BAB3" w14:textId="77777777">
            <w:pPr>
              <w:jc w:val="center"/>
              <w:rPr>
                <w:rFonts w:cs="Times New Roman"/>
                <w:color w:val="auto"/>
                <w:sz w:val="22"/>
                <w:szCs w:val="22"/>
              </w:rPr>
            </w:pPr>
            <w:r w:rsidRPr="004A636B">
              <w:rPr>
                <w:rFonts w:cs="Times New Roman"/>
                <w:color w:val="auto"/>
                <w:sz w:val="22"/>
                <w:szCs w:val="22"/>
              </w:rPr>
              <w:t>600</w:t>
            </w:r>
          </w:p>
        </w:tc>
      </w:tr>
      <w:tr w14:paraId="3891A764" w14:textId="77777777" w:rsidTr="002063F8">
        <w:tblPrEx>
          <w:tblW w:w="7876" w:type="dxa"/>
          <w:tblInd w:w="612" w:type="dxa"/>
          <w:tblLook w:val="04A0"/>
        </w:tblPrEx>
        <w:trPr>
          <w:trHeight w:val="290"/>
        </w:trPr>
        <w:tc>
          <w:tcPr>
            <w:tcW w:w="224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7119C" w:rsidRPr="004A636B" w:rsidP="007C58EE" w14:paraId="455A6551" w14:textId="77777777">
            <w:pPr>
              <w:rPr>
                <w:rFonts w:cs="Times New Roman"/>
                <w:b/>
                <w:bCs/>
                <w:color w:val="auto"/>
                <w:sz w:val="22"/>
                <w:szCs w:val="22"/>
              </w:rPr>
            </w:pPr>
            <w:r>
              <w:rPr>
                <w:b/>
                <w:bCs/>
                <w:sz w:val="22"/>
                <w:szCs w:val="22"/>
              </w:rPr>
              <w:t>Totals</w:t>
            </w:r>
          </w:p>
        </w:tc>
        <w:tc>
          <w:tcPr>
            <w:tcW w:w="1812" w:type="dxa"/>
            <w:tcBorders>
              <w:top w:val="single" w:sz="8" w:space="0" w:color="auto"/>
              <w:left w:val="nil"/>
              <w:bottom w:val="single" w:sz="8" w:space="0" w:color="auto"/>
              <w:right w:val="single" w:sz="4" w:space="0" w:color="auto"/>
            </w:tcBorders>
            <w:shd w:val="clear" w:color="auto" w:fill="auto"/>
            <w:noWrap/>
            <w:vAlign w:val="bottom"/>
            <w:hideMark/>
          </w:tcPr>
          <w:p w:rsidR="0037119C" w:rsidRPr="004A636B" w:rsidP="007C58EE" w14:paraId="37EDAFEA" w14:textId="77777777">
            <w:pPr>
              <w:jc w:val="right"/>
              <w:rPr>
                <w:rFonts w:cs="Times New Roman"/>
                <w:b/>
                <w:bCs/>
                <w:color w:val="auto"/>
                <w:sz w:val="22"/>
                <w:szCs w:val="22"/>
              </w:rPr>
            </w:pPr>
            <w:r w:rsidRPr="004A636B">
              <w:rPr>
                <w:rFonts w:cs="Times New Roman"/>
                <w:b/>
                <w:bCs/>
                <w:color w:val="auto"/>
                <w:sz w:val="22"/>
                <w:szCs w:val="22"/>
              </w:rPr>
              <w:t> </w:t>
            </w:r>
            <w:r>
              <w:rPr>
                <w:rFonts w:cs="Times New Roman"/>
                <w:b/>
                <w:bCs/>
                <w:color w:val="auto"/>
                <w:sz w:val="22"/>
                <w:szCs w:val="22"/>
              </w:rPr>
              <w:t>260</w:t>
            </w:r>
          </w:p>
        </w:tc>
        <w:tc>
          <w:tcPr>
            <w:tcW w:w="1461" w:type="dxa"/>
            <w:tcBorders>
              <w:top w:val="single" w:sz="8" w:space="0" w:color="auto"/>
              <w:left w:val="nil"/>
              <w:bottom w:val="single" w:sz="8" w:space="0" w:color="auto"/>
              <w:right w:val="single" w:sz="4" w:space="0" w:color="auto"/>
            </w:tcBorders>
            <w:shd w:val="clear" w:color="000000" w:fill="A5A5A5"/>
            <w:noWrap/>
            <w:vAlign w:val="bottom"/>
            <w:hideMark/>
          </w:tcPr>
          <w:p w:rsidR="0037119C" w:rsidRPr="004A636B" w:rsidP="007C58EE" w14:paraId="34827588" w14:textId="77777777">
            <w:pPr>
              <w:jc w:val="center"/>
              <w:rPr>
                <w:rFonts w:cs="Times New Roman"/>
                <w:b/>
                <w:bCs/>
                <w:color w:val="auto"/>
                <w:sz w:val="22"/>
                <w:szCs w:val="22"/>
              </w:rPr>
            </w:pPr>
            <w:r w:rsidRPr="004A636B">
              <w:rPr>
                <w:rFonts w:cs="Times New Roman"/>
                <w:b/>
                <w:bCs/>
                <w:color w:val="auto"/>
                <w:sz w:val="22"/>
                <w:szCs w:val="22"/>
              </w:rPr>
              <w:t> </w:t>
            </w:r>
          </w:p>
        </w:tc>
        <w:tc>
          <w:tcPr>
            <w:tcW w:w="2356" w:type="dxa"/>
            <w:tcBorders>
              <w:top w:val="single" w:sz="8" w:space="0" w:color="auto"/>
              <w:left w:val="nil"/>
              <w:bottom w:val="single" w:sz="8" w:space="0" w:color="auto"/>
              <w:right w:val="single" w:sz="8" w:space="0" w:color="auto"/>
            </w:tcBorders>
            <w:shd w:val="clear" w:color="auto" w:fill="auto"/>
            <w:noWrap/>
            <w:vAlign w:val="bottom"/>
            <w:hideMark/>
          </w:tcPr>
          <w:p w:rsidR="0037119C" w:rsidRPr="004A636B" w:rsidP="007C58EE" w14:paraId="0BE3ADDD" w14:textId="77777777">
            <w:pPr>
              <w:jc w:val="center"/>
              <w:rPr>
                <w:rFonts w:cs="Times New Roman"/>
                <w:b/>
                <w:bCs/>
                <w:color w:val="auto"/>
                <w:sz w:val="22"/>
                <w:szCs w:val="22"/>
              </w:rPr>
            </w:pPr>
            <w:r w:rsidRPr="004A636B">
              <w:rPr>
                <w:rFonts w:cs="Times New Roman"/>
                <w:b/>
                <w:bCs/>
                <w:color w:val="auto"/>
                <w:sz w:val="22"/>
                <w:szCs w:val="22"/>
              </w:rPr>
              <w:t xml:space="preserve">                        1,400 </w:t>
            </w:r>
          </w:p>
        </w:tc>
      </w:tr>
    </w:tbl>
    <w:p w:rsidR="0037119C" w:rsidP="0037119C" w14:paraId="46CF7255" w14:textId="77777777">
      <w:pPr>
        <w:ind w:left="360"/>
      </w:pPr>
    </w:p>
    <w:p w:rsidR="0037119C" w:rsidP="0037119C" w14:paraId="1F61F9E7" w14:textId="77777777">
      <w:pPr>
        <w:ind w:left="360"/>
      </w:pPr>
      <w:r>
        <w:t xml:space="preserve">TSA estimates the total estimated annual hour burden cost for critical pipeline facility owner/operators by utilizing the compensation rates of the owner/operator representatives.  TSA assumes each owner/operator will have combination of a corporate security manager, facility manager, and front-line pipeline operator as the representatives during the CFSR form meeting.  TSA also assumes only the corporate security manager will be involved with completing responses to TSA for </w:t>
      </w:r>
      <w:r w:rsidRPr="00F9365E">
        <w:rPr>
          <w:color w:val="auto"/>
        </w:rPr>
        <w:t xml:space="preserve">the CFSR follow-ups and </w:t>
      </w:r>
      <w:r w:rsidRPr="00F9365E" w:rsidR="003E2EFE">
        <w:rPr>
          <w:color w:val="auto"/>
        </w:rPr>
        <w:t xml:space="preserve">the corporate Cybersecurity Coordinator will complete the </w:t>
      </w:r>
      <w:r w:rsidRPr="00F9365E">
        <w:rPr>
          <w:color w:val="auto"/>
        </w:rPr>
        <w:t xml:space="preserve">Cybersecurity Self-assessment.  TSA uses a loaded hourly </w:t>
      </w:r>
      <w:r w:rsidRPr="00F9365E">
        <w:rPr>
          <w:color w:val="auto"/>
        </w:rPr>
        <w:t>compensation wage of $87.06</w:t>
      </w:r>
      <w:r>
        <w:rPr>
          <w:rStyle w:val="FootnoteReference"/>
          <w:color w:val="auto"/>
        </w:rPr>
        <w:footnoteReference w:id="7"/>
      </w:r>
      <w:r w:rsidRPr="00F9365E">
        <w:rPr>
          <w:color w:val="auto"/>
        </w:rPr>
        <w:t xml:space="preserve"> for each corporate security manager; a loaded hourly compensation wage of $95.07</w:t>
      </w:r>
      <w:r>
        <w:rPr>
          <w:rStyle w:val="FootnoteReference"/>
          <w:color w:val="auto"/>
        </w:rPr>
        <w:footnoteReference w:id="8"/>
      </w:r>
      <w:r w:rsidRPr="00F9365E">
        <w:rPr>
          <w:color w:val="auto"/>
        </w:rPr>
        <w:t xml:space="preserve"> for each pipeline facility manager; </w:t>
      </w:r>
      <w:r w:rsidRPr="00F9365E" w:rsidR="003E2EFE">
        <w:rPr>
          <w:color w:val="auto"/>
        </w:rPr>
        <w:t xml:space="preserve">a loaded hourly </w:t>
      </w:r>
      <w:r w:rsidRPr="00F9365E" w:rsidR="003E2EFE">
        <w:t xml:space="preserve">compensation wage of </w:t>
      </w:r>
      <w:r w:rsidRPr="00F9365E" w:rsidR="00CB5C5E">
        <w:t>$99.74</w:t>
      </w:r>
      <w:r w:rsidRPr="00F9365E" w:rsidR="003E2EFE">
        <w:t xml:space="preserve"> for each cybersecurity coordinator;</w:t>
      </w:r>
      <w:r>
        <w:rPr>
          <w:rStyle w:val="FootnoteReference"/>
        </w:rPr>
        <w:footnoteReference w:id="9"/>
      </w:r>
      <w:r w:rsidR="003E2EFE">
        <w:t xml:space="preserve"> </w:t>
      </w:r>
      <w:r>
        <w:t>and a loaded hourly compensation wage of $49.42</w:t>
      </w:r>
      <w:r>
        <w:rPr>
          <w:rStyle w:val="FootnoteReference"/>
        </w:rPr>
        <w:footnoteReference w:id="10"/>
      </w:r>
      <w:r>
        <w:t xml:space="preserve"> for each front-line pipeline operator.  </w:t>
      </w:r>
    </w:p>
    <w:p w:rsidR="0037119C" w:rsidP="0037119C" w14:paraId="0CBCD04A" w14:textId="77777777">
      <w:pPr>
        <w:ind w:left="360"/>
      </w:pPr>
    </w:p>
    <w:p w:rsidR="0037119C" w:rsidP="0037119C" w14:paraId="428F514B" w14:textId="77777777">
      <w:pPr>
        <w:ind w:left="360"/>
      </w:pPr>
      <w:r>
        <w:t>TSA estimates an hour burden cost of $74,093 for the initial CFSR form meeting.  Table 2 displays the calculation of this cost.</w:t>
      </w:r>
    </w:p>
    <w:p w:rsidR="0037119C" w:rsidP="0037119C" w14:paraId="0F2E7CBF" w14:textId="77777777"/>
    <w:tbl>
      <w:tblPr>
        <w:tblW w:w="0" w:type="auto"/>
        <w:jc w:val="center"/>
        <w:tblLook w:val="04A0"/>
      </w:tblPr>
      <w:tblGrid>
        <w:gridCol w:w="2721"/>
        <w:gridCol w:w="1482"/>
        <w:gridCol w:w="1976"/>
        <w:gridCol w:w="1964"/>
      </w:tblGrid>
      <w:tr w14:paraId="1C324C29" w14:textId="77777777" w:rsidTr="007C58EE">
        <w:tblPrEx>
          <w:tblW w:w="0" w:type="auto"/>
          <w:jc w:val="center"/>
          <w:tblLook w:val="04A0"/>
        </w:tblPrEx>
        <w:trPr>
          <w:trHeight w:val="315"/>
          <w:jc w:val="center"/>
        </w:trPr>
        <w:tc>
          <w:tcPr>
            <w:tcW w:w="0" w:type="auto"/>
            <w:gridSpan w:val="3"/>
            <w:tcBorders>
              <w:top w:val="nil"/>
              <w:left w:val="nil"/>
              <w:bottom w:val="nil"/>
              <w:right w:val="nil"/>
            </w:tcBorders>
            <w:shd w:val="clear" w:color="auto" w:fill="auto"/>
            <w:noWrap/>
            <w:vAlign w:val="bottom"/>
            <w:hideMark/>
          </w:tcPr>
          <w:p w:rsidR="0037119C" w:rsidRPr="009169C6" w:rsidP="007C58EE" w14:paraId="05745E58" w14:textId="77777777">
            <w:pPr>
              <w:rPr>
                <w:rFonts w:cs="Times New Roman"/>
                <w:b/>
                <w:bCs/>
                <w:color w:val="auto"/>
                <w:sz w:val="22"/>
                <w:szCs w:val="22"/>
              </w:rPr>
            </w:pPr>
            <w:r w:rsidRPr="009169C6">
              <w:rPr>
                <w:rFonts w:cs="Times New Roman"/>
                <w:b/>
                <w:bCs/>
                <w:color w:val="auto"/>
                <w:sz w:val="22"/>
                <w:szCs w:val="22"/>
              </w:rPr>
              <w:t>Table 2: Hour Burden Cost for CFSR Form</w:t>
            </w:r>
          </w:p>
        </w:tc>
        <w:tc>
          <w:tcPr>
            <w:tcW w:w="0" w:type="auto"/>
            <w:tcBorders>
              <w:top w:val="nil"/>
              <w:left w:val="nil"/>
              <w:bottom w:val="nil"/>
              <w:right w:val="nil"/>
            </w:tcBorders>
            <w:shd w:val="clear" w:color="auto" w:fill="auto"/>
            <w:noWrap/>
            <w:vAlign w:val="bottom"/>
            <w:hideMark/>
          </w:tcPr>
          <w:p w:rsidR="0037119C" w:rsidRPr="009169C6" w:rsidP="007C58EE" w14:paraId="5C53F6DC" w14:textId="77777777">
            <w:pPr>
              <w:rPr>
                <w:rFonts w:cs="Times New Roman"/>
                <w:b/>
                <w:bCs/>
                <w:color w:val="auto"/>
                <w:sz w:val="22"/>
                <w:szCs w:val="22"/>
              </w:rPr>
            </w:pPr>
          </w:p>
        </w:tc>
      </w:tr>
      <w:tr w14:paraId="7BD46E38" w14:textId="77777777" w:rsidTr="007C58EE">
        <w:tblPrEx>
          <w:tblW w:w="0" w:type="auto"/>
          <w:jc w:val="center"/>
          <w:tblLook w:val="04A0"/>
        </w:tblPrEx>
        <w:trPr>
          <w:trHeight w:val="585"/>
          <w:jc w:val="center"/>
        </w:trPr>
        <w:tc>
          <w:tcPr>
            <w:tcW w:w="0" w:type="auto"/>
            <w:tcBorders>
              <w:top w:val="single" w:sz="8" w:space="0" w:color="auto"/>
              <w:left w:val="single" w:sz="8" w:space="0" w:color="auto"/>
              <w:bottom w:val="nil"/>
              <w:right w:val="single" w:sz="8" w:space="0" w:color="auto"/>
            </w:tcBorders>
            <w:shd w:val="clear" w:color="000000" w:fill="EEECE1"/>
            <w:vAlign w:val="center"/>
            <w:hideMark/>
          </w:tcPr>
          <w:p w:rsidR="0037119C" w:rsidRPr="009169C6" w:rsidP="007C58EE" w14:paraId="50A08C7F" w14:textId="77777777">
            <w:pPr>
              <w:jc w:val="center"/>
              <w:rPr>
                <w:rFonts w:cs="Times New Roman"/>
                <w:b/>
                <w:bCs/>
                <w:color w:val="auto"/>
                <w:sz w:val="22"/>
                <w:szCs w:val="22"/>
              </w:rPr>
            </w:pPr>
            <w:r w:rsidRPr="009169C6">
              <w:rPr>
                <w:rFonts w:cs="Times New Roman"/>
                <w:b/>
                <w:bCs/>
                <w:color w:val="auto"/>
                <w:sz w:val="22"/>
                <w:szCs w:val="22"/>
              </w:rPr>
              <w:t>Job Description</w:t>
            </w:r>
          </w:p>
        </w:tc>
        <w:tc>
          <w:tcPr>
            <w:tcW w:w="0" w:type="auto"/>
            <w:tcBorders>
              <w:top w:val="single" w:sz="8" w:space="0" w:color="auto"/>
              <w:left w:val="nil"/>
              <w:bottom w:val="nil"/>
              <w:right w:val="single" w:sz="8" w:space="0" w:color="auto"/>
            </w:tcBorders>
            <w:shd w:val="clear" w:color="000000" w:fill="EEECE1"/>
            <w:vAlign w:val="center"/>
            <w:hideMark/>
          </w:tcPr>
          <w:p w:rsidR="0037119C" w:rsidRPr="009169C6" w:rsidP="007C58EE" w14:paraId="3A3AC88B" w14:textId="77777777">
            <w:pPr>
              <w:jc w:val="center"/>
              <w:rPr>
                <w:rFonts w:cs="Times New Roman"/>
                <w:b/>
                <w:bCs/>
                <w:color w:val="auto"/>
                <w:sz w:val="22"/>
                <w:szCs w:val="22"/>
              </w:rPr>
            </w:pPr>
            <w:r w:rsidRPr="009169C6">
              <w:rPr>
                <w:rFonts w:cs="Times New Roman"/>
                <w:b/>
                <w:bCs/>
                <w:color w:val="auto"/>
                <w:sz w:val="22"/>
                <w:szCs w:val="22"/>
              </w:rPr>
              <w:t>Hour Burden</w:t>
            </w:r>
          </w:p>
        </w:tc>
        <w:tc>
          <w:tcPr>
            <w:tcW w:w="0" w:type="auto"/>
            <w:tcBorders>
              <w:top w:val="single" w:sz="8" w:space="0" w:color="auto"/>
              <w:left w:val="nil"/>
              <w:bottom w:val="nil"/>
              <w:right w:val="single" w:sz="8" w:space="0" w:color="auto"/>
            </w:tcBorders>
            <w:shd w:val="clear" w:color="000000" w:fill="EEECE1"/>
            <w:vAlign w:val="center"/>
            <w:hideMark/>
          </w:tcPr>
          <w:p w:rsidR="0037119C" w:rsidRPr="009169C6" w:rsidP="007C58EE" w14:paraId="7C2C3F41" w14:textId="77777777">
            <w:pPr>
              <w:jc w:val="center"/>
              <w:rPr>
                <w:rFonts w:cs="Times New Roman"/>
                <w:b/>
                <w:bCs/>
                <w:color w:val="auto"/>
                <w:sz w:val="22"/>
                <w:szCs w:val="22"/>
              </w:rPr>
            </w:pPr>
            <w:r w:rsidRPr="009169C6">
              <w:rPr>
                <w:rFonts w:cs="Times New Roman"/>
                <w:b/>
                <w:bCs/>
                <w:color w:val="auto"/>
                <w:sz w:val="22"/>
                <w:szCs w:val="22"/>
              </w:rPr>
              <w:t>Hourly Wage Rate</w:t>
            </w:r>
          </w:p>
        </w:tc>
        <w:tc>
          <w:tcPr>
            <w:tcW w:w="0" w:type="auto"/>
            <w:tcBorders>
              <w:top w:val="single" w:sz="8" w:space="0" w:color="auto"/>
              <w:left w:val="nil"/>
              <w:bottom w:val="nil"/>
              <w:right w:val="single" w:sz="8" w:space="0" w:color="auto"/>
            </w:tcBorders>
            <w:shd w:val="clear" w:color="000000" w:fill="EEECE1"/>
            <w:vAlign w:val="center"/>
            <w:hideMark/>
          </w:tcPr>
          <w:p w:rsidR="0037119C" w:rsidRPr="009169C6" w:rsidP="007C58EE" w14:paraId="48839ABF" w14:textId="77777777">
            <w:pPr>
              <w:jc w:val="center"/>
              <w:rPr>
                <w:rFonts w:cs="Times New Roman"/>
                <w:b/>
                <w:bCs/>
                <w:color w:val="auto"/>
                <w:sz w:val="22"/>
                <w:szCs w:val="22"/>
              </w:rPr>
            </w:pPr>
            <w:r w:rsidRPr="009169C6">
              <w:rPr>
                <w:rFonts w:cs="Times New Roman"/>
                <w:b/>
                <w:bCs/>
                <w:color w:val="auto"/>
                <w:sz w:val="22"/>
                <w:szCs w:val="22"/>
              </w:rPr>
              <w:t xml:space="preserve">Hour Burden Cost </w:t>
            </w:r>
          </w:p>
        </w:tc>
      </w:tr>
      <w:tr w14:paraId="71C0E65C" w14:textId="77777777" w:rsidTr="007C58EE">
        <w:tblPrEx>
          <w:tblW w:w="0" w:type="auto"/>
          <w:jc w:val="center"/>
          <w:tblLook w:val="04A0"/>
        </w:tblPrEx>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000000" w:fill="EEECE1"/>
            <w:vAlign w:val="center"/>
            <w:hideMark/>
          </w:tcPr>
          <w:p w:rsidR="0037119C" w:rsidRPr="009169C6" w:rsidP="007C58EE" w14:paraId="1F955C92" w14:textId="77777777">
            <w:pPr>
              <w:jc w:val="center"/>
              <w:rPr>
                <w:rFonts w:cs="Times New Roman"/>
                <w:b/>
                <w:bCs/>
                <w:color w:val="auto"/>
                <w:sz w:val="22"/>
                <w:szCs w:val="22"/>
              </w:rPr>
            </w:pPr>
            <w:r w:rsidRPr="009169C6">
              <w:rPr>
                <w:rFonts w:cs="Times New Roman"/>
                <w:b/>
                <w:bCs/>
                <w:color w:val="auto"/>
                <w:sz w:val="22"/>
                <w:szCs w:val="22"/>
              </w:rPr>
              <w:t> </w:t>
            </w:r>
          </w:p>
        </w:tc>
        <w:tc>
          <w:tcPr>
            <w:tcW w:w="0" w:type="auto"/>
            <w:tcBorders>
              <w:top w:val="single" w:sz="8" w:space="0" w:color="auto"/>
              <w:left w:val="nil"/>
              <w:bottom w:val="nil"/>
              <w:right w:val="nil"/>
            </w:tcBorders>
            <w:shd w:val="clear" w:color="000000" w:fill="EEECE1"/>
            <w:vAlign w:val="center"/>
            <w:hideMark/>
          </w:tcPr>
          <w:p w:rsidR="0037119C" w:rsidRPr="009169C6" w:rsidP="007C58EE" w14:paraId="400D1B31" w14:textId="77777777">
            <w:pPr>
              <w:jc w:val="center"/>
              <w:rPr>
                <w:rFonts w:cs="Times New Roman"/>
                <w:b/>
                <w:bCs/>
                <w:color w:val="auto"/>
                <w:sz w:val="22"/>
                <w:szCs w:val="22"/>
              </w:rPr>
            </w:pPr>
            <w:r w:rsidRPr="009169C6">
              <w:rPr>
                <w:rFonts w:cs="Times New Roman"/>
                <w:b/>
                <w:bCs/>
                <w:color w:val="auto"/>
                <w:sz w:val="22"/>
                <w:szCs w:val="22"/>
              </w:rPr>
              <w:t>A</w:t>
            </w:r>
          </w:p>
        </w:tc>
        <w:tc>
          <w:tcPr>
            <w:tcW w:w="0" w:type="auto"/>
            <w:tcBorders>
              <w:top w:val="single" w:sz="8" w:space="0" w:color="auto"/>
              <w:left w:val="single" w:sz="8" w:space="0" w:color="auto"/>
              <w:bottom w:val="single" w:sz="8" w:space="0" w:color="auto"/>
              <w:right w:val="single" w:sz="8" w:space="0" w:color="auto"/>
            </w:tcBorders>
            <w:shd w:val="clear" w:color="000000" w:fill="EEECE1"/>
            <w:vAlign w:val="center"/>
            <w:hideMark/>
          </w:tcPr>
          <w:p w:rsidR="0037119C" w:rsidRPr="009169C6" w:rsidP="007C58EE" w14:paraId="51D8EB96" w14:textId="77777777">
            <w:pPr>
              <w:jc w:val="center"/>
              <w:rPr>
                <w:rFonts w:cs="Times New Roman"/>
                <w:b/>
                <w:bCs/>
                <w:color w:val="auto"/>
                <w:sz w:val="22"/>
                <w:szCs w:val="22"/>
              </w:rPr>
            </w:pPr>
            <w:r w:rsidRPr="009169C6">
              <w:rPr>
                <w:rFonts w:cs="Times New Roman"/>
                <w:b/>
                <w:bCs/>
                <w:color w:val="auto"/>
                <w:sz w:val="22"/>
                <w:szCs w:val="22"/>
              </w:rPr>
              <w:t>B</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rsidR="0037119C" w:rsidRPr="009169C6" w:rsidP="007C58EE" w14:paraId="09D2A998" w14:textId="77777777">
            <w:pPr>
              <w:jc w:val="center"/>
              <w:rPr>
                <w:rFonts w:cs="Times New Roman"/>
                <w:b/>
                <w:bCs/>
                <w:color w:val="auto"/>
                <w:sz w:val="22"/>
                <w:szCs w:val="22"/>
              </w:rPr>
            </w:pPr>
            <w:r w:rsidRPr="009169C6">
              <w:rPr>
                <w:rFonts w:cs="Times New Roman"/>
                <w:b/>
                <w:bCs/>
                <w:color w:val="auto"/>
                <w:sz w:val="22"/>
                <w:szCs w:val="22"/>
              </w:rPr>
              <w:t>C = A x B</w:t>
            </w:r>
          </w:p>
        </w:tc>
      </w:tr>
      <w:tr w14:paraId="3D0757AC" w14:textId="77777777" w:rsidTr="007C58EE">
        <w:tblPrEx>
          <w:tblW w:w="0" w:type="auto"/>
          <w:jc w:val="center"/>
          <w:tblLook w:val="04A0"/>
        </w:tblPrEx>
        <w:trPr>
          <w:trHeight w:val="268"/>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rsidR="0037119C" w:rsidRPr="009169C6" w:rsidP="007C58EE" w14:paraId="105255D4" w14:textId="77777777">
            <w:pPr>
              <w:rPr>
                <w:rFonts w:cs="Times New Roman"/>
                <w:color w:val="auto"/>
                <w:sz w:val="22"/>
                <w:szCs w:val="22"/>
              </w:rPr>
            </w:pPr>
            <w:r w:rsidRPr="009169C6">
              <w:rPr>
                <w:rFonts w:cs="Times New Roman"/>
                <w:color w:val="auto"/>
                <w:sz w:val="22"/>
                <w:szCs w:val="22"/>
              </w:rPr>
              <w:t>Corporate Security Manager</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37119C" w:rsidRPr="009169C6" w:rsidP="007C58EE" w14:paraId="41B369FA" w14:textId="77777777">
            <w:pPr>
              <w:jc w:val="center"/>
              <w:rPr>
                <w:rFonts w:cs="Times New Roman"/>
                <w:color w:val="auto"/>
                <w:sz w:val="22"/>
                <w:szCs w:val="22"/>
              </w:rPr>
            </w:pPr>
            <w:r w:rsidRPr="009169C6">
              <w:rPr>
                <w:rFonts w:cs="Times New Roman"/>
                <w:color w:val="auto"/>
                <w:sz w:val="22"/>
                <w:szCs w:val="22"/>
              </w:rPr>
              <w:t>320</w:t>
            </w:r>
          </w:p>
        </w:tc>
        <w:tc>
          <w:tcPr>
            <w:tcW w:w="0" w:type="auto"/>
            <w:tcBorders>
              <w:top w:val="nil"/>
              <w:left w:val="nil"/>
              <w:bottom w:val="single" w:sz="4" w:space="0" w:color="auto"/>
              <w:right w:val="single" w:sz="4" w:space="0" w:color="auto"/>
            </w:tcBorders>
            <w:shd w:val="clear" w:color="auto" w:fill="auto"/>
            <w:noWrap/>
            <w:vAlign w:val="bottom"/>
            <w:hideMark/>
          </w:tcPr>
          <w:p w:rsidR="0037119C" w:rsidRPr="009169C6" w:rsidP="007C58EE" w14:paraId="1AF56BFF" w14:textId="77777777">
            <w:pPr>
              <w:jc w:val="center"/>
              <w:rPr>
                <w:rFonts w:cs="Times New Roman"/>
                <w:color w:val="auto"/>
                <w:sz w:val="22"/>
                <w:szCs w:val="22"/>
              </w:rPr>
            </w:pPr>
            <w:r w:rsidRPr="009169C6">
              <w:rPr>
                <w:rFonts w:cs="Times New Roman"/>
                <w:color w:val="auto"/>
                <w:sz w:val="22"/>
                <w:szCs w:val="22"/>
              </w:rPr>
              <w:t>$</w:t>
            </w:r>
            <w:r>
              <w:rPr>
                <w:rFonts w:cs="Times New Roman"/>
                <w:color w:val="auto"/>
                <w:sz w:val="22"/>
                <w:szCs w:val="22"/>
              </w:rPr>
              <w:t>87.06</w:t>
            </w:r>
          </w:p>
        </w:tc>
        <w:tc>
          <w:tcPr>
            <w:tcW w:w="0" w:type="auto"/>
            <w:tcBorders>
              <w:top w:val="single" w:sz="8" w:space="0" w:color="auto"/>
              <w:left w:val="single" w:sz="4" w:space="0" w:color="auto"/>
              <w:bottom w:val="single" w:sz="4" w:space="0" w:color="auto"/>
              <w:right w:val="single" w:sz="8" w:space="0" w:color="auto"/>
            </w:tcBorders>
            <w:shd w:val="clear" w:color="auto" w:fill="auto"/>
            <w:noWrap/>
            <w:vAlign w:val="bottom"/>
          </w:tcPr>
          <w:p w:rsidR="0037119C" w:rsidRPr="009169C6" w:rsidP="007C58EE" w14:paraId="543CD6C0" w14:textId="77777777">
            <w:pPr>
              <w:jc w:val="center"/>
              <w:rPr>
                <w:rFonts w:cs="Times New Roman"/>
                <w:color w:val="auto"/>
                <w:sz w:val="22"/>
                <w:szCs w:val="22"/>
              </w:rPr>
            </w:pPr>
            <w:r>
              <w:rPr>
                <w:sz w:val="22"/>
                <w:szCs w:val="22"/>
              </w:rPr>
              <w:t>$27,858</w:t>
            </w:r>
          </w:p>
        </w:tc>
      </w:tr>
      <w:tr w14:paraId="61FEB822" w14:textId="77777777" w:rsidTr="007C58EE">
        <w:tblPrEx>
          <w:tblW w:w="0" w:type="auto"/>
          <w:jc w:val="center"/>
          <w:tblLook w:val="04A0"/>
        </w:tblPrEx>
        <w:trPr>
          <w:trHeight w:val="30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rsidR="0037119C" w:rsidRPr="009169C6" w:rsidP="007C58EE" w14:paraId="5DBB25BE" w14:textId="77777777">
            <w:pPr>
              <w:rPr>
                <w:rFonts w:cs="Times New Roman"/>
                <w:color w:val="auto"/>
                <w:sz w:val="22"/>
                <w:szCs w:val="22"/>
              </w:rPr>
            </w:pPr>
            <w:r w:rsidRPr="009169C6">
              <w:rPr>
                <w:rFonts w:cs="Times New Roman"/>
                <w:color w:val="auto"/>
                <w:sz w:val="22"/>
                <w:szCs w:val="22"/>
              </w:rPr>
              <w:t>Facility Manager</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7119C" w:rsidRPr="009169C6" w:rsidP="007C58EE" w14:paraId="6FA3D611" w14:textId="77777777">
            <w:pPr>
              <w:rPr>
                <w:rFonts w:cs="Times New Roman"/>
                <w:color w:val="auto"/>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37119C" w:rsidRPr="009169C6" w:rsidP="007C58EE" w14:paraId="7B584787" w14:textId="77777777">
            <w:pPr>
              <w:jc w:val="center"/>
              <w:rPr>
                <w:rFonts w:cs="Times New Roman"/>
                <w:color w:val="auto"/>
                <w:sz w:val="22"/>
                <w:szCs w:val="22"/>
              </w:rPr>
            </w:pPr>
            <w:r w:rsidRPr="009169C6">
              <w:rPr>
                <w:rFonts w:cs="Times New Roman"/>
                <w:color w:val="auto"/>
                <w:sz w:val="22"/>
                <w:szCs w:val="22"/>
              </w:rPr>
              <w:t>$</w:t>
            </w:r>
            <w:r>
              <w:rPr>
                <w:rFonts w:cs="Times New Roman"/>
                <w:color w:val="auto"/>
                <w:sz w:val="22"/>
                <w:szCs w:val="22"/>
              </w:rPr>
              <w:t>95.07</w:t>
            </w:r>
          </w:p>
        </w:tc>
        <w:tc>
          <w:tcPr>
            <w:tcW w:w="0" w:type="auto"/>
            <w:tcBorders>
              <w:top w:val="nil"/>
              <w:left w:val="single" w:sz="4" w:space="0" w:color="auto"/>
              <w:bottom w:val="single" w:sz="4" w:space="0" w:color="auto"/>
              <w:right w:val="single" w:sz="8" w:space="0" w:color="auto"/>
            </w:tcBorders>
            <w:shd w:val="clear" w:color="auto" w:fill="auto"/>
            <w:noWrap/>
            <w:vAlign w:val="bottom"/>
          </w:tcPr>
          <w:p w:rsidR="0037119C" w:rsidRPr="009169C6" w:rsidP="007C58EE" w14:paraId="04BD01E7" w14:textId="77777777">
            <w:pPr>
              <w:jc w:val="center"/>
              <w:rPr>
                <w:rFonts w:cs="Times New Roman"/>
                <w:color w:val="auto"/>
                <w:sz w:val="22"/>
                <w:szCs w:val="22"/>
              </w:rPr>
            </w:pPr>
            <w:r>
              <w:rPr>
                <w:sz w:val="22"/>
                <w:szCs w:val="22"/>
              </w:rPr>
              <w:t>$30,421</w:t>
            </w:r>
          </w:p>
        </w:tc>
      </w:tr>
      <w:tr w14:paraId="0FC98E59" w14:textId="77777777" w:rsidTr="007C58EE">
        <w:tblPrEx>
          <w:tblW w:w="0" w:type="auto"/>
          <w:jc w:val="center"/>
          <w:tblLook w:val="04A0"/>
        </w:tblPrEx>
        <w:trPr>
          <w:trHeight w:val="315"/>
          <w:jc w:val="center"/>
        </w:trPr>
        <w:tc>
          <w:tcPr>
            <w:tcW w:w="0" w:type="auto"/>
            <w:tcBorders>
              <w:top w:val="nil"/>
              <w:left w:val="single" w:sz="8" w:space="0" w:color="auto"/>
              <w:bottom w:val="single" w:sz="8" w:space="0" w:color="auto"/>
              <w:right w:val="single" w:sz="4" w:space="0" w:color="auto"/>
            </w:tcBorders>
            <w:shd w:val="clear" w:color="auto" w:fill="auto"/>
            <w:vAlign w:val="bottom"/>
            <w:hideMark/>
          </w:tcPr>
          <w:p w:rsidR="0037119C" w:rsidRPr="009169C6" w:rsidP="007C58EE" w14:paraId="03EAD98E" w14:textId="77777777">
            <w:pPr>
              <w:rPr>
                <w:rFonts w:cs="Times New Roman"/>
                <w:color w:val="auto"/>
                <w:sz w:val="22"/>
                <w:szCs w:val="22"/>
              </w:rPr>
            </w:pPr>
            <w:r w:rsidRPr="009169C6">
              <w:rPr>
                <w:rFonts w:cs="Times New Roman"/>
                <w:color w:val="auto"/>
                <w:sz w:val="22"/>
                <w:szCs w:val="22"/>
              </w:rPr>
              <w:t>Front-line operator</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7119C" w:rsidRPr="009169C6" w:rsidP="007C58EE" w14:paraId="63A8D0F5" w14:textId="77777777">
            <w:pPr>
              <w:rPr>
                <w:rFonts w:cs="Times New Roman"/>
                <w:color w:val="auto"/>
                <w:sz w:val="22"/>
                <w:szCs w:val="22"/>
              </w:rPr>
            </w:pPr>
          </w:p>
        </w:tc>
        <w:tc>
          <w:tcPr>
            <w:tcW w:w="0" w:type="auto"/>
            <w:tcBorders>
              <w:top w:val="nil"/>
              <w:left w:val="nil"/>
              <w:bottom w:val="single" w:sz="8" w:space="0" w:color="auto"/>
              <w:right w:val="single" w:sz="4" w:space="0" w:color="auto"/>
            </w:tcBorders>
            <w:shd w:val="clear" w:color="auto" w:fill="auto"/>
            <w:noWrap/>
            <w:vAlign w:val="bottom"/>
            <w:hideMark/>
          </w:tcPr>
          <w:p w:rsidR="0037119C" w:rsidRPr="009169C6" w:rsidP="007C58EE" w14:paraId="5E6545EE" w14:textId="77777777">
            <w:pPr>
              <w:jc w:val="center"/>
              <w:rPr>
                <w:rFonts w:cs="Times New Roman"/>
                <w:color w:val="auto"/>
                <w:sz w:val="22"/>
                <w:szCs w:val="22"/>
              </w:rPr>
            </w:pPr>
            <w:r w:rsidRPr="009169C6">
              <w:rPr>
                <w:rFonts w:cs="Times New Roman"/>
                <w:color w:val="auto"/>
                <w:sz w:val="22"/>
                <w:szCs w:val="22"/>
              </w:rPr>
              <w:t>$</w:t>
            </w:r>
            <w:r>
              <w:rPr>
                <w:rFonts w:cs="Times New Roman"/>
                <w:color w:val="auto"/>
                <w:sz w:val="22"/>
                <w:szCs w:val="22"/>
              </w:rPr>
              <w:t>49.42</w:t>
            </w:r>
          </w:p>
        </w:tc>
        <w:tc>
          <w:tcPr>
            <w:tcW w:w="0" w:type="auto"/>
            <w:tcBorders>
              <w:top w:val="nil"/>
              <w:left w:val="single" w:sz="4" w:space="0" w:color="auto"/>
              <w:bottom w:val="single" w:sz="8" w:space="0" w:color="auto"/>
              <w:right w:val="single" w:sz="8" w:space="0" w:color="auto"/>
            </w:tcBorders>
            <w:shd w:val="clear" w:color="auto" w:fill="auto"/>
            <w:noWrap/>
            <w:vAlign w:val="bottom"/>
          </w:tcPr>
          <w:p w:rsidR="0037119C" w:rsidRPr="009169C6" w:rsidP="007C58EE" w14:paraId="6E38B01F" w14:textId="77777777">
            <w:pPr>
              <w:jc w:val="center"/>
              <w:rPr>
                <w:rFonts w:cs="Times New Roman"/>
                <w:color w:val="auto"/>
                <w:sz w:val="22"/>
                <w:szCs w:val="22"/>
              </w:rPr>
            </w:pPr>
            <w:r>
              <w:rPr>
                <w:sz w:val="22"/>
                <w:szCs w:val="22"/>
              </w:rPr>
              <w:t>$15,815</w:t>
            </w:r>
          </w:p>
        </w:tc>
      </w:tr>
      <w:tr w14:paraId="74B0C3EE" w14:textId="77777777" w:rsidTr="007C58EE">
        <w:tblPrEx>
          <w:tblW w:w="0" w:type="auto"/>
          <w:jc w:val="center"/>
          <w:tblLook w:val="04A0"/>
        </w:tblPrEx>
        <w:trPr>
          <w:trHeight w:val="300"/>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37119C" w:rsidRPr="009169C6" w:rsidP="007C58EE" w14:paraId="4266B430" w14:textId="77777777">
            <w:pPr>
              <w:rPr>
                <w:rFonts w:cs="Times New Roman"/>
                <w:b/>
                <w:bCs/>
                <w:color w:val="auto"/>
                <w:sz w:val="22"/>
                <w:szCs w:val="22"/>
              </w:rPr>
            </w:pPr>
            <w:r w:rsidRPr="009169C6">
              <w:rPr>
                <w:rFonts w:cs="Times New Roman"/>
                <w:b/>
                <w:bCs/>
                <w:color w:val="auto"/>
                <w:sz w:val="22"/>
                <w:szCs w:val="22"/>
              </w:rPr>
              <w:t>Total</w:t>
            </w:r>
          </w:p>
        </w:tc>
        <w:tc>
          <w:tcPr>
            <w:tcW w:w="0" w:type="auto"/>
            <w:tcBorders>
              <w:top w:val="nil"/>
              <w:left w:val="nil"/>
              <w:bottom w:val="single" w:sz="8" w:space="0" w:color="auto"/>
              <w:right w:val="single" w:sz="4" w:space="0" w:color="auto"/>
            </w:tcBorders>
            <w:shd w:val="clear" w:color="auto" w:fill="auto"/>
            <w:noWrap/>
            <w:vAlign w:val="bottom"/>
            <w:hideMark/>
          </w:tcPr>
          <w:p w:rsidR="0037119C" w:rsidRPr="009169C6" w:rsidP="007C58EE" w14:paraId="791B76B1" w14:textId="77777777">
            <w:pPr>
              <w:rPr>
                <w:rFonts w:cs="Times New Roman"/>
                <w:b/>
                <w:bCs/>
                <w:color w:val="auto"/>
                <w:sz w:val="22"/>
                <w:szCs w:val="22"/>
              </w:rPr>
            </w:pPr>
            <w:r w:rsidRPr="009169C6">
              <w:rPr>
                <w:rFonts w:cs="Times New Roman"/>
                <w:b/>
                <w:bCs/>
                <w:color w:val="auto"/>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rsidR="0037119C" w:rsidRPr="009169C6" w:rsidP="007C58EE" w14:paraId="2DA55BAA" w14:textId="77777777">
            <w:pPr>
              <w:rPr>
                <w:rFonts w:cs="Times New Roman"/>
                <w:b/>
                <w:bCs/>
                <w:color w:val="auto"/>
                <w:sz w:val="22"/>
                <w:szCs w:val="22"/>
              </w:rPr>
            </w:pPr>
            <w:r w:rsidRPr="009169C6">
              <w:rPr>
                <w:rFonts w:cs="Times New Roman"/>
                <w:b/>
                <w:bCs/>
                <w:color w:val="auto"/>
                <w:sz w:val="22"/>
                <w:szCs w:val="22"/>
              </w:rPr>
              <w:t> </w:t>
            </w:r>
          </w:p>
        </w:tc>
        <w:tc>
          <w:tcPr>
            <w:tcW w:w="0" w:type="auto"/>
            <w:tcBorders>
              <w:top w:val="nil"/>
              <w:left w:val="nil"/>
              <w:bottom w:val="single" w:sz="8" w:space="0" w:color="auto"/>
              <w:right w:val="single" w:sz="8" w:space="0" w:color="auto"/>
            </w:tcBorders>
            <w:shd w:val="clear" w:color="auto" w:fill="auto"/>
            <w:noWrap/>
            <w:vAlign w:val="bottom"/>
          </w:tcPr>
          <w:p w:rsidR="0037119C" w:rsidRPr="009169C6" w:rsidP="007C58EE" w14:paraId="3BBA49DF" w14:textId="77777777">
            <w:pPr>
              <w:jc w:val="center"/>
              <w:rPr>
                <w:rFonts w:cs="Times New Roman"/>
                <w:b/>
                <w:bCs/>
                <w:color w:val="auto"/>
                <w:sz w:val="22"/>
                <w:szCs w:val="22"/>
              </w:rPr>
            </w:pPr>
            <w:r>
              <w:rPr>
                <w:b/>
                <w:bCs/>
                <w:sz w:val="22"/>
                <w:szCs w:val="22"/>
              </w:rPr>
              <w:t>$74,093</w:t>
            </w:r>
          </w:p>
        </w:tc>
      </w:tr>
    </w:tbl>
    <w:p w:rsidR="0037119C" w:rsidP="0037119C" w14:paraId="3C596C16" w14:textId="77777777">
      <w:pPr>
        <w:ind w:firstLine="720"/>
      </w:pPr>
      <w:r>
        <w:t xml:space="preserve">Note: Calculations may not be exact due to rounding in table. </w:t>
      </w:r>
    </w:p>
    <w:p w:rsidR="0037119C" w:rsidP="0037119C" w14:paraId="4D944DC0" w14:textId="77777777">
      <w:pPr>
        <w:jc w:val="center"/>
      </w:pPr>
    </w:p>
    <w:p w:rsidR="0037119C" w:rsidP="0037119C" w14:paraId="4D779CB6" w14:textId="77777777">
      <w:pPr>
        <w:ind w:left="360"/>
      </w:pPr>
      <w:r>
        <w:t xml:space="preserve">TSA estimates an hour burden cost of $41,787 for CFSR recommendation follow-ups for </w:t>
      </w:r>
      <w:r w:rsidRPr="00752D3A">
        <w:t>corporate security manager</w:t>
      </w:r>
      <w:r>
        <w:t>s</w:t>
      </w:r>
      <w:r w:rsidRPr="00752D3A">
        <w:t xml:space="preserve"> </w:t>
      </w:r>
      <w:r>
        <w:t xml:space="preserve">($87.06 compensation rate x 480 hours).  </w:t>
      </w:r>
    </w:p>
    <w:p w:rsidR="0037119C" w:rsidP="0037119C" w14:paraId="00C3C36B" w14:textId="77777777">
      <w:pPr>
        <w:ind w:left="360"/>
      </w:pPr>
      <w:r>
        <w:t>TSA estimates an hour burden cost of $</w:t>
      </w:r>
      <w:r w:rsidR="00CB5C5E">
        <w:t>59,842</w:t>
      </w:r>
      <w:r>
        <w:t xml:space="preserve"> for th</w:t>
      </w:r>
      <w:bookmarkStart w:id="0" w:name="_GoBack"/>
      <w:bookmarkEnd w:id="0"/>
      <w:r>
        <w:t xml:space="preserve">e Cybersecurity Self-assessment for corporate </w:t>
      </w:r>
      <w:r w:rsidRPr="00BB305B" w:rsidR="003E2EFE">
        <w:t>cybersecurity coordinators</w:t>
      </w:r>
      <w:r>
        <w:t xml:space="preserve"> ($</w:t>
      </w:r>
      <w:r w:rsidR="00CB5C5E">
        <w:t>99.74</w:t>
      </w:r>
      <w:r>
        <w:t xml:space="preserve"> compensation rate x 600 hours).</w:t>
      </w:r>
    </w:p>
    <w:p w:rsidR="0037119C" w:rsidP="0037119C" w14:paraId="712C966B" w14:textId="77777777">
      <w:pPr>
        <w:ind w:left="360"/>
      </w:pPr>
    </w:p>
    <w:p w:rsidR="0037119C" w:rsidP="0037119C" w14:paraId="569369B4" w14:textId="77777777">
      <w:pPr>
        <w:ind w:left="360"/>
      </w:pPr>
      <w:r>
        <w:t>TSA estimates a total hour burden cost of $</w:t>
      </w:r>
      <w:r w:rsidR="00CB5C5E">
        <w:t>175,743</w:t>
      </w:r>
      <w:r>
        <w:t xml:space="preserve"> for this ICR ($74,093 CFSR form cost + $41,787 CFSR form follow-up cost + $</w:t>
      </w:r>
      <w:r w:rsidR="00CB5C5E">
        <w:t>59,842</w:t>
      </w:r>
      <w:r>
        <w:t>).</w:t>
      </w:r>
    </w:p>
    <w:p w:rsidR="0037119C" w:rsidP="0037119C" w14:paraId="704AF3E2" w14:textId="77777777">
      <w:pPr>
        <w:ind w:left="360"/>
      </w:pPr>
    </w:p>
    <w:p w:rsidR="0037119C" w:rsidP="00076039" w14:paraId="067B089C" w14:textId="77777777">
      <w:pPr>
        <w:ind w:left="360"/>
      </w:pPr>
    </w:p>
    <w:p w:rsidR="00320387" w:rsidP="009C70A5" w14:paraId="3906048A" w14:textId="77777777">
      <w:pPr>
        <w:keepNext/>
        <w:numPr>
          <w:ilvl w:val="0"/>
          <w:numId w:val="1"/>
        </w:numPr>
        <w:rPr>
          <w:b/>
          <w:i/>
        </w:rPr>
      </w:pPr>
      <w:r>
        <w:rPr>
          <w:b/>
          <w:i/>
        </w:rPr>
        <w:t>Provide an estimate of the total annual cost burden to respondents or record</w:t>
      </w:r>
      <w:r w:rsidR="008D5B5F">
        <w:rPr>
          <w:b/>
          <w:i/>
        </w:rPr>
        <w:t xml:space="preserve"> </w:t>
      </w:r>
      <w:r>
        <w:rPr>
          <w:b/>
          <w:i/>
        </w:rPr>
        <w:t>keepers resulting from the collection of information.</w:t>
      </w:r>
    </w:p>
    <w:p w:rsidR="004B6029" w:rsidP="00920CAA" w14:paraId="36E900FE" w14:textId="77777777">
      <w:pPr>
        <w:numPr>
          <w:ilvl w:val="12"/>
          <w:numId w:val="0"/>
        </w:numPr>
        <w:ind w:left="360"/>
      </w:pPr>
    </w:p>
    <w:p w:rsidR="004B6029" w:rsidP="00885566" w14:paraId="23D7E877" w14:textId="77777777">
      <w:pPr>
        <w:numPr>
          <w:ilvl w:val="12"/>
          <w:numId w:val="0"/>
        </w:numPr>
        <w:ind w:left="360"/>
      </w:pPr>
      <w:r>
        <w:t>TSA does not estimate a cost to the industry beyond the hour burden detailed in answer 12.</w:t>
      </w:r>
    </w:p>
    <w:p w:rsidR="00320387" w:rsidP="00320387" w14:paraId="2CFDEF0E" w14:textId="77777777">
      <w:pPr>
        <w:pStyle w:val="IndexHeading"/>
        <w:keepNext w:val="0"/>
        <w:numPr>
          <w:ilvl w:val="12"/>
          <w:numId w:val="0"/>
        </w:numPr>
        <w:spacing w:line="240" w:lineRule="auto"/>
        <w:rPr>
          <w:rFonts w:ascii="Times New Roman" w:hAnsi="Times New Roman"/>
          <w:spacing w:val="0"/>
        </w:rPr>
      </w:pPr>
    </w:p>
    <w:p w:rsidR="00320387" w:rsidP="009C70A5" w14:paraId="24C8AD0D" w14:textId="77777777">
      <w:pPr>
        <w:keepNext/>
        <w:tabs>
          <w:tab w:val="left" w:pos="360"/>
        </w:tabs>
        <w:ind w:left="360" w:hanging="360"/>
        <w:rPr>
          <w:b/>
          <w:i/>
        </w:rPr>
      </w:pPr>
      <w:r>
        <w:rPr>
          <w:b/>
          <w:i/>
        </w:rPr>
        <w:t xml:space="preserve">14. </w:t>
      </w: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14:paraId="41A391B5" w14:textId="77777777">
      <w:pPr>
        <w:keepNext/>
        <w:numPr>
          <w:ilvl w:val="12"/>
          <w:numId w:val="0"/>
        </w:numPr>
        <w:ind w:left="360"/>
      </w:pPr>
    </w:p>
    <w:p w:rsidR="0037119C" w:rsidP="0037119C" w14:paraId="3B199942" w14:textId="77777777">
      <w:pPr>
        <w:numPr>
          <w:ilvl w:val="12"/>
          <w:numId w:val="0"/>
        </w:numPr>
        <w:ind w:left="360"/>
      </w:pPr>
      <w:r>
        <w:t>TSA assumes a J-band Surface Transportation Security Specialist (TSS) will represent the agency at each meeting.  TSA uses a loaded compensation wage rate of $85.80</w:t>
      </w:r>
      <w:r>
        <w:rPr>
          <w:rStyle w:val="FootnoteReference"/>
        </w:rPr>
        <w:footnoteReference w:id="11"/>
      </w:r>
      <w:r>
        <w:t xml:space="preserve"> for the J-band TSS employee.  TSA estimates an annual time burden of 320 hours for the TSS employee (80 facility visits x 4 hours per visit).  Based on this information, TSA estimates a time burden cost of $27,456 for the J-band employee (320 hours x $85.80 compensation wage).  Additionally, TSA assumes a cost for planning and follow-up for a TSS per facility. TSA estimates that the J-band employee will spend 1.5 hours for planning each visit and following up after the visit.  TSA multiplies 120 hours (80 facilities x 1.5 hours x 4 (in</w:t>
      </w:r>
      <w:r w:rsidR="00162A61">
        <w:t>i</w:t>
      </w:r>
      <w:r>
        <w:t xml:space="preserve">tial visit + 3 follow-ups)) by the loaded </w:t>
      </w:r>
      <w:r w:rsidRPr="00F23903">
        <w:t>compensation wage rate of $</w:t>
      </w:r>
      <w:r>
        <w:t>85.80</w:t>
      </w:r>
      <w:r w:rsidRPr="00F23903">
        <w:t xml:space="preserve"> </w:t>
      </w:r>
      <w:r>
        <w:t xml:space="preserve">to estimate an additional time burden cost of $41,183.  Finally, TSA estimates a time burden to TSA for the Cybersecurity Self-Assessment of 2 hours per </w:t>
      </w:r>
      <w:r w:rsidR="00743D20">
        <w:t>self-assessment</w:t>
      </w:r>
      <w:r>
        <w:t>. TSA multiplies 100 Cybersecurity Self-Assessment respondents by 2 hours by the loaded compensation wage rate of $85.80 to get an hour burden cost of $17,160.  The total time burden cost is estimated to be $85,799 (</w:t>
      </w:r>
      <w:r w:rsidRPr="00F23903">
        <w:t>$</w:t>
      </w:r>
      <w:r>
        <w:t>27,456</w:t>
      </w:r>
      <w:r w:rsidRPr="00F23903">
        <w:t xml:space="preserve"> </w:t>
      </w:r>
      <w:r>
        <w:t xml:space="preserve">+ </w:t>
      </w:r>
      <w:r w:rsidRPr="00F23903">
        <w:t>$</w:t>
      </w:r>
      <w:r>
        <w:t>41,183+ $17,160).</w:t>
      </w:r>
    </w:p>
    <w:p w:rsidR="0037119C" w:rsidP="0037119C" w14:paraId="60193DE9" w14:textId="77777777">
      <w:pPr>
        <w:numPr>
          <w:ilvl w:val="12"/>
          <w:numId w:val="0"/>
        </w:numPr>
        <w:ind w:left="360"/>
      </w:pPr>
    </w:p>
    <w:p w:rsidR="0037119C" w:rsidP="0037119C" w14:paraId="4368F1AE" w14:textId="76DEE5F7">
      <w:pPr>
        <w:numPr>
          <w:ilvl w:val="12"/>
          <w:numId w:val="0"/>
        </w:numPr>
        <w:ind w:left="360"/>
      </w:pPr>
      <w:r>
        <w:t xml:space="preserve">For the contractor expenses, the cost to the Federal </w:t>
      </w:r>
      <w:r w:rsidR="00917997">
        <w:t xml:space="preserve">Government </w:t>
      </w:r>
      <w:r>
        <w:t xml:space="preserve">is estimated based on contractor costs per facility visit and an annual travel expense to the </w:t>
      </w:r>
      <w:r w:rsidR="00917997">
        <w:t>Government</w:t>
      </w:r>
      <w:r>
        <w:t xml:space="preserve">.  The costs for the CFSR visits include </w:t>
      </w:r>
      <w:r w:rsidRPr="0026649F">
        <w:t xml:space="preserve">contractor </w:t>
      </w:r>
      <w:r>
        <w:t xml:space="preserve">support services to aid in the </w:t>
      </w:r>
      <w:r w:rsidRPr="0026649F">
        <w:t>conduct</w:t>
      </w:r>
      <w:r>
        <w:t xml:space="preserve"> of the</w:t>
      </w:r>
      <w:r w:rsidRPr="0026649F">
        <w:t xml:space="preserve"> secur</w:t>
      </w:r>
      <w:r>
        <w:t xml:space="preserve">ity reviews </w:t>
      </w:r>
      <w:r w:rsidRPr="0026649F">
        <w:t xml:space="preserve">and </w:t>
      </w:r>
      <w:r>
        <w:t xml:space="preserve">to </w:t>
      </w:r>
      <w:r w:rsidRPr="0026649F">
        <w:t xml:space="preserve">complete </w:t>
      </w:r>
      <w:r>
        <w:t xml:space="preserve">the CFSR Form for each facility visited.  TSA estimates each facility visit costs approximately $5,055.37 in contractor expenses.  Given that TSA assumes 80 CFSR visits per year, TSA estimates the contractor expenses for CFSR visits will be $404,429.60 annually ($5,055.37 x 80 visits).  In addition, Federal </w:t>
      </w:r>
      <w:r w:rsidR="00253AC9">
        <w:t xml:space="preserve">Government </w:t>
      </w:r>
      <w:r>
        <w:t xml:space="preserve">travel costs for TSA personnel for the critical facility reviews are estimated to be approximately $41,000 annually.  TSA estimates a total annual contracting cost of $445,429.60 as displayed in </w:t>
      </w:r>
      <w:r w:rsidR="00253AC9">
        <w:t xml:space="preserve">table </w:t>
      </w:r>
      <w:r>
        <w:t xml:space="preserve">3.  </w:t>
      </w:r>
    </w:p>
    <w:p w:rsidR="0037119C" w:rsidP="0037119C" w14:paraId="2C0C787A" w14:textId="77777777">
      <w:pPr>
        <w:numPr>
          <w:ilvl w:val="12"/>
          <w:numId w:val="0"/>
        </w:numPr>
      </w:pPr>
    </w:p>
    <w:tbl>
      <w:tblPr>
        <w:tblW w:w="9793" w:type="dxa"/>
        <w:tblLook w:val="04A0"/>
      </w:tblPr>
      <w:tblGrid>
        <w:gridCol w:w="3190"/>
        <w:gridCol w:w="2024"/>
        <w:gridCol w:w="1709"/>
        <w:gridCol w:w="2870"/>
      </w:tblGrid>
      <w:tr w14:paraId="108D8391" w14:textId="77777777" w:rsidTr="007C58EE">
        <w:tblPrEx>
          <w:tblW w:w="9793" w:type="dxa"/>
          <w:tblLook w:val="04A0"/>
        </w:tblPrEx>
        <w:trPr>
          <w:trHeight w:val="130"/>
        </w:trPr>
        <w:tc>
          <w:tcPr>
            <w:tcW w:w="0" w:type="auto"/>
            <w:gridSpan w:val="2"/>
            <w:tcBorders>
              <w:top w:val="nil"/>
              <w:left w:val="nil"/>
              <w:bottom w:val="nil"/>
              <w:right w:val="nil"/>
            </w:tcBorders>
            <w:shd w:val="clear" w:color="auto" w:fill="auto"/>
            <w:noWrap/>
            <w:vAlign w:val="bottom"/>
            <w:hideMark/>
          </w:tcPr>
          <w:p w:rsidR="0037119C" w:rsidRPr="00FF65CA" w:rsidP="007C58EE" w14:paraId="7576B91B" w14:textId="77777777">
            <w:pPr>
              <w:keepNext/>
              <w:keepLines/>
              <w:rPr>
                <w:rFonts w:cs="Times New Roman"/>
                <w:b/>
                <w:bCs/>
                <w:color w:val="auto"/>
                <w:sz w:val="22"/>
                <w:szCs w:val="22"/>
              </w:rPr>
            </w:pPr>
            <w:r>
              <w:rPr>
                <w:rFonts w:cs="Times New Roman"/>
                <w:b/>
                <w:bCs/>
                <w:color w:val="auto"/>
                <w:sz w:val="22"/>
                <w:szCs w:val="22"/>
              </w:rPr>
              <w:t>Table 3</w:t>
            </w:r>
            <w:r w:rsidRPr="00FF65CA">
              <w:rPr>
                <w:rFonts w:cs="Times New Roman"/>
                <w:b/>
                <w:bCs/>
                <w:color w:val="auto"/>
                <w:sz w:val="22"/>
                <w:szCs w:val="22"/>
              </w:rPr>
              <w:t xml:space="preserve">: Annual Contracting Costs </w:t>
            </w:r>
          </w:p>
        </w:tc>
        <w:tc>
          <w:tcPr>
            <w:tcW w:w="0" w:type="auto"/>
            <w:tcBorders>
              <w:top w:val="nil"/>
              <w:left w:val="nil"/>
              <w:bottom w:val="nil"/>
              <w:right w:val="nil"/>
            </w:tcBorders>
            <w:shd w:val="clear" w:color="auto" w:fill="auto"/>
            <w:noWrap/>
            <w:vAlign w:val="bottom"/>
            <w:hideMark/>
          </w:tcPr>
          <w:p w:rsidR="0037119C" w:rsidRPr="00FF65CA" w:rsidP="007C58EE" w14:paraId="66A84A60" w14:textId="77777777">
            <w:pPr>
              <w:keepNext/>
              <w:keepLines/>
              <w:rPr>
                <w:rFonts w:cs="Times New Roman"/>
                <w:b/>
                <w:bCs/>
                <w:color w:val="auto"/>
                <w:sz w:val="22"/>
                <w:szCs w:val="22"/>
              </w:rPr>
            </w:pPr>
          </w:p>
        </w:tc>
        <w:tc>
          <w:tcPr>
            <w:tcW w:w="0" w:type="auto"/>
            <w:tcBorders>
              <w:top w:val="nil"/>
              <w:left w:val="nil"/>
              <w:bottom w:val="nil"/>
              <w:right w:val="nil"/>
            </w:tcBorders>
            <w:shd w:val="clear" w:color="auto" w:fill="auto"/>
            <w:noWrap/>
            <w:vAlign w:val="bottom"/>
            <w:hideMark/>
          </w:tcPr>
          <w:p w:rsidR="0037119C" w:rsidRPr="00FF65CA" w:rsidP="007C58EE" w14:paraId="613A3198" w14:textId="77777777">
            <w:pPr>
              <w:keepNext/>
              <w:keepLines/>
              <w:rPr>
                <w:rFonts w:cs="Times New Roman"/>
                <w:color w:val="auto"/>
                <w:sz w:val="20"/>
              </w:rPr>
            </w:pPr>
          </w:p>
        </w:tc>
      </w:tr>
      <w:tr w14:paraId="54F4DF0A" w14:textId="77777777" w:rsidTr="007C58EE">
        <w:tblPrEx>
          <w:tblW w:w="9793" w:type="dxa"/>
          <w:tblLook w:val="04A0"/>
        </w:tblPrEx>
        <w:trPr>
          <w:trHeight w:val="360"/>
        </w:trPr>
        <w:tc>
          <w:tcPr>
            <w:tcW w:w="0" w:type="auto"/>
            <w:tcBorders>
              <w:top w:val="single" w:sz="8" w:space="0" w:color="auto"/>
              <w:left w:val="single" w:sz="8" w:space="0" w:color="auto"/>
              <w:bottom w:val="single" w:sz="8" w:space="0" w:color="auto"/>
              <w:right w:val="single" w:sz="8" w:space="0" w:color="auto"/>
            </w:tcBorders>
            <w:shd w:val="clear" w:color="000000" w:fill="EEECE1"/>
            <w:vAlign w:val="center"/>
            <w:hideMark/>
          </w:tcPr>
          <w:p w:rsidR="0037119C" w:rsidRPr="00FF65CA" w:rsidP="007C58EE" w14:paraId="1FFD0202" w14:textId="77777777">
            <w:pPr>
              <w:keepNext/>
              <w:keepLines/>
              <w:jc w:val="center"/>
              <w:rPr>
                <w:rFonts w:cs="Times New Roman"/>
                <w:b/>
                <w:bCs/>
                <w:color w:val="auto"/>
                <w:sz w:val="22"/>
                <w:szCs w:val="22"/>
              </w:rPr>
            </w:pPr>
            <w:r w:rsidRPr="00FF65CA">
              <w:rPr>
                <w:rFonts w:cs="Times New Roman"/>
                <w:b/>
                <w:bCs/>
                <w:color w:val="auto"/>
                <w:sz w:val="22"/>
                <w:szCs w:val="22"/>
              </w:rPr>
              <w:t>Number of CFSR Visits/Year</w:t>
            </w:r>
          </w:p>
        </w:tc>
        <w:tc>
          <w:tcPr>
            <w:tcW w:w="0" w:type="auto"/>
            <w:tcBorders>
              <w:top w:val="single" w:sz="8" w:space="0" w:color="auto"/>
              <w:left w:val="nil"/>
              <w:bottom w:val="nil"/>
              <w:right w:val="single" w:sz="8" w:space="0" w:color="auto"/>
            </w:tcBorders>
            <w:shd w:val="clear" w:color="000000" w:fill="EEECE1"/>
            <w:vAlign w:val="center"/>
            <w:hideMark/>
          </w:tcPr>
          <w:p w:rsidR="0037119C" w:rsidRPr="00FF65CA" w:rsidP="007C58EE" w14:paraId="4842C045" w14:textId="77777777">
            <w:pPr>
              <w:keepNext/>
              <w:keepLines/>
              <w:jc w:val="center"/>
              <w:rPr>
                <w:rFonts w:cs="Times New Roman"/>
                <w:b/>
                <w:bCs/>
                <w:color w:val="auto"/>
                <w:sz w:val="22"/>
                <w:szCs w:val="22"/>
              </w:rPr>
            </w:pPr>
            <w:r w:rsidRPr="00FF65CA">
              <w:rPr>
                <w:rFonts w:cs="Times New Roman"/>
                <w:b/>
                <w:bCs/>
                <w:color w:val="auto"/>
                <w:sz w:val="22"/>
                <w:szCs w:val="22"/>
              </w:rPr>
              <w:t>Cost / CFSR Visit</w:t>
            </w:r>
          </w:p>
        </w:tc>
        <w:tc>
          <w:tcPr>
            <w:tcW w:w="0" w:type="auto"/>
            <w:tcBorders>
              <w:top w:val="single" w:sz="8" w:space="0" w:color="auto"/>
              <w:left w:val="nil"/>
              <w:bottom w:val="nil"/>
              <w:right w:val="single" w:sz="8" w:space="0" w:color="auto"/>
            </w:tcBorders>
            <w:shd w:val="clear" w:color="000000" w:fill="EEECE1"/>
            <w:vAlign w:val="center"/>
            <w:hideMark/>
          </w:tcPr>
          <w:p w:rsidR="0037119C" w:rsidRPr="00FF65CA" w:rsidP="007C58EE" w14:paraId="43D70416" w14:textId="77777777">
            <w:pPr>
              <w:keepNext/>
              <w:keepLines/>
              <w:jc w:val="center"/>
              <w:rPr>
                <w:rFonts w:cs="Times New Roman"/>
                <w:b/>
                <w:bCs/>
                <w:color w:val="auto"/>
                <w:sz w:val="22"/>
                <w:szCs w:val="22"/>
              </w:rPr>
            </w:pPr>
            <w:r w:rsidRPr="00FF65CA">
              <w:rPr>
                <w:rFonts w:cs="Times New Roman"/>
                <w:b/>
                <w:bCs/>
                <w:color w:val="auto"/>
                <w:sz w:val="22"/>
                <w:szCs w:val="22"/>
              </w:rPr>
              <w:t xml:space="preserve">Annual Travel </w:t>
            </w:r>
          </w:p>
        </w:tc>
        <w:tc>
          <w:tcPr>
            <w:tcW w:w="0" w:type="auto"/>
            <w:tcBorders>
              <w:top w:val="single" w:sz="8" w:space="0" w:color="auto"/>
              <w:left w:val="nil"/>
              <w:bottom w:val="nil"/>
              <w:right w:val="single" w:sz="8" w:space="0" w:color="auto"/>
            </w:tcBorders>
            <w:shd w:val="clear" w:color="000000" w:fill="EEECE1"/>
            <w:vAlign w:val="center"/>
            <w:hideMark/>
          </w:tcPr>
          <w:p w:rsidR="0037119C" w:rsidRPr="00FF65CA" w:rsidP="007C58EE" w14:paraId="2AC4A4D9" w14:textId="77777777">
            <w:pPr>
              <w:keepNext/>
              <w:keepLines/>
              <w:jc w:val="center"/>
              <w:rPr>
                <w:rFonts w:cs="Times New Roman"/>
                <w:b/>
                <w:bCs/>
                <w:color w:val="auto"/>
                <w:sz w:val="22"/>
                <w:szCs w:val="22"/>
              </w:rPr>
            </w:pPr>
            <w:r w:rsidRPr="00FF65CA">
              <w:rPr>
                <w:rFonts w:cs="Times New Roman"/>
                <w:b/>
                <w:bCs/>
                <w:color w:val="auto"/>
                <w:sz w:val="22"/>
                <w:szCs w:val="22"/>
              </w:rPr>
              <w:t>Annual Contracting Costs</w:t>
            </w:r>
          </w:p>
        </w:tc>
      </w:tr>
      <w:tr w14:paraId="6A9C347E" w14:textId="77777777" w:rsidTr="007C58EE">
        <w:tblPrEx>
          <w:tblW w:w="9793" w:type="dxa"/>
          <w:tblLook w:val="04A0"/>
        </w:tblPrEx>
        <w:trPr>
          <w:trHeight w:val="130"/>
        </w:trPr>
        <w:tc>
          <w:tcPr>
            <w:tcW w:w="0" w:type="auto"/>
            <w:tcBorders>
              <w:top w:val="nil"/>
              <w:left w:val="single" w:sz="8" w:space="0" w:color="auto"/>
              <w:bottom w:val="single" w:sz="8" w:space="0" w:color="auto"/>
              <w:right w:val="single" w:sz="8" w:space="0" w:color="auto"/>
            </w:tcBorders>
            <w:shd w:val="clear" w:color="000000" w:fill="EEECE1"/>
            <w:vAlign w:val="center"/>
            <w:hideMark/>
          </w:tcPr>
          <w:p w:rsidR="0037119C" w:rsidRPr="00FF65CA" w:rsidP="007C58EE" w14:paraId="511D640A" w14:textId="77777777">
            <w:pPr>
              <w:keepNext/>
              <w:keepLines/>
              <w:jc w:val="center"/>
              <w:rPr>
                <w:rFonts w:cs="Times New Roman"/>
                <w:b/>
                <w:bCs/>
                <w:color w:val="auto"/>
                <w:sz w:val="22"/>
                <w:szCs w:val="22"/>
              </w:rPr>
            </w:pPr>
            <w:r w:rsidRPr="00FF65CA">
              <w:rPr>
                <w:rFonts w:cs="Times New Roman"/>
                <w:b/>
                <w:bCs/>
                <w:color w:val="auto"/>
                <w:sz w:val="22"/>
                <w:szCs w:val="22"/>
              </w:rPr>
              <w:t>A</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rsidR="0037119C" w:rsidRPr="00FF65CA" w:rsidP="007C58EE" w14:paraId="6F93B290" w14:textId="77777777">
            <w:pPr>
              <w:keepNext/>
              <w:keepLines/>
              <w:jc w:val="center"/>
              <w:rPr>
                <w:rFonts w:cs="Times New Roman"/>
                <w:b/>
                <w:bCs/>
                <w:color w:val="auto"/>
                <w:sz w:val="22"/>
                <w:szCs w:val="22"/>
              </w:rPr>
            </w:pPr>
            <w:r w:rsidRPr="00FF65CA">
              <w:rPr>
                <w:rFonts w:cs="Times New Roman"/>
                <w:b/>
                <w:bCs/>
                <w:color w:val="auto"/>
                <w:sz w:val="22"/>
                <w:szCs w:val="22"/>
              </w:rPr>
              <w:t>B</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rsidR="0037119C" w:rsidRPr="00FF65CA" w:rsidP="007C58EE" w14:paraId="103643D7" w14:textId="77777777">
            <w:pPr>
              <w:keepNext/>
              <w:keepLines/>
              <w:jc w:val="center"/>
              <w:rPr>
                <w:rFonts w:cs="Times New Roman"/>
                <w:b/>
                <w:bCs/>
                <w:color w:val="auto"/>
                <w:sz w:val="22"/>
                <w:szCs w:val="22"/>
              </w:rPr>
            </w:pPr>
            <w:r w:rsidRPr="00FF65CA">
              <w:rPr>
                <w:rFonts w:cs="Times New Roman"/>
                <w:b/>
                <w:bCs/>
                <w:color w:val="auto"/>
                <w:sz w:val="22"/>
                <w:szCs w:val="22"/>
              </w:rPr>
              <w:t xml:space="preserve">C </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rsidR="0037119C" w:rsidRPr="00FF65CA" w:rsidP="007C58EE" w14:paraId="0CD53699" w14:textId="77777777">
            <w:pPr>
              <w:keepNext/>
              <w:keepLines/>
              <w:jc w:val="center"/>
              <w:rPr>
                <w:rFonts w:cs="Times New Roman"/>
                <w:b/>
                <w:bCs/>
                <w:color w:val="auto"/>
                <w:sz w:val="22"/>
                <w:szCs w:val="22"/>
              </w:rPr>
            </w:pPr>
            <w:r w:rsidRPr="00FF65CA">
              <w:rPr>
                <w:rFonts w:cs="Times New Roman"/>
                <w:b/>
                <w:bCs/>
                <w:color w:val="auto"/>
                <w:sz w:val="22"/>
                <w:szCs w:val="22"/>
              </w:rPr>
              <w:t>D = (A x B) + C</w:t>
            </w:r>
          </w:p>
        </w:tc>
      </w:tr>
      <w:tr w14:paraId="19335FF5" w14:textId="77777777" w:rsidTr="007C58EE">
        <w:tblPrEx>
          <w:tblW w:w="9793" w:type="dxa"/>
          <w:tblLook w:val="04A0"/>
        </w:tblPrEx>
        <w:trPr>
          <w:trHeight w:val="276"/>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37119C" w:rsidRPr="00FF65CA" w:rsidP="007C58EE" w14:paraId="0596A65C" w14:textId="77777777">
            <w:pPr>
              <w:keepNext/>
              <w:keepLines/>
              <w:jc w:val="center"/>
              <w:rPr>
                <w:rFonts w:cs="Times New Roman"/>
                <w:color w:val="auto"/>
                <w:sz w:val="22"/>
                <w:szCs w:val="22"/>
              </w:rPr>
            </w:pPr>
            <w:r w:rsidRPr="00FF65CA">
              <w:rPr>
                <w:rFonts w:cs="Times New Roman"/>
                <w:color w:val="auto"/>
                <w:sz w:val="22"/>
                <w:szCs w:val="22"/>
              </w:rPr>
              <w:t>80</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rsidR="0037119C" w:rsidRPr="00FF65CA" w:rsidP="007C58EE" w14:paraId="7F78D010" w14:textId="77777777">
            <w:pPr>
              <w:keepNext/>
              <w:keepLines/>
              <w:jc w:val="center"/>
              <w:rPr>
                <w:rFonts w:cs="Times New Roman"/>
                <w:color w:val="auto"/>
                <w:sz w:val="22"/>
                <w:szCs w:val="22"/>
              </w:rPr>
            </w:pPr>
            <w:r w:rsidRPr="00FF65CA">
              <w:rPr>
                <w:rFonts w:cs="Times New Roman"/>
                <w:color w:val="auto"/>
                <w:sz w:val="22"/>
                <w:szCs w:val="22"/>
              </w:rPr>
              <w:t>$</w:t>
            </w:r>
            <w:r>
              <w:rPr>
                <w:rFonts w:cs="Times New Roman"/>
                <w:color w:val="auto"/>
                <w:sz w:val="22"/>
                <w:szCs w:val="22"/>
              </w:rPr>
              <w:t>5,055.37</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rsidR="0037119C" w:rsidRPr="00FF65CA" w:rsidP="007C58EE" w14:paraId="58D3024D" w14:textId="77777777">
            <w:pPr>
              <w:keepNext/>
              <w:keepLines/>
              <w:jc w:val="center"/>
              <w:rPr>
                <w:rFonts w:cs="Times New Roman"/>
                <w:color w:val="auto"/>
                <w:sz w:val="22"/>
                <w:szCs w:val="22"/>
              </w:rPr>
            </w:pPr>
            <w:r>
              <w:rPr>
                <w:rFonts w:cs="Times New Roman"/>
                <w:color w:val="auto"/>
                <w:sz w:val="22"/>
                <w:szCs w:val="22"/>
              </w:rPr>
              <w:t>$41,000</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37119C" w:rsidRPr="00FF65CA" w:rsidP="007C58EE" w14:paraId="320C33FE" w14:textId="77777777">
            <w:pPr>
              <w:keepNext/>
              <w:keepLines/>
              <w:jc w:val="center"/>
              <w:rPr>
                <w:rFonts w:cs="Times New Roman"/>
                <w:color w:val="auto"/>
                <w:sz w:val="22"/>
                <w:szCs w:val="22"/>
              </w:rPr>
            </w:pPr>
            <w:r>
              <w:rPr>
                <w:rFonts w:cs="Times New Roman"/>
                <w:color w:val="auto"/>
                <w:sz w:val="22"/>
                <w:szCs w:val="22"/>
              </w:rPr>
              <w:t>$445,429.60</w:t>
            </w:r>
          </w:p>
        </w:tc>
      </w:tr>
      <w:tr w14:paraId="74491F46" w14:textId="77777777" w:rsidTr="007C58EE">
        <w:tblPrEx>
          <w:tblW w:w="9793" w:type="dxa"/>
          <w:tblLook w:val="04A0"/>
        </w:tblPrEx>
        <w:trPr>
          <w:trHeight w:val="276"/>
        </w:trPr>
        <w:tc>
          <w:tcPr>
            <w:tcW w:w="0" w:type="auto"/>
            <w:vMerge/>
            <w:tcBorders>
              <w:top w:val="nil"/>
              <w:left w:val="single" w:sz="8" w:space="0" w:color="auto"/>
              <w:bottom w:val="single" w:sz="8" w:space="0" w:color="000000"/>
              <w:right w:val="single" w:sz="4" w:space="0" w:color="auto"/>
            </w:tcBorders>
            <w:vAlign w:val="center"/>
            <w:hideMark/>
          </w:tcPr>
          <w:p w:rsidR="0037119C" w:rsidRPr="00FF65CA" w:rsidP="007C58EE" w14:paraId="62F4F4D2" w14:textId="77777777">
            <w:pPr>
              <w:keepNext/>
              <w:keepLines/>
              <w:rPr>
                <w:rFonts w:cs="Times New Roman"/>
                <w:color w:val="auto"/>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rsidR="0037119C" w:rsidRPr="00FF65CA" w:rsidP="007C58EE" w14:paraId="6A610CAE" w14:textId="77777777">
            <w:pPr>
              <w:keepNext/>
              <w:keepLines/>
              <w:rPr>
                <w:rFonts w:cs="Times New Roman"/>
                <w:color w:val="auto"/>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rsidR="0037119C" w:rsidRPr="00FF65CA" w:rsidP="007C58EE" w14:paraId="28305ABC" w14:textId="77777777">
            <w:pPr>
              <w:keepNext/>
              <w:keepLines/>
              <w:rPr>
                <w:rFonts w:cs="Times New Roman"/>
                <w:color w:val="auto"/>
                <w:sz w:val="22"/>
                <w:szCs w:val="22"/>
              </w:rPr>
            </w:pPr>
          </w:p>
        </w:tc>
        <w:tc>
          <w:tcPr>
            <w:tcW w:w="0" w:type="auto"/>
            <w:vMerge/>
            <w:tcBorders>
              <w:top w:val="single" w:sz="8" w:space="0" w:color="000000"/>
              <w:left w:val="single" w:sz="4" w:space="0" w:color="auto"/>
              <w:bottom w:val="single" w:sz="8" w:space="0" w:color="000000"/>
              <w:right w:val="single" w:sz="4" w:space="0" w:color="auto"/>
            </w:tcBorders>
            <w:vAlign w:val="center"/>
            <w:hideMark/>
          </w:tcPr>
          <w:p w:rsidR="0037119C" w:rsidRPr="00FF65CA" w:rsidP="007C58EE" w14:paraId="6215AADF" w14:textId="77777777">
            <w:pPr>
              <w:keepNext/>
              <w:keepLines/>
              <w:rPr>
                <w:rFonts w:cs="Times New Roman"/>
                <w:color w:val="auto"/>
                <w:sz w:val="22"/>
                <w:szCs w:val="22"/>
              </w:rPr>
            </w:pPr>
          </w:p>
        </w:tc>
      </w:tr>
      <w:tr w14:paraId="5A649853" w14:textId="77777777" w:rsidTr="007C58EE">
        <w:tblPrEx>
          <w:tblW w:w="9793" w:type="dxa"/>
          <w:tblLook w:val="04A0"/>
        </w:tblPrEx>
        <w:trPr>
          <w:trHeight w:val="276"/>
        </w:trPr>
        <w:tc>
          <w:tcPr>
            <w:tcW w:w="0" w:type="auto"/>
            <w:vMerge/>
            <w:tcBorders>
              <w:top w:val="nil"/>
              <w:left w:val="single" w:sz="8" w:space="0" w:color="auto"/>
              <w:bottom w:val="single" w:sz="8" w:space="0" w:color="000000"/>
              <w:right w:val="single" w:sz="4" w:space="0" w:color="auto"/>
            </w:tcBorders>
            <w:vAlign w:val="center"/>
            <w:hideMark/>
          </w:tcPr>
          <w:p w:rsidR="0037119C" w:rsidRPr="00FF65CA" w:rsidP="007C58EE" w14:paraId="3441C0B5" w14:textId="77777777">
            <w:pPr>
              <w:keepNext/>
              <w:keepLines/>
              <w:rPr>
                <w:rFonts w:cs="Times New Roman"/>
                <w:color w:val="auto"/>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rsidR="0037119C" w:rsidRPr="00FF65CA" w:rsidP="007C58EE" w14:paraId="598AB865" w14:textId="77777777">
            <w:pPr>
              <w:keepNext/>
              <w:keepLines/>
              <w:rPr>
                <w:rFonts w:cs="Times New Roman"/>
                <w:color w:val="auto"/>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rsidR="0037119C" w:rsidRPr="00FF65CA" w:rsidP="007C58EE" w14:paraId="39D0CFF6" w14:textId="77777777">
            <w:pPr>
              <w:keepNext/>
              <w:keepLines/>
              <w:rPr>
                <w:rFonts w:cs="Times New Roman"/>
                <w:color w:val="auto"/>
                <w:sz w:val="22"/>
                <w:szCs w:val="22"/>
              </w:rPr>
            </w:pPr>
          </w:p>
        </w:tc>
        <w:tc>
          <w:tcPr>
            <w:tcW w:w="0" w:type="auto"/>
            <w:vMerge/>
            <w:tcBorders>
              <w:top w:val="single" w:sz="8" w:space="0" w:color="000000"/>
              <w:left w:val="single" w:sz="4" w:space="0" w:color="auto"/>
              <w:bottom w:val="single" w:sz="8" w:space="0" w:color="000000"/>
              <w:right w:val="single" w:sz="4" w:space="0" w:color="auto"/>
            </w:tcBorders>
            <w:vAlign w:val="center"/>
            <w:hideMark/>
          </w:tcPr>
          <w:p w:rsidR="0037119C" w:rsidRPr="00FF65CA" w:rsidP="007C58EE" w14:paraId="1AC6DEF8" w14:textId="77777777">
            <w:pPr>
              <w:keepNext/>
              <w:keepLines/>
              <w:rPr>
                <w:rFonts w:cs="Times New Roman"/>
                <w:color w:val="auto"/>
                <w:sz w:val="22"/>
                <w:szCs w:val="22"/>
              </w:rPr>
            </w:pPr>
          </w:p>
        </w:tc>
      </w:tr>
    </w:tbl>
    <w:p w:rsidR="0037119C" w:rsidP="0037119C" w14:paraId="603485E3" w14:textId="77777777">
      <w:pPr>
        <w:numPr>
          <w:ilvl w:val="12"/>
          <w:numId w:val="0"/>
        </w:numPr>
      </w:pPr>
    </w:p>
    <w:p w:rsidR="0037119C" w:rsidP="0037119C" w14:paraId="5A013838" w14:textId="77777777">
      <w:pPr>
        <w:keepNext/>
        <w:numPr>
          <w:ilvl w:val="12"/>
          <w:numId w:val="0"/>
        </w:numPr>
        <w:ind w:left="360"/>
      </w:pPr>
      <w:r>
        <w:t>TSA estimates a total annualized federal government cost of $531,228.60 ($85,799 total time burden cost + $445,429.60 contractor and travel costs).</w:t>
      </w:r>
    </w:p>
    <w:p w:rsidR="00320387" w:rsidP="009E6A5F" w14:paraId="7BD6A59D" w14:textId="77777777">
      <w:pPr>
        <w:pStyle w:val="IndexHeading"/>
        <w:numPr>
          <w:ilvl w:val="12"/>
          <w:numId w:val="0"/>
        </w:numPr>
        <w:spacing w:line="240" w:lineRule="auto"/>
        <w:rPr>
          <w:rFonts w:ascii="Times New Roman" w:hAnsi="Times New Roman"/>
          <w:spacing w:val="0"/>
        </w:rPr>
      </w:pPr>
    </w:p>
    <w:p w:rsidR="00320387" w14:paraId="749C801A" w14:textId="77777777">
      <w:pPr>
        <w:keepNext/>
        <w:tabs>
          <w:tab w:val="left" w:pos="360"/>
        </w:tabs>
        <w:ind w:left="360" w:hanging="360"/>
        <w:rPr>
          <w:b/>
          <w:i/>
        </w:rPr>
      </w:pPr>
      <w:r>
        <w:rPr>
          <w:b/>
          <w:i/>
        </w:rPr>
        <w:t xml:space="preserve">15. </w:t>
      </w:r>
      <w:r>
        <w:rPr>
          <w:b/>
          <w:i/>
        </w:rPr>
        <w:t>Explain the reasons for any program changes or adjustments reported in Items 13 or 14 of</w:t>
      </w:r>
      <w:r w:rsidR="009C70A5">
        <w:rPr>
          <w:b/>
          <w:i/>
        </w:rPr>
        <w:t xml:space="preserve"> </w:t>
      </w:r>
      <w:r>
        <w:rPr>
          <w:b/>
          <w:i/>
        </w:rPr>
        <w:t>the OMB Form 83-I.</w:t>
      </w:r>
    </w:p>
    <w:p w:rsidR="00320387" w14:paraId="32EB6041" w14:textId="77777777">
      <w:pPr>
        <w:keepNext/>
        <w:numPr>
          <w:ilvl w:val="12"/>
          <w:numId w:val="0"/>
        </w:numPr>
        <w:ind w:left="360"/>
      </w:pPr>
    </w:p>
    <w:p w:rsidR="007E2F16" w:rsidP="009E6A5F" w14:paraId="0AD86C5E" w14:textId="2E568632">
      <w:pPr>
        <w:keepNext/>
        <w:numPr>
          <w:ilvl w:val="12"/>
          <w:numId w:val="0"/>
        </w:numPr>
        <w:ind w:left="360"/>
        <w:rPr>
          <w:rFonts w:cs="Times New Roman"/>
          <w:szCs w:val="24"/>
        </w:rPr>
      </w:pPr>
      <w:r>
        <w:rPr>
          <w:rFonts w:cs="Times New Roman"/>
          <w:szCs w:val="24"/>
        </w:rPr>
        <w:t>There are no program changes from the previously reported information</w:t>
      </w:r>
      <w:r w:rsidR="00253AC9">
        <w:rPr>
          <w:rFonts w:cs="Times New Roman"/>
          <w:szCs w:val="24"/>
        </w:rPr>
        <w:t xml:space="preserve">.  </w:t>
      </w:r>
      <w:r w:rsidR="00513860">
        <w:rPr>
          <w:rFonts w:cs="Times New Roman"/>
          <w:szCs w:val="24"/>
        </w:rPr>
        <w:t>TSA is</w:t>
      </w:r>
      <w:r w:rsidR="00253AC9">
        <w:rPr>
          <w:rFonts w:cs="Times New Roman"/>
          <w:szCs w:val="24"/>
        </w:rPr>
        <w:t>, however,</w:t>
      </w:r>
      <w:r w:rsidR="00513860">
        <w:rPr>
          <w:rFonts w:cs="Times New Roman"/>
          <w:szCs w:val="24"/>
        </w:rPr>
        <w:t xml:space="preserve"> adding the</w:t>
      </w:r>
      <w:r w:rsidR="000912EE">
        <w:rPr>
          <w:rFonts w:cs="Times New Roman"/>
          <w:szCs w:val="24"/>
        </w:rPr>
        <w:t xml:space="preserve"> burden estimates related to the previously submitted emergency collection for</w:t>
      </w:r>
      <w:r w:rsidR="00513860">
        <w:rPr>
          <w:rFonts w:cs="Times New Roman"/>
          <w:szCs w:val="24"/>
        </w:rPr>
        <w:t xml:space="preserve"> mandatory submission of cybersecurity assessments </w:t>
      </w:r>
      <w:r>
        <w:rPr>
          <w:rFonts w:cs="Times New Roman"/>
          <w:szCs w:val="24"/>
        </w:rPr>
        <w:t xml:space="preserve">and remediation </w:t>
      </w:r>
      <w:r w:rsidR="00743D20">
        <w:rPr>
          <w:rFonts w:cs="Times New Roman"/>
          <w:szCs w:val="24"/>
        </w:rPr>
        <w:t>measures.</w:t>
      </w:r>
    </w:p>
    <w:p w:rsidR="00EC427E" w:rsidRPr="00680B35" w:rsidP="002D730F" w14:paraId="2BC201F4" w14:textId="77777777">
      <w:pPr>
        <w:numPr>
          <w:ilvl w:val="12"/>
          <w:numId w:val="0"/>
        </w:numPr>
        <w:rPr>
          <w:rFonts w:cs="Times New Roman"/>
          <w:szCs w:val="24"/>
        </w:rPr>
      </w:pPr>
    </w:p>
    <w:p w:rsidR="00320387" w:rsidP="009C70A5" w14:paraId="4CD1C322" w14:textId="77777777">
      <w:pPr>
        <w:keepNext/>
        <w:tabs>
          <w:tab w:val="left" w:pos="360"/>
        </w:tabs>
        <w:ind w:left="360" w:hanging="360"/>
        <w:rPr>
          <w:b/>
          <w:i/>
        </w:rPr>
      </w:pPr>
      <w:r>
        <w:rPr>
          <w:b/>
          <w:i/>
        </w:rPr>
        <w:t xml:space="preserve">16. </w:t>
      </w:r>
      <w:r>
        <w:rPr>
          <w:b/>
          <w:i/>
        </w:rPr>
        <w:t xml:space="preserve">For collections of information </w:t>
      </w:r>
      <w:r w:rsidR="004F590A">
        <w:rPr>
          <w:b/>
          <w:i/>
        </w:rPr>
        <w:t>for which</w:t>
      </w:r>
      <w:r>
        <w:rPr>
          <w:b/>
          <w:i/>
        </w:rPr>
        <w:t xml:space="preserve"> results will be published, outline plans for tabulation</w:t>
      </w:r>
      <w:r>
        <w:rPr>
          <w:b/>
          <w:i/>
        </w:rPr>
        <w:t xml:space="preserve"> </w:t>
      </w:r>
      <w:r>
        <w:rPr>
          <w:b/>
          <w:i/>
        </w:rPr>
        <w:t>and publication.  Address any complex analytical techniques that will be used.  Provide the time schedule for the entire project, including beginning and ending dates of the collection</w:t>
      </w:r>
      <w:r w:rsidR="009C70A5">
        <w:rPr>
          <w:b/>
          <w:i/>
        </w:rPr>
        <w:t xml:space="preserve"> </w:t>
      </w:r>
      <w:r>
        <w:rPr>
          <w:b/>
          <w:i/>
        </w:rPr>
        <w:t>of information, completion of report, publication dates, and other actions.</w:t>
      </w:r>
    </w:p>
    <w:p w:rsidR="00320387" w:rsidP="00320387" w14:paraId="2637D2DC" w14:textId="77777777">
      <w:pPr>
        <w:keepNext/>
        <w:numPr>
          <w:ilvl w:val="12"/>
          <w:numId w:val="0"/>
        </w:numPr>
        <w:ind w:left="360"/>
      </w:pPr>
    </w:p>
    <w:p w:rsidR="003A3FF7" w:rsidP="004A2104" w14:paraId="46A0FDCA" w14:textId="77777777">
      <w:pPr>
        <w:numPr>
          <w:ilvl w:val="12"/>
          <w:numId w:val="0"/>
        </w:numPr>
        <w:ind w:left="360"/>
      </w:pPr>
      <w:r>
        <w:t>Critical f</w:t>
      </w:r>
      <w:r w:rsidR="00A26A36">
        <w:t>acility security information</w:t>
      </w:r>
      <w:r w:rsidR="00A222F6">
        <w:t xml:space="preserve"> collected</w:t>
      </w:r>
      <w:r>
        <w:t xml:space="preserve"> on the CFSR Form</w:t>
      </w:r>
      <w:r w:rsidR="00A26A36">
        <w:t xml:space="preserve"> will not </w:t>
      </w:r>
      <w:r w:rsidR="00680B35">
        <w:t xml:space="preserve">be published.  </w:t>
      </w:r>
    </w:p>
    <w:p w:rsidR="003A3FF7" w:rsidP="00A222F6" w14:paraId="29350D3E" w14:textId="77777777">
      <w:pPr>
        <w:numPr>
          <w:ilvl w:val="12"/>
          <w:numId w:val="0"/>
        </w:numPr>
        <w:ind w:left="360"/>
      </w:pPr>
    </w:p>
    <w:p w:rsidR="003A3FF7" w:rsidP="00A222F6" w14:paraId="7349DBB6" w14:textId="77777777">
      <w:pPr>
        <w:numPr>
          <w:ilvl w:val="12"/>
          <w:numId w:val="0"/>
        </w:numPr>
        <w:ind w:left="360"/>
      </w:pPr>
      <w:r>
        <w:t>Critical facility recommendations and implementation status will not be published.</w:t>
      </w:r>
    </w:p>
    <w:p w:rsidR="00513860" w:rsidP="00A222F6" w14:paraId="737ECD4D" w14:textId="77777777">
      <w:pPr>
        <w:numPr>
          <w:ilvl w:val="12"/>
          <w:numId w:val="0"/>
        </w:numPr>
        <w:ind w:left="360"/>
      </w:pPr>
    </w:p>
    <w:p w:rsidR="00513860" w:rsidP="00A222F6" w14:paraId="6296EA4C" w14:textId="77777777">
      <w:pPr>
        <w:numPr>
          <w:ilvl w:val="12"/>
          <w:numId w:val="0"/>
        </w:numPr>
        <w:ind w:left="360"/>
      </w:pPr>
      <w:r>
        <w:t xml:space="preserve">Critical facility cybersecurity assessments will not be published.  </w:t>
      </w:r>
    </w:p>
    <w:p w:rsidR="003A3FF7" w:rsidP="00A222F6" w14:paraId="52A75208" w14:textId="77777777">
      <w:pPr>
        <w:numPr>
          <w:ilvl w:val="12"/>
          <w:numId w:val="0"/>
        </w:numPr>
        <w:ind w:left="360"/>
      </w:pPr>
    </w:p>
    <w:p w:rsidR="00320387" w:rsidP="009C70A5" w14:paraId="7802D060" w14:textId="77777777">
      <w:pPr>
        <w:keepNext/>
        <w:tabs>
          <w:tab w:val="left" w:pos="360"/>
        </w:tabs>
        <w:ind w:left="360" w:hanging="360"/>
        <w:rPr>
          <w:b/>
          <w:i/>
        </w:rPr>
      </w:pPr>
      <w:r>
        <w:rPr>
          <w:b/>
          <w:i/>
        </w:rPr>
        <w:t xml:space="preserve">17. </w:t>
      </w:r>
      <w:r>
        <w:rPr>
          <w:b/>
          <w:i/>
        </w:rPr>
        <w:t>If seeking approval to not display the expiration date for OMB approval of the information collection, explain the reasons that display would be inappropriate.</w:t>
      </w:r>
    </w:p>
    <w:p w:rsidR="00320387" w:rsidP="00320387" w14:paraId="1F00DA0E" w14:textId="77777777">
      <w:pPr>
        <w:keepNext/>
        <w:numPr>
          <w:ilvl w:val="12"/>
          <w:numId w:val="0"/>
        </w:numPr>
        <w:ind w:left="360"/>
      </w:pPr>
    </w:p>
    <w:p w:rsidR="00320387" w:rsidP="009C70A5" w14:paraId="7EBA0334" w14:textId="77777777">
      <w:pPr>
        <w:numPr>
          <w:ilvl w:val="12"/>
          <w:numId w:val="0"/>
        </w:numPr>
        <w:tabs>
          <w:tab w:val="left" w:pos="360"/>
        </w:tabs>
        <w:ind w:left="360"/>
      </w:pPr>
      <w:r>
        <w:t>TSA is not seeking such approval.</w:t>
      </w:r>
    </w:p>
    <w:p w:rsidR="001854D7" w:rsidP="00320387" w14:paraId="4119E3F7" w14:textId="77777777">
      <w:pPr>
        <w:numPr>
          <w:ilvl w:val="12"/>
          <w:numId w:val="0"/>
        </w:numPr>
        <w:tabs>
          <w:tab w:val="left" w:pos="360"/>
        </w:tabs>
      </w:pPr>
    </w:p>
    <w:p w:rsidR="00320387" w:rsidP="009C70A5" w14:paraId="194B6129" w14:textId="77777777">
      <w:pPr>
        <w:keepNext/>
        <w:tabs>
          <w:tab w:val="left" w:pos="360"/>
        </w:tabs>
        <w:ind w:left="360" w:hanging="360"/>
        <w:rPr>
          <w:b/>
          <w:i/>
        </w:rPr>
      </w:pPr>
      <w:r>
        <w:rPr>
          <w:b/>
          <w:i/>
        </w:rPr>
        <w:t xml:space="preserve">18. </w:t>
      </w:r>
      <w:r>
        <w:rPr>
          <w:b/>
          <w:i/>
        </w:rPr>
        <w:t>Explain each exception to the certification statement identified in Item 19, “Certification</w:t>
      </w:r>
      <w:r>
        <w:rPr>
          <w:b/>
          <w:i/>
        </w:rPr>
        <w:t xml:space="preserve"> </w:t>
      </w:r>
      <w:r>
        <w:rPr>
          <w:b/>
          <w:i/>
        </w:rPr>
        <w:t>for Paperwork Reduction Act Submissions,” of OMB Form 83-I.</w:t>
      </w:r>
    </w:p>
    <w:p w:rsidR="00320387" w:rsidP="00320387" w14:paraId="7BDB20FB" w14:textId="77777777">
      <w:pPr>
        <w:keepNext/>
        <w:numPr>
          <w:ilvl w:val="12"/>
          <w:numId w:val="0"/>
        </w:numPr>
        <w:ind w:left="360"/>
      </w:pPr>
    </w:p>
    <w:p w:rsidR="00320387" w:rsidP="00320387" w14:paraId="208D3B24" w14:textId="77777777">
      <w:pPr>
        <w:numPr>
          <w:ilvl w:val="12"/>
          <w:numId w:val="0"/>
        </w:numPr>
        <w:ind w:left="360"/>
      </w:pPr>
      <w:r>
        <w:t>TSA is not seeking any exceptions.</w:t>
      </w:r>
    </w:p>
    <w:p w:rsidR="003C0F11" w14:paraId="65229497" w14:textId="77777777"/>
    <w:sectPr w:rsidSect="00D32902">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KLBL F+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8EE" w14:paraId="494B0765"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A1BA7" w14:paraId="7E201D51" w14:textId="77777777">
      <w:r>
        <w:separator/>
      </w:r>
    </w:p>
  </w:footnote>
  <w:footnote w:type="continuationSeparator" w:id="1">
    <w:p w:rsidR="00BA1BA7" w14:paraId="0E186E3D" w14:textId="77777777">
      <w:r>
        <w:continuationSeparator/>
      </w:r>
    </w:p>
  </w:footnote>
  <w:footnote w:id="2">
    <w:p w:rsidR="007C58EE" w:rsidP="00B9425C" w14:paraId="67CB088F" w14:textId="77777777">
      <w:pPr>
        <w:pStyle w:val="FootnoteText"/>
      </w:pPr>
      <w:r>
        <w:rPr>
          <w:rStyle w:val="FootnoteReference"/>
        </w:rPr>
        <w:footnoteRef/>
      </w:r>
      <w:r>
        <w:t xml:space="preserve"> </w:t>
      </w:r>
      <w:r w:rsidRPr="009A5F5B">
        <w:t>Pub. L. 107-71 (115 Stat. 598; Nov. 19, 2001), as codified at 49 U.S.C. 114</w:t>
      </w:r>
      <w:r>
        <w:t>.</w:t>
      </w:r>
    </w:p>
  </w:footnote>
  <w:footnote w:id="3">
    <w:p w:rsidR="007C58EE" w:rsidP="00B9425C" w14:paraId="7314364E" w14:textId="444CCF49">
      <w:pPr>
        <w:pStyle w:val="FootnoteText"/>
      </w:pPr>
      <w:r>
        <w:rPr>
          <w:rStyle w:val="FootnoteReference"/>
        </w:rPr>
        <w:footnoteRef/>
      </w:r>
      <w:r>
        <w:t xml:space="preserve"> </w:t>
      </w:r>
      <w:r w:rsidRPr="009A5F5B">
        <w:t>Pub. L. 110-53 (121 Stat. 266; Aug. 3, 2007)</w:t>
      </w:r>
      <w:r>
        <w:t>, as codified at 6 U.S.C. 1207.</w:t>
      </w:r>
    </w:p>
  </w:footnote>
  <w:footnote w:id="4">
    <w:p w:rsidR="007C58EE" w:rsidRPr="00BE2366" w:rsidP="00CA47B2" w14:paraId="52C9E52F" w14:textId="7036CE8C">
      <w:pPr>
        <w:pStyle w:val="CommentText"/>
      </w:pPr>
      <w:r>
        <w:rPr>
          <w:rStyle w:val="FootnoteReference"/>
        </w:rPr>
        <w:footnoteRef/>
      </w:r>
      <w:r>
        <w:t xml:space="preserve"> Under section 1557(b) of the 9/11 Act, TSA is required to identify the 100 most critical pipeline operators</w:t>
      </w:r>
      <w:r w:rsidRPr="00BE2366">
        <w:t xml:space="preserve">.  </w:t>
      </w:r>
      <w:r>
        <w:t>These TSA identified critical operators are subject to both t</w:t>
      </w:r>
      <w:r w:rsidRPr="00CA47B2">
        <w:t xml:space="preserve">he mandatory collection required by </w:t>
      </w:r>
      <w:r w:rsidR="00D80459">
        <w:t xml:space="preserve">the </w:t>
      </w:r>
      <w:r w:rsidRPr="00CA47B2">
        <w:t xml:space="preserve">TSA Security Directive 2021-01 </w:t>
      </w:r>
      <w:r w:rsidR="00D80459">
        <w:t xml:space="preserve">series </w:t>
      </w:r>
      <w:r>
        <w:t>and the voluntary collection u</w:t>
      </w:r>
      <w:r w:rsidR="0010755E">
        <w:t>n</w:t>
      </w:r>
      <w:r>
        <w:t xml:space="preserve">der the TSA </w:t>
      </w:r>
      <w:r w:rsidRPr="00CA47B2">
        <w:t>Critical Facility Security Review (CFSR) Program</w:t>
      </w:r>
      <w:r>
        <w:t>.  Under the CFSR Program</w:t>
      </w:r>
      <w:r w:rsidR="00D80459">
        <w:t>,</w:t>
      </w:r>
      <w:r w:rsidRPr="00CA47B2">
        <w:t xml:space="preserve"> critical pipeline operators identify their critical facilities using criteria in the TSA Pipeline Security Guidelines and provide that list of facilities to TSA.  TSA then reviews the security measures at those facilities.  </w:t>
      </w:r>
    </w:p>
  </w:footnote>
  <w:footnote w:id="5">
    <w:p w:rsidR="007C58EE" w:rsidP="002F6132" w14:paraId="69743ECD" w14:textId="77777777">
      <w:pPr>
        <w:pStyle w:val="FootnoteText"/>
      </w:pPr>
      <w:r>
        <w:rPr>
          <w:rStyle w:val="FootnoteReference"/>
        </w:rPr>
        <w:footnoteRef/>
      </w:r>
      <w:r>
        <w:t xml:space="preserve"> </w:t>
      </w:r>
      <w:r w:rsidRPr="003A0ABF">
        <w:rPr>
          <w:i/>
        </w:rPr>
        <w:t>See</w:t>
      </w:r>
      <w:r>
        <w:t xml:space="preserve"> https://www.tsa.gov/sites/default/files/pipeline_security_guidelines.pdf</w:t>
      </w:r>
    </w:p>
    <w:p w:rsidR="007C58EE" w:rsidP="002F6132" w14:paraId="2B9A310A" w14:textId="3321C67F">
      <w:pPr>
        <w:pStyle w:val="FootnoteText"/>
      </w:pPr>
      <w:r>
        <w:t>https://www.tsa.gov/for-industry/surface-transportation.</w:t>
      </w:r>
    </w:p>
  </w:footnote>
  <w:footnote w:id="6">
    <w:p w:rsidR="007C58EE" w14:paraId="55581C0E" w14:textId="77777777">
      <w:pPr>
        <w:pStyle w:val="FootnoteText"/>
      </w:pPr>
      <w:r>
        <w:rPr>
          <w:rStyle w:val="FootnoteReference"/>
        </w:rPr>
        <w:footnoteRef/>
      </w:r>
      <w:r>
        <w:t xml:space="preserve"> </w:t>
      </w:r>
      <w:r w:rsidRPr="002137A0">
        <w:t xml:space="preserve">ICR Reference Number: 202105-1652-002.  </w:t>
      </w:r>
    </w:p>
  </w:footnote>
  <w:footnote w:id="7">
    <w:p w:rsidR="007C58EE" w:rsidP="0037119C" w14:paraId="1D7D9814" w14:textId="153D44A9">
      <w:pPr>
        <w:pStyle w:val="FootnoteText"/>
      </w:pPr>
      <w:r>
        <w:rPr>
          <w:rStyle w:val="FootnoteReference"/>
        </w:rPr>
        <w:footnoteRef/>
      </w:r>
      <w:r>
        <w:t xml:space="preserve"> NAICS 486000 – Pipeline Transportation, 11-1021 General and Operations Manager Wage Rate of $61.30 x BLS Compensation Factor of </w:t>
      </w:r>
      <w:r w:rsidRPr="00C15B5B">
        <w:t>1.420155039</w:t>
      </w:r>
      <w:r>
        <w:t xml:space="preserve">.  Compensation Factor is the hourly total compensation of $36.64 divided by the hourly wages, $25.80.  BLS wage rate can be found at </w:t>
      </w:r>
      <w:hyperlink r:id="rId1" w:anchor="11-0000" w:history="1">
        <w:r w:rsidRPr="00893A3B">
          <w:rPr>
            <w:rStyle w:val="Hyperlink"/>
          </w:rPr>
          <w:t>https://www.bls.gov/oes/2020/May/naics3_486000.htm#11-0000</w:t>
        </w:r>
      </w:hyperlink>
      <w:r>
        <w:t xml:space="preserve">.  BLS compensation factor can be found at </w:t>
      </w:r>
      <w:hyperlink r:id="rId2" w:history="1">
        <w:r w:rsidRPr="00C15B5B">
          <w:rPr>
            <w:rStyle w:val="Hyperlink"/>
          </w:rPr>
          <w:t>https://www.bls.gov/news.release/archives/ecec_06172021.htm</w:t>
        </w:r>
      </w:hyperlink>
      <w:r>
        <w:t xml:space="preserve"> in table 1.  Retrieved July 19,2021.</w:t>
      </w:r>
    </w:p>
  </w:footnote>
  <w:footnote w:id="8">
    <w:p w:rsidR="007C58EE" w:rsidP="0037119C" w14:paraId="763FF7C7" w14:textId="2BE2E34B">
      <w:pPr>
        <w:pStyle w:val="FootnoteText"/>
      </w:pPr>
      <w:r>
        <w:rPr>
          <w:rStyle w:val="FootnoteReference"/>
        </w:rPr>
        <w:footnoteRef/>
      </w:r>
      <w:r>
        <w:t xml:space="preserve"> NAICS 486000 – Pipeline Transportation, 11-3051 Industrial Production Manager Wage Rate of $66.94 x BLS Compensation Factor of </w:t>
      </w:r>
      <w:r w:rsidRPr="00125D03">
        <w:t>1.420155039</w:t>
      </w:r>
      <w:r>
        <w:t xml:space="preserve">.  BLS wage rate can be found at </w:t>
      </w:r>
      <w:hyperlink r:id="rId1" w:anchor="11-0000" w:history="1">
        <w:r w:rsidRPr="00125D03">
          <w:rPr>
            <w:rStyle w:val="Hyperlink"/>
          </w:rPr>
          <w:t>https://www.bls.gov/oes/2020/May/naics3_486000.htm#11-0000</w:t>
        </w:r>
      </w:hyperlink>
      <w:r>
        <w:t xml:space="preserve">.  BLS compensation factor can be found at </w:t>
      </w:r>
      <w:hyperlink r:id="rId2" w:history="1">
        <w:r w:rsidRPr="00125D03">
          <w:rPr>
            <w:rStyle w:val="Hyperlink"/>
          </w:rPr>
          <w:t>https://www.bls.gov/news.release/archives/ecec_06172021.htm</w:t>
        </w:r>
      </w:hyperlink>
      <w:r>
        <w:t xml:space="preserve"> in table 1.  Retrieved July 19,2021.</w:t>
      </w:r>
    </w:p>
  </w:footnote>
  <w:footnote w:id="9">
    <w:p w:rsidR="007C58EE" w14:paraId="0F117632" w14:textId="76D77B46">
      <w:pPr>
        <w:pStyle w:val="FootnoteText"/>
      </w:pPr>
      <w:r>
        <w:rPr>
          <w:rStyle w:val="FootnoteReference"/>
        </w:rPr>
        <w:footnoteRef/>
      </w:r>
      <w:r>
        <w:t xml:space="preserve"> NAICS 486000 – Pipeline Transportation, 11-</w:t>
      </w:r>
      <w:r w:rsidRPr="00CB5C5E">
        <w:t>3021 Computer and Information Systems Managers</w:t>
      </w:r>
      <w:r>
        <w:t xml:space="preserve"> Wage Rate of $70.23 x BLS Compensation Factor of 1.420155039. BLS wage rate can be found at Compensation Factor of </w:t>
      </w:r>
      <w:r w:rsidRPr="00125D03">
        <w:t>1.420155039</w:t>
      </w:r>
      <w:r>
        <w:t xml:space="preserve">. BLS wage rate can be found at </w:t>
      </w:r>
      <w:hyperlink r:id="rId1" w:anchor="11-0000" w:history="1">
        <w:r w:rsidRPr="00125D03">
          <w:rPr>
            <w:rStyle w:val="Hyperlink"/>
          </w:rPr>
          <w:t>https://www.bls.gov/oes/2020/May/naics3_486000.htm#11-0000</w:t>
        </w:r>
      </w:hyperlink>
      <w:r>
        <w:t xml:space="preserve">.  BLS compensation factor can be found at </w:t>
      </w:r>
      <w:hyperlink r:id="rId2" w:history="1">
        <w:r w:rsidRPr="00125D03">
          <w:rPr>
            <w:rStyle w:val="Hyperlink"/>
          </w:rPr>
          <w:t>https://www.bls.gov/news.release/archives/ecec_06172021.htm</w:t>
        </w:r>
      </w:hyperlink>
      <w:r>
        <w:t>, table 1. Retrieved August 17, 2021.</w:t>
      </w:r>
    </w:p>
  </w:footnote>
  <w:footnote w:id="10">
    <w:p w:rsidR="007C58EE" w:rsidP="0037119C" w14:paraId="2BF01B08" w14:textId="382FCBC8">
      <w:pPr>
        <w:pStyle w:val="FootnoteText"/>
      </w:pPr>
      <w:r>
        <w:rPr>
          <w:rStyle w:val="FootnoteReference"/>
        </w:rPr>
        <w:footnoteRef/>
      </w:r>
      <w:r>
        <w:t xml:space="preserve"> NAICS 486000 – Pipeline Transportation, 17-3020 Engineering Technicians Wage Rate of $34.80 x BLS Compensation Factor of </w:t>
      </w:r>
      <w:r w:rsidRPr="00125D03">
        <w:t>1.420155039</w:t>
      </w:r>
      <w:r>
        <w:t xml:space="preserve">. BLS wage rate can be found at </w:t>
      </w:r>
      <w:hyperlink r:id="rId1" w:anchor="11-0000" w:history="1">
        <w:r w:rsidRPr="00125D03">
          <w:rPr>
            <w:rStyle w:val="Hyperlink"/>
          </w:rPr>
          <w:t>https://www.bls.gov/oes/2020/May/naics3_486000.htm#11-0000</w:t>
        </w:r>
      </w:hyperlink>
      <w:r>
        <w:t xml:space="preserve">.  BLS compensation factor can be found at </w:t>
      </w:r>
      <w:hyperlink r:id="rId2" w:history="1">
        <w:r w:rsidRPr="00125D03">
          <w:rPr>
            <w:rStyle w:val="Hyperlink"/>
          </w:rPr>
          <w:t>https://www.bls.gov/news.release/archives/ecec_06172021.htm</w:t>
        </w:r>
      </w:hyperlink>
      <w:r>
        <w:t>, table 1. Retrieved July 19,2021.</w:t>
      </w:r>
    </w:p>
  </w:footnote>
  <w:footnote w:id="11">
    <w:p w:rsidR="007C58EE" w:rsidP="0037119C" w14:paraId="3549C498" w14:textId="77777777">
      <w:pPr>
        <w:pStyle w:val="FootnoteText"/>
      </w:pPr>
      <w:r>
        <w:rPr>
          <w:rStyle w:val="FootnoteReference"/>
        </w:rPr>
        <w:footnoteRef/>
      </w:r>
      <w:r>
        <w:t xml:space="preserve"> </w:t>
      </w:r>
      <w:r w:rsidRPr="00EC4FDB">
        <w:t>TSA assumes th</w:t>
      </w:r>
      <w:r>
        <w:t>e loaded hourly wage rate of a J</w:t>
      </w:r>
      <w:r w:rsidRPr="00EC4FDB">
        <w:t xml:space="preserve"> band </w:t>
      </w:r>
      <w:r>
        <w:t>or GS-14</w:t>
      </w:r>
      <w:r w:rsidRPr="00EC4FDB">
        <w:t>. TSA obtained the loaded wages from TSA’s Office of Finance and Administration FY</w:t>
      </w:r>
      <w:r>
        <w:t>21</w:t>
      </w:r>
      <w:r w:rsidRPr="00EC4FDB">
        <w:t xml:space="preserve"> Modular Cost. The</w:t>
      </w:r>
      <w:r>
        <w:t xml:space="preserve"> annual loaded wage rate for a J</w:t>
      </w:r>
      <w:r w:rsidRPr="00EC4FDB">
        <w:t xml:space="preserve"> band (GS </w:t>
      </w:r>
      <w:r>
        <w:t>14</w:t>
      </w:r>
      <w:r w:rsidRPr="00EC4FDB">
        <w:t xml:space="preserve">) </w:t>
      </w:r>
      <w:r>
        <w:t>was $179,062</w:t>
      </w:r>
      <w:r w:rsidRPr="00EC4FDB">
        <w:t>, and TSA divided by 2,08</w:t>
      </w:r>
      <w:r>
        <w:t>7</w:t>
      </w:r>
      <w:r w:rsidRPr="00EC4FDB">
        <w:t xml:space="preserve"> hours to estimat</w:t>
      </w:r>
      <w:r>
        <w:t>e a loaded hourly wage of $85.80</w:t>
      </w:r>
      <w:r w:rsidRPr="00EC4FD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8EE" w14:paraId="222540DF" w14:textId="62C35A20">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ED2180">
      <w:rPr>
        <w:rStyle w:val="PageNumber"/>
        <w:rFonts w:ascii="Times New Roman" w:hAnsi="Times New Roman"/>
        <w:noProof/>
        <w:sz w:val="24"/>
      </w:rPr>
      <w:t>9</w:t>
    </w:r>
    <w:r>
      <w:rPr>
        <w:rStyle w:val="PageNumber"/>
        <w:rFonts w:ascii="Times New Roman" w:hAnsi="Times New Roman"/>
        <w:sz w:val="24"/>
      </w:rPr>
      <w:fldChar w:fldCharType="end"/>
    </w:r>
  </w:p>
  <w:p w:rsidR="007C58EE" w:rsidRPr="00320387" w14:paraId="0A366E00"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8EE" w14:paraId="1979A563"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7C58EE" w:rsidP="00A31B2C" w14:paraId="6ACA9603"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p>
  <w:p w:rsidR="007C58EE" w:rsidRPr="00A31B2C" w:rsidP="00A31B2C" w14:paraId="78E9E321" w14:textId="77777777">
    <w:pPr>
      <w:jc w:val="center"/>
      <w:rPr>
        <w:rFonts w:cs="Times New Roman"/>
        <w:b/>
        <w:sz w:val="28"/>
      </w:rPr>
    </w:pPr>
    <w:r w:rsidRPr="00A31B2C">
      <w:rPr>
        <w:rFonts w:cs="Times New Roman"/>
        <w:b/>
        <w:sz w:val="28"/>
      </w:rPr>
      <w:t>Critical Facility Information of the Top 100 Most Critical Pipelines</w:t>
    </w:r>
  </w:p>
  <w:p w:rsidR="007C58EE" w14:paraId="3FBB5483" w14:textId="77777777">
    <w:pPr>
      <w:jc w:val="center"/>
      <w:rPr>
        <w:rFonts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56F6D"/>
    <w:multiLevelType w:val="hybridMultilevel"/>
    <w:tmpl w:val="FAA89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B51493"/>
    <w:multiLevelType w:val="hybridMultilevel"/>
    <w:tmpl w:val="0798B7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7C2EC2"/>
    <w:multiLevelType w:val="hybridMultilevel"/>
    <w:tmpl w:val="EA58F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5F0DC4"/>
    <w:multiLevelType w:val="singleLevel"/>
    <w:tmpl w:val="768E828A"/>
    <w:lvl w:ilvl="0">
      <w:start w:val="1"/>
      <w:numFmt w:val="decimal"/>
      <w:lvlText w:val="%1."/>
      <w:legacy w:legacy="1" w:legacySpace="0" w:legacyIndent="360"/>
      <w:lvlJc w:val="left"/>
      <w:pPr>
        <w:ind w:left="360" w:hanging="360"/>
      </w:pPr>
    </w:lvl>
  </w:abstractNum>
  <w:abstractNum w:abstractNumId="4">
    <w:nsid w:val="1C4F2F9C"/>
    <w:multiLevelType w:val="hybridMultilevel"/>
    <w:tmpl w:val="B126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3A1C70"/>
    <w:multiLevelType w:val="hybridMultilevel"/>
    <w:tmpl w:val="3E5CA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C275B9"/>
    <w:multiLevelType w:val="hybridMultilevel"/>
    <w:tmpl w:val="F67A4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val="bestFit" w:percent="18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51EE"/>
    <w:rsid w:val="00010408"/>
    <w:rsid w:val="00011CDB"/>
    <w:rsid w:val="00013DB4"/>
    <w:rsid w:val="000153E6"/>
    <w:rsid w:val="00017C72"/>
    <w:rsid w:val="000324C8"/>
    <w:rsid w:val="00032ECD"/>
    <w:rsid w:val="00034EEF"/>
    <w:rsid w:val="0003590E"/>
    <w:rsid w:val="00041F18"/>
    <w:rsid w:val="00045168"/>
    <w:rsid w:val="0006106A"/>
    <w:rsid w:val="00064DCC"/>
    <w:rsid w:val="00066CB3"/>
    <w:rsid w:val="00073401"/>
    <w:rsid w:val="00076039"/>
    <w:rsid w:val="00081A3D"/>
    <w:rsid w:val="00087F14"/>
    <w:rsid w:val="00090591"/>
    <w:rsid w:val="000906A6"/>
    <w:rsid w:val="000912EE"/>
    <w:rsid w:val="000917FC"/>
    <w:rsid w:val="000947F8"/>
    <w:rsid w:val="00096F75"/>
    <w:rsid w:val="000A32A3"/>
    <w:rsid w:val="000A7B4A"/>
    <w:rsid w:val="000B26A5"/>
    <w:rsid w:val="000C355C"/>
    <w:rsid w:val="000D459B"/>
    <w:rsid w:val="000D709D"/>
    <w:rsid w:val="000D73BF"/>
    <w:rsid w:val="000D79EF"/>
    <w:rsid w:val="000F1C4F"/>
    <w:rsid w:val="000F217E"/>
    <w:rsid w:val="000F6F1A"/>
    <w:rsid w:val="001022ED"/>
    <w:rsid w:val="00105F86"/>
    <w:rsid w:val="00106482"/>
    <w:rsid w:val="0010755E"/>
    <w:rsid w:val="00110E63"/>
    <w:rsid w:val="001116B8"/>
    <w:rsid w:val="00113ED5"/>
    <w:rsid w:val="00116B86"/>
    <w:rsid w:val="001203A6"/>
    <w:rsid w:val="00120A21"/>
    <w:rsid w:val="0012129D"/>
    <w:rsid w:val="00124DA4"/>
    <w:rsid w:val="00125D03"/>
    <w:rsid w:val="001268BC"/>
    <w:rsid w:val="00127AE5"/>
    <w:rsid w:val="00130690"/>
    <w:rsid w:val="00130AA8"/>
    <w:rsid w:val="00131BBD"/>
    <w:rsid w:val="00132199"/>
    <w:rsid w:val="001337C2"/>
    <w:rsid w:val="00135660"/>
    <w:rsid w:val="00141B76"/>
    <w:rsid w:val="00151069"/>
    <w:rsid w:val="00154498"/>
    <w:rsid w:val="001554EE"/>
    <w:rsid w:val="0015572E"/>
    <w:rsid w:val="001567C9"/>
    <w:rsid w:val="00157D34"/>
    <w:rsid w:val="00160DFC"/>
    <w:rsid w:val="00162A61"/>
    <w:rsid w:val="001668F5"/>
    <w:rsid w:val="00167B7F"/>
    <w:rsid w:val="00167D90"/>
    <w:rsid w:val="00171A2A"/>
    <w:rsid w:val="001747FE"/>
    <w:rsid w:val="00175F79"/>
    <w:rsid w:val="00176CA8"/>
    <w:rsid w:val="0018110F"/>
    <w:rsid w:val="0018287D"/>
    <w:rsid w:val="0018303F"/>
    <w:rsid w:val="001854D7"/>
    <w:rsid w:val="0018672B"/>
    <w:rsid w:val="00186C03"/>
    <w:rsid w:val="0018712C"/>
    <w:rsid w:val="00187691"/>
    <w:rsid w:val="00190EB9"/>
    <w:rsid w:val="001910EF"/>
    <w:rsid w:val="0019213E"/>
    <w:rsid w:val="00196AD4"/>
    <w:rsid w:val="001A46F9"/>
    <w:rsid w:val="001A54C4"/>
    <w:rsid w:val="001A7C92"/>
    <w:rsid w:val="001B0E3A"/>
    <w:rsid w:val="001B6B05"/>
    <w:rsid w:val="001B6BF6"/>
    <w:rsid w:val="001D2E08"/>
    <w:rsid w:val="001D3357"/>
    <w:rsid w:val="001D4265"/>
    <w:rsid w:val="001D60FA"/>
    <w:rsid w:val="001D63F9"/>
    <w:rsid w:val="001E3321"/>
    <w:rsid w:val="001F055B"/>
    <w:rsid w:val="001F3E24"/>
    <w:rsid w:val="00200EE7"/>
    <w:rsid w:val="00201D03"/>
    <w:rsid w:val="00202AB4"/>
    <w:rsid w:val="002032FA"/>
    <w:rsid w:val="00203A1A"/>
    <w:rsid w:val="00205030"/>
    <w:rsid w:val="002063F8"/>
    <w:rsid w:val="00207E96"/>
    <w:rsid w:val="002112A5"/>
    <w:rsid w:val="002137A0"/>
    <w:rsid w:val="002177F7"/>
    <w:rsid w:val="0021795C"/>
    <w:rsid w:val="00217BBB"/>
    <w:rsid w:val="00226095"/>
    <w:rsid w:val="002279B3"/>
    <w:rsid w:val="00235031"/>
    <w:rsid w:val="002371BF"/>
    <w:rsid w:val="002416B0"/>
    <w:rsid w:val="0024480B"/>
    <w:rsid w:val="00246793"/>
    <w:rsid w:val="002476B0"/>
    <w:rsid w:val="002518F0"/>
    <w:rsid w:val="00253AC9"/>
    <w:rsid w:val="00256E28"/>
    <w:rsid w:val="00263523"/>
    <w:rsid w:val="002643DB"/>
    <w:rsid w:val="00264B21"/>
    <w:rsid w:val="0026649F"/>
    <w:rsid w:val="0027374D"/>
    <w:rsid w:val="00275070"/>
    <w:rsid w:val="00286A8B"/>
    <w:rsid w:val="0028774C"/>
    <w:rsid w:val="00290D3B"/>
    <w:rsid w:val="00292899"/>
    <w:rsid w:val="002A4356"/>
    <w:rsid w:val="002A5596"/>
    <w:rsid w:val="002B0440"/>
    <w:rsid w:val="002B2CBC"/>
    <w:rsid w:val="002B4B19"/>
    <w:rsid w:val="002B67AF"/>
    <w:rsid w:val="002C066C"/>
    <w:rsid w:val="002C15A4"/>
    <w:rsid w:val="002D2D09"/>
    <w:rsid w:val="002D3C6A"/>
    <w:rsid w:val="002D5F0A"/>
    <w:rsid w:val="002D730F"/>
    <w:rsid w:val="002E192D"/>
    <w:rsid w:val="002E6499"/>
    <w:rsid w:val="002F1722"/>
    <w:rsid w:val="002F6132"/>
    <w:rsid w:val="0030261E"/>
    <w:rsid w:val="00305010"/>
    <w:rsid w:val="00306A30"/>
    <w:rsid w:val="003107C1"/>
    <w:rsid w:val="00312562"/>
    <w:rsid w:val="00312569"/>
    <w:rsid w:val="00317C0F"/>
    <w:rsid w:val="00320387"/>
    <w:rsid w:val="00321E8C"/>
    <w:rsid w:val="00321F4C"/>
    <w:rsid w:val="00347291"/>
    <w:rsid w:val="003505F2"/>
    <w:rsid w:val="00350A21"/>
    <w:rsid w:val="00350BC4"/>
    <w:rsid w:val="00352102"/>
    <w:rsid w:val="00363B0C"/>
    <w:rsid w:val="00370224"/>
    <w:rsid w:val="0037119C"/>
    <w:rsid w:val="00381222"/>
    <w:rsid w:val="00381871"/>
    <w:rsid w:val="0038297A"/>
    <w:rsid w:val="00384E07"/>
    <w:rsid w:val="00386CEC"/>
    <w:rsid w:val="00387036"/>
    <w:rsid w:val="0039082D"/>
    <w:rsid w:val="003A0ABF"/>
    <w:rsid w:val="003A3FF7"/>
    <w:rsid w:val="003A5714"/>
    <w:rsid w:val="003A5784"/>
    <w:rsid w:val="003A7A0B"/>
    <w:rsid w:val="003B4773"/>
    <w:rsid w:val="003C0F11"/>
    <w:rsid w:val="003C6BC9"/>
    <w:rsid w:val="003D3F3C"/>
    <w:rsid w:val="003E05C5"/>
    <w:rsid w:val="003E2EFE"/>
    <w:rsid w:val="003F0A77"/>
    <w:rsid w:val="0040077D"/>
    <w:rsid w:val="004021A8"/>
    <w:rsid w:val="004026D1"/>
    <w:rsid w:val="004029D7"/>
    <w:rsid w:val="004045E3"/>
    <w:rsid w:val="004055C0"/>
    <w:rsid w:val="00411F73"/>
    <w:rsid w:val="0041387E"/>
    <w:rsid w:val="004141F8"/>
    <w:rsid w:val="00417DA6"/>
    <w:rsid w:val="004243D1"/>
    <w:rsid w:val="004368FF"/>
    <w:rsid w:val="00450077"/>
    <w:rsid w:val="00452511"/>
    <w:rsid w:val="00453B6E"/>
    <w:rsid w:val="00461914"/>
    <w:rsid w:val="0046319C"/>
    <w:rsid w:val="0047342D"/>
    <w:rsid w:val="00473790"/>
    <w:rsid w:val="004808DE"/>
    <w:rsid w:val="00481282"/>
    <w:rsid w:val="004815E8"/>
    <w:rsid w:val="00483A53"/>
    <w:rsid w:val="00486B8A"/>
    <w:rsid w:val="00494AD6"/>
    <w:rsid w:val="00497528"/>
    <w:rsid w:val="004A2104"/>
    <w:rsid w:val="004A3612"/>
    <w:rsid w:val="004A636B"/>
    <w:rsid w:val="004A6E1A"/>
    <w:rsid w:val="004B6029"/>
    <w:rsid w:val="004B76D9"/>
    <w:rsid w:val="004C28FE"/>
    <w:rsid w:val="004C6132"/>
    <w:rsid w:val="004C78E2"/>
    <w:rsid w:val="004E576E"/>
    <w:rsid w:val="004F07CE"/>
    <w:rsid w:val="004F30B6"/>
    <w:rsid w:val="004F4468"/>
    <w:rsid w:val="004F4950"/>
    <w:rsid w:val="004F590A"/>
    <w:rsid w:val="004F6360"/>
    <w:rsid w:val="00500CA9"/>
    <w:rsid w:val="00507FA4"/>
    <w:rsid w:val="00513860"/>
    <w:rsid w:val="00517CF7"/>
    <w:rsid w:val="00520ECA"/>
    <w:rsid w:val="005215C8"/>
    <w:rsid w:val="005238AD"/>
    <w:rsid w:val="00525571"/>
    <w:rsid w:val="005330E1"/>
    <w:rsid w:val="005350E5"/>
    <w:rsid w:val="00545782"/>
    <w:rsid w:val="0055030C"/>
    <w:rsid w:val="00551744"/>
    <w:rsid w:val="005539D3"/>
    <w:rsid w:val="005601DD"/>
    <w:rsid w:val="00560462"/>
    <w:rsid w:val="00563E6C"/>
    <w:rsid w:val="00571879"/>
    <w:rsid w:val="00580A3B"/>
    <w:rsid w:val="005846AB"/>
    <w:rsid w:val="00585FB6"/>
    <w:rsid w:val="0059404A"/>
    <w:rsid w:val="005A3CE1"/>
    <w:rsid w:val="005B0EBB"/>
    <w:rsid w:val="005B2B70"/>
    <w:rsid w:val="005B6F11"/>
    <w:rsid w:val="005C1A0E"/>
    <w:rsid w:val="005C2923"/>
    <w:rsid w:val="005C3C74"/>
    <w:rsid w:val="005C5463"/>
    <w:rsid w:val="005C660F"/>
    <w:rsid w:val="005C7DDC"/>
    <w:rsid w:val="005D1540"/>
    <w:rsid w:val="005D179A"/>
    <w:rsid w:val="005D29F9"/>
    <w:rsid w:val="005D6E55"/>
    <w:rsid w:val="005E14BE"/>
    <w:rsid w:val="005E222A"/>
    <w:rsid w:val="005E4A5F"/>
    <w:rsid w:val="005F1D63"/>
    <w:rsid w:val="00606688"/>
    <w:rsid w:val="00607FBA"/>
    <w:rsid w:val="0062422C"/>
    <w:rsid w:val="00630E7F"/>
    <w:rsid w:val="006418DB"/>
    <w:rsid w:val="00642535"/>
    <w:rsid w:val="00643A43"/>
    <w:rsid w:val="00643BBE"/>
    <w:rsid w:val="00647BFA"/>
    <w:rsid w:val="006503EF"/>
    <w:rsid w:val="006506B7"/>
    <w:rsid w:val="0065459F"/>
    <w:rsid w:val="00664E16"/>
    <w:rsid w:val="00670AB6"/>
    <w:rsid w:val="00672F73"/>
    <w:rsid w:val="00680B35"/>
    <w:rsid w:val="006835DC"/>
    <w:rsid w:val="00683C1B"/>
    <w:rsid w:val="006859D0"/>
    <w:rsid w:val="006A19E8"/>
    <w:rsid w:val="006C06E2"/>
    <w:rsid w:val="006C20FA"/>
    <w:rsid w:val="006C253C"/>
    <w:rsid w:val="006E40C5"/>
    <w:rsid w:val="006E6B56"/>
    <w:rsid w:val="0070537C"/>
    <w:rsid w:val="0070557E"/>
    <w:rsid w:val="007109EA"/>
    <w:rsid w:val="00711E67"/>
    <w:rsid w:val="00712910"/>
    <w:rsid w:val="00714106"/>
    <w:rsid w:val="0072084C"/>
    <w:rsid w:val="007217FA"/>
    <w:rsid w:val="00730238"/>
    <w:rsid w:val="00730AA3"/>
    <w:rsid w:val="00735F8E"/>
    <w:rsid w:val="00736231"/>
    <w:rsid w:val="00736520"/>
    <w:rsid w:val="007403C1"/>
    <w:rsid w:val="00741C23"/>
    <w:rsid w:val="00743D20"/>
    <w:rsid w:val="00746E6E"/>
    <w:rsid w:val="0075009F"/>
    <w:rsid w:val="0075260A"/>
    <w:rsid w:val="00752D3A"/>
    <w:rsid w:val="00756223"/>
    <w:rsid w:val="0075624C"/>
    <w:rsid w:val="007613C0"/>
    <w:rsid w:val="0076479A"/>
    <w:rsid w:val="00765095"/>
    <w:rsid w:val="0077150E"/>
    <w:rsid w:val="0077686F"/>
    <w:rsid w:val="00791278"/>
    <w:rsid w:val="0079555E"/>
    <w:rsid w:val="007A037F"/>
    <w:rsid w:val="007A2056"/>
    <w:rsid w:val="007A6AE5"/>
    <w:rsid w:val="007B002C"/>
    <w:rsid w:val="007B41F7"/>
    <w:rsid w:val="007B6C86"/>
    <w:rsid w:val="007C17CB"/>
    <w:rsid w:val="007C58EE"/>
    <w:rsid w:val="007D13F2"/>
    <w:rsid w:val="007D46C8"/>
    <w:rsid w:val="007E231C"/>
    <w:rsid w:val="007E2F16"/>
    <w:rsid w:val="007F0228"/>
    <w:rsid w:val="007F5C73"/>
    <w:rsid w:val="00807003"/>
    <w:rsid w:val="00807231"/>
    <w:rsid w:val="00807360"/>
    <w:rsid w:val="0080783A"/>
    <w:rsid w:val="0081358A"/>
    <w:rsid w:val="00816A27"/>
    <w:rsid w:val="00817807"/>
    <w:rsid w:val="0082008E"/>
    <w:rsid w:val="00821ED0"/>
    <w:rsid w:val="00823A67"/>
    <w:rsid w:val="00824F45"/>
    <w:rsid w:val="00831C39"/>
    <w:rsid w:val="00833B93"/>
    <w:rsid w:val="00833BB6"/>
    <w:rsid w:val="00834AD5"/>
    <w:rsid w:val="0084108E"/>
    <w:rsid w:val="00852B3E"/>
    <w:rsid w:val="00857AC1"/>
    <w:rsid w:val="00862D6A"/>
    <w:rsid w:val="00865DAE"/>
    <w:rsid w:val="00867372"/>
    <w:rsid w:val="008726B4"/>
    <w:rsid w:val="00875B3A"/>
    <w:rsid w:val="00876D76"/>
    <w:rsid w:val="00880E28"/>
    <w:rsid w:val="008821B3"/>
    <w:rsid w:val="00885566"/>
    <w:rsid w:val="008861E1"/>
    <w:rsid w:val="00891BB4"/>
    <w:rsid w:val="00893A3B"/>
    <w:rsid w:val="008A1F9E"/>
    <w:rsid w:val="008A5B10"/>
    <w:rsid w:val="008C0326"/>
    <w:rsid w:val="008C0C26"/>
    <w:rsid w:val="008C2426"/>
    <w:rsid w:val="008C250E"/>
    <w:rsid w:val="008C26F2"/>
    <w:rsid w:val="008D5B5F"/>
    <w:rsid w:val="008D5FF5"/>
    <w:rsid w:val="008E1C64"/>
    <w:rsid w:val="008E3A17"/>
    <w:rsid w:val="008F03DF"/>
    <w:rsid w:val="008F19D2"/>
    <w:rsid w:val="008F6A23"/>
    <w:rsid w:val="008F7AA4"/>
    <w:rsid w:val="00910976"/>
    <w:rsid w:val="009134FC"/>
    <w:rsid w:val="00914DD1"/>
    <w:rsid w:val="00915DCE"/>
    <w:rsid w:val="009169C6"/>
    <w:rsid w:val="00917871"/>
    <w:rsid w:val="00917997"/>
    <w:rsid w:val="00920611"/>
    <w:rsid w:val="009206CA"/>
    <w:rsid w:val="00920CAA"/>
    <w:rsid w:val="009248E5"/>
    <w:rsid w:val="00925532"/>
    <w:rsid w:val="00934978"/>
    <w:rsid w:val="009362E2"/>
    <w:rsid w:val="00937663"/>
    <w:rsid w:val="00947621"/>
    <w:rsid w:val="00950989"/>
    <w:rsid w:val="009531AB"/>
    <w:rsid w:val="009537C7"/>
    <w:rsid w:val="00960C40"/>
    <w:rsid w:val="00964FC1"/>
    <w:rsid w:val="00965B78"/>
    <w:rsid w:val="00970110"/>
    <w:rsid w:val="009702F5"/>
    <w:rsid w:val="009776D2"/>
    <w:rsid w:val="009813E4"/>
    <w:rsid w:val="00990487"/>
    <w:rsid w:val="009A5F5B"/>
    <w:rsid w:val="009B2207"/>
    <w:rsid w:val="009B38E1"/>
    <w:rsid w:val="009B548D"/>
    <w:rsid w:val="009C19C3"/>
    <w:rsid w:val="009C3E10"/>
    <w:rsid w:val="009C62DC"/>
    <w:rsid w:val="009C70A5"/>
    <w:rsid w:val="009D0369"/>
    <w:rsid w:val="009D20C6"/>
    <w:rsid w:val="009D2673"/>
    <w:rsid w:val="009D350D"/>
    <w:rsid w:val="009E4E7D"/>
    <w:rsid w:val="009E5760"/>
    <w:rsid w:val="009E6A5F"/>
    <w:rsid w:val="009E6D22"/>
    <w:rsid w:val="009F0081"/>
    <w:rsid w:val="009F6417"/>
    <w:rsid w:val="00A01966"/>
    <w:rsid w:val="00A06083"/>
    <w:rsid w:val="00A112E9"/>
    <w:rsid w:val="00A1650E"/>
    <w:rsid w:val="00A174AA"/>
    <w:rsid w:val="00A17806"/>
    <w:rsid w:val="00A222F6"/>
    <w:rsid w:val="00A244FF"/>
    <w:rsid w:val="00A26A36"/>
    <w:rsid w:val="00A312F8"/>
    <w:rsid w:val="00A31B2C"/>
    <w:rsid w:val="00A31F19"/>
    <w:rsid w:val="00A3249C"/>
    <w:rsid w:val="00A37EC3"/>
    <w:rsid w:val="00A4063C"/>
    <w:rsid w:val="00A40774"/>
    <w:rsid w:val="00A43C0F"/>
    <w:rsid w:val="00A461F1"/>
    <w:rsid w:val="00A56989"/>
    <w:rsid w:val="00A56B46"/>
    <w:rsid w:val="00A62DD0"/>
    <w:rsid w:val="00A66386"/>
    <w:rsid w:val="00A67A75"/>
    <w:rsid w:val="00A70144"/>
    <w:rsid w:val="00A71ED9"/>
    <w:rsid w:val="00A73CE3"/>
    <w:rsid w:val="00A75AC7"/>
    <w:rsid w:val="00A76106"/>
    <w:rsid w:val="00A818E7"/>
    <w:rsid w:val="00A82CA4"/>
    <w:rsid w:val="00A85576"/>
    <w:rsid w:val="00A94000"/>
    <w:rsid w:val="00A97B31"/>
    <w:rsid w:val="00AA7F24"/>
    <w:rsid w:val="00AB23B4"/>
    <w:rsid w:val="00AC1B5B"/>
    <w:rsid w:val="00AC6227"/>
    <w:rsid w:val="00AC6912"/>
    <w:rsid w:val="00AD30FD"/>
    <w:rsid w:val="00AD3836"/>
    <w:rsid w:val="00AF0143"/>
    <w:rsid w:val="00AF2018"/>
    <w:rsid w:val="00B12565"/>
    <w:rsid w:val="00B13F23"/>
    <w:rsid w:val="00B147F6"/>
    <w:rsid w:val="00B157B3"/>
    <w:rsid w:val="00B43483"/>
    <w:rsid w:val="00B5009B"/>
    <w:rsid w:val="00B50326"/>
    <w:rsid w:val="00B52305"/>
    <w:rsid w:val="00B55A06"/>
    <w:rsid w:val="00B55BEB"/>
    <w:rsid w:val="00B623CC"/>
    <w:rsid w:val="00B66723"/>
    <w:rsid w:val="00B67249"/>
    <w:rsid w:val="00B67E79"/>
    <w:rsid w:val="00B71D37"/>
    <w:rsid w:val="00B74063"/>
    <w:rsid w:val="00B817B7"/>
    <w:rsid w:val="00B820E3"/>
    <w:rsid w:val="00B91430"/>
    <w:rsid w:val="00B9305F"/>
    <w:rsid w:val="00B93422"/>
    <w:rsid w:val="00B9425C"/>
    <w:rsid w:val="00BA1BA7"/>
    <w:rsid w:val="00BA3831"/>
    <w:rsid w:val="00BA4E08"/>
    <w:rsid w:val="00BB11EE"/>
    <w:rsid w:val="00BB1248"/>
    <w:rsid w:val="00BB2AEC"/>
    <w:rsid w:val="00BB305B"/>
    <w:rsid w:val="00BB3BB4"/>
    <w:rsid w:val="00BB6224"/>
    <w:rsid w:val="00BC12AE"/>
    <w:rsid w:val="00BC2343"/>
    <w:rsid w:val="00BC381B"/>
    <w:rsid w:val="00BC6C3D"/>
    <w:rsid w:val="00BD398C"/>
    <w:rsid w:val="00BD754E"/>
    <w:rsid w:val="00BE2366"/>
    <w:rsid w:val="00BE461C"/>
    <w:rsid w:val="00BE61CF"/>
    <w:rsid w:val="00BF25BE"/>
    <w:rsid w:val="00BF3BB9"/>
    <w:rsid w:val="00C05EC6"/>
    <w:rsid w:val="00C10CED"/>
    <w:rsid w:val="00C11782"/>
    <w:rsid w:val="00C121FF"/>
    <w:rsid w:val="00C158EE"/>
    <w:rsid w:val="00C15B5B"/>
    <w:rsid w:val="00C22C68"/>
    <w:rsid w:val="00C23E57"/>
    <w:rsid w:val="00C251F2"/>
    <w:rsid w:val="00C25B8C"/>
    <w:rsid w:val="00C25D31"/>
    <w:rsid w:val="00C269C6"/>
    <w:rsid w:val="00C30512"/>
    <w:rsid w:val="00C34038"/>
    <w:rsid w:val="00C36024"/>
    <w:rsid w:val="00C36B8E"/>
    <w:rsid w:val="00C44C54"/>
    <w:rsid w:val="00C44EA2"/>
    <w:rsid w:val="00C46B9D"/>
    <w:rsid w:val="00C46EE7"/>
    <w:rsid w:val="00C52C1E"/>
    <w:rsid w:val="00C539DC"/>
    <w:rsid w:val="00C541CC"/>
    <w:rsid w:val="00C562FE"/>
    <w:rsid w:val="00C5660A"/>
    <w:rsid w:val="00C56D16"/>
    <w:rsid w:val="00C614F0"/>
    <w:rsid w:val="00C6578D"/>
    <w:rsid w:val="00C666E1"/>
    <w:rsid w:val="00C7445B"/>
    <w:rsid w:val="00C74580"/>
    <w:rsid w:val="00C83D26"/>
    <w:rsid w:val="00C85A0A"/>
    <w:rsid w:val="00C93358"/>
    <w:rsid w:val="00CA0BCA"/>
    <w:rsid w:val="00CA1F54"/>
    <w:rsid w:val="00CA3057"/>
    <w:rsid w:val="00CA47B2"/>
    <w:rsid w:val="00CA76A4"/>
    <w:rsid w:val="00CB4B1C"/>
    <w:rsid w:val="00CB4E61"/>
    <w:rsid w:val="00CB5C5E"/>
    <w:rsid w:val="00CC2283"/>
    <w:rsid w:val="00CC2794"/>
    <w:rsid w:val="00CD252C"/>
    <w:rsid w:val="00CD403E"/>
    <w:rsid w:val="00CE3B01"/>
    <w:rsid w:val="00CE50B2"/>
    <w:rsid w:val="00CF213B"/>
    <w:rsid w:val="00CF51ED"/>
    <w:rsid w:val="00D10EB8"/>
    <w:rsid w:val="00D1651A"/>
    <w:rsid w:val="00D24174"/>
    <w:rsid w:val="00D2447E"/>
    <w:rsid w:val="00D279A7"/>
    <w:rsid w:val="00D32902"/>
    <w:rsid w:val="00D34244"/>
    <w:rsid w:val="00D34259"/>
    <w:rsid w:val="00D400F7"/>
    <w:rsid w:val="00D438C9"/>
    <w:rsid w:val="00D43A25"/>
    <w:rsid w:val="00D55D87"/>
    <w:rsid w:val="00D56EA1"/>
    <w:rsid w:val="00D608DA"/>
    <w:rsid w:val="00D6373C"/>
    <w:rsid w:val="00D63868"/>
    <w:rsid w:val="00D65A99"/>
    <w:rsid w:val="00D67F31"/>
    <w:rsid w:val="00D7004A"/>
    <w:rsid w:val="00D7770F"/>
    <w:rsid w:val="00D80459"/>
    <w:rsid w:val="00D81788"/>
    <w:rsid w:val="00D850A2"/>
    <w:rsid w:val="00D90127"/>
    <w:rsid w:val="00D97689"/>
    <w:rsid w:val="00DA26CC"/>
    <w:rsid w:val="00DA2E72"/>
    <w:rsid w:val="00DA49BE"/>
    <w:rsid w:val="00DB65C5"/>
    <w:rsid w:val="00DB76B8"/>
    <w:rsid w:val="00DC1E68"/>
    <w:rsid w:val="00DC6837"/>
    <w:rsid w:val="00DD0B43"/>
    <w:rsid w:val="00DD1317"/>
    <w:rsid w:val="00DE1270"/>
    <w:rsid w:val="00DF1960"/>
    <w:rsid w:val="00DF4801"/>
    <w:rsid w:val="00E01323"/>
    <w:rsid w:val="00E04656"/>
    <w:rsid w:val="00E15662"/>
    <w:rsid w:val="00E1574F"/>
    <w:rsid w:val="00E20BF1"/>
    <w:rsid w:val="00E21C08"/>
    <w:rsid w:val="00E30967"/>
    <w:rsid w:val="00E30FA8"/>
    <w:rsid w:val="00E314A4"/>
    <w:rsid w:val="00E31D43"/>
    <w:rsid w:val="00E32447"/>
    <w:rsid w:val="00E35C94"/>
    <w:rsid w:val="00E42AFE"/>
    <w:rsid w:val="00E43523"/>
    <w:rsid w:val="00E44A38"/>
    <w:rsid w:val="00E52CAC"/>
    <w:rsid w:val="00E52FE0"/>
    <w:rsid w:val="00E60196"/>
    <w:rsid w:val="00E609E4"/>
    <w:rsid w:val="00E61CC5"/>
    <w:rsid w:val="00E71057"/>
    <w:rsid w:val="00E7642A"/>
    <w:rsid w:val="00E76E44"/>
    <w:rsid w:val="00E91063"/>
    <w:rsid w:val="00E94613"/>
    <w:rsid w:val="00E9652B"/>
    <w:rsid w:val="00E97782"/>
    <w:rsid w:val="00EA0D46"/>
    <w:rsid w:val="00EA0EE7"/>
    <w:rsid w:val="00EA4989"/>
    <w:rsid w:val="00EA73FF"/>
    <w:rsid w:val="00EB31FB"/>
    <w:rsid w:val="00EB3B2A"/>
    <w:rsid w:val="00EB52AB"/>
    <w:rsid w:val="00EB631F"/>
    <w:rsid w:val="00EB70A0"/>
    <w:rsid w:val="00EC2278"/>
    <w:rsid w:val="00EC2511"/>
    <w:rsid w:val="00EC427E"/>
    <w:rsid w:val="00EC4D34"/>
    <w:rsid w:val="00EC4FDB"/>
    <w:rsid w:val="00EC5A4B"/>
    <w:rsid w:val="00ED2180"/>
    <w:rsid w:val="00ED3754"/>
    <w:rsid w:val="00ED4595"/>
    <w:rsid w:val="00EE1306"/>
    <w:rsid w:val="00EE2D3D"/>
    <w:rsid w:val="00EE3801"/>
    <w:rsid w:val="00F018FE"/>
    <w:rsid w:val="00F068DF"/>
    <w:rsid w:val="00F15D74"/>
    <w:rsid w:val="00F1779B"/>
    <w:rsid w:val="00F2193F"/>
    <w:rsid w:val="00F222F4"/>
    <w:rsid w:val="00F23903"/>
    <w:rsid w:val="00F254E1"/>
    <w:rsid w:val="00F402EB"/>
    <w:rsid w:val="00F5306E"/>
    <w:rsid w:val="00F53227"/>
    <w:rsid w:val="00F634F1"/>
    <w:rsid w:val="00F63640"/>
    <w:rsid w:val="00F6572D"/>
    <w:rsid w:val="00F66645"/>
    <w:rsid w:val="00F66A0D"/>
    <w:rsid w:val="00F80228"/>
    <w:rsid w:val="00F80A54"/>
    <w:rsid w:val="00F828D3"/>
    <w:rsid w:val="00F82C06"/>
    <w:rsid w:val="00F832C3"/>
    <w:rsid w:val="00F83379"/>
    <w:rsid w:val="00F90580"/>
    <w:rsid w:val="00F9365E"/>
    <w:rsid w:val="00F95D21"/>
    <w:rsid w:val="00FA1C0A"/>
    <w:rsid w:val="00FA405E"/>
    <w:rsid w:val="00FA67A8"/>
    <w:rsid w:val="00FB23B1"/>
    <w:rsid w:val="00FB4EEC"/>
    <w:rsid w:val="00FC32C6"/>
    <w:rsid w:val="00FE2849"/>
    <w:rsid w:val="00FE479A"/>
    <w:rsid w:val="00FE47C7"/>
    <w:rsid w:val="00FF65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9BEFAD"/>
  <w15:docId w15:val="{FB42A6EA-C7D6-43F9-98B8-0A404123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880E28"/>
    <w:rPr>
      <w:rFonts w:ascii="Tahoma" w:hAnsi="Tahoma" w:cs="Tahoma"/>
      <w:sz w:val="16"/>
      <w:szCs w:val="16"/>
    </w:rPr>
  </w:style>
  <w:style w:type="character" w:styleId="CommentReference">
    <w:name w:val="annotation reference"/>
    <w:basedOn w:val="DefaultParagraphFont"/>
    <w:rsid w:val="001854D7"/>
    <w:rPr>
      <w:sz w:val="16"/>
      <w:szCs w:val="16"/>
    </w:rPr>
  </w:style>
  <w:style w:type="paragraph" w:styleId="CommentText">
    <w:name w:val="annotation text"/>
    <w:basedOn w:val="Normal"/>
    <w:link w:val="CommentTextChar"/>
    <w:rsid w:val="001854D7"/>
    <w:rPr>
      <w:rFonts w:cs="Times New Roman"/>
      <w:color w:val="auto"/>
      <w:sz w:val="20"/>
    </w:rPr>
  </w:style>
  <w:style w:type="paragraph" w:styleId="CommentSubject">
    <w:name w:val="annotation subject"/>
    <w:basedOn w:val="CommentText"/>
    <w:next w:val="CommentText"/>
    <w:semiHidden/>
    <w:rsid w:val="003B4773"/>
    <w:rPr>
      <w:rFonts w:cs="Arial"/>
      <w:b/>
      <w:bCs/>
      <w:color w:val="000000"/>
    </w:rPr>
  </w:style>
  <w:style w:type="paragraph" w:customStyle="1" w:styleId="Default">
    <w:name w:val="Default"/>
    <w:rsid w:val="0075624C"/>
    <w:pPr>
      <w:autoSpaceDE w:val="0"/>
      <w:autoSpaceDN w:val="0"/>
      <w:adjustRightInd w:val="0"/>
    </w:pPr>
    <w:rPr>
      <w:rFonts w:ascii="DKLBL F+ Century" w:hAnsi="DKLBL F+ Century" w:cs="DKLBL F+ Century"/>
      <w:color w:val="000000"/>
      <w:sz w:val="24"/>
      <w:szCs w:val="24"/>
    </w:rPr>
  </w:style>
  <w:style w:type="table" w:styleId="TableGrid">
    <w:name w:val="Table Grid"/>
    <w:basedOn w:val="TableNormal"/>
    <w:rsid w:val="00BC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E6C"/>
    <w:rPr>
      <w:rFonts w:cs="Arial"/>
      <w:color w:val="000000"/>
      <w:sz w:val="24"/>
    </w:rPr>
  </w:style>
  <w:style w:type="paragraph" w:styleId="FootnoteText">
    <w:name w:val="footnote text"/>
    <w:aliases w:val="Footnote Text Char2,Footnote Text Char3,Footnote Text Char4,Footnote Text Char5"/>
    <w:basedOn w:val="Normal"/>
    <w:link w:val="FootnoteTextChar"/>
    <w:uiPriority w:val="99"/>
    <w:unhideWhenUsed/>
    <w:rsid w:val="00154498"/>
    <w:rPr>
      <w:sz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154498"/>
    <w:rPr>
      <w:rFonts w:cs="Arial"/>
      <w:color w:val="000000"/>
    </w:rPr>
  </w:style>
  <w:style w:type="character" w:styleId="FootnoteReference">
    <w:name w:val="footnote reference"/>
    <w:basedOn w:val="DefaultParagraphFont"/>
    <w:unhideWhenUsed/>
    <w:rsid w:val="00154498"/>
    <w:rPr>
      <w:vertAlign w:val="superscript"/>
    </w:rPr>
  </w:style>
  <w:style w:type="character" w:styleId="Hyperlink">
    <w:name w:val="Hyperlink"/>
    <w:basedOn w:val="DefaultParagraphFont"/>
    <w:unhideWhenUsed/>
    <w:rsid w:val="00E52FE0"/>
    <w:rPr>
      <w:color w:val="0000FF" w:themeColor="hyperlink"/>
      <w:u w:val="single"/>
    </w:rPr>
  </w:style>
  <w:style w:type="character" w:styleId="FollowedHyperlink">
    <w:name w:val="FollowedHyperlink"/>
    <w:basedOn w:val="DefaultParagraphFont"/>
    <w:semiHidden/>
    <w:unhideWhenUsed/>
    <w:rsid w:val="00167B7F"/>
    <w:rPr>
      <w:color w:val="800080" w:themeColor="followedHyperlink"/>
      <w:u w:val="single"/>
    </w:rPr>
  </w:style>
  <w:style w:type="character" w:customStyle="1" w:styleId="CommentTextChar">
    <w:name w:val="Comment Text Char"/>
    <w:link w:val="CommentText"/>
    <w:rsid w:val="002F1722"/>
  </w:style>
  <w:style w:type="character" w:customStyle="1" w:styleId="UnresolvedMention">
    <w:name w:val="Unresolved Mention"/>
    <w:basedOn w:val="DefaultParagraphFont"/>
    <w:uiPriority w:val="99"/>
    <w:semiHidden/>
    <w:unhideWhenUsed/>
    <w:rsid w:val="00807003"/>
    <w:rPr>
      <w:color w:val="605E5C"/>
      <w:shd w:val="clear" w:color="auto" w:fill="E1DFDD"/>
    </w:rPr>
  </w:style>
  <w:style w:type="paragraph" w:styleId="ListParagraph">
    <w:name w:val="List Paragraph"/>
    <w:basedOn w:val="Normal"/>
    <w:uiPriority w:val="34"/>
    <w:qFormat/>
    <w:rsid w:val="005A3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0/May/naics3_486000.htm" TargetMode="External" /><Relationship Id="rId2" Type="http://schemas.openxmlformats.org/officeDocument/2006/relationships/hyperlink" Target="https://www.bls.gov/news.release/archives/ecec_06172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documentManagement>
    <Col_x002e__x0020_Yr_x002e_ xmlns="351d9c43-df41-4f76-8579-34e6da0a12cb">FY21</Col_x002e__x0020_Yr_x002e_>
    <Doc_x002e__x0020_Type xmlns="351d9c43-df41-4f76-8579-34e6da0a12cb">OIRA pb</Doc_x002e__x0020_Type>
    <Reviewer_x0020_Cmt_x0028_s_x0029_ xmlns="351d9c43-df41-4f76-8579-34e6da0a12cb">David to review OIRA pb</Reviewer_x0020_Cmt_x0028_s_x0029_>
    <Prog_x002e__x0020_Office xmlns="351d9c43-df41-4f76-8579-34e6da0a12cb">PPE</Prog_x002e__x0020_Office>
    <Other_x0020_Actions xmlns="351d9c43-df41-4f76-8579-34e6da0a12cb">CC Review</Other_x0020_Actions>
    <Request_x0020_Type xmlns="351d9c43-df41-4f76-8579-34e6da0a12cb">EXT</Request_x0020_Type>
    <_dlc_DocId xmlns="dcc26ded-df53-40e4-b0ec-50f0378640d6">2MNXFYDWMX7Y-1832746947-1490</_dlc_DocId>
    <_dlc_DocIdUrl xmlns="dcc26ded-df53-40e4-b0ec-50f0378640d6">
      <Url>https://office.ishare.tsa.dhs.gov/sites/oit/bmo/pra/_layouts/15/DocIdRedir.aspx?ID=2MNXFYDWMX7Y-1832746947-1490</Url>
      <Description>2MNXFYDWMX7Y-1832746947-1490</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C96F-803C-4697-9442-39681131A278}">
  <ds:schemaRefs>
    <ds:schemaRef ds:uri="http://schemas.microsoft.com/office/2006/metadata/properties"/>
    <ds:schemaRef ds:uri="351d9c43-df41-4f76-8579-34e6da0a12cb"/>
    <ds:schemaRef ds:uri="dcc26ded-df53-40e4-b0ec-50f0378640d6"/>
  </ds:schemaRefs>
</ds:datastoreItem>
</file>

<file path=customXml/itemProps2.xml><?xml version="1.0" encoding="utf-8"?>
<ds:datastoreItem xmlns:ds="http://schemas.openxmlformats.org/officeDocument/2006/customXml" ds:itemID="{6F3EA73E-6499-4874-8832-2CA0955C4E16}">
  <ds:schemaRefs>
    <ds:schemaRef ds:uri="http://schemas.microsoft.com/office/2006/metadata/longProperties"/>
  </ds:schemaRefs>
</ds:datastoreItem>
</file>

<file path=customXml/itemProps3.xml><?xml version="1.0" encoding="utf-8"?>
<ds:datastoreItem xmlns:ds="http://schemas.openxmlformats.org/officeDocument/2006/customXml" ds:itemID="{6E685056-90DA-4E06-8A28-8AFA1EFFFD9F}">
  <ds:schemaRefs>
    <ds:schemaRef ds:uri="http://schemas.microsoft.com/sharepoint/events"/>
  </ds:schemaRefs>
</ds:datastoreItem>
</file>

<file path=customXml/itemProps4.xml><?xml version="1.0" encoding="utf-8"?>
<ds:datastoreItem xmlns:ds="http://schemas.openxmlformats.org/officeDocument/2006/customXml" ds:itemID="{A46E2759-818D-41CA-9BF6-94DC0671D0D8}">
  <ds:schemaRefs>
    <ds:schemaRef ds:uri="http://schemas.microsoft.com/sharepoint/v3/contenttype/forms"/>
  </ds:schemaRefs>
</ds:datastoreItem>
</file>

<file path=customXml/itemProps5.xml><?xml version="1.0" encoding="utf-8"?>
<ds:datastoreItem xmlns:ds="http://schemas.openxmlformats.org/officeDocument/2006/customXml" ds:itemID="{19E42EDB-A153-4F8A-9F0E-6A1A1BD6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B4AB8C-4035-44BD-B012-4FCD1A5B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3259</Words>
  <Characters>18581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creator>Marisa Mullen</dc:creator>
  <cp:keywords>5000.22</cp:keywords>
  <cp:lastModifiedBy>Walsh, Christina</cp:lastModifiedBy>
  <cp:revision>2</cp:revision>
  <cp:lastPrinted>2014-06-09T13:40:00Z</cp:lastPrinted>
  <dcterms:created xsi:type="dcterms:W3CDTF">2023-02-22T21:55:00Z</dcterms:created>
  <dcterms:modified xsi:type="dcterms:W3CDTF">2023-03-29T21:29:00Z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ContentTypeId">
    <vt:lpwstr>0x01010014FAE3E703E4794793878A49BBFE0A14</vt:lpwstr>
  </property>
  <property fmtid="{D5CDD505-2E9C-101B-9397-08002B2CF9AE}" pid="4" name="Owner">
    <vt:lpwstr/>
  </property>
  <property fmtid="{D5CDD505-2E9C-101B-9397-08002B2CF9AE}" pid="5" name="Status">
    <vt:lpwstr>Draft</vt:lpwstr>
  </property>
  <property fmtid="{D5CDD505-2E9C-101B-9397-08002B2CF9AE}" pid="6" name="_dlc_DocIdItemGuid">
    <vt:lpwstr>8e9e9e93-9e20-4d4f-b061-af20652757c5</vt:lpwstr>
  </property>
  <property fmtid="{D5CDD505-2E9C-101B-9397-08002B2CF9AE}" pid="7" name="_NewReviewCycle">
    <vt:lpwstr/>
  </property>
</Properties>
</file>