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71D7BAD8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Pr="008E7F6F" w:rsidR="008E7F6F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5B510A" w:rsidR="0005680D" w:rsidP="0005680D" w:rsidRDefault="0005680D" w14:paraId="092E1B53" w14:textId="0C7AA9CE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B95C94">
        <w:t>Ruth Friedman</w:t>
      </w:r>
    </w:p>
    <w:p w:rsidRPr="005B510A" w:rsidR="0005680D" w:rsidP="0005680D" w:rsidRDefault="0005680D" w14:paraId="48DB0716" w14:textId="7A2B7CFB">
      <w:pPr>
        <w:tabs>
          <w:tab w:val="left" w:pos="1080"/>
        </w:tabs>
        <w:ind w:left="1080" w:hanging="1080"/>
      </w:pPr>
      <w:r w:rsidRPr="005B510A">
        <w:rPr>
          <w:bCs/>
        </w:rPr>
        <w:tab/>
      </w:r>
      <w:r w:rsidRPr="005B510A" w:rsidR="005B510A">
        <w:rPr>
          <w:bCs/>
        </w:rPr>
        <w:t>Office of Child Care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27322D25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D573A7">
        <w:t>September</w:t>
      </w:r>
      <w:r w:rsidR="00CC62DB">
        <w:t xml:space="preserve"> </w:t>
      </w:r>
      <w:r w:rsidR="00303F7C">
        <w:t>2</w:t>
      </w:r>
      <w:r w:rsidR="005A35C2">
        <w:t>1</w:t>
      </w:r>
      <w:r w:rsidR="005B510A">
        <w:t>, 202</w:t>
      </w:r>
      <w:r w:rsidR="00B95C94">
        <w:t>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5A35C2" w:rsidRDefault="0005680D" w14:paraId="3A89B6CD" w14:textId="65C1D040">
      <w:pPr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5B510A">
        <w:t>Child Care and Development Fund (</w:t>
      </w:r>
      <w:r w:rsidR="00054140">
        <w:t>CCDF) Tribal</w:t>
      </w:r>
      <w:r w:rsidR="003A60CF">
        <w:t xml:space="preserve"> </w:t>
      </w:r>
      <w:r w:rsidR="005B510A">
        <w:t>Annual Report (ACF-</w:t>
      </w:r>
      <w:r w:rsidR="00CC62DB">
        <w:t>7</w:t>
      </w:r>
      <w:r w:rsidR="005B510A">
        <w:t>00)</w:t>
      </w:r>
      <w:r w:rsidR="005B510A">
        <w:rPr>
          <w:rFonts w:eastAsia="Times New Roman"/>
          <w:kern w:val="0"/>
        </w:rPr>
        <w:t xml:space="preserve"> - </w:t>
      </w:r>
      <w:r>
        <w:t>(OMB #0970-0</w:t>
      </w:r>
      <w:r w:rsidR="00CC62DB">
        <w:t>430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4CF69A8A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="005B510A">
        <w:t xml:space="preserve">CCDF </w:t>
      </w:r>
      <w:r w:rsidR="003A3677">
        <w:t xml:space="preserve">Tribal </w:t>
      </w:r>
      <w:r w:rsidR="005B510A">
        <w:t>Annual</w:t>
      </w:r>
      <w:r w:rsidR="003A60CF">
        <w:t xml:space="preserve"> Report</w:t>
      </w:r>
      <w:r w:rsidR="005B510A">
        <w:t xml:space="preserve"> (ACF-</w:t>
      </w:r>
      <w:r w:rsidR="0014151F">
        <w:t>7</w:t>
      </w:r>
      <w:r w:rsidR="005B510A">
        <w:t>00)</w:t>
      </w:r>
      <w:r>
        <w:t xml:space="preserve"> (OMB #0970-0</w:t>
      </w:r>
      <w:r w:rsidR="003A3677">
        <w:t>430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5B510A" w:rsidP="005B510A" w:rsidRDefault="00BE7AFC" w14:paraId="2745B3EC" w14:textId="1EDE9D2E">
      <w:pPr>
        <w:rPr>
          <w:rFonts w:eastAsia="Times New Roman"/>
        </w:rPr>
      </w:pPr>
      <w:r>
        <w:t>As required</w:t>
      </w:r>
      <w:r>
        <w:rPr>
          <w:rFonts w:eastAsia="Times New Roman"/>
        </w:rPr>
        <w:t xml:space="preserve"> by the </w:t>
      </w:r>
      <w:r w:rsidRPr="000E0E7B">
        <w:t>Child Care and Development Block Grant (CCDBG) Act</w:t>
      </w:r>
      <w:r>
        <w:t>,</w:t>
      </w:r>
      <w:r w:rsidRPr="00150060">
        <w:t xml:space="preserve"> Tribal Lead Agencies </w:t>
      </w:r>
      <w:r>
        <w:t xml:space="preserve">(TLAs) </w:t>
      </w:r>
      <w:r w:rsidRPr="00150060">
        <w:t xml:space="preserve">submit </w:t>
      </w:r>
      <w:r>
        <w:t xml:space="preserve">annual </w:t>
      </w:r>
      <w:r w:rsidRPr="00150060">
        <w:t xml:space="preserve">aggregate information </w:t>
      </w:r>
      <w:r>
        <w:t xml:space="preserve">for CCDF </w:t>
      </w:r>
      <w:r w:rsidRPr="00150060">
        <w:t xml:space="preserve">on </w:t>
      </w:r>
      <w:r>
        <w:t xml:space="preserve">direct </w:t>
      </w:r>
      <w:r w:rsidRPr="00150060">
        <w:t xml:space="preserve">services provided </w:t>
      </w:r>
      <w:r>
        <w:t xml:space="preserve">and how CCDF program dollars are being spent via </w:t>
      </w:r>
      <w:r w:rsidRPr="00150060">
        <w:t xml:space="preserve">the </w:t>
      </w:r>
      <w:r w:rsidR="005645A0">
        <w:t xml:space="preserve">ACF-700 </w:t>
      </w:r>
      <w:r w:rsidRPr="00150060">
        <w:t>CCDF Tribal Annual Report.</w:t>
      </w:r>
      <w:r>
        <w:t xml:space="preserve">  </w:t>
      </w:r>
      <w:r w:rsidR="00B84864">
        <w:t>The</w:t>
      </w:r>
      <w:r w:rsidR="00B84864">
        <w:rPr>
          <w:rFonts w:eastAsia="Times New Roman"/>
        </w:rPr>
        <w:t xml:space="preserve"> </w:t>
      </w:r>
      <w:r w:rsidR="00F01BF3">
        <w:rPr>
          <w:rFonts w:eastAsia="Times New Roman"/>
        </w:rPr>
        <w:t xml:space="preserve">ACF-700 </w:t>
      </w:r>
      <w:r w:rsidR="005B510A">
        <w:rPr>
          <w:rFonts w:eastAsia="Times New Roman"/>
        </w:rPr>
        <w:t xml:space="preserve">form </w:t>
      </w:r>
      <w:r w:rsidR="00B84864">
        <w:rPr>
          <w:rFonts w:eastAsia="Times New Roman"/>
        </w:rPr>
        <w:t xml:space="preserve">was last renewed in </w:t>
      </w:r>
      <w:r w:rsidR="003A3677">
        <w:rPr>
          <w:rFonts w:eastAsia="Times New Roman"/>
        </w:rPr>
        <w:t>January</w:t>
      </w:r>
      <w:r w:rsidR="00B84864">
        <w:rPr>
          <w:rFonts w:eastAsia="Times New Roman"/>
        </w:rPr>
        <w:t xml:space="preserve"> 20</w:t>
      </w:r>
      <w:r w:rsidR="003A3677">
        <w:rPr>
          <w:rFonts w:eastAsia="Times New Roman"/>
        </w:rPr>
        <w:t>20</w:t>
      </w:r>
      <w:r w:rsidR="00B84864">
        <w:rPr>
          <w:rFonts w:eastAsia="Times New Roman"/>
        </w:rPr>
        <w:t xml:space="preserve"> and has a current expiration date of</w:t>
      </w:r>
      <w:r w:rsidR="005B510A">
        <w:rPr>
          <w:rFonts w:eastAsia="Times New Roman"/>
        </w:rPr>
        <w:t xml:space="preserve"> </w:t>
      </w:r>
      <w:r w:rsidR="003A3677">
        <w:rPr>
          <w:rFonts w:eastAsia="Times New Roman"/>
        </w:rPr>
        <w:t>January 31, 2023</w:t>
      </w:r>
      <w:r w:rsidR="005B510A">
        <w:rPr>
          <w:rFonts w:eastAsia="Times New Roman"/>
        </w:rPr>
        <w:t>.</w:t>
      </w:r>
      <w:r w:rsidR="00B95C94">
        <w:rPr>
          <w:rFonts w:eastAsia="Times New Roman"/>
        </w:rPr>
        <w:t xml:space="preserve"> </w:t>
      </w:r>
      <w:r w:rsidR="007736E0">
        <w:rPr>
          <w:rFonts w:eastAsia="Times New Roman"/>
        </w:rPr>
        <w:t xml:space="preserve"> </w:t>
      </w:r>
    </w:p>
    <w:p w:rsidR="003A3677" w:rsidP="005B510A" w:rsidRDefault="003A3677" w14:paraId="5691C4A6" w14:textId="3DC6B91E">
      <w:pPr>
        <w:rPr>
          <w:rFonts w:eastAsia="Times New Roman"/>
        </w:rPr>
      </w:pPr>
    </w:p>
    <w:p w:rsidR="005B510A" w:rsidP="005B510A" w:rsidRDefault="005B510A" w14:paraId="62C6F139" w14:textId="399ACFBD">
      <w:pPr>
        <w:rPr>
          <w:rFonts w:eastAsia="Times New Roman"/>
        </w:rPr>
      </w:pPr>
      <w:r>
        <w:rPr>
          <w:rFonts w:eastAsia="Times New Roman"/>
        </w:rPr>
        <w:t xml:space="preserve">In support of the COVID-19 response, </w:t>
      </w:r>
      <w:r w:rsidR="00872420">
        <w:rPr>
          <w:rFonts w:eastAsia="Times New Roman"/>
        </w:rPr>
        <w:t>Congress has enacted multiple supplemental appropriations for CCDF.  T</w:t>
      </w:r>
      <w:r w:rsidR="00C45BD6">
        <w:rPr>
          <w:rFonts w:eastAsia="Times New Roman"/>
        </w:rPr>
        <w:t xml:space="preserve">he </w:t>
      </w:r>
      <w:r w:rsidR="00865B6C">
        <w:rPr>
          <w:rFonts w:eastAsia="Times New Roman"/>
        </w:rPr>
        <w:t>Coronavirus Aid, Relief, and Economic Security (</w:t>
      </w:r>
      <w:r w:rsidR="006424C7">
        <w:rPr>
          <w:rFonts w:eastAsia="Times New Roman"/>
        </w:rPr>
        <w:t>C</w:t>
      </w:r>
      <w:r w:rsidRPr="00EC06BD">
        <w:rPr>
          <w:rFonts w:eastAsia="Times New Roman"/>
        </w:rPr>
        <w:t>ARES</w:t>
      </w:r>
      <w:r w:rsidR="00865B6C">
        <w:rPr>
          <w:rFonts w:eastAsia="Times New Roman"/>
        </w:rPr>
        <w:t>)</w:t>
      </w:r>
      <w:r w:rsidRPr="00EC06BD">
        <w:rPr>
          <w:rFonts w:eastAsia="Times New Roman"/>
        </w:rPr>
        <w:t xml:space="preserve"> Act</w:t>
      </w:r>
      <w:r w:rsidR="00C45BD6">
        <w:rPr>
          <w:rFonts w:eastAsia="Times New Roman"/>
        </w:rPr>
        <w:t xml:space="preserve"> was enacted</w:t>
      </w:r>
      <w:r w:rsidR="006424C7">
        <w:rPr>
          <w:rFonts w:eastAsia="Times New Roman"/>
        </w:rPr>
        <w:t>, which</w:t>
      </w:r>
      <w:r w:rsidRPr="00EC06BD">
        <w:rPr>
          <w:rFonts w:eastAsia="Times New Roman"/>
        </w:rPr>
        <w:t xml:space="preserve"> included a $3.5 billion increase in the CCDF for States, Territories, and Tribes</w:t>
      </w:r>
      <w:r w:rsidR="00872420">
        <w:rPr>
          <w:rFonts w:eastAsia="Times New Roman"/>
        </w:rPr>
        <w:t xml:space="preserve"> that</w:t>
      </w:r>
      <w:r w:rsidRPr="00EC06BD">
        <w:rPr>
          <w:rFonts w:eastAsia="Times New Roman"/>
        </w:rPr>
        <w:t xml:space="preserve"> must be used for activities authorized under the CCDBG Act that prevent, prepare for, and respond to COVID-19.</w:t>
      </w:r>
      <w:r>
        <w:rPr>
          <w:rFonts w:eastAsia="Times New Roman"/>
        </w:rPr>
        <w:t xml:space="preserve"> </w:t>
      </w:r>
      <w:r w:rsidR="009E2837">
        <w:rPr>
          <w:rFonts w:eastAsia="Times New Roman"/>
        </w:rPr>
        <w:t xml:space="preserve"> </w:t>
      </w:r>
      <w:r w:rsidRPr="00906FD5" w:rsidR="00906FD5">
        <w:rPr>
          <w:rFonts w:eastAsia="Times New Roman"/>
        </w:rPr>
        <w:t>The Coronavirus Response and Relief Supplemental Appropriations (CRRSA) Act was enacted</w:t>
      </w:r>
      <w:r w:rsidR="00906FD5">
        <w:rPr>
          <w:rFonts w:eastAsia="Times New Roman"/>
        </w:rPr>
        <w:t xml:space="preserve">, which included a </w:t>
      </w:r>
      <w:r w:rsidRPr="00906FD5" w:rsidR="00906FD5">
        <w:rPr>
          <w:rFonts w:eastAsia="Times New Roman"/>
        </w:rPr>
        <w:t xml:space="preserve">$10 billion </w:t>
      </w:r>
      <w:r w:rsidR="00906FD5">
        <w:rPr>
          <w:rFonts w:eastAsia="Times New Roman"/>
        </w:rPr>
        <w:t xml:space="preserve">increase </w:t>
      </w:r>
      <w:r w:rsidRPr="00906FD5" w:rsidR="00906FD5">
        <w:rPr>
          <w:rFonts w:eastAsia="Times New Roman"/>
        </w:rPr>
        <w:t>in supplemental CCDF Discretionary funds to prevent, prepare for, and respond to coronavirus.</w:t>
      </w:r>
      <w:r w:rsidR="00906FD5">
        <w:rPr>
          <w:rFonts w:eastAsia="Times New Roman"/>
        </w:rPr>
        <w:t xml:space="preserve"> </w:t>
      </w:r>
      <w:r w:rsidR="009E2837">
        <w:rPr>
          <w:rFonts w:eastAsia="Times New Roman"/>
        </w:rPr>
        <w:t xml:space="preserve"> </w:t>
      </w:r>
      <w:r w:rsidRPr="00906FD5" w:rsidR="00906FD5">
        <w:rPr>
          <w:rFonts w:eastAsia="Times New Roman"/>
        </w:rPr>
        <w:t>The American Rescue Plan (ARP) Act</w:t>
      </w:r>
      <w:r w:rsidR="00B41114">
        <w:rPr>
          <w:rFonts w:eastAsia="Times New Roman"/>
        </w:rPr>
        <w:t xml:space="preserve"> of 2021</w:t>
      </w:r>
      <w:r w:rsidRPr="00906FD5" w:rsidR="00906FD5">
        <w:rPr>
          <w:rFonts w:eastAsia="Times New Roman"/>
        </w:rPr>
        <w:t xml:space="preserve"> was enacted</w:t>
      </w:r>
      <w:r w:rsidR="00A55F18">
        <w:rPr>
          <w:rFonts w:eastAsia="Times New Roman"/>
        </w:rPr>
        <w:t xml:space="preserve"> and</w:t>
      </w:r>
      <w:r w:rsidR="00906FD5">
        <w:rPr>
          <w:rFonts w:eastAsia="Times New Roman"/>
        </w:rPr>
        <w:t xml:space="preserve"> included</w:t>
      </w:r>
      <w:r w:rsidRPr="00906FD5" w:rsidR="00906FD5">
        <w:rPr>
          <w:rFonts w:eastAsia="Times New Roman"/>
        </w:rPr>
        <w:t xml:space="preserve"> $14,990,000,000 </w:t>
      </w:r>
      <w:r w:rsidR="00EF14BC">
        <w:rPr>
          <w:rFonts w:eastAsia="Times New Roman"/>
        </w:rPr>
        <w:t>in</w:t>
      </w:r>
      <w:r w:rsidRPr="00906FD5" w:rsidR="00906FD5">
        <w:rPr>
          <w:rFonts w:eastAsia="Times New Roman"/>
        </w:rPr>
        <w:t xml:space="preserve"> CCDF Discretionary </w:t>
      </w:r>
      <w:r w:rsidR="009E2837">
        <w:rPr>
          <w:rFonts w:eastAsia="Times New Roman"/>
        </w:rPr>
        <w:t xml:space="preserve">Supplemental </w:t>
      </w:r>
      <w:r w:rsidR="00780B9D">
        <w:rPr>
          <w:rFonts w:eastAsia="Times New Roman"/>
        </w:rPr>
        <w:t>funds</w:t>
      </w:r>
      <w:r w:rsidR="003E5337">
        <w:rPr>
          <w:rFonts w:eastAsia="Times New Roman"/>
        </w:rPr>
        <w:t xml:space="preserve">, and </w:t>
      </w:r>
      <w:r w:rsidRPr="00BA1346" w:rsidR="00BA1346">
        <w:rPr>
          <w:rFonts w:eastAsia="Times New Roman"/>
        </w:rPr>
        <w:t xml:space="preserve">$23,975,000,000 </w:t>
      </w:r>
      <w:r w:rsidR="0059290C">
        <w:rPr>
          <w:rFonts w:eastAsia="Times New Roman"/>
        </w:rPr>
        <w:t xml:space="preserve">in funds </w:t>
      </w:r>
      <w:r w:rsidRPr="00BA1346" w:rsidR="00BA1346">
        <w:rPr>
          <w:rFonts w:eastAsia="Times New Roman"/>
        </w:rPr>
        <w:t xml:space="preserve">for </w:t>
      </w:r>
      <w:proofErr w:type="gramStart"/>
      <w:r w:rsidRPr="00BA1346" w:rsidR="00BA1346">
        <w:rPr>
          <w:rFonts w:eastAsia="Times New Roman"/>
        </w:rPr>
        <w:t>child care</w:t>
      </w:r>
      <w:proofErr w:type="gramEnd"/>
      <w:r w:rsidRPr="00BA1346" w:rsidR="00BA1346">
        <w:rPr>
          <w:rFonts w:eastAsia="Times New Roman"/>
        </w:rPr>
        <w:t xml:space="preserve"> stabilization grants</w:t>
      </w:r>
      <w:r w:rsidR="00BA1346">
        <w:rPr>
          <w:rFonts w:eastAsia="Times New Roman"/>
        </w:rPr>
        <w:t>.</w:t>
      </w:r>
    </w:p>
    <w:p w:rsidR="00BA1346" w:rsidP="005B510A" w:rsidRDefault="00BA1346" w14:paraId="7E405007" w14:textId="77777777">
      <w:pPr>
        <w:rPr>
          <w:rFonts w:eastAsia="Times New Roman"/>
        </w:rPr>
      </w:pPr>
    </w:p>
    <w:p w:rsidR="00024544" w:rsidP="00024544" w:rsidRDefault="0059290C" w14:paraId="1A4D5BD6" w14:textId="014772B8">
      <w:pPr>
        <w:rPr>
          <w:rFonts w:eastAsia="Times New Roman"/>
        </w:rPr>
      </w:pPr>
      <w:r>
        <w:rPr>
          <w:rFonts w:eastAsia="Times New Roman"/>
        </w:rPr>
        <w:t xml:space="preserve">The </w:t>
      </w:r>
      <w:r w:rsidR="000F1A5E">
        <w:rPr>
          <w:rFonts w:eastAsia="Times New Roman"/>
        </w:rPr>
        <w:t>Office of Child Care (OCC)</w:t>
      </w:r>
      <w:r w:rsidR="00EC6C1E">
        <w:rPr>
          <w:rFonts w:eastAsia="Times New Roman"/>
        </w:rPr>
        <w:t xml:space="preserve"> </w:t>
      </w:r>
      <w:r w:rsidR="00872420">
        <w:rPr>
          <w:rFonts w:eastAsia="Times New Roman"/>
        </w:rPr>
        <w:t>is</w:t>
      </w:r>
      <w:r w:rsidR="006635B3">
        <w:rPr>
          <w:rFonts w:eastAsia="Times New Roman"/>
        </w:rPr>
        <w:t xml:space="preserve"> requesting OMB approval of </w:t>
      </w:r>
      <w:proofErr w:type="spellStart"/>
      <w:r w:rsidR="006635B3">
        <w:rPr>
          <w:rFonts w:eastAsia="Times New Roman"/>
        </w:rPr>
        <w:t>nonsubstantive</w:t>
      </w:r>
      <w:proofErr w:type="spellEnd"/>
      <w:r w:rsidR="006635B3">
        <w:rPr>
          <w:rFonts w:eastAsia="Times New Roman"/>
        </w:rPr>
        <w:t xml:space="preserve"> changes </w:t>
      </w:r>
      <w:r w:rsidR="000F2EF1">
        <w:rPr>
          <w:rFonts w:eastAsia="Times New Roman"/>
        </w:rPr>
        <w:t xml:space="preserve">to </w:t>
      </w:r>
      <w:r w:rsidR="000F1A5E">
        <w:rPr>
          <w:rFonts w:eastAsia="Times New Roman"/>
        </w:rPr>
        <w:t xml:space="preserve">the </w:t>
      </w:r>
      <w:r w:rsidR="000F2EF1">
        <w:rPr>
          <w:rFonts w:eastAsia="Times New Roman"/>
        </w:rPr>
        <w:t xml:space="preserve">current </w:t>
      </w:r>
      <w:r w:rsidR="000F1A5E">
        <w:rPr>
          <w:rFonts w:eastAsia="Times New Roman"/>
        </w:rPr>
        <w:t>ACF-</w:t>
      </w:r>
      <w:r w:rsidR="003A3677">
        <w:rPr>
          <w:rFonts w:eastAsia="Times New Roman"/>
        </w:rPr>
        <w:t>70</w:t>
      </w:r>
      <w:r w:rsidR="000F1A5E">
        <w:rPr>
          <w:rFonts w:eastAsia="Times New Roman"/>
        </w:rPr>
        <w:t>0</w:t>
      </w:r>
      <w:r>
        <w:rPr>
          <w:rFonts w:eastAsia="Times New Roman"/>
        </w:rPr>
        <w:t xml:space="preserve"> </w:t>
      </w:r>
      <w:r w:rsidR="002E6726">
        <w:rPr>
          <w:rFonts w:eastAsia="Times New Roman"/>
        </w:rPr>
        <w:t xml:space="preserve">CCDF </w:t>
      </w:r>
      <w:r>
        <w:rPr>
          <w:rFonts w:eastAsia="Times New Roman"/>
        </w:rPr>
        <w:t xml:space="preserve">Tribal Annual Report </w:t>
      </w:r>
      <w:r w:rsidR="00915E82">
        <w:rPr>
          <w:rFonts w:eastAsia="Times New Roman"/>
        </w:rPr>
        <w:t xml:space="preserve">by </w:t>
      </w:r>
      <w:r w:rsidR="00410CE6">
        <w:rPr>
          <w:rFonts w:eastAsia="Times New Roman"/>
        </w:rPr>
        <w:t>updat</w:t>
      </w:r>
      <w:r w:rsidR="00F01BF3">
        <w:rPr>
          <w:rFonts w:eastAsia="Times New Roman"/>
        </w:rPr>
        <w:t>ing</w:t>
      </w:r>
      <w:r w:rsidR="00410CE6">
        <w:rPr>
          <w:rFonts w:eastAsia="Times New Roman"/>
        </w:rPr>
        <w:t xml:space="preserve"> </w:t>
      </w:r>
      <w:r w:rsidR="008B7A7E">
        <w:rPr>
          <w:rFonts w:eastAsia="Times New Roman"/>
        </w:rPr>
        <w:t xml:space="preserve">the </w:t>
      </w:r>
      <w:r w:rsidR="00024544">
        <w:rPr>
          <w:rFonts w:eastAsia="Times New Roman"/>
        </w:rPr>
        <w:t>data collection</w:t>
      </w:r>
      <w:r>
        <w:rPr>
          <w:rFonts w:eastAsia="Times New Roman"/>
        </w:rPr>
        <w:t xml:space="preserve"> </w:t>
      </w:r>
      <w:r w:rsidR="008478AE">
        <w:rPr>
          <w:rFonts w:eastAsia="Times New Roman"/>
        </w:rPr>
        <w:t>for</w:t>
      </w:r>
      <w:r w:rsidR="00054140">
        <w:rPr>
          <w:rFonts w:eastAsia="Times New Roman"/>
        </w:rPr>
        <w:t xml:space="preserve"> </w:t>
      </w:r>
      <w:r w:rsidR="005645A0">
        <w:rPr>
          <w:rFonts w:eastAsia="Times New Roman"/>
        </w:rPr>
        <w:t>t</w:t>
      </w:r>
      <w:r w:rsidRPr="00054140" w:rsidR="00054140">
        <w:rPr>
          <w:rFonts w:eastAsia="Times New Roman"/>
        </w:rPr>
        <w:t>he COVID-19 supplemental CCDF funds</w:t>
      </w:r>
      <w:r w:rsidR="005645A0">
        <w:rPr>
          <w:rFonts w:eastAsia="Times New Roman"/>
        </w:rPr>
        <w:t>,</w:t>
      </w:r>
      <w:r w:rsidRPr="00054140" w:rsidR="00054140">
        <w:rPr>
          <w:rFonts w:eastAsia="Times New Roman"/>
        </w:rPr>
        <w:t xml:space="preserve"> including</w:t>
      </w:r>
      <w:r>
        <w:rPr>
          <w:rFonts w:eastAsia="Times New Roman"/>
        </w:rPr>
        <w:t xml:space="preserve"> </w:t>
      </w:r>
      <w:r w:rsidR="003A3677">
        <w:t xml:space="preserve">the CARES Act, CRRSA Act and </w:t>
      </w:r>
      <w:r>
        <w:t xml:space="preserve">the </w:t>
      </w:r>
      <w:r w:rsidR="003A3677">
        <w:t>ARP Act</w:t>
      </w:r>
      <w:r>
        <w:t xml:space="preserve">.  </w:t>
      </w:r>
      <w:r w:rsidR="00054140">
        <w:t xml:space="preserve">In addition, </w:t>
      </w:r>
      <w:r w:rsidR="00054140">
        <w:rPr>
          <w:rFonts w:eastAsia="Times New Roman"/>
        </w:rPr>
        <w:t>OCC is updating the ACF-700 to include d</w:t>
      </w:r>
      <w:r w:rsidRPr="00194FCE" w:rsidR="00054140">
        <w:rPr>
          <w:rFonts w:eastAsia="Times New Roman"/>
        </w:rPr>
        <w:t xml:space="preserve">ata collection </w:t>
      </w:r>
      <w:r w:rsidR="00054140">
        <w:rPr>
          <w:rFonts w:eastAsia="Times New Roman"/>
        </w:rPr>
        <w:t xml:space="preserve">on </w:t>
      </w:r>
      <w:proofErr w:type="gramStart"/>
      <w:r w:rsidRPr="00194FCE" w:rsidR="00054140">
        <w:rPr>
          <w:rFonts w:eastAsia="Times New Roman"/>
        </w:rPr>
        <w:t>child care</w:t>
      </w:r>
      <w:proofErr w:type="gramEnd"/>
      <w:r w:rsidRPr="00194FCE" w:rsidR="00054140">
        <w:rPr>
          <w:rFonts w:eastAsia="Times New Roman"/>
        </w:rPr>
        <w:t xml:space="preserve"> provider-level information about the numbers and characteristics of child care providers receiving stabilization grant awards.</w:t>
      </w:r>
      <w:r w:rsidR="00054140">
        <w:rPr>
          <w:rFonts w:eastAsia="Times New Roman"/>
        </w:rPr>
        <w:t xml:space="preserve">  </w:t>
      </w:r>
      <w:r w:rsidR="00024544">
        <w:t xml:space="preserve">TLAs </w:t>
      </w:r>
      <w:r w:rsidRPr="00194FCE" w:rsidR="00024544">
        <w:rPr>
          <w:rFonts w:eastAsia="Times New Roman"/>
        </w:rPr>
        <w:t xml:space="preserve">must spend the majority of stabilization funds as subgrants to qualified </w:t>
      </w:r>
      <w:proofErr w:type="gramStart"/>
      <w:r w:rsidRPr="00194FCE" w:rsidR="00024544">
        <w:rPr>
          <w:rFonts w:eastAsia="Times New Roman"/>
        </w:rPr>
        <w:t>child care</w:t>
      </w:r>
      <w:proofErr w:type="gramEnd"/>
      <w:r w:rsidRPr="00194FCE" w:rsidR="00024544">
        <w:rPr>
          <w:rFonts w:eastAsia="Times New Roman"/>
        </w:rPr>
        <w:t xml:space="preserve"> providers to support the stability of the child care sector during and after the COVID-19 public health emergency.  </w:t>
      </w:r>
      <w:r w:rsidR="000F67AE">
        <w:t>Stabilization grants</w:t>
      </w:r>
      <w:r w:rsidRPr="000F67AE" w:rsidR="000F67AE">
        <w:t xml:space="preserve"> must be tracked and accounted for to ensure compliance with specific requirements and authorities provided by </w:t>
      </w:r>
      <w:r w:rsidR="000F67AE">
        <w:t>S</w:t>
      </w:r>
      <w:r w:rsidRPr="000F67AE" w:rsidR="000F67AE">
        <w:t>ection 2202 of the ARP Act</w:t>
      </w:r>
      <w:r w:rsidR="000F67AE">
        <w:t>.</w:t>
      </w:r>
    </w:p>
    <w:p w:rsidR="0005680D" w:rsidP="0005680D" w:rsidRDefault="0005680D" w14:paraId="0B392A35" w14:textId="77777777"/>
    <w:p w:rsidR="005A35C2" w:rsidP="000F1A5E" w:rsidRDefault="005A35C2" w14:paraId="01093F5F" w14:textId="77777777">
      <w:pPr>
        <w:spacing w:after="120"/>
        <w:rPr>
          <w:b/>
          <w:i/>
        </w:rPr>
      </w:pPr>
    </w:p>
    <w:p w:rsidR="005A35C2" w:rsidP="000F1A5E" w:rsidRDefault="005A35C2" w14:paraId="176EEEC5" w14:textId="77777777">
      <w:pPr>
        <w:spacing w:after="120"/>
        <w:rPr>
          <w:b/>
          <w:i/>
        </w:rPr>
      </w:pPr>
    </w:p>
    <w:p w:rsidR="0005680D" w:rsidP="000F1A5E" w:rsidRDefault="0005680D" w14:paraId="6BD5720F" w14:textId="5AD0CDAB">
      <w:pPr>
        <w:spacing w:after="120"/>
        <w:rPr>
          <w:b/>
          <w:i/>
        </w:rPr>
      </w:pPr>
      <w:r w:rsidRPr="0005680D">
        <w:rPr>
          <w:b/>
          <w:i/>
        </w:rPr>
        <w:lastRenderedPageBreak/>
        <w:t>Overview of Requested Changes</w:t>
      </w:r>
    </w:p>
    <w:p w:rsidR="0059290C" w:rsidP="005A35C2" w:rsidRDefault="0059290C" w14:paraId="415BBE47" w14:textId="0192C258">
      <w:pPr>
        <w:spacing w:after="120"/>
      </w:pPr>
      <w:r>
        <w:t xml:space="preserve">This </w:t>
      </w:r>
      <w:proofErr w:type="spellStart"/>
      <w:r>
        <w:t>nonsubstantive</w:t>
      </w:r>
      <w:proofErr w:type="spellEnd"/>
      <w:r>
        <w:t xml:space="preserve"> change request </w:t>
      </w:r>
      <w:r w:rsidR="00126A67">
        <w:t xml:space="preserve">includes </w:t>
      </w:r>
      <w:r w:rsidR="00331850">
        <w:t xml:space="preserve">proposed </w:t>
      </w:r>
      <w:r w:rsidR="00F741E3">
        <w:t>clarifications</w:t>
      </w:r>
      <w:r w:rsidR="00676E72">
        <w:t xml:space="preserve"> and modifications </w:t>
      </w:r>
      <w:r>
        <w:t>on the ACF-700</w:t>
      </w:r>
      <w:r w:rsidR="00331850">
        <w:t xml:space="preserve"> that</w:t>
      </w:r>
      <w:r>
        <w:t xml:space="preserve"> include:</w:t>
      </w:r>
    </w:p>
    <w:p w:rsidRPr="008478AE" w:rsidR="00593AA0" w:rsidP="005A35C2" w:rsidRDefault="00014973" w14:paraId="36FEA068" w14:textId="2DE443AE">
      <w:pPr>
        <w:pStyle w:val="ListParagraph"/>
        <w:numPr>
          <w:ilvl w:val="0"/>
          <w:numId w:val="11"/>
        </w:numPr>
        <w:spacing w:after="60"/>
        <w:rPr>
          <w:rFonts w:eastAsia="Times New Roman"/>
        </w:rPr>
      </w:pPr>
      <w:r w:rsidRPr="008478AE">
        <w:rPr>
          <w:rFonts w:eastAsia="Times New Roman"/>
        </w:rPr>
        <w:t xml:space="preserve">Introduction: </w:t>
      </w:r>
      <w:r w:rsidRPr="008478AE" w:rsidR="00410CE6">
        <w:rPr>
          <w:rFonts w:eastAsia="Times New Roman"/>
        </w:rPr>
        <w:t>P</w:t>
      </w:r>
      <w:r w:rsidRPr="008478AE" w:rsidR="0010079D">
        <w:rPr>
          <w:rFonts w:eastAsia="Times New Roman"/>
        </w:rPr>
        <w:t xml:space="preserve">rogram </w:t>
      </w:r>
      <w:r w:rsidRPr="008478AE" w:rsidR="00410CE6">
        <w:rPr>
          <w:rFonts w:eastAsia="Times New Roman"/>
        </w:rPr>
        <w:t>C</w:t>
      </w:r>
      <w:r w:rsidRPr="008478AE" w:rsidR="0010079D">
        <w:rPr>
          <w:rFonts w:eastAsia="Times New Roman"/>
        </w:rPr>
        <w:t>haracteristics</w:t>
      </w:r>
      <w:r w:rsidR="00126A67">
        <w:rPr>
          <w:rFonts w:eastAsia="Times New Roman"/>
        </w:rPr>
        <w:t xml:space="preserve"> section</w:t>
      </w:r>
      <w:r w:rsidR="00F741E3">
        <w:rPr>
          <w:rFonts w:eastAsia="Times New Roman"/>
        </w:rPr>
        <w:t xml:space="preserve">. </w:t>
      </w:r>
      <w:r w:rsidRPr="008478AE" w:rsidR="00410CE6">
        <w:rPr>
          <w:rFonts w:eastAsia="Times New Roman"/>
        </w:rPr>
        <w:t xml:space="preserve"> </w:t>
      </w:r>
      <w:r w:rsidR="00F741E3">
        <w:rPr>
          <w:rFonts w:eastAsia="Times New Roman"/>
        </w:rPr>
        <w:t>P</w:t>
      </w:r>
      <w:r w:rsidRPr="008478AE" w:rsidR="00593AA0">
        <w:rPr>
          <w:rFonts w:eastAsia="Times New Roman"/>
        </w:rPr>
        <w:t>rovide</w:t>
      </w:r>
      <w:r w:rsidRPr="008478AE" w:rsidR="00410CE6">
        <w:rPr>
          <w:rFonts w:eastAsia="Times New Roman"/>
        </w:rPr>
        <w:t>s</w:t>
      </w:r>
      <w:r w:rsidRPr="008478AE" w:rsidR="00593AA0">
        <w:rPr>
          <w:rFonts w:eastAsia="Times New Roman"/>
        </w:rPr>
        <w:t xml:space="preserve"> clarif</w:t>
      </w:r>
      <w:r w:rsidRPr="008478AE" w:rsidR="00410CE6">
        <w:rPr>
          <w:rFonts w:eastAsia="Times New Roman"/>
        </w:rPr>
        <w:t xml:space="preserve">ying language </w:t>
      </w:r>
      <w:r w:rsidR="00FC4C5B">
        <w:rPr>
          <w:rFonts w:eastAsia="Times New Roman"/>
        </w:rPr>
        <w:t xml:space="preserve">regarding </w:t>
      </w:r>
      <w:r w:rsidRPr="008478AE" w:rsidR="00593AA0">
        <w:rPr>
          <w:rFonts w:eastAsia="Times New Roman"/>
        </w:rPr>
        <w:t>report</w:t>
      </w:r>
      <w:r w:rsidR="001525D7">
        <w:rPr>
          <w:rFonts w:eastAsia="Times New Roman"/>
        </w:rPr>
        <w:t xml:space="preserve">ing </w:t>
      </w:r>
      <w:r w:rsidRPr="008478AE" w:rsidR="00410CE6">
        <w:rPr>
          <w:rFonts w:eastAsia="Times New Roman"/>
        </w:rPr>
        <w:t xml:space="preserve">other funding sources </w:t>
      </w:r>
      <w:r w:rsidRPr="008478AE" w:rsidR="001F3FC5">
        <w:rPr>
          <w:rFonts w:eastAsia="Times New Roman"/>
        </w:rPr>
        <w:t xml:space="preserve">and </w:t>
      </w:r>
      <w:r w:rsidRPr="008478AE" w:rsidR="00410CE6">
        <w:rPr>
          <w:rFonts w:eastAsia="Times New Roman"/>
        </w:rPr>
        <w:t xml:space="preserve">that </w:t>
      </w:r>
      <w:r w:rsidRPr="008478AE" w:rsidR="009F03E0">
        <w:rPr>
          <w:rFonts w:eastAsia="Times New Roman"/>
        </w:rPr>
        <w:t xml:space="preserve">it </w:t>
      </w:r>
      <w:r w:rsidRPr="008478AE" w:rsidR="00410CE6">
        <w:rPr>
          <w:rFonts w:eastAsia="Times New Roman"/>
        </w:rPr>
        <w:t xml:space="preserve">should not include CCDF funding from the </w:t>
      </w:r>
      <w:r w:rsidR="00410CE6">
        <w:t xml:space="preserve">CARES Act, CRRSA Act and the ARP Act. </w:t>
      </w:r>
      <w:r w:rsidR="00915E82">
        <w:t xml:space="preserve"> </w:t>
      </w:r>
      <w:r w:rsidR="00410CE6">
        <w:t xml:space="preserve">A </w:t>
      </w:r>
      <w:r w:rsidR="00915E82">
        <w:t xml:space="preserve">separate </w:t>
      </w:r>
      <w:r w:rsidR="00410CE6">
        <w:t xml:space="preserve">question is added regarding administrative data </w:t>
      </w:r>
      <w:r w:rsidR="00FC4C5B">
        <w:t xml:space="preserve">to include families and children </w:t>
      </w:r>
      <w:r w:rsidR="00410CE6">
        <w:t xml:space="preserve">served by </w:t>
      </w:r>
      <w:r>
        <w:t>C</w:t>
      </w:r>
      <w:r w:rsidR="00410CE6">
        <w:t>CDF</w:t>
      </w:r>
      <w:r>
        <w:t xml:space="preserve"> </w:t>
      </w:r>
      <w:r w:rsidR="00410CE6">
        <w:t>CARES</w:t>
      </w:r>
      <w:r>
        <w:t xml:space="preserve"> </w:t>
      </w:r>
      <w:r w:rsidR="00410CE6">
        <w:t>Act funding</w:t>
      </w:r>
      <w:r>
        <w:t xml:space="preserve">, </w:t>
      </w:r>
      <w:r w:rsidR="00410CE6">
        <w:t>CCDF CRRSA</w:t>
      </w:r>
      <w:r>
        <w:t xml:space="preserve"> </w:t>
      </w:r>
      <w:r w:rsidR="00410CE6">
        <w:t>Act funding</w:t>
      </w:r>
      <w:r>
        <w:t xml:space="preserve">, </w:t>
      </w:r>
      <w:r w:rsidR="00410CE6">
        <w:t>CCDF ARP Act</w:t>
      </w:r>
      <w:r w:rsidR="00FC4C5B">
        <w:t xml:space="preserve"> Discretionary Supplemental</w:t>
      </w:r>
      <w:r>
        <w:t xml:space="preserve"> </w:t>
      </w:r>
      <w:r w:rsidR="006C50DE">
        <w:t xml:space="preserve">funding </w:t>
      </w:r>
      <w:r>
        <w:t>or none of the above</w:t>
      </w:r>
      <w:r w:rsidR="00F45952">
        <w:t>.  S</w:t>
      </w:r>
      <w:r>
        <w:t xml:space="preserve">pecifies to check all that apply.  </w:t>
      </w:r>
    </w:p>
    <w:p w:rsidRPr="005A35C2" w:rsidR="008478AE" w:rsidP="005A35C2" w:rsidRDefault="008478AE" w14:paraId="3D875866" w14:textId="2B703F97">
      <w:pPr>
        <w:ind w:left="360"/>
        <w:rPr>
          <w:rFonts w:eastAsia="Times New Roman"/>
        </w:rPr>
      </w:pPr>
    </w:p>
    <w:p w:rsidR="00593AA0" w:rsidP="005A35C2" w:rsidRDefault="00014973" w14:paraId="3757B46D" w14:textId="42A61FA6">
      <w:pPr>
        <w:pStyle w:val="ListParagraph"/>
        <w:numPr>
          <w:ilvl w:val="0"/>
          <w:numId w:val="11"/>
        </w:numPr>
        <w:spacing w:after="60"/>
      </w:pPr>
      <w:r w:rsidRPr="008478AE">
        <w:rPr>
          <w:rFonts w:eastAsia="Times New Roman"/>
        </w:rPr>
        <w:t xml:space="preserve">Part 1: </w:t>
      </w:r>
      <w:r w:rsidRPr="008478AE" w:rsidR="00593AA0">
        <w:rPr>
          <w:rFonts w:eastAsia="Times New Roman"/>
        </w:rPr>
        <w:t>Administrative Data</w:t>
      </w:r>
      <w:r w:rsidRPr="008478AE">
        <w:rPr>
          <w:rFonts w:eastAsia="Times New Roman"/>
        </w:rPr>
        <w:t xml:space="preserve"> section</w:t>
      </w:r>
      <w:r w:rsidR="00F741E3">
        <w:rPr>
          <w:rFonts w:eastAsia="Times New Roman"/>
        </w:rPr>
        <w:t xml:space="preserve">. </w:t>
      </w:r>
      <w:r w:rsidRPr="008478AE">
        <w:rPr>
          <w:rFonts w:eastAsia="Times New Roman"/>
        </w:rPr>
        <w:t xml:space="preserve"> </w:t>
      </w:r>
      <w:r w:rsidR="00F741E3">
        <w:rPr>
          <w:rFonts w:eastAsia="Times New Roman"/>
        </w:rPr>
        <w:t>P</w:t>
      </w:r>
      <w:r w:rsidRPr="008478AE">
        <w:rPr>
          <w:rFonts w:eastAsia="Times New Roman"/>
        </w:rPr>
        <w:t xml:space="preserve">rovides clarifying language </w:t>
      </w:r>
      <w:r w:rsidR="00197C8F">
        <w:rPr>
          <w:rFonts w:eastAsia="Times New Roman"/>
        </w:rPr>
        <w:t xml:space="preserve">for </w:t>
      </w:r>
      <w:r w:rsidR="00676E72">
        <w:rPr>
          <w:rFonts w:eastAsia="Times New Roman"/>
        </w:rPr>
        <w:t xml:space="preserve">TLAs </w:t>
      </w:r>
      <w:r w:rsidR="00F01BF3">
        <w:rPr>
          <w:rFonts w:eastAsia="Times New Roman"/>
        </w:rPr>
        <w:t xml:space="preserve">to </w:t>
      </w:r>
      <w:r w:rsidRPr="008478AE">
        <w:rPr>
          <w:rFonts w:eastAsia="Times New Roman"/>
        </w:rPr>
        <w:t xml:space="preserve">include </w:t>
      </w:r>
      <w:r>
        <w:t>information about families and children who meet CCDF eligibility requirements</w:t>
      </w:r>
      <w:r w:rsidRPr="00014973">
        <w:t xml:space="preserve">, and </w:t>
      </w:r>
      <w:proofErr w:type="gramStart"/>
      <w:r w:rsidRPr="00014973">
        <w:t>whose</w:t>
      </w:r>
      <w:proofErr w:type="gramEnd"/>
      <w:r w:rsidRPr="00014973">
        <w:t xml:space="preserve"> direct child care services were provided during the Federal fiscal year, regardless of which year’s CCDF funds paid for those services. </w:t>
      </w:r>
      <w:r w:rsidR="00915E82">
        <w:t xml:space="preserve"> The </w:t>
      </w:r>
      <w:r w:rsidR="001F3FC5">
        <w:t xml:space="preserve">added </w:t>
      </w:r>
      <w:r w:rsidR="003A1C62">
        <w:t xml:space="preserve">language specifies </w:t>
      </w:r>
      <w:r w:rsidR="00915E82">
        <w:t xml:space="preserve">that </w:t>
      </w:r>
      <w:r w:rsidR="003A1C62">
        <w:t>t</w:t>
      </w:r>
      <w:r>
        <w:t xml:space="preserve">he funds </w:t>
      </w:r>
      <w:r w:rsidR="002E6726">
        <w:t xml:space="preserve">used </w:t>
      </w:r>
      <w:r>
        <w:t xml:space="preserve">could be broader CCDF dollars, or CCDF CARES Act moneys, or CCDF CRRSA Act dollars, or CCDF ARP Act </w:t>
      </w:r>
      <w:r w:rsidR="00F01BF3">
        <w:t xml:space="preserve">Discretionary Supplemental </w:t>
      </w:r>
      <w:r>
        <w:t>funds.</w:t>
      </w:r>
      <w:r w:rsidR="003A1C62">
        <w:t xml:space="preserve">  Language is </w:t>
      </w:r>
      <w:r w:rsidR="00FC4C5B">
        <w:t xml:space="preserve">also </w:t>
      </w:r>
      <w:r w:rsidR="003A1C62">
        <w:t xml:space="preserve">added to the Comment field </w:t>
      </w:r>
      <w:r w:rsidR="001F3FC5">
        <w:t xml:space="preserve">to </w:t>
      </w:r>
      <w:r w:rsidR="003A1C62">
        <w:t>provide explanatory comment</w:t>
      </w:r>
      <w:r w:rsidR="001F3FC5">
        <w:t>s</w:t>
      </w:r>
      <w:r w:rsidR="003A1C62">
        <w:t xml:space="preserve"> </w:t>
      </w:r>
      <w:r w:rsidR="001F3FC5">
        <w:t xml:space="preserve">for </w:t>
      </w:r>
      <w:r w:rsidR="003A1C62">
        <w:t>any of the questions in Part 1.</w:t>
      </w:r>
    </w:p>
    <w:p w:rsidRPr="002675FD" w:rsidR="002675FD" w:rsidP="005A35C2" w:rsidRDefault="002675FD" w14:paraId="0393F155" w14:textId="77777777">
      <w:pPr>
        <w:spacing w:after="60"/>
      </w:pPr>
    </w:p>
    <w:p w:rsidR="005645A0" w:rsidP="005A35C2" w:rsidRDefault="003A1C62" w14:paraId="7F192B69" w14:textId="4DA2481C">
      <w:pPr>
        <w:pStyle w:val="ListParagraph"/>
        <w:numPr>
          <w:ilvl w:val="0"/>
          <w:numId w:val="11"/>
        </w:numPr>
        <w:spacing w:after="60"/>
        <w:rPr>
          <w:rFonts w:eastAsia="Times New Roman"/>
        </w:rPr>
      </w:pPr>
      <w:r w:rsidRPr="008478AE">
        <w:rPr>
          <w:rFonts w:eastAsia="Times New Roman"/>
        </w:rPr>
        <w:t xml:space="preserve">Part 2: </w:t>
      </w:r>
      <w:r w:rsidRPr="008478AE" w:rsidR="00593AA0">
        <w:rPr>
          <w:rFonts w:eastAsia="Times New Roman"/>
        </w:rPr>
        <w:t>Tribal Narrative</w:t>
      </w:r>
      <w:r w:rsidRPr="008478AE" w:rsidR="00014973">
        <w:rPr>
          <w:rFonts w:eastAsia="Times New Roman"/>
        </w:rPr>
        <w:t xml:space="preserve"> section</w:t>
      </w:r>
      <w:r w:rsidR="00F741E3">
        <w:rPr>
          <w:rFonts w:eastAsia="Times New Roman"/>
        </w:rPr>
        <w:t xml:space="preserve">. </w:t>
      </w:r>
      <w:r w:rsidRPr="008478AE" w:rsidR="00014973">
        <w:rPr>
          <w:rFonts w:eastAsia="Times New Roman"/>
        </w:rPr>
        <w:t xml:space="preserve"> </w:t>
      </w:r>
      <w:r w:rsidR="00F741E3">
        <w:rPr>
          <w:rFonts w:eastAsia="Times New Roman"/>
        </w:rPr>
        <w:t>P</w:t>
      </w:r>
      <w:r w:rsidR="001525D7">
        <w:rPr>
          <w:rFonts w:eastAsia="Times New Roman"/>
        </w:rPr>
        <w:t xml:space="preserve">rovides </w:t>
      </w:r>
      <w:r w:rsidR="00915E82">
        <w:rPr>
          <w:rFonts w:eastAsia="Times New Roman"/>
        </w:rPr>
        <w:t xml:space="preserve">clarifying </w:t>
      </w:r>
      <w:r w:rsidR="001525D7">
        <w:rPr>
          <w:rFonts w:eastAsia="Times New Roman"/>
        </w:rPr>
        <w:t xml:space="preserve">language </w:t>
      </w:r>
      <w:r w:rsidR="00915E82">
        <w:rPr>
          <w:rFonts w:eastAsia="Times New Roman"/>
        </w:rPr>
        <w:t>regarding</w:t>
      </w:r>
      <w:r w:rsidR="00197C8F">
        <w:rPr>
          <w:rFonts w:eastAsia="Times New Roman"/>
        </w:rPr>
        <w:t xml:space="preserve"> </w:t>
      </w:r>
      <w:r w:rsidRPr="008478AE" w:rsidR="001F3FC5">
        <w:rPr>
          <w:rFonts w:eastAsia="Times New Roman"/>
        </w:rPr>
        <w:t xml:space="preserve">information about quality improvement efforts </w:t>
      </w:r>
      <w:r w:rsidR="00676E72">
        <w:rPr>
          <w:rFonts w:eastAsia="Times New Roman"/>
        </w:rPr>
        <w:t>a</w:t>
      </w:r>
      <w:r w:rsidRPr="008478AE" w:rsidR="001F3FC5">
        <w:rPr>
          <w:rFonts w:eastAsia="Times New Roman"/>
        </w:rPr>
        <w:t xml:space="preserve"> </w:t>
      </w:r>
      <w:r w:rsidR="008B7A7E">
        <w:rPr>
          <w:rFonts w:eastAsia="Times New Roman"/>
        </w:rPr>
        <w:t>TLA</w:t>
      </w:r>
      <w:r w:rsidRPr="008478AE" w:rsidR="001F3FC5">
        <w:rPr>
          <w:rFonts w:eastAsia="Times New Roman"/>
        </w:rPr>
        <w:t xml:space="preserve"> funded during the Federal fiscal year, regardless of which year’s CCDF funds paid for those services. </w:t>
      </w:r>
      <w:r w:rsidR="005645A0">
        <w:rPr>
          <w:rFonts w:eastAsia="Times New Roman"/>
        </w:rPr>
        <w:t xml:space="preserve"> The a</w:t>
      </w:r>
      <w:r w:rsidRPr="008478AE" w:rsidR="001F3FC5">
        <w:rPr>
          <w:rFonts w:eastAsia="Times New Roman"/>
        </w:rPr>
        <w:t xml:space="preserve">dded language specifies that these funds could be broader CCDF dollars, or CCDF CARES Act moneys, or CCDF CRRSA Act dollars, or CCDF ARP Act </w:t>
      </w:r>
      <w:r w:rsidR="00F01BF3">
        <w:rPr>
          <w:rFonts w:eastAsia="Times New Roman"/>
        </w:rPr>
        <w:t xml:space="preserve">Discretionary Supplemental </w:t>
      </w:r>
      <w:r w:rsidRPr="008478AE" w:rsidR="001F3FC5">
        <w:rPr>
          <w:rFonts w:eastAsia="Times New Roman"/>
        </w:rPr>
        <w:t xml:space="preserve">funds. </w:t>
      </w:r>
      <w:r w:rsidR="00197C8F">
        <w:rPr>
          <w:rFonts w:eastAsia="Times New Roman"/>
        </w:rPr>
        <w:t xml:space="preserve"> </w:t>
      </w:r>
      <w:r w:rsidR="002E6726">
        <w:rPr>
          <w:rFonts w:eastAsia="Times New Roman"/>
        </w:rPr>
        <w:t xml:space="preserve">Language is </w:t>
      </w:r>
      <w:r w:rsidRPr="008478AE" w:rsidR="001F3FC5">
        <w:rPr>
          <w:rFonts w:eastAsia="Times New Roman"/>
        </w:rPr>
        <w:t>also added that directs</w:t>
      </w:r>
      <w:r w:rsidRPr="008478AE" w:rsidR="00364617">
        <w:rPr>
          <w:rFonts w:eastAsia="Times New Roman"/>
        </w:rPr>
        <w:t xml:space="preserve"> </w:t>
      </w:r>
      <w:r w:rsidR="00676E72">
        <w:rPr>
          <w:rFonts w:eastAsia="Times New Roman"/>
        </w:rPr>
        <w:t>TLAs</w:t>
      </w:r>
      <w:r w:rsidR="005645A0">
        <w:rPr>
          <w:rFonts w:eastAsia="Times New Roman"/>
        </w:rPr>
        <w:t xml:space="preserve"> </w:t>
      </w:r>
      <w:r w:rsidR="00F01BF3">
        <w:rPr>
          <w:rFonts w:eastAsia="Times New Roman"/>
        </w:rPr>
        <w:t>to</w:t>
      </w:r>
      <w:r w:rsidR="005645A0">
        <w:rPr>
          <w:rFonts w:eastAsia="Times New Roman"/>
        </w:rPr>
        <w:t xml:space="preserve"> </w:t>
      </w:r>
      <w:r w:rsidRPr="008478AE" w:rsidR="001F3FC5">
        <w:rPr>
          <w:rFonts w:eastAsia="Times New Roman"/>
        </w:rPr>
        <w:t xml:space="preserve">include further information about the ARP </w:t>
      </w:r>
      <w:r w:rsidR="005D0F06">
        <w:rPr>
          <w:rFonts w:eastAsia="Times New Roman"/>
        </w:rPr>
        <w:t>s</w:t>
      </w:r>
      <w:r w:rsidRPr="008478AE" w:rsidR="001F3FC5">
        <w:rPr>
          <w:rFonts w:eastAsia="Times New Roman"/>
        </w:rPr>
        <w:t xml:space="preserve">tabilization </w:t>
      </w:r>
      <w:r w:rsidR="005D0F06">
        <w:rPr>
          <w:rFonts w:eastAsia="Times New Roman"/>
        </w:rPr>
        <w:t>g</w:t>
      </w:r>
      <w:r w:rsidRPr="008478AE" w:rsidR="001F3FC5">
        <w:rPr>
          <w:rFonts w:eastAsia="Times New Roman"/>
        </w:rPr>
        <w:t>rants in the new Part 3: American Recovery Plan (ARP) Act Stabilization Grants.</w:t>
      </w:r>
    </w:p>
    <w:p w:rsidRPr="005645A0" w:rsidR="00F741E3" w:rsidP="005A35C2" w:rsidRDefault="00F741E3" w14:paraId="43CBE51F" w14:textId="77777777">
      <w:pPr>
        <w:spacing w:after="60"/>
      </w:pPr>
    </w:p>
    <w:p w:rsidRPr="001C487E" w:rsidR="003A1C62" w:rsidP="001C487E" w:rsidRDefault="003A1C62" w14:paraId="155ABA4D" w14:textId="2CE88BFB">
      <w:pPr>
        <w:pStyle w:val="ListParagraph"/>
        <w:numPr>
          <w:ilvl w:val="0"/>
          <w:numId w:val="11"/>
        </w:numPr>
        <w:spacing w:after="120"/>
        <w:rPr>
          <w:rFonts w:eastAsia="Times New Roman"/>
        </w:rPr>
      </w:pPr>
      <w:r w:rsidRPr="001C487E">
        <w:rPr>
          <w:rFonts w:eastAsia="Times New Roman"/>
        </w:rPr>
        <w:t xml:space="preserve">Part 3: </w:t>
      </w:r>
      <w:r w:rsidRPr="001C487E" w:rsidR="009F03E0">
        <w:rPr>
          <w:rFonts w:eastAsia="Times New Roman"/>
        </w:rPr>
        <w:t>American Recovery Plan (ARP) Act Stabilization Grants</w:t>
      </w:r>
      <w:r w:rsidR="005645A0">
        <w:rPr>
          <w:rFonts w:eastAsia="Times New Roman"/>
        </w:rPr>
        <w:t xml:space="preserve"> section</w:t>
      </w:r>
      <w:r w:rsidR="00C50BFE">
        <w:rPr>
          <w:rFonts w:eastAsia="Times New Roman"/>
        </w:rPr>
        <w:t xml:space="preserve">. </w:t>
      </w:r>
      <w:r w:rsidRPr="001C487E" w:rsidR="009F03E0">
        <w:rPr>
          <w:rFonts w:eastAsia="Times New Roman"/>
        </w:rPr>
        <w:t xml:space="preserve"> TLAs </w:t>
      </w:r>
      <w:r w:rsidRPr="001C487E">
        <w:rPr>
          <w:rFonts w:eastAsia="Times New Roman"/>
        </w:rPr>
        <w:t xml:space="preserve">will include </w:t>
      </w:r>
      <w:r w:rsidRPr="001C487E" w:rsidR="00054140">
        <w:rPr>
          <w:rFonts w:eastAsia="Times New Roman"/>
        </w:rPr>
        <w:t xml:space="preserve">new </w:t>
      </w:r>
      <w:r w:rsidRPr="001C487E">
        <w:rPr>
          <w:rFonts w:eastAsia="Times New Roman"/>
        </w:rPr>
        <w:t xml:space="preserve">annual aggregate data about the providers </w:t>
      </w:r>
      <w:r w:rsidR="00C50BFE">
        <w:rPr>
          <w:rFonts w:eastAsia="Times New Roman"/>
        </w:rPr>
        <w:t xml:space="preserve">that </w:t>
      </w:r>
      <w:r w:rsidRPr="001C487E">
        <w:rPr>
          <w:rFonts w:eastAsia="Times New Roman"/>
        </w:rPr>
        <w:t>were awarded stabilization grants during the Federal fiscal year, and characteristics of the awards</w:t>
      </w:r>
      <w:r w:rsidRPr="001C487E" w:rsidR="009F03E0">
        <w:rPr>
          <w:rFonts w:eastAsia="Times New Roman"/>
        </w:rPr>
        <w:t xml:space="preserve">. </w:t>
      </w:r>
      <w:r w:rsidR="008B7A7E">
        <w:rPr>
          <w:rFonts w:eastAsia="Times New Roman"/>
        </w:rPr>
        <w:t xml:space="preserve">The data elements are consistent with new reporting for states and territories on the stabilization grants that is under review by OMB.  </w:t>
      </w:r>
      <w:r w:rsidRPr="001C487E" w:rsidR="009F03E0">
        <w:rPr>
          <w:rFonts w:eastAsia="Times New Roman"/>
        </w:rPr>
        <w:t>This includes:</w:t>
      </w:r>
    </w:p>
    <w:p w:rsidRPr="006907B4" w:rsidR="006907B4" w:rsidP="009F03E0" w:rsidRDefault="006907B4" w14:paraId="15A66C72" w14:textId="637A41F5">
      <w:pPr>
        <w:pStyle w:val="TableParagraph"/>
        <w:numPr>
          <w:ilvl w:val="0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Number of stabilization grants awarded during the fiscal year to:</w:t>
      </w:r>
    </w:p>
    <w:p w:rsidRPr="006907B4" w:rsidR="006907B4" w:rsidP="009F03E0" w:rsidRDefault="006907B4" w14:paraId="2C9B0ABC" w14:textId="0785FEAD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Family </w:t>
      </w:r>
      <w:r w:rsidR="00DD42EF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H</w:t>
      </w: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ome providers</w:t>
      </w:r>
    </w:p>
    <w:p w:rsidRPr="006907B4" w:rsidR="006907B4" w:rsidP="009F03E0" w:rsidRDefault="006907B4" w14:paraId="52F7A669" w14:textId="3D366FBE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Center providers</w:t>
      </w:r>
    </w:p>
    <w:p w:rsidRPr="006907B4" w:rsidR="006907B4" w:rsidP="009F03E0" w:rsidRDefault="006907B4" w14:paraId="01B7FB5E" w14:textId="6FFD61CE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Providers </w:t>
      </w:r>
      <w:r w:rsidRPr="006907B4" w:rsidR="00556558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at</w:t>
      </w:r>
      <w:r w:rsidR="00556558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 </w:t>
      </w:r>
      <w:r w:rsidR="00C861E9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C</w:t>
      </w:r>
      <w:r w:rsidRPr="006907B4" w:rsidR="00556558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hild’s</w:t>
      </w: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 </w:t>
      </w:r>
      <w:r w:rsidR="00C861E9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H</w:t>
      </w: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ome</w:t>
      </w:r>
    </w:p>
    <w:p w:rsidRPr="006907B4" w:rsidR="006907B4" w:rsidP="009F03E0" w:rsidRDefault="006907B4" w14:paraId="0A32E3DF" w14:textId="082D5AD8">
      <w:pPr>
        <w:pStyle w:val="TableParagraph"/>
        <w:numPr>
          <w:ilvl w:val="0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Average provider total licensed or identified capacity (i.e., number of children they can serve)</w:t>
      </w:r>
    </w:p>
    <w:p w:rsidRPr="006907B4" w:rsidR="006907B4" w:rsidP="009F03E0" w:rsidRDefault="006907B4" w14:paraId="5D5CA79F" w14:textId="0F300FDF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Average provider infant licensed or identified capacity (i.e., average number of infants they can serve)</w:t>
      </w:r>
    </w:p>
    <w:p w:rsidRPr="006907B4" w:rsidR="006907B4" w:rsidP="009F03E0" w:rsidRDefault="006907B4" w14:paraId="469765C7" w14:textId="722EF9BF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Average provider toddler licensed or identified capacity (i.e., average number of toddlers they can serve)</w:t>
      </w:r>
    </w:p>
    <w:p w:rsidRPr="006907B4" w:rsidR="006907B4" w:rsidP="009F03E0" w:rsidRDefault="006907B4" w14:paraId="39286AD8" w14:textId="407851A3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Average provider preschooler licensed or identified capacity (i.e., average number of preschoolers they can serve)</w:t>
      </w:r>
    </w:p>
    <w:p w:rsidRPr="006907B4" w:rsidR="006907B4" w:rsidP="009F03E0" w:rsidRDefault="006907B4" w14:paraId="5E97BB5B" w14:textId="03672D73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lastRenderedPageBreak/>
        <w:t>Average provider school-age children licensed or identified capacity (i.e., average number of school-age children they can serve)</w:t>
      </w:r>
    </w:p>
    <w:p w:rsidRPr="006907B4" w:rsidR="006907B4" w:rsidP="009F03E0" w:rsidRDefault="006907B4" w14:paraId="7DFB788F" w14:textId="36EB07B3">
      <w:pPr>
        <w:pStyle w:val="TableParagraph"/>
        <w:numPr>
          <w:ilvl w:val="0"/>
          <w:numId w:val="10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Stabilization grant award amounts </w:t>
      </w:r>
    </w:p>
    <w:p w:rsidRPr="006907B4" w:rsidR="006907B4" w:rsidP="002675FD" w:rsidRDefault="006907B4" w14:paraId="334CF25F" w14:textId="6E4ACDE1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Minimum award amount per provider</w:t>
      </w:r>
    </w:p>
    <w:p w:rsidRPr="006907B4" w:rsidR="006907B4" w:rsidP="002675FD" w:rsidRDefault="006907B4" w14:paraId="29FAFA0F" w14:textId="6C582854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Maximum award amount per provider</w:t>
      </w:r>
    </w:p>
    <w:p w:rsidRPr="006907B4" w:rsidR="006907B4" w:rsidP="002675FD" w:rsidRDefault="006907B4" w14:paraId="1C57D93C" w14:textId="624C738C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Average award amount per provider</w:t>
      </w:r>
    </w:p>
    <w:p w:rsidRPr="006907B4" w:rsidR="006907B4" w:rsidP="002675FD" w:rsidRDefault="006907B4" w14:paraId="713586B8" w14:textId="33A6C25C">
      <w:pPr>
        <w:pStyle w:val="TableParagraph"/>
        <w:numPr>
          <w:ilvl w:val="0"/>
          <w:numId w:val="10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Number of stabilization grants awarded to providers that, at the time of application, were serving children who received subsidy </w:t>
      </w:r>
    </w:p>
    <w:p w:rsidRPr="006907B4" w:rsidR="006907B4" w:rsidP="002675FD" w:rsidRDefault="006907B4" w14:paraId="2D7E3C54" w14:textId="481B11FE">
      <w:pPr>
        <w:pStyle w:val="TableParagraph"/>
        <w:numPr>
          <w:ilvl w:val="0"/>
          <w:numId w:val="10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Number of providers who temporarily closed due to public health, financial hardship, or other reasons relating to COVID-19</w:t>
      </w:r>
    </w:p>
    <w:p w:rsidRPr="006907B4" w:rsidR="006907B4" w:rsidP="002675FD" w:rsidRDefault="006907B4" w14:paraId="5EDD232D" w14:textId="083BE46C">
      <w:pPr>
        <w:pStyle w:val="TableParagraph"/>
        <w:numPr>
          <w:ilvl w:val="0"/>
          <w:numId w:val="10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Number of providers planning to use the stabilization grants for:</w:t>
      </w:r>
    </w:p>
    <w:p w:rsidRPr="006907B4" w:rsidR="006907B4" w:rsidP="002675FD" w:rsidRDefault="006907B4" w14:paraId="649B6C2F" w14:textId="07D548CD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6907B4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Personnel costs, including any sole proprietor or independent contractor-- employee benefits, premium pay, or costs for employee recruitment and retention</w:t>
      </w:r>
    </w:p>
    <w:p w:rsidRPr="002675FD" w:rsidR="006907B4" w:rsidP="002675FD" w:rsidRDefault="006907B4" w14:paraId="367E3D40" w14:textId="6CC5891D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2675FD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Rent, mortgage, utilities, facility maintenance or improvements, insurance</w:t>
      </w:r>
    </w:p>
    <w:p w:rsidRPr="002675FD" w:rsidR="006907B4" w:rsidP="002675FD" w:rsidRDefault="006907B4" w14:paraId="4321D8B0" w14:textId="19958D90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2675FD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Personal protective equipment cleaning and sanitization supplies and services, or training and professional development related to health and safety practices</w:t>
      </w:r>
    </w:p>
    <w:p w:rsidRPr="002675FD" w:rsidR="006907B4" w:rsidP="002675FD" w:rsidRDefault="006907B4" w14:paraId="23A33FB6" w14:textId="29BD835F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2675FD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Purchases of or updates to equipment and supplies to respond to the COVID–19 public health emergency</w:t>
      </w:r>
    </w:p>
    <w:p w:rsidRPr="002675FD" w:rsidR="006907B4" w:rsidP="002675FD" w:rsidRDefault="006907B4" w14:paraId="6AA7755F" w14:textId="0F0F1CE3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2675FD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Goods and services necessary to maintain or resume </w:t>
      </w:r>
      <w:proofErr w:type="gramStart"/>
      <w:r w:rsidRPr="002675FD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child care</w:t>
      </w:r>
      <w:proofErr w:type="gramEnd"/>
      <w:r w:rsidRPr="002675FD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 services </w:t>
      </w:r>
    </w:p>
    <w:p w:rsidR="006907B4" w:rsidP="002675FD" w:rsidRDefault="006907B4" w14:paraId="23A0E2E7" w14:textId="33FC98D5">
      <w:pPr>
        <w:pStyle w:val="TableParagraph"/>
        <w:numPr>
          <w:ilvl w:val="1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2675FD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Mental health supports for children and employees</w:t>
      </w:r>
    </w:p>
    <w:p w:rsidR="008B7A7E" w:rsidP="008B7A7E" w:rsidRDefault="008B7A7E" w14:paraId="5A3E623D" w14:textId="264B96BA">
      <w:pPr>
        <w:pStyle w:val="TableParagraph"/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</w:p>
    <w:p w:rsidRPr="0098058A" w:rsidR="00CE1928" w:rsidP="0098058A" w:rsidRDefault="000F1A5E" w14:paraId="3F21814F" w14:textId="49A1835C">
      <w:pPr>
        <w:pStyle w:val="TableParagraph"/>
        <w:spacing w:before="0"/>
        <w:ind w:left="0"/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0F1A5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These proposed changes do not</w:t>
      </w:r>
      <w:r w:rsidR="000F67A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 </w:t>
      </w:r>
      <w:r w:rsidRPr="000F1A5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impact the estimated average time to complete the ACF-</w:t>
      </w:r>
      <w:r w:rsidR="0033522D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7</w:t>
      </w:r>
      <w:r w:rsidRPr="000F1A5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00.</w:t>
      </w:r>
      <w:r w:rsidR="002675FD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  </w:t>
      </w:r>
      <w: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The updated form and instructions are included with this request.</w:t>
      </w:r>
    </w:p>
    <w:p w:rsidRPr="000F1A5E" w:rsidR="00CE1928" w:rsidP="000F1A5E" w:rsidRDefault="00CE1928" w14:paraId="7EB59B35" w14:textId="77777777"/>
    <w:p w:rsidR="0005680D" w:rsidP="00EC6C1E" w:rsidRDefault="0005680D" w14:paraId="7DBC6097" w14:textId="080D50E2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284B8E" w:rsidR="00284B8E" w:rsidP="0005680D" w:rsidRDefault="000F1A5E" w14:paraId="071F5D4A" w14:textId="3CCFC993">
      <w:r>
        <w:t>W</w:t>
      </w:r>
      <w:r w:rsidR="00284B8E">
        <w:t xml:space="preserve">e would like to provide guidance to </w:t>
      </w:r>
      <w:r w:rsidR="00D573A7">
        <w:t>T</w:t>
      </w:r>
      <w:r w:rsidR="003A3677">
        <w:t>ribal Lead Agencies</w:t>
      </w:r>
      <w:r w:rsidR="00D573A7">
        <w:t xml:space="preserve"> </w:t>
      </w:r>
      <w:r w:rsidR="00284B8E">
        <w:t xml:space="preserve">by the end of </w:t>
      </w:r>
      <w:r w:rsidR="003A3677">
        <w:t xml:space="preserve">September </w:t>
      </w:r>
      <w:r w:rsidR="00284B8E">
        <w:t>202</w:t>
      </w:r>
      <w:r w:rsidR="00B87554">
        <w:t>1</w:t>
      </w:r>
      <w:r w:rsidRPr="007826DA" w:rsidR="00284B8E">
        <w:t>.</w:t>
      </w:r>
    </w:p>
    <w:sectPr w:rsidRPr="00284B8E" w:rsidR="00284B8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AEC47" w14:textId="77777777" w:rsidR="005F704A" w:rsidRDefault="005F704A" w:rsidP="00284B8E">
      <w:r>
        <w:separator/>
      </w:r>
    </w:p>
  </w:endnote>
  <w:endnote w:type="continuationSeparator" w:id="0">
    <w:p w14:paraId="52807E9C" w14:textId="77777777" w:rsidR="005F704A" w:rsidRDefault="005F704A" w:rsidP="0028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6573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722EE" w14:textId="67B1447A" w:rsidR="00284B8E" w:rsidRDefault="00284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D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BD81C2" w14:textId="77777777" w:rsidR="00284B8E" w:rsidRDefault="00284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DFF5B" w14:textId="77777777" w:rsidR="005F704A" w:rsidRDefault="005F704A" w:rsidP="00284B8E">
      <w:r>
        <w:separator/>
      </w:r>
    </w:p>
  </w:footnote>
  <w:footnote w:type="continuationSeparator" w:id="0">
    <w:p w14:paraId="7FE548BF" w14:textId="77777777" w:rsidR="005F704A" w:rsidRDefault="005F704A" w:rsidP="00284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09F"/>
    <w:multiLevelType w:val="hybridMultilevel"/>
    <w:tmpl w:val="9238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076D"/>
    <w:multiLevelType w:val="hybridMultilevel"/>
    <w:tmpl w:val="062AE4F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0F3C2C34"/>
    <w:multiLevelType w:val="hybridMultilevel"/>
    <w:tmpl w:val="AA6219FE"/>
    <w:lvl w:ilvl="0" w:tplc="F9A4C4D4">
      <w:start w:val="1"/>
      <w:numFmt w:val="lowerLetter"/>
      <w:lvlText w:val="(%1)"/>
      <w:lvlJc w:val="left"/>
      <w:pPr>
        <w:ind w:left="47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20046BFA"/>
    <w:multiLevelType w:val="hybridMultilevel"/>
    <w:tmpl w:val="6BE0CCCC"/>
    <w:lvl w:ilvl="0" w:tplc="52D04A0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C41593"/>
    <w:multiLevelType w:val="hybridMultilevel"/>
    <w:tmpl w:val="57CA6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716FDE"/>
    <w:multiLevelType w:val="hybridMultilevel"/>
    <w:tmpl w:val="CDFE0FA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94798"/>
    <w:multiLevelType w:val="hybridMultilevel"/>
    <w:tmpl w:val="8BEED04A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8" w15:restartNumberingAfterBreak="0">
    <w:nsid w:val="4EF43D05"/>
    <w:multiLevelType w:val="hybridMultilevel"/>
    <w:tmpl w:val="3394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01D"/>
    <w:multiLevelType w:val="multilevel"/>
    <w:tmpl w:val="96C0B402"/>
    <w:lvl w:ilvl="0">
      <w:start w:val="15"/>
      <w:numFmt w:val="decimal"/>
      <w:lvlText w:val="%1-"/>
      <w:lvlJc w:val="left"/>
      <w:pPr>
        <w:ind w:left="460" w:hanging="460"/>
      </w:pPr>
      <w:rPr>
        <w:rFonts w:eastAsia="Times New Roman" w:hint="default"/>
      </w:rPr>
    </w:lvl>
    <w:lvl w:ilvl="1">
      <w:start w:val="1"/>
      <w:numFmt w:val="decimal"/>
      <w:lvlText w:val="%1-%2."/>
      <w:lvlJc w:val="left"/>
      <w:pPr>
        <w:ind w:left="572" w:hanging="460"/>
      </w:pPr>
      <w:rPr>
        <w:rFonts w:eastAsia="Times New Roman" w:hint="default"/>
      </w:rPr>
    </w:lvl>
    <w:lvl w:ilvl="2">
      <w:start w:val="1"/>
      <w:numFmt w:val="decimal"/>
      <w:lvlText w:val="%1-%2.%3."/>
      <w:lvlJc w:val="left"/>
      <w:pPr>
        <w:ind w:left="944" w:hanging="720"/>
      </w:pPr>
      <w:rPr>
        <w:rFonts w:eastAsia="Times New Roman" w:hint="default"/>
      </w:rPr>
    </w:lvl>
    <w:lvl w:ilvl="3">
      <w:start w:val="1"/>
      <w:numFmt w:val="decimal"/>
      <w:lvlText w:val="%1-%2.%3.%4."/>
      <w:lvlJc w:val="left"/>
      <w:pPr>
        <w:ind w:left="1056" w:hanging="720"/>
      </w:pPr>
      <w:rPr>
        <w:rFonts w:eastAsia="Times New Roman" w:hint="default"/>
      </w:rPr>
    </w:lvl>
    <w:lvl w:ilvl="4">
      <w:start w:val="1"/>
      <w:numFmt w:val="decimal"/>
      <w:lvlText w:val="%1-%2.%3.%4.%5."/>
      <w:lvlJc w:val="left"/>
      <w:pPr>
        <w:ind w:left="1528" w:hanging="1080"/>
      </w:pPr>
      <w:rPr>
        <w:rFonts w:eastAsia="Times New Roman" w:hint="default"/>
      </w:rPr>
    </w:lvl>
    <w:lvl w:ilvl="5">
      <w:start w:val="1"/>
      <w:numFmt w:val="decimal"/>
      <w:lvlText w:val="%1-%2.%3.%4.%5.%6."/>
      <w:lvlJc w:val="left"/>
      <w:pPr>
        <w:ind w:left="1640" w:hanging="1080"/>
      </w:pPr>
      <w:rPr>
        <w:rFonts w:eastAsia="Times New Roman" w:hint="default"/>
      </w:rPr>
    </w:lvl>
    <w:lvl w:ilvl="6">
      <w:start w:val="1"/>
      <w:numFmt w:val="decimal"/>
      <w:lvlText w:val="%1-%2.%3.%4.%5.%6.%7."/>
      <w:lvlJc w:val="left"/>
      <w:pPr>
        <w:ind w:left="2112" w:hanging="1440"/>
      </w:pPr>
      <w:rPr>
        <w:rFonts w:eastAsia="Times New Roman" w:hint="default"/>
      </w:rPr>
    </w:lvl>
    <w:lvl w:ilvl="7">
      <w:start w:val="1"/>
      <w:numFmt w:val="decimal"/>
      <w:lvlText w:val="%1-%2.%3.%4.%5.%6.%7.%8."/>
      <w:lvlJc w:val="left"/>
      <w:pPr>
        <w:ind w:left="2224" w:hanging="1440"/>
      </w:pPr>
      <w:rPr>
        <w:rFonts w:eastAsia="Times New Roman" w:hint="default"/>
      </w:rPr>
    </w:lvl>
    <w:lvl w:ilvl="8">
      <w:start w:val="1"/>
      <w:numFmt w:val="decimal"/>
      <w:lvlText w:val="%1-%2.%3.%4.%5.%6.%7.%8.%9."/>
      <w:lvlJc w:val="left"/>
      <w:pPr>
        <w:ind w:left="2696" w:hanging="1800"/>
      </w:pPr>
      <w:rPr>
        <w:rFonts w:eastAsia="Times New Roman" w:hint="default"/>
      </w:rPr>
    </w:lvl>
  </w:abstractNum>
  <w:abstractNum w:abstractNumId="10" w15:restartNumberingAfterBreak="0">
    <w:nsid w:val="644036AA"/>
    <w:multiLevelType w:val="hybridMultilevel"/>
    <w:tmpl w:val="987AE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136C44"/>
    <w:multiLevelType w:val="hybridMultilevel"/>
    <w:tmpl w:val="40CA02EA"/>
    <w:lvl w:ilvl="0" w:tplc="E0BAC2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4973"/>
    <w:rsid w:val="00024544"/>
    <w:rsid w:val="00054140"/>
    <w:rsid w:val="0005680D"/>
    <w:rsid w:val="00072F23"/>
    <w:rsid w:val="00080B6F"/>
    <w:rsid w:val="000C29B6"/>
    <w:rsid w:val="000F1A5E"/>
    <w:rsid w:val="000F2EF1"/>
    <w:rsid w:val="000F67AE"/>
    <w:rsid w:val="0010079D"/>
    <w:rsid w:val="00102CCB"/>
    <w:rsid w:val="00116024"/>
    <w:rsid w:val="00123F83"/>
    <w:rsid w:val="0012406C"/>
    <w:rsid w:val="00126A67"/>
    <w:rsid w:val="001319A7"/>
    <w:rsid w:val="00135BEC"/>
    <w:rsid w:val="0014151F"/>
    <w:rsid w:val="001525D7"/>
    <w:rsid w:val="00162CDD"/>
    <w:rsid w:val="001843AA"/>
    <w:rsid w:val="00194FCE"/>
    <w:rsid w:val="00197C8F"/>
    <w:rsid w:val="001C250D"/>
    <w:rsid w:val="001C359E"/>
    <w:rsid w:val="001C487E"/>
    <w:rsid w:val="001D46A4"/>
    <w:rsid w:val="001E3426"/>
    <w:rsid w:val="001E3C20"/>
    <w:rsid w:val="001E7F86"/>
    <w:rsid w:val="001F3FC5"/>
    <w:rsid w:val="001F6C8F"/>
    <w:rsid w:val="00201D4A"/>
    <w:rsid w:val="002042E1"/>
    <w:rsid w:val="00224EDF"/>
    <w:rsid w:val="00244EB9"/>
    <w:rsid w:val="002675FD"/>
    <w:rsid w:val="00284B8E"/>
    <w:rsid w:val="0028550C"/>
    <w:rsid w:val="002C7E39"/>
    <w:rsid w:val="002D0D03"/>
    <w:rsid w:val="002D3200"/>
    <w:rsid w:val="002E6726"/>
    <w:rsid w:val="002E7562"/>
    <w:rsid w:val="002F32BE"/>
    <w:rsid w:val="003004E6"/>
    <w:rsid w:val="00303F7C"/>
    <w:rsid w:val="003105DF"/>
    <w:rsid w:val="00331850"/>
    <w:rsid w:val="0033522D"/>
    <w:rsid w:val="003456C7"/>
    <w:rsid w:val="00360C85"/>
    <w:rsid w:val="00364431"/>
    <w:rsid w:val="00364617"/>
    <w:rsid w:val="00365756"/>
    <w:rsid w:val="003A1C62"/>
    <w:rsid w:val="003A1FBF"/>
    <w:rsid w:val="003A3677"/>
    <w:rsid w:val="003A60CF"/>
    <w:rsid w:val="003E5337"/>
    <w:rsid w:val="003F6D92"/>
    <w:rsid w:val="00410CE6"/>
    <w:rsid w:val="00412D70"/>
    <w:rsid w:val="00415227"/>
    <w:rsid w:val="00416E1B"/>
    <w:rsid w:val="00424A67"/>
    <w:rsid w:val="00480201"/>
    <w:rsid w:val="004E286E"/>
    <w:rsid w:val="0052502B"/>
    <w:rsid w:val="00525B39"/>
    <w:rsid w:val="00544B9F"/>
    <w:rsid w:val="00547C97"/>
    <w:rsid w:val="00556558"/>
    <w:rsid w:val="005645A0"/>
    <w:rsid w:val="005740E6"/>
    <w:rsid w:val="00590D6C"/>
    <w:rsid w:val="0059290C"/>
    <w:rsid w:val="00593AA0"/>
    <w:rsid w:val="005A1159"/>
    <w:rsid w:val="005A35C2"/>
    <w:rsid w:val="005B510A"/>
    <w:rsid w:val="005D0F06"/>
    <w:rsid w:val="005F704A"/>
    <w:rsid w:val="00604248"/>
    <w:rsid w:val="00614339"/>
    <w:rsid w:val="006253FE"/>
    <w:rsid w:val="006424C7"/>
    <w:rsid w:val="00655A01"/>
    <w:rsid w:val="006635B3"/>
    <w:rsid w:val="00676E72"/>
    <w:rsid w:val="006907B4"/>
    <w:rsid w:val="00691F1A"/>
    <w:rsid w:val="006C50DE"/>
    <w:rsid w:val="006D0732"/>
    <w:rsid w:val="007068B2"/>
    <w:rsid w:val="00713ADB"/>
    <w:rsid w:val="00730632"/>
    <w:rsid w:val="0074197C"/>
    <w:rsid w:val="0076367E"/>
    <w:rsid w:val="007736E0"/>
    <w:rsid w:val="00780B9D"/>
    <w:rsid w:val="007E748B"/>
    <w:rsid w:val="00822BAF"/>
    <w:rsid w:val="0084394B"/>
    <w:rsid w:val="008478AE"/>
    <w:rsid w:val="00860923"/>
    <w:rsid w:val="00865B6C"/>
    <w:rsid w:val="008716D9"/>
    <w:rsid w:val="00872420"/>
    <w:rsid w:val="008A75BF"/>
    <w:rsid w:val="008B3CBA"/>
    <w:rsid w:val="008B4AD9"/>
    <w:rsid w:val="008B7A7E"/>
    <w:rsid w:val="008E7F6F"/>
    <w:rsid w:val="00906C32"/>
    <w:rsid w:val="00906FD5"/>
    <w:rsid w:val="00915E82"/>
    <w:rsid w:val="00960CC8"/>
    <w:rsid w:val="0097376C"/>
    <w:rsid w:val="0098058A"/>
    <w:rsid w:val="00981386"/>
    <w:rsid w:val="00995018"/>
    <w:rsid w:val="00996FB9"/>
    <w:rsid w:val="00997070"/>
    <w:rsid w:val="009B4E3B"/>
    <w:rsid w:val="009E2837"/>
    <w:rsid w:val="009F03E0"/>
    <w:rsid w:val="00A01BD0"/>
    <w:rsid w:val="00A2727D"/>
    <w:rsid w:val="00A3288F"/>
    <w:rsid w:val="00A32935"/>
    <w:rsid w:val="00A405EE"/>
    <w:rsid w:val="00A44387"/>
    <w:rsid w:val="00A55F18"/>
    <w:rsid w:val="00AD2CAF"/>
    <w:rsid w:val="00AF26A9"/>
    <w:rsid w:val="00B24C8C"/>
    <w:rsid w:val="00B41114"/>
    <w:rsid w:val="00B421C7"/>
    <w:rsid w:val="00B546B6"/>
    <w:rsid w:val="00B80526"/>
    <w:rsid w:val="00B84864"/>
    <w:rsid w:val="00B87554"/>
    <w:rsid w:val="00B95C94"/>
    <w:rsid w:val="00BA1346"/>
    <w:rsid w:val="00BA2A93"/>
    <w:rsid w:val="00BB0B72"/>
    <w:rsid w:val="00BC4A05"/>
    <w:rsid w:val="00BC63CF"/>
    <w:rsid w:val="00BD17D7"/>
    <w:rsid w:val="00BE7AFC"/>
    <w:rsid w:val="00C04E0B"/>
    <w:rsid w:val="00C1164A"/>
    <w:rsid w:val="00C45BD6"/>
    <w:rsid w:val="00C500FA"/>
    <w:rsid w:val="00C50BFE"/>
    <w:rsid w:val="00C54D53"/>
    <w:rsid w:val="00C55018"/>
    <w:rsid w:val="00C861E9"/>
    <w:rsid w:val="00C94A14"/>
    <w:rsid w:val="00CC62DB"/>
    <w:rsid w:val="00CE1928"/>
    <w:rsid w:val="00CF0023"/>
    <w:rsid w:val="00CF5551"/>
    <w:rsid w:val="00D12117"/>
    <w:rsid w:val="00D573A7"/>
    <w:rsid w:val="00D7732E"/>
    <w:rsid w:val="00DD42EF"/>
    <w:rsid w:val="00E00E27"/>
    <w:rsid w:val="00E260CC"/>
    <w:rsid w:val="00E3709D"/>
    <w:rsid w:val="00E43A9B"/>
    <w:rsid w:val="00E525D4"/>
    <w:rsid w:val="00E54CC1"/>
    <w:rsid w:val="00E760BA"/>
    <w:rsid w:val="00E9235F"/>
    <w:rsid w:val="00E945DC"/>
    <w:rsid w:val="00E94839"/>
    <w:rsid w:val="00EB3EE5"/>
    <w:rsid w:val="00EC45F0"/>
    <w:rsid w:val="00EC6C1E"/>
    <w:rsid w:val="00ED022D"/>
    <w:rsid w:val="00EE22D2"/>
    <w:rsid w:val="00EF14BC"/>
    <w:rsid w:val="00F01BF3"/>
    <w:rsid w:val="00F27D8D"/>
    <w:rsid w:val="00F27F68"/>
    <w:rsid w:val="00F4272B"/>
    <w:rsid w:val="00F456FD"/>
    <w:rsid w:val="00F45952"/>
    <w:rsid w:val="00F5408C"/>
    <w:rsid w:val="00F62709"/>
    <w:rsid w:val="00F66743"/>
    <w:rsid w:val="00F728B4"/>
    <w:rsid w:val="00F741E3"/>
    <w:rsid w:val="00F86678"/>
    <w:rsid w:val="00FB0012"/>
    <w:rsid w:val="00FC4C5B"/>
    <w:rsid w:val="00FD5B26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B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424C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24C7"/>
    <w:pPr>
      <w:suppressAutoHyphens w:val="0"/>
      <w:autoSpaceDE w:val="0"/>
      <w:autoSpaceDN w:val="0"/>
      <w:spacing w:before="2"/>
      <w:ind w:left="112"/>
    </w:pPr>
    <w:rPr>
      <w:rFonts w:ascii="Arial" w:eastAsia="Arial" w:hAnsi="Arial" w:cs="Arial"/>
      <w:kern w:val="0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6424C7"/>
    <w:pPr>
      <w:spacing w:after="0" w:line="240" w:lineRule="auto"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84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B8E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4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B8E"/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BD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paragraph" w:styleId="BodyText">
    <w:name w:val="Body Text"/>
    <w:basedOn w:val="Footer"/>
    <w:link w:val="BodyTextChar"/>
    <w:rsid w:val="00F741E3"/>
    <w:pPr>
      <w:widowControl/>
      <w:tabs>
        <w:tab w:val="clear" w:pos="4680"/>
        <w:tab w:val="clear" w:pos="9360"/>
      </w:tabs>
      <w:suppressAutoHyphens w:val="0"/>
    </w:pPr>
    <w:rPr>
      <w:rFonts w:eastAsia="Times New Roman"/>
      <w:kern w:val="0"/>
    </w:rPr>
  </w:style>
  <w:style w:type="character" w:customStyle="1" w:styleId="BodyTextChar">
    <w:name w:val="Body Text Char"/>
    <w:basedOn w:val="DefaultParagraphFont"/>
    <w:link w:val="BodyText"/>
    <w:rsid w:val="00F741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7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45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01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34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2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1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95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6</cp:revision>
  <dcterms:created xsi:type="dcterms:W3CDTF">2021-09-20T15:51:00Z</dcterms:created>
  <dcterms:modified xsi:type="dcterms:W3CDTF">2021-09-21T17:13:00Z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