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3979" w:rsidP="00294710" w:rsidRDefault="00A03979" w14:paraId="46F33516" w14:textId="29E121BB">
      <w:pPr>
        <w:spacing w:after="0" w:line="240" w:lineRule="auto"/>
        <w:jc w:val="center"/>
        <w:rPr>
          <w:b/>
          <w:bCs/>
          <w:sz w:val="24"/>
          <w:szCs w:val="24"/>
        </w:rPr>
      </w:pPr>
      <w:r w:rsidRPr="00A03979">
        <w:rPr>
          <w:b/>
          <w:bCs/>
          <w:sz w:val="24"/>
          <w:szCs w:val="24"/>
        </w:rPr>
        <w:t>Child Care Improper Payments Data Collection Instructions</w:t>
      </w:r>
      <w:r w:rsidR="004E5217">
        <w:rPr>
          <w:b/>
          <w:bCs/>
          <w:sz w:val="24"/>
          <w:szCs w:val="24"/>
        </w:rPr>
        <w:t xml:space="preserve">: </w:t>
      </w:r>
      <w:r w:rsidRPr="00A03979">
        <w:rPr>
          <w:b/>
          <w:bCs/>
          <w:sz w:val="24"/>
          <w:szCs w:val="24"/>
        </w:rPr>
        <w:t>60-day public comment period</w:t>
      </w:r>
      <w:r w:rsidR="004E5217">
        <w:rPr>
          <w:b/>
          <w:bCs/>
          <w:sz w:val="24"/>
          <w:szCs w:val="24"/>
        </w:rPr>
        <w:t xml:space="preserve"> </w:t>
      </w:r>
      <w:r w:rsidRPr="00A03979">
        <w:rPr>
          <w:b/>
          <w:bCs/>
          <w:sz w:val="24"/>
          <w:szCs w:val="24"/>
        </w:rPr>
        <w:t>OCC responses to New York</w:t>
      </w:r>
    </w:p>
    <w:p w:rsidRPr="00A03979" w:rsidR="004E5217" w:rsidP="004E5217" w:rsidRDefault="004E5217" w14:paraId="28EC8C21" w14:textId="77777777">
      <w:pPr>
        <w:spacing w:after="0" w:line="240" w:lineRule="auto"/>
        <w:rPr>
          <w:b/>
          <w:bCs/>
          <w:sz w:val="24"/>
          <w:szCs w:val="24"/>
        </w:rPr>
      </w:pPr>
    </w:p>
    <w:p w:rsidRPr="00877998" w:rsidR="003E1915" w:rsidP="00090E97" w:rsidRDefault="00465B90" w14:paraId="191E7D5D" w14:textId="4101FC59">
      <w:pPr>
        <w:pStyle w:val="ListParagraph"/>
        <w:numPr>
          <w:ilvl w:val="0"/>
          <w:numId w:val="4"/>
        </w:numPr>
        <w:spacing w:after="0"/>
        <w:contextualSpacing w:val="0"/>
        <w:rPr>
          <w:sz w:val="24"/>
          <w:szCs w:val="24"/>
        </w:rPr>
      </w:pPr>
      <w:r w:rsidRPr="00877998">
        <w:rPr>
          <w:b/>
          <w:bCs/>
          <w:sz w:val="24"/>
          <w:szCs w:val="24"/>
        </w:rPr>
        <w:t xml:space="preserve">The state </w:t>
      </w:r>
      <w:r w:rsidRPr="00877998" w:rsidR="005B6A4A">
        <w:rPr>
          <w:b/>
          <w:bCs/>
          <w:sz w:val="24"/>
          <w:szCs w:val="24"/>
        </w:rPr>
        <w:t xml:space="preserve">commented </w:t>
      </w:r>
      <w:r w:rsidRPr="00877998">
        <w:rPr>
          <w:b/>
          <w:bCs/>
          <w:sz w:val="24"/>
          <w:szCs w:val="24"/>
        </w:rPr>
        <w:t>that the DCI does not provide clear standards or sufficient detail on criteria for administrative and payment errors</w:t>
      </w:r>
      <w:r w:rsidRPr="00877998" w:rsidR="00D34CF2">
        <w:rPr>
          <w:b/>
          <w:bCs/>
          <w:sz w:val="24"/>
          <w:szCs w:val="24"/>
        </w:rPr>
        <w:t xml:space="preserve"> and instead leaves decisions about error definitions to the discretion of states. </w:t>
      </w:r>
      <w:r w:rsidRPr="00877998" w:rsidR="00384747">
        <w:rPr>
          <w:b/>
          <w:bCs/>
          <w:sz w:val="24"/>
          <w:szCs w:val="24"/>
        </w:rPr>
        <w:t>The state</w:t>
      </w:r>
      <w:r w:rsidRPr="00877998" w:rsidR="00B63CBB">
        <w:rPr>
          <w:b/>
          <w:bCs/>
          <w:sz w:val="24"/>
          <w:szCs w:val="24"/>
        </w:rPr>
        <w:t xml:space="preserve"> further </w:t>
      </w:r>
      <w:r w:rsidRPr="00877998" w:rsidR="00384747">
        <w:rPr>
          <w:b/>
          <w:bCs/>
          <w:sz w:val="24"/>
          <w:szCs w:val="24"/>
        </w:rPr>
        <w:t>noted</w:t>
      </w:r>
      <w:r w:rsidRPr="00877998" w:rsidR="00B63CBB">
        <w:rPr>
          <w:b/>
          <w:bCs/>
          <w:sz w:val="24"/>
          <w:szCs w:val="24"/>
        </w:rPr>
        <w:t xml:space="preserve"> </w:t>
      </w:r>
      <w:r w:rsidRPr="00877998" w:rsidR="00384747">
        <w:rPr>
          <w:b/>
          <w:bCs/>
          <w:sz w:val="24"/>
          <w:szCs w:val="24"/>
        </w:rPr>
        <w:t xml:space="preserve">that </w:t>
      </w:r>
      <w:r w:rsidRPr="00877998" w:rsidR="00B63CBB">
        <w:rPr>
          <w:b/>
          <w:bCs/>
          <w:sz w:val="24"/>
          <w:szCs w:val="24"/>
        </w:rPr>
        <w:t xml:space="preserve">this lack of a consistent framework increases the burden on Lead Agencies in fulfilling oversight activities and program integrity efforts </w:t>
      </w:r>
      <w:r w:rsidRPr="00877998" w:rsidR="00C4199B">
        <w:rPr>
          <w:b/>
          <w:bCs/>
          <w:sz w:val="24"/>
          <w:szCs w:val="24"/>
        </w:rPr>
        <w:t>due to a</w:t>
      </w:r>
      <w:r w:rsidRPr="00877998" w:rsidR="00B63CBB">
        <w:rPr>
          <w:b/>
          <w:bCs/>
          <w:sz w:val="24"/>
          <w:szCs w:val="24"/>
        </w:rPr>
        <w:t xml:space="preserve"> </w:t>
      </w:r>
      <w:r w:rsidRPr="00877998" w:rsidR="00C4199B">
        <w:rPr>
          <w:b/>
          <w:bCs/>
          <w:sz w:val="24"/>
          <w:szCs w:val="24"/>
        </w:rPr>
        <w:t>l</w:t>
      </w:r>
      <w:r w:rsidRPr="00877998" w:rsidR="00B63CBB">
        <w:rPr>
          <w:b/>
          <w:bCs/>
          <w:sz w:val="24"/>
          <w:szCs w:val="24"/>
        </w:rPr>
        <w:t xml:space="preserve">ack of clear and consistent performance measures. </w:t>
      </w:r>
    </w:p>
    <w:p w:rsidRPr="00877998" w:rsidR="003E1915" w:rsidP="003E1915" w:rsidRDefault="003E1915" w14:paraId="66F58F16" w14:textId="77777777">
      <w:pPr>
        <w:pStyle w:val="ListParagraph"/>
        <w:ind w:left="360"/>
        <w:rPr>
          <w:b/>
          <w:bCs/>
          <w:sz w:val="24"/>
          <w:szCs w:val="24"/>
        </w:rPr>
      </w:pPr>
    </w:p>
    <w:p w:rsidRPr="00877998" w:rsidR="00DB4978" w:rsidP="003E1915" w:rsidRDefault="003E1915" w14:paraId="03E26BE6" w14:textId="2D916B73">
      <w:pPr>
        <w:pStyle w:val="ListParagraph"/>
        <w:ind w:left="360"/>
        <w:rPr>
          <w:sz w:val="24"/>
          <w:szCs w:val="24"/>
          <w:u w:val="single"/>
        </w:rPr>
      </w:pPr>
      <w:r w:rsidRPr="00877998">
        <w:rPr>
          <w:sz w:val="24"/>
          <w:szCs w:val="24"/>
          <w:u w:val="single"/>
        </w:rPr>
        <w:t xml:space="preserve">OCC </w:t>
      </w:r>
      <w:r w:rsidRPr="00877998" w:rsidR="00DB4978">
        <w:rPr>
          <w:sz w:val="24"/>
          <w:szCs w:val="24"/>
          <w:u w:val="single"/>
        </w:rPr>
        <w:t>Response:</w:t>
      </w:r>
    </w:p>
    <w:p w:rsidRPr="00877998" w:rsidR="007864E2" w:rsidP="00090E97" w:rsidRDefault="00531E24" w14:paraId="17A7E5F7" w14:textId="44048A96">
      <w:pPr>
        <w:spacing w:after="60"/>
        <w:ind w:left="360"/>
        <w:rPr>
          <w:rFonts w:cstheme="minorHAnsi"/>
          <w:sz w:val="24"/>
          <w:szCs w:val="24"/>
        </w:rPr>
      </w:pPr>
      <w:r w:rsidRPr="00877998">
        <w:rPr>
          <w:rFonts w:cstheme="minorHAnsi"/>
          <w:sz w:val="24"/>
          <w:szCs w:val="24"/>
        </w:rPr>
        <w:t>The</w:t>
      </w:r>
      <w:r w:rsidRPr="00877998" w:rsidR="00793863">
        <w:rPr>
          <w:rFonts w:cstheme="minorHAnsi"/>
          <w:sz w:val="24"/>
          <w:szCs w:val="24"/>
        </w:rPr>
        <w:t xml:space="preserve"> </w:t>
      </w:r>
      <w:r w:rsidRPr="00877998" w:rsidR="00FE3A64">
        <w:rPr>
          <w:rFonts w:cstheme="minorHAnsi"/>
          <w:sz w:val="24"/>
          <w:szCs w:val="24"/>
        </w:rPr>
        <w:t xml:space="preserve">Child Care and Development Block Grant </w:t>
      </w:r>
      <w:r w:rsidRPr="00877998" w:rsidR="00751531">
        <w:rPr>
          <w:rFonts w:cstheme="minorHAnsi"/>
          <w:sz w:val="24"/>
          <w:szCs w:val="24"/>
        </w:rPr>
        <w:t>(CCDBG)</w:t>
      </w:r>
      <w:r w:rsidRPr="00877998">
        <w:rPr>
          <w:rFonts w:cstheme="minorHAnsi"/>
          <w:sz w:val="24"/>
          <w:szCs w:val="24"/>
        </w:rPr>
        <w:t xml:space="preserve"> </w:t>
      </w:r>
      <w:r w:rsidRPr="00877998" w:rsidR="00347FF9">
        <w:rPr>
          <w:rFonts w:cstheme="minorHAnsi"/>
          <w:sz w:val="24"/>
          <w:szCs w:val="24"/>
        </w:rPr>
        <w:t xml:space="preserve">Act </w:t>
      </w:r>
      <w:r w:rsidRPr="00877998" w:rsidR="00A72C3A">
        <w:rPr>
          <w:rFonts w:cstheme="minorHAnsi"/>
          <w:sz w:val="24"/>
          <w:szCs w:val="24"/>
        </w:rPr>
        <w:t>(</w:t>
      </w:r>
      <w:r w:rsidRPr="00877998" w:rsidR="00A72C3A">
        <w:rPr>
          <w:sz w:val="24"/>
          <w:szCs w:val="24"/>
        </w:rPr>
        <w:t xml:space="preserve">42 U.S.C. 9857 </w:t>
      </w:r>
      <w:r w:rsidRPr="00877998" w:rsidR="00A72C3A">
        <w:rPr>
          <w:i/>
          <w:iCs/>
          <w:sz w:val="24"/>
          <w:szCs w:val="24"/>
        </w:rPr>
        <w:t>et seq</w:t>
      </w:r>
      <w:r w:rsidRPr="00877998" w:rsidR="00A72C3A">
        <w:rPr>
          <w:sz w:val="24"/>
          <w:szCs w:val="24"/>
        </w:rPr>
        <w:t xml:space="preserve">.) </w:t>
      </w:r>
      <w:r w:rsidRPr="00877998">
        <w:rPr>
          <w:rFonts w:cstheme="minorHAnsi"/>
          <w:sz w:val="24"/>
          <w:szCs w:val="24"/>
        </w:rPr>
        <w:t xml:space="preserve">allows </w:t>
      </w:r>
      <w:r w:rsidRPr="00877998" w:rsidR="009F0110">
        <w:rPr>
          <w:rFonts w:cstheme="minorHAnsi"/>
          <w:sz w:val="24"/>
          <w:szCs w:val="24"/>
        </w:rPr>
        <w:t xml:space="preserve">states flexibility </w:t>
      </w:r>
      <w:r w:rsidRPr="00877998" w:rsidR="006F5D12">
        <w:rPr>
          <w:rFonts w:cstheme="minorHAnsi"/>
          <w:sz w:val="24"/>
          <w:szCs w:val="24"/>
        </w:rPr>
        <w:t>in how they</w:t>
      </w:r>
      <w:r w:rsidRPr="00877998" w:rsidR="009F0110">
        <w:rPr>
          <w:rFonts w:cstheme="minorHAnsi"/>
          <w:sz w:val="24"/>
          <w:szCs w:val="24"/>
        </w:rPr>
        <w:t xml:space="preserve"> administer the </w:t>
      </w:r>
      <w:r w:rsidRPr="00877998" w:rsidR="00993B17">
        <w:rPr>
          <w:rFonts w:cstheme="minorHAnsi"/>
          <w:sz w:val="24"/>
          <w:szCs w:val="24"/>
        </w:rPr>
        <w:t>Child Care and Development Fund (CCDF)</w:t>
      </w:r>
      <w:r w:rsidRPr="00877998" w:rsidR="00070037">
        <w:rPr>
          <w:rFonts w:cstheme="minorHAnsi"/>
          <w:sz w:val="24"/>
          <w:szCs w:val="24"/>
        </w:rPr>
        <w:t xml:space="preserve"> program</w:t>
      </w:r>
      <w:r w:rsidRPr="00877998" w:rsidR="00FC4D6C">
        <w:rPr>
          <w:rFonts w:cstheme="minorHAnsi"/>
          <w:sz w:val="24"/>
          <w:szCs w:val="24"/>
        </w:rPr>
        <w:t xml:space="preserve">. </w:t>
      </w:r>
      <w:r w:rsidRPr="00877998" w:rsidR="00DB4978">
        <w:rPr>
          <w:rFonts w:cstheme="minorHAnsi"/>
          <w:sz w:val="24"/>
          <w:szCs w:val="24"/>
        </w:rPr>
        <w:t xml:space="preserve">In addition to federal </w:t>
      </w:r>
      <w:r w:rsidRPr="00877998" w:rsidR="005D1680">
        <w:rPr>
          <w:rFonts w:cstheme="minorHAnsi"/>
          <w:sz w:val="24"/>
          <w:szCs w:val="24"/>
        </w:rPr>
        <w:t>regulations</w:t>
      </w:r>
      <w:r w:rsidRPr="00877998" w:rsidR="00DB4978">
        <w:rPr>
          <w:rFonts w:cstheme="minorHAnsi"/>
          <w:sz w:val="24"/>
          <w:szCs w:val="24"/>
        </w:rPr>
        <w:t xml:space="preserve">, states have varying requirements for establishing and verifying eligibility. The </w:t>
      </w:r>
      <w:r w:rsidRPr="00877998" w:rsidR="00566BA3">
        <w:rPr>
          <w:rFonts w:cstheme="minorHAnsi"/>
          <w:sz w:val="24"/>
          <w:szCs w:val="24"/>
        </w:rPr>
        <w:t>error rate</w:t>
      </w:r>
      <w:r w:rsidRPr="00877998" w:rsidR="002A5FBD">
        <w:rPr>
          <w:rFonts w:cstheme="minorHAnsi"/>
          <w:sz w:val="24"/>
          <w:szCs w:val="24"/>
        </w:rPr>
        <w:t xml:space="preserve"> </w:t>
      </w:r>
      <w:r w:rsidRPr="00877998" w:rsidR="00DB4978">
        <w:rPr>
          <w:rFonts w:cstheme="minorHAnsi"/>
          <w:sz w:val="24"/>
          <w:szCs w:val="24"/>
        </w:rPr>
        <w:t xml:space="preserve">methodology </w:t>
      </w:r>
      <w:r w:rsidRPr="00877998" w:rsidR="002A5FBD">
        <w:rPr>
          <w:rFonts w:cstheme="minorHAnsi"/>
          <w:sz w:val="24"/>
          <w:szCs w:val="24"/>
        </w:rPr>
        <w:t xml:space="preserve">outlined in the Data Collection Instructions </w:t>
      </w:r>
      <w:r w:rsidRPr="00877998" w:rsidR="00DB4978">
        <w:rPr>
          <w:rFonts w:cstheme="minorHAnsi"/>
          <w:sz w:val="24"/>
          <w:szCs w:val="24"/>
        </w:rPr>
        <w:t xml:space="preserve">enables states to determine types of errors and their sources to reflect policies and procedures unique to each state. </w:t>
      </w:r>
      <w:r w:rsidRPr="00877998" w:rsidR="009C6A93">
        <w:rPr>
          <w:rFonts w:cstheme="minorHAnsi"/>
          <w:sz w:val="24"/>
          <w:szCs w:val="24"/>
        </w:rPr>
        <w:t xml:space="preserve">However, </w:t>
      </w:r>
      <w:r w:rsidRPr="00877998" w:rsidR="00087E23">
        <w:rPr>
          <w:rFonts w:cstheme="minorHAnsi"/>
          <w:sz w:val="24"/>
          <w:szCs w:val="24"/>
        </w:rPr>
        <w:t>all states must follow the regulations at 45 CFR 98 Subpart K – Error Rate Reporting. Th</w:t>
      </w:r>
      <w:r w:rsidRPr="00877998" w:rsidR="009C6A93">
        <w:rPr>
          <w:rFonts w:cstheme="minorHAnsi"/>
          <w:sz w:val="24"/>
          <w:szCs w:val="24"/>
        </w:rPr>
        <w:t>erefore</w:t>
      </w:r>
      <w:r w:rsidRPr="00877998" w:rsidR="00087E23">
        <w:rPr>
          <w:rFonts w:cstheme="minorHAnsi"/>
          <w:sz w:val="24"/>
          <w:szCs w:val="24"/>
        </w:rPr>
        <w:t>, w</w:t>
      </w:r>
      <w:r w:rsidRPr="00877998" w:rsidR="00804B88">
        <w:rPr>
          <w:rFonts w:cstheme="minorHAnsi"/>
          <w:sz w:val="24"/>
          <w:szCs w:val="24"/>
        </w:rPr>
        <w:t xml:space="preserve">hile states have some flexibility in defining errors, </w:t>
      </w:r>
      <w:r w:rsidRPr="00877998" w:rsidR="002D6142">
        <w:rPr>
          <w:rFonts w:cstheme="minorHAnsi"/>
          <w:sz w:val="24"/>
          <w:szCs w:val="24"/>
        </w:rPr>
        <w:t>the</w:t>
      </w:r>
      <w:r w:rsidRPr="00877998" w:rsidR="00FC4D6C">
        <w:rPr>
          <w:rFonts w:cstheme="minorHAnsi"/>
          <w:sz w:val="24"/>
          <w:szCs w:val="24"/>
        </w:rPr>
        <w:t>ir</w:t>
      </w:r>
      <w:r w:rsidRPr="00877998" w:rsidR="002D6142">
        <w:rPr>
          <w:rFonts w:cstheme="minorHAnsi"/>
          <w:sz w:val="24"/>
          <w:szCs w:val="24"/>
        </w:rPr>
        <w:t xml:space="preserve"> definitions must be consistent with the</w:t>
      </w:r>
      <w:r w:rsidRPr="00877998" w:rsidR="003C649C">
        <w:rPr>
          <w:rFonts w:cstheme="minorHAnsi"/>
          <w:sz w:val="24"/>
          <w:szCs w:val="24"/>
        </w:rPr>
        <w:t xml:space="preserve"> </w:t>
      </w:r>
      <w:r w:rsidRPr="00877998" w:rsidR="00793863">
        <w:rPr>
          <w:rFonts w:cstheme="minorHAnsi"/>
          <w:sz w:val="24"/>
          <w:szCs w:val="24"/>
        </w:rPr>
        <w:t xml:space="preserve">definitions </w:t>
      </w:r>
      <w:r w:rsidRPr="00877998" w:rsidR="00DC49E4">
        <w:rPr>
          <w:rFonts w:cstheme="minorHAnsi"/>
          <w:sz w:val="24"/>
          <w:szCs w:val="24"/>
        </w:rPr>
        <w:t>of “error” and “impr</w:t>
      </w:r>
      <w:r w:rsidRPr="00877998" w:rsidR="00FC4D6C">
        <w:rPr>
          <w:rFonts w:cstheme="minorHAnsi"/>
          <w:sz w:val="24"/>
          <w:szCs w:val="24"/>
        </w:rPr>
        <w:t xml:space="preserve">oper payment” </w:t>
      </w:r>
      <w:r w:rsidRPr="00877998" w:rsidR="00793863">
        <w:rPr>
          <w:rFonts w:cstheme="minorHAnsi"/>
          <w:sz w:val="24"/>
          <w:szCs w:val="24"/>
        </w:rPr>
        <w:t xml:space="preserve">provided </w:t>
      </w:r>
      <w:r w:rsidRPr="00877998" w:rsidR="0030146F">
        <w:rPr>
          <w:rFonts w:cstheme="minorHAnsi"/>
          <w:sz w:val="24"/>
          <w:szCs w:val="24"/>
        </w:rPr>
        <w:t xml:space="preserve">at 45 CFR </w:t>
      </w:r>
      <w:r w:rsidRPr="00877998" w:rsidR="00CF6DDA">
        <w:rPr>
          <w:rFonts w:cstheme="minorHAnsi"/>
          <w:sz w:val="24"/>
          <w:szCs w:val="24"/>
        </w:rPr>
        <w:t>98.100</w:t>
      </w:r>
      <w:r w:rsidRPr="00877998" w:rsidR="006E5F15">
        <w:rPr>
          <w:rFonts w:cstheme="minorHAnsi"/>
          <w:sz w:val="24"/>
          <w:szCs w:val="24"/>
        </w:rPr>
        <w:t xml:space="preserve">. </w:t>
      </w:r>
    </w:p>
    <w:p w:rsidRPr="00877998" w:rsidR="00347FF9" w:rsidP="00347FF9" w:rsidRDefault="00347FF9" w14:paraId="4BFEF52D" w14:textId="77777777">
      <w:pPr>
        <w:spacing w:after="60"/>
        <w:ind w:left="360"/>
        <w:rPr>
          <w:rFonts w:cstheme="minorHAnsi"/>
          <w:sz w:val="24"/>
          <w:szCs w:val="24"/>
        </w:rPr>
      </w:pPr>
    </w:p>
    <w:p w:rsidRPr="00877998" w:rsidR="00DB4978" w:rsidP="003E1915" w:rsidRDefault="007864E2" w14:paraId="26B8E1F1" w14:textId="100225FA">
      <w:pPr>
        <w:pStyle w:val="ListParagraph"/>
        <w:numPr>
          <w:ilvl w:val="0"/>
          <w:numId w:val="4"/>
        </w:numPr>
        <w:rPr>
          <w:sz w:val="24"/>
          <w:szCs w:val="24"/>
        </w:rPr>
      </w:pPr>
      <w:r w:rsidRPr="00877998">
        <w:rPr>
          <w:b/>
          <w:bCs/>
          <w:sz w:val="24"/>
          <w:szCs w:val="24"/>
        </w:rPr>
        <w:t xml:space="preserve">The state </w:t>
      </w:r>
      <w:r w:rsidRPr="00877998" w:rsidR="003E1915">
        <w:rPr>
          <w:b/>
          <w:bCs/>
          <w:sz w:val="24"/>
          <w:szCs w:val="24"/>
        </w:rPr>
        <w:t>recommended</w:t>
      </w:r>
      <w:r w:rsidRPr="00877998">
        <w:rPr>
          <w:b/>
          <w:bCs/>
          <w:sz w:val="24"/>
          <w:szCs w:val="24"/>
        </w:rPr>
        <w:t xml:space="preserve"> OCC standardize the review process to be based on federal criteria only, excluding state regulations to the extent practicable. The state noted that standardizing the review process based on federal criteria would </w:t>
      </w:r>
      <w:r w:rsidRPr="00877998" w:rsidR="00067B0C">
        <w:rPr>
          <w:b/>
          <w:bCs/>
          <w:sz w:val="24"/>
          <w:szCs w:val="24"/>
        </w:rPr>
        <w:t xml:space="preserve">provide </w:t>
      </w:r>
      <w:r w:rsidRPr="00877998" w:rsidR="001463E1">
        <w:rPr>
          <w:b/>
          <w:bCs/>
          <w:sz w:val="24"/>
          <w:szCs w:val="24"/>
        </w:rPr>
        <w:t xml:space="preserve">more </w:t>
      </w:r>
      <w:r w:rsidRPr="00877998">
        <w:rPr>
          <w:b/>
          <w:bCs/>
          <w:sz w:val="24"/>
          <w:szCs w:val="24"/>
        </w:rPr>
        <w:t>m</w:t>
      </w:r>
      <w:r w:rsidRPr="00877998" w:rsidR="00067B0C">
        <w:rPr>
          <w:b/>
          <w:bCs/>
          <w:sz w:val="24"/>
          <w:szCs w:val="24"/>
        </w:rPr>
        <w:t>eaningful</w:t>
      </w:r>
      <w:r w:rsidRPr="00877998" w:rsidR="00062F0B">
        <w:rPr>
          <w:b/>
          <w:bCs/>
          <w:sz w:val="24"/>
          <w:szCs w:val="24"/>
        </w:rPr>
        <w:t xml:space="preserve"> measures to </w:t>
      </w:r>
      <w:r w:rsidRPr="00877998">
        <w:rPr>
          <w:b/>
          <w:bCs/>
          <w:sz w:val="24"/>
          <w:szCs w:val="24"/>
        </w:rPr>
        <w:t xml:space="preserve">draw comparisons across states and </w:t>
      </w:r>
      <w:r w:rsidRPr="00877998" w:rsidR="00067B0C">
        <w:rPr>
          <w:b/>
          <w:bCs/>
          <w:sz w:val="24"/>
          <w:szCs w:val="24"/>
        </w:rPr>
        <w:t xml:space="preserve">more accurate assessments of states’ </w:t>
      </w:r>
      <w:r w:rsidRPr="00877998" w:rsidR="00707A54">
        <w:rPr>
          <w:b/>
          <w:bCs/>
          <w:sz w:val="24"/>
          <w:szCs w:val="24"/>
        </w:rPr>
        <w:t>compliance</w:t>
      </w:r>
      <w:r w:rsidRPr="00877998" w:rsidR="00067B0C">
        <w:rPr>
          <w:b/>
          <w:bCs/>
          <w:sz w:val="24"/>
          <w:szCs w:val="24"/>
        </w:rPr>
        <w:t xml:space="preserve"> with </w:t>
      </w:r>
      <w:r w:rsidRPr="00877998" w:rsidR="00707A54">
        <w:rPr>
          <w:b/>
          <w:bCs/>
          <w:sz w:val="24"/>
          <w:szCs w:val="24"/>
        </w:rPr>
        <w:t>federal</w:t>
      </w:r>
      <w:r w:rsidRPr="00877998" w:rsidR="00067B0C">
        <w:rPr>
          <w:b/>
          <w:bCs/>
          <w:sz w:val="24"/>
          <w:szCs w:val="24"/>
        </w:rPr>
        <w:t xml:space="preserve"> </w:t>
      </w:r>
      <w:r w:rsidRPr="00877998" w:rsidR="00707A54">
        <w:rPr>
          <w:b/>
          <w:bCs/>
          <w:sz w:val="24"/>
          <w:szCs w:val="24"/>
        </w:rPr>
        <w:t>objectives.</w:t>
      </w:r>
    </w:p>
    <w:p w:rsidRPr="00877998" w:rsidR="00A64091" w:rsidP="00877998" w:rsidRDefault="00A64091" w14:paraId="66D6C393" w14:textId="6314C451">
      <w:pPr>
        <w:pStyle w:val="NormalWeb"/>
        <w:shd w:val="clear" w:color="auto" w:fill="FFFFFF"/>
        <w:ind w:left="360"/>
        <w:rPr>
          <w:rFonts w:asciiTheme="minorHAnsi" w:hAnsiTheme="minorHAnsi" w:cstheme="minorHAnsi"/>
          <w:u w:val="single"/>
        </w:rPr>
      </w:pPr>
      <w:r w:rsidRPr="00877998">
        <w:rPr>
          <w:rFonts w:asciiTheme="minorHAnsi" w:hAnsiTheme="minorHAnsi" w:cstheme="minorHAnsi"/>
          <w:u w:val="single"/>
        </w:rPr>
        <w:t>OCC response:</w:t>
      </w:r>
    </w:p>
    <w:p w:rsidR="007233F2" w:rsidP="00090E97" w:rsidRDefault="00BD5C2A" w14:paraId="09D4E007" w14:textId="6348BE5A">
      <w:pPr>
        <w:pStyle w:val="NormalWeb"/>
        <w:shd w:val="clear" w:color="auto" w:fill="FFFFFF"/>
        <w:spacing w:line="259" w:lineRule="auto"/>
        <w:ind w:left="360"/>
        <w:rPr>
          <w:rFonts w:asciiTheme="minorHAnsi" w:hAnsiTheme="minorHAnsi" w:cstheme="minorHAnsi"/>
        </w:rPr>
      </w:pPr>
      <w:r w:rsidRPr="00877998">
        <w:rPr>
          <w:rFonts w:asciiTheme="minorHAnsi" w:hAnsiTheme="minorHAnsi" w:cstheme="minorHAnsi"/>
        </w:rPr>
        <w:t xml:space="preserve">States are required to determine eligibility for CCDF services </w:t>
      </w:r>
      <w:r w:rsidRPr="00877998" w:rsidR="00374E81">
        <w:rPr>
          <w:rFonts w:asciiTheme="minorHAnsi" w:hAnsiTheme="minorHAnsi" w:cstheme="minorHAnsi"/>
        </w:rPr>
        <w:t>according to the regulations a</w:t>
      </w:r>
      <w:r w:rsidRPr="00877998" w:rsidR="005657FF">
        <w:rPr>
          <w:rFonts w:asciiTheme="minorHAnsi" w:hAnsiTheme="minorHAnsi" w:cstheme="minorHAnsi"/>
        </w:rPr>
        <w:t>t</w:t>
      </w:r>
      <w:r w:rsidRPr="00877998" w:rsidR="00374E81">
        <w:rPr>
          <w:rFonts w:asciiTheme="minorHAnsi" w:hAnsiTheme="minorHAnsi" w:cstheme="minorHAnsi"/>
        </w:rPr>
        <w:t xml:space="preserve"> </w:t>
      </w:r>
      <w:r w:rsidRPr="00877998">
        <w:rPr>
          <w:rFonts w:asciiTheme="minorHAnsi" w:hAnsiTheme="minorHAnsi" w:cstheme="minorHAnsi"/>
        </w:rPr>
        <w:t xml:space="preserve">45 CFR </w:t>
      </w:r>
      <w:r w:rsidRPr="00877998" w:rsidR="003A5D1E">
        <w:rPr>
          <w:rFonts w:asciiTheme="minorHAnsi" w:hAnsiTheme="minorHAnsi" w:cstheme="minorHAnsi"/>
        </w:rPr>
        <w:t xml:space="preserve">98.20. </w:t>
      </w:r>
      <w:r w:rsidRPr="00877998" w:rsidR="00374E81">
        <w:rPr>
          <w:rFonts w:asciiTheme="minorHAnsi" w:hAnsiTheme="minorHAnsi" w:cstheme="minorHAnsi"/>
        </w:rPr>
        <w:t xml:space="preserve">In addition, states may establish </w:t>
      </w:r>
      <w:r w:rsidRPr="00877998" w:rsidR="00AF2942">
        <w:rPr>
          <w:rFonts w:asciiTheme="minorHAnsi" w:hAnsiTheme="minorHAnsi" w:cstheme="minorHAnsi"/>
        </w:rPr>
        <w:t>eligibility conditions or priority rules</w:t>
      </w:r>
      <w:r w:rsidRPr="00877998" w:rsidR="00795D61">
        <w:rPr>
          <w:rFonts w:asciiTheme="minorHAnsi" w:hAnsiTheme="minorHAnsi" w:cstheme="minorHAnsi"/>
        </w:rPr>
        <w:t xml:space="preserve"> in addition to the federal regulations</w:t>
      </w:r>
      <w:r w:rsidRPr="00877998" w:rsidR="00AF2942">
        <w:rPr>
          <w:rFonts w:asciiTheme="minorHAnsi" w:hAnsiTheme="minorHAnsi" w:cstheme="minorHAnsi"/>
        </w:rPr>
        <w:t xml:space="preserve"> as described at 98.20</w:t>
      </w:r>
      <w:r w:rsidRPr="00877998" w:rsidR="003A5D1E">
        <w:rPr>
          <w:rFonts w:asciiTheme="minorHAnsi" w:hAnsiTheme="minorHAnsi" w:cstheme="minorHAnsi"/>
        </w:rPr>
        <w:t>(b)</w:t>
      </w:r>
      <w:r w:rsidRPr="00877998" w:rsidR="00AF2942">
        <w:rPr>
          <w:rFonts w:asciiTheme="minorHAnsi" w:hAnsiTheme="minorHAnsi" w:cstheme="minorHAnsi"/>
        </w:rPr>
        <w:t xml:space="preserve">. </w:t>
      </w:r>
      <w:r w:rsidRPr="00877998" w:rsidR="007233F2">
        <w:rPr>
          <w:rFonts w:asciiTheme="minorHAnsi" w:hAnsiTheme="minorHAnsi" w:cstheme="minorHAnsi"/>
        </w:rPr>
        <w:t xml:space="preserve">The </w:t>
      </w:r>
      <w:r w:rsidRPr="00877998" w:rsidR="00795D61">
        <w:rPr>
          <w:rFonts w:asciiTheme="minorHAnsi" w:hAnsiTheme="minorHAnsi" w:cstheme="minorHAnsi"/>
        </w:rPr>
        <w:t xml:space="preserve">CCDF </w:t>
      </w:r>
      <w:r w:rsidRPr="00877998" w:rsidR="00566BA3">
        <w:rPr>
          <w:rFonts w:asciiTheme="minorHAnsi" w:hAnsiTheme="minorHAnsi" w:cstheme="minorHAnsi"/>
        </w:rPr>
        <w:t>error rate</w:t>
      </w:r>
      <w:r w:rsidRPr="00877998" w:rsidR="007233F2">
        <w:rPr>
          <w:rFonts w:asciiTheme="minorHAnsi" w:hAnsiTheme="minorHAnsi" w:cstheme="minorHAnsi"/>
        </w:rPr>
        <w:t xml:space="preserve"> </w:t>
      </w:r>
      <w:r w:rsidRPr="00877998" w:rsidR="00795D61">
        <w:rPr>
          <w:rFonts w:asciiTheme="minorHAnsi" w:hAnsiTheme="minorHAnsi" w:cstheme="minorHAnsi"/>
        </w:rPr>
        <w:t>r</w:t>
      </w:r>
      <w:r w:rsidRPr="00877998" w:rsidR="007233F2">
        <w:rPr>
          <w:rFonts w:asciiTheme="minorHAnsi" w:hAnsiTheme="minorHAnsi" w:cstheme="minorHAnsi"/>
        </w:rPr>
        <w:t xml:space="preserve">eview </w:t>
      </w:r>
      <w:r w:rsidRPr="00877998" w:rsidR="0048690D">
        <w:rPr>
          <w:rFonts w:asciiTheme="minorHAnsi" w:hAnsiTheme="minorHAnsi" w:cstheme="minorHAnsi"/>
        </w:rPr>
        <w:t>focuses on a review of</w:t>
      </w:r>
      <w:r w:rsidRPr="00877998" w:rsidR="007233F2">
        <w:rPr>
          <w:rFonts w:asciiTheme="minorHAnsi" w:hAnsiTheme="minorHAnsi" w:cstheme="minorHAnsi"/>
        </w:rPr>
        <w:t xml:space="preserve"> states’ eligibility processes to determine </w:t>
      </w:r>
      <w:r w:rsidRPr="00877998" w:rsidR="00167996">
        <w:rPr>
          <w:rFonts w:asciiTheme="minorHAnsi" w:hAnsiTheme="minorHAnsi" w:cstheme="minorHAnsi"/>
        </w:rPr>
        <w:t xml:space="preserve">whether </w:t>
      </w:r>
      <w:r w:rsidRPr="00877998" w:rsidR="007233F2">
        <w:rPr>
          <w:rFonts w:asciiTheme="minorHAnsi" w:hAnsiTheme="minorHAnsi" w:cstheme="minorHAnsi"/>
        </w:rPr>
        <w:t>error</w:t>
      </w:r>
      <w:r w:rsidRPr="00877998" w:rsidR="00167996">
        <w:rPr>
          <w:rFonts w:asciiTheme="minorHAnsi" w:hAnsiTheme="minorHAnsi" w:cstheme="minorHAnsi"/>
        </w:rPr>
        <w:t>s were made</w:t>
      </w:r>
      <w:r w:rsidRPr="00877998" w:rsidR="007233F2">
        <w:rPr>
          <w:rFonts w:asciiTheme="minorHAnsi" w:hAnsiTheme="minorHAnsi" w:cstheme="minorHAnsi"/>
        </w:rPr>
        <w:t xml:space="preserve">. </w:t>
      </w:r>
      <w:r w:rsidRPr="00877998" w:rsidR="00D70047">
        <w:rPr>
          <w:rFonts w:asciiTheme="minorHAnsi" w:hAnsiTheme="minorHAnsi" w:cstheme="minorHAnsi"/>
        </w:rPr>
        <w:t>The</w:t>
      </w:r>
      <w:r w:rsidRPr="00877998" w:rsidR="007233F2">
        <w:rPr>
          <w:rFonts w:asciiTheme="minorHAnsi" w:hAnsiTheme="minorHAnsi" w:cstheme="minorHAnsi"/>
        </w:rPr>
        <w:t xml:space="preserve"> regulations at 45 CFR 98.100 define “error” as any violation or misapplication of statutory, contractual, administrative, or other legally applicable requirements governing the administration of CCDF grant funds</w:t>
      </w:r>
      <w:r w:rsidRPr="00877998" w:rsidR="00D70047">
        <w:rPr>
          <w:rFonts w:asciiTheme="minorHAnsi" w:hAnsiTheme="minorHAnsi" w:cstheme="minorHAnsi"/>
        </w:rPr>
        <w:t>.</w:t>
      </w:r>
      <w:r w:rsidRPr="00877998" w:rsidR="00D61D31">
        <w:rPr>
          <w:rFonts w:asciiTheme="minorHAnsi" w:hAnsiTheme="minorHAnsi" w:cstheme="minorHAnsi"/>
        </w:rPr>
        <w:t xml:space="preserve"> Therefore, when reviewing case records, </w:t>
      </w:r>
      <w:r w:rsidRPr="00877998" w:rsidR="007233F2">
        <w:rPr>
          <w:rFonts w:asciiTheme="minorHAnsi" w:hAnsiTheme="minorHAnsi" w:cstheme="minorHAnsi"/>
        </w:rPr>
        <w:t xml:space="preserve">states must </w:t>
      </w:r>
      <w:r w:rsidRPr="00877998" w:rsidR="00D61D31">
        <w:rPr>
          <w:rFonts w:asciiTheme="minorHAnsi" w:hAnsiTheme="minorHAnsi" w:cstheme="minorHAnsi"/>
        </w:rPr>
        <w:t xml:space="preserve">consider </w:t>
      </w:r>
      <w:r w:rsidRPr="00877998" w:rsidR="00E852F6">
        <w:rPr>
          <w:rFonts w:asciiTheme="minorHAnsi" w:hAnsiTheme="minorHAnsi" w:cstheme="minorHAnsi"/>
        </w:rPr>
        <w:t xml:space="preserve">all </w:t>
      </w:r>
      <w:r w:rsidRPr="00877998" w:rsidR="00D5322D">
        <w:rPr>
          <w:rFonts w:asciiTheme="minorHAnsi" w:hAnsiTheme="minorHAnsi" w:cstheme="minorHAnsi"/>
        </w:rPr>
        <w:t xml:space="preserve">legally </w:t>
      </w:r>
      <w:r w:rsidRPr="00877998" w:rsidR="00E852F6">
        <w:rPr>
          <w:rFonts w:asciiTheme="minorHAnsi" w:hAnsiTheme="minorHAnsi" w:cstheme="minorHAnsi"/>
        </w:rPr>
        <w:t xml:space="preserve">applicable requirements, including both </w:t>
      </w:r>
      <w:r w:rsidRPr="00877998" w:rsidR="006E471E">
        <w:rPr>
          <w:rFonts w:asciiTheme="minorHAnsi" w:hAnsiTheme="minorHAnsi" w:cstheme="minorHAnsi"/>
        </w:rPr>
        <w:t>state and federal</w:t>
      </w:r>
      <w:r w:rsidRPr="00877998" w:rsidR="00E852F6">
        <w:rPr>
          <w:rFonts w:asciiTheme="minorHAnsi" w:hAnsiTheme="minorHAnsi" w:cstheme="minorHAnsi"/>
        </w:rPr>
        <w:t xml:space="preserve">, </w:t>
      </w:r>
      <w:r w:rsidRPr="00877998" w:rsidR="004041DA">
        <w:rPr>
          <w:rFonts w:asciiTheme="minorHAnsi" w:hAnsiTheme="minorHAnsi" w:cstheme="minorHAnsi"/>
        </w:rPr>
        <w:t>to</w:t>
      </w:r>
      <w:r w:rsidRPr="00877998" w:rsidR="007233F2">
        <w:rPr>
          <w:rFonts w:asciiTheme="minorHAnsi" w:hAnsiTheme="minorHAnsi" w:cstheme="minorHAnsi"/>
        </w:rPr>
        <w:t xml:space="preserve"> determine whether errors were made</w:t>
      </w:r>
      <w:r w:rsidRPr="00877998" w:rsidR="004041DA">
        <w:rPr>
          <w:rFonts w:asciiTheme="minorHAnsi" w:hAnsiTheme="minorHAnsi" w:cstheme="minorHAnsi"/>
        </w:rPr>
        <w:t xml:space="preserve"> during the eligibility process</w:t>
      </w:r>
      <w:r w:rsidRPr="00877998" w:rsidR="007233F2">
        <w:rPr>
          <w:rFonts w:asciiTheme="minorHAnsi" w:hAnsiTheme="minorHAnsi" w:cstheme="minorHAnsi"/>
        </w:rPr>
        <w:t>.</w:t>
      </w:r>
      <w:r w:rsidRPr="00877998" w:rsidR="00D5322D">
        <w:rPr>
          <w:rFonts w:asciiTheme="minorHAnsi" w:hAnsiTheme="minorHAnsi" w:cstheme="minorHAnsi"/>
        </w:rPr>
        <w:t xml:space="preserve"> </w:t>
      </w:r>
    </w:p>
    <w:p w:rsidRPr="00877998" w:rsidR="0022617F" w:rsidP="00090E97" w:rsidRDefault="0022617F" w14:paraId="78BB74E2" w14:textId="77777777">
      <w:pPr>
        <w:pStyle w:val="NormalWeb"/>
        <w:shd w:val="clear" w:color="auto" w:fill="FFFFFF"/>
        <w:spacing w:line="259" w:lineRule="auto"/>
        <w:ind w:left="360"/>
        <w:rPr>
          <w:rFonts w:asciiTheme="minorHAnsi" w:hAnsiTheme="minorHAnsi" w:cstheme="minorHAnsi"/>
          <w:color w:val="000000"/>
        </w:rPr>
      </w:pPr>
    </w:p>
    <w:p w:rsidRPr="00877998" w:rsidR="00F462F3" w:rsidP="00A8047D" w:rsidRDefault="001E5C5D" w14:paraId="6D6294C3" w14:textId="10295DE7">
      <w:pPr>
        <w:pStyle w:val="NormalWeb"/>
        <w:numPr>
          <w:ilvl w:val="0"/>
          <w:numId w:val="4"/>
        </w:numPr>
        <w:shd w:val="clear" w:color="auto" w:fill="FFFFFF"/>
        <w:rPr>
          <w:rFonts w:asciiTheme="minorHAnsi" w:hAnsiTheme="minorHAnsi" w:cstheme="minorHAnsi"/>
        </w:rPr>
      </w:pPr>
      <w:bookmarkStart w:name="_Hlk77165125" w:id="0"/>
      <w:r w:rsidRPr="00877998">
        <w:rPr>
          <w:rFonts w:asciiTheme="minorHAnsi" w:hAnsiTheme="minorHAnsi" w:cstheme="minorHAnsi"/>
          <w:b/>
          <w:bCs/>
        </w:rPr>
        <w:lastRenderedPageBreak/>
        <w:t xml:space="preserve">The state shared a recommendation to include the </w:t>
      </w:r>
      <w:r w:rsidRPr="00877998" w:rsidR="00F462F3">
        <w:rPr>
          <w:rFonts w:asciiTheme="minorHAnsi" w:hAnsiTheme="minorHAnsi" w:cstheme="minorHAnsi"/>
          <w:b/>
          <w:bCs/>
        </w:rPr>
        <w:t>Missing</w:t>
      </w:r>
      <w:r w:rsidRPr="00877998">
        <w:rPr>
          <w:rFonts w:asciiTheme="minorHAnsi" w:hAnsiTheme="minorHAnsi" w:cstheme="minorHAnsi"/>
          <w:b/>
          <w:bCs/>
        </w:rPr>
        <w:t xml:space="preserve"> and </w:t>
      </w:r>
      <w:r w:rsidRPr="00877998" w:rsidR="00F462F3">
        <w:rPr>
          <w:rFonts w:asciiTheme="minorHAnsi" w:hAnsiTheme="minorHAnsi" w:cstheme="minorHAnsi"/>
          <w:b/>
          <w:bCs/>
        </w:rPr>
        <w:t>Insufficient</w:t>
      </w:r>
      <w:r w:rsidRPr="00877998">
        <w:rPr>
          <w:rFonts w:asciiTheme="minorHAnsi" w:hAnsiTheme="minorHAnsi" w:cstheme="minorHAnsi"/>
          <w:b/>
          <w:bCs/>
        </w:rPr>
        <w:t xml:space="preserve"> </w:t>
      </w:r>
      <w:r w:rsidRPr="00877998" w:rsidR="00F462F3">
        <w:rPr>
          <w:rFonts w:asciiTheme="minorHAnsi" w:hAnsiTheme="minorHAnsi" w:cstheme="minorHAnsi"/>
          <w:b/>
          <w:bCs/>
        </w:rPr>
        <w:t>Documentation</w:t>
      </w:r>
      <w:r w:rsidRPr="00877998">
        <w:rPr>
          <w:rFonts w:asciiTheme="minorHAnsi" w:hAnsiTheme="minorHAnsi" w:cstheme="minorHAnsi"/>
          <w:b/>
          <w:bCs/>
        </w:rPr>
        <w:t xml:space="preserve"> Table (</w:t>
      </w:r>
      <w:r w:rsidRPr="00877998" w:rsidR="00F462F3">
        <w:rPr>
          <w:rFonts w:asciiTheme="minorHAnsi" w:hAnsiTheme="minorHAnsi" w:cstheme="minorHAnsi"/>
          <w:b/>
          <w:bCs/>
        </w:rPr>
        <w:t>MID Table) as an appendix to the Record Review Worksheet</w:t>
      </w:r>
      <w:r w:rsidRPr="00877998" w:rsidR="00A30EB4">
        <w:rPr>
          <w:rFonts w:asciiTheme="minorHAnsi" w:hAnsiTheme="minorHAnsi" w:cstheme="minorHAnsi"/>
          <w:b/>
          <w:bCs/>
        </w:rPr>
        <w:t xml:space="preserve"> (RRW)</w:t>
      </w:r>
      <w:r w:rsidRPr="00877998" w:rsidR="00F462F3">
        <w:rPr>
          <w:rFonts w:asciiTheme="minorHAnsi" w:hAnsiTheme="minorHAnsi" w:cstheme="minorHAnsi"/>
          <w:b/>
          <w:bCs/>
        </w:rPr>
        <w:t xml:space="preserve"> template</w:t>
      </w:r>
      <w:r w:rsidRPr="00877998" w:rsidR="00F462F3">
        <w:rPr>
          <w:rFonts w:asciiTheme="minorHAnsi" w:hAnsiTheme="minorHAnsi" w:cstheme="minorHAnsi"/>
        </w:rPr>
        <w:t xml:space="preserve">. </w:t>
      </w:r>
      <w:r w:rsidRPr="00877998" w:rsidR="00A30EB4">
        <w:rPr>
          <w:rFonts w:asciiTheme="minorHAnsi" w:hAnsiTheme="minorHAnsi" w:cstheme="minorHAnsi"/>
          <w:b/>
          <w:bCs/>
        </w:rPr>
        <w:t>The state commented that the embedded placement of this table in the RRW limits its functionality in automated applications</w:t>
      </w:r>
      <w:r w:rsidRPr="00877998" w:rsidR="00487A6A">
        <w:rPr>
          <w:rFonts w:asciiTheme="minorHAnsi" w:hAnsiTheme="minorHAnsi" w:cstheme="minorHAnsi"/>
          <w:b/>
          <w:bCs/>
        </w:rPr>
        <w:t xml:space="preserve">, and suggested </w:t>
      </w:r>
      <w:r w:rsidRPr="00877998" w:rsidR="00F04339">
        <w:rPr>
          <w:rFonts w:asciiTheme="minorHAnsi" w:hAnsiTheme="minorHAnsi" w:cstheme="minorHAnsi"/>
          <w:b/>
          <w:bCs/>
        </w:rPr>
        <w:t>that including the</w:t>
      </w:r>
      <w:r w:rsidRPr="00877998" w:rsidR="00487A6A">
        <w:rPr>
          <w:rFonts w:asciiTheme="minorHAnsi" w:hAnsiTheme="minorHAnsi" w:cstheme="minorHAnsi"/>
          <w:b/>
          <w:bCs/>
        </w:rPr>
        <w:t xml:space="preserve"> table as an appendix would allow the user more flexibility in answering the required questions more fully and simplifying application development.  </w:t>
      </w:r>
      <w:bookmarkEnd w:id="0"/>
    </w:p>
    <w:p w:rsidRPr="00877998" w:rsidR="00FD36DD" w:rsidP="00F462F3" w:rsidRDefault="00FD36DD" w14:paraId="68903694" w14:textId="04EC0CA1">
      <w:pPr>
        <w:pStyle w:val="ListParagraph"/>
        <w:ind w:left="360"/>
        <w:rPr>
          <w:sz w:val="24"/>
          <w:szCs w:val="24"/>
        </w:rPr>
      </w:pPr>
      <w:r w:rsidRPr="00877998">
        <w:rPr>
          <w:sz w:val="24"/>
          <w:szCs w:val="24"/>
          <w:u w:val="single"/>
        </w:rPr>
        <w:t>OCC response</w:t>
      </w:r>
    </w:p>
    <w:p w:rsidRPr="00877998" w:rsidR="00FD36DD" w:rsidP="00F462F3" w:rsidRDefault="00FD36DD" w14:paraId="6EAD3D99" w14:textId="77777777">
      <w:pPr>
        <w:pStyle w:val="ListParagraph"/>
        <w:ind w:left="360"/>
        <w:rPr>
          <w:sz w:val="24"/>
          <w:szCs w:val="24"/>
        </w:rPr>
      </w:pPr>
    </w:p>
    <w:p w:rsidRPr="00877998" w:rsidR="00F462F3" w:rsidP="00090E97" w:rsidRDefault="001D6047" w14:paraId="58206E32" w14:textId="7842F68A">
      <w:pPr>
        <w:pStyle w:val="ListParagraph"/>
        <w:ind w:left="360"/>
        <w:rPr>
          <w:sz w:val="24"/>
          <w:szCs w:val="24"/>
        </w:rPr>
      </w:pPr>
      <w:bookmarkStart w:name="_Hlk77165299" w:id="1"/>
      <w:r w:rsidRPr="00877998">
        <w:rPr>
          <w:sz w:val="24"/>
          <w:szCs w:val="24"/>
        </w:rPr>
        <w:t>The MID table is included as part of the</w:t>
      </w:r>
      <w:r w:rsidRPr="00877998" w:rsidR="00F462F3">
        <w:rPr>
          <w:sz w:val="24"/>
          <w:szCs w:val="24"/>
        </w:rPr>
        <w:t xml:space="preserve"> </w:t>
      </w:r>
      <w:r w:rsidRPr="00877998">
        <w:rPr>
          <w:sz w:val="24"/>
          <w:szCs w:val="24"/>
        </w:rPr>
        <w:t xml:space="preserve">OMB-approved Record Review Worksheet because it is a required part of the case review process as described in the Child Care </w:t>
      </w:r>
      <w:r w:rsidRPr="00877998" w:rsidR="00F52F49">
        <w:rPr>
          <w:sz w:val="24"/>
          <w:szCs w:val="24"/>
        </w:rPr>
        <w:t xml:space="preserve">Improper Payments Data Collection Instructions. </w:t>
      </w:r>
      <w:r w:rsidRPr="00877998" w:rsidR="003E1DA6">
        <w:rPr>
          <w:sz w:val="24"/>
          <w:szCs w:val="24"/>
        </w:rPr>
        <w:t>OCC offers</w:t>
      </w:r>
      <w:r w:rsidRPr="00877998" w:rsidR="00F52F49">
        <w:rPr>
          <w:sz w:val="24"/>
          <w:szCs w:val="24"/>
        </w:rPr>
        <w:t xml:space="preserve"> states technical assistance when building or updating automated systems to ensure the systems conform to the OMB-approved templates. </w:t>
      </w:r>
      <w:r w:rsidRPr="00877998" w:rsidR="00D57CA9">
        <w:rPr>
          <w:sz w:val="24"/>
          <w:szCs w:val="24"/>
        </w:rPr>
        <w:t xml:space="preserve">OCC will consider this comment when developing training and technical assistance for the Record Review Worksheet. </w:t>
      </w:r>
      <w:bookmarkEnd w:id="1"/>
    </w:p>
    <w:p w:rsidRPr="00877998" w:rsidR="00DD13EC" w:rsidP="00DD13EC" w:rsidRDefault="00DD13EC" w14:paraId="3BF912EE" w14:textId="77777777">
      <w:pPr>
        <w:pStyle w:val="ListParagraph"/>
        <w:ind w:left="360"/>
        <w:rPr>
          <w:sz w:val="24"/>
          <w:szCs w:val="24"/>
        </w:rPr>
      </w:pPr>
    </w:p>
    <w:p w:rsidRPr="00877998" w:rsidR="005016F9" w:rsidP="00F462F3" w:rsidRDefault="00FD36DD" w14:paraId="667BEE39" w14:textId="6C9320AC">
      <w:pPr>
        <w:pStyle w:val="ListParagraph"/>
        <w:numPr>
          <w:ilvl w:val="0"/>
          <w:numId w:val="4"/>
        </w:numPr>
        <w:rPr>
          <w:sz w:val="24"/>
          <w:szCs w:val="24"/>
        </w:rPr>
      </w:pPr>
      <w:r w:rsidRPr="00877998">
        <w:rPr>
          <w:b/>
          <w:bCs/>
          <w:sz w:val="24"/>
          <w:szCs w:val="24"/>
        </w:rPr>
        <w:t>The state comment</w:t>
      </w:r>
      <w:r w:rsidRPr="00877998" w:rsidR="00C52CFA">
        <w:rPr>
          <w:b/>
          <w:bCs/>
          <w:sz w:val="24"/>
          <w:szCs w:val="24"/>
        </w:rPr>
        <w:t>ed</w:t>
      </w:r>
      <w:r w:rsidRPr="00877998">
        <w:rPr>
          <w:b/>
          <w:bCs/>
          <w:sz w:val="24"/>
          <w:szCs w:val="24"/>
        </w:rPr>
        <w:t xml:space="preserve"> that </w:t>
      </w:r>
      <w:r w:rsidRPr="00877998" w:rsidR="00C52CFA">
        <w:rPr>
          <w:b/>
          <w:bCs/>
          <w:sz w:val="24"/>
          <w:szCs w:val="24"/>
        </w:rPr>
        <w:t xml:space="preserve">OCC’s estimated Annual Burden Estimates listed in the Federal Register Notice are lower than the state’s </w:t>
      </w:r>
      <w:r w:rsidRPr="00877998" w:rsidR="0057729E">
        <w:rPr>
          <w:b/>
          <w:bCs/>
          <w:sz w:val="24"/>
          <w:szCs w:val="24"/>
        </w:rPr>
        <w:t xml:space="preserve">estimated </w:t>
      </w:r>
      <w:r w:rsidRPr="00877998" w:rsidR="0014132C">
        <w:rPr>
          <w:b/>
          <w:bCs/>
          <w:sz w:val="24"/>
          <w:szCs w:val="24"/>
        </w:rPr>
        <w:t xml:space="preserve">time needed to complete the </w:t>
      </w:r>
      <w:r w:rsidRPr="00877998" w:rsidR="0057729E">
        <w:rPr>
          <w:b/>
          <w:bCs/>
          <w:sz w:val="24"/>
          <w:szCs w:val="24"/>
        </w:rPr>
        <w:t xml:space="preserve">required </w:t>
      </w:r>
      <w:r w:rsidRPr="00877998" w:rsidR="0014132C">
        <w:rPr>
          <w:b/>
          <w:bCs/>
          <w:sz w:val="24"/>
          <w:szCs w:val="24"/>
        </w:rPr>
        <w:t>forms listed in the Child Care Improper Payments Data Collection Instructions</w:t>
      </w:r>
      <w:r w:rsidRPr="00877998" w:rsidR="00712DB6">
        <w:rPr>
          <w:b/>
          <w:bCs/>
          <w:sz w:val="24"/>
          <w:szCs w:val="24"/>
        </w:rPr>
        <w:t xml:space="preserve"> based on the state’s most recent competed </w:t>
      </w:r>
      <w:r w:rsidRPr="00877998" w:rsidR="005016F9">
        <w:rPr>
          <w:b/>
          <w:bCs/>
          <w:sz w:val="24"/>
          <w:szCs w:val="24"/>
        </w:rPr>
        <w:t xml:space="preserve">CCDF error rate review </w:t>
      </w:r>
      <w:r w:rsidRPr="00877998" w:rsidR="00712DB6">
        <w:rPr>
          <w:b/>
          <w:bCs/>
          <w:sz w:val="24"/>
          <w:szCs w:val="24"/>
        </w:rPr>
        <w:t>cycle</w:t>
      </w:r>
      <w:r w:rsidRPr="00877998" w:rsidR="0014132C">
        <w:rPr>
          <w:b/>
          <w:bCs/>
          <w:sz w:val="24"/>
          <w:szCs w:val="24"/>
        </w:rPr>
        <w:t>. The state noted that while OCC’s estimated burden is broken out by form, the state</w:t>
      </w:r>
      <w:r w:rsidRPr="00877998" w:rsidR="0057729E">
        <w:rPr>
          <w:b/>
          <w:bCs/>
          <w:sz w:val="24"/>
          <w:szCs w:val="24"/>
        </w:rPr>
        <w:t xml:space="preserve">’s estimated time to complete the most recent cycle </w:t>
      </w:r>
      <w:r w:rsidRPr="00877998" w:rsidR="00712DB6">
        <w:rPr>
          <w:b/>
          <w:bCs/>
          <w:sz w:val="24"/>
          <w:szCs w:val="24"/>
        </w:rPr>
        <w:t>is not tracked by individual form</w:t>
      </w:r>
      <w:r w:rsidRPr="00877998" w:rsidR="00712DB6">
        <w:rPr>
          <w:sz w:val="24"/>
          <w:szCs w:val="24"/>
        </w:rPr>
        <w:t xml:space="preserve">. </w:t>
      </w:r>
      <w:r w:rsidRPr="00877998" w:rsidR="00715454">
        <w:rPr>
          <w:sz w:val="24"/>
          <w:szCs w:val="24"/>
        </w:rPr>
        <w:t xml:space="preserve"> </w:t>
      </w:r>
    </w:p>
    <w:p w:rsidRPr="00877998" w:rsidR="005016F9" w:rsidP="005016F9" w:rsidRDefault="005016F9" w14:paraId="63595E11" w14:textId="767AAE7B">
      <w:pPr>
        <w:pStyle w:val="ListParagraph"/>
        <w:ind w:left="360"/>
        <w:rPr>
          <w:b/>
          <w:bCs/>
          <w:sz w:val="24"/>
          <w:szCs w:val="24"/>
        </w:rPr>
      </w:pPr>
    </w:p>
    <w:p w:rsidR="00F30DD9" w:rsidP="00090E97" w:rsidRDefault="005016F9" w14:paraId="0525E3B6" w14:textId="7D2A6A9C">
      <w:pPr>
        <w:pStyle w:val="ListParagraph"/>
        <w:ind w:left="360"/>
        <w:rPr>
          <w:sz w:val="24"/>
          <w:szCs w:val="24"/>
        </w:rPr>
      </w:pPr>
      <w:r w:rsidRPr="00877998">
        <w:rPr>
          <w:sz w:val="24"/>
          <w:szCs w:val="24"/>
        </w:rPr>
        <w:t xml:space="preserve">OCC recognizes that the </w:t>
      </w:r>
      <w:r w:rsidR="004D57DE">
        <w:rPr>
          <w:sz w:val="24"/>
          <w:szCs w:val="24"/>
        </w:rPr>
        <w:t xml:space="preserve">time to complete this request varies greatly by state </w:t>
      </w:r>
      <w:r w:rsidRPr="00877998" w:rsidR="009E426E">
        <w:rPr>
          <w:sz w:val="24"/>
          <w:szCs w:val="24"/>
        </w:rPr>
        <w:t xml:space="preserve">based on factors such as </w:t>
      </w:r>
      <w:r w:rsidRPr="00877998" w:rsidR="00BF1891">
        <w:rPr>
          <w:sz w:val="24"/>
          <w:szCs w:val="24"/>
        </w:rPr>
        <w:t>organizational capacity</w:t>
      </w:r>
      <w:r w:rsidRPr="00877998" w:rsidR="009E426E">
        <w:rPr>
          <w:sz w:val="24"/>
          <w:szCs w:val="24"/>
        </w:rPr>
        <w:t xml:space="preserve">, </w:t>
      </w:r>
      <w:r w:rsidRPr="00877998" w:rsidR="00BF1891">
        <w:rPr>
          <w:sz w:val="24"/>
          <w:szCs w:val="24"/>
        </w:rPr>
        <w:t xml:space="preserve">use of </w:t>
      </w:r>
      <w:r w:rsidRPr="00877998" w:rsidR="009E426E">
        <w:rPr>
          <w:sz w:val="24"/>
          <w:szCs w:val="24"/>
        </w:rPr>
        <w:t>inform</w:t>
      </w:r>
      <w:r w:rsidRPr="00877998" w:rsidR="0070080F">
        <w:rPr>
          <w:sz w:val="24"/>
          <w:szCs w:val="24"/>
        </w:rPr>
        <w:t>ation</w:t>
      </w:r>
      <w:r w:rsidRPr="00877998" w:rsidR="009E426E">
        <w:rPr>
          <w:sz w:val="24"/>
          <w:szCs w:val="24"/>
        </w:rPr>
        <w:t xml:space="preserve"> </w:t>
      </w:r>
      <w:r w:rsidRPr="00877998" w:rsidR="00BF1891">
        <w:rPr>
          <w:sz w:val="24"/>
          <w:szCs w:val="24"/>
        </w:rPr>
        <w:t>technology</w:t>
      </w:r>
      <w:r w:rsidRPr="00877998" w:rsidR="009E426E">
        <w:rPr>
          <w:sz w:val="24"/>
          <w:szCs w:val="24"/>
        </w:rPr>
        <w:t xml:space="preserve"> systems, </w:t>
      </w:r>
      <w:r w:rsidRPr="00877998" w:rsidR="00BF1891">
        <w:rPr>
          <w:sz w:val="24"/>
          <w:szCs w:val="24"/>
        </w:rPr>
        <w:t xml:space="preserve">and state rules, </w:t>
      </w:r>
      <w:proofErr w:type="gramStart"/>
      <w:r w:rsidRPr="00877998" w:rsidR="00BF1891">
        <w:rPr>
          <w:sz w:val="24"/>
          <w:szCs w:val="24"/>
        </w:rPr>
        <w:t>processes</w:t>
      </w:r>
      <w:proofErr w:type="gramEnd"/>
      <w:r w:rsidRPr="00877998" w:rsidR="00BF1891">
        <w:rPr>
          <w:sz w:val="24"/>
          <w:szCs w:val="24"/>
        </w:rPr>
        <w:t xml:space="preserve"> and procedures. </w:t>
      </w:r>
      <w:r w:rsidR="004D57DE">
        <w:rPr>
          <w:sz w:val="24"/>
          <w:szCs w:val="24"/>
        </w:rPr>
        <w:t xml:space="preserve">This variance was factored into the </w:t>
      </w:r>
      <w:r w:rsidRPr="00877998" w:rsidR="004D57DE">
        <w:rPr>
          <w:sz w:val="24"/>
          <w:szCs w:val="24"/>
        </w:rPr>
        <w:t>estimates provided</w:t>
      </w:r>
      <w:r w:rsidR="004D57DE">
        <w:rPr>
          <w:sz w:val="24"/>
          <w:szCs w:val="24"/>
        </w:rPr>
        <w:t xml:space="preserve">. </w:t>
      </w:r>
      <w:r w:rsidRPr="00877998" w:rsidR="004D57DE">
        <w:rPr>
          <w:sz w:val="24"/>
          <w:szCs w:val="24"/>
        </w:rPr>
        <w:t xml:space="preserve"> </w:t>
      </w:r>
    </w:p>
    <w:p w:rsidR="00F30DD9" w:rsidP="00090E97" w:rsidRDefault="00F30DD9" w14:paraId="46E7150C" w14:textId="77777777">
      <w:pPr>
        <w:pStyle w:val="ListParagraph"/>
        <w:ind w:left="360"/>
        <w:rPr>
          <w:sz w:val="24"/>
          <w:szCs w:val="24"/>
        </w:rPr>
      </w:pPr>
    </w:p>
    <w:p w:rsidRPr="00F30DD9" w:rsidR="00E55E40" w:rsidP="00F30DD9" w:rsidRDefault="003F042D" w14:paraId="1CF3D3AF" w14:textId="5F48DE60">
      <w:pPr>
        <w:pStyle w:val="ListParagraph"/>
        <w:ind w:left="360"/>
        <w:rPr>
          <w:rFonts w:eastAsia="Times New Roman"/>
          <w:color w:val="000000"/>
          <w:sz w:val="24"/>
          <w:szCs w:val="24"/>
        </w:rPr>
      </w:pPr>
      <w:r w:rsidRPr="00F30DD9">
        <w:rPr>
          <w:sz w:val="24"/>
          <w:szCs w:val="24"/>
        </w:rPr>
        <w:t>To support states’ efforts</w:t>
      </w:r>
      <w:r w:rsidRPr="00F30DD9" w:rsidR="0070080F">
        <w:rPr>
          <w:sz w:val="24"/>
          <w:szCs w:val="24"/>
        </w:rPr>
        <w:t xml:space="preserve"> in streamlining the process</w:t>
      </w:r>
      <w:r w:rsidRPr="00F30DD9">
        <w:rPr>
          <w:sz w:val="24"/>
          <w:szCs w:val="24"/>
        </w:rPr>
        <w:t xml:space="preserve">, OCC offers technical assistance </w:t>
      </w:r>
      <w:r w:rsidRPr="00F30DD9" w:rsidR="002D7690">
        <w:rPr>
          <w:sz w:val="24"/>
          <w:szCs w:val="24"/>
        </w:rPr>
        <w:t xml:space="preserve">(TA) </w:t>
      </w:r>
      <w:r w:rsidRPr="00F30DD9">
        <w:rPr>
          <w:sz w:val="24"/>
          <w:szCs w:val="24"/>
        </w:rPr>
        <w:t xml:space="preserve">in the form of training webinars, tools and other resources, opportunities for peer </w:t>
      </w:r>
      <w:r w:rsidRPr="00F30DD9" w:rsidR="00DD13EC">
        <w:rPr>
          <w:sz w:val="24"/>
          <w:szCs w:val="24"/>
        </w:rPr>
        <w:t>learning, and</w:t>
      </w:r>
      <w:r w:rsidRPr="00F30DD9">
        <w:rPr>
          <w:sz w:val="24"/>
          <w:szCs w:val="24"/>
        </w:rPr>
        <w:t xml:space="preserve"> targeted </w:t>
      </w:r>
      <w:r w:rsidR="001B3C8F">
        <w:rPr>
          <w:sz w:val="24"/>
          <w:szCs w:val="24"/>
        </w:rPr>
        <w:t>TA</w:t>
      </w:r>
      <w:r w:rsidRPr="00F30DD9">
        <w:rPr>
          <w:sz w:val="24"/>
          <w:szCs w:val="24"/>
        </w:rPr>
        <w:t>.</w:t>
      </w:r>
      <w:r w:rsidRPr="00F30DD9" w:rsidR="0070080F">
        <w:rPr>
          <w:sz w:val="24"/>
          <w:szCs w:val="24"/>
        </w:rPr>
        <w:t xml:space="preserve"> </w:t>
      </w:r>
      <w:r w:rsidRPr="00F30DD9" w:rsidR="00E55E40">
        <w:rPr>
          <w:sz w:val="24"/>
          <w:szCs w:val="24"/>
        </w:rPr>
        <w:t xml:space="preserve"> </w:t>
      </w:r>
      <w:r w:rsidRPr="00F30DD9" w:rsidR="00E55E40">
        <w:rPr>
          <w:rFonts w:eastAsia="Times New Roman"/>
          <w:color w:val="000000"/>
          <w:sz w:val="24"/>
          <w:szCs w:val="24"/>
        </w:rPr>
        <w:t xml:space="preserve">We will explain this </w:t>
      </w:r>
      <w:r w:rsidRPr="00F30DD9" w:rsidR="00F13433">
        <w:rPr>
          <w:rFonts w:eastAsia="Times New Roman"/>
          <w:color w:val="000000"/>
          <w:sz w:val="24"/>
          <w:szCs w:val="24"/>
        </w:rPr>
        <w:t xml:space="preserve">variance </w:t>
      </w:r>
      <w:r w:rsidRPr="00F30DD9" w:rsidR="00E55E40">
        <w:rPr>
          <w:rFonts w:eastAsia="Times New Roman"/>
          <w:color w:val="000000"/>
          <w:sz w:val="24"/>
          <w:szCs w:val="24"/>
        </w:rPr>
        <w:t xml:space="preserve">during TA </w:t>
      </w:r>
      <w:proofErr w:type="gramStart"/>
      <w:r w:rsidRPr="00F30DD9" w:rsidR="00E55E40">
        <w:rPr>
          <w:rFonts w:eastAsia="Times New Roman"/>
          <w:color w:val="000000"/>
          <w:sz w:val="24"/>
          <w:szCs w:val="24"/>
        </w:rPr>
        <w:t>and also</w:t>
      </w:r>
      <w:proofErr w:type="gramEnd"/>
      <w:r w:rsidRPr="00F30DD9" w:rsidR="00E55E40">
        <w:rPr>
          <w:rFonts w:eastAsia="Times New Roman"/>
          <w:color w:val="000000"/>
          <w:sz w:val="24"/>
          <w:szCs w:val="24"/>
        </w:rPr>
        <w:t xml:space="preserve"> plan to elicit feedback during upcoming TA to better inform the burden estimates provided. If updates are needed, we will propose revisions through a change request to OMB. </w:t>
      </w:r>
    </w:p>
    <w:p w:rsidRPr="00877998" w:rsidR="005016F9" w:rsidP="00090E97" w:rsidRDefault="005016F9" w14:paraId="5B848BA2" w14:textId="510C9A1E">
      <w:pPr>
        <w:pStyle w:val="ListParagraph"/>
        <w:ind w:left="360"/>
        <w:rPr>
          <w:sz w:val="24"/>
          <w:szCs w:val="24"/>
        </w:rPr>
      </w:pPr>
    </w:p>
    <w:sectPr w:rsidRPr="00877998" w:rsidR="00501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3975"/>
    <w:multiLevelType w:val="hybridMultilevel"/>
    <w:tmpl w:val="F37C7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A87449"/>
    <w:multiLevelType w:val="hybridMultilevel"/>
    <w:tmpl w:val="B740A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334C45"/>
    <w:multiLevelType w:val="hybridMultilevel"/>
    <w:tmpl w:val="7A7A36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E3643F"/>
    <w:multiLevelType w:val="hybridMultilevel"/>
    <w:tmpl w:val="92B2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90"/>
    <w:rsid w:val="0001249E"/>
    <w:rsid w:val="00032D13"/>
    <w:rsid w:val="00053044"/>
    <w:rsid w:val="00062F0B"/>
    <w:rsid w:val="00067B0C"/>
    <w:rsid w:val="00070037"/>
    <w:rsid w:val="00087E23"/>
    <w:rsid w:val="00090E97"/>
    <w:rsid w:val="000B028B"/>
    <w:rsid w:val="000C2D1C"/>
    <w:rsid w:val="000E60D8"/>
    <w:rsid w:val="0014132C"/>
    <w:rsid w:val="001463E1"/>
    <w:rsid w:val="00167996"/>
    <w:rsid w:val="001B3C8F"/>
    <w:rsid w:val="001C0C94"/>
    <w:rsid w:val="001D5BFF"/>
    <w:rsid w:val="001D6047"/>
    <w:rsid w:val="001E5C5D"/>
    <w:rsid w:val="001E5FB9"/>
    <w:rsid w:val="001E6D8B"/>
    <w:rsid w:val="001F692D"/>
    <w:rsid w:val="0022617F"/>
    <w:rsid w:val="00281EB8"/>
    <w:rsid w:val="002825D5"/>
    <w:rsid w:val="00287F66"/>
    <w:rsid w:val="00294710"/>
    <w:rsid w:val="002A5FBD"/>
    <w:rsid w:val="002D6142"/>
    <w:rsid w:val="002D7690"/>
    <w:rsid w:val="0030146F"/>
    <w:rsid w:val="00315157"/>
    <w:rsid w:val="00347FF9"/>
    <w:rsid w:val="00357707"/>
    <w:rsid w:val="00361041"/>
    <w:rsid w:val="00374E81"/>
    <w:rsid w:val="00384747"/>
    <w:rsid w:val="003A0653"/>
    <w:rsid w:val="003A5D1E"/>
    <w:rsid w:val="003C649C"/>
    <w:rsid w:val="003E1915"/>
    <w:rsid w:val="003E1DA6"/>
    <w:rsid w:val="003F042D"/>
    <w:rsid w:val="004041DA"/>
    <w:rsid w:val="00407872"/>
    <w:rsid w:val="00440B0B"/>
    <w:rsid w:val="00461C40"/>
    <w:rsid w:val="00465B90"/>
    <w:rsid w:val="00474EDC"/>
    <w:rsid w:val="0048690D"/>
    <w:rsid w:val="00487A6A"/>
    <w:rsid w:val="004B6A81"/>
    <w:rsid w:val="004D57DE"/>
    <w:rsid w:val="004E5217"/>
    <w:rsid w:val="005016F9"/>
    <w:rsid w:val="005148A3"/>
    <w:rsid w:val="00531E24"/>
    <w:rsid w:val="00554D86"/>
    <w:rsid w:val="005657FF"/>
    <w:rsid w:val="00566BA3"/>
    <w:rsid w:val="00572FCD"/>
    <w:rsid w:val="0057729E"/>
    <w:rsid w:val="0058462F"/>
    <w:rsid w:val="005B6A4A"/>
    <w:rsid w:val="005D1680"/>
    <w:rsid w:val="005F42C0"/>
    <w:rsid w:val="0060412F"/>
    <w:rsid w:val="00604358"/>
    <w:rsid w:val="00606A3E"/>
    <w:rsid w:val="00613F43"/>
    <w:rsid w:val="0061488B"/>
    <w:rsid w:val="0064020D"/>
    <w:rsid w:val="00665E9A"/>
    <w:rsid w:val="006A564D"/>
    <w:rsid w:val="006E027D"/>
    <w:rsid w:val="006E471E"/>
    <w:rsid w:val="006E5F15"/>
    <w:rsid w:val="006F29B6"/>
    <w:rsid w:val="006F5D12"/>
    <w:rsid w:val="0070080F"/>
    <w:rsid w:val="00707A54"/>
    <w:rsid w:val="00712DB6"/>
    <w:rsid w:val="00713158"/>
    <w:rsid w:val="00715454"/>
    <w:rsid w:val="00722D98"/>
    <w:rsid w:val="007233F2"/>
    <w:rsid w:val="00751531"/>
    <w:rsid w:val="007779B9"/>
    <w:rsid w:val="007864E2"/>
    <w:rsid w:val="00793863"/>
    <w:rsid w:val="00795D61"/>
    <w:rsid w:val="007A3FF9"/>
    <w:rsid w:val="007A5140"/>
    <w:rsid w:val="007C2952"/>
    <w:rsid w:val="007D6C93"/>
    <w:rsid w:val="00804B88"/>
    <w:rsid w:val="00846EAC"/>
    <w:rsid w:val="00877998"/>
    <w:rsid w:val="00893DFF"/>
    <w:rsid w:val="00894156"/>
    <w:rsid w:val="008C225F"/>
    <w:rsid w:val="008D1334"/>
    <w:rsid w:val="00916E13"/>
    <w:rsid w:val="00923399"/>
    <w:rsid w:val="009246D4"/>
    <w:rsid w:val="00930292"/>
    <w:rsid w:val="00935835"/>
    <w:rsid w:val="00973827"/>
    <w:rsid w:val="00981472"/>
    <w:rsid w:val="00993B17"/>
    <w:rsid w:val="009B34CB"/>
    <w:rsid w:val="009C6A93"/>
    <w:rsid w:val="009E426E"/>
    <w:rsid w:val="009F0110"/>
    <w:rsid w:val="00A03979"/>
    <w:rsid w:val="00A30EB4"/>
    <w:rsid w:val="00A34EA7"/>
    <w:rsid w:val="00A4225B"/>
    <w:rsid w:val="00A464B5"/>
    <w:rsid w:val="00A64091"/>
    <w:rsid w:val="00A72C3A"/>
    <w:rsid w:val="00A8047D"/>
    <w:rsid w:val="00A86E6E"/>
    <w:rsid w:val="00AC77F5"/>
    <w:rsid w:val="00AE2428"/>
    <w:rsid w:val="00AF2942"/>
    <w:rsid w:val="00B077B4"/>
    <w:rsid w:val="00B17200"/>
    <w:rsid w:val="00B24FC2"/>
    <w:rsid w:val="00B63CBB"/>
    <w:rsid w:val="00B8662C"/>
    <w:rsid w:val="00B874C9"/>
    <w:rsid w:val="00B914B2"/>
    <w:rsid w:val="00BB08B2"/>
    <w:rsid w:val="00BD5C2A"/>
    <w:rsid w:val="00BE12C3"/>
    <w:rsid w:val="00BE7DAC"/>
    <w:rsid w:val="00BF1891"/>
    <w:rsid w:val="00BF542E"/>
    <w:rsid w:val="00C4199B"/>
    <w:rsid w:val="00C4736A"/>
    <w:rsid w:val="00C52CFA"/>
    <w:rsid w:val="00CE401D"/>
    <w:rsid w:val="00CF024F"/>
    <w:rsid w:val="00CF6DDA"/>
    <w:rsid w:val="00D1458F"/>
    <w:rsid w:val="00D20231"/>
    <w:rsid w:val="00D2769A"/>
    <w:rsid w:val="00D34CF2"/>
    <w:rsid w:val="00D5204C"/>
    <w:rsid w:val="00D5322D"/>
    <w:rsid w:val="00D54B85"/>
    <w:rsid w:val="00D57CA9"/>
    <w:rsid w:val="00D61D31"/>
    <w:rsid w:val="00D66450"/>
    <w:rsid w:val="00D70047"/>
    <w:rsid w:val="00D95815"/>
    <w:rsid w:val="00DA1B74"/>
    <w:rsid w:val="00DB4978"/>
    <w:rsid w:val="00DC35E9"/>
    <w:rsid w:val="00DC49E4"/>
    <w:rsid w:val="00DD13EC"/>
    <w:rsid w:val="00E022E4"/>
    <w:rsid w:val="00E068A8"/>
    <w:rsid w:val="00E37278"/>
    <w:rsid w:val="00E55E40"/>
    <w:rsid w:val="00E65FE5"/>
    <w:rsid w:val="00E74BA2"/>
    <w:rsid w:val="00E7594B"/>
    <w:rsid w:val="00E852F6"/>
    <w:rsid w:val="00E91DD4"/>
    <w:rsid w:val="00E94B2B"/>
    <w:rsid w:val="00E96968"/>
    <w:rsid w:val="00EF2117"/>
    <w:rsid w:val="00F04339"/>
    <w:rsid w:val="00F13433"/>
    <w:rsid w:val="00F30DD9"/>
    <w:rsid w:val="00F462F3"/>
    <w:rsid w:val="00F472E7"/>
    <w:rsid w:val="00F52F49"/>
    <w:rsid w:val="00F54544"/>
    <w:rsid w:val="00F8394F"/>
    <w:rsid w:val="00F84969"/>
    <w:rsid w:val="00FA5072"/>
    <w:rsid w:val="00FC3FEE"/>
    <w:rsid w:val="00FC4D6C"/>
    <w:rsid w:val="00FD36DD"/>
    <w:rsid w:val="00FE2DF1"/>
    <w:rsid w:val="00FE3A64"/>
    <w:rsid w:val="00FF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1ED0"/>
  <w15:chartTrackingRefBased/>
  <w15:docId w15:val="{ADFF9DD2-E76B-4696-8FC5-4AE2ED36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02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B90"/>
    <w:pPr>
      <w:ind w:left="720"/>
      <w:contextualSpacing/>
    </w:pPr>
  </w:style>
  <w:style w:type="paragraph" w:styleId="NormalWeb">
    <w:name w:val="Normal (Web)"/>
    <w:basedOn w:val="Normal"/>
    <w:uiPriority w:val="99"/>
    <w:unhideWhenUsed/>
    <w:rsid w:val="007D6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20231"/>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D2769A"/>
    <w:rPr>
      <w:sz w:val="16"/>
      <w:szCs w:val="16"/>
    </w:rPr>
  </w:style>
  <w:style w:type="paragraph" w:styleId="CommentText">
    <w:name w:val="annotation text"/>
    <w:basedOn w:val="Normal"/>
    <w:link w:val="CommentTextChar"/>
    <w:uiPriority w:val="99"/>
    <w:semiHidden/>
    <w:unhideWhenUsed/>
    <w:rsid w:val="00D2769A"/>
    <w:pPr>
      <w:spacing w:line="240" w:lineRule="auto"/>
    </w:pPr>
    <w:rPr>
      <w:sz w:val="20"/>
      <w:szCs w:val="20"/>
    </w:rPr>
  </w:style>
  <w:style w:type="character" w:customStyle="1" w:styleId="CommentTextChar">
    <w:name w:val="Comment Text Char"/>
    <w:basedOn w:val="DefaultParagraphFont"/>
    <w:link w:val="CommentText"/>
    <w:uiPriority w:val="99"/>
    <w:semiHidden/>
    <w:rsid w:val="00D2769A"/>
    <w:rPr>
      <w:sz w:val="20"/>
      <w:szCs w:val="20"/>
    </w:rPr>
  </w:style>
  <w:style w:type="paragraph" w:styleId="CommentSubject">
    <w:name w:val="annotation subject"/>
    <w:basedOn w:val="CommentText"/>
    <w:next w:val="CommentText"/>
    <w:link w:val="CommentSubjectChar"/>
    <w:uiPriority w:val="99"/>
    <w:semiHidden/>
    <w:unhideWhenUsed/>
    <w:rsid w:val="00D2769A"/>
    <w:rPr>
      <w:b/>
      <w:bCs/>
    </w:rPr>
  </w:style>
  <w:style w:type="character" w:customStyle="1" w:styleId="CommentSubjectChar">
    <w:name w:val="Comment Subject Char"/>
    <w:basedOn w:val="CommentTextChar"/>
    <w:link w:val="CommentSubject"/>
    <w:uiPriority w:val="99"/>
    <w:semiHidden/>
    <w:rsid w:val="00D2769A"/>
    <w:rPr>
      <w:b/>
      <w:bCs/>
      <w:sz w:val="20"/>
      <w:szCs w:val="20"/>
    </w:rPr>
  </w:style>
  <w:style w:type="paragraph" w:styleId="BalloonText">
    <w:name w:val="Balloon Text"/>
    <w:basedOn w:val="Normal"/>
    <w:link w:val="BalloonTextChar"/>
    <w:uiPriority w:val="99"/>
    <w:semiHidden/>
    <w:unhideWhenUsed/>
    <w:rsid w:val="00D27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7339">
      <w:bodyDiv w:val="1"/>
      <w:marLeft w:val="0"/>
      <w:marRight w:val="0"/>
      <w:marTop w:val="0"/>
      <w:marBottom w:val="0"/>
      <w:divBdr>
        <w:top w:val="none" w:sz="0" w:space="0" w:color="auto"/>
        <w:left w:val="none" w:sz="0" w:space="0" w:color="auto"/>
        <w:bottom w:val="none" w:sz="0" w:space="0" w:color="auto"/>
        <w:right w:val="none" w:sz="0" w:space="0" w:color="auto"/>
      </w:divBdr>
    </w:div>
    <w:div w:id="367073331">
      <w:bodyDiv w:val="1"/>
      <w:marLeft w:val="0"/>
      <w:marRight w:val="0"/>
      <w:marTop w:val="0"/>
      <w:marBottom w:val="0"/>
      <w:divBdr>
        <w:top w:val="none" w:sz="0" w:space="0" w:color="auto"/>
        <w:left w:val="none" w:sz="0" w:space="0" w:color="auto"/>
        <w:bottom w:val="none" w:sz="0" w:space="0" w:color="auto"/>
        <w:right w:val="none" w:sz="0" w:space="0" w:color="auto"/>
      </w:divBdr>
    </w:div>
    <w:div w:id="1030958478">
      <w:bodyDiv w:val="1"/>
      <w:marLeft w:val="0"/>
      <w:marRight w:val="0"/>
      <w:marTop w:val="0"/>
      <w:marBottom w:val="0"/>
      <w:divBdr>
        <w:top w:val="none" w:sz="0" w:space="0" w:color="auto"/>
        <w:left w:val="none" w:sz="0" w:space="0" w:color="auto"/>
        <w:bottom w:val="none" w:sz="0" w:space="0" w:color="auto"/>
        <w:right w:val="none" w:sz="0" w:space="0" w:color="auto"/>
      </w:divBdr>
    </w:div>
    <w:div w:id="199375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2" ma:contentTypeDescription="Create a new document." ma:contentTypeScope="" ma:versionID="908535a160d0cd5be21b96b32049b05e">
  <xsd:schema xmlns:xsd="http://www.w3.org/2001/XMLSchema" xmlns:xs="http://www.w3.org/2001/XMLSchema" xmlns:p="http://schemas.microsoft.com/office/2006/metadata/properties" xmlns:ns2="fce774b4-c9d4-4a8f-80fc-e2982472d72a" targetNamespace="http://schemas.microsoft.com/office/2006/metadata/properties" ma:root="true" ma:fieldsID="b354916c3c29bb4b7741b0d965a82825" ns2:_="">
    <xsd:import namespace="fce774b4-c9d4-4a8f-80fc-e2982472d7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79960-858C-4295-8B58-39A1B32A3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4EA3E9-A613-4D26-8E67-E78E91CA67F6}">
  <ds:schemaRefs>
    <ds:schemaRef ds:uri="http://schemas.microsoft.com/sharepoint/v3/contenttype/forms"/>
  </ds:schemaRefs>
</ds:datastoreItem>
</file>

<file path=customXml/itemProps3.xml><?xml version="1.0" encoding="utf-8"?>
<ds:datastoreItem xmlns:ds="http://schemas.openxmlformats.org/officeDocument/2006/customXml" ds:itemID="{F2720C03-1BB0-4E6A-8459-B464E1F51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OCC</dc:creator>
  <cp:keywords/>
  <dc:description/>
  <cp:lastModifiedBy>Jones, Molly (ACF)</cp:lastModifiedBy>
  <cp:revision>2</cp:revision>
  <dcterms:created xsi:type="dcterms:W3CDTF">2021-09-02T18:48:00Z</dcterms:created>
  <dcterms:modified xsi:type="dcterms:W3CDTF">2021-09-02T18:48:00Z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