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3FD2" w:rsidP="00803FD2" w:rsidRDefault="00803FD2" w14:paraId="74EBD34E" w14:textId="77777777">
      <w:pPr>
        <w:pStyle w:val="ReportCover-Title"/>
        <w:rPr>
          <w:sz w:val="24"/>
        </w:rPr>
      </w:pPr>
    </w:p>
    <w:p w:rsidRPr="00160621" w:rsidR="00160621" w:rsidP="00160621" w:rsidRDefault="00DC1C23" w14:paraId="670B57C7" w14:textId="2C50603F">
      <w:pPr>
        <w:pStyle w:val="ReportCover-Title"/>
        <w:jc w:val="center"/>
        <w:rPr>
          <w:rFonts w:ascii="Arial" w:hAnsi="Arial" w:cs="Arial"/>
          <w:color w:val="auto"/>
        </w:rPr>
      </w:pPr>
      <w:r w:rsidRPr="004F7B95">
        <w:rPr>
          <w:rFonts w:ascii="Times New Roman" w:hAnsi="Times New Roman"/>
          <w:sz w:val="24"/>
          <w:szCs w:val="24"/>
        </w:rPr>
        <w:tab/>
      </w:r>
      <w:r w:rsidR="00AD7CCD">
        <w:rPr>
          <w:rFonts w:ascii="Arial" w:hAnsi="Arial" w:eastAsia="Arial Unicode MS" w:cs="Arial"/>
          <w:noProof/>
          <w:color w:val="auto"/>
        </w:rPr>
        <w:t>Child Care</w:t>
      </w:r>
      <w:r w:rsidR="00FC173C">
        <w:rPr>
          <w:rFonts w:ascii="Arial" w:hAnsi="Arial" w:eastAsia="Arial Unicode MS" w:cs="Arial"/>
          <w:noProof/>
          <w:color w:val="auto"/>
        </w:rPr>
        <w:t xml:space="preserve"> Improper Payments Data Collection Instructions</w:t>
      </w:r>
    </w:p>
    <w:p w:rsidRPr="00160621" w:rsidR="00160621" w:rsidP="00160621" w:rsidRDefault="00160621" w14:paraId="39336BB3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160621" w:rsidP="00160621" w:rsidRDefault="00160621" w14:paraId="063F1238" w14:textId="5902A77B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FC173C">
        <w:rPr>
          <w:rFonts w:ascii="Arial" w:hAnsi="Arial" w:cs="Arial"/>
          <w:color w:val="auto"/>
          <w:sz w:val="32"/>
          <w:szCs w:val="32"/>
        </w:rPr>
        <w:t>0323</w:t>
      </w:r>
    </w:p>
    <w:p w:rsidRPr="00160621" w:rsidR="00160621" w:rsidP="00160621" w:rsidRDefault="00160621" w14:paraId="3CAA9B87" w14:textId="77777777">
      <w:pPr>
        <w:rPr>
          <w:rFonts w:ascii="Arial" w:hAnsi="Arial" w:cs="Arial"/>
          <w:szCs w:val="22"/>
        </w:rPr>
      </w:pPr>
    </w:p>
    <w:p w:rsidRPr="00160621" w:rsidR="00160621" w:rsidP="00160621" w:rsidRDefault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160621" w:rsidR="00160621" w:rsidP="00597E7F" w:rsidRDefault="00160621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Pr="00160621" w:rsidR="00160621" w:rsidRDefault="00FF29FD" w14:paraId="76FA23BE" w14:textId="5BD43F78">
      <w:pPr>
        <w:pStyle w:val="ReportCover-Date"/>
        <w:jc w:val="center"/>
        <w:rPr>
          <w:bCs/>
          <w:szCs w:val="24"/>
        </w:rPr>
      </w:pPr>
      <w:r>
        <w:rPr>
          <w:rFonts w:ascii="Arial" w:hAnsi="Arial" w:cs="Arial"/>
          <w:color w:val="auto"/>
        </w:rPr>
        <w:t xml:space="preserve">September </w:t>
      </w:r>
      <w:r w:rsidRPr="7DF172D8" w:rsidR="00803FD2">
        <w:rPr>
          <w:rFonts w:ascii="Arial" w:hAnsi="Arial" w:cs="Arial"/>
          <w:color w:val="auto"/>
        </w:rPr>
        <w:t>2021</w:t>
      </w:r>
    </w:p>
    <w:p w:rsidR="00160621" w:rsidP="00160621" w:rsidRDefault="00160621" w14:paraId="753A1E0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19E722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68EB90E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C5E3B5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616FF4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B4C00B6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DC42FB1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A66709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6FA422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9C877DB" w14:textId="23DA8836">
      <w:pPr>
        <w:jc w:val="center"/>
        <w:rPr>
          <w:rFonts w:ascii="Arial" w:hAnsi="Arial" w:cs="Arial"/>
        </w:rPr>
      </w:pPr>
    </w:p>
    <w:p w:rsidR="00803FD2" w:rsidP="00160621" w:rsidRDefault="00803FD2" w14:paraId="11A832A6" w14:textId="7CABB22A">
      <w:pPr>
        <w:jc w:val="center"/>
        <w:rPr>
          <w:rFonts w:ascii="Arial" w:hAnsi="Arial" w:cs="Arial"/>
        </w:rPr>
      </w:pPr>
    </w:p>
    <w:p w:rsidR="00803FD2" w:rsidP="00160621" w:rsidRDefault="00803FD2" w14:paraId="61DEE75F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AAAF46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0B6F308C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3A61A97" w14:textId="77777777">
      <w:pPr>
        <w:jc w:val="center"/>
        <w:rPr>
          <w:rFonts w:ascii="Arial" w:hAnsi="Arial" w:cs="Arial"/>
        </w:rPr>
      </w:pPr>
    </w:p>
    <w:p w:rsidRPr="00160621" w:rsidR="00597E7F" w:rsidP="00160621" w:rsidRDefault="00597E7F" w14:paraId="5656E161" w14:textId="77777777">
      <w:pPr>
        <w:jc w:val="center"/>
        <w:rPr>
          <w:rFonts w:ascii="Arial" w:hAnsi="Arial" w:cs="Arial"/>
        </w:rPr>
      </w:pPr>
    </w:p>
    <w:p w:rsidRPr="00160621" w:rsidR="00160621" w:rsidP="00160621" w:rsidRDefault="00160621" w14:paraId="5E112DD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Pr="00160621" w:rsidR="00160621" w:rsidP="00160621" w:rsidRDefault="00880CAA" w14:paraId="54195924" w14:textId="55ED1C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Child Care</w:t>
      </w:r>
    </w:p>
    <w:p w:rsidRPr="00160621" w:rsidR="00160621" w:rsidP="00160621" w:rsidRDefault="00160621" w14:paraId="6B7D9C75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Pr="00160621" w:rsidR="00160621" w:rsidP="00160621" w:rsidRDefault="00160621" w14:paraId="4CE8214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160621" w:rsidR="00160621" w:rsidP="00160621" w:rsidRDefault="00160621" w14:paraId="005256E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71DD6E4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56DD869F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0B82535D" w14:textId="77777777">
      <w:pPr>
        <w:jc w:val="center"/>
        <w:rPr>
          <w:rFonts w:ascii="Arial" w:hAnsi="Arial" w:cs="Arial"/>
        </w:rPr>
      </w:pPr>
    </w:p>
    <w:p w:rsidR="00803FD2" w:rsidP="005F6644" w:rsidRDefault="00803FD2" w14:paraId="5CDCF61C" w14:textId="1D973C5C">
      <w:pPr>
        <w:rPr>
          <w:rFonts w:ascii="Arial" w:hAnsi="Arial" w:cs="Arial"/>
        </w:rPr>
      </w:pPr>
    </w:p>
    <w:p w:rsidR="009A3611" w:rsidP="00CE6182" w:rsidRDefault="00160621" w14:paraId="6C0DF938" w14:textId="77777777">
      <w:pPr>
        <w:widowControl/>
        <w:ind w:left="360" w:hanging="360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6D1643">
        <w:rPr>
          <w:rFonts w:ascii="Times New Roman" w:hAnsi="Times New Roman"/>
          <w:b/>
          <w:snapToGrid/>
          <w:sz w:val="24"/>
          <w:szCs w:val="24"/>
        </w:rPr>
        <w:lastRenderedPageBreak/>
        <w:t>Summary</w:t>
      </w:r>
    </w:p>
    <w:p w:rsidR="009A3611" w:rsidP="009A3611" w:rsidRDefault="009A3611" w14:paraId="474C0383" w14:textId="77777777"/>
    <w:p w:rsidRPr="00844264" w:rsidR="009A3611" w:rsidP="00844264" w:rsidRDefault="009A3611" w14:paraId="671813D3" w14:textId="14EC40E3">
      <w:pPr>
        <w:ind w:left="720"/>
        <w:rPr>
          <w:rFonts w:ascii="Times New Roman" w:hAnsi="Times New Roman"/>
          <w:sz w:val="24"/>
          <w:szCs w:val="24"/>
        </w:rPr>
      </w:pPr>
      <w:r w:rsidRPr="00844264">
        <w:rPr>
          <w:rFonts w:ascii="Times New Roman" w:hAnsi="Times New Roman"/>
          <w:sz w:val="24"/>
          <w:szCs w:val="24"/>
        </w:rPr>
        <w:t xml:space="preserve">This information request is for revisions to the Child Care Improper Payments Data Collection Instructions. </w:t>
      </w:r>
      <w:r w:rsidR="00C26C4E">
        <w:rPr>
          <w:rFonts w:ascii="Times New Roman" w:hAnsi="Times New Roman"/>
          <w:sz w:val="24"/>
          <w:szCs w:val="24"/>
        </w:rPr>
        <w:t xml:space="preserve"> </w:t>
      </w:r>
      <w:r w:rsidRPr="00844264">
        <w:rPr>
          <w:rFonts w:ascii="Times New Roman" w:hAnsi="Times New Roman"/>
          <w:sz w:val="24"/>
          <w:szCs w:val="24"/>
        </w:rPr>
        <w:t xml:space="preserve">The current data collection forms and instructions expire on October 31, 2021 and must be renewed. </w:t>
      </w:r>
      <w:r w:rsidR="00C26C4E">
        <w:rPr>
          <w:rFonts w:ascii="Times New Roman" w:hAnsi="Times New Roman"/>
          <w:sz w:val="24"/>
          <w:szCs w:val="24"/>
        </w:rPr>
        <w:t xml:space="preserve"> </w:t>
      </w:r>
      <w:r w:rsidRPr="00844264">
        <w:rPr>
          <w:rFonts w:ascii="Times New Roman" w:hAnsi="Times New Roman"/>
          <w:sz w:val="24"/>
          <w:szCs w:val="24"/>
        </w:rPr>
        <w:t>The proposed revisions do not change the methodology, but instead make the forms and instructions more user</w:t>
      </w:r>
      <w:r w:rsidR="006F48FB">
        <w:rPr>
          <w:rFonts w:ascii="Times New Roman" w:hAnsi="Times New Roman"/>
          <w:sz w:val="24"/>
          <w:szCs w:val="24"/>
        </w:rPr>
        <w:t>-</w:t>
      </w:r>
      <w:r w:rsidRPr="00844264">
        <w:rPr>
          <w:rFonts w:ascii="Times New Roman" w:hAnsi="Times New Roman"/>
          <w:sz w:val="24"/>
          <w:szCs w:val="24"/>
        </w:rPr>
        <w:t xml:space="preserve">friendly by providing additional guidance, instruction, and clarifications to respondents. </w:t>
      </w:r>
      <w:r w:rsidR="00C26C4E">
        <w:rPr>
          <w:rFonts w:ascii="Times New Roman" w:hAnsi="Times New Roman"/>
          <w:sz w:val="24"/>
          <w:szCs w:val="24"/>
        </w:rPr>
        <w:t xml:space="preserve"> </w:t>
      </w:r>
      <w:r w:rsidRPr="00844264">
        <w:rPr>
          <w:rFonts w:ascii="Times New Roman" w:hAnsi="Times New Roman"/>
          <w:sz w:val="24"/>
          <w:szCs w:val="24"/>
        </w:rPr>
        <w:t xml:space="preserve">Ongoing feedback from respondents during the current data collection </w:t>
      </w:r>
      <w:r w:rsidR="006F48FB">
        <w:rPr>
          <w:rFonts w:ascii="Times New Roman" w:hAnsi="Times New Roman"/>
          <w:sz w:val="24"/>
          <w:szCs w:val="24"/>
        </w:rPr>
        <w:t xml:space="preserve">cycle </w:t>
      </w:r>
      <w:r w:rsidRPr="00844264">
        <w:rPr>
          <w:rFonts w:ascii="Times New Roman" w:hAnsi="Times New Roman"/>
          <w:sz w:val="24"/>
          <w:szCs w:val="24"/>
        </w:rPr>
        <w:t xml:space="preserve">has informed these minor revisions. </w:t>
      </w:r>
    </w:p>
    <w:p w:rsidRPr="00CE6182" w:rsidR="00160621" w:rsidP="00CE6182" w:rsidRDefault="00160621" w14:paraId="2212894C" w14:textId="21BD7BD1">
      <w:pPr>
        <w:widowControl/>
        <w:ind w:left="360" w:hanging="360"/>
        <w:jc w:val="center"/>
        <w:rPr>
          <w:rFonts w:ascii="Times New Roman" w:hAnsi="Times New Roman"/>
          <w:b/>
          <w:snapToGrid/>
          <w:sz w:val="24"/>
          <w:szCs w:val="24"/>
        </w:rPr>
      </w:pPr>
    </w:p>
    <w:p w:rsidRPr="00075889" w:rsidR="002C3C4F" w:rsidP="00075889" w:rsidRDefault="002C3C4F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Pr="002E3620" w:rsidR="00790D2C" w:rsidP="00D7443D" w:rsidRDefault="00BF7556" w14:paraId="398DDEC3" w14:textId="4B151B8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2E3620">
        <w:rPr>
          <w:rFonts w:ascii="Times New Roman" w:hAnsi="Times New Roman"/>
          <w:snapToGrid/>
          <w:sz w:val="24"/>
          <w:szCs w:val="24"/>
        </w:rPr>
        <w:t xml:space="preserve">Section 2 of the Payment Integrity Information Act of 2019 (PIIA) </w:t>
      </w:r>
      <w:r w:rsidRPr="002E3620" w:rsidR="00A65A09">
        <w:rPr>
          <w:rFonts w:ascii="Times New Roman" w:hAnsi="Times New Roman"/>
          <w:snapToGrid/>
          <w:sz w:val="24"/>
          <w:szCs w:val="24"/>
        </w:rPr>
        <w:t xml:space="preserve">requires </w:t>
      </w:r>
      <w:r w:rsidR="003C2231">
        <w:rPr>
          <w:rFonts w:ascii="Times New Roman" w:hAnsi="Times New Roman"/>
          <w:snapToGrid/>
          <w:sz w:val="24"/>
          <w:szCs w:val="24"/>
        </w:rPr>
        <w:t>f</w:t>
      </w:r>
      <w:r w:rsidRPr="002E3620" w:rsidR="00A65A09">
        <w:rPr>
          <w:rFonts w:ascii="Times New Roman" w:hAnsi="Times New Roman"/>
          <w:snapToGrid/>
          <w:sz w:val="24"/>
          <w:szCs w:val="24"/>
        </w:rPr>
        <w:t xml:space="preserve">ederal agencies </w:t>
      </w:r>
      <w:r w:rsidRPr="008F4CB6" w:rsidR="00A65A09">
        <w:rPr>
          <w:rFonts w:ascii="Times New Roman" w:hAnsi="Times New Roman"/>
          <w:snapToGrid/>
          <w:sz w:val="24"/>
          <w:szCs w:val="24"/>
        </w:rPr>
        <w:t xml:space="preserve">to review </w:t>
      </w:r>
      <w:r w:rsidRPr="008F4CB6" w:rsidR="00270CFC">
        <w:rPr>
          <w:rFonts w:ascii="Times New Roman" w:hAnsi="Times New Roman"/>
          <w:snapToGrid/>
          <w:sz w:val="24"/>
          <w:szCs w:val="24"/>
        </w:rPr>
        <w:t xml:space="preserve">their </w:t>
      </w:r>
      <w:r w:rsidRPr="008F4CB6" w:rsidR="00A65A09">
        <w:rPr>
          <w:rFonts w:ascii="Times New Roman" w:hAnsi="Times New Roman"/>
          <w:snapToGrid/>
          <w:sz w:val="24"/>
          <w:szCs w:val="24"/>
        </w:rPr>
        <w:t xml:space="preserve">programs and activities </w:t>
      </w:r>
      <w:r w:rsidRPr="008F4CB6" w:rsidR="004D6C2F">
        <w:rPr>
          <w:rFonts w:ascii="Times New Roman" w:hAnsi="Times New Roman"/>
          <w:snapToGrid/>
          <w:sz w:val="24"/>
          <w:szCs w:val="24"/>
        </w:rPr>
        <w:t>to</w:t>
      </w:r>
      <w:r w:rsidRPr="008F4CB6" w:rsidR="00A65A09">
        <w:rPr>
          <w:rFonts w:ascii="Times New Roman" w:hAnsi="Times New Roman"/>
          <w:snapToGrid/>
          <w:sz w:val="24"/>
          <w:szCs w:val="24"/>
        </w:rPr>
        <w:t xml:space="preserve"> identify those that may be susceptible to si</w:t>
      </w:r>
      <w:r w:rsidRPr="008F4CB6" w:rsidR="004D6C2F">
        <w:rPr>
          <w:rFonts w:ascii="Times New Roman" w:hAnsi="Times New Roman"/>
          <w:snapToGrid/>
          <w:sz w:val="24"/>
          <w:szCs w:val="24"/>
        </w:rPr>
        <w:t>gnificant</w:t>
      </w:r>
      <w:r w:rsidRPr="008F4CB6" w:rsidR="00A65A09">
        <w:rPr>
          <w:rFonts w:ascii="Times New Roman" w:hAnsi="Times New Roman"/>
          <w:snapToGrid/>
          <w:sz w:val="24"/>
          <w:szCs w:val="24"/>
        </w:rPr>
        <w:t xml:space="preserve"> </w:t>
      </w:r>
      <w:r w:rsidRPr="008F4CB6" w:rsidR="004D6C2F">
        <w:rPr>
          <w:rFonts w:ascii="Times New Roman" w:hAnsi="Times New Roman"/>
          <w:snapToGrid/>
          <w:sz w:val="24"/>
          <w:szCs w:val="24"/>
        </w:rPr>
        <w:t>improper</w:t>
      </w:r>
      <w:r w:rsidRPr="008F4CB6" w:rsidR="00A65A09">
        <w:rPr>
          <w:rFonts w:ascii="Times New Roman" w:hAnsi="Times New Roman"/>
          <w:snapToGrid/>
          <w:sz w:val="24"/>
          <w:szCs w:val="24"/>
        </w:rPr>
        <w:t xml:space="preserve"> </w:t>
      </w:r>
      <w:r w:rsidRPr="008F4CB6" w:rsidR="00ED6DF4">
        <w:rPr>
          <w:rFonts w:ascii="Times New Roman" w:hAnsi="Times New Roman"/>
          <w:snapToGrid/>
          <w:sz w:val="24"/>
          <w:szCs w:val="24"/>
        </w:rPr>
        <w:t>payments and</w:t>
      </w:r>
      <w:r w:rsidRPr="008F4CB6" w:rsidR="00A65A09">
        <w:rPr>
          <w:rFonts w:ascii="Times New Roman" w:hAnsi="Times New Roman"/>
          <w:snapToGrid/>
          <w:sz w:val="24"/>
          <w:szCs w:val="24"/>
        </w:rPr>
        <w:t xml:space="preserve"> submit a report on </w:t>
      </w:r>
      <w:r w:rsidRPr="008F4CB6" w:rsidR="005264A8">
        <w:rPr>
          <w:rFonts w:ascii="Times New Roman" w:hAnsi="Times New Roman"/>
          <w:snapToGrid/>
          <w:sz w:val="24"/>
          <w:szCs w:val="24"/>
        </w:rPr>
        <w:t>actions</w:t>
      </w:r>
      <w:r w:rsidRPr="008F4CB6" w:rsidR="00A65A09">
        <w:rPr>
          <w:rFonts w:ascii="Times New Roman" w:hAnsi="Times New Roman"/>
          <w:snapToGrid/>
          <w:sz w:val="24"/>
          <w:szCs w:val="24"/>
        </w:rPr>
        <w:t xml:space="preserve"> taken to reduce improper payments. </w:t>
      </w:r>
      <w:r w:rsidR="009E7342">
        <w:rPr>
          <w:rFonts w:ascii="Times New Roman" w:hAnsi="Times New Roman"/>
          <w:snapToGrid/>
          <w:sz w:val="24"/>
          <w:szCs w:val="24"/>
        </w:rPr>
        <w:t xml:space="preserve"> </w:t>
      </w:r>
      <w:r w:rsidRPr="002E3620" w:rsidR="005264A8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45 CFR </w:t>
      </w:r>
      <w:r w:rsidRPr="002E3620" w:rsidR="006D094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Part </w:t>
      </w:r>
      <w:r w:rsidRPr="002E3620" w:rsidR="005264A8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98 Subpart K—Error Rate Reporting—requires </w:t>
      </w:r>
      <w:r w:rsidR="00851F5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2E3620" w:rsidR="005264A8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tates, the District of Columbia, and Puerto Rico to measure, calculate, and report </w:t>
      </w:r>
      <w:r w:rsidRPr="002E3620" w:rsidR="002E3620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errors and </w:t>
      </w:r>
      <w:r w:rsidRPr="002E3620" w:rsidR="005264A8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improper payments </w:t>
      </w:r>
      <w:r w:rsidRPr="002E3620" w:rsidR="002E3620">
        <w:rPr>
          <w:rFonts w:ascii="Times New Roman" w:hAnsi="Times New Roman"/>
          <w:snapToGrid/>
          <w:sz w:val="24"/>
          <w:szCs w:val="24"/>
        </w:rPr>
        <w:t xml:space="preserve">occurring </w:t>
      </w:r>
      <w:r w:rsidR="00EE30E9">
        <w:rPr>
          <w:rFonts w:ascii="Times New Roman" w:hAnsi="Times New Roman"/>
          <w:snapToGrid/>
          <w:sz w:val="24"/>
          <w:szCs w:val="24"/>
        </w:rPr>
        <w:t xml:space="preserve">in </w:t>
      </w:r>
      <w:r w:rsidRPr="002E3620" w:rsidR="002E3620">
        <w:rPr>
          <w:rFonts w:ascii="Times New Roman" w:hAnsi="Times New Roman"/>
          <w:snapToGrid/>
          <w:sz w:val="24"/>
          <w:szCs w:val="24"/>
        </w:rPr>
        <w:t xml:space="preserve">the administration of the Child Care and Development Fund (CCDF) </w:t>
      </w:r>
      <w:r w:rsidRPr="00ED6DF4" w:rsidR="002E3620">
        <w:rPr>
          <w:rFonts w:ascii="Times New Roman" w:hAnsi="Times New Roman"/>
          <w:snapToGrid/>
          <w:sz w:val="24"/>
          <w:szCs w:val="24"/>
        </w:rPr>
        <w:t>once every</w:t>
      </w:r>
      <w:r w:rsidRPr="00721F31" w:rsidR="002E3620">
        <w:rPr>
          <w:rFonts w:ascii="Times New Roman" w:hAnsi="Times New Roman"/>
          <w:snapToGrid/>
          <w:sz w:val="24"/>
          <w:szCs w:val="24"/>
        </w:rPr>
        <w:t xml:space="preserve"> three years</w:t>
      </w:r>
      <w:r w:rsidRPr="002E3620" w:rsidR="002E3620">
        <w:rPr>
          <w:rStyle w:val="normaltextrun"/>
          <w:color w:val="000000"/>
          <w:shd w:val="clear" w:color="auto" w:fill="FFFFFF"/>
        </w:rPr>
        <w:t xml:space="preserve">. </w:t>
      </w:r>
    </w:p>
    <w:p w:rsidRPr="008F4CB6" w:rsidR="00517CF0" w:rsidP="00517CF0" w:rsidRDefault="00517CF0" w14:paraId="23124773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C770BA" w:rsidR="00766F76" w:rsidP="00217E33" w:rsidRDefault="00EC158E" w14:paraId="4184D387" w14:textId="64BE2C2A">
      <w:pPr>
        <w:widowControl/>
        <w:tabs>
          <w:tab w:val="num" w:pos="360"/>
        </w:tabs>
        <w:ind w:left="360"/>
        <w:rPr>
          <w:rStyle w:val="normaltextrun"/>
          <w:rFonts w:ascii="Times New Roman" w:hAnsi="Times New Roman"/>
          <w:sz w:val="24"/>
          <w:szCs w:val="24"/>
        </w:rPr>
      </w:pPr>
      <w:r w:rsidRPr="40ADF785">
        <w:rPr>
          <w:rFonts w:ascii="Times New Roman" w:hAnsi="Times New Roman"/>
          <w:sz w:val="24"/>
          <w:szCs w:val="24"/>
        </w:rPr>
        <w:t xml:space="preserve">The Office of Child Care (OCC) </w:t>
      </w:r>
      <w:r w:rsidRPr="40ADF785" w:rsidR="00D62BD7">
        <w:rPr>
          <w:rFonts w:ascii="Times New Roman" w:hAnsi="Times New Roman"/>
          <w:sz w:val="24"/>
          <w:szCs w:val="24"/>
        </w:rPr>
        <w:t xml:space="preserve">first </w:t>
      </w:r>
      <w:r w:rsidRPr="40ADF785" w:rsidR="00517CF0">
        <w:rPr>
          <w:rFonts w:ascii="Times New Roman" w:hAnsi="Times New Roman"/>
          <w:sz w:val="24"/>
          <w:szCs w:val="24"/>
        </w:rPr>
        <w:t xml:space="preserve">implemented the error rate methodology in 2007 and </w:t>
      </w:r>
      <w:r w:rsidRPr="40ADF785">
        <w:rPr>
          <w:rFonts w:ascii="Times New Roman" w:hAnsi="Times New Roman"/>
          <w:sz w:val="24"/>
          <w:szCs w:val="24"/>
        </w:rPr>
        <w:t xml:space="preserve">is </w:t>
      </w:r>
      <w:r w:rsidRPr="40ADF785" w:rsidR="00517CF0">
        <w:rPr>
          <w:rFonts w:ascii="Times New Roman" w:hAnsi="Times New Roman"/>
          <w:sz w:val="24"/>
          <w:szCs w:val="24"/>
        </w:rPr>
        <w:t xml:space="preserve">currently </w:t>
      </w:r>
      <w:r w:rsidRPr="40ADF785">
        <w:rPr>
          <w:rFonts w:ascii="Times New Roman" w:hAnsi="Times New Roman"/>
          <w:sz w:val="24"/>
          <w:szCs w:val="24"/>
        </w:rPr>
        <w:t xml:space="preserve">completing the fifth 3-year cycle of case record reviews to meet the requirements for reporting under </w:t>
      </w:r>
      <w:r w:rsidRPr="40ADF785" w:rsidR="00ED6DF4">
        <w:rPr>
          <w:rFonts w:ascii="Times New Roman" w:hAnsi="Times New Roman"/>
          <w:sz w:val="24"/>
          <w:szCs w:val="24"/>
        </w:rPr>
        <w:t xml:space="preserve">the </w:t>
      </w:r>
      <w:r w:rsidRPr="40ADF785">
        <w:rPr>
          <w:rFonts w:ascii="Times New Roman" w:hAnsi="Times New Roman"/>
          <w:sz w:val="24"/>
          <w:szCs w:val="24"/>
        </w:rPr>
        <w:t xml:space="preserve">PIIA. </w:t>
      </w:r>
      <w:r w:rsidR="009E7342">
        <w:rPr>
          <w:rFonts w:ascii="Times New Roman" w:hAnsi="Times New Roman"/>
          <w:sz w:val="24"/>
          <w:szCs w:val="24"/>
        </w:rPr>
        <w:t xml:space="preserve"> </w:t>
      </w:r>
      <w:r w:rsidRPr="40ADF785">
        <w:rPr>
          <w:rFonts w:ascii="Times New Roman" w:hAnsi="Times New Roman"/>
          <w:sz w:val="24"/>
          <w:szCs w:val="24"/>
        </w:rPr>
        <w:t xml:space="preserve">The current data collection forms and instructions expire </w:t>
      </w:r>
      <w:r w:rsidRPr="40ADF785" w:rsidR="006B56A7">
        <w:rPr>
          <w:rFonts w:ascii="Times New Roman" w:hAnsi="Times New Roman"/>
          <w:sz w:val="24"/>
          <w:szCs w:val="24"/>
        </w:rPr>
        <w:t xml:space="preserve">on </w:t>
      </w:r>
      <w:r w:rsidRPr="40ADF785" w:rsidR="00A6340F">
        <w:rPr>
          <w:rFonts w:ascii="Times New Roman" w:hAnsi="Times New Roman"/>
          <w:sz w:val="24"/>
          <w:szCs w:val="24"/>
        </w:rPr>
        <w:t>October 31, 2021</w:t>
      </w:r>
      <w:r w:rsidRPr="40ADF785" w:rsidR="0029776E">
        <w:rPr>
          <w:rFonts w:ascii="Times New Roman" w:hAnsi="Times New Roman"/>
          <w:sz w:val="24"/>
          <w:szCs w:val="24"/>
        </w:rPr>
        <w:t xml:space="preserve"> and must be renewed</w:t>
      </w:r>
      <w:r w:rsidRPr="40ADF785" w:rsidR="00A6340F">
        <w:rPr>
          <w:rFonts w:ascii="Times New Roman" w:hAnsi="Times New Roman"/>
          <w:sz w:val="24"/>
          <w:szCs w:val="24"/>
        </w:rPr>
        <w:t xml:space="preserve">. </w:t>
      </w:r>
      <w:r w:rsidR="009E7342">
        <w:rPr>
          <w:rFonts w:ascii="Times New Roman" w:hAnsi="Times New Roman"/>
          <w:sz w:val="24"/>
          <w:szCs w:val="24"/>
        </w:rPr>
        <w:t xml:space="preserve"> </w:t>
      </w:r>
      <w:r w:rsidRPr="40ADF785" w:rsidR="00A6340F">
        <w:rPr>
          <w:rFonts w:ascii="Times New Roman" w:hAnsi="Times New Roman"/>
          <w:sz w:val="24"/>
          <w:szCs w:val="24"/>
        </w:rPr>
        <w:t xml:space="preserve">As part of the renewal process, OCC has revised the document with minor changes that do not change the methodology, but </w:t>
      </w:r>
      <w:r w:rsidRPr="40ADF785" w:rsidR="00374E7B">
        <w:rPr>
          <w:rFonts w:ascii="Times New Roman" w:hAnsi="Times New Roman"/>
          <w:sz w:val="24"/>
          <w:szCs w:val="24"/>
        </w:rPr>
        <w:t xml:space="preserve">that </w:t>
      </w:r>
      <w:r w:rsidRPr="40ADF785" w:rsidR="00A6340F">
        <w:rPr>
          <w:rFonts w:ascii="Times New Roman" w:hAnsi="Times New Roman"/>
          <w:sz w:val="24"/>
          <w:szCs w:val="24"/>
        </w:rPr>
        <w:t xml:space="preserve">provide respondents with additional guidance, clarification, and support to facilitate completeness and accuracy of the required data submissions. </w:t>
      </w:r>
      <w:r w:rsidR="009E7342">
        <w:rPr>
          <w:rFonts w:ascii="Times New Roman" w:hAnsi="Times New Roman"/>
          <w:sz w:val="24"/>
          <w:szCs w:val="24"/>
        </w:rPr>
        <w:t xml:space="preserve"> </w:t>
      </w:r>
      <w:r w:rsidRPr="40ADF785" w:rsidR="00BC3DD1">
        <w:rPr>
          <w:rFonts w:ascii="Times New Roman" w:hAnsi="Times New Roman"/>
          <w:sz w:val="24"/>
          <w:szCs w:val="24"/>
        </w:rPr>
        <w:t xml:space="preserve">See Attachment A for the revised Data Collection Instructions. </w:t>
      </w:r>
      <w:r w:rsidRPr="40ADF785" w:rsidR="00267B44">
        <w:rPr>
          <w:rFonts w:ascii="Times New Roman" w:hAnsi="Times New Roman"/>
          <w:sz w:val="24"/>
          <w:szCs w:val="24"/>
        </w:rPr>
        <w:t xml:space="preserve"> </w:t>
      </w:r>
    </w:p>
    <w:p w:rsidRPr="004F7B95" w:rsidR="00790D2C" w:rsidP="00DE49B7" w:rsidRDefault="00790D2C" w14:paraId="6A4D4BDD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DE49B7" w:rsidR="00790D2C" w:rsidP="00DE49B7" w:rsidRDefault="00790D2C" w14:paraId="4C1BFBD8" w14:textId="6EB1297C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P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="00564291" w:rsidP="00AD32F1" w:rsidRDefault="00220FD6" w14:paraId="798B8160" w14:textId="6D7671F1">
      <w:pPr>
        <w:widowControl/>
        <w:tabs>
          <w:tab w:val="num" w:pos="360"/>
        </w:tabs>
        <w:spacing w:after="60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AD0B06">
        <w:rPr>
          <w:rFonts w:ascii="Times New Roman" w:hAnsi="Times New Roman"/>
          <w:color w:val="000000" w:themeColor="text1"/>
          <w:sz w:val="24"/>
          <w:szCs w:val="24"/>
        </w:rPr>
        <w:t xml:space="preserve">Child Care Improper Payments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Data Collection Instructions (DCI) </w:t>
      </w:r>
      <w:r w:rsidR="00DF705C">
        <w:rPr>
          <w:rFonts w:ascii="Times New Roman" w:hAnsi="Times New Roman"/>
          <w:color w:val="000000" w:themeColor="text1"/>
          <w:sz w:val="24"/>
          <w:szCs w:val="24"/>
        </w:rPr>
        <w:t xml:space="preserve">detail the methodology </w:t>
      </w:r>
      <w:r w:rsidR="00E57A4F">
        <w:rPr>
          <w:rFonts w:ascii="Times New Roman" w:hAnsi="Times New Roman"/>
          <w:color w:val="000000" w:themeColor="text1"/>
          <w:sz w:val="24"/>
          <w:szCs w:val="24"/>
        </w:rPr>
        <w:t xml:space="preserve">to be used by </w:t>
      </w:r>
      <w:r w:rsidR="003C223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9185E">
        <w:rPr>
          <w:rFonts w:ascii="Times New Roman" w:hAnsi="Times New Roman"/>
          <w:color w:val="000000" w:themeColor="text1"/>
          <w:sz w:val="24"/>
          <w:szCs w:val="24"/>
        </w:rPr>
        <w:t>tates, the District of Columbia, and Puerto Ric</w:t>
      </w:r>
      <w:r w:rsidR="00EE1E8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9185E">
        <w:rPr>
          <w:rFonts w:ascii="Times New Roman" w:hAnsi="Times New Roman"/>
          <w:color w:val="000000" w:themeColor="text1"/>
          <w:sz w:val="24"/>
          <w:szCs w:val="24"/>
        </w:rPr>
        <w:t xml:space="preserve"> (referred to as “</w:t>
      </w:r>
      <w:r w:rsidR="003C223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9185E">
        <w:rPr>
          <w:rFonts w:ascii="Times New Roman" w:hAnsi="Times New Roman"/>
          <w:color w:val="000000" w:themeColor="text1"/>
          <w:sz w:val="24"/>
          <w:szCs w:val="24"/>
        </w:rPr>
        <w:t>tates” for the remainder of this item)</w:t>
      </w:r>
      <w:r w:rsidR="00E57A4F">
        <w:rPr>
          <w:rFonts w:ascii="Times New Roman" w:hAnsi="Times New Roman"/>
          <w:color w:val="000000" w:themeColor="text1"/>
          <w:sz w:val="24"/>
          <w:szCs w:val="24"/>
        </w:rPr>
        <w:t xml:space="preserve"> to</w:t>
      </w:r>
      <w:r w:rsidR="00B647F0">
        <w:rPr>
          <w:rFonts w:ascii="Times New Roman" w:hAnsi="Times New Roman"/>
          <w:color w:val="000000" w:themeColor="text1"/>
          <w:sz w:val="24"/>
          <w:szCs w:val="24"/>
        </w:rPr>
        <w:t xml:space="preserve"> implement </w:t>
      </w:r>
      <w:r w:rsidR="00DF705C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B647F0">
        <w:rPr>
          <w:rFonts w:ascii="Times New Roman" w:hAnsi="Times New Roman"/>
          <w:color w:val="000000" w:themeColor="text1"/>
          <w:sz w:val="24"/>
          <w:szCs w:val="24"/>
        </w:rPr>
        <w:t xml:space="preserve">CCDF </w:t>
      </w:r>
      <w:r w:rsidR="0054649E">
        <w:rPr>
          <w:rFonts w:ascii="Times New Roman" w:hAnsi="Times New Roman"/>
          <w:color w:val="000000" w:themeColor="text1"/>
          <w:sz w:val="24"/>
          <w:szCs w:val="24"/>
        </w:rPr>
        <w:t xml:space="preserve">error rate </w:t>
      </w:r>
      <w:r w:rsidR="00E924C8">
        <w:rPr>
          <w:rFonts w:ascii="Times New Roman" w:hAnsi="Times New Roman"/>
          <w:color w:val="000000" w:themeColor="text1"/>
          <w:sz w:val="24"/>
          <w:szCs w:val="24"/>
        </w:rPr>
        <w:t>reporting requirements</w:t>
      </w:r>
      <w:r w:rsidR="00B647F0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016C89">
        <w:rPr>
          <w:rFonts w:ascii="Times New Roman" w:hAnsi="Times New Roman"/>
          <w:color w:val="000000" w:themeColor="text1"/>
          <w:sz w:val="24"/>
          <w:szCs w:val="24"/>
        </w:rPr>
        <w:t>The methodology outlined in the DCI provides a consistent framework for all states to follow</w:t>
      </w:r>
      <w:r w:rsidR="000440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39D2">
        <w:rPr>
          <w:rFonts w:ascii="Times New Roman" w:hAnsi="Times New Roman"/>
          <w:color w:val="000000" w:themeColor="text1"/>
          <w:sz w:val="24"/>
          <w:szCs w:val="24"/>
        </w:rPr>
        <w:t>while allowing</w:t>
      </w:r>
      <w:r w:rsidR="000440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6C89">
        <w:rPr>
          <w:rFonts w:ascii="Times New Roman" w:hAnsi="Times New Roman"/>
          <w:color w:val="000000" w:themeColor="text1"/>
          <w:sz w:val="24"/>
          <w:szCs w:val="24"/>
        </w:rPr>
        <w:t xml:space="preserve">flexibility </w:t>
      </w:r>
      <w:r w:rsidR="00D62E70">
        <w:rPr>
          <w:rFonts w:ascii="Times New Roman" w:hAnsi="Times New Roman"/>
          <w:color w:val="000000" w:themeColor="text1"/>
          <w:sz w:val="24"/>
          <w:szCs w:val="24"/>
        </w:rPr>
        <w:t xml:space="preserve">to reflect </w:t>
      </w:r>
      <w:r w:rsidR="00016C89">
        <w:rPr>
          <w:rFonts w:ascii="Times New Roman" w:hAnsi="Times New Roman"/>
          <w:color w:val="000000" w:themeColor="text1"/>
          <w:sz w:val="24"/>
          <w:szCs w:val="24"/>
        </w:rPr>
        <w:t xml:space="preserve">the policies, </w:t>
      </w:r>
      <w:r w:rsidR="00DB6C65">
        <w:rPr>
          <w:rFonts w:ascii="Times New Roman" w:hAnsi="Times New Roman"/>
          <w:color w:val="000000" w:themeColor="text1"/>
          <w:sz w:val="24"/>
          <w:szCs w:val="24"/>
        </w:rPr>
        <w:t>procedures,</w:t>
      </w:r>
      <w:r w:rsidR="00016C89">
        <w:rPr>
          <w:rFonts w:ascii="Times New Roman" w:hAnsi="Times New Roman"/>
          <w:color w:val="000000" w:themeColor="text1"/>
          <w:sz w:val="24"/>
          <w:szCs w:val="24"/>
        </w:rPr>
        <w:t xml:space="preserve"> and requirements</w:t>
      </w:r>
      <w:r w:rsidR="00D62E70">
        <w:rPr>
          <w:rFonts w:ascii="Times New Roman" w:hAnsi="Times New Roman"/>
          <w:color w:val="000000" w:themeColor="text1"/>
          <w:sz w:val="24"/>
          <w:szCs w:val="24"/>
        </w:rPr>
        <w:t xml:space="preserve"> unique to each state.</w:t>
      </w:r>
      <w:r w:rsidR="00016C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39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6B28">
        <w:rPr>
          <w:rFonts w:ascii="Times New Roman" w:hAnsi="Times New Roman"/>
          <w:color w:val="000000" w:themeColor="text1"/>
          <w:sz w:val="24"/>
          <w:szCs w:val="24"/>
        </w:rPr>
        <w:t>The DCI provides instructions</w:t>
      </w:r>
      <w:r w:rsidR="007E65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4291">
        <w:rPr>
          <w:rFonts w:ascii="Times New Roman" w:hAnsi="Times New Roman"/>
          <w:color w:val="000000" w:themeColor="text1"/>
          <w:sz w:val="24"/>
          <w:szCs w:val="24"/>
        </w:rPr>
        <w:t xml:space="preserve">for each </w:t>
      </w:r>
      <w:r w:rsidR="00BA3C75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="00C274DC">
        <w:rPr>
          <w:rFonts w:ascii="Times New Roman" w:hAnsi="Times New Roman"/>
          <w:color w:val="000000" w:themeColor="text1"/>
          <w:sz w:val="24"/>
          <w:szCs w:val="24"/>
        </w:rPr>
        <w:t xml:space="preserve">ep </w:t>
      </w:r>
      <w:r w:rsidR="00564291">
        <w:rPr>
          <w:rFonts w:ascii="Times New Roman" w:hAnsi="Times New Roman"/>
          <w:color w:val="000000" w:themeColor="text1"/>
          <w:sz w:val="24"/>
          <w:szCs w:val="24"/>
        </w:rPr>
        <w:t>of the three-year error rate review cycle</w:t>
      </w:r>
      <w:r w:rsidR="00442536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CE7FA6">
        <w:rPr>
          <w:rFonts w:ascii="Times New Roman" w:hAnsi="Times New Roman"/>
          <w:color w:val="000000" w:themeColor="text1"/>
          <w:sz w:val="24"/>
          <w:szCs w:val="24"/>
        </w:rPr>
        <w:t xml:space="preserve">includes four </w:t>
      </w:r>
      <w:r w:rsidR="006E1264">
        <w:rPr>
          <w:rFonts w:ascii="Times New Roman" w:hAnsi="Times New Roman"/>
          <w:color w:val="000000" w:themeColor="text1"/>
          <w:sz w:val="24"/>
          <w:szCs w:val="24"/>
        </w:rPr>
        <w:t>data collection forms</w:t>
      </w:r>
      <w:r w:rsidR="00CE7FA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564291" w:rsidP="00AD32F1" w:rsidRDefault="00564291" w14:paraId="4E02E218" w14:textId="13051786">
      <w:pPr>
        <w:pStyle w:val="ListParagraph"/>
        <w:widowControl/>
        <w:numPr>
          <w:ilvl w:val="0"/>
          <w:numId w:val="30"/>
        </w:num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  <w:r w:rsidRPr="00564291">
        <w:rPr>
          <w:rFonts w:ascii="Times New Roman" w:hAnsi="Times New Roman"/>
          <w:i/>
          <w:iCs/>
          <w:color w:val="000000" w:themeColor="text1"/>
          <w:sz w:val="24"/>
          <w:szCs w:val="24"/>
        </w:rPr>
        <w:t>Sampling Decisions, Assurances, and Fieldwork Preparation Plan</w:t>
      </w:r>
      <w:r w:rsidR="00C274D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328EC" w:rsidR="00C274DC">
        <w:rPr>
          <w:rFonts w:ascii="Times New Roman" w:hAnsi="Times New Roman"/>
          <w:color w:val="000000" w:themeColor="text1"/>
          <w:sz w:val="24"/>
          <w:szCs w:val="24"/>
        </w:rPr>
        <w:t>(SDAP)</w:t>
      </w:r>
      <w:r w:rsidRPr="005328E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C274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185E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="00CA268F">
        <w:rPr>
          <w:rFonts w:ascii="Times New Roman" w:hAnsi="Times New Roman"/>
          <w:color w:val="000000" w:themeColor="text1"/>
          <w:sz w:val="24"/>
          <w:szCs w:val="24"/>
        </w:rPr>
        <w:t xml:space="preserve"> SDAP </w:t>
      </w:r>
      <w:r w:rsidR="0039185E">
        <w:rPr>
          <w:rFonts w:ascii="Times New Roman" w:hAnsi="Times New Roman"/>
          <w:color w:val="000000" w:themeColor="text1"/>
          <w:sz w:val="24"/>
          <w:szCs w:val="24"/>
        </w:rPr>
        <w:t xml:space="preserve">includes </w:t>
      </w:r>
      <w:r w:rsidR="00C03A34">
        <w:rPr>
          <w:rFonts w:ascii="Times New Roman" w:hAnsi="Times New Roman"/>
          <w:color w:val="000000" w:themeColor="text1"/>
          <w:sz w:val="24"/>
          <w:szCs w:val="24"/>
        </w:rPr>
        <w:t xml:space="preserve">a series of </w:t>
      </w:r>
      <w:r w:rsidR="00C277A6">
        <w:rPr>
          <w:rFonts w:ascii="Times New Roman" w:hAnsi="Times New Roman"/>
          <w:color w:val="000000" w:themeColor="text1"/>
          <w:sz w:val="24"/>
          <w:szCs w:val="24"/>
        </w:rPr>
        <w:t xml:space="preserve">questions about how the </w:t>
      </w:r>
      <w:r w:rsidR="00CF71A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9185E">
        <w:rPr>
          <w:rFonts w:ascii="Times New Roman" w:hAnsi="Times New Roman"/>
          <w:color w:val="000000" w:themeColor="text1"/>
          <w:sz w:val="24"/>
          <w:szCs w:val="24"/>
        </w:rPr>
        <w:t xml:space="preserve">tate </w:t>
      </w:r>
      <w:r w:rsidR="00C274DC">
        <w:rPr>
          <w:rFonts w:ascii="Times New Roman" w:hAnsi="Times New Roman"/>
          <w:color w:val="000000" w:themeColor="text1"/>
          <w:sz w:val="24"/>
          <w:szCs w:val="24"/>
        </w:rPr>
        <w:t xml:space="preserve">plans </w:t>
      </w:r>
      <w:r w:rsidR="00C277A6">
        <w:rPr>
          <w:rFonts w:ascii="Times New Roman" w:hAnsi="Times New Roman"/>
          <w:color w:val="000000" w:themeColor="text1"/>
          <w:sz w:val="24"/>
          <w:szCs w:val="24"/>
        </w:rPr>
        <w:t>to</w:t>
      </w:r>
      <w:r w:rsidR="00C274DC">
        <w:rPr>
          <w:rFonts w:ascii="Times New Roman" w:hAnsi="Times New Roman"/>
          <w:color w:val="000000" w:themeColor="text1"/>
          <w:sz w:val="24"/>
          <w:szCs w:val="24"/>
        </w:rPr>
        <w:t xml:space="preserve"> sampl</w:t>
      </w:r>
      <w:r w:rsidR="00C277A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C274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185E">
        <w:rPr>
          <w:rFonts w:ascii="Times New Roman" w:hAnsi="Times New Roman"/>
          <w:color w:val="000000" w:themeColor="text1"/>
          <w:sz w:val="24"/>
          <w:szCs w:val="24"/>
        </w:rPr>
        <w:t>cases and conduct case reviews</w:t>
      </w:r>
      <w:r w:rsidR="00CA268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03A34">
        <w:rPr>
          <w:rFonts w:ascii="Times New Roman" w:hAnsi="Times New Roman"/>
          <w:color w:val="000000" w:themeColor="text1"/>
          <w:sz w:val="24"/>
          <w:szCs w:val="24"/>
        </w:rPr>
        <w:t xml:space="preserve">including the frequency of collecting samples, the </w:t>
      </w:r>
      <w:r w:rsidR="00943225">
        <w:rPr>
          <w:rFonts w:ascii="Times New Roman" w:hAnsi="Times New Roman"/>
          <w:color w:val="000000" w:themeColor="text1"/>
          <w:sz w:val="24"/>
          <w:szCs w:val="24"/>
        </w:rPr>
        <w:t xml:space="preserve">state’s </w:t>
      </w:r>
      <w:r w:rsidR="000A055B">
        <w:rPr>
          <w:rFonts w:ascii="Times New Roman" w:hAnsi="Times New Roman"/>
          <w:color w:val="000000" w:themeColor="text1"/>
          <w:sz w:val="24"/>
          <w:szCs w:val="24"/>
        </w:rPr>
        <w:t xml:space="preserve">review team </w:t>
      </w:r>
      <w:r w:rsidR="00943225">
        <w:rPr>
          <w:rFonts w:ascii="Times New Roman" w:hAnsi="Times New Roman"/>
          <w:color w:val="000000" w:themeColor="text1"/>
          <w:sz w:val="24"/>
          <w:szCs w:val="24"/>
        </w:rPr>
        <w:t>and project leadership composition</w:t>
      </w:r>
      <w:r w:rsidR="000A055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3225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0A055B">
        <w:rPr>
          <w:rFonts w:ascii="Times New Roman" w:hAnsi="Times New Roman"/>
          <w:color w:val="000000" w:themeColor="text1"/>
          <w:sz w:val="24"/>
          <w:szCs w:val="24"/>
        </w:rPr>
        <w:t xml:space="preserve">how </w:t>
      </w:r>
      <w:r w:rsidR="009667FF">
        <w:rPr>
          <w:rFonts w:ascii="Times New Roman" w:hAnsi="Times New Roman"/>
          <w:color w:val="000000" w:themeColor="text1"/>
          <w:sz w:val="24"/>
          <w:szCs w:val="24"/>
        </w:rPr>
        <w:t>the state ensures inter-reviewer consistency</w:t>
      </w:r>
      <w:r w:rsidR="00943225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C277A6">
        <w:rPr>
          <w:rFonts w:ascii="Times New Roman" w:hAnsi="Times New Roman"/>
          <w:color w:val="000000" w:themeColor="text1"/>
          <w:sz w:val="24"/>
          <w:szCs w:val="24"/>
        </w:rPr>
        <w:t>OCC review</w:t>
      </w:r>
      <w:r w:rsidR="0053249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277A6">
        <w:rPr>
          <w:rFonts w:ascii="Times New Roman" w:hAnsi="Times New Roman"/>
          <w:color w:val="000000" w:themeColor="text1"/>
          <w:sz w:val="24"/>
          <w:szCs w:val="24"/>
        </w:rPr>
        <w:t xml:space="preserve"> and approve</w:t>
      </w:r>
      <w:r w:rsidR="0053249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277A6">
        <w:rPr>
          <w:rFonts w:ascii="Times New Roman" w:hAnsi="Times New Roman"/>
          <w:color w:val="000000" w:themeColor="text1"/>
          <w:sz w:val="24"/>
          <w:szCs w:val="24"/>
        </w:rPr>
        <w:t xml:space="preserve"> the </w:t>
      </w:r>
      <w:r w:rsidR="00CF71A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277A6">
        <w:rPr>
          <w:rFonts w:ascii="Times New Roman" w:hAnsi="Times New Roman"/>
          <w:color w:val="000000" w:themeColor="text1"/>
          <w:sz w:val="24"/>
          <w:szCs w:val="24"/>
        </w:rPr>
        <w:t xml:space="preserve">tate’s SDAP prior to </w:t>
      </w:r>
      <w:r w:rsidR="00C03A34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53249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03A34">
        <w:rPr>
          <w:rFonts w:ascii="Times New Roman" w:hAnsi="Times New Roman"/>
          <w:color w:val="000000" w:themeColor="text1"/>
          <w:sz w:val="24"/>
          <w:szCs w:val="24"/>
        </w:rPr>
        <w:t>tate drawing their first sample</w:t>
      </w:r>
      <w:r w:rsidR="00CA268F">
        <w:rPr>
          <w:rFonts w:ascii="Times New Roman" w:hAnsi="Times New Roman"/>
          <w:color w:val="000000" w:themeColor="text1"/>
          <w:sz w:val="24"/>
          <w:szCs w:val="24"/>
        </w:rPr>
        <w:t xml:space="preserve"> of case records</w:t>
      </w:r>
      <w:r w:rsidR="00C03A3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918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Pr="00C6302A" w:rsidR="00A94A1F" w:rsidP="00565ECF" w:rsidRDefault="00CE7FA6" w14:paraId="3C096397" w14:textId="24285DBB">
      <w:pPr>
        <w:pStyle w:val="ListParagraph"/>
        <w:widowControl/>
        <w:numPr>
          <w:ilvl w:val="0"/>
          <w:numId w:val="30"/>
        </w:numPr>
        <w:spacing w:after="6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773944">
        <w:rPr>
          <w:rFonts w:ascii="Times New Roman" w:hAnsi="Times New Roman"/>
          <w:i/>
          <w:iCs/>
          <w:color w:val="000000" w:themeColor="text1"/>
          <w:sz w:val="24"/>
          <w:szCs w:val="24"/>
        </w:rPr>
        <w:t>Record Review Worksheet</w:t>
      </w:r>
      <w:r w:rsidR="009667F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328EC" w:rsidR="009667FF">
        <w:rPr>
          <w:rFonts w:ascii="Times New Roman" w:hAnsi="Times New Roman"/>
          <w:color w:val="000000" w:themeColor="text1"/>
          <w:sz w:val="24"/>
          <w:szCs w:val="24"/>
        </w:rPr>
        <w:t>(RRW):</w:t>
      </w:r>
      <w:r w:rsidR="009667F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EF3408" w:rsidR="009667FF">
        <w:rPr>
          <w:rFonts w:ascii="Times New Roman" w:hAnsi="Times New Roman"/>
          <w:color w:val="000000" w:themeColor="text1"/>
          <w:sz w:val="24"/>
          <w:szCs w:val="24"/>
        </w:rPr>
        <w:t xml:space="preserve">The RRW provides a </w:t>
      </w:r>
      <w:r w:rsidRPr="00EF3408" w:rsidR="00EF3408">
        <w:rPr>
          <w:rFonts w:ascii="Times New Roman" w:hAnsi="Times New Roman"/>
          <w:color w:val="000000" w:themeColor="text1"/>
          <w:sz w:val="24"/>
          <w:szCs w:val="24"/>
        </w:rPr>
        <w:t>standard</w:t>
      </w:r>
      <w:r w:rsidR="00EF3408">
        <w:rPr>
          <w:rFonts w:ascii="Times New Roman" w:hAnsi="Times New Roman"/>
          <w:color w:val="000000" w:themeColor="text1"/>
          <w:sz w:val="24"/>
          <w:szCs w:val="24"/>
        </w:rPr>
        <w:t>ized</w:t>
      </w:r>
      <w:r w:rsidRPr="00EF3408" w:rsidR="009667FF">
        <w:rPr>
          <w:rFonts w:ascii="Times New Roman" w:hAnsi="Times New Roman"/>
          <w:color w:val="000000" w:themeColor="text1"/>
          <w:sz w:val="24"/>
          <w:szCs w:val="24"/>
        </w:rPr>
        <w:t xml:space="preserve"> format for </w:t>
      </w:r>
      <w:r w:rsidR="00CF71A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EF3408" w:rsidR="009667FF">
        <w:rPr>
          <w:rFonts w:ascii="Times New Roman" w:hAnsi="Times New Roman"/>
          <w:color w:val="000000" w:themeColor="text1"/>
          <w:sz w:val="24"/>
          <w:szCs w:val="24"/>
        </w:rPr>
        <w:t>tate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EF3408" w:rsidR="009667FF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Pr="00EF3408" w:rsidR="00EF3408">
        <w:rPr>
          <w:rFonts w:ascii="Times New Roman" w:hAnsi="Times New Roman"/>
          <w:color w:val="000000" w:themeColor="text1"/>
          <w:sz w:val="24"/>
          <w:szCs w:val="24"/>
        </w:rPr>
        <w:t>review th</w:t>
      </w:r>
      <w:r w:rsidR="00EF3408">
        <w:rPr>
          <w:rFonts w:ascii="Times New Roman" w:hAnsi="Times New Roman"/>
          <w:color w:val="000000" w:themeColor="text1"/>
          <w:sz w:val="24"/>
          <w:szCs w:val="24"/>
        </w:rPr>
        <w:t xml:space="preserve">eir </w:t>
      </w:r>
      <w:r w:rsidRPr="00EF3408" w:rsidR="00EF3408">
        <w:rPr>
          <w:rFonts w:ascii="Times New Roman" w:hAnsi="Times New Roman"/>
          <w:color w:val="000000" w:themeColor="text1"/>
          <w:sz w:val="24"/>
          <w:szCs w:val="24"/>
        </w:rPr>
        <w:t>case record</w:t>
      </w:r>
      <w:r w:rsidR="00EF340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EF3408" w:rsidR="00EF3408">
        <w:rPr>
          <w:rFonts w:ascii="Times New Roman" w:hAnsi="Times New Roman"/>
          <w:color w:val="000000" w:themeColor="text1"/>
          <w:sz w:val="24"/>
          <w:szCs w:val="24"/>
        </w:rPr>
        <w:t xml:space="preserve"> to evaluate whether </w:t>
      </w:r>
      <w:r w:rsidR="00826334">
        <w:rPr>
          <w:rFonts w:ascii="Times New Roman" w:hAnsi="Times New Roman"/>
          <w:color w:val="000000" w:themeColor="text1"/>
          <w:sz w:val="24"/>
          <w:szCs w:val="24"/>
        </w:rPr>
        <w:t xml:space="preserve">CCDF </w:t>
      </w:r>
      <w:r w:rsidRPr="00EF3408" w:rsidR="00EF3408">
        <w:rPr>
          <w:rFonts w:ascii="Times New Roman" w:hAnsi="Times New Roman"/>
          <w:color w:val="000000" w:themeColor="text1"/>
          <w:sz w:val="24"/>
          <w:szCs w:val="24"/>
        </w:rPr>
        <w:t xml:space="preserve">eligibility was correctly </w:t>
      </w:r>
      <w:r w:rsidRPr="00EF3408" w:rsidR="00EF340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determined and whether the subsidy payment was made </w:t>
      </w:r>
      <w:r w:rsidR="00EF3408">
        <w:rPr>
          <w:rFonts w:ascii="Times New Roman" w:hAnsi="Times New Roman"/>
          <w:color w:val="000000" w:themeColor="text1"/>
          <w:sz w:val="24"/>
          <w:szCs w:val="24"/>
        </w:rPr>
        <w:t>in the</w:t>
      </w:r>
      <w:r w:rsidRPr="00EF3408" w:rsidR="00EF3408">
        <w:rPr>
          <w:rFonts w:ascii="Times New Roman" w:hAnsi="Times New Roman"/>
          <w:color w:val="000000" w:themeColor="text1"/>
          <w:sz w:val="24"/>
          <w:szCs w:val="24"/>
        </w:rPr>
        <w:t xml:space="preserve"> correct amount.</w:t>
      </w:r>
      <w:r w:rsidR="00EF340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326FCD">
        <w:rPr>
          <w:rFonts w:ascii="Times New Roman" w:hAnsi="Times New Roman"/>
          <w:color w:val="000000" w:themeColor="text1"/>
          <w:sz w:val="24"/>
          <w:szCs w:val="24"/>
        </w:rPr>
        <w:t xml:space="preserve">Because </w:t>
      </w:r>
      <w:r w:rsidR="00CF71A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26FCD">
        <w:rPr>
          <w:rFonts w:ascii="Times New Roman" w:hAnsi="Times New Roman"/>
          <w:color w:val="000000" w:themeColor="text1"/>
          <w:sz w:val="24"/>
          <w:szCs w:val="24"/>
        </w:rPr>
        <w:t xml:space="preserve">tates may establish eligibility conditions in addition to the CCDF federal requirements, </w:t>
      </w:r>
      <w:r w:rsidR="00CF71A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F3408">
        <w:rPr>
          <w:rFonts w:ascii="Times New Roman" w:hAnsi="Times New Roman"/>
          <w:color w:val="000000" w:themeColor="text1"/>
          <w:sz w:val="24"/>
          <w:szCs w:val="24"/>
        </w:rPr>
        <w:t>tates customize</w:t>
      </w:r>
      <w:r w:rsidR="002239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3408">
        <w:rPr>
          <w:rFonts w:ascii="Times New Roman" w:hAnsi="Times New Roman"/>
          <w:color w:val="000000" w:themeColor="text1"/>
          <w:sz w:val="24"/>
          <w:szCs w:val="24"/>
        </w:rPr>
        <w:t xml:space="preserve">the RRW template to 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 xml:space="preserve">include </w:t>
      </w:r>
      <w:r w:rsidR="00DF4338">
        <w:rPr>
          <w:rFonts w:ascii="Times New Roman" w:hAnsi="Times New Roman"/>
          <w:color w:val="000000" w:themeColor="text1"/>
          <w:sz w:val="24"/>
          <w:szCs w:val="24"/>
        </w:rPr>
        <w:t xml:space="preserve">their </w:t>
      </w:r>
      <w:r w:rsidR="005A6A5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>tate</w:t>
      </w:r>
      <w:r w:rsidR="00DF4338">
        <w:rPr>
          <w:rFonts w:ascii="Times New Roman" w:hAnsi="Times New Roman"/>
          <w:color w:val="000000" w:themeColor="text1"/>
          <w:sz w:val="24"/>
          <w:szCs w:val="24"/>
        </w:rPr>
        <w:t>’s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6FCD">
        <w:rPr>
          <w:rFonts w:ascii="Times New Roman" w:hAnsi="Times New Roman"/>
          <w:color w:val="000000" w:themeColor="text1"/>
          <w:sz w:val="24"/>
          <w:szCs w:val="24"/>
        </w:rPr>
        <w:t xml:space="preserve">regulations, 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 xml:space="preserve">policies, </w:t>
      </w:r>
      <w:r w:rsidR="00326FCD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>procedures</w:t>
      </w:r>
      <w:r w:rsidR="00326FCD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AB75A6">
        <w:rPr>
          <w:rFonts w:ascii="Times New Roman" w:hAnsi="Times New Roman"/>
          <w:color w:val="000000" w:themeColor="text1"/>
          <w:sz w:val="24"/>
          <w:szCs w:val="24"/>
        </w:rPr>
        <w:t>After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 xml:space="preserve"> the RRW template is reviewed and approved by OCC, </w:t>
      </w:r>
      <w:r w:rsidR="005A6A51">
        <w:rPr>
          <w:rFonts w:ascii="Times New Roman" w:hAnsi="Times New Roman"/>
          <w:color w:val="000000" w:themeColor="text1"/>
          <w:sz w:val="24"/>
          <w:szCs w:val="24"/>
        </w:rPr>
        <w:t>the s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>tate use</w:t>
      </w:r>
      <w:r w:rsidR="005A6A5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E5941">
        <w:rPr>
          <w:rFonts w:ascii="Times New Roman" w:hAnsi="Times New Roman"/>
          <w:color w:val="000000" w:themeColor="text1"/>
          <w:sz w:val="24"/>
          <w:szCs w:val="24"/>
        </w:rPr>
        <w:t xml:space="preserve"> the approved RRW to review a sample of 276 case records (for a total of 276 completed RRWs). </w:t>
      </w:r>
      <w:r w:rsidR="00AB75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Pr="009C701A" w:rsidR="00CE7FA6" w:rsidP="009C701A" w:rsidRDefault="00CE7FA6" w14:paraId="55E53924" w14:textId="69EEAFF4">
      <w:pPr>
        <w:pStyle w:val="ListParagraph"/>
        <w:widowControl/>
        <w:numPr>
          <w:ilvl w:val="0"/>
          <w:numId w:val="30"/>
        </w:numPr>
        <w:spacing w:after="6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773944">
        <w:rPr>
          <w:rFonts w:ascii="Times New Roman" w:hAnsi="Times New Roman"/>
          <w:i/>
          <w:iCs/>
          <w:color w:val="000000" w:themeColor="text1"/>
          <w:sz w:val="24"/>
          <w:szCs w:val="24"/>
        </w:rPr>
        <w:t>State Improper Payments Report</w:t>
      </w:r>
      <w:r w:rsidR="00EE594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: </w:t>
      </w:r>
      <w:r w:rsidRPr="00B155C0" w:rsidR="00A502D0">
        <w:rPr>
          <w:rFonts w:ascii="Times New Roman" w:hAnsi="Times New Roman"/>
          <w:color w:val="000000" w:themeColor="text1"/>
          <w:sz w:val="24"/>
          <w:szCs w:val="24"/>
        </w:rPr>
        <w:t xml:space="preserve">States </w:t>
      </w:r>
      <w:r w:rsidR="00B155C0">
        <w:rPr>
          <w:rFonts w:ascii="Times New Roman" w:hAnsi="Times New Roman"/>
          <w:color w:val="000000" w:themeColor="text1"/>
          <w:sz w:val="24"/>
          <w:szCs w:val="24"/>
        </w:rPr>
        <w:t xml:space="preserve">use the </w:t>
      </w:r>
      <w:r w:rsidRPr="00B155C0" w:rsidR="00B155C0">
        <w:rPr>
          <w:rFonts w:ascii="Times New Roman" w:hAnsi="Times New Roman"/>
          <w:i/>
          <w:iCs/>
          <w:color w:val="000000" w:themeColor="text1"/>
          <w:sz w:val="24"/>
          <w:szCs w:val="24"/>
        </w:rPr>
        <w:t>State Improper Payments Report</w:t>
      </w:r>
      <w:r w:rsidR="00B155C0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Pr="00B155C0" w:rsidR="00A502D0">
        <w:rPr>
          <w:rFonts w:ascii="Times New Roman" w:hAnsi="Times New Roman"/>
          <w:color w:val="000000" w:themeColor="text1"/>
          <w:sz w:val="24"/>
          <w:szCs w:val="24"/>
        </w:rPr>
        <w:t>report the</w:t>
      </w:r>
      <w:r w:rsidR="00B155C0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B155C0" w:rsidR="00A502D0">
        <w:rPr>
          <w:rFonts w:ascii="Times New Roman" w:hAnsi="Times New Roman"/>
          <w:color w:val="000000" w:themeColor="text1"/>
          <w:sz w:val="24"/>
          <w:szCs w:val="24"/>
        </w:rPr>
        <w:t xml:space="preserve"> error rate</w:t>
      </w:r>
      <w:r w:rsidR="00B155C0">
        <w:rPr>
          <w:rFonts w:ascii="Times New Roman" w:hAnsi="Times New Roman"/>
          <w:color w:val="000000" w:themeColor="text1"/>
          <w:sz w:val="24"/>
          <w:szCs w:val="24"/>
        </w:rPr>
        <w:t xml:space="preserve"> and improper payments findings and analysis from their completed RRWs</w:t>
      </w:r>
      <w:r w:rsidR="00B155C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r w:rsidR="00B155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3959">
        <w:rPr>
          <w:rFonts w:ascii="Times New Roman" w:hAnsi="Times New Roman"/>
          <w:color w:val="000000" w:themeColor="text1"/>
          <w:sz w:val="24"/>
          <w:szCs w:val="24"/>
        </w:rPr>
        <w:t xml:space="preserve">OCC uses the aggregate information and data collected from </w:t>
      </w:r>
      <w:r w:rsidR="00A502D0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3B296E">
        <w:rPr>
          <w:rFonts w:ascii="Times New Roman" w:hAnsi="Times New Roman"/>
          <w:color w:val="000000" w:themeColor="text1"/>
          <w:sz w:val="24"/>
          <w:szCs w:val="24"/>
        </w:rPr>
        <w:t>he</w:t>
      </w:r>
      <w:r w:rsidR="003E15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E1503" w:rsidR="003E1503">
        <w:rPr>
          <w:rFonts w:ascii="Times New Roman" w:hAnsi="Times New Roman"/>
          <w:i/>
          <w:iCs/>
          <w:color w:val="000000" w:themeColor="text1"/>
          <w:sz w:val="24"/>
          <w:szCs w:val="24"/>
        </w:rPr>
        <w:t>State Improper Payments Reports</w:t>
      </w:r>
      <w:r w:rsidR="003E15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3959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="009C701A">
        <w:rPr>
          <w:rFonts w:ascii="Times New Roman" w:hAnsi="Times New Roman"/>
          <w:color w:val="000000" w:themeColor="text1"/>
          <w:sz w:val="24"/>
          <w:szCs w:val="24"/>
        </w:rPr>
        <w:t xml:space="preserve">calculate the CCDF national error rate and </w:t>
      </w:r>
      <w:r w:rsidRPr="009C701A" w:rsidR="00223959">
        <w:rPr>
          <w:rFonts w:ascii="Times New Roman" w:hAnsi="Times New Roman"/>
          <w:color w:val="000000" w:themeColor="text1"/>
          <w:sz w:val="24"/>
          <w:szCs w:val="24"/>
        </w:rPr>
        <w:t>prepare the annual Agency Financial Report (AFR) submitted to the Department of Health and Human Services (HHS)</w:t>
      </w:r>
      <w:r w:rsidR="009C70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C701A" w:rsidR="00510E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Pr="00773944" w:rsidR="00CE7FA6" w:rsidP="00564291" w:rsidRDefault="00CE7FA6" w14:paraId="0073ADAE" w14:textId="00764D2C">
      <w:pPr>
        <w:pStyle w:val="ListParagraph"/>
        <w:widowControl/>
        <w:numPr>
          <w:ilvl w:val="0"/>
          <w:numId w:val="30"/>
        </w:numPr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773944">
        <w:rPr>
          <w:rFonts w:ascii="Times New Roman" w:hAnsi="Times New Roman"/>
          <w:i/>
          <w:iCs/>
          <w:color w:val="000000" w:themeColor="text1"/>
          <w:sz w:val="24"/>
          <w:szCs w:val="24"/>
        </w:rPr>
        <w:t>Correcti</w:t>
      </w:r>
      <w:r w:rsidR="00C6302A">
        <w:rPr>
          <w:rFonts w:ascii="Times New Roman" w:hAnsi="Times New Roman"/>
          <w:i/>
          <w:iCs/>
          <w:color w:val="000000" w:themeColor="text1"/>
          <w:sz w:val="24"/>
          <w:szCs w:val="24"/>
        </w:rPr>
        <w:t>ve</w:t>
      </w:r>
      <w:r w:rsidRPr="0077394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Action Plan </w:t>
      </w:r>
      <w:r w:rsidRPr="005328EC" w:rsidR="00C6302A">
        <w:rPr>
          <w:rFonts w:ascii="Times New Roman" w:hAnsi="Times New Roman"/>
          <w:color w:val="000000" w:themeColor="text1"/>
          <w:sz w:val="24"/>
          <w:szCs w:val="24"/>
        </w:rPr>
        <w:t>(CAP):</w:t>
      </w:r>
      <w:r w:rsidR="00C630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65ECF" w:rsidR="00C6302A">
        <w:rPr>
          <w:rFonts w:ascii="Times New Roman" w:hAnsi="Times New Roman"/>
          <w:color w:val="000000" w:themeColor="text1"/>
          <w:sz w:val="24"/>
          <w:szCs w:val="24"/>
        </w:rPr>
        <w:t xml:space="preserve">After submission of the </w:t>
      </w:r>
      <w:r w:rsidRPr="009C701A" w:rsidR="00C630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State </w:t>
      </w:r>
      <w:r w:rsidRPr="009C701A" w:rsidR="00F02DF4">
        <w:rPr>
          <w:rFonts w:ascii="Times New Roman" w:hAnsi="Times New Roman"/>
          <w:i/>
          <w:iCs/>
          <w:color w:val="000000" w:themeColor="text1"/>
          <w:sz w:val="24"/>
          <w:szCs w:val="24"/>
        </w:rPr>
        <w:t>Improper</w:t>
      </w:r>
      <w:r w:rsidRPr="009C701A" w:rsidR="00C630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Payment</w:t>
      </w:r>
      <w:r w:rsidRPr="009C701A" w:rsidR="009C701A">
        <w:rPr>
          <w:rFonts w:ascii="Times New Roman" w:hAnsi="Times New Roman"/>
          <w:i/>
          <w:iCs/>
          <w:color w:val="000000" w:themeColor="text1"/>
          <w:sz w:val="24"/>
          <w:szCs w:val="24"/>
        </w:rPr>
        <w:t>s</w:t>
      </w:r>
      <w:r w:rsidRPr="009C701A" w:rsidR="00C6302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Report</w:t>
      </w:r>
      <w:r w:rsidRPr="00565ECF" w:rsidR="00C6302A">
        <w:rPr>
          <w:rFonts w:ascii="Times New Roman" w:hAnsi="Times New Roman"/>
          <w:color w:val="000000" w:themeColor="text1"/>
          <w:sz w:val="24"/>
          <w:szCs w:val="24"/>
        </w:rPr>
        <w:t xml:space="preserve">, any </w:t>
      </w:r>
      <w:r w:rsidR="00C33EB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565ECF" w:rsidR="00C6302A">
        <w:rPr>
          <w:rFonts w:ascii="Times New Roman" w:hAnsi="Times New Roman"/>
          <w:color w:val="000000" w:themeColor="text1"/>
          <w:sz w:val="24"/>
          <w:szCs w:val="24"/>
        </w:rPr>
        <w:t xml:space="preserve">tate with an </w:t>
      </w:r>
      <w:r w:rsidRPr="00565ECF" w:rsidR="00F02DF4">
        <w:rPr>
          <w:rFonts w:ascii="Times New Roman" w:hAnsi="Times New Roman"/>
          <w:color w:val="000000" w:themeColor="text1"/>
          <w:sz w:val="24"/>
          <w:szCs w:val="24"/>
        </w:rPr>
        <w:t>improper</w:t>
      </w:r>
      <w:r w:rsidRPr="00565ECF" w:rsidR="00C6302A">
        <w:rPr>
          <w:rFonts w:ascii="Times New Roman" w:hAnsi="Times New Roman"/>
          <w:color w:val="000000" w:themeColor="text1"/>
          <w:sz w:val="24"/>
          <w:szCs w:val="24"/>
        </w:rPr>
        <w:t xml:space="preserve"> payment rate above 10% must submit a CAP to OCC to </w:t>
      </w:r>
      <w:r w:rsidRPr="00565ECF" w:rsidR="00F02DF4">
        <w:rPr>
          <w:rFonts w:ascii="Times New Roman" w:hAnsi="Times New Roman"/>
          <w:color w:val="000000" w:themeColor="text1"/>
          <w:sz w:val="24"/>
          <w:szCs w:val="24"/>
        </w:rPr>
        <w:t>address the root causes of their improper payments and the action steps, milestones and timeline</w:t>
      </w:r>
      <w:r w:rsidR="009C701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565ECF" w:rsidR="00F02DF4">
        <w:rPr>
          <w:rFonts w:ascii="Times New Roman" w:hAnsi="Times New Roman"/>
          <w:color w:val="000000" w:themeColor="text1"/>
          <w:sz w:val="24"/>
          <w:szCs w:val="24"/>
        </w:rPr>
        <w:t xml:space="preserve"> to address the errors. </w:t>
      </w:r>
      <w:r w:rsidR="000F53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65ECF" w:rsidR="00F02DF4">
        <w:rPr>
          <w:rFonts w:ascii="Times New Roman" w:hAnsi="Times New Roman"/>
          <w:color w:val="000000" w:themeColor="text1"/>
          <w:sz w:val="24"/>
          <w:szCs w:val="24"/>
        </w:rPr>
        <w:t xml:space="preserve">OCC uses the CAP data to </w:t>
      </w:r>
      <w:r w:rsidR="009C701A">
        <w:rPr>
          <w:rFonts w:ascii="Times New Roman" w:hAnsi="Times New Roman"/>
          <w:color w:val="000000" w:themeColor="text1"/>
          <w:sz w:val="24"/>
          <w:szCs w:val="24"/>
        </w:rPr>
        <w:t xml:space="preserve">conduct </w:t>
      </w:r>
      <w:r w:rsidR="00C33EB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565ECF" w:rsidR="00F02DF4">
        <w:rPr>
          <w:rFonts w:ascii="Times New Roman" w:hAnsi="Times New Roman"/>
          <w:color w:val="000000" w:themeColor="text1"/>
          <w:sz w:val="24"/>
          <w:szCs w:val="24"/>
        </w:rPr>
        <w:t>tate</w:t>
      </w:r>
      <w:r w:rsidR="00E66651">
        <w:rPr>
          <w:rFonts w:ascii="Times New Roman" w:hAnsi="Times New Roman"/>
          <w:color w:val="000000" w:themeColor="text1"/>
          <w:sz w:val="24"/>
          <w:szCs w:val="24"/>
        </w:rPr>
        <w:t xml:space="preserve"> oversight</w:t>
      </w:r>
      <w:r w:rsidRPr="00565ECF" w:rsidR="00F02D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65ECF" w:rsidR="00F91171">
        <w:rPr>
          <w:rFonts w:ascii="Times New Roman" w:hAnsi="Times New Roman"/>
          <w:color w:val="000000" w:themeColor="text1"/>
          <w:sz w:val="24"/>
          <w:szCs w:val="24"/>
        </w:rPr>
        <w:t>and identify technical assistance and training</w:t>
      </w:r>
      <w:r w:rsidR="00F9117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65ECF" w:rsidR="00F91171">
        <w:rPr>
          <w:rFonts w:ascii="Times New Roman" w:hAnsi="Times New Roman"/>
          <w:color w:val="000000" w:themeColor="text1"/>
          <w:sz w:val="24"/>
          <w:szCs w:val="24"/>
        </w:rPr>
        <w:t>needs</w:t>
      </w:r>
      <w:r w:rsidR="00F91171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9707C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</w:t>
      </w:r>
      <w:r w:rsidRPr="0070515E" w:rsidR="009707C3">
        <w:rPr>
          <w:rFonts w:ascii="Times New Roman" w:hAnsi="Times New Roman"/>
          <w:color w:val="000000" w:themeColor="text1"/>
          <w:sz w:val="24"/>
          <w:szCs w:val="24"/>
        </w:rPr>
        <w:t>If</w:t>
      </w:r>
      <w:r w:rsidR="009707C3">
        <w:rPr>
          <w:rFonts w:ascii="Times New Roman" w:hAnsi="Times New Roman"/>
          <w:color w:val="000000" w:themeColor="text1"/>
          <w:sz w:val="24"/>
          <w:szCs w:val="24"/>
        </w:rPr>
        <w:t xml:space="preserve"> a state’s improper payment rate continues to exceed 10% after 12</w:t>
      </w:r>
      <w:r w:rsidR="00F037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07C3">
        <w:rPr>
          <w:rFonts w:ascii="Times New Roman" w:hAnsi="Times New Roman"/>
          <w:color w:val="000000" w:themeColor="text1"/>
          <w:sz w:val="24"/>
          <w:szCs w:val="24"/>
        </w:rPr>
        <w:t>months, the state must submit a new CAP</w:t>
      </w:r>
      <w:r w:rsidR="0070515E">
        <w:rPr>
          <w:rFonts w:ascii="Times New Roman" w:hAnsi="Times New Roman"/>
          <w:color w:val="000000" w:themeColor="text1"/>
          <w:sz w:val="24"/>
          <w:szCs w:val="24"/>
        </w:rPr>
        <w:t xml:space="preserve">, for a total of </w:t>
      </w:r>
      <w:r w:rsidR="00F0374D">
        <w:rPr>
          <w:rFonts w:ascii="Times New Roman" w:hAnsi="Times New Roman"/>
          <w:color w:val="000000" w:themeColor="text1"/>
          <w:sz w:val="24"/>
          <w:szCs w:val="24"/>
        </w:rPr>
        <w:t>up to three CAP</w:t>
      </w:r>
      <w:r w:rsidR="0070515E">
        <w:rPr>
          <w:rFonts w:ascii="Times New Roman" w:hAnsi="Times New Roman"/>
          <w:color w:val="000000" w:themeColor="text1"/>
          <w:sz w:val="24"/>
          <w:szCs w:val="24"/>
        </w:rPr>
        <w:t xml:space="preserve"> submissions</w:t>
      </w:r>
      <w:r w:rsidR="00F0374D">
        <w:rPr>
          <w:rFonts w:ascii="Times New Roman" w:hAnsi="Times New Roman"/>
          <w:color w:val="000000" w:themeColor="text1"/>
          <w:sz w:val="24"/>
          <w:szCs w:val="24"/>
        </w:rPr>
        <w:t xml:space="preserve"> per error rate review cycle. </w:t>
      </w:r>
    </w:p>
    <w:p w:rsidR="00564291" w:rsidP="00565ECF" w:rsidRDefault="00564291" w14:paraId="38885E31" w14:textId="77777777">
      <w:pPr>
        <w:pStyle w:val="ListParagraph"/>
        <w:widowControl/>
        <w:ind w:left="1080"/>
        <w:rPr>
          <w:rFonts w:ascii="Times New Roman" w:hAnsi="Times New Roman"/>
          <w:color w:val="000000" w:themeColor="text1"/>
          <w:sz w:val="24"/>
          <w:szCs w:val="24"/>
        </w:rPr>
      </w:pPr>
    </w:p>
    <w:p w:rsidRPr="00565ECF" w:rsidR="00EE2329" w:rsidP="00EE2329" w:rsidRDefault="00D94B50" w14:paraId="211489F4" w14:textId="502B8CD8">
      <w:pPr>
        <w:widowControl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The information collected through the DCI enables OCC to meet PIIA reporting requirements. </w:t>
      </w:r>
      <w:r w:rsidR="00C33E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 addition, OCC uses the information</w:t>
      </w:r>
      <w:r w:rsidR="00EE23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65ECF" w:rsidR="00EE2329">
        <w:rPr>
          <w:rFonts w:ascii="Times New Roman" w:hAnsi="Times New Roman"/>
          <w:color w:val="000000" w:themeColor="text1"/>
          <w:sz w:val="24"/>
          <w:szCs w:val="24"/>
        </w:rPr>
        <w:t xml:space="preserve">to identify actions to reduce </w:t>
      </w:r>
      <w:r w:rsidR="00C33EB6">
        <w:rPr>
          <w:rFonts w:ascii="Times New Roman" w:hAnsi="Times New Roman"/>
          <w:color w:val="000000" w:themeColor="text1"/>
          <w:sz w:val="24"/>
          <w:szCs w:val="24"/>
        </w:rPr>
        <w:t xml:space="preserve">CCDF </w:t>
      </w:r>
      <w:r w:rsidRPr="00565ECF" w:rsidR="00EE2329">
        <w:rPr>
          <w:rFonts w:ascii="Times New Roman" w:hAnsi="Times New Roman"/>
          <w:color w:val="000000" w:themeColor="text1"/>
          <w:sz w:val="24"/>
          <w:szCs w:val="24"/>
        </w:rPr>
        <w:t xml:space="preserve">improper payments and inform technical assistance </w:t>
      </w:r>
      <w:r w:rsidR="00C33EB6">
        <w:rPr>
          <w:rFonts w:ascii="Times New Roman" w:hAnsi="Times New Roman"/>
          <w:color w:val="000000" w:themeColor="text1"/>
          <w:sz w:val="24"/>
          <w:szCs w:val="24"/>
        </w:rPr>
        <w:t xml:space="preserve">and training </w:t>
      </w:r>
      <w:r w:rsidRPr="00565ECF" w:rsidR="00EE2329">
        <w:rPr>
          <w:rFonts w:ascii="Times New Roman" w:hAnsi="Times New Roman"/>
          <w:color w:val="000000" w:themeColor="text1"/>
          <w:sz w:val="24"/>
          <w:szCs w:val="24"/>
        </w:rPr>
        <w:t xml:space="preserve">offered to </w:t>
      </w:r>
      <w:r w:rsidR="00C33EB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E2329">
        <w:rPr>
          <w:rFonts w:ascii="Times New Roman" w:hAnsi="Times New Roman"/>
          <w:color w:val="000000" w:themeColor="text1"/>
          <w:sz w:val="24"/>
          <w:szCs w:val="24"/>
        </w:rPr>
        <w:t>tates</w:t>
      </w:r>
      <w:r w:rsidRPr="00565ECF" w:rsidR="00EE232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Pr="004F7B95" w:rsidR="00790D2C" w:rsidP="00E06838" w:rsidRDefault="00790D2C" w14:paraId="6C3FFD0B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6B1EA5" w:rsidR="009C2DE1" w:rsidP="006B1EA5" w:rsidRDefault="002C3C4F" w14:paraId="1AA42E31" w14:textId="6FA1CB15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FF29FD" w:rsidP="00DA3A5E" w:rsidRDefault="008D0FB0" w14:paraId="627B54D9" w14:textId="5E0DD778">
      <w:pPr>
        <w:widowControl/>
        <w:tabs>
          <w:tab w:val="num" w:pos="36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381EAEA6">
        <w:rPr>
          <w:rFonts w:ascii="Times New Roman" w:hAnsi="Times New Roman"/>
          <w:color w:val="000000" w:themeColor="text1"/>
          <w:sz w:val="24"/>
          <w:szCs w:val="24"/>
        </w:rPr>
        <w:t xml:space="preserve">States submit </w:t>
      </w:r>
      <w:r w:rsidRPr="381EAEA6" w:rsidR="001F7215">
        <w:rPr>
          <w:rFonts w:ascii="Times New Roman" w:hAnsi="Times New Roman"/>
          <w:color w:val="000000" w:themeColor="text1"/>
          <w:sz w:val="24"/>
          <w:szCs w:val="24"/>
        </w:rPr>
        <w:t>th</w:t>
      </w:r>
      <w:r w:rsidRPr="381EAEA6" w:rsidR="00A67A7A">
        <w:rPr>
          <w:rFonts w:ascii="Times New Roman" w:hAnsi="Times New Roman"/>
          <w:color w:val="000000" w:themeColor="text1"/>
          <w:sz w:val="24"/>
          <w:szCs w:val="24"/>
        </w:rPr>
        <w:t xml:space="preserve">ree out of four </w:t>
      </w:r>
      <w:r w:rsidRPr="381EAEA6">
        <w:rPr>
          <w:rFonts w:ascii="Times New Roman" w:hAnsi="Times New Roman"/>
          <w:color w:val="000000" w:themeColor="text1"/>
          <w:sz w:val="24"/>
          <w:szCs w:val="24"/>
        </w:rPr>
        <w:t>documents</w:t>
      </w:r>
      <w:r w:rsidRPr="381EAEA6" w:rsidR="006E78B9">
        <w:rPr>
          <w:rFonts w:ascii="Times New Roman" w:hAnsi="Times New Roman"/>
          <w:color w:val="000000" w:themeColor="text1"/>
          <w:sz w:val="24"/>
          <w:szCs w:val="24"/>
        </w:rPr>
        <w:t xml:space="preserve"> required under this information collection electronically </w:t>
      </w:r>
      <w:r w:rsidRPr="381EAEA6" w:rsidR="00B95C6B">
        <w:rPr>
          <w:rFonts w:ascii="Times New Roman" w:hAnsi="Times New Roman"/>
          <w:color w:val="000000" w:themeColor="text1"/>
          <w:sz w:val="24"/>
          <w:szCs w:val="24"/>
        </w:rPr>
        <w:t xml:space="preserve">into the web-based </w:t>
      </w:r>
      <w:r w:rsidRPr="381EAEA6" w:rsidR="00A67A7A">
        <w:rPr>
          <w:rFonts w:ascii="Times New Roman" w:hAnsi="Times New Roman"/>
          <w:color w:val="000000" w:themeColor="text1"/>
          <w:sz w:val="24"/>
          <w:szCs w:val="24"/>
        </w:rPr>
        <w:t xml:space="preserve">Grants Solutions </w:t>
      </w:r>
      <w:r w:rsidRPr="381EAEA6" w:rsidR="00B95C6B">
        <w:rPr>
          <w:rFonts w:ascii="Times New Roman" w:hAnsi="Times New Roman"/>
          <w:color w:val="000000" w:themeColor="text1"/>
          <w:sz w:val="24"/>
          <w:szCs w:val="24"/>
        </w:rPr>
        <w:t>Online Data Collection system (OLD</w:t>
      </w:r>
      <w:r w:rsidRPr="381EAEA6" w:rsidR="00624A72">
        <w:rPr>
          <w:rFonts w:ascii="Times New Roman" w:hAnsi="Times New Roman"/>
          <w:color w:val="000000" w:themeColor="text1"/>
          <w:sz w:val="24"/>
          <w:szCs w:val="24"/>
        </w:rPr>
        <w:t>C)</w:t>
      </w:r>
      <w:r w:rsidRPr="381EAEA6" w:rsidR="00B66DE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Pr="00FF29FD" w:rsidR="00FF29FD" w:rsidP="00FF29FD" w:rsidRDefault="00B66DE5" w14:paraId="28F22768" w14:textId="540FF0E2">
      <w:pPr>
        <w:pStyle w:val="ListParagraph"/>
        <w:widowControl/>
        <w:numPr>
          <w:ilvl w:val="0"/>
          <w:numId w:val="29"/>
        </w:numPr>
        <w:rPr>
          <w:rFonts w:ascii="Times New Roman" w:hAnsi="Times New Roman"/>
          <w:color w:val="000000"/>
          <w:sz w:val="24"/>
          <w:szCs w:val="24"/>
        </w:rPr>
      </w:pPr>
      <w:r w:rsidRPr="00FF29FD">
        <w:rPr>
          <w:rFonts w:ascii="Times New Roman" w:hAnsi="Times New Roman"/>
          <w:i/>
          <w:iCs/>
          <w:sz w:val="24"/>
          <w:szCs w:val="24"/>
        </w:rPr>
        <w:t>Sampling Decisions, Assurances, and Fieldwork Preparation Plan</w:t>
      </w:r>
      <w:r w:rsidRPr="00FF29FD">
        <w:rPr>
          <w:rFonts w:ascii="Times New Roman" w:hAnsi="Times New Roman"/>
          <w:sz w:val="24"/>
          <w:szCs w:val="24"/>
        </w:rPr>
        <w:t xml:space="preserve">, </w:t>
      </w:r>
    </w:p>
    <w:p w:rsidRPr="00FF29FD" w:rsidR="00FF29FD" w:rsidP="00FF29FD" w:rsidRDefault="00B66DE5" w14:paraId="2E86297C" w14:textId="77777777">
      <w:pPr>
        <w:pStyle w:val="ListParagraph"/>
        <w:widowControl/>
        <w:numPr>
          <w:ilvl w:val="0"/>
          <w:numId w:val="29"/>
        </w:numPr>
        <w:rPr>
          <w:rFonts w:ascii="Times New Roman" w:hAnsi="Times New Roman"/>
          <w:color w:val="000000"/>
          <w:sz w:val="24"/>
          <w:szCs w:val="24"/>
        </w:rPr>
      </w:pPr>
      <w:r w:rsidRPr="00FF29FD">
        <w:rPr>
          <w:rFonts w:ascii="Times New Roman" w:hAnsi="Times New Roman"/>
          <w:i/>
          <w:iCs/>
          <w:color w:val="000000" w:themeColor="text1"/>
          <w:sz w:val="24"/>
          <w:szCs w:val="24"/>
        </w:rPr>
        <w:t>State Improper Payment</w:t>
      </w:r>
      <w:r w:rsidRPr="00FF29FD" w:rsidR="00DA3A5E">
        <w:rPr>
          <w:rFonts w:ascii="Times New Roman" w:hAnsi="Times New Roman"/>
          <w:i/>
          <w:iCs/>
          <w:color w:val="000000" w:themeColor="text1"/>
          <w:sz w:val="24"/>
          <w:szCs w:val="24"/>
        </w:rPr>
        <w:t>s</w:t>
      </w:r>
      <w:r w:rsidRPr="00FF29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Report</w:t>
      </w:r>
      <w:r w:rsidRPr="00FF29FD">
        <w:rPr>
          <w:rFonts w:ascii="Times New Roman" w:hAnsi="Times New Roman"/>
          <w:color w:val="000000" w:themeColor="text1"/>
          <w:sz w:val="24"/>
          <w:szCs w:val="24"/>
        </w:rPr>
        <w:t xml:space="preserve">, and </w:t>
      </w:r>
    </w:p>
    <w:p w:rsidRPr="00FF29FD" w:rsidR="00FF29FD" w:rsidP="00FF29FD" w:rsidRDefault="00B66DE5" w14:paraId="069B8127" w14:textId="0298E339">
      <w:pPr>
        <w:pStyle w:val="ListParagraph"/>
        <w:widowControl/>
        <w:numPr>
          <w:ilvl w:val="0"/>
          <w:numId w:val="29"/>
        </w:numPr>
        <w:rPr>
          <w:rFonts w:ascii="Times New Roman" w:hAnsi="Times New Roman"/>
          <w:color w:val="000000"/>
          <w:sz w:val="24"/>
          <w:szCs w:val="24"/>
        </w:rPr>
      </w:pPr>
      <w:r w:rsidRPr="00FF29FD">
        <w:rPr>
          <w:rFonts w:ascii="Times New Roman" w:hAnsi="Times New Roman"/>
          <w:i/>
          <w:iCs/>
          <w:color w:val="000000" w:themeColor="text1"/>
          <w:sz w:val="24"/>
          <w:szCs w:val="24"/>
        </w:rPr>
        <w:t>Corrective Action Plan</w:t>
      </w:r>
      <w:r w:rsidRPr="00FF29F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F29FD" w:rsidR="00A41C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F29FD" w:rsidP="00FF29FD" w:rsidRDefault="00FF29FD" w14:paraId="42C3AE73" w14:textId="77777777">
      <w:pPr>
        <w:widowControl/>
        <w:rPr>
          <w:rFonts w:ascii="Times New Roman" w:hAnsi="Times New Roman"/>
          <w:color w:val="000000" w:themeColor="text1"/>
          <w:sz w:val="24"/>
          <w:szCs w:val="24"/>
        </w:rPr>
      </w:pPr>
    </w:p>
    <w:p w:rsidRPr="00FF29FD" w:rsidR="003F0DB5" w:rsidP="00FF29FD" w:rsidRDefault="005C38DA" w14:paraId="4A56B254" w14:textId="7CC8E9F1">
      <w:pPr>
        <w:widowControl/>
        <w:ind w:left="360"/>
        <w:rPr>
          <w:rFonts w:ascii="Times New Roman" w:hAnsi="Times New Roman"/>
          <w:color w:val="000000"/>
          <w:sz w:val="24"/>
          <w:szCs w:val="24"/>
        </w:rPr>
      </w:pPr>
      <w:r w:rsidRPr="00FF29FD">
        <w:rPr>
          <w:rFonts w:ascii="Times New Roman" w:hAnsi="Times New Roman"/>
          <w:color w:val="000000" w:themeColor="text1"/>
          <w:sz w:val="24"/>
          <w:szCs w:val="24"/>
        </w:rPr>
        <w:t xml:space="preserve">Electronic data collection </w:t>
      </w:r>
      <w:r w:rsidRPr="00FF29FD" w:rsidR="00495311">
        <w:rPr>
          <w:rFonts w:ascii="Times New Roman" w:hAnsi="Times New Roman"/>
          <w:color w:val="000000" w:themeColor="text1"/>
          <w:sz w:val="24"/>
          <w:szCs w:val="24"/>
        </w:rPr>
        <w:t>facilitate</w:t>
      </w:r>
      <w:r w:rsidRPr="00FF29FD" w:rsidR="007B126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FF29FD" w:rsidR="004953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29FD" w:rsidR="00021986">
        <w:rPr>
          <w:rFonts w:ascii="Times New Roman" w:hAnsi="Times New Roman"/>
          <w:color w:val="000000" w:themeColor="text1"/>
          <w:sz w:val="24"/>
          <w:szCs w:val="24"/>
        </w:rPr>
        <w:t xml:space="preserve">transparency through a system that </w:t>
      </w:r>
      <w:r w:rsidRPr="00FF29FD" w:rsidR="002959AB">
        <w:rPr>
          <w:rFonts w:ascii="Times New Roman" w:hAnsi="Times New Roman"/>
          <w:color w:val="000000" w:themeColor="text1"/>
          <w:sz w:val="24"/>
          <w:szCs w:val="24"/>
        </w:rPr>
        <w:t>tracks and stores submissions</w:t>
      </w:r>
      <w:r w:rsidRPr="00FF29FD" w:rsidR="00385D13">
        <w:rPr>
          <w:rFonts w:ascii="Times New Roman" w:hAnsi="Times New Roman"/>
          <w:color w:val="000000" w:themeColor="text1"/>
          <w:sz w:val="24"/>
          <w:szCs w:val="24"/>
        </w:rPr>
        <w:t xml:space="preserve"> and creates historical documentation that supports state staff transitions.</w:t>
      </w:r>
      <w:r w:rsidRPr="00FF29FD" w:rsidR="00E15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29FD" w:rsidR="005F72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29FD" w:rsidR="00A666DC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FF29FD" w:rsidR="007B126D">
        <w:rPr>
          <w:rFonts w:ascii="Times New Roman" w:hAnsi="Times New Roman"/>
          <w:color w:val="000000" w:themeColor="text1"/>
          <w:sz w:val="24"/>
          <w:szCs w:val="24"/>
        </w:rPr>
        <w:t>se of online report templates</w:t>
      </w:r>
      <w:r w:rsidRPr="00FF29FD" w:rsidR="00A939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29FD" w:rsidR="00A666DC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 w:rsidRPr="00FF29FD" w:rsidR="006E78B9">
        <w:rPr>
          <w:rFonts w:ascii="Times New Roman" w:hAnsi="Times New Roman"/>
          <w:color w:val="000000" w:themeColor="text1"/>
          <w:sz w:val="24"/>
          <w:szCs w:val="24"/>
        </w:rPr>
        <w:t>eas</w:t>
      </w:r>
      <w:r w:rsidRPr="00FF29FD" w:rsidR="0049531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FF29FD" w:rsidR="00440F5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FF29FD" w:rsidR="006E78B9">
        <w:rPr>
          <w:rFonts w:ascii="Times New Roman" w:hAnsi="Times New Roman"/>
          <w:color w:val="000000" w:themeColor="text1"/>
          <w:sz w:val="24"/>
          <w:szCs w:val="24"/>
        </w:rPr>
        <w:t xml:space="preserve"> burden on</w:t>
      </w:r>
      <w:r w:rsidRPr="00FF29FD" w:rsidR="0054481A">
        <w:rPr>
          <w:rFonts w:ascii="Times New Roman" w:hAnsi="Times New Roman"/>
          <w:color w:val="000000" w:themeColor="text1"/>
          <w:sz w:val="24"/>
          <w:szCs w:val="24"/>
        </w:rPr>
        <w:t xml:space="preserve"> respondents</w:t>
      </w:r>
      <w:r w:rsidRPr="00FF29FD" w:rsidR="00385D13">
        <w:rPr>
          <w:rFonts w:ascii="Times New Roman" w:hAnsi="Times New Roman"/>
          <w:color w:val="000000" w:themeColor="text1"/>
          <w:sz w:val="24"/>
          <w:szCs w:val="24"/>
        </w:rPr>
        <w:t xml:space="preserve"> and increases data accuracy</w:t>
      </w:r>
      <w:r w:rsidRPr="00FF29FD" w:rsidR="0049531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F29FD" w:rsidR="005F72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29FD" w:rsidR="003613AA">
        <w:rPr>
          <w:rFonts w:ascii="Times New Roman" w:hAnsi="Times New Roman"/>
          <w:color w:val="000000" w:themeColor="text1"/>
          <w:sz w:val="24"/>
          <w:szCs w:val="24"/>
        </w:rPr>
        <w:t>For example, w</w:t>
      </w:r>
      <w:r w:rsidRPr="00FF29FD" w:rsidR="00B46E5D">
        <w:rPr>
          <w:rFonts w:ascii="Times New Roman" w:hAnsi="Times New Roman"/>
          <w:color w:val="000000" w:themeColor="text1"/>
          <w:sz w:val="24"/>
          <w:szCs w:val="24"/>
        </w:rPr>
        <w:t xml:space="preserve">hen appropriate, </w:t>
      </w:r>
      <w:r w:rsidRPr="00FF29FD" w:rsidR="003613A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FF29FD" w:rsidR="00B46E5D">
        <w:rPr>
          <w:rFonts w:ascii="Times New Roman" w:hAnsi="Times New Roman"/>
          <w:color w:val="000000" w:themeColor="text1"/>
          <w:sz w:val="24"/>
          <w:szCs w:val="24"/>
        </w:rPr>
        <w:t xml:space="preserve">online report templates pre-populate </w:t>
      </w:r>
      <w:r w:rsidRPr="00FF29FD" w:rsidR="00C02EA5">
        <w:rPr>
          <w:rFonts w:ascii="Times New Roman" w:hAnsi="Times New Roman"/>
          <w:color w:val="000000" w:themeColor="text1"/>
          <w:sz w:val="24"/>
          <w:szCs w:val="24"/>
        </w:rPr>
        <w:t xml:space="preserve">existing </w:t>
      </w:r>
      <w:r w:rsidRPr="00FF29FD" w:rsidR="00B46E5D">
        <w:rPr>
          <w:rFonts w:ascii="Times New Roman" w:hAnsi="Times New Roman"/>
          <w:color w:val="000000" w:themeColor="text1"/>
          <w:sz w:val="24"/>
          <w:szCs w:val="24"/>
        </w:rPr>
        <w:t>information from prior state reports</w:t>
      </w:r>
      <w:r w:rsidRPr="00FF29FD" w:rsidR="00385D13">
        <w:rPr>
          <w:rFonts w:ascii="Times New Roman" w:hAnsi="Times New Roman"/>
          <w:color w:val="000000" w:themeColor="text1"/>
          <w:sz w:val="24"/>
          <w:szCs w:val="24"/>
        </w:rPr>
        <w:t xml:space="preserve"> and s</w:t>
      </w:r>
      <w:r w:rsidRPr="00FF29FD" w:rsidR="00796FD1">
        <w:rPr>
          <w:rFonts w:ascii="Times New Roman" w:hAnsi="Times New Roman"/>
          <w:color w:val="000000" w:themeColor="text1"/>
          <w:sz w:val="24"/>
          <w:szCs w:val="24"/>
        </w:rPr>
        <w:t xml:space="preserve">everal fields in the </w:t>
      </w:r>
      <w:r w:rsidRPr="00FF29FD" w:rsidR="00796FD1">
        <w:rPr>
          <w:rFonts w:ascii="Times New Roman" w:hAnsi="Times New Roman"/>
          <w:i/>
          <w:iCs/>
          <w:color w:val="000000" w:themeColor="text1"/>
          <w:sz w:val="24"/>
          <w:szCs w:val="24"/>
        </w:rPr>
        <w:t>State Improper Payments Report</w:t>
      </w:r>
      <w:r w:rsidRPr="00FF29FD" w:rsidR="00796FD1">
        <w:rPr>
          <w:rFonts w:ascii="Times New Roman" w:hAnsi="Times New Roman"/>
          <w:color w:val="000000" w:themeColor="text1"/>
          <w:sz w:val="24"/>
          <w:szCs w:val="24"/>
        </w:rPr>
        <w:t xml:space="preserve"> have an auto-calculation function</w:t>
      </w:r>
      <w:r w:rsidRPr="00FF29FD" w:rsidR="00385D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F0DB5" w:rsidP="008F6F81" w:rsidRDefault="003F0DB5" w14:paraId="683FFD8C" w14:textId="77777777">
      <w:pPr>
        <w:widowControl/>
        <w:tabs>
          <w:tab w:val="num" w:pos="360"/>
        </w:tabs>
        <w:ind w:left="360"/>
        <w:rPr>
          <w:rFonts w:ascii="Times New Roman" w:hAnsi="Times New Roman"/>
          <w:color w:val="000000"/>
          <w:sz w:val="24"/>
          <w:szCs w:val="24"/>
        </w:rPr>
      </w:pPr>
    </w:p>
    <w:p w:rsidRPr="004F7B95" w:rsidR="00D60543" w:rsidP="00E06838" w:rsidRDefault="00FF29FD" w14:paraId="5F5541A7" w14:textId="7A2B4F88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fourth document is the </w:t>
      </w:r>
      <w:r w:rsidRPr="00D35E8D" w:rsidR="00E03257">
        <w:rPr>
          <w:rFonts w:ascii="Times New Roman" w:hAnsi="Times New Roman"/>
          <w:i/>
          <w:iCs/>
          <w:color w:val="000000"/>
          <w:sz w:val="24"/>
          <w:szCs w:val="24"/>
        </w:rPr>
        <w:t>Record Review Worksheet</w:t>
      </w:r>
      <w:r w:rsidR="00E03257">
        <w:rPr>
          <w:rFonts w:ascii="Times New Roman" w:hAnsi="Times New Roman"/>
          <w:color w:val="000000"/>
          <w:sz w:val="24"/>
          <w:szCs w:val="24"/>
        </w:rPr>
        <w:t xml:space="preserve"> (RRW)</w:t>
      </w:r>
      <w:r w:rsidRPr="00F70481" w:rsidR="00E032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3257">
        <w:rPr>
          <w:rFonts w:ascii="Times New Roman" w:hAnsi="Times New Roman"/>
          <w:color w:val="000000"/>
          <w:sz w:val="24"/>
          <w:szCs w:val="24"/>
        </w:rPr>
        <w:t>template</w:t>
      </w:r>
      <w:r>
        <w:rPr>
          <w:rFonts w:ascii="Times New Roman" w:hAnsi="Times New Roman"/>
          <w:color w:val="000000"/>
          <w:sz w:val="24"/>
          <w:szCs w:val="24"/>
        </w:rPr>
        <w:t>, which OCC provides</w:t>
      </w:r>
      <w:r w:rsidR="00BF5BE7">
        <w:rPr>
          <w:rFonts w:ascii="Times New Roman" w:hAnsi="Times New Roman"/>
          <w:color w:val="000000"/>
          <w:sz w:val="24"/>
          <w:szCs w:val="24"/>
        </w:rPr>
        <w:t xml:space="preserve"> for states to customize</w:t>
      </w:r>
      <w:r w:rsidR="0079522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75181">
        <w:rPr>
          <w:rFonts w:ascii="Times New Roman" w:hAnsi="Times New Roman"/>
          <w:color w:val="000000"/>
          <w:sz w:val="24"/>
          <w:szCs w:val="24"/>
        </w:rPr>
        <w:t>This allows</w:t>
      </w:r>
      <w:r w:rsidR="00BF5BE7">
        <w:rPr>
          <w:rFonts w:ascii="Times New Roman" w:hAnsi="Times New Roman"/>
          <w:color w:val="000000"/>
          <w:sz w:val="24"/>
          <w:szCs w:val="24"/>
        </w:rPr>
        <w:t xml:space="preserve"> them the</w:t>
      </w:r>
      <w:r w:rsidR="003F0DB5">
        <w:rPr>
          <w:rFonts w:ascii="Times New Roman" w:hAnsi="Times New Roman"/>
          <w:color w:val="000000"/>
          <w:sz w:val="24"/>
          <w:szCs w:val="24"/>
        </w:rPr>
        <w:t xml:space="preserve"> flexibility</w:t>
      </w:r>
      <w:r w:rsidR="00BF5BE7">
        <w:rPr>
          <w:rFonts w:ascii="Times New Roman" w:hAnsi="Times New Roman"/>
          <w:color w:val="000000"/>
          <w:sz w:val="24"/>
          <w:szCs w:val="24"/>
        </w:rPr>
        <w:t xml:space="preserve"> to </w:t>
      </w:r>
      <w:r w:rsidR="00A3534A">
        <w:rPr>
          <w:rFonts w:ascii="Times New Roman" w:hAnsi="Times New Roman"/>
          <w:color w:val="000000"/>
          <w:sz w:val="24"/>
          <w:szCs w:val="24"/>
        </w:rPr>
        <w:t>complete the</w:t>
      </w:r>
      <w:r w:rsidR="00991918">
        <w:rPr>
          <w:rFonts w:ascii="Times New Roman" w:hAnsi="Times New Roman"/>
          <w:color w:val="000000"/>
          <w:sz w:val="24"/>
          <w:szCs w:val="24"/>
        </w:rPr>
        <w:t xml:space="preserve"> template in</w:t>
      </w:r>
      <w:r w:rsidR="00BF5BE7">
        <w:rPr>
          <w:rFonts w:ascii="Times New Roman" w:hAnsi="Times New Roman"/>
          <w:color w:val="000000"/>
          <w:sz w:val="24"/>
          <w:szCs w:val="24"/>
        </w:rPr>
        <w:t xml:space="preserve"> their preferred format</w:t>
      </w:r>
      <w:r w:rsidR="004974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F72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534A">
        <w:rPr>
          <w:rFonts w:ascii="Times New Roman" w:hAnsi="Times New Roman"/>
          <w:color w:val="000000"/>
          <w:sz w:val="24"/>
          <w:szCs w:val="24"/>
        </w:rPr>
        <w:t>M</w:t>
      </w:r>
      <w:r w:rsidRPr="00F70481" w:rsidR="008F6F81">
        <w:rPr>
          <w:rFonts w:ascii="Times New Roman" w:hAnsi="Times New Roman"/>
          <w:color w:val="000000"/>
          <w:sz w:val="24"/>
          <w:szCs w:val="24"/>
        </w:rPr>
        <w:t xml:space="preserve">any states have automated the </w:t>
      </w:r>
      <w:r w:rsidR="00622DA5">
        <w:rPr>
          <w:rFonts w:ascii="Times New Roman" w:hAnsi="Times New Roman"/>
          <w:color w:val="000000"/>
          <w:sz w:val="24"/>
          <w:szCs w:val="24"/>
        </w:rPr>
        <w:t>RRW</w:t>
      </w:r>
      <w:r w:rsidRPr="00F70481" w:rsidR="008F6F81">
        <w:rPr>
          <w:rFonts w:ascii="Times New Roman" w:hAnsi="Times New Roman"/>
          <w:color w:val="000000"/>
          <w:sz w:val="24"/>
          <w:szCs w:val="24"/>
        </w:rPr>
        <w:t xml:space="preserve"> which has enhanced their review </w:t>
      </w:r>
      <w:r w:rsidRPr="00F70481" w:rsidR="008F6F81">
        <w:rPr>
          <w:rFonts w:ascii="Times New Roman" w:hAnsi="Times New Roman"/>
          <w:color w:val="000000"/>
          <w:sz w:val="24"/>
          <w:szCs w:val="24"/>
        </w:rPr>
        <w:lastRenderedPageBreak/>
        <w:t xml:space="preserve">process and report compilation. </w:t>
      </w:r>
      <w:r w:rsidRPr="00F70481" w:rsidR="006E78B9">
        <w:rPr>
          <w:rFonts w:ascii="Times New Roman" w:hAnsi="Times New Roman"/>
          <w:color w:val="000000"/>
          <w:sz w:val="24"/>
          <w:szCs w:val="24"/>
        </w:rPr>
        <w:t xml:space="preserve">States are encouraged to enter all data fields from each </w:t>
      </w:r>
      <w:r w:rsidR="00062B81">
        <w:rPr>
          <w:rFonts w:ascii="Times New Roman" w:hAnsi="Times New Roman"/>
          <w:color w:val="000000"/>
          <w:sz w:val="24"/>
          <w:szCs w:val="24"/>
        </w:rPr>
        <w:t>RRW</w:t>
      </w:r>
      <w:r w:rsidRPr="00F70481" w:rsidR="006E78B9">
        <w:rPr>
          <w:rFonts w:ascii="Times New Roman" w:hAnsi="Times New Roman"/>
          <w:color w:val="000000"/>
          <w:sz w:val="24"/>
          <w:szCs w:val="24"/>
        </w:rPr>
        <w:t xml:space="preserve"> into a database </w:t>
      </w:r>
      <w:r w:rsidR="00A67A7A">
        <w:rPr>
          <w:rFonts w:ascii="Times New Roman" w:hAnsi="Times New Roman"/>
          <w:color w:val="000000"/>
          <w:sz w:val="24"/>
          <w:szCs w:val="24"/>
        </w:rPr>
        <w:t>to compute the data</w:t>
      </w:r>
      <w:r w:rsidRPr="00F70481" w:rsidR="006E78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7ECE">
        <w:rPr>
          <w:rFonts w:ascii="Times New Roman" w:hAnsi="Times New Roman"/>
          <w:color w:val="000000"/>
          <w:sz w:val="24"/>
          <w:szCs w:val="24"/>
        </w:rPr>
        <w:t>submitted in the</w:t>
      </w:r>
      <w:r w:rsidRPr="00F70481" w:rsidR="006E78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4FD2" w:rsidR="006E78B9">
        <w:rPr>
          <w:rFonts w:ascii="Times New Roman" w:hAnsi="Times New Roman"/>
          <w:i/>
          <w:iCs/>
          <w:color w:val="000000"/>
          <w:sz w:val="24"/>
          <w:szCs w:val="24"/>
        </w:rPr>
        <w:t>State Improper Payment Reports</w:t>
      </w:r>
      <w:r w:rsidRPr="00F70481" w:rsidR="006E78B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Pr="004F7B95" w:rsidR="00D60543" w:rsidP="00BE4017" w:rsidRDefault="00D60543" w14:paraId="61323458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5542DD" w:rsidP="00C20E83" w:rsidRDefault="002C3C4F" w14:paraId="29FCA01A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  <w:r w:rsidR="00C20E83">
        <w:rPr>
          <w:rFonts w:ascii="Times New Roman" w:hAnsi="Times New Roman"/>
          <w:snapToGrid/>
          <w:sz w:val="24"/>
          <w:szCs w:val="24"/>
        </w:rPr>
        <w:t xml:space="preserve"> </w:t>
      </w:r>
    </w:p>
    <w:p w:rsidRPr="00C20E83" w:rsidR="009F5543" w:rsidP="00D75181" w:rsidRDefault="00580F83" w14:paraId="64082C42" w14:textId="421829BF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C20E83">
        <w:rPr>
          <w:rFonts w:ascii="Times New Roman" w:hAnsi="Times New Roman"/>
          <w:color w:val="000000" w:themeColor="text1"/>
          <w:sz w:val="24"/>
          <w:szCs w:val="24"/>
        </w:rPr>
        <w:t>Th</w:t>
      </w:r>
      <w:r w:rsidRPr="00C20E83" w:rsidR="00170145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C20E83">
        <w:rPr>
          <w:rFonts w:ascii="Times New Roman" w:hAnsi="Times New Roman"/>
          <w:color w:val="000000" w:themeColor="text1"/>
          <w:sz w:val="24"/>
          <w:szCs w:val="24"/>
        </w:rPr>
        <w:t xml:space="preserve">data </w:t>
      </w:r>
      <w:r w:rsidRPr="00C20E83" w:rsidR="00757FD7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Pr="00C20E83" w:rsidR="00DE1F3A">
        <w:rPr>
          <w:rFonts w:ascii="Times New Roman" w:hAnsi="Times New Roman"/>
          <w:color w:val="000000" w:themeColor="text1"/>
          <w:sz w:val="24"/>
          <w:szCs w:val="24"/>
        </w:rPr>
        <w:t>this information collection are not duplicative of any other sources of information</w:t>
      </w:r>
      <w:r w:rsidRPr="00C20E83" w:rsidR="0061309B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Pr="00C20E83" w:rsidR="00235266">
        <w:rPr>
          <w:rFonts w:ascii="Times New Roman" w:hAnsi="Times New Roman"/>
          <w:color w:val="000000" w:themeColor="text1"/>
          <w:sz w:val="24"/>
          <w:szCs w:val="24"/>
        </w:rPr>
        <w:t>are</w:t>
      </w:r>
      <w:r w:rsidRPr="00C20E83" w:rsidR="0061309B">
        <w:rPr>
          <w:rFonts w:ascii="Times New Roman" w:hAnsi="Times New Roman"/>
          <w:color w:val="000000" w:themeColor="text1"/>
          <w:sz w:val="24"/>
          <w:szCs w:val="24"/>
        </w:rPr>
        <w:t xml:space="preserve"> not available from any other source</w:t>
      </w:r>
      <w:r w:rsidRPr="00C20E83" w:rsidR="00DE1F3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20E83" w:rsidR="001760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20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0E83">
        <w:rPr>
          <w:rFonts w:ascii="Times New Roman" w:hAnsi="Times New Roman"/>
          <w:color w:val="000000" w:themeColor="text1"/>
          <w:sz w:val="24"/>
          <w:szCs w:val="24"/>
        </w:rPr>
        <w:t xml:space="preserve">While other </w:t>
      </w:r>
      <w:r w:rsidRPr="00C20E83" w:rsidR="00B7146D">
        <w:rPr>
          <w:rFonts w:ascii="Times New Roman" w:hAnsi="Times New Roman"/>
          <w:color w:val="000000" w:themeColor="text1"/>
          <w:sz w:val="24"/>
          <w:szCs w:val="24"/>
        </w:rPr>
        <w:t xml:space="preserve">ACF </w:t>
      </w:r>
      <w:r w:rsidRPr="00C20E83">
        <w:rPr>
          <w:rFonts w:ascii="Times New Roman" w:hAnsi="Times New Roman"/>
          <w:color w:val="000000" w:themeColor="text1"/>
          <w:sz w:val="24"/>
          <w:szCs w:val="24"/>
        </w:rPr>
        <w:t>programs produce error rate measures</w:t>
      </w:r>
      <w:r w:rsidRPr="00C20E83" w:rsidR="005F72B7">
        <w:rPr>
          <w:rFonts w:ascii="Times New Roman" w:hAnsi="Times New Roman"/>
          <w:color w:val="000000" w:themeColor="text1"/>
          <w:sz w:val="24"/>
          <w:szCs w:val="24"/>
        </w:rPr>
        <w:t xml:space="preserve"> for their </w:t>
      </w:r>
      <w:r w:rsidRPr="00C20E83" w:rsidR="00F17FCB">
        <w:rPr>
          <w:rFonts w:ascii="Times New Roman" w:hAnsi="Times New Roman"/>
          <w:color w:val="000000" w:themeColor="text1"/>
          <w:sz w:val="24"/>
          <w:szCs w:val="24"/>
        </w:rPr>
        <w:t>programs</w:t>
      </w:r>
      <w:r w:rsidRPr="00C20E83">
        <w:rPr>
          <w:rFonts w:ascii="Times New Roman" w:hAnsi="Times New Roman"/>
          <w:color w:val="000000" w:themeColor="text1"/>
          <w:sz w:val="24"/>
          <w:szCs w:val="24"/>
        </w:rPr>
        <w:t xml:space="preserve">, their procedures </w:t>
      </w:r>
      <w:r w:rsidRPr="00C20E83" w:rsidR="00F17FCB">
        <w:rPr>
          <w:rFonts w:ascii="Times New Roman" w:hAnsi="Times New Roman"/>
          <w:color w:val="000000" w:themeColor="text1"/>
          <w:sz w:val="24"/>
          <w:szCs w:val="24"/>
        </w:rPr>
        <w:t>do not collect information about the CCDF</w:t>
      </w:r>
      <w:r w:rsidRPr="00C20E83" w:rsidR="00C20E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Pr="004F7B95" w:rsidR="009C2DE1" w:rsidP="002A4F52" w:rsidRDefault="009C2DE1" w14:paraId="5BF82A71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5542DD" w:rsidR="00D60543" w:rsidP="005542DD" w:rsidRDefault="002C3C4F" w14:paraId="70D79D82" w14:textId="179B35E6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Pr="0048682B" w:rsidR="00D60543" w:rsidP="00022586" w:rsidRDefault="0048682B" w14:paraId="1AC2893A" w14:textId="5B96D74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381EAEA6">
        <w:rPr>
          <w:rFonts w:ascii="Times New Roman" w:hAnsi="Times New Roman"/>
          <w:color w:val="000000" w:themeColor="text1"/>
          <w:sz w:val="24"/>
          <w:szCs w:val="24"/>
        </w:rPr>
        <w:t xml:space="preserve">This data collection effort does not </w:t>
      </w:r>
      <w:r w:rsidRPr="381EAEA6" w:rsidR="005F1CD3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381EAEA6" w:rsidR="3A41D0DD">
        <w:rPr>
          <w:rFonts w:ascii="Times New Roman" w:hAnsi="Times New Roman"/>
          <w:color w:val="000000" w:themeColor="text1"/>
          <w:sz w:val="24"/>
          <w:szCs w:val="24"/>
        </w:rPr>
        <w:t>mpact</w:t>
      </w:r>
      <w:r w:rsidRPr="381EAEA6" w:rsidR="005F1C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381EAEA6">
        <w:rPr>
          <w:rFonts w:ascii="Times New Roman" w:hAnsi="Times New Roman"/>
          <w:color w:val="000000" w:themeColor="text1"/>
          <w:sz w:val="24"/>
          <w:szCs w:val="24"/>
        </w:rPr>
        <w:t>small businesses or other small entities.</w:t>
      </w:r>
    </w:p>
    <w:p w:rsidRPr="004F7B95" w:rsidR="00D60543" w:rsidP="00E06838" w:rsidRDefault="00D60543" w14:paraId="7A03161C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6374389D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Pr="00492408" w:rsidR="00D60543" w:rsidP="00D75181" w:rsidRDefault="00962194" w14:paraId="0DA9C819" w14:textId="7ABC0F1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492408">
        <w:rPr>
          <w:rFonts w:ascii="Times New Roman" w:hAnsi="Times New Roman"/>
          <w:sz w:val="24"/>
          <w:szCs w:val="24"/>
        </w:rPr>
        <w:t xml:space="preserve">PIIA </w:t>
      </w:r>
      <w:r w:rsidRPr="00492408">
        <w:rPr>
          <w:rFonts w:ascii="Times New Roman" w:hAnsi="Times New Roman"/>
          <w:color w:val="000000" w:themeColor="text1"/>
          <w:sz w:val="24"/>
          <w:szCs w:val="24"/>
        </w:rPr>
        <w:t xml:space="preserve">requires </w:t>
      </w:r>
      <w:r w:rsidR="00317F4F">
        <w:rPr>
          <w:rFonts w:ascii="Times New Roman" w:hAnsi="Times New Roman"/>
          <w:color w:val="000000" w:themeColor="text1"/>
          <w:sz w:val="24"/>
          <w:szCs w:val="24"/>
        </w:rPr>
        <w:t>f</w:t>
      </w:r>
      <w:r w:rsidRPr="00492408">
        <w:rPr>
          <w:rFonts w:ascii="Times New Roman" w:hAnsi="Times New Roman"/>
          <w:color w:val="000000" w:themeColor="text1"/>
          <w:sz w:val="24"/>
          <w:szCs w:val="24"/>
        </w:rPr>
        <w:t xml:space="preserve">ederal agencies to annually report error rate measures. </w:t>
      </w:r>
      <w:r w:rsidRPr="00492408" w:rsidR="2D08B3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522C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492408" w:rsidR="2D08B39B">
        <w:rPr>
          <w:rFonts w:ascii="Times New Roman" w:hAnsi="Times New Roman"/>
          <w:color w:val="000000" w:themeColor="text1"/>
          <w:sz w:val="24"/>
          <w:szCs w:val="24"/>
        </w:rPr>
        <w:t>o minimize burden on states, A</w:t>
      </w:r>
      <w:r w:rsidRPr="00492408">
        <w:rPr>
          <w:rFonts w:ascii="Times New Roman" w:hAnsi="Times New Roman"/>
          <w:color w:val="000000" w:themeColor="text1"/>
          <w:sz w:val="24"/>
          <w:szCs w:val="24"/>
        </w:rPr>
        <w:t xml:space="preserve">CF has obtained approval from the Office of Management and Budget (OMB) for each </w:t>
      </w:r>
      <w:r w:rsidR="00317F4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492408">
        <w:rPr>
          <w:rFonts w:ascii="Times New Roman" w:hAnsi="Times New Roman"/>
          <w:color w:val="000000" w:themeColor="text1"/>
          <w:sz w:val="24"/>
          <w:szCs w:val="24"/>
        </w:rPr>
        <w:t xml:space="preserve">tate, the District of Columbia and Puerto Rico to collect data and report findings once every three years, with one-third of grantees reporting each year. </w:t>
      </w:r>
      <w:r w:rsidR="008B12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92408">
        <w:rPr>
          <w:rFonts w:ascii="Times New Roman" w:hAnsi="Times New Roman"/>
          <w:color w:val="000000" w:themeColor="text1"/>
          <w:sz w:val="24"/>
          <w:szCs w:val="24"/>
        </w:rPr>
        <w:t xml:space="preserve">Without this information collection, HHS will be unable to report </w:t>
      </w:r>
      <w:r w:rsidRPr="00492408" w:rsidR="0096575E">
        <w:rPr>
          <w:rFonts w:ascii="Times New Roman" w:hAnsi="Times New Roman"/>
          <w:color w:val="000000" w:themeColor="text1"/>
          <w:sz w:val="24"/>
          <w:szCs w:val="24"/>
        </w:rPr>
        <w:t xml:space="preserve">this </w:t>
      </w:r>
      <w:r w:rsidRPr="00492408">
        <w:rPr>
          <w:rFonts w:ascii="Times New Roman" w:hAnsi="Times New Roman"/>
          <w:color w:val="000000" w:themeColor="text1"/>
          <w:sz w:val="24"/>
          <w:szCs w:val="24"/>
        </w:rPr>
        <w:t>information in the AFR.</w:t>
      </w:r>
      <w:r w:rsidRPr="00492408" w:rsidR="003C2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Pr="004F7B95" w:rsidR="00DE529D" w:rsidP="00D1007C" w:rsidRDefault="00DE529D" w14:paraId="2744D4F5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8B12FA" w:rsidR="009C2DE1" w:rsidP="00622554" w:rsidRDefault="002C3C4F" w14:paraId="2936D2FA" w14:textId="557D3C95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Pr="004C6104" w:rsidR="00DE529D" w:rsidP="00022586" w:rsidRDefault="00B22437" w14:paraId="37489B7C" w14:textId="1B9B5F3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4C6104" w:rsidR="004C6104">
        <w:rPr>
          <w:rFonts w:ascii="Times New Roman" w:hAnsi="Times New Roman"/>
          <w:color w:val="000000"/>
          <w:sz w:val="24"/>
          <w:szCs w:val="24"/>
        </w:rPr>
        <w:t xml:space="preserve">CCDF regulations at Subpart K of 45 CFR, Part 98, require </w:t>
      </w:r>
      <w:r w:rsidR="00317F4F">
        <w:rPr>
          <w:rFonts w:ascii="Times New Roman" w:hAnsi="Times New Roman"/>
          <w:color w:val="000000"/>
          <w:sz w:val="24"/>
          <w:szCs w:val="24"/>
        </w:rPr>
        <w:t>s</w:t>
      </w:r>
      <w:r w:rsidRPr="004C6104" w:rsidR="004C6104">
        <w:rPr>
          <w:rFonts w:ascii="Times New Roman" w:hAnsi="Times New Roman"/>
          <w:color w:val="000000"/>
          <w:sz w:val="24"/>
          <w:szCs w:val="24"/>
        </w:rPr>
        <w:t>tates to maintain all records related to the Improper Payments Error Rate Review for five years.</w:t>
      </w:r>
    </w:p>
    <w:p w:rsidRPr="004F7B95" w:rsidR="00DE529D" w:rsidP="002A4F52" w:rsidRDefault="00DE529D" w14:paraId="2CFEBB22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075889" w:rsidR="0051278C" w:rsidP="00622554" w:rsidRDefault="002C3C4F" w14:paraId="435DD2B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B9231D" w:rsidP="00022586" w:rsidRDefault="0084609A" w14:paraId="0096A55B" w14:textId="74E6CC08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 This notice was published on </w:t>
      </w:r>
      <w:r w:rsidR="00185358">
        <w:rPr>
          <w:rFonts w:ascii="Times New Roman" w:hAnsi="Times New Roman"/>
          <w:sz w:val="24"/>
          <w:szCs w:val="24"/>
        </w:rPr>
        <w:t>April 14, 2021</w:t>
      </w:r>
      <w:r w:rsidRPr="004F7B95">
        <w:rPr>
          <w:rFonts w:ascii="Times New Roman" w:hAnsi="Times New Roman"/>
          <w:sz w:val="24"/>
          <w:szCs w:val="24"/>
        </w:rPr>
        <w:t xml:space="preserve">, </w:t>
      </w:r>
      <w:r w:rsidRPr="00952223">
        <w:rPr>
          <w:rFonts w:ascii="Times New Roman" w:hAnsi="Times New Roman"/>
          <w:sz w:val="24"/>
          <w:szCs w:val="24"/>
        </w:rPr>
        <w:t xml:space="preserve">Volume </w:t>
      </w:r>
      <w:r w:rsidR="00BB0103">
        <w:rPr>
          <w:rFonts w:ascii="Times New Roman" w:hAnsi="Times New Roman"/>
          <w:sz w:val="24"/>
          <w:szCs w:val="24"/>
        </w:rPr>
        <w:t>86</w:t>
      </w:r>
      <w:r w:rsidRPr="00952223">
        <w:rPr>
          <w:rFonts w:ascii="Times New Roman" w:hAnsi="Times New Roman"/>
          <w:sz w:val="24"/>
          <w:szCs w:val="24"/>
        </w:rPr>
        <w:t xml:space="preserve">, Number </w:t>
      </w:r>
      <w:r w:rsidR="00BB0103">
        <w:rPr>
          <w:rFonts w:ascii="Times New Roman" w:hAnsi="Times New Roman"/>
          <w:sz w:val="24"/>
          <w:szCs w:val="24"/>
        </w:rPr>
        <w:t>68</w:t>
      </w:r>
      <w:r w:rsidRPr="00952223">
        <w:rPr>
          <w:rFonts w:ascii="Times New Roman" w:hAnsi="Times New Roman"/>
          <w:sz w:val="24"/>
          <w:szCs w:val="24"/>
        </w:rPr>
        <w:t>,</w:t>
      </w:r>
      <w:r w:rsidRPr="004F7B95">
        <w:rPr>
          <w:rFonts w:ascii="Times New Roman" w:hAnsi="Times New Roman"/>
          <w:sz w:val="24"/>
          <w:szCs w:val="24"/>
        </w:rPr>
        <w:t xml:space="preserve"> page</w:t>
      </w:r>
      <w:r w:rsidR="00013E31">
        <w:rPr>
          <w:rFonts w:ascii="Times New Roman" w:hAnsi="Times New Roman"/>
          <w:sz w:val="24"/>
          <w:szCs w:val="24"/>
        </w:rPr>
        <w:t>s</w:t>
      </w:r>
      <w:r w:rsidRPr="004F7B95">
        <w:rPr>
          <w:rFonts w:ascii="Times New Roman" w:hAnsi="Times New Roman"/>
          <w:sz w:val="24"/>
          <w:szCs w:val="24"/>
        </w:rPr>
        <w:t xml:space="preserve"> </w:t>
      </w:r>
      <w:r w:rsidRPr="002A4F52" w:rsidR="00C461F3">
        <w:rPr>
          <w:rFonts w:ascii="Times New Roman" w:hAnsi="Times New Roman"/>
          <w:sz w:val="24"/>
          <w:szCs w:val="24"/>
        </w:rPr>
        <w:t>18985-18986</w:t>
      </w:r>
      <w:r w:rsidRPr="004F7B95">
        <w:rPr>
          <w:rFonts w:ascii="Times New Roman" w:hAnsi="Times New Roman"/>
          <w:sz w:val="24"/>
          <w:szCs w:val="24"/>
        </w:rPr>
        <w:t xml:space="preserve">, and provided a sixty-day period for public comment.  </w:t>
      </w:r>
      <w:r w:rsidRPr="00602439" w:rsidR="004D0D89">
        <w:rPr>
          <w:rFonts w:ascii="Times New Roman" w:hAnsi="Times New Roman"/>
          <w:sz w:val="24"/>
          <w:szCs w:val="24"/>
        </w:rPr>
        <w:t xml:space="preserve">During the notice and comment period, </w:t>
      </w:r>
      <w:r w:rsidR="004D0D89">
        <w:rPr>
          <w:rFonts w:ascii="Times New Roman" w:hAnsi="Times New Roman"/>
          <w:sz w:val="24"/>
          <w:szCs w:val="24"/>
        </w:rPr>
        <w:t xml:space="preserve">OCC received </w:t>
      </w:r>
      <w:r w:rsidRPr="002A4F52" w:rsidR="004D0D89">
        <w:rPr>
          <w:rFonts w:ascii="Times New Roman" w:hAnsi="Times New Roman"/>
          <w:sz w:val="24"/>
          <w:szCs w:val="24"/>
        </w:rPr>
        <w:t xml:space="preserve">comments from </w:t>
      </w:r>
      <w:r w:rsidR="004D0D89">
        <w:rPr>
          <w:rFonts w:ascii="Times New Roman" w:hAnsi="Times New Roman"/>
          <w:sz w:val="24"/>
          <w:szCs w:val="24"/>
        </w:rPr>
        <w:t xml:space="preserve">New York state. OCC </w:t>
      </w:r>
      <w:r w:rsidRPr="0016617F" w:rsidR="004D0D89">
        <w:rPr>
          <w:rFonts w:ascii="Times New Roman" w:hAnsi="Times New Roman"/>
          <w:sz w:val="24"/>
          <w:szCs w:val="24"/>
        </w:rPr>
        <w:t>has given thoughtful consideration to the comments received</w:t>
      </w:r>
      <w:r w:rsidR="004D0D89">
        <w:rPr>
          <w:rFonts w:ascii="Times New Roman" w:hAnsi="Times New Roman"/>
          <w:sz w:val="24"/>
          <w:szCs w:val="24"/>
        </w:rPr>
        <w:t xml:space="preserve"> and has provided a response in Attachment B</w:t>
      </w:r>
      <w:r w:rsidRPr="0016617F" w:rsidR="004D0D89">
        <w:rPr>
          <w:rFonts w:ascii="Times New Roman" w:hAnsi="Times New Roman"/>
          <w:sz w:val="24"/>
          <w:szCs w:val="24"/>
        </w:rPr>
        <w:t xml:space="preserve">. </w:t>
      </w:r>
      <w:r w:rsidR="004D0D89">
        <w:rPr>
          <w:rFonts w:ascii="Times New Roman" w:hAnsi="Times New Roman"/>
          <w:sz w:val="24"/>
          <w:szCs w:val="24"/>
        </w:rPr>
        <w:t xml:space="preserve"> </w:t>
      </w:r>
      <w:r w:rsidRPr="0016617F" w:rsidR="004D0D89">
        <w:rPr>
          <w:rFonts w:ascii="Times New Roman" w:hAnsi="Times New Roman"/>
          <w:sz w:val="24"/>
          <w:szCs w:val="24"/>
        </w:rPr>
        <w:t xml:space="preserve">While no changes </w:t>
      </w:r>
      <w:r w:rsidR="004D0D89">
        <w:rPr>
          <w:rFonts w:ascii="Times New Roman" w:hAnsi="Times New Roman"/>
          <w:sz w:val="24"/>
          <w:szCs w:val="24"/>
        </w:rPr>
        <w:t xml:space="preserve">to the Data Collection Instructions </w:t>
      </w:r>
      <w:r w:rsidRPr="0016617F" w:rsidR="004D0D89">
        <w:rPr>
          <w:rFonts w:ascii="Times New Roman" w:hAnsi="Times New Roman"/>
          <w:sz w:val="24"/>
          <w:szCs w:val="24"/>
        </w:rPr>
        <w:t>were made in response to the comments, OCC will use the</w:t>
      </w:r>
      <w:r w:rsidR="004D0D89">
        <w:rPr>
          <w:rFonts w:ascii="Times New Roman" w:hAnsi="Times New Roman"/>
          <w:sz w:val="24"/>
          <w:szCs w:val="24"/>
        </w:rPr>
        <w:t xml:space="preserve"> helpful</w:t>
      </w:r>
      <w:r w:rsidRPr="0016617F" w:rsidR="004D0D89">
        <w:rPr>
          <w:rFonts w:ascii="Times New Roman" w:hAnsi="Times New Roman"/>
          <w:sz w:val="24"/>
          <w:szCs w:val="24"/>
        </w:rPr>
        <w:t xml:space="preserve"> feedback </w:t>
      </w:r>
      <w:r w:rsidR="004D0D89">
        <w:rPr>
          <w:rFonts w:ascii="Times New Roman" w:hAnsi="Times New Roman"/>
          <w:sz w:val="24"/>
          <w:szCs w:val="24"/>
        </w:rPr>
        <w:t>to inform</w:t>
      </w:r>
      <w:r w:rsidRPr="0016617F" w:rsidR="004D0D89">
        <w:rPr>
          <w:rFonts w:ascii="Times New Roman" w:hAnsi="Times New Roman"/>
          <w:sz w:val="24"/>
          <w:szCs w:val="24"/>
        </w:rPr>
        <w:t xml:space="preserve"> training and technical assistance for </w:t>
      </w:r>
      <w:r w:rsidR="0033363B">
        <w:rPr>
          <w:rFonts w:ascii="Times New Roman" w:hAnsi="Times New Roman"/>
          <w:sz w:val="24"/>
          <w:szCs w:val="24"/>
        </w:rPr>
        <w:t>s</w:t>
      </w:r>
      <w:r w:rsidRPr="0016617F" w:rsidR="004D0D89">
        <w:rPr>
          <w:rFonts w:ascii="Times New Roman" w:hAnsi="Times New Roman"/>
          <w:sz w:val="24"/>
          <w:szCs w:val="24"/>
        </w:rPr>
        <w:t xml:space="preserve">tates. </w:t>
      </w:r>
    </w:p>
    <w:p w:rsidR="002653D9" w:rsidP="008E76DA" w:rsidRDefault="002653D9" w14:paraId="5F929881" w14:textId="77777777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</w:p>
    <w:p w:rsidR="008E76DA" w:rsidP="008E76DA" w:rsidRDefault="00FB4DCB" w14:paraId="09AA2599" w14:textId="0E3C97AA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In addition, during the 60-day public comment period, </w:t>
      </w:r>
      <w:r w:rsidR="007A271F">
        <w:rPr>
          <w:rFonts w:ascii="Times New Roman" w:hAnsi="Times New Roman"/>
          <w:sz w:val="24"/>
          <w:szCs w:val="24"/>
        </w:rPr>
        <w:t xml:space="preserve">OCC notified </w:t>
      </w:r>
      <w:r w:rsidR="001C32C1">
        <w:rPr>
          <w:rFonts w:ascii="Times New Roman" w:hAnsi="Times New Roman"/>
          <w:sz w:val="24"/>
          <w:szCs w:val="24"/>
        </w:rPr>
        <w:t>external stakeholders</w:t>
      </w:r>
      <w:r w:rsidR="007A271F">
        <w:rPr>
          <w:rFonts w:ascii="Times New Roman" w:hAnsi="Times New Roman"/>
          <w:sz w:val="24"/>
          <w:szCs w:val="24"/>
        </w:rPr>
        <w:t xml:space="preserve"> about the publication of this information collection in the Federal Register </w:t>
      </w:r>
      <w:r w:rsidR="000D04B4">
        <w:rPr>
          <w:rFonts w:ascii="Times New Roman" w:hAnsi="Times New Roman"/>
          <w:sz w:val="24"/>
          <w:szCs w:val="24"/>
        </w:rPr>
        <w:t xml:space="preserve">through an OCC Announcement. </w:t>
      </w:r>
      <w:r w:rsidR="00BC2533">
        <w:rPr>
          <w:rFonts w:ascii="Times New Roman" w:hAnsi="Times New Roman"/>
          <w:sz w:val="24"/>
          <w:szCs w:val="24"/>
        </w:rPr>
        <w:t xml:space="preserve"> </w:t>
      </w:r>
      <w:r w:rsidR="00E27F71">
        <w:rPr>
          <w:rFonts w:ascii="Times New Roman" w:hAnsi="Times New Roman"/>
          <w:sz w:val="24"/>
          <w:szCs w:val="24"/>
        </w:rPr>
        <w:t xml:space="preserve">OCC also </w:t>
      </w:r>
      <w:r w:rsidR="0073664C">
        <w:rPr>
          <w:rFonts w:ascii="Times New Roman" w:hAnsi="Times New Roman"/>
          <w:sz w:val="24"/>
          <w:szCs w:val="24"/>
        </w:rPr>
        <w:t xml:space="preserve">notified </w:t>
      </w:r>
      <w:r w:rsidR="00996886">
        <w:rPr>
          <w:rFonts w:ascii="Times New Roman" w:hAnsi="Times New Roman"/>
          <w:sz w:val="24"/>
          <w:szCs w:val="24"/>
        </w:rPr>
        <w:t>s</w:t>
      </w:r>
      <w:r w:rsidR="0073664C">
        <w:rPr>
          <w:rFonts w:ascii="Times New Roman" w:hAnsi="Times New Roman"/>
          <w:sz w:val="24"/>
          <w:szCs w:val="24"/>
        </w:rPr>
        <w:t xml:space="preserve">tates about the opportunity for </w:t>
      </w:r>
      <w:r w:rsidR="00755051">
        <w:rPr>
          <w:rFonts w:ascii="Times New Roman" w:hAnsi="Times New Roman"/>
          <w:sz w:val="24"/>
          <w:szCs w:val="24"/>
        </w:rPr>
        <w:t>public comment during Error Rate training</w:t>
      </w:r>
      <w:r w:rsidR="00BC2533">
        <w:rPr>
          <w:rFonts w:ascii="Times New Roman" w:hAnsi="Times New Roman"/>
          <w:sz w:val="24"/>
          <w:szCs w:val="24"/>
        </w:rPr>
        <w:t>s</w:t>
      </w:r>
      <w:r w:rsidR="00755051">
        <w:rPr>
          <w:rFonts w:ascii="Times New Roman" w:hAnsi="Times New Roman"/>
          <w:sz w:val="24"/>
          <w:szCs w:val="24"/>
        </w:rPr>
        <w:t xml:space="preserve"> and Office Hours</w:t>
      </w:r>
      <w:r w:rsidR="00580AE8">
        <w:rPr>
          <w:rFonts w:ascii="Times New Roman" w:hAnsi="Times New Roman"/>
          <w:sz w:val="24"/>
          <w:szCs w:val="24"/>
        </w:rPr>
        <w:t xml:space="preserve"> sessions held in April and May</w:t>
      </w:r>
      <w:r w:rsidR="00ED10E1">
        <w:rPr>
          <w:rFonts w:ascii="Times New Roman" w:hAnsi="Times New Roman"/>
          <w:sz w:val="24"/>
          <w:szCs w:val="24"/>
        </w:rPr>
        <w:t xml:space="preserve"> of 2021</w:t>
      </w:r>
      <w:r w:rsidR="00580AE8">
        <w:rPr>
          <w:rFonts w:ascii="Times New Roman" w:hAnsi="Times New Roman"/>
          <w:sz w:val="24"/>
          <w:szCs w:val="24"/>
        </w:rPr>
        <w:t>.</w:t>
      </w:r>
      <w:r w:rsidRPr="0071470F" w:rsidR="0071470F">
        <w:rPr>
          <w:rFonts w:ascii="Times New Roman" w:hAnsi="Times New Roman"/>
          <w:sz w:val="24"/>
          <w:szCs w:val="24"/>
        </w:rPr>
        <w:t xml:space="preserve"> </w:t>
      </w:r>
      <w:r w:rsidR="00ED10E1">
        <w:rPr>
          <w:rFonts w:ascii="Times New Roman" w:hAnsi="Times New Roman"/>
          <w:sz w:val="24"/>
          <w:szCs w:val="24"/>
        </w:rPr>
        <w:t xml:space="preserve"> </w:t>
      </w:r>
      <w:r w:rsidR="00FA5DB8">
        <w:rPr>
          <w:rFonts w:ascii="Times New Roman" w:hAnsi="Times New Roman"/>
          <w:sz w:val="24"/>
          <w:szCs w:val="24"/>
        </w:rPr>
        <w:t xml:space="preserve">Further, </w:t>
      </w:r>
      <w:r w:rsidRPr="00F70481" w:rsidR="00435E03">
        <w:rPr>
          <w:rFonts w:ascii="Times New Roman" w:hAnsi="Times New Roman"/>
          <w:sz w:val="24"/>
          <w:szCs w:val="24"/>
        </w:rPr>
        <w:t>OCC</w:t>
      </w:r>
      <w:r w:rsidR="00435E03">
        <w:rPr>
          <w:rFonts w:ascii="Times New Roman" w:hAnsi="Times New Roman"/>
          <w:sz w:val="24"/>
          <w:szCs w:val="24"/>
        </w:rPr>
        <w:t xml:space="preserve"> reviewed the proposed revisions with staff from the</w:t>
      </w:r>
      <w:r w:rsidRPr="00F70481" w:rsidR="00435E03">
        <w:rPr>
          <w:rFonts w:ascii="Times New Roman" w:hAnsi="Times New Roman"/>
          <w:sz w:val="24"/>
          <w:szCs w:val="24"/>
        </w:rPr>
        <w:t xml:space="preserve"> ten OCC </w:t>
      </w:r>
      <w:r w:rsidR="00435E03">
        <w:rPr>
          <w:rFonts w:ascii="Times New Roman" w:hAnsi="Times New Roman"/>
          <w:sz w:val="24"/>
          <w:szCs w:val="24"/>
        </w:rPr>
        <w:t>r</w:t>
      </w:r>
      <w:r w:rsidRPr="00F70481" w:rsidR="00435E03">
        <w:rPr>
          <w:rFonts w:ascii="Times New Roman" w:hAnsi="Times New Roman"/>
          <w:sz w:val="24"/>
          <w:szCs w:val="24"/>
        </w:rPr>
        <w:t xml:space="preserve">egional </w:t>
      </w:r>
      <w:r w:rsidR="00435E03">
        <w:rPr>
          <w:rFonts w:ascii="Times New Roman" w:hAnsi="Times New Roman"/>
          <w:sz w:val="24"/>
          <w:szCs w:val="24"/>
        </w:rPr>
        <w:t>o</w:t>
      </w:r>
      <w:r w:rsidRPr="00F70481" w:rsidR="00435E03">
        <w:rPr>
          <w:rFonts w:ascii="Times New Roman" w:hAnsi="Times New Roman"/>
          <w:sz w:val="24"/>
          <w:szCs w:val="24"/>
        </w:rPr>
        <w:t>ffices</w:t>
      </w:r>
      <w:r w:rsidR="00435E03">
        <w:rPr>
          <w:rFonts w:ascii="Times New Roman" w:hAnsi="Times New Roman"/>
          <w:sz w:val="24"/>
          <w:szCs w:val="24"/>
        </w:rPr>
        <w:t xml:space="preserve"> and</w:t>
      </w:r>
      <w:r w:rsidRPr="00F70481" w:rsidR="00435E03">
        <w:rPr>
          <w:rFonts w:ascii="Times New Roman" w:hAnsi="Times New Roman"/>
          <w:sz w:val="24"/>
          <w:szCs w:val="24"/>
        </w:rPr>
        <w:t xml:space="preserve"> </w:t>
      </w:r>
      <w:r w:rsidR="00435E03">
        <w:rPr>
          <w:rFonts w:ascii="Times New Roman" w:hAnsi="Times New Roman"/>
          <w:sz w:val="24"/>
          <w:szCs w:val="24"/>
        </w:rPr>
        <w:t>provided a</w:t>
      </w:r>
      <w:r w:rsidRPr="00F70481" w:rsidR="00435E03">
        <w:rPr>
          <w:rFonts w:ascii="Times New Roman" w:hAnsi="Times New Roman"/>
          <w:sz w:val="24"/>
          <w:szCs w:val="24"/>
        </w:rPr>
        <w:t xml:space="preserve"> draft copy of the </w:t>
      </w:r>
      <w:r w:rsidRPr="00D74A57" w:rsidR="00D74A57">
        <w:rPr>
          <w:rFonts w:ascii="Times New Roman" w:hAnsi="Times New Roman"/>
          <w:iCs/>
          <w:sz w:val="24"/>
          <w:szCs w:val="24"/>
        </w:rPr>
        <w:t>revised information collection</w:t>
      </w:r>
      <w:r w:rsidR="00D74A57">
        <w:rPr>
          <w:rFonts w:ascii="Times New Roman" w:hAnsi="Times New Roman"/>
          <w:i/>
          <w:sz w:val="24"/>
          <w:szCs w:val="24"/>
        </w:rPr>
        <w:t xml:space="preserve"> </w:t>
      </w:r>
      <w:r w:rsidRPr="00F70481" w:rsidR="00435E03">
        <w:rPr>
          <w:rFonts w:ascii="Times New Roman" w:hAnsi="Times New Roman"/>
          <w:sz w:val="24"/>
          <w:szCs w:val="24"/>
        </w:rPr>
        <w:t>to share with state</w:t>
      </w:r>
      <w:r w:rsidR="00996886">
        <w:rPr>
          <w:rFonts w:ascii="Times New Roman" w:hAnsi="Times New Roman"/>
          <w:sz w:val="24"/>
          <w:szCs w:val="24"/>
        </w:rPr>
        <w:t xml:space="preserve">s. </w:t>
      </w:r>
      <w:r w:rsidRPr="00F70481" w:rsidR="00435E03">
        <w:rPr>
          <w:rFonts w:ascii="Times New Roman" w:hAnsi="Times New Roman"/>
          <w:sz w:val="24"/>
          <w:szCs w:val="24"/>
        </w:rPr>
        <w:t xml:space="preserve"> </w:t>
      </w:r>
    </w:p>
    <w:p w:rsidR="00137F02" w:rsidP="008E76DA" w:rsidRDefault="00137F02" w14:paraId="4BD95E7B" w14:textId="77777777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</w:p>
    <w:p w:rsidR="008E76DA" w:rsidP="008E76DA" w:rsidRDefault="00137F02" w14:paraId="11B29959" w14:textId="0D86AA8A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Finally, f</w:t>
      </w:r>
      <w:r w:rsidRPr="001B347D">
        <w:rPr>
          <w:rFonts w:ascii="Times New Roman" w:hAnsi="Times New Roman"/>
          <w:sz w:val="24"/>
          <w:szCs w:val="24"/>
        </w:rPr>
        <w:t>eedback</w:t>
      </w:r>
      <w:r w:rsidRPr="002E3620"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>s</w:t>
      </w:r>
      <w:r w:rsidRPr="00374E7B">
        <w:rPr>
          <w:rFonts w:ascii="Times New Roman" w:hAnsi="Times New Roman"/>
          <w:sz w:val="24"/>
          <w:szCs w:val="24"/>
        </w:rPr>
        <w:t xml:space="preserve">tates and technical assistance providers during the last </w:t>
      </w:r>
      <w:r>
        <w:rPr>
          <w:rFonts w:ascii="Times New Roman" w:hAnsi="Times New Roman"/>
          <w:sz w:val="24"/>
          <w:szCs w:val="24"/>
        </w:rPr>
        <w:t xml:space="preserve">three-year </w:t>
      </w:r>
      <w:r w:rsidRPr="00374E7B">
        <w:rPr>
          <w:rFonts w:ascii="Times New Roman" w:hAnsi="Times New Roman"/>
          <w:sz w:val="24"/>
          <w:szCs w:val="24"/>
        </w:rPr>
        <w:t xml:space="preserve">cycle of </w:t>
      </w:r>
      <w:r>
        <w:rPr>
          <w:rFonts w:ascii="Times New Roman" w:hAnsi="Times New Roman"/>
          <w:sz w:val="24"/>
          <w:szCs w:val="24"/>
        </w:rPr>
        <w:t>error rate</w:t>
      </w:r>
      <w:r w:rsidRPr="001B347D">
        <w:rPr>
          <w:rFonts w:ascii="Times New Roman" w:hAnsi="Times New Roman"/>
          <w:sz w:val="24"/>
          <w:szCs w:val="24"/>
        </w:rPr>
        <w:t xml:space="preserve"> reviews has informed the minor </w:t>
      </w:r>
      <w:r>
        <w:rPr>
          <w:rFonts w:ascii="Times New Roman" w:hAnsi="Times New Roman"/>
          <w:sz w:val="24"/>
          <w:szCs w:val="24"/>
        </w:rPr>
        <w:t xml:space="preserve">proposed </w:t>
      </w:r>
      <w:r w:rsidRPr="001B347D">
        <w:rPr>
          <w:rFonts w:ascii="Times New Roman" w:hAnsi="Times New Roman"/>
          <w:sz w:val="24"/>
          <w:szCs w:val="24"/>
        </w:rPr>
        <w:t>revisions</w:t>
      </w:r>
      <w:r>
        <w:rPr>
          <w:rFonts w:ascii="Times New Roman" w:hAnsi="Times New Roman"/>
          <w:sz w:val="24"/>
          <w:szCs w:val="24"/>
        </w:rPr>
        <w:t xml:space="preserve"> to this data collection.</w:t>
      </w:r>
      <w:r w:rsidRPr="00C770BA"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</w:p>
    <w:p w:rsidRPr="004F7B95" w:rsidR="007928E3" w:rsidP="00850D6F" w:rsidRDefault="007928E3" w14:paraId="0E6EC74B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F80065" w:rsidR="00D60543" w:rsidP="00622554" w:rsidRDefault="002C3C4F" w14:paraId="07EE3689" w14:textId="2D97B999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022586" w:rsidRDefault="00CA2169" w14:paraId="58AEE861" w14:textId="1F0319F1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No payments o</w:t>
      </w:r>
      <w:r w:rsidR="002E23AB">
        <w:rPr>
          <w:rFonts w:ascii="Times New Roman" w:hAnsi="Times New Roman"/>
          <w:snapToGrid/>
          <w:sz w:val="24"/>
          <w:szCs w:val="24"/>
        </w:rPr>
        <w:t xml:space="preserve">r gifts are provided to respondents. </w:t>
      </w:r>
    </w:p>
    <w:p w:rsidRPr="004F7B95" w:rsidR="00D60543" w:rsidP="003960FA" w:rsidRDefault="00D60543" w14:paraId="62113040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622554" w:rsidR="00A04EF3" w:rsidP="003960FA" w:rsidRDefault="002C3C4F" w14:paraId="4AC5F4AB" w14:textId="1353C33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Pr="004F7B95" w:rsidR="00D60543" w:rsidP="003205FE" w:rsidRDefault="00A74A36" w14:paraId="1C82E036" w14:textId="70F030E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A74A36">
        <w:rPr>
          <w:rFonts w:ascii="Times New Roman" w:hAnsi="Times New Roman"/>
          <w:color w:val="000000"/>
          <w:sz w:val="24"/>
          <w:szCs w:val="24"/>
        </w:rPr>
        <w:t xml:space="preserve">This information collection does not </w:t>
      </w:r>
      <w:r w:rsidR="003609AB">
        <w:rPr>
          <w:rFonts w:ascii="Times New Roman" w:hAnsi="Times New Roman"/>
          <w:color w:val="000000"/>
          <w:sz w:val="24"/>
          <w:szCs w:val="24"/>
        </w:rPr>
        <w:t>collect information of a con</w:t>
      </w:r>
      <w:r w:rsidR="005A5A19">
        <w:rPr>
          <w:rFonts w:ascii="Times New Roman" w:hAnsi="Times New Roman"/>
          <w:color w:val="000000"/>
          <w:sz w:val="24"/>
          <w:szCs w:val="24"/>
        </w:rPr>
        <w:t xml:space="preserve">fidential </w:t>
      </w:r>
      <w:r w:rsidR="003609AB">
        <w:rPr>
          <w:rFonts w:ascii="Times New Roman" w:hAnsi="Times New Roman"/>
          <w:color w:val="000000"/>
          <w:sz w:val="24"/>
          <w:szCs w:val="24"/>
        </w:rPr>
        <w:t>nature</w:t>
      </w:r>
      <w:r w:rsidR="005A5A19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3609AB">
        <w:rPr>
          <w:rFonts w:ascii="Times New Roman" w:hAnsi="Times New Roman"/>
          <w:color w:val="000000"/>
          <w:sz w:val="24"/>
          <w:szCs w:val="24"/>
        </w:rPr>
        <w:t>there</w:t>
      </w:r>
      <w:r w:rsidR="005A5A19">
        <w:rPr>
          <w:rFonts w:ascii="Times New Roman" w:hAnsi="Times New Roman"/>
          <w:color w:val="000000"/>
          <w:sz w:val="24"/>
          <w:szCs w:val="24"/>
        </w:rPr>
        <w:t>fore</w:t>
      </w:r>
      <w:r w:rsidR="003609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5A19">
        <w:rPr>
          <w:rFonts w:ascii="Times New Roman" w:hAnsi="Times New Roman"/>
          <w:color w:val="000000"/>
          <w:sz w:val="24"/>
          <w:szCs w:val="24"/>
        </w:rPr>
        <w:t xml:space="preserve">does not </w:t>
      </w:r>
      <w:r w:rsidRPr="00A74A36">
        <w:rPr>
          <w:rFonts w:ascii="Times New Roman" w:hAnsi="Times New Roman"/>
          <w:color w:val="000000"/>
          <w:sz w:val="24"/>
          <w:szCs w:val="24"/>
        </w:rPr>
        <w:t>require any assurance of confidentiality.</w:t>
      </w:r>
    </w:p>
    <w:p w:rsidR="00055D6D" w:rsidP="00055D6D" w:rsidRDefault="00055D6D" w14:paraId="1D459008" w14:textId="77777777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Pr="003960FA" w:rsidR="00CB1A12" w:rsidP="003960FA" w:rsidRDefault="002C3C4F" w14:paraId="4BEEA08B" w14:textId="7971C954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DE529D" w:rsidP="00FD5E47" w:rsidRDefault="00A01B2D" w14:paraId="597B7A37" w14:textId="13923095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A01B2D">
        <w:rPr>
          <w:rFonts w:ascii="Times New Roman" w:hAnsi="Times New Roman"/>
          <w:color w:val="000000"/>
          <w:sz w:val="24"/>
          <w:szCs w:val="24"/>
        </w:rPr>
        <w:t xml:space="preserve">This data collection does not </w:t>
      </w:r>
      <w:r w:rsidR="002E23AB">
        <w:rPr>
          <w:rFonts w:ascii="Times New Roman" w:hAnsi="Times New Roman"/>
          <w:color w:val="000000"/>
          <w:sz w:val="24"/>
          <w:szCs w:val="24"/>
        </w:rPr>
        <w:t>include</w:t>
      </w:r>
      <w:r w:rsidRPr="00A01B2D">
        <w:rPr>
          <w:rFonts w:ascii="Times New Roman" w:hAnsi="Times New Roman"/>
          <w:color w:val="000000"/>
          <w:sz w:val="24"/>
          <w:szCs w:val="24"/>
        </w:rPr>
        <w:t xml:space="preserve"> questions of a sensitive nature.</w:t>
      </w:r>
    </w:p>
    <w:p w:rsidRPr="004F7B95" w:rsidR="00DE529D" w:rsidP="0051278C" w:rsidRDefault="00DE529D" w14:paraId="710C7355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DE529D" w:rsidRDefault="002C3C4F" w14:paraId="05B17E8A" w14:textId="6A6F6FD0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0D7360" w:rsidP="001538AB" w:rsidRDefault="00614089" w14:paraId="78EEC0CB" w14:textId="07AE459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S</w:t>
      </w:r>
      <w:r w:rsidR="00BA502D">
        <w:rPr>
          <w:rFonts w:ascii="Times New Roman" w:hAnsi="Times New Roman"/>
          <w:snapToGrid/>
          <w:sz w:val="24"/>
          <w:szCs w:val="24"/>
        </w:rPr>
        <w:t>tate</w:t>
      </w:r>
      <w:r w:rsidR="00774756">
        <w:rPr>
          <w:rFonts w:ascii="Times New Roman" w:hAnsi="Times New Roman"/>
          <w:snapToGrid/>
          <w:sz w:val="24"/>
          <w:szCs w:val="24"/>
        </w:rPr>
        <w:t>s</w:t>
      </w:r>
      <w:r w:rsidR="00BA502D">
        <w:rPr>
          <w:rFonts w:ascii="Times New Roman" w:hAnsi="Times New Roman"/>
          <w:snapToGrid/>
          <w:sz w:val="24"/>
          <w:szCs w:val="24"/>
        </w:rPr>
        <w:t>, the District of Columbia, and Puerto Rico complete</w:t>
      </w:r>
      <w:r w:rsidR="00774756">
        <w:rPr>
          <w:rFonts w:ascii="Times New Roman" w:hAnsi="Times New Roman"/>
          <w:snapToGrid/>
          <w:sz w:val="24"/>
          <w:szCs w:val="24"/>
        </w:rPr>
        <w:t xml:space="preserve"> the error rate review every three years on a rotational cycle. </w:t>
      </w:r>
      <w:r w:rsidR="00D75181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O</w:t>
      </w:r>
      <w:r w:rsidR="000D7360">
        <w:rPr>
          <w:rFonts w:ascii="Times New Roman" w:hAnsi="Times New Roman"/>
          <w:snapToGrid/>
          <w:sz w:val="24"/>
          <w:szCs w:val="24"/>
        </w:rPr>
        <w:t xml:space="preserve">ver a three-year period, </w:t>
      </w:r>
      <w:r>
        <w:rPr>
          <w:rFonts w:ascii="Times New Roman" w:hAnsi="Times New Roman"/>
          <w:snapToGrid/>
          <w:sz w:val="24"/>
          <w:szCs w:val="24"/>
        </w:rPr>
        <w:t xml:space="preserve">each </w:t>
      </w:r>
      <w:r w:rsidR="000D7360">
        <w:rPr>
          <w:rFonts w:ascii="Times New Roman" w:hAnsi="Times New Roman"/>
          <w:snapToGrid/>
          <w:sz w:val="24"/>
          <w:szCs w:val="24"/>
        </w:rPr>
        <w:t>submit</w:t>
      </w:r>
      <w:r>
        <w:rPr>
          <w:rFonts w:ascii="Times New Roman" w:hAnsi="Times New Roman"/>
          <w:snapToGrid/>
          <w:sz w:val="24"/>
          <w:szCs w:val="24"/>
        </w:rPr>
        <w:t>s</w:t>
      </w:r>
      <w:r w:rsidR="000D7360">
        <w:rPr>
          <w:rFonts w:ascii="Times New Roman" w:hAnsi="Times New Roman"/>
          <w:snapToGrid/>
          <w:sz w:val="24"/>
          <w:szCs w:val="24"/>
        </w:rPr>
        <w:t xml:space="preserve"> one response to this request. The states, </w:t>
      </w:r>
      <w:r w:rsidRPr="002E3620" w:rsidR="000D7360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District of Columbia, and Puerto Rico</w:t>
      </w:r>
      <w:r w:rsidR="000D7360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have been divided into three cohorts for reporting purposes. Year one cohort consists of 18 respondents, and year two and three cohorts each consist of 17 respondents. </w:t>
      </w:r>
      <w:r w:rsidR="000D7360">
        <w:rPr>
          <w:rFonts w:ascii="Times New Roman" w:hAnsi="Times New Roman"/>
          <w:snapToGrid/>
          <w:sz w:val="24"/>
          <w:szCs w:val="24"/>
        </w:rPr>
        <w:t>Estimated time to complete the information collection is based on respondent experience and feedback to date.</w:t>
      </w:r>
      <w:r w:rsidR="00927CF9">
        <w:rPr>
          <w:rFonts w:ascii="Times New Roman" w:hAnsi="Times New Roman"/>
          <w:snapToGrid/>
          <w:sz w:val="24"/>
          <w:szCs w:val="24"/>
        </w:rPr>
        <w:t xml:space="preserve"> </w:t>
      </w:r>
      <w:r w:rsidRPr="00135B6A" w:rsidR="00927CF9">
        <w:rPr>
          <w:rFonts w:ascii="Times New Roman" w:hAnsi="Times New Roman"/>
          <w:b/>
          <w:bCs/>
          <w:snapToGrid/>
          <w:sz w:val="24"/>
          <w:szCs w:val="24"/>
        </w:rPr>
        <w:t xml:space="preserve">Note: </w:t>
      </w:r>
      <w:r w:rsidR="00927CF9">
        <w:rPr>
          <w:rFonts w:ascii="Times New Roman" w:hAnsi="Times New Roman"/>
          <w:snapToGrid/>
          <w:sz w:val="24"/>
          <w:szCs w:val="24"/>
        </w:rPr>
        <w:t xml:space="preserve">Burden shown in RegInfo.gov and that shown in </w:t>
      </w:r>
      <w:r w:rsidR="00927CF9">
        <w:rPr>
          <w:rFonts w:ascii="Times New Roman" w:hAnsi="Times New Roman"/>
          <w:snapToGrid/>
          <w:sz w:val="24"/>
          <w:szCs w:val="24"/>
        </w:rPr>
        <w:t>the following table</w:t>
      </w:r>
      <w:r w:rsidR="00927CF9">
        <w:rPr>
          <w:rFonts w:ascii="Times New Roman" w:hAnsi="Times New Roman"/>
          <w:snapToGrid/>
          <w:sz w:val="24"/>
          <w:szCs w:val="24"/>
        </w:rPr>
        <w:t xml:space="preserve"> are slightly </w:t>
      </w:r>
      <w:r w:rsidR="00927CF9">
        <w:rPr>
          <w:rFonts w:ascii="Times New Roman" w:hAnsi="Times New Roman"/>
          <w:snapToGrid/>
          <w:sz w:val="24"/>
          <w:szCs w:val="24"/>
        </w:rPr>
        <w:t xml:space="preserve">different </w:t>
      </w:r>
      <w:r w:rsidR="00927CF9">
        <w:rPr>
          <w:rFonts w:ascii="Times New Roman" w:hAnsi="Times New Roman"/>
          <w:snapToGrid/>
          <w:sz w:val="24"/>
          <w:szCs w:val="24"/>
        </w:rPr>
        <w:t>due to the automatic rounding in the online submission system (ROCIS).</w:t>
      </w:r>
    </w:p>
    <w:p w:rsidRPr="004F7B95" w:rsidR="000D7360" w:rsidP="00576DDF" w:rsidRDefault="000D7360" w14:paraId="61F427B2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tbl>
      <w:tblPr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515"/>
        <w:gridCol w:w="1350"/>
        <w:gridCol w:w="1170"/>
        <w:gridCol w:w="983"/>
        <w:gridCol w:w="996"/>
        <w:gridCol w:w="873"/>
        <w:gridCol w:w="1083"/>
        <w:gridCol w:w="1116"/>
      </w:tblGrid>
      <w:tr w:rsidRPr="004F7B95" w:rsidR="00F210CA" w:rsidTr="001538AB" w14:paraId="230FE56D" w14:textId="77777777">
        <w:trPr>
          <w:jc w:val="center"/>
        </w:trPr>
        <w:tc>
          <w:tcPr>
            <w:tcW w:w="2515" w:type="dxa"/>
            <w:shd w:val="clear" w:color="auto" w:fill="BFBFBF"/>
            <w:vAlign w:val="center"/>
          </w:tcPr>
          <w:p w:rsidRPr="00405C10" w:rsidR="00957799" w:rsidP="004110F5" w:rsidRDefault="00957799" w14:paraId="710C0652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I</w:t>
            </w:r>
            <w:r w:rsidR="004110F5">
              <w:rPr>
                <w:rFonts w:ascii="Times New Roman" w:hAnsi="Times New Roman"/>
                <w:szCs w:val="24"/>
              </w:rPr>
              <w:t>nformation Collection Title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Pr="00405C10" w:rsidR="00957799" w:rsidP="004F7B95" w:rsidRDefault="00957799" w14:paraId="755B72E5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Respondents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Pr="00405C10" w:rsidR="00957799" w:rsidP="004F7B95" w:rsidRDefault="00957799" w14:paraId="5053A5D0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Responses Per Respondent</w:t>
            </w:r>
          </w:p>
        </w:tc>
        <w:tc>
          <w:tcPr>
            <w:tcW w:w="983" w:type="dxa"/>
            <w:shd w:val="clear" w:color="auto" w:fill="BFBFBF"/>
            <w:vAlign w:val="center"/>
          </w:tcPr>
          <w:p w:rsidRPr="00405C10" w:rsidR="00957799" w:rsidP="004F7B95" w:rsidRDefault="00957799" w14:paraId="340D08A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996" w:type="dxa"/>
            <w:shd w:val="clear" w:color="auto" w:fill="BFBFBF"/>
            <w:vAlign w:val="center"/>
          </w:tcPr>
          <w:p w:rsidRPr="00405C10" w:rsidR="00957799" w:rsidP="004F7B95" w:rsidRDefault="00957799" w14:paraId="7312FF88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Burden Hours</w:t>
            </w:r>
          </w:p>
        </w:tc>
        <w:tc>
          <w:tcPr>
            <w:tcW w:w="873" w:type="dxa"/>
            <w:shd w:val="clear" w:color="auto" w:fill="BFBFBF"/>
            <w:vAlign w:val="center"/>
          </w:tcPr>
          <w:p w:rsidRPr="00405C10" w:rsidR="00957799" w:rsidP="004F7B95" w:rsidRDefault="00957799" w14:paraId="3AE1FC11" w14:textId="777777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3" w:type="dxa"/>
            <w:shd w:val="clear" w:color="auto" w:fill="BFBFBF"/>
            <w:vAlign w:val="center"/>
          </w:tcPr>
          <w:p w:rsidRPr="00405C10" w:rsidR="00957799" w:rsidP="004F7B95" w:rsidRDefault="00957799" w14:paraId="0A8FF52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1116" w:type="dxa"/>
            <w:shd w:val="clear" w:color="auto" w:fill="BFBFBF"/>
            <w:vAlign w:val="center"/>
          </w:tcPr>
          <w:p w:rsidRPr="00405C10" w:rsidR="00957799" w:rsidP="004F7B95" w:rsidRDefault="00957799" w14:paraId="4FBD0FB1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:rsidRPr="004F7B95" w:rsidR="00F210CA" w:rsidTr="001538AB" w14:paraId="5140B154" w14:textId="77777777">
        <w:trPr>
          <w:trHeight w:val="432"/>
          <w:jc w:val="center"/>
        </w:trPr>
        <w:tc>
          <w:tcPr>
            <w:tcW w:w="2515" w:type="dxa"/>
            <w:vAlign w:val="center"/>
          </w:tcPr>
          <w:p w:rsidRPr="00405C10" w:rsidR="00FA196B" w:rsidP="004F7B95" w:rsidRDefault="002C11F2" w14:paraId="33E13E32" w14:textId="364BD49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Sampling Decisions, Assurances, and Fieldwork Preparation Plan (Attachment 1)</w:t>
            </w:r>
          </w:p>
        </w:tc>
        <w:tc>
          <w:tcPr>
            <w:tcW w:w="1350" w:type="dxa"/>
            <w:vAlign w:val="center"/>
          </w:tcPr>
          <w:p w:rsidRPr="00405C10" w:rsidR="00957799" w:rsidP="000D7360" w:rsidRDefault="00C13D90" w14:paraId="631BD576" w14:textId="7EBA036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576DDF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170" w:type="dxa"/>
            <w:vAlign w:val="center"/>
          </w:tcPr>
          <w:p w:rsidRPr="00405C10" w:rsidR="00957799" w:rsidP="000D7360" w:rsidRDefault="00636F10" w14:paraId="3DD8ECC7" w14:textId="52B75B4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Pr="00405C10" w:rsidR="00957799" w:rsidP="000D7360" w:rsidRDefault="00636F10" w14:paraId="46007120" w14:textId="7956472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996" w:type="dxa"/>
            <w:vAlign w:val="center"/>
          </w:tcPr>
          <w:p w:rsidRPr="00405C10" w:rsidR="00957799" w:rsidP="000D7360" w:rsidRDefault="00573254" w14:paraId="1A00A282" w14:textId="2A8623C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5,512</w:t>
            </w:r>
          </w:p>
        </w:tc>
        <w:tc>
          <w:tcPr>
            <w:tcW w:w="873" w:type="dxa"/>
            <w:vAlign w:val="center"/>
          </w:tcPr>
          <w:p w:rsidRPr="00405C10" w:rsidR="00957799" w:rsidP="000D7360" w:rsidRDefault="00992825" w14:paraId="25670C73" w14:textId="723D701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D0D89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837</w:t>
            </w:r>
          </w:p>
        </w:tc>
        <w:tc>
          <w:tcPr>
            <w:tcW w:w="1083" w:type="dxa"/>
            <w:vAlign w:val="center"/>
          </w:tcPr>
          <w:p w:rsidRPr="009B3E77" w:rsidR="00957799" w:rsidP="000D7360" w:rsidRDefault="009B3E77" w14:paraId="7D556C98" w14:textId="70B2EA3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9B3E77">
              <w:rPr>
                <w:rFonts w:ascii="Times New Roman" w:hAnsi="Times New Roman"/>
                <w:snapToGrid/>
              </w:rPr>
              <w:t>$</w:t>
            </w:r>
            <w:r w:rsidR="0049371C">
              <w:rPr>
                <w:rFonts w:ascii="Times New Roman" w:hAnsi="Times New Roman"/>
                <w:snapToGrid/>
              </w:rPr>
              <w:t>36.76</w:t>
            </w:r>
          </w:p>
        </w:tc>
        <w:tc>
          <w:tcPr>
            <w:tcW w:w="1116" w:type="dxa"/>
            <w:vAlign w:val="center"/>
          </w:tcPr>
          <w:p w:rsidRPr="00405C10" w:rsidR="00957799" w:rsidP="000D7360" w:rsidRDefault="009634FC" w14:paraId="5133F4BC" w14:textId="54E38FA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656839">
              <w:rPr>
                <w:rFonts w:ascii="Times New Roman" w:hAnsi="Times New Roman"/>
                <w:szCs w:val="24"/>
              </w:rPr>
              <w:t>67,528</w:t>
            </w:r>
          </w:p>
        </w:tc>
      </w:tr>
      <w:tr w:rsidRPr="004F7B95" w:rsidR="00F210CA" w:rsidTr="001538AB" w14:paraId="66E3DD67" w14:textId="77777777">
        <w:trPr>
          <w:trHeight w:val="432"/>
          <w:jc w:val="center"/>
        </w:trPr>
        <w:tc>
          <w:tcPr>
            <w:tcW w:w="2515" w:type="dxa"/>
            <w:vAlign w:val="center"/>
          </w:tcPr>
          <w:p w:rsidRPr="00405C10" w:rsidR="00FA196B" w:rsidP="004F7B95" w:rsidRDefault="002C11F2" w14:paraId="39DFC5F9" w14:textId="1627E91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Record Review Worksheet (Attachment 2)</w:t>
            </w:r>
          </w:p>
        </w:tc>
        <w:tc>
          <w:tcPr>
            <w:tcW w:w="1350" w:type="dxa"/>
            <w:vAlign w:val="center"/>
          </w:tcPr>
          <w:p w:rsidRPr="00405C10" w:rsidR="00957799" w:rsidP="000D7360" w:rsidRDefault="00C13D90" w14:paraId="58BAAEDB" w14:textId="4C50B11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576DDF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170" w:type="dxa"/>
            <w:vAlign w:val="center"/>
          </w:tcPr>
          <w:p w:rsidRPr="00405C10" w:rsidR="00957799" w:rsidP="000D7360" w:rsidRDefault="00636F10" w14:paraId="0CD2F9C1" w14:textId="3B967D4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276</w:t>
            </w:r>
          </w:p>
        </w:tc>
        <w:tc>
          <w:tcPr>
            <w:tcW w:w="983" w:type="dxa"/>
            <w:vAlign w:val="center"/>
          </w:tcPr>
          <w:p w:rsidRPr="00405C10" w:rsidR="00957799" w:rsidP="000D7360" w:rsidRDefault="00636F10" w14:paraId="14C40DB3" w14:textId="79893D2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6.33</w:t>
            </w:r>
          </w:p>
        </w:tc>
        <w:tc>
          <w:tcPr>
            <w:tcW w:w="996" w:type="dxa"/>
            <w:vAlign w:val="center"/>
          </w:tcPr>
          <w:p w:rsidRPr="00405C10" w:rsidR="00957799" w:rsidP="000D7360" w:rsidRDefault="00992825" w14:paraId="404E426D" w14:textId="1254174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90,848</w:t>
            </w:r>
          </w:p>
        </w:tc>
        <w:tc>
          <w:tcPr>
            <w:tcW w:w="873" w:type="dxa"/>
            <w:vAlign w:val="center"/>
          </w:tcPr>
          <w:p w:rsidRPr="00405C10" w:rsidR="00957799" w:rsidP="000D7360" w:rsidRDefault="00992825" w14:paraId="1557247F" w14:textId="66CE63B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30,283</w:t>
            </w:r>
          </w:p>
        </w:tc>
        <w:tc>
          <w:tcPr>
            <w:tcW w:w="1083" w:type="dxa"/>
            <w:vAlign w:val="center"/>
          </w:tcPr>
          <w:p w:rsidRPr="00405C10" w:rsidR="00957799" w:rsidP="000D7360" w:rsidRDefault="0049371C" w14:paraId="4B1FC7E5" w14:textId="2B8076C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B3E77">
              <w:rPr>
                <w:rFonts w:ascii="Times New Roman" w:hAnsi="Times New Roman"/>
                <w:snapToGrid/>
              </w:rPr>
              <w:t>$</w:t>
            </w:r>
            <w:r>
              <w:rPr>
                <w:rFonts w:ascii="Times New Roman" w:hAnsi="Times New Roman"/>
                <w:snapToGrid/>
              </w:rPr>
              <w:t>36.76</w:t>
            </w:r>
          </w:p>
        </w:tc>
        <w:tc>
          <w:tcPr>
            <w:tcW w:w="1116" w:type="dxa"/>
            <w:vAlign w:val="center"/>
          </w:tcPr>
          <w:p w:rsidRPr="00405C10" w:rsidR="00957799" w:rsidP="000D7360" w:rsidRDefault="002F6E30" w14:paraId="1D447908" w14:textId="2E2DA45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E26C4C">
              <w:rPr>
                <w:rFonts w:ascii="Times New Roman" w:hAnsi="Times New Roman"/>
                <w:szCs w:val="24"/>
              </w:rPr>
              <w:t>1,113,203</w:t>
            </w:r>
          </w:p>
        </w:tc>
      </w:tr>
      <w:tr w:rsidRPr="004F7B95" w:rsidR="00F210CA" w:rsidTr="001538AB" w14:paraId="4687345D" w14:textId="77777777">
        <w:trPr>
          <w:trHeight w:val="432"/>
          <w:jc w:val="center"/>
        </w:trPr>
        <w:tc>
          <w:tcPr>
            <w:tcW w:w="2515" w:type="dxa"/>
            <w:vAlign w:val="center"/>
          </w:tcPr>
          <w:p w:rsidRPr="00405C10" w:rsidR="00FA196B" w:rsidP="004F7B95" w:rsidRDefault="002C11F2" w14:paraId="4EB1ACC8" w14:textId="57A9D6BC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 Improper Payments Report (Attachment 3)</w:t>
            </w:r>
          </w:p>
        </w:tc>
        <w:tc>
          <w:tcPr>
            <w:tcW w:w="1350" w:type="dxa"/>
            <w:vAlign w:val="center"/>
          </w:tcPr>
          <w:p w:rsidRPr="00405C10" w:rsidR="00957799" w:rsidP="000D7360" w:rsidRDefault="00636F10" w14:paraId="113E51DF" w14:textId="7198575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576DDF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170" w:type="dxa"/>
            <w:vAlign w:val="center"/>
          </w:tcPr>
          <w:p w:rsidRPr="00405C10" w:rsidR="00957799" w:rsidP="000D7360" w:rsidRDefault="00636F10" w14:paraId="1ED789FE" w14:textId="1750759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Pr="00405C10" w:rsidR="00957799" w:rsidP="000D7360" w:rsidRDefault="00636F10" w14:paraId="4DD58EAB" w14:textId="2284752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639</w:t>
            </w:r>
          </w:p>
        </w:tc>
        <w:tc>
          <w:tcPr>
            <w:tcW w:w="996" w:type="dxa"/>
            <w:vAlign w:val="center"/>
          </w:tcPr>
          <w:p w:rsidRPr="00405C10" w:rsidR="00957799" w:rsidP="000D7360" w:rsidRDefault="006F570F" w14:paraId="14CF1535" w14:textId="67ED02B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33,228</w:t>
            </w:r>
          </w:p>
        </w:tc>
        <w:tc>
          <w:tcPr>
            <w:tcW w:w="873" w:type="dxa"/>
            <w:vAlign w:val="center"/>
          </w:tcPr>
          <w:p w:rsidRPr="00405C10" w:rsidR="00957799" w:rsidP="000D7360" w:rsidRDefault="006F570F" w14:paraId="676D58FC" w14:textId="0793987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11,076</w:t>
            </w:r>
          </w:p>
        </w:tc>
        <w:tc>
          <w:tcPr>
            <w:tcW w:w="1083" w:type="dxa"/>
            <w:vAlign w:val="center"/>
          </w:tcPr>
          <w:p w:rsidRPr="00405C10" w:rsidR="00957799" w:rsidP="000D7360" w:rsidRDefault="0049371C" w14:paraId="68FBA75E" w14:textId="554F0BF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B3E77">
              <w:rPr>
                <w:rFonts w:ascii="Times New Roman" w:hAnsi="Times New Roman"/>
                <w:snapToGrid/>
              </w:rPr>
              <w:t>$</w:t>
            </w:r>
            <w:r>
              <w:rPr>
                <w:rFonts w:ascii="Times New Roman" w:hAnsi="Times New Roman"/>
                <w:snapToGrid/>
              </w:rPr>
              <w:t>36.76</w:t>
            </w:r>
          </w:p>
        </w:tc>
        <w:tc>
          <w:tcPr>
            <w:tcW w:w="1116" w:type="dxa"/>
            <w:vAlign w:val="center"/>
          </w:tcPr>
          <w:p w:rsidRPr="00405C10" w:rsidR="00957799" w:rsidP="000D7360" w:rsidRDefault="003035FD" w14:paraId="1950A99A" w14:textId="6A7D44C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E26C4C">
              <w:rPr>
                <w:rFonts w:ascii="Times New Roman" w:hAnsi="Times New Roman"/>
                <w:szCs w:val="24"/>
              </w:rPr>
              <w:t>407</w:t>
            </w:r>
            <w:r w:rsidR="0075352A">
              <w:rPr>
                <w:rFonts w:ascii="Times New Roman" w:hAnsi="Times New Roman"/>
                <w:szCs w:val="24"/>
              </w:rPr>
              <w:t>,154</w:t>
            </w:r>
          </w:p>
        </w:tc>
      </w:tr>
      <w:tr w:rsidRPr="004F7B95" w:rsidR="00F210CA" w:rsidTr="001538AB" w14:paraId="0FF255B2" w14:textId="77777777">
        <w:trPr>
          <w:trHeight w:val="432"/>
          <w:jc w:val="center"/>
        </w:trPr>
        <w:tc>
          <w:tcPr>
            <w:tcW w:w="2515" w:type="dxa"/>
            <w:vAlign w:val="center"/>
          </w:tcPr>
          <w:p w:rsidRPr="00405C10" w:rsidR="00FA196B" w:rsidP="004F7B95" w:rsidRDefault="0020537F" w14:paraId="4BF0AF33" w14:textId="299FC0C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Corrective Action Plan (Attachment 4)</w:t>
            </w:r>
          </w:p>
        </w:tc>
        <w:tc>
          <w:tcPr>
            <w:tcW w:w="1350" w:type="dxa"/>
            <w:vAlign w:val="center"/>
          </w:tcPr>
          <w:p w:rsidRPr="00405C10" w:rsidR="00957799" w:rsidP="000D7360" w:rsidRDefault="006F570F" w14:paraId="6B7E0214" w14:textId="2AC3B8F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576DD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70" w:type="dxa"/>
            <w:vAlign w:val="center"/>
          </w:tcPr>
          <w:p w:rsidRPr="00405C10" w:rsidR="00957799" w:rsidP="000D7360" w:rsidRDefault="00636F10" w14:paraId="5C22AF34" w14:textId="58E776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4A1835">
              <w:rPr>
                <w:rStyle w:val="FootnoteReference"/>
                <w:rFonts w:ascii="Times New Roman" w:hAnsi="Times New Roman"/>
                <w:szCs w:val="24"/>
              </w:rPr>
              <w:footnoteReference w:id="2"/>
            </w:r>
          </w:p>
        </w:tc>
        <w:tc>
          <w:tcPr>
            <w:tcW w:w="983" w:type="dxa"/>
            <w:vAlign w:val="center"/>
          </w:tcPr>
          <w:p w:rsidRPr="00405C10" w:rsidR="00957799" w:rsidP="000D7360" w:rsidRDefault="00187ABB" w14:paraId="39A83422" w14:textId="6070859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156</w:t>
            </w:r>
          </w:p>
        </w:tc>
        <w:tc>
          <w:tcPr>
            <w:tcW w:w="996" w:type="dxa"/>
            <w:vAlign w:val="center"/>
          </w:tcPr>
          <w:p w:rsidRPr="00405C10" w:rsidR="00957799" w:rsidP="000D7360" w:rsidRDefault="006F570F" w14:paraId="04E4D8D1" w14:textId="263BD27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7F7B04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873" w:type="dxa"/>
            <w:vAlign w:val="center"/>
          </w:tcPr>
          <w:p w:rsidRPr="00405C10" w:rsidR="00957799" w:rsidP="000D7360" w:rsidRDefault="006F570F" w14:paraId="5A5E82F2" w14:textId="6265E27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520</w:t>
            </w:r>
          </w:p>
        </w:tc>
        <w:tc>
          <w:tcPr>
            <w:tcW w:w="1083" w:type="dxa"/>
            <w:vAlign w:val="center"/>
          </w:tcPr>
          <w:p w:rsidRPr="00405C10" w:rsidR="00957799" w:rsidP="000D7360" w:rsidRDefault="0049371C" w14:paraId="76D26084" w14:textId="713EFC0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B3E77">
              <w:rPr>
                <w:rFonts w:ascii="Times New Roman" w:hAnsi="Times New Roman"/>
                <w:snapToGrid/>
              </w:rPr>
              <w:t>$</w:t>
            </w:r>
            <w:r>
              <w:rPr>
                <w:rFonts w:ascii="Times New Roman" w:hAnsi="Times New Roman"/>
                <w:snapToGrid/>
              </w:rPr>
              <w:t>36.76</w:t>
            </w:r>
          </w:p>
        </w:tc>
        <w:tc>
          <w:tcPr>
            <w:tcW w:w="1116" w:type="dxa"/>
            <w:vAlign w:val="center"/>
          </w:tcPr>
          <w:p w:rsidRPr="00405C10" w:rsidR="00754957" w:rsidP="000D7360" w:rsidRDefault="00754957" w14:paraId="7FCDA9A7" w14:textId="1ACFC64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487979">
              <w:rPr>
                <w:rFonts w:ascii="Times New Roman" w:hAnsi="Times New Roman"/>
                <w:szCs w:val="24"/>
              </w:rPr>
              <w:t>19,115</w:t>
            </w:r>
          </w:p>
        </w:tc>
      </w:tr>
      <w:tr w:rsidRPr="004F7B95" w:rsidR="00957799" w:rsidTr="000D7360" w14:paraId="68F71184" w14:textId="77777777">
        <w:trPr>
          <w:jc w:val="center"/>
        </w:trPr>
        <w:tc>
          <w:tcPr>
            <w:tcW w:w="7014" w:type="dxa"/>
            <w:gridSpan w:val="5"/>
            <w:vAlign w:val="center"/>
          </w:tcPr>
          <w:p w:rsidRPr="00405C10" w:rsidR="00957799" w:rsidP="004F7B95" w:rsidRDefault="00957799" w14:paraId="5ECE420A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>Estimated Annual Burden T</w:t>
            </w:r>
            <w:r w:rsidRPr="00405C10" w:rsidR="00F210CA">
              <w:rPr>
                <w:rFonts w:ascii="Times New Roman" w:hAnsi="Times New Roman"/>
                <w:b/>
                <w:szCs w:val="24"/>
              </w:rPr>
              <w:t xml:space="preserve">otal: </w:t>
            </w:r>
            <w:r w:rsidRPr="00405C1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:rsidRPr="00405C10" w:rsidR="00957799" w:rsidP="00602439" w:rsidRDefault="00BB2C7B" w14:paraId="29C85233" w14:textId="30494D1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43,716</w:t>
            </w:r>
          </w:p>
        </w:tc>
        <w:tc>
          <w:tcPr>
            <w:tcW w:w="1083" w:type="dxa"/>
          </w:tcPr>
          <w:p w:rsidRPr="00405C10" w:rsidR="00957799" w:rsidP="004F7B95" w:rsidRDefault="00F210CA" w14:paraId="05063CD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 xml:space="preserve">Estimated Annual Cost Total: </w:t>
            </w:r>
          </w:p>
        </w:tc>
        <w:tc>
          <w:tcPr>
            <w:tcW w:w="1116" w:type="dxa"/>
            <w:vAlign w:val="center"/>
          </w:tcPr>
          <w:p w:rsidRPr="00405C10" w:rsidR="00957799" w:rsidP="00602439" w:rsidRDefault="004D09AA" w14:paraId="5B5863BC" w14:textId="70538A8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$</w:t>
            </w:r>
            <w:r w:rsidR="0022431C">
              <w:rPr>
                <w:rFonts w:ascii="Times New Roman" w:hAnsi="Times New Roman"/>
                <w:b/>
                <w:szCs w:val="24"/>
              </w:rPr>
              <w:t>1,607</w:t>
            </w:r>
            <w:r w:rsidR="00C82021">
              <w:rPr>
                <w:rFonts w:ascii="Times New Roman" w:hAnsi="Times New Roman"/>
                <w:b/>
                <w:szCs w:val="24"/>
              </w:rPr>
              <w:t>,000</w:t>
            </w:r>
          </w:p>
        </w:tc>
      </w:tr>
    </w:tbl>
    <w:p w:rsidRPr="000D7360" w:rsidR="00CB1A12" w:rsidP="001538AB" w:rsidRDefault="00D70361" w14:paraId="6967D635" w14:textId="53D88273">
      <w:pPr>
        <w:pStyle w:val="ListParagraph"/>
        <w:widowControl/>
        <w:numPr>
          <w:ilvl w:val="0"/>
          <w:numId w:val="24"/>
        </w:numPr>
        <w:ind w:left="180" w:hanging="180"/>
        <w:rPr>
          <w:rFonts w:ascii="Times New Roman" w:hAnsi="Times New Roman"/>
          <w:snapToGrid/>
          <w:sz w:val="24"/>
          <w:szCs w:val="24"/>
        </w:rPr>
      </w:pPr>
      <w:r w:rsidRPr="00B07E3F">
        <w:rPr>
          <w:rFonts w:ascii="Times New Roman" w:hAnsi="Times New Roman"/>
          <w:sz w:val="18"/>
          <w:szCs w:val="18"/>
        </w:rPr>
        <w:t xml:space="preserve">The total number of responses per respondent ranges from 1-3, depending on how long it takes respondents to reduce the Improper Payment Rate to below the threshold. Respondents submit a </w:t>
      </w:r>
      <w:r w:rsidRPr="00B07E3F">
        <w:rPr>
          <w:rFonts w:ascii="Times New Roman" w:hAnsi="Times New Roman"/>
          <w:i/>
          <w:iCs/>
          <w:sz w:val="18"/>
          <w:szCs w:val="18"/>
        </w:rPr>
        <w:t>Corrective Action Plan</w:t>
      </w:r>
      <w:r w:rsidRPr="00B07E3F">
        <w:rPr>
          <w:rFonts w:ascii="Times New Roman" w:hAnsi="Times New Roman"/>
          <w:sz w:val="18"/>
          <w:szCs w:val="18"/>
        </w:rPr>
        <w:t xml:space="preserve"> that covers a one-year </w:t>
      </w:r>
      <w:r w:rsidRPr="00B07E3F">
        <w:rPr>
          <w:rFonts w:ascii="Times New Roman" w:hAnsi="Times New Roman"/>
          <w:sz w:val="18"/>
          <w:szCs w:val="18"/>
        </w:rPr>
        <w:lastRenderedPageBreak/>
        <w:t xml:space="preserve">period; at the end of each year, if respondents have not reduced the Improper Payment Rate to below the threshold, they submit a new </w:t>
      </w:r>
      <w:r w:rsidRPr="00B07E3F">
        <w:rPr>
          <w:rFonts w:ascii="Times New Roman" w:hAnsi="Times New Roman"/>
          <w:i/>
          <w:iCs/>
          <w:sz w:val="18"/>
          <w:szCs w:val="18"/>
        </w:rPr>
        <w:t>Corrective Action Plan</w:t>
      </w:r>
      <w:r w:rsidRPr="00B07E3F">
        <w:rPr>
          <w:rFonts w:ascii="Times New Roman" w:hAnsi="Times New Roman"/>
          <w:sz w:val="18"/>
          <w:szCs w:val="18"/>
        </w:rPr>
        <w:t xml:space="preserve"> for the following year. An average of 2 responses per respondent is used to calculate annual burden estimates</w:t>
      </w:r>
    </w:p>
    <w:p w:rsidRPr="004F7B95" w:rsidR="004602FE" w:rsidP="00DE529D" w:rsidRDefault="004602FE" w14:paraId="4F91A69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EC26A5" w:rsidR="00E550DC" w:rsidP="00DE529D" w:rsidRDefault="008F7221" w14:paraId="4C063C21" w14:textId="4FF53694">
      <w:pPr>
        <w:widowControl/>
        <w:ind w:left="360"/>
        <w:rPr>
          <w:rFonts w:ascii="Times New Roman" w:hAnsi="Times New Roman"/>
          <w:snapToGrid/>
          <w:sz w:val="32"/>
          <w:szCs w:val="24"/>
        </w:rPr>
      </w:pPr>
      <w:r w:rsidRPr="00EC26A5">
        <w:rPr>
          <w:rFonts w:ascii="Times New Roman" w:hAnsi="Times New Roman"/>
          <w:sz w:val="24"/>
          <w:szCs w:val="24"/>
        </w:rPr>
        <w:t xml:space="preserve">The cost to respondents was calculated using the Bureau of Labor Statistics (BLS) </w:t>
      </w:r>
      <w:r w:rsidRPr="00EC26A5" w:rsidR="00E368FB">
        <w:rPr>
          <w:rFonts w:ascii="Times New Roman" w:hAnsi="Times New Roman"/>
          <w:snapToGrid/>
          <w:sz w:val="24"/>
          <w:szCs w:val="24"/>
        </w:rPr>
        <w:t xml:space="preserve">job code </w:t>
      </w:r>
      <w:r w:rsidRPr="00EC26A5">
        <w:rPr>
          <w:rFonts w:ascii="Times New Roman" w:hAnsi="Times New Roman"/>
          <w:snapToGrid/>
          <w:sz w:val="24"/>
          <w:szCs w:val="24"/>
        </w:rPr>
        <w:t>for Social and Human Services Assistants [</w:t>
      </w:r>
      <w:r w:rsidRPr="00EC26A5" w:rsidR="00E368FB">
        <w:rPr>
          <w:rFonts w:ascii="Times New Roman" w:hAnsi="Times New Roman"/>
          <w:snapToGrid/>
          <w:sz w:val="24"/>
          <w:szCs w:val="24"/>
        </w:rPr>
        <w:t>21-1093</w:t>
      </w:r>
      <w:r w:rsidRPr="00EC26A5">
        <w:rPr>
          <w:rFonts w:ascii="Times New Roman" w:hAnsi="Times New Roman"/>
          <w:snapToGrid/>
          <w:sz w:val="24"/>
          <w:szCs w:val="24"/>
        </w:rPr>
        <w:t>]</w:t>
      </w:r>
      <w:r w:rsidRPr="00EC26A5" w:rsidR="00E368FB">
        <w:rPr>
          <w:rFonts w:ascii="Times New Roman" w:hAnsi="Times New Roman"/>
          <w:snapToGrid/>
          <w:sz w:val="24"/>
          <w:szCs w:val="24"/>
        </w:rPr>
        <w:t xml:space="preserve"> and wage data from May </w:t>
      </w:r>
      <w:r w:rsidR="002375A9">
        <w:rPr>
          <w:rFonts w:ascii="Times New Roman" w:hAnsi="Times New Roman"/>
          <w:snapToGrid/>
          <w:sz w:val="24"/>
          <w:szCs w:val="24"/>
        </w:rPr>
        <w:t>2020</w:t>
      </w:r>
      <w:r w:rsidRPr="00EC26A5">
        <w:rPr>
          <w:rFonts w:ascii="Times New Roman" w:hAnsi="Times New Roman"/>
          <w:snapToGrid/>
          <w:sz w:val="24"/>
          <w:szCs w:val="24"/>
        </w:rPr>
        <w:t>, which</w:t>
      </w:r>
      <w:r w:rsidRPr="00EC26A5" w:rsidR="00E368FB">
        <w:rPr>
          <w:rFonts w:ascii="Times New Roman" w:hAnsi="Times New Roman"/>
          <w:snapToGrid/>
          <w:sz w:val="24"/>
          <w:szCs w:val="24"/>
        </w:rPr>
        <w:t xml:space="preserve"> is $</w:t>
      </w:r>
      <w:r w:rsidR="00A20A8C">
        <w:rPr>
          <w:rFonts w:ascii="Times New Roman" w:hAnsi="Times New Roman"/>
          <w:snapToGrid/>
          <w:sz w:val="24"/>
          <w:szCs w:val="24"/>
        </w:rPr>
        <w:t>18.38</w:t>
      </w:r>
      <w:r w:rsidR="00804EEB">
        <w:rPr>
          <w:rFonts w:ascii="Times New Roman" w:hAnsi="Times New Roman"/>
          <w:snapToGrid/>
          <w:sz w:val="24"/>
          <w:szCs w:val="24"/>
        </w:rPr>
        <w:t xml:space="preserve"> </w:t>
      </w:r>
      <w:r w:rsidRPr="00EC26A5" w:rsidR="00E368FB">
        <w:rPr>
          <w:rFonts w:ascii="Times New Roman" w:hAnsi="Times New Roman"/>
          <w:snapToGrid/>
          <w:sz w:val="24"/>
          <w:szCs w:val="24"/>
        </w:rPr>
        <w:t>per hour.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T</w:t>
      </w:r>
      <w:r w:rsidRPr="00EC26A5" w:rsidR="007A0FBE">
        <w:rPr>
          <w:rFonts w:ascii="Times New Roman" w:hAnsi="Times New Roman"/>
          <w:snapToGrid/>
          <w:sz w:val="24"/>
          <w:szCs w:val="24"/>
        </w:rPr>
        <w:t xml:space="preserve">o account for fringe </w:t>
      </w:r>
      <w:r w:rsidRPr="00EC26A5">
        <w:rPr>
          <w:rFonts w:ascii="Times New Roman" w:hAnsi="Times New Roman"/>
          <w:snapToGrid/>
          <w:sz w:val="24"/>
          <w:szCs w:val="24"/>
        </w:rPr>
        <w:t>benefits and overhead the rate wa</w:t>
      </w:r>
      <w:r w:rsidRPr="00EC26A5" w:rsidR="007A0FBE">
        <w:rPr>
          <w:rFonts w:ascii="Times New Roman" w:hAnsi="Times New Roman"/>
          <w:snapToGrid/>
          <w:sz w:val="24"/>
          <w:szCs w:val="24"/>
        </w:rPr>
        <w:t>s multiplied by two</w:t>
      </w:r>
      <w:r w:rsidRPr="00EC26A5" w:rsidR="00E368FB">
        <w:rPr>
          <w:rFonts w:ascii="Times New Roman" w:hAnsi="Times New Roman"/>
          <w:snapToGrid/>
          <w:sz w:val="24"/>
          <w:szCs w:val="24"/>
        </w:rPr>
        <w:t xml:space="preserve"> which is $</w:t>
      </w:r>
      <w:r w:rsidR="00870254">
        <w:rPr>
          <w:rFonts w:ascii="Times New Roman" w:hAnsi="Times New Roman"/>
          <w:snapToGrid/>
          <w:sz w:val="24"/>
          <w:szCs w:val="24"/>
        </w:rPr>
        <w:t>36.76</w:t>
      </w:r>
      <w:r w:rsidRPr="00EC26A5" w:rsidR="00E368FB">
        <w:rPr>
          <w:rFonts w:ascii="Times New Roman" w:hAnsi="Times New Roman"/>
          <w:snapToGrid/>
          <w:sz w:val="24"/>
          <w:szCs w:val="24"/>
        </w:rPr>
        <w:t>.</w:t>
      </w:r>
      <w:r w:rsidRPr="00EC26A5" w:rsidR="007A0FBE">
        <w:rPr>
          <w:rFonts w:ascii="Times New Roman" w:hAnsi="Times New Roman"/>
          <w:snapToGrid/>
          <w:sz w:val="24"/>
          <w:szCs w:val="24"/>
        </w:rPr>
        <w:t xml:space="preserve">  </w:t>
      </w:r>
      <w:hyperlink w:history="1" r:id="rId11">
        <w:r w:rsidRPr="006C79B5" w:rsidR="00C10409">
          <w:rPr>
            <w:rStyle w:val="Hyperlink"/>
            <w:rFonts w:ascii="Times New Roman" w:hAnsi="Times New Roman"/>
            <w:sz w:val="24"/>
          </w:rPr>
          <w:t>https://www.bls.gov/oes/current/oes_stru.htm</w:t>
        </w:r>
      </w:hyperlink>
      <w:r w:rsidRPr="00EC26A5" w:rsidR="00EC26A5">
        <w:rPr>
          <w:rFonts w:ascii="Times New Roman" w:hAnsi="Times New Roman"/>
          <w:sz w:val="24"/>
        </w:rPr>
        <w:t xml:space="preserve"> </w:t>
      </w:r>
    </w:p>
    <w:p w:rsidRPr="004F7B95" w:rsidR="00D60543" w:rsidP="00576DDF" w:rsidRDefault="00D60543" w14:paraId="344EF814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075889" w:rsidR="00D60543" w:rsidP="00075889" w:rsidRDefault="002C3C4F" w14:paraId="548FE903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D60543" w:rsidP="00565240" w:rsidRDefault="00556701" w14:paraId="0BE3C51C" w14:textId="6B00337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556701">
        <w:rPr>
          <w:rFonts w:ascii="Times New Roman" w:hAnsi="Times New Roman"/>
          <w:color w:val="000000"/>
          <w:sz w:val="24"/>
          <w:szCs w:val="24"/>
        </w:rPr>
        <w:t xml:space="preserve">There are no </w:t>
      </w:r>
      <w:r w:rsidR="00B17FE0">
        <w:rPr>
          <w:rFonts w:ascii="Times New Roman" w:hAnsi="Times New Roman"/>
          <w:color w:val="000000"/>
          <w:sz w:val="24"/>
          <w:szCs w:val="24"/>
        </w:rPr>
        <w:t xml:space="preserve">other </w:t>
      </w:r>
      <w:r w:rsidRPr="00556701">
        <w:rPr>
          <w:rFonts w:ascii="Times New Roman" w:hAnsi="Times New Roman"/>
          <w:color w:val="000000"/>
          <w:sz w:val="24"/>
          <w:szCs w:val="24"/>
        </w:rPr>
        <w:t xml:space="preserve">direct </w:t>
      </w:r>
      <w:r w:rsidRPr="00556701" w:rsidR="00B17FE0">
        <w:rPr>
          <w:rFonts w:ascii="Times New Roman" w:hAnsi="Times New Roman"/>
          <w:color w:val="000000"/>
          <w:sz w:val="24"/>
          <w:szCs w:val="24"/>
        </w:rPr>
        <w:t xml:space="preserve">required </w:t>
      </w:r>
      <w:r w:rsidRPr="00556701">
        <w:rPr>
          <w:rFonts w:ascii="Times New Roman" w:hAnsi="Times New Roman"/>
          <w:color w:val="000000"/>
          <w:sz w:val="24"/>
          <w:szCs w:val="24"/>
        </w:rPr>
        <w:t>monetary costs to respondents to participate in this data collection effort.</w:t>
      </w:r>
    </w:p>
    <w:p w:rsidR="00565240" w:rsidP="00565240" w:rsidRDefault="00565240" w14:paraId="2B102F31" w14:textId="77777777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7935D5" w:rsidP="00E95DEE" w:rsidRDefault="004602FE" w14:paraId="6B09616D" w14:textId="1558C904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A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Pr="00E95DEE" w:rsidR="00565240" w:rsidP="00565240" w:rsidRDefault="00565240" w14:paraId="0A2454B4" w14:textId="2ED24459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annual costs to the Federal government are projected as follows: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925"/>
        <w:gridCol w:w="1710"/>
      </w:tblGrid>
      <w:tr w:rsidR="003734AF" w:rsidTr="0082273E" w14:paraId="0C70C9A3" w14:textId="77777777">
        <w:tc>
          <w:tcPr>
            <w:tcW w:w="6925" w:type="dxa"/>
            <w:shd w:val="clear" w:color="auto" w:fill="FFFFFF" w:themeFill="background1"/>
          </w:tcPr>
          <w:p w:rsidRPr="005858A9" w:rsidR="000F1408" w:rsidP="005858A9" w:rsidRDefault="000F1408" w14:paraId="70732F0D" w14:textId="1FBC4967">
            <w:pPr>
              <w:widowControl/>
              <w:spacing w:after="120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5858A9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Task</w:t>
            </w:r>
            <w:r w:rsidR="00D54269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(over three-year </w:t>
            </w:r>
            <w:r w:rsidR="00EB395B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DCI </w:t>
            </w:r>
            <w:r w:rsidR="00D54269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project cycle)</w:t>
            </w:r>
          </w:p>
        </w:tc>
        <w:tc>
          <w:tcPr>
            <w:tcW w:w="1710" w:type="dxa"/>
            <w:shd w:val="clear" w:color="auto" w:fill="FFFFFF" w:themeFill="background1"/>
          </w:tcPr>
          <w:p w:rsidRPr="005858A9" w:rsidR="000F1408" w:rsidP="00DE529D" w:rsidRDefault="000F1408" w14:paraId="0DE1045B" w14:textId="7622E53C">
            <w:pPr>
              <w:widowControl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5858A9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Cost</w:t>
            </w:r>
          </w:p>
        </w:tc>
      </w:tr>
      <w:tr w:rsidR="003734AF" w:rsidTr="0082273E" w14:paraId="65F375D7" w14:textId="77777777">
        <w:tc>
          <w:tcPr>
            <w:tcW w:w="6925" w:type="dxa"/>
            <w:shd w:val="clear" w:color="auto" w:fill="auto"/>
          </w:tcPr>
          <w:p w:rsidRPr="005858A9" w:rsidR="006228E6" w:rsidP="000F1408" w:rsidRDefault="006228E6" w14:paraId="77CC4A76" w14:textId="41DD5C60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5858A9">
              <w:rPr>
                <w:rFonts w:ascii="Times New Roman" w:hAnsi="Times New Roman"/>
                <w:snapToGrid/>
                <w:sz w:val="24"/>
                <w:szCs w:val="24"/>
              </w:rPr>
              <w:t xml:space="preserve">Contractor support: </w:t>
            </w:r>
          </w:p>
          <w:p w:rsidR="00396608" w:rsidP="0082273E" w:rsidRDefault="000F1408" w14:paraId="6074AE09" w14:textId="77777777">
            <w:pPr>
              <w:pStyle w:val="ListParagraph"/>
              <w:widowControl/>
              <w:numPr>
                <w:ilvl w:val="0"/>
                <w:numId w:val="27"/>
              </w:numPr>
              <w:ind w:left="648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396608">
              <w:rPr>
                <w:rFonts w:ascii="Times New Roman" w:hAnsi="Times New Roman"/>
                <w:snapToGrid/>
                <w:sz w:val="24"/>
                <w:szCs w:val="24"/>
              </w:rPr>
              <w:t xml:space="preserve">Training and </w:t>
            </w:r>
            <w:r w:rsidRPr="00396608" w:rsidR="006228E6">
              <w:rPr>
                <w:rFonts w:ascii="Times New Roman" w:hAnsi="Times New Roman"/>
                <w:snapToGrid/>
                <w:sz w:val="24"/>
                <w:szCs w:val="24"/>
              </w:rPr>
              <w:t>t</w:t>
            </w:r>
            <w:r w:rsidRPr="00396608">
              <w:rPr>
                <w:rFonts w:ascii="Times New Roman" w:hAnsi="Times New Roman"/>
                <w:snapToGrid/>
                <w:sz w:val="24"/>
                <w:szCs w:val="24"/>
              </w:rPr>
              <w:t xml:space="preserve">echnical </w:t>
            </w:r>
            <w:r w:rsidRPr="00396608" w:rsidR="006228E6">
              <w:rPr>
                <w:rFonts w:ascii="Times New Roman" w:hAnsi="Times New Roman"/>
                <w:snapToGrid/>
                <w:sz w:val="24"/>
                <w:szCs w:val="24"/>
              </w:rPr>
              <w:t>a</w:t>
            </w:r>
            <w:r w:rsidRPr="00396608">
              <w:rPr>
                <w:rFonts w:ascii="Times New Roman" w:hAnsi="Times New Roman"/>
                <w:snapToGrid/>
                <w:sz w:val="24"/>
                <w:szCs w:val="24"/>
              </w:rPr>
              <w:t xml:space="preserve">ssistance to </w:t>
            </w:r>
            <w:r w:rsidRPr="00396608" w:rsidR="00AD16C8">
              <w:rPr>
                <w:rFonts w:ascii="Times New Roman" w:hAnsi="Times New Roman"/>
                <w:snapToGrid/>
                <w:sz w:val="24"/>
                <w:szCs w:val="24"/>
              </w:rPr>
              <w:t>S</w:t>
            </w:r>
            <w:r w:rsidRPr="00396608">
              <w:rPr>
                <w:rFonts w:ascii="Times New Roman" w:hAnsi="Times New Roman"/>
                <w:snapToGrid/>
                <w:sz w:val="24"/>
                <w:szCs w:val="24"/>
              </w:rPr>
              <w:t xml:space="preserve">tates </w:t>
            </w:r>
            <w:r w:rsidRPr="00396608" w:rsidR="00373A9B">
              <w:rPr>
                <w:rFonts w:ascii="Times New Roman" w:hAnsi="Times New Roman"/>
                <w:snapToGrid/>
                <w:sz w:val="24"/>
                <w:szCs w:val="24"/>
              </w:rPr>
              <w:t>to implement</w:t>
            </w:r>
            <w:r w:rsidRPr="00396608">
              <w:rPr>
                <w:rFonts w:ascii="Times New Roman" w:hAnsi="Times New Roman"/>
                <w:snapToGrid/>
                <w:sz w:val="24"/>
                <w:szCs w:val="24"/>
              </w:rPr>
              <w:t xml:space="preserve"> the data collection methodology</w:t>
            </w:r>
          </w:p>
          <w:p w:rsidRPr="00D803EA" w:rsidR="005858A9" w:rsidP="00D803EA" w:rsidRDefault="000F1408" w14:paraId="5DF43CFE" w14:textId="72519832">
            <w:pPr>
              <w:pStyle w:val="ListParagraph"/>
              <w:widowControl/>
              <w:numPr>
                <w:ilvl w:val="0"/>
                <w:numId w:val="27"/>
              </w:numPr>
              <w:spacing w:after="120"/>
              <w:ind w:left="648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396608">
              <w:rPr>
                <w:rFonts w:ascii="Times New Roman" w:hAnsi="Times New Roman"/>
                <w:snapToGrid/>
                <w:sz w:val="24"/>
                <w:szCs w:val="24"/>
              </w:rPr>
              <w:t xml:space="preserve">Data analysis and national-level report preparation </w:t>
            </w:r>
          </w:p>
        </w:tc>
        <w:tc>
          <w:tcPr>
            <w:tcW w:w="1710" w:type="dxa"/>
            <w:shd w:val="clear" w:color="auto" w:fill="FFFFFF" w:themeFill="background1"/>
          </w:tcPr>
          <w:p w:rsidRPr="005858A9" w:rsidR="000F1408" w:rsidP="00DE529D" w:rsidRDefault="00D54269" w14:paraId="7DD4C0C0" w14:textId="07135A1F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$344,478</w:t>
            </w:r>
          </w:p>
        </w:tc>
      </w:tr>
      <w:tr w:rsidR="003734AF" w:rsidTr="0082273E" w14:paraId="279A1DC6" w14:textId="77777777">
        <w:trPr>
          <w:trHeight w:val="710"/>
        </w:trPr>
        <w:tc>
          <w:tcPr>
            <w:tcW w:w="6925" w:type="dxa"/>
            <w:shd w:val="clear" w:color="auto" w:fill="auto"/>
          </w:tcPr>
          <w:p w:rsidRPr="00D803EA" w:rsidR="00D803EA" w:rsidP="00D803EA" w:rsidRDefault="006228E6" w14:paraId="47FCAF1E" w14:textId="0736A80B">
            <w:pPr>
              <w:widowControl/>
              <w:spacing w:after="12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008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OCC </w:t>
            </w:r>
            <w:r w:rsidRPr="00EF0082" w:rsidR="00EF008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Central Office and Regional Office </w:t>
            </w:r>
            <w:r w:rsidRPr="00EF0082" w:rsidR="007E347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EF008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taff</w:t>
            </w:r>
            <w:r w:rsidRPr="00EF0082" w:rsidR="005858A9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0082" w:rsidR="0010060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EF008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versight of the required data collection process</w:t>
            </w:r>
            <w:r w:rsidR="00055D7E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including review and approval of data collection forms </w:t>
            </w:r>
          </w:p>
        </w:tc>
        <w:tc>
          <w:tcPr>
            <w:tcW w:w="1710" w:type="dxa"/>
            <w:shd w:val="clear" w:color="auto" w:fill="FFFFFF" w:themeFill="background1"/>
          </w:tcPr>
          <w:p w:rsidRPr="005858A9" w:rsidR="000F1408" w:rsidP="00DE529D" w:rsidRDefault="005858A9" w14:paraId="43D6EEF6" w14:textId="4330D9AA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5858A9">
              <w:rPr>
                <w:rFonts w:ascii="Times New Roman" w:hAnsi="Times New Roman"/>
                <w:snapToGrid/>
                <w:sz w:val="24"/>
                <w:szCs w:val="24"/>
              </w:rPr>
              <w:t>$475,305</w:t>
            </w:r>
          </w:p>
        </w:tc>
      </w:tr>
      <w:tr w:rsidR="003734AF" w:rsidTr="0082273E" w14:paraId="26C7FBDE" w14:textId="77777777">
        <w:trPr>
          <w:trHeight w:val="350"/>
        </w:trPr>
        <w:tc>
          <w:tcPr>
            <w:tcW w:w="6925" w:type="dxa"/>
            <w:shd w:val="clear" w:color="auto" w:fill="auto"/>
          </w:tcPr>
          <w:p w:rsidRPr="009A79DB" w:rsidR="007E347B" w:rsidP="00DE529D" w:rsidRDefault="007E347B" w14:paraId="41500CA7" w14:textId="0D3B9FEA">
            <w:pPr>
              <w:widowControl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79D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Online Data Collection System:</w:t>
            </w:r>
          </w:p>
          <w:p w:rsidRPr="00396608" w:rsidR="00396608" w:rsidP="0082273E" w:rsidRDefault="00D52C1B" w14:paraId="2C3C29A4" w14:textId="77777777">
            <w:pPr>
              <w:pStyle w:val="ListParagraph"/>
              <w:widowControl/>
              <w:numPr>
                <w:ilvl w:val="0"/>
                <w:numId w:val="28"/>
              </w:numPr>
              <w:ind w:left="648"/>
              <w:rPr>
                <w:rStyle w:val="normaltextrun"/>
                <w:rFonts w:ascii="Times New Roman" w:hAnsi="Times New Roman"/>
                <w:snapToGrid/>
                <w:sz w:val="24"/>
                <w:szCs w:val="24"/>
              </w:rPr>
            </w:pPr>
            <w:r w:rsidRPr="0039660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One-time s</w:t>
            </w:r>
            <w:r w:rsidRPr="00396608" w:rsidR="001F1E0A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oftware enhancement</w:t>
            </w:r>
            <w:r w:rsidRPr="00396608" w:rsidR="007E347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396608" w:rsidR="009A79D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96608" w:rsidR="002422D1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to implement</w:t>
            </w:r>
            <w:r w:rsidRPr="00396608" w:rsidR="009A79D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96608" w:rsidR="007C3BB6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DCI </w:t>
            </w:r>
            <w:r w:rsidRPr="00396608" w:rsidR="009A79DB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revis</w:t>
            </w:r>
            <w:r w:rsidRPr="00396608" w:rsidR="007C3BB6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ions</w:t>
            </w:r>
          </w:p>
          <w:p w:rsidRPr="00D803EA" w:rsidR="00D803EA" w:rsidP="00D803EA" w:rsidRDefault="009A79DB" w14:paraId="5E74F691" w14:textId="12C7D1C7">
            <w:pPr>
              <w:pStyle w:val="ListParagraph"/>
              <w:widowControl/>
              <w:numPr>
                <w:ilvl w:val="0"/>
                <w:numId w:val="28"/>
              </w:numPr>
              <w:spacing w:after="120"/>
              <w:ind w:left="648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396608">
              <w:rPr>
                <w:rFonts w:ascii="Times New Roman" w:hAnsi="Times New Roman"/>
                <w:snapToGrid/>
                <w:sz w:val="24"/>
                <w:szCs w:val="24"/>
              </w:rPr>
              <w:t xml:space="preserve">Ongoing </w:t>
            </w:r>
            <w:r w:rsidRPr="00396608" w:rsidR="00D52C1B">
              <w:rPr>
                <w:rFonts w:ascii="Times New Roman" w:hAnsi="Times New Roman"/>
                <w:snapToGrid/>
                <w:sz w:val="24"/>
                <w:szCs w:val="24"/>
              </w:rPr>
              <w:t xml:space="preserve">annual </w:t>
            </w:r>
            <w:r w:rsidRPr="00396608">
              <w:rPr>
                <w:rFonts w:ascii="Times New Roman" w:hAnsi="Times New Roman"/>
                <w:snapToGrid/>
                <w:sz w:val="24"/>
                <w:szCs w:val="24"/>
              </w:rPr>
              <w:t>system maintenance</w:t>
            </w:r>
            <w:r w:rsidRPr="00396608" w:rsidR="002422D1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FFFFFF" w:themeFill="background1"/>
          </w:tcPr>
          <w:p w:rsidRPr="005858A9" w:rsidR="0083375E" w:rsidP="002523DF" w:rsidRDefault="005858A9" w14:paraId="4823F703" w14:textId="75246078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5858A9">
              <w:rPr>
                <w:rFonts w:ascii="Times New Roman" w:hAnsi="Times New Roman"/>
                <w:snapToGrid/>
                <w:sz w:val="24"/>
                <w:szCs w:val="24"/>
              </w:rPr>
              <w:t>$</w:t>
            </w:r>
            <w:r w:rsidR="009A79DB">
              <w:rPr>
                <w:rFonts w:ascii="Times New Roman" w:hAnsi="Times New Roman"/>
                <w:snapToGrid/>
                <w:sz w:val="24"/>
                <w:szCs w:val="24"/>
              </w:rPr>
              <w:t>8</w:t>
            </w:r>
            <w:r w:rsidR="00D52C1B">
              <w:rPr>
                <w:rFonts w:ascii="Times New Roman" w:hAnsi="Times New Roman"/>
                <w:snapToGrid/>
                <w:sz w:val="24"/>
                <w:szCs w:val="24"/>
              </w:rPr>
              <w:t>6,116</w:t>
            </w:r>
          </w:p>
        </w:tc>
      </w:tr>
      <w:tr w:rsidR="003734AF" w:rsidTr="0082273E" w14:paraId="7C72E29A" w14:textId="77777777">
        <w:trPr>
          <w:trHeight w:val="440"/>
        </w:trPr>
        <w:tc>
          <w:tcPr>
            <w:tcW w:w="6925" w:type="dxa"/>
            <w:shd w:val="clear" w:color="auto" w:fill="auto"/>
          </w:tcPr>
          <w:p w:rsidRPr="007C3BB6" w:rsidR="000F1408" w:rsidP="00DE529D" w:rsidRDefault="001F1E0A" w14:paraId="61163BF4" w14:textId="16C39F89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7C3BB6">
              <w:rPr>
                <w:rFonts w:ascii="Times New Roman" w:hAnsi="Times New Roman"/>
                <w:snapToGrid/>
                <w:sz w:val="24"/>
                <w:szCs w:val="24"/>
              </w:rPr>
              <w:t xml:space="preserve">Total </w:t>
            </w:r>
            <w:r w:rsidRPr="007C3BB6" w:rsidR="005744F1">
              <w:rPr>
                <w:rFonts w:ascii="Times New Roman" w:hAnsi="Times New Roman"/>
                <w:snapToGrid/>
                <w:sz w:val="24"/>
                <w:szCs w:val="24"/>
              </w:rPr>
              <w:t xml:space="preserve">Cost </w:t>
            </w:r>
            <w:r w:rsidR="00525957">
              <w:rPr>
                <w:rFonts w:ascii="Times New Roman" w:hAnsi="Times New Roman"/>
                <w:snapToGrid/>
                <w:sz w:val="24"/>
                <w:szCs w:val="24"/>
              </w:rPr>
              <w:t>(over three-year DCI project cycle)</w:t>
            </w:r>
          </w:p>
        </w:tc>
        <w:tc>
          <w:tcPr>
            <w:tcW w:w="1710" w:type="dxa"/>
            <w:shd w:val="clear" w:color="auto" w:fill="FFFFFF" w:themeFill="background1"/>
          </w:tcPr>
          <w:p w:rsidR="000F1408" w:rsidP="00DE529D" w:rsidRDefault="00D52C1B" w14:paraId="2D06E459" w14:textId="505F5782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$905,899</w:t>
            </w:r>
          </w:p>
        </w:tc>
      </w:tr>
      <w:tr w:rsidR="003734AF" w:rsidTr="0082273E" w14:paraId="5A6C155C" w14:textId="77777777">
        <w:tc>
          <w:tcPr>
            <w:tcW w:w="6925" w:type="dxa"/>
            <w:shd w:val="clear" w:color="auto" w:fill="auto"/>
          </w:tcPr>
          <w:p w:rsidRPr="005858A9" w:rsidR="000F1408" w:rsidP="00DE529D" w:rsidRDefault="003734AF" w14:paraId="5E6C1798" w14:textId="12408020">
            <w:pPr>
              <w:widowControl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5858A9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Annual Cost </w:t>
            </w:r>
            <w:r w:rsidR="00A813A5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(</w:t>
            </w:r>
            <w:r w:rsidR="002523D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T</w:t>
            </w:r>
            <w:r w:rsidR="00A813A5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otal </w:t>
            </w:r>
            <w:r w:rsidR="002523D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C</w:t>
            </w:r>
            <w:r w:rsidR="00A813A5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ost /3 years) </w:t>
            </w:r>
          </w:p>
        </w:tc>
        <w:tc>
          <w:tcPr>
            <w:tcW w:w="1710" w:type="dxa"/>
            <w:shd w:val="clear" w:color="auto" w:fill="FFFFFF" w:themeFill="background1"/>
          </w:tcPr>
          <w:p w:rsidRPr="00EB395B" w:rsidR="000F1408" w:rsidP="00DE529D" w:rsidRDefault="000F0621" w14:paraId="73D2008D" w14:textId="12979733">
            <w:pPr>
              <w:widowControl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EB395B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$301,966</w:t>
            </w:r>
          </w:p>
        </w:tc>
      </w:tr>
    </w:tbl>
    <w:p w:rsidR="00405C10" w:rsidP="002523DF" w:rsidRDefault="00405C10" w14:paraId="1C0CE52C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F7B95" w:rsidR="00DE529D" w:rsidP="00DE529D" w:rsidRDefault="00DE529D" w14:paraId="35C07DC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817E2B" w:rsidRDefault="002C3C4F" w14:paraId="34A74A36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D60543" w:rsidP="00DA3EE1" w:rsidRDefault="006054B2" w14:paraId="215A8A91" w14:textId="1500F7FF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CC10C2">
        <w:rPr>
          <w:rFonts w:ascii="Times New Roman" w:hAnsi="Times New Roman"/>
          <w:sz w:val="24"/>
          <w:szCs w:val="24"/>
        </w:rPr>
        <w:t>There are no significan</w:t>
      </w:r>
      <w:r w:rsidRPr="00CC10C2" w:rsidR="00504A30">
        <w:rPr>
          <w:rFonts w:ascii="Times New Roman" w:hAnsi="Times New Roman"/>
          <w:sz w:val="24"/>
          <w:szCs w:val="24"/>
        </w:rPr>
        <w:t>t</w:t>
      </w:r>
      <w:r w:rsidRPr="00CC10C2">
        <w:rPr>
          <w:rFonts w:ascii="Times New Roman" w:hAnsi="Times New Roman"/>
          <w:sz w:val="24"/>
          <w:szCs w:val="24"/>
        </w:rPr>
        <w:t xml:space="preserve"> changes to the information collection since the last OMB approval</w:t>
      </w:r>
      <w:r w:rsidRPr="00CC10C2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8233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10C2">
        <w:rPr>
          <w:rFonts w:ascii="Times New Roman" w:hAnsi="Times New Roman"/>
          <w:color w:val="000000"/>
          <w:sz w:val="24"/>
          <w:szCs w:val="24"/>
        </w:rPr>
        <w:t xml:space="preserve">Minor revisions were </w:t>
      </w:r>
      <w:r w:rsidRPr="00CC10C2" w:rsidR="00C32A96">
        <w:rPr>
          <w:rFonts w:ascii="Times New Roman" w:hAnsi="Times New Roman"/>
          <w:color w:val="000000"/>
          <w:sz w:val="24"/>
          <w:szCs w:val="24"/>
        </w:rPr>
        <w:t xml:space="preserve">made </w:t>
      </w:r>
      <w:r w:rsidRPr="00CC10C2" w:rsidR="00CC10C2">
        <w:rPr>
          <w:rFonts w:ascii="Times New Roman" w:hAnsi="Times New Roman"/>
          <w:color w:val="000000"/>
          <w:sz w:val="24"/>
          <w:szCs w:val="24"/>
        </w:rPr>
        <w:t xml:space="preserve">to </w:t>
      </w:r>
      <w:r w:rsidRPr="00CC10C2" w:rsidR="002F2835">
        <w:rPr>
          <w:rFonts w:ascii="Times New Roman" w:hAnsi="Times New Roman"/>
          <w:color w:val="000000"/>
          <w:sz w:val="24"/>
          <w:szCs w:val="24"/>
        </w:rPr>
        <w:t>provide</w:t>
      </w:r>
      <w:r w:rsidRPr="00CC10C2" w:rsidR="002F2835">
        <w:rPr>
          <w:rFonts w:ascii="Times New Roman" w:hAnsi="Times New Roman"/>
          <w:snapToGrid/>
          <w:sz w:val="24"/>
          <w:szCs w:val="24"/>
        </w:rPr>
        <w:t xml:space="preserve"> respondents with additional guidance, clarification, and support to facilitate completeness and accuracy of the required data submissions.</w:t>
      </w:r>
    </w:p>
    <w:p w:rsidR="000D7360" w:rsidP="00DA3EE1" w:rsidRDefault="000D7360" w14:paraId="6136A124" w14:textId="6EB1AD7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0D7360" w:rsidP="00DA3EE1" w:rsidRDefault="000D7360" w14:paraId="3157826C" w14:textId="01C85FDE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Burden estimates appear slightly different than the previous approval due to a change in the way information is presented and calculated. The number of respondents and the estimated time to complete the information collection remain the same.</w:t>
      </w:r>
      <w:r w:rsidR="00135B6A">
        <w:rPr>
          <w:rFonts w:ascii="Times New Roman" w:hAnsi="Times New Roman"/>
          <w:snapToGrid/>
          <w:sz w:val="24"/>
          <w:szCs w:val="24"/>
        </w:rPr>
        <w:t xml:space="preserve"> </w:t>
      </w:r>
      <w:r w:rsidRPr="00135B6A" w:rsidR="00135B6A">
        <w:rPr>
          <w:rFonts w:ascii="Times New Roman" w:hAnsi="Times New Roman"/>
          <w:b/>
          <w:bCs/>
          <w:snapToGrid/>
          <w:sz w:val="24"/>
          <w:szCs w:val="24"/>
        </w:rPr>
        <w:t xml:space="preserve">Note: </w:t>
      </w:r>
      <w:r w:rsidR="00135B6A">
        <w:rPr>
          <w:rFonts w:ascii="Times New Roman" w:hAnsi="Times New Roman"/>
          <w:snapToGrid/>
          <w:sz w:val="24"/>
          <w:szCs w:val="24"/>
        </w:rPr>
        <w:t xml:space="preserve">Burden shown in RegInfo.gov and that shown in A12 </w:t>
      </w:r>
      <w:r w:rsidR="00927CF9">
        <w:rPr>
          <w:rFonts w:ascii="Times New Roman" w:hAnsi="Times New Roman"/>
          <w:snapToGrid/>
          <w:sz w:val="24"/>
          <w:szCs w:val="24"/>
        </w:rPr>
        <w:t xml:space="preserve">of this document </w:t>
      </w:r>
      <w:r w:rsidR="00135B6A">
        <w:rPr>
          <w:rFonts w:ascii="Times New Roman" w:hAnsi="Times New Roman"/>
          <w:snapToGrid/>
          <w:sz w:val="24"/>
          <w:szCs w:val="24"/>
        </w:rPr>
        <w:t xml:space="preserve">are slightly </w:t>
      </w:r>
      <w:r w:rsidR="00927CF9">
        <w:rPr>
          <w:rFonts w:ascii="Times New Roman" w:hAnsi="Times New Roman"/>
          <w:snapToGrid/>
          <w:sz w:val="24"/>
          <w:szCs w:val="24"/>
        </w:rPr>
        <w:t>different</w:t>
      </w:r>
      <w:r w:rsidR="00135B6A">
        <w:rPr>
          <w:rFonts w:ascii="Times New Roman" w:hAnsi="Times New Roman"/>
          <w:snapToGrid/>
          <w:sz w:val="24"/>
          <w:szCs w:val="24"/>
        </w:rPr>
        <w:t xml:space="preserve"> due to the automatic </w:t>
      </w:r>
      <w:r w:rsidR="00927CF9">
        <w:rPr>
          <w:rFonts w:ascii="Times New Roman" w:hAnsi="Times New Roman"/>
          <w:snapToGrid/>
          <w:sz w:val="24"/>
          <w:szCs w:val="24"/>
        </w:rPr>
        <w:t xml:space="preserve">rounding in the online submission system (ROCIS). </w:t>
      </w:r>
    </w:p>
    <w:p w:rsidRPr="004F7B95" w:rsidR="00D60543" w:rsidP="004F7B95" w:rsidRDefault="00D60543" w14:paraId="2982928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602439" w:rsidR="007935D5" w:rsidP="00576DDF" w:rsidRDefault="002C3C4F" w14:paraId="6AAAC2FE" w14:textId="6CD0C9A8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7935D5" w:rsidP="00FA3717" w:rsidRDefault="00410DD5" w14:paraId="298DD100" w14:textId="117349AA">
      <w:pPr>
        <w:widowControl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States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 will complete a review and submit a report of error rate data on a three-year rotational cycle. </w:t>
      </w:r>
      <w:r w:rsidR="008233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Each reporting year report is based on a review of cases from the </w:t>
      </w:r>
      <w:r w:rsidR="00EB1E82">
        <w:rPr>
          <w:rFonts w:ascii="Times New Roman" w:hAnsi="Times New Roman"/>
          <w:color w:val="000000"/>
          <w:sz w:val="24"/>
          <w:szCs w:val="24"/>
        </w:rPr>
        <w:t>f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iscal year prior to the reporting year. </w:t>
      </w:r>
      <w:r w:rsidR="001604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All reports are submitted by June 30th of the reporting year. </w:t>
      </w:r>
      <w:r w:rsidR="001604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Data </w:t>
      </w:r>
      <w:r w:rsidR="00A74D0C">
        <w:rPr>
          <w:rFonts w:ascii="Times New Roman" w:hAnsi="Times New Roman"/>
          <w:color w:val="000000"/>
          <w:sz w:val="24"/>
          <w:szCs w:val="24"/>
        </w:rPr>
        <w:t>are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 reviewed and undergo a quality assurance review in the program office. </w:t>
      </w:r>
      <w:r w:rsidR="001604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A6D">
        <w:rPr>
          <w:rFonts w:ascii="Times New Roman" w:hAnsi="Times New Roman"/>
          <w:color w:val="000000"/>
          <w:sz w:val="24"/>
          <w:szCs w:val="24"/>
        </w:rPr>
        <w:t>CCDF error rate d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ata </w:t>
      </w:r>
      <w:r w:rsidR="00A74D0C">
        <w:rPr>
          <w:rFonts w:ascii="Times New Roman" w:hAnsi="Times New Roman"/>
          <w:color w:val="000000"/>
          <w:sz w:val="24"/>
          <w:szCs w:val="24"/>
        </w:rPr>
        <w:t>are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 aggregated</w:t>
      </w:r>
      <w:r w:rsidR="00FE58D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863EB" w:rsidR="008D133A">
        <w:rPr>
          <w:rFonts w:ascii="Times New Roman" w:hAnsi="Times New Roman"/>
          <w:color w:val="000000"/>
          <w:sz w:val="24"/>
          <w:szCs w:val="24"/>
        </w:rPr>
        <w:t xml:space="preserve">compiled </w:t>
      </w:r>
      <w:r w:rsidR="00FE58D8">
        <w:rPr>
          <w:rFonts w:ascii="Times New Roman" w:hAnsi="Times New Roman"/>
          <w:color w:val="000000"/>
          <w:sz w:val="24"/>
          <w:szCs w:val="24"/>
        </w:rPr>
        <w:t xml:space="preserve">and reported to </w:t>
      </w:r>
      <w:r w:rsidR="000530B8">
        <w:rPr>
          <w:rFonts w:ascii="Times New Roman" w:hAnsi="Times New Roman"/>
          <w:color w:val="000000"/>
          <w:sz w:val="24"/>
          <w:szCs w:val="24"/>
        </w:rPr>
        <w:t xml:space="preserve">HHS for the </w:t>
      </w:r>
      <w:r w:rsidR="00FE58D8">
        <w:rPr>
          <w:rFonts w:ascii="Times New Roman" w:hAnsi="Times New Roman"/>
          <w:color w:val="000000"/>
          <w:sz w:val="24"/>
          <w:szCs w:val="24"/>
        </w:rPr>
        <w:t xml:space="preserve">annual </w:t>
      </w:r>
      <w:r w:rsidR="000530B8">
        <w:rPr>
          <w:rFonts w:ascii="Times New Roman" w:hAnsi="Times New Roman"/>
          <w:color w:val="000000"/>
          <w:sz w:val="24"/>
          <w:szCs w:val="24"/>
        </w:rPr>
        <w:t>AFR, published each year in November</w:t>
      </w:r>
      <w:r w:rsidR="00FE58D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530B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Pr="004F7B95" w:rsidR="00FA3717" w:rsidP="00FA3717" w:rsidRDefault="00FA3717" w14:paraId="59E8F7A3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F37B8" w:rsidR="00A04EF3" w:rsidP="004F37B8" w:rsidRDefault="002C3C4F" w14:paraId="14F40E7C" w14:textId="6729A2CA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D60543" w:rsidP="00602439" w:rsidRDefault="00067ED9" w14:paraId="67DA4836" w14:textId="4C7F9FB5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  <w:r w:rsidRPr="00FF08AB">
        <w:rPr>
          <w:rFonts w:ascii="Times New Roman" w:hAnsi="Times New Roman"/>
          <w:color w:val="000000"/>
          <w:sz w:val="24"/>
          <w:szCs w:val="24"/>
        </w:rPr>
        <w:t>The current expiration date will be displayed at the top right corner of each form.</w:t>
      </w:r>
    </w:p>
    <w:p w:rsidRPr="004F7B95" w:rsidR="00D60543" w:rsidP="00DE529D" w:rsidRDefault="00D60543" w14:paraId="3C11407F" w14:textId="77777777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</w:p>
    <w:p w:rsidRPr="00857BB1" w:rsidR="007935D5" w:rsidP="00857BB1" w:rsidRDefault="002C3C4F" w14:paraId="53A56BC6" w14:textId="0A6F79E8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Pr="004F7B95" w:rsidR="007935D5" w:rsidP="00DE529D" w:rsidRDefault="00F66AF7" w14:paraId="6A043934" w14:textId="571EB998">
      <w:pPr>
        <w:widowControl/>
        <w:ind w:left="360"/>
        <w:rPr>
          <w:rFonts w:ascii="Times New Roman" w:hAnsi="Times New Roman"/>
          <w:b/>
          <w:bCs/>
          <w:snapToGrid/>
          <w:sz w:val="24"/>
          <w:szCs w:val="24"/>
        </w:rPr>
      </w:pPr>
      <w:r w:rsidRPr="00F66AF7">
        <w:rPr>
          <w:rFonts w:ascii="Times New Roman" w:hAnsi="Times New Roman"/>
          <w:sz w:val="24"/>
          <w:szCs w:val="24"/>
        </w:rPr>
        <w:t>No exceptions are necessary for this information collection.</w:t>
      </w:r>
    </w:p>
    <w:p w:rsidR="00597E7F" w:rsidP="00405C86" w:rsidRDefault="00597E7F" w14:paraId="3F13705C" w14:textId="393E96BD">
      <w:pPr>
        <w:pStyle w:val="ReportCover-Title"/>
        <w:rPr>
          <w:rFonts w:ascii="Times New Roman" w:hAnsi="Times New Roman"/>
          <w:b w:val="0"/>
          <w:bCs/>
          <w:sz w:val="24"/>
          <w:szCs w:val="24"/>
        </w:rPr>
      </w:pPr>
    </w:p>
    <w:p w:rsidRPr="005B11E1" w:rsidR="006C0CCF" w:rsidP="00405C86" w:rsidRDefault="006C0CCF" w14:paraId="60F8F4C5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sectPr w:rsidRPr="005B11E1" w:rsidR="006C0CCF" w:rsidSect="00A918E4">
      <w:footerReference w:type="default" r:id="rId12"/>
      <w:footerReference w:type="first" r:id="rId13"/>
      <w:footnotePr>
        <w:numFmt w:val="lowerLetter"/>
      </w:footnotePr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08EBA" w14:textId="77777777" w:rsidR="000D700A" w:rsidRDefault="000D700A">
      <w:pPr>
        <w:spacing w:line="20" w:lineRule="exact"/>
        <w:rPr>
          <w:sz w:val="24"/>
        </w:rPr>
      </w:pPr>
    </w:p>
  </w:endnote>
  <w:endnote w:type="continuationSeparator" w:id="0">
    <w:p w14:paraId="6F970ACA" w14:textId="77777777" w:rsidR="000D700A" w:rsidRDefault="000D700A">
      <w:r>
        <w:rPr>
          <w:sz w:val="24"/>
        </w:rPr>
        <w:t xml:space="preserve"> </w:t>
      </w:r>
    </w:p>
  </w:endnote>
  <w:endnote w:type="continuationNotice" w:id="1">
    <w:p w14:paraId="78D65C7B" w14:textId="77777777" w:rsidR="000D700A" w:rsidRDefault="000D700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EE5A" w14:textId="77777777" w:rsidR="00C26C4E" w:rsidRDefault="00C26C4E">
    <w:pPr>
      <w:spacing w:before="140" w:line="100" w:lineRule="exact"/>
      <w:rPr>
        <w:sz w:val="10"/>
      </w:rPr>
    </w:pPr>
  </w:p>
  <w:p w14:paraId="04F6D2D5" w14:textId="77777777" w:rsidR="00C26C4E" w:rsidRDefault="00C26C4E">
    <w:pPr>
      <w:tabs>
        <w:tab w:val="left" w:pos="-720"/>
      </w:tabs>
      <w:suppressAutoHyphens/>
      <w:rPr>
        <w:sz w:val="24"/>
      </w:rPr>
    </w:pPr>
  </w:p>
  <w:p w14:paraId="0C02EA95" w14:textId="4904B914" w:rsidR="00C26C4E" w:rsidRDefault="00C26C4E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F1659A" wp14:editId="15E9E50C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D3B125" w14:textId="6106CA90" w:rsidR="00C26C4E" w:rsidRDefault="00C26C4E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1659A" id="Rectangle 1" o:spid="_x0000_s1026" style="position:absolute;margin-left:1.5pt;margin-top:12pt;width:4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" o:allowincell="f" filled="f" stroked="f" strokeweight="0">
              <v:textbox inset="0,0,0,0">
                <w:txbxContent>
                  <w:p w14:paraId="19D3B125" w14:textId="6106CA90" w:rsidR="00C26C4E" w:rsidRDefault="00C26C4E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0074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89B67" w14:textId="3AE97DA1" w:rsidR="00C26C4E" w:rsidRDefault="00C26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CFA3C" w14:textId="77777777" w:rsidR="00C26C4E" w:rsidRDefault="00C26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9EA8E" w14:textId="77777777" w:rsidR="000D700A" w:rsidRDefault="000D700A">
      <w:r>
        <w:rPr>
          <w:sz w:val="24"/>
        </w:rPr>
        <w:separator/>
      </w:r>
    </w:p>
  </w:footnote>
  <w:footnote w:type="continuationSeparator" w:id="0">
    <w:p w14:paraId="266B7679" w14:textId="77777777" w:rsidR="000D700A" w:rsidRDefault="000D700A">
      <w:r>
        <w:continuationSeparator/>
      </w:r>
    </w:p>
  </w:footnote>
  <w:footnote w:type="continuationNotice" w:id="1">
    <w:p w14:paraId="14DC6A72" w14:textId="77777777" w:rsidR="000D700A" w:rsidRDefault="000D700A"/>
  </w:footnote>
  <w:footnote w:id="2">
    <w:p w14:paraId="42A764D9" w14:textId="757E6D3C" w:rsidR="00C26C4E" w:rsidRPr="00891291" w:rsidRDefault="00C26C4E" w:rsidP="0089129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909FD"/>
    <w:multiLevelType w:val="hybridMultilevel"/>
    <w:tmpl w:val="BFC4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12B6"/>
    <w:multiLevelType w:val="hybridMultilevel"/>
    <w:tmpl w:val="37E6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510B"/>
    <w:multiLevelType w:val="hybridMultilevel"/>
    <w:tmpl w:val="7340CC9A"/>
    <w:lvl w:ilvl="0" w:tplc="02887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AC8CC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E49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A3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2C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041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A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05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6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247D1"/>
    <w:multiLevelType w:val="hybridMultilevel"/>
    <w:tmpl w:val="DF76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101A27"/>
    <w:multiLevelType w:val="hybridMultilevel"/>
    <w:tmpl w:val="C868C124"/>
    <w:lvl w:ilvl="0" w:tplc="2BFE0BD2">
      <w:start w:val="1"/>
      <w:numFmt w:val="lowerLetter"/>
      <w:lvlText w:val="%1.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D746B"/>
    <w:multiLevelType w:val="hybridMultilevel"/>
    <w:tmpl w:val="DB56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C03B6"/>
    <w:multiLevelType w:val="multilevel"/>
    <w:tmpl w:val="2DD4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B94356"/>
    <w:multiLevelType w:val="hybridMultilevel"/>
    <w:tmpl w:val="728E27B2"/>
    <w:lvl w:ilvl="0" w:tplc="EDFEC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A1BD6"/>
    <w:multiLevelType w:val="hybridMultilevel"/>
    <w:tmpl w:val="1D2A3A14"/>
    <w:lvl w:ilvl="0" w:tplc="9C9E06D8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685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AA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88E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6A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06F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089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A9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CD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16A94"/>
    <w:multiLevelType w:val="hybridMultilevel"/>
    <w:tmpl w:val="7AA46F76"/>
    <w:lvl w:ilvl="0" w:tplc="C9125C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6015E3"/>
    <w:multiLevelType w:val="hybridMultilevel"/>
    <w:tmpl w:val="BE38DCE2"/>
    <w:lvl w:ilvl="0" w:tplc="88A81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AE34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7105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2C81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F06F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7C40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4C02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416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6C1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FA1B74"/>
    <w:multiLevelType w:val="hybridMultilevel"/>
    <w:tmpl w:val="ED9C3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4D1056"/>
    <w:multiLevelType w:val="hybridMultilevel"/>
    <w:tmpl w:val="D34CB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AC4E20"/>
    <w:multiLevelType w:val="hybridMultilevel"/>
    <w:tmpl w:val="C450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EE3079"/>
    <w:multiLevelType w:val="hybridMultilevel"/>
    <w:tmpl w:val="ABD48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15"/>
  </w:num>
  <w:num w:numId="9">
    <w:abstractNumId w:val="23"/>
  </w:num>
  <w:num w:numId="10">
    <w:abstractNumId w:val="14"/>
  </w:num>
  <w:num w:numId="11">
    <w:abstractNumId w:val="12"/>
  </w:num>
  <w:num w:numId="12">
    <w:abstractNumId w:val="0"/>
  </w:num>
  <w:num w:numId="13">
    <w:abstractNumId w:val="25"/>
  </w:num>
  <w:num w:numId="14">
    <w:abstractNumId w:val="1"/>
  </w:num>
  <w:num w:numId="15">
    <w:abstractNumId w:val="5"/>
  </w:num>
  <w:num w:numId="16">
    <w:abstractNumId w:val="20"/>
  </w:num>
  <w:num w:numId="17">
    <w:abstractNumId w:val="26"/>
  </w:num>
  <w:num w:numId="18">
    <w:abstractNumId w:val="6"/>
  </w:num>
  <w:num w:numId="19">
    <w:abstractNumId w:val="28"/>
  </w:num>
  <w:num w:numId="20">
    <w:abstractNumId w:val="24"/>
  </w:num>
  <w:num w:numId="21">
    <w:abstractNumId w:val="4"/>
  </w:num>
  <w:num w:numId="22">
    <w:abstractNumId w:val="11"/>
  </w:num>
  <w:num w:numId="23">
    <w:abstractNumId w:val="27"/>
  </w:num>
  <w:num w:numId="24">
    <w:abstractNumId w:val="9"/>
  </w:num>
  <w:num w:numId="25">
    <w:abstractNumId w:val="19"/>
  </w:num>
  <w:num w:numId="26">
    <w:abstractNumId w:val="22"/>
  </w:num>
  <w:num w:numId="27">
    <w:abstractNumId w:val="10"/>
  </w:num>
  <w:num w:numId="28">
    <w:abstractNumId w:val="2"/>
  </w:num>
  <w:num w:numId="29">
    <w:abstractNumId w:val="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numFmt w:val="lowerLetter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0514"/>
    <w:rsid w:val="00013E31"/>
    <w:rsid w:val="000143F8"/>
    <w:rsid w:val="00016C89"/>
    <w:rsid w:val="000174C3"/>
    <w:rsid w:val="00017B5C"/>
    <w:rsid w:val="00021534"/>
    <w:rsid w:val="00021986"/>
    <w:rsid w:val="00022586"/>
    <w:rsid w:val="00022F5D"/>
    <w:rsid w:val="0003028F"/>
    <w:rsid w:val="000426F2"/>
    <w:rsid w:val="00042C45"/>
    <w:rsid w:val="0004409D"/>
    <w:rsid w:val="00044B61"/>
    <w:rsid w:val="00045463"/>
    <w:rsid w:val="0004758A"/>
    <w:rsid w:val="000526F2"/>
    <w:rsid w:val="000530B8"/>
    <w:rsid w:val="00055D6D"/>
    <w:rsid w:val="00055D7E"/>
    <w:rsid w:val="00056C4B"/>
    <w:rsid w:val="00062908"/>
    <w:rsid w:val="00062B81"/>
    <w:rsid w:val="00067ED9"/>
    <w:rsid w:val="00074BAF"/>
    <w:rsid w:val="00075889"/>
    <w:rsid w:val="000826EE"/>
    <w:rsid w:val="00086F13"/>
    <w:rsid w:val="0009007E"/>
    <w:rsid w:val="00092E02"/>
    <w:rsid w:val="00096B28"/>
    <w:rsid w:val="000A055B"/>
    <w:rsid w:val="000A2935"/>
    <w:rsid w:val="000A75ED"/>
    <w:rsid w:val="000B000B"/>
    <w:rsid w:val="000B0402"/>
    <w:rsid w:val="000B2354"/>
    <w:rsid w:val="000C0577"/>
    <w:rsid w:val="000C0970"/>
    <w:rsid w:val="000C25A9"/>
    <w:rsid w:val="000C58BE"/>
    <w:rsid w:val="000C7042"/>
    <w:rsid w:val="000D04B4"/>
    <w:rsid w:val="000D63B7"/>
    <w:rsid w:val="000D6FC8"/>
    <w:rsid w:val="000D700A"/>
    <w:rsid w:val="000D7360"/>
    <w:rsid w:val="000E4DCC"/>
    <w:rsid w:val="000F0621"/>
    <w:rsid w:val="000F069F"/>
    <w:rsid w:val="000F1408"/>
    <w:rsid w:val="000F1752"/>
    <w:rsid w:val="000F53EA"/>
    <w:rsid w:val="0010060B"/>
    <w:rsid w:val="00101AFE"/>
    <w:rsid w:val="00102200"/>
    <w:rsid w:val="00112A3A"/>
    <w:rsid w:val="00116EB4"/>
    <w:rsid w:val="0012128A"/>
    <w:rsid w:val="00124A6E"/>
    <w:rsid w:val="00132B7A"/>
    <w:rsid w:val="001335C9"/>
    <w:rsid w:val="001337B5"/>
    <w:rsid w:val="00134321"/>
    <w:rsid w:val="00135B6A"/>
    <w:rsid w:val="00135F7A"/>
    <w:rsid w:val="00137ECE"/>
    <w:rsid w:val="00137F02"/>
    <w:rsid w:val="00140D1C"/>
    <w:rsid w:val="00140F55"/>
    <w:rsid w:val="0014145B"/>
    <w:rsid w:val="00145000"/>
    <w:rsid w:val="00151B4B"/>
    <w:rsid w:val="00151EF2"/>
    <w:rsid w:val="00153877"/>
    <w:rsid w:val="001538AB"/>
    <w:rsid w:val="001539DF"/>
    <w:rsid w:val="00154DE5"/>
    <w:rsid w:val="00155CC5"/>
    <w:rsid w:val="00160450"/>
    <w:rsid w:val="00160621"/>
    <w:rsid w:val="0016617F"/>
    <w:rsid w:val="00166401"/>
    <w:rsid w:val="00170145"/>
    <w:rsid w:val="001760D5"/>
    <w:rsid w:val="001829A7"/>
    <w:rsid w:val="00185358"/>
    <w:rsid w:val="00186385"/>
    <w:rsid w:val="00187ABB"/>
    <w:rsid w:val="001A3621"/>
    <w:rsid w:val="001A3C04"/>
    <w:rsid w:val="001A60A8"/>
    <w:rsid w:val="001A620A"/>
    <w:rsid w:val="001A6495"/>
    <w:rsid w:val="001A6563"/>
    <w:rsid w:val="001B1A63"/>
    <w:rsid w:val="001B347D"/>
    <w:rsid w:val="001B53C8"/>
    <w:rsid w:val="001C2956"/>
    <w:rsid w:val="001C32C1"/>
    <w:rsid w:val="001C483C"/>
    <w:rsid w:val="001C7FFE"/>
    <w:rsid w:val="001D1651"/>
    <w:rsid w:val="001D356F"/>
    <w:rsid w:val="001D420D"/>
    <w:rsid w:val="001DC46F"/>
    <w:rsid w:val="001E39C7"/>
    <w:rsid w:val="001E6F69"/>
    <w:rsid w:val="001F18D0"/>
    <w:rsid w:val="001F1E0A"/>
    <w:rsid w:val="001F5A8D"/>
    <w:rsid w:val="001F5DEE"/>
    <w:rsid w:val="001F7215"/>
    <w:rsid w:val="002023DD"/>
    <w:rsid w:val="002033FD"/>
    <w:rsid w:val="0020537F"/>
    <w:rsid w:val="00211A9A"/>
    <w:rsid w:val="00217E33"/>
    <w:rsid w:val="00217EEF"/>
    <w:rsid w:val="00220FD6"/>
    <w:rsid w:val="00222C7F"/>
    <w:rsid w:val="00223959"/>
    <w:rsid w:val="0022431C"/>
    <w:rsid w:val="00226C42"/>
    <w:rsid w:val="002273FD"/>
    <w:rsid w:val="00234235"/>
    <w:rsid w:val="00235024"/>
    <w:rsid w:val="00235266"/>
    <w:rsid w:val="002375A9"/>
    <w:rsid w:val="00240061"/>
    <w:rsid w:val="002422D1"/>
    <w:rsid w:val="00243396"/>
    <w:rsid w:val="002464EB"/>
    <w:rsid w:val="002509BD"/>
    <w:rsid w:val="002523DF"/>
    <w:rsid w:val="0026249B"/>
    <w:rsid w:val="00264B92"/>
    <w:rsid w:val="00264D7B"/>
    <w:rsid w:val="002653D9"/>
    <w:rsid w:val="0026556E"/>
    <w:rsid w:val="00267B44"/>
    <w:rsid w:val="00270CFC"/>
    <w:rsid w:val="00273619"/>
    <w:rsid w:val="002766B9"/>
    <w:rsid w:val="002768B2"/>
    <w:rsid w:val="0029024C"/>
    <w:rsid w:val="00290A1C"/>
    <w:rsid w:val="002945E5"/>
    <w:rsid w:val="0029589B"/>
    <w:rsid w:val="002959AB"/>
    <w:rsid w:val="00296738"/>
    <w:rsid w:val="0029776E"/>
    <w:rsid w:val="002A1A27"/>
    <w:rsid w:val="002A259C"/>
    <w:rsid w:val="002A413E"/>
    <w:rsid w:val="002A4F52"/>
    <w:rsid w:val="002A5607"/>
    <w:rsid w:val="002C11F2"/>
    <w:rsid w:val="002C36B2"/>
    <w:rsid w:val="002C3A59"/>
    <w:rsid w:val="002C3C4F"/>
    <w:rsid w:val="002D3193"/>
    <w:rsid w:val="002D718A"/>
    <w:rsid w:val="002E10D1"/>
    <w:rsid w:val="002E23AB"/>
    <w:rsid w:val="002E3620"/>
    <w:rsid w:val="002F2835"/>
    <w:rsid w:val="002F2BAC"/>
    <w:rsid w:val="002F6E30"/>
    <w:rsid w:val="0030300F"/>
    <w:rsid w:val="00303105"/>
    <w:rsid w:val="003035FD"/>
    <w:rsid w:val="00311EAC"/>
    <w:rsid w:val="00317F4F"/>
    <w:rsid w:val="003205FE"/>
    <w:rsid w:val="003241BB"/>
    <w:rsid w:val="00326FCD"/>
    <w:rsid w:val="00327CE3"/>
    <w:rsid w:val="00332B56"/>
    <w:rsid w:val="0033363B"/>
    <w:rsid w:val="00333818"/>
    <w:rsid w:val="003405A4"/>
    <w:rsid w:val="0034277B"/>
    <w:rsid w:val="00346F59"/>
    <w:rsid w:val="0035003E"/>
    <w:rsid w:val="00353889"/>
    <w:rsid w:val="00354319"/>
    <w:rsid w:val="003551B7"/>
    <w:rsid w:val="0035662A"/>
    <w:rsid w:val="003609AB"/>
    <w:rsid w:val="00361381"/>
    <w:rsid w:val="003613AA"/>
    <w:rsid w:val="00366B5B"/>
    <w:rsid w:val="00371FB2"/>
    <w:rsid w:val="003734AF"/>
    <w:rsid w:val="00373A9B"/>
    <w:rsid w:val="00374E7B"/>
    <w:rsid w:val="00376D22"/>
    <w:rsid w:val="0038209B"/>
    <w:rsid w:val="00382D63"/>
    <w:rsid w:val="0038467E"/>
    <w:rsid w:val="00384FB7"/>
    <w:rsid w:val="00385D13"/>
    <w:rsid w:val="00387793"/>
    <w:rsid w:val="0039185E"/>
    <w:rsid w:val="00395426"/>
    <w:rsid w:val="003960FA"/>
    <w:rsid w:val="00396608"/>
    <w:rsid w:val="003A66A8"/>
    <w:rsid w:val="003A66FA"/>
    <w:rsid w:val="003B296E"/>
    <w:rsid w:val="003B2C85"/>
    <w:rsid w:val="003B5FEA"/>
    <w:rsid w:val="003B7A50"/>
    <w:rsid w:val="003C1D6E"/>
    <w:rsid w:val="003C2231"/>
    <w:rsid w:val="003C2E9D"/>
    <w:rsid w:val="003C5025"/>
    <w:rsid w:val="003C5181"/>
    <w:rsid w:val="003D00EC"/>
    <w:rsid w:val="003D0326"/>
    <w:rsid w:val="003D29F7"/>
    <w:rsid w:val="003D5180"/>
    <w:rsid w:val="003D5EAA"/>
    <w:rsid w:val="003E14ED"/>
    <w:rsid w:val="003E1503"/>
    <w:rsid w:val="003E44AE"/>
    <w:rsid w:val="003E5073"/>
    <w:rsid w:val="003E5149"/>
    <w:rsid w:val="003E6EA3"/>
    <w:rsid w:val="003F0DB5"/>
    <w:rsid w:val="003F75E1"/>
    <w:rsid w:val="00400649"/>
    <w:rsid w:val="00402D24"/>
    <w:rsid w:val="00405C10"/>
    <w:rsid w:val="00405C86"/>
    <w:rsid w:val="004061C8"/>
    <w:rsid w:val="00410DD5"/>
    <w:rsid w:val="004110F5"/>
    <w:rsid w:val="004157C9"/>
    <w:rsid w:val="00416152"/>
    <w:rsid w:val="00416952"/>
    <w:rsid w:val="00422E1D"/>
    <w:rsid w:val="004230A7"/>
    <w:rsid w:val="00423639"/>
    <w:rsid w:val="00423C23"/>
    <w:rsid w:val="0042667F"/>
    <w:rsid w:val="00430AD5"/>
    <w:rsid w:val="00435E03"/>
    <w:rsid w:val="00436063"/>
    <w:rsid w:val="00440F59"/>
    <w:rsid w:val="00442536"/>
    <w:rsid w:val="00443836"/>
    <w:rsid w:val="004442B4"/>
    <w:rsid w:val="00444D0A"/>
    <w:rsid w:val="0044662D"/>
    <w:rsid w:val="00450C4B"/>
    <w:rsid w:val="00452581"/>
    <w:rsid w:val="00456287"/>
    <w:rsid w:val="004602FE"/>
    <w:rsid w:val="004605C0"/>
    <w:rsid w:val="00467954"/>
    <w:rsid w:val="0047593D"/>
    <w:rsid w:val="00475C46"/>
    <w:rsid w:val="00476C1F"/>
    <w:rsid w:val="00476CB7"/>
    <w:rsid w:val="00480072"/>
    <w:rsid w:val="0048682B"/>
    <w:rsid w:val="00487979"/>
    <w:rsid w:val="00490457"/>
    <w:rsid w:val="00490E3D"/>
    <w:rsid w:val="0049119A"/>
    <w:rsid w:val="00492408"/>
    <w:rsid w:val="0049371C"/>
    <w:rsid w:val="004943E0"/>
    <w:rsid w:val="004949E7"/>
    <w:rsid w:val="00495311"/>
    <w:rsid w:val="00497401"/>
    <w:rsid w:val="004A076A"/>
    <w:rsid w:val="004A1835"/>
    <w:rsid w:val="004A3442"/>
    <w:rsid w:val="004A7FAB"/>
    <w:rsid w:val="004B381B"/>
    <w:rsid w:val="004C1628"/>
    <w:rsid w:val="004C2350"/>
    <w:rsid w:val="004C52FA"/>
    <w:rsid w:val="004C6104"/>
    <w:rsid w:val="004D09AA"/>
    <w:rsid w:val="004D0D89"/>
    <w:rsid w:val="004D5D61"/>
    <w:rsid w:val="004D6C1E"/>
    <w:rsid w:val="004D6C2F"/>
    <w:rsid w:val="004E0039"/>
    <w:rsid w:val="004E5910"/>
    <w:rsid w:val="004F37B8"/>
    <w:rsid w:val="004F45CE"/>
    <w:rsid w:val="004F45F3"/>
    <w:rsid w:val="004F7B95"/>
    <w:rsid w:val="00504A30"/>
    <w:rsid w:val="00510EC7"/>
    <w:rsid w:val="0051278C"/>
    <w:rsid w:val="00514237"/>
    <w:rsid w:val="005145DB"/>
    <w:rsid w:val="005159A5"/>
    <w:rsid w:val="00517CF0"/>
    <w:rsid w:val="00521E21"/>
    <w:rsid w:val="00522C18"/>
    <w:rsid w:val="005250A1"/>
    <w:rsid w:val="00525957"/>
    <w:rsid w:val="005264A8"/>
    <w:rsid w:val="00526739"/>
    <w:rsid w:val="00526D5C"/>
    <w:rsid w:val="00532495"/>
    <w:rsid w:val="005328EC"/>
    <w:rsid w:val="00540886"/>
    <w:rsid w:val="00541738"/>
    <w:rsid w:val="00541E3F"/>
    <w:rsid w:val="00541E51"/>
    <w:rsid w:val="0054481A"/>
    <w:rsid w:val="0054649E"/>
    <w:rsid w:val="005520C3"/>
    <w:rsid w:val="005542DD"/>
    <w:rsid w:val="00556056"/>
    <w:rsid w:val="00556701"/>
    <w:rsid w:val="00560D3D"/>
    <w:rsid w:val="00564291"/>
    <w:rsid w:val="00565240"/>
    <w:rsid w:val="00565ECF"/>
    <w:rsid w:val="00571887"/>
    <w:rsid w:val="00573254"/>
    <w:rsid w:val="005744F1"/>
    <w:rsid w:val="00576DDF"/>
    <w:rsid w:val="00580AE8"/>
    <w:rsid w:val="00580F83"/>
    <w:rsid w:val="005824BD"/>
    <w:rsid w:val="00582E8F"/>
    <w:rsid w:val="005858A9"/>
    <w:rsid w:val="00586FB5"/>
    <w:rsid w:val="00587880"/>
    <w:rsid w:val="00596481"/>
    <w:rsid w:val="00597E7F"/>
    <w:rsid w:val="005A2042"/>
    <w:rsid w:val="005A2C03"/>
    <w:rsid w:val="005A444A"/>
    <w:rsid w:val="005A5A19"/>
    <w:rsid w:val="005A6A51"/>
    <w:rsid w:val="005B00FC"/>
    <w:rsid w:val="005B11E1"/>
    <w:rsid w:val="005B15ED"/>
    <w:rsid w:val="005B22D4"/>
    <w:rsid w:val="005B4D5D"/>
    <w:rsid w:val="005C00FA"/>
    <w:rsid w:val="005C1DAC"/>
    <w:rsid w:val="005C372F"/>
    <w:rsid w:val="005C38DA"/>
    <w:rsid w:val="005C60F1"/>
    <w:rsid w:val="005C7385"/>
    <w:rsid w:val="005D1B7E"/>
    <w:rsid w:val="005D274E"/>
    <w:rsid w:val="005D4207"/>
    <w:rsid w:val="005D61DB"/>
    <w:rsid w:val="005E0B35"/>
    <w:rsid w:val="005F0ED4"/>
    <w:rsid w:val="005F14E1"/>
    <w:rsid w:val="005F1CD3"/>
    <w:rsid w:val="005F39D2"/>
    <w:rsid w:val="005F6644"/>
    <w:rsid w:val="005F72B7"/>
    <w:rsid w:val="00602439"/>
    <w:rsid w:val="00603498"/>
    <w:rsid w:val="006054B2"/>
    <w:rsid w:val="00607654"/>
    <w:rsid w:val="006112D5"/>
    <w:rsid w:val="00612553"/>
    <w:rsid w:val="00612859"/>
    <w:rsid w:val="006129AF"/>
    <w:rsid w:val="0061309B"/>
    <w:rsid w:val="00614089"/>
    <w:rsid w:val="00617155"/>
    <w:rsid w:val="00622160"/>
    <w:rsid w:val="00622554"/>
    <w:rsid w:val="006228E6"/>
    <w:rsid w:val="00622DA5"/>
    <w:rsid w:val="00624A72"/>
    <w:rsid w:val="00625B80"/>
    <w:rsid w:val="00632E1F"/>
    <w:rsid w:val="00633EF2"/>
    <w:rsid w:val="00634E1D"/>
    <w:rsid w:val="00636F10"/>
    <w:rsid w:val="006370FC"/>
    <w:rsid w:val="00640153"/>
    <w:rsid w:val="00640565"/>
    <w:rsid w:val="00646EB4"/>
    <w:rsid w:val="00650939"/>
    <w:rsid w:val="00651F0F"/>
    <w:rsid w:val="0065206D"/>
    <w:rsid w:val="006524DF"/>
    <w:rsid w:val="0065428D"/>
    <w:rsid w:val="006565F3"/>
    <w:rsid w:val="00656839"/>
    <w:rsid w:val="00663FDB"/>
    <w:rsid w:val="00681E38"/>
    <w:rsid w:val="006845BD"/>
    <w:rsid w:val="00694088"/>
    <w:rsid w:val="006A014A"/>
    <w:rsid w:val="006A036F"/>
    <w:rsid w:val="006B1006"/>
    <w:rsid w:val="006B1122"/>
    <w:rsid w:val="006B1EA5"/>
    <w:rsid w:val="006B2726"/>
    <w:rsid w:val="006B2D0E"/>
    <w:rsid w:val="006B56A7"/>
    <w:rsid w:val="006C0CB5"/>
    <w:rsid w:val="006C0CCF"/>
    <w:rsid w:val="006C281B"/>
    <w:rsid w:val="006C53C8"/>
    <w:rsid w:val="006C7CF9"/>
    <w:rsid w:val="006D094A"/>
    <w:rsid w:val="006D1643"/>
    <w:rsid w:val="006D776F"/>
    <w:rsid w:val="006D7BA4"/>
    <w:rsid w:val="006E03E7"/>
    <w:rsid w:val="006E1264"/>
    <w:rsid w:val="006E2B91"/>
    <w:rsid w:val="006E486C"/>
    <w:rsid w:val="006E4F90"/>
    <w:rsid w:val="006E623D"/>
    <w:rsid w:val="006E6629"/>
    <w:rsid w:val="006E78B9"/>
    <w:rsid w:val="006F3631"/>
    <w:rsid w:val="006F48FB"/>
    <w:rsid w:val="006F570F"/>
    <w:rsid w:val="006F589F"/>
    <w:rsid w:val="006F68BE"/>
    <w:rsid w:val="006F6D9A"/>
    <w:rsid w:val="0070515E"/>
    <w:rsid w:val="00707AFB"/>
    <w:rsid w:val="0071470F"/>
    <w:rsid w:val="00721F31"/>
    <w:rsid w:val="00722207"/>
    <w:rsid w:val="00724891"/>
    <w:rsid w:val="007279FB"/>
    <w:rsid w:val="007314B9"/>
    <w:rsid w:val="0073664C"/>
    <w:rsid w:val="0074490B"/>
    <w:rsid w:val="007500BB"/>
    <w:rsid w:val="0075352A"/>
    <w:rsid w:val="00754957"/>
    <w:rsid w:val="00755051"/>
    <w:rsid w:val="007556D4"/>
    <w:rsid w:val="00757FD7"/>
    <w:rsid w:val="007610EB"/>
    <w:rsid w:val="00762C40"/>
    <w:rsid w:val="00762E22"/>
    <w:rsid w:val="00763284"/>
    <w:rsid w:val="00766F76"/>
    <w:rsid w:val="00770A45"/>
    <w:rsid w:val="00772982"/>
    <w:rsid w:val="00773944"/>
    <w:rsid w:val="00774756"/>
    <w:rsid w:val="00786561"/>
    <w:rsid w:val="00786793"/>
    <w:rsid w:val="00790D2C"/>
    <w:rsid w:val="007928E3"/>
    <w:rsid w:val="0079358E"/>
    <w:rsid w:val="007935D5"/>
    <w:rsid w:val="0079522C"/>
    <w:rsid w:val="007969AA"/>
    <w:rsid w:val="00796FD1"/>
    <w:rsid w:val="007A0FBE"/>
    <w:rsid w:val="007A271F"/>
    <w:rsid w:val="007A4ABC"/>
    <w:rsid w:val="007A511F"/>
    <w:rsid w:val="007A739F"/>
    <w:rsid w:val="007A79BD"/>
    <w:rsid w:val="007B126D"/>
    <w:rsid w:val="007B5591"/>
    <w:rsid w:val="007C10FF"/>
    <w:rsid w:val="007C3BB6"/>
    <w:rsid w:val="007D2192"/>
    <w:rsid w:val="007D6097"/>
    <w:rsid w:val="007D63FA"/>
    <w:rsid w:val="007E347B"/>
    <w:rsid w:val="007E4419"/>
    <w:rsid w:val="007E46DE"/>
    <w:rsid w:val="007E48CC"/>
    <w:rsid w:val="007E65AA"/>
    <w:rsid w:val="007E76C7"/>
    <w:rsid w:val="007F3249"/>
    <w:rsid w:val="007F464A"/>
    <w:rsid w:val="007F621A"/>
    <w:rsid w:val="007F7B04"/>
    <w:rsid w:val="00802571"/>
    <w:rsid w:val="0080325F"/>
    <w:rsid w:val="00803FD2"/>
    <w:rsid w:val="00804AD9"/>
    <w:rsid w:val="00804EEB"/>
    <w:rsid w:val="00817E2B"/>
    <w:rsid w:val="0082273E"/>
    <w:rsid w:val="0082332F"/>
    <w:rsid w:val="0082494C"/>
    <w:rsid w:val="008255B5"/>
    <w:rsid w:val="00826334"/>
    <w:rsid w:val="00830DC4"/>
    <w:rsid w:val="0083375E"/>
    <w:rsid w:val="008349B5"/>
    <w:rsid w:val="00841BDF"/>
    <w:rsid w:val="00841D7F"/>
    <w:rsid w:val="008433C3"/>
    <w:rsid w:val="00844264"/>
    <w:rsid w:val="0084609A"/>
    <w:rsid w:val="00846E18"/>
    <w:rsid w:val="00850D6F"/>
    <w:rsid w:val="008519EF"/>
    <w:rsid w:val="00851F52"/>
    <w:rsid w:val="00853781"/>
    <w:rsid w:val="0085387C"/>
    <w:rsid w:val="00857BB1"/>
    <w:rsid w:val="00870254"/>
    <w:rsid w:val="00877889"/>
    <w:rsid w:val="00880CAA"/>
    <w:rsid w:val="0088690B"/>
    <w:rsid w:val="00887067"/>
    <w:rsid w:val="00887B81"/>
    <w:rsid w:val="008900A8"/>
    <w:rsid w:val="00891291"/>
    <w:rsid w:val="008923B4"/>
    <w:rsid w:val="008933B3"/>
    <w:rsid w:val="00894909"/>
    <w:rsid w:val="008955AC"/>
    <w:rsid w:val="00895716"/>
    <w:rsid w:val="00897D3E"/>
    <w:rsid w:val="008A1CEA"/>
    <w:rsid w:val="008A21F0"/>
    <w:rsid w:val="008B12FA"/>
    <w:rsid w:val="008B50C9"/>
    <w:rsid w:val="008C4E09"/>
    <w:rsid w:val="008C6A3D"/>
    <w:rsid w:val="008D0FB0"/>
    <w:rsid w:val="008D133A"/>
    <w:rsid w:val="008D3F46"/>
    <w:rsid w:val="008E3445"/>
    <w:rsid w:val="008E378E"/>
    <w:rsid w:val="008E57D9"/>
    <w:rsid w:val="008E66C5"/>
    <w:rsid w:val="008E76DA"/>
    <w:rsid w:val="008F02B6"/>
    <w:rsid w:val="008F23DB"/>
    <w:rsid w:val="008F4CB6"/>
    <w:rsid w:val="008F6F81"/>
    <w:rsid w:val="008F7221"/>
    <w:rsid w:val="009035BD"/>
    <w:rsid w:val="00903CC9"/>
    <w:rsid w:val="00905558"/>
    <w:rsid w:val="009113FF"/>
    <w:rsid w:val="00924BFC"/>
    <w:rsid w:val="00927CF9"/>
    <w:rsid w:val="00936A53"/>
    <w:rsid w:val="00937E19"/>
    <w:rsid w:val="00942B74"/>
    <w:rsid w:val="00943225"/>
    <w:rsid w:val="00944C9E"/>
    <w:rsid w:val="00944DE4"/>
    <w:rsid w:val="009451B1"/>
    <w:rsid w:val="00945B72"/>
    <w:rsid w:val="00952223"/>
    <w:rsid w:val="0095388C"/>
    <w:rsid w:val="00957222"/>
    <w:rsid w:val="00957799"/>
    <w:rsid w:val="00962045"/>
    <w:rsid w:val="00962194"/>
    <w:rsid w:val="009634FC"/>
    <w:rsid w:val="00963E33"/>
    <w:rsid w:val="0096575E"/>
    <w:rsid w:val="00965B13"/>
    <w:rsid w:val="00966547"/>
    <w:rsid w:val="00966622"/>
    <w:rsid w:val="009667FF"/>
    <w:rsid w:val="00966ED5"/>
    <w:rsid w:val="009707C3"/>
    <w:rsid w:val="00971B09"/>
    <w:rsid w:val="00974E23"/>
    <w:rsid w:val="00984CF1"/>
    <w:rsid w:val="0099095E"/>
    <w:rsid w:val="00991918"/>
    <w:rsid w:val="00992825"/>
    <w:rsid w:val="00995983"/>
    <w:rsid w:val="00996886"/>
    <w:rsid w:val="009A1A92"/>
    <w:rsid w:val="009A3611"/>
    <w:rsid w:val="009A79DB"/>
    <w:rsid w:val="009A7EC1"/>
    <w:rsid w:val="009B193C"/>
    <w:rsid w:val="009B38DF"/>
    <w:rsid w:val="009B3E77"/>
    <w:rsid w:val="009C2DE1"/>
    <w:rsid w:val="009C5213"/>
    <w:rsid w:val="009C6E40"/>
    <w:rsid w:val="009C701A"/>
    <w:rsid w:val="009D3F18"/>
    <w:rsid w:val="009D4E11"/>
    <w:rsid w:val="009D661D"/>
    <w:rsid w:val="009D6D33"/>
    <w:rsid w:val="009D789F"/>
    <w:rsid w:val="009E5BC9"/>
    <w:rsid w:val="009E6157"/>
    <w:rsid w:val="009E6302"/>
    <w:rsid w:val="009E7342"/>
    <w:rsid w:val="009F5543"/>
    <w:rsid w:val="009F58E1"/>
    <w:rsid w:val="00A01B2D"/>
    <w:rsid w:val="00A0298E"/>
    <w:rsid w:val="00A04EF3"/>
    <w:rsid w:val="00A05B31"/>
    <w:rsid w:val="00A06D77"/>
    <w:rsid w:val="00A15699"/>
    <w:rsid w:val="00A160B5"/>
    <w:rsid w:val="00A20A8C"/>
    <w:rsid w:val="00A2318D"/>
    <w:rsid w:val="00A23657"/>
    <w:rsid w:val="00A326B7"/>
    <w:rsid w:val="00A3534A"/>
    <w:rsid w:val="00A41C84"/>
    <w:rsid w:val="00A42AC5"/>
    <w:rsid w:val="00A502D0"/>
    <w:rsid w:val="00A50ED1"/>
    <w:rsid w:val="00A52F2D"/>
    <w:rsid w:val="00A52F95"/>
    <w:rsid w:val="00A54B8A"/>
    <w:rsid w:val="00A60A3C"/>
    <w:rsid w:val="00A61759"/>
    <w:rsid w:val="00A61AC0"/>
    <w:rsid w:val="00A6340F"/>
    <w:rsid w:val="00A64637"/>
    <w:rsid w:val="00A65A09"/>
    <w:rsid w:val="00A666DC"/>
    <w:rsid w:val="00A66FF6"/>
    <w:rsid w:val="00A67A7A"/>
    <w:rsid w:val="00A71EB6"/>
    <w:rsid w:val="00A74A36"/>
    <w:rsid w:val="00A74D0C"/>
    <w:rsid w:val="00A77AC0"/>
    <w:rsid w:val="00A80329"/>
    <w:rsid w:val="00A813A5"/>
    <w:rsid w:val="00A82069"/>
    <w:rsid w:val="00A918E4"/>
    <w:rsid w:val="00A93972"/>
    <w:rsid w:val="00A94A1F"/>
    <w:rsid w:val="00A94F2E"/>
    <w:rsid w:val="00A955BF"/>
    <w:rsid w:val="00AA32CF"/>
    <w:rsid w:val="00AA5BC9"/>
    <w:rsid w:val="00AA7945"/>
    <w:rsid w:val="00AA7B9B"/>
    <w:rsid w:val="00AB086B"/>
    <w:rsid w:val="00AB1785"/>
    <w:rsid w:val="00AB45DA"/>
    <w:rsid w:val="00AB75A6"/>
    <w:rsid w:val="00AC0723"/>
    <w:rsid w:val="00AC323A"/>
    <w:rsid w:val="00AD024E"/>
    <w:rsid w:val="00AD0B06"/>
    <w:rsid w:val="00AD16C8"/>
    <w:rsid w:val="00AD32F1"/>
    <w:rsid w:val="00AD5ED7"/>
    <w:rsid w:val="00AD7CCD"/>
    <w:rsid w:val="00AE460E"/>
    <w:rsid w:val="00AE68BD"/>
    <w:rsid w:val="00AF399C"/>
    <w:rsid w:val="00AF4347"/>
    <w:rsid w:val="00AF5FE7"/>
    <w:rsid w:val="00B0013F"/>
    <w:rsid w:val="00B01F74"/>
    <w:rsid w:val="00B04602"/>
    <w:rsid w:val="00B04E29"/>
    <w:rsid w:val="00B07E3F"/>
    <w:rsid w:val="00B12DB5"/>
    <w:rsid w:val="00B130F2"/>
    <w:rsid w:val="00B14349"/>
    <w:rsid w:val="00B14FFE"/>
    <w:rsid w:val="00B155C0"/>
    <w:rsid w:val="00B16093"/>
    <w:rsid w:val="00B16F6C"/>
    <w:rsid w:val="00B17FE0"/>
    <w:rsid w:val="00B22437"/>
    <w:rsid w:val="00B27347"/>
    <w:rsid w:val="00B32A65"/>
    <w:rsid w:val="00B32EDA"/>
    <w:rsid w:val="00B4456D"/>
    <w:rsid w:val="00B46E5D"/>
    <w:rsid w:val="00B50515"/>
    <w:rsid w:val="00B51049"/>
    <w:rsid w:val="00B53C91"/>
    <w:rsid w:val="00B542D5"/>
    <w:rsid w:val="00B55BC3"/>
    <w:rsid w:val="00B57D47"/>
    <w:rsid w:val="00B6076A"/>
    <w:rsid w:val="00B647F0"/>
    <w:rsid w:val="00B66DE5"/>
    <w:rsid w:val="00B7146D"/>
    <w:rsid w:val="00B75D07"/>
    <w:rsid w:val="00B84243"/>
    <w:rsid w:val="00B871CE"/>
    <w:rsid w:val="00B87F34"/>
    <w:rsid w:val="00B911E5"/>
    <w:rsid w:val="00B9231D"/>
    <w:rsid w:val="00B95C6B"/>
    <w:rsid w:val="00BA21C0"/>
    <w:rsid w:val="00BA2BBE"/>
    <w:rsid w:val="00BA3C75"/>
    <w:rsid w:val="00BA4E3B"/>
    <w:rsid w:val="00BA502D"/>
    <w:rsid w:val="00BA5A7F"/>
    <w:rsid w:val="00BA752C"/>
    <w:rsid w:val="00BB0103"/>
    <w:rsid w:val="00BB2C7B"/>
    <w:rsid w:val="00BB63C1"/>
    <w:rsid w:val="00BC2533"/>
    <w:rsid w:val="00BC3DD1"/>
    <w:rsid w:val="00BC488F"/>
    <w:rsid w:val="00BD378C"/>
    <w:rsid w:val="00BD3A2B"/>
    <w:rsid w:val="00BD4E25"/>
    <w:rsid w:val="00BD50AF"/>
    <w:rsid w:val="00BD6C25"/>
    <w:rsid w:val="00BD7CE2"/>
    <w:rsid w:val="00BE4017"/>
    <w:rsid w:val="00BE5586"/>
    <w:rsid w:val="00BE61F4"/>
    <w:rsid w:val="00BE789E"/>
    <w:rsid w:val="00BF0D08"/>
    <w:rsid w:val="00BF2A72"/>
    <w:rsid w:val="00BF3DCB"/>
    <w:rsid w:val="00BF5BE7"/>
    <w:rsid w:val="00BF7556"/>
    <w:rsid w:val="00C00AEA"/>
    <w:rsid w:val="00C01D1D"/>
    <w:rsid w:val="00C02282"/>
    <w:rsid w:val="00C02EA5"/>
    <w:rsid w:val="00C034A7"/>
    <w:rsid w:val="00C03A34"/>
    <w:rsid w:val="00C10409"/>
    <w:rsid w:val="00C13BA6"/>
    <w:rsid w:val="00C13D90"/>
    <w:rsid w:val="00C170D7"/>
    <w:rsid w:val="00C20E83"/>
    <w:rsid w:val="00C2271E"/>
    <w:rsid w:val="00C22D3C"/>
    <w:rsid w:val="00C2325A"/>
    <w:rsid w:val="00C238C1"/>
    <w:rsid w:val="00C24136"/>
    <w:rsid w:val="00C26C4E"/>
    <w:rsid w:val="00C273EB"/>
    <w:rsid w:val="00C274DC"/>
    <w:rsid w:val="00C277A6"/>
    <w:rsid w:val="00C31FDF"/>
    <w:rsid w:val="00C32768"/>
    <w:rsid w:val="00C32A96"/>
    <w:rsid w:val="00C32E48"/>
    <w:rsid w:val="00C33EB6"/>
    <w:rsid w:val="00C35A87"/>
    <w:rsid w:val="00C43334"/>
    <w:rsid w:val="00C44FD2"/>
    <w:rsid w:val="00C461F3"/>
    <w:rsid w:val="00C51EB7"/>
    <w:rsid w:val="00C5391A"/>
    <w:rsid w:val="00C6302A"/>
    <w:rsid w:val="00C65758"/>
    <w:rsid w:val="00C67996"/>
    <w:rsid w:val="00C7702B"/>
    <w:rsid w:val="00C770BA"/>
    <w:rsid w:val="00C82021"/>
    <w:rsid w:val="00C93FC0"/>
    <w:rsid w:val="00C96EBD"/>
    <w:rsid w:val="00C97DE6"/>
    <w:rsid w:val="00CA0CCC"/>
    <w:rsid w:val="00CA0F5A"/>
    <w:rsid w:val="00CA1EB2"/>
    <w:rsid w:val="00CA2169"/>
    <w:rsid w:val="00CA268F"/>
    <w:rsid w:val="00CB1A12"/>
    <w:rsid w:val="00CB535E"/>
    <w:rsid w:val="00CB605B"/>
    <w:rsid w:val="00CC10C2"/>
    <w:rsid w:val="00CC4880"/>
    <w:rsid w:val="00CC5107"/>
    <w:rsid w:val="00CD5385"/>
    <w:rsid w:val="00CE1914"/>
    <w:rsid w:val="00CE29A8"/>
    <w:rsid w:val="00CE5152"/>
    <w:rsid w:val="00CE53AB"/>
    <w:rsid w:val="00CE6182"/>
    <w:rsid w:val="00CE7FA6"/>
    <w:rsid w:val="00CF71A9"/>
    <w:rsid w:val="00D003F6"/>
    <w:rsid w:val="00D01A3F"/>
    <w:rsid w:val="00D024DD"/>
    <w:rsid w:val="00D02EF1"/>
    <w:rsid w:val="00D065BB"/>
    <w:rsid w:val="00D07099"/>
    <w:rsid w:val="00D1007C"/>
    <w:rsid w:val="00D11436"/>
    <w:rsid w:val="00D11BB5"/>
    <w:rsid w:val="00D12778"/>
    <w:rsid w:val="00D176EB"/>
    <w:rsid w:val="00D203FE"/>
    <w:rsid w:val="00D2666C"/>
    <w:rsid w:val="00D338E9"/>
    <w:rsid w:val="00D344B2"/>
    <w:rsid w:val="00D35E8D"/>
    <w:rsid w:val="00D36B49"/>
    <w:rsid w:val="00D41952"/>
    <w:rsid w:val="00D4696A"/>
    <w:rsid w:val="00D52C1B"/>
    <w:rsid w:val="00D54269"/>
    <w:rsid w:val="00D5433E"/>
    <w:rsid w:val="00D60543"/>
    <w:rsid w:val="00D60989"/>
    <w:rsid w:val="00D62BD7"/>
    <w:rsid w:val="00D62E70"/>
    <w:rsid w:val="00D66870"/>
    <w:rsid w:val="00D67D80"/>
    <w:rsid w:val="00D70361"/>
    <w:rsid w:val="00D7443D"/>
    <w:rsid w:val="00D74A57"/>
    <w:rsid w:val="00D75181"/>
    <w:rsid w:val="00D757E5"/>
    <w:rsid w:val="00D75F1E"/>
    <w:rsid w:val="00D803EA"/>
    <w:rsid w:val="00D806D3"/>
    <w:rsid w:val="00D8499A"/>
    <w:rsid w:val="00D84A6D"/>
    <w:rsid w:val="00D91A48"/>
    <w:rsid w:val="00D94B50"/>
    <w:rsid w:val="00D9648C"/>
    <w:rsid w:val="00D9720E"/>
    <w:rsid w:val="00D97735"/>
    <w:rsid w:val="00DA3A5E"/>
    <w:rsid w:val="00DA3EE1"/>
    <w:rsid w:val="00DB1485"/>
    <w:rsid w:val="00DB1527"/>
    <w:rsid w:val="00DB2443"/>
    <w:rsid w:val="00DB5A9D"/>
    <w:rsid w:val="00DB6C65"/>
    <w:rsid w:val="00DC1C23"/>
    <w:rsid w:val="00DC68C0"/>
    <w:rsid w:val="00DD419A"/>
    <w:rsid w:val="00DD4A4C"/>
    <w:rsid w:val="00DD5984"/>
    <w:rsid w:val="00DD6FD6"/>
    <w:rsid w:val="00DE1B9E"/>
    <w:rsid w:val="00DE1F3A"/>
    <w:rsid w:val="00DE49B7"/>
    <w:rsid w:val="00DE529D"/>
    <w:rsid w:val="00DE775F"/>
    <w:rsid w:val="00DF240B"/>
    <w:rsid w:val="00DF2509"/>
    <w:rsid w:val="00DF4338"/>
    <w:rsid w:val="00DF705C"/>
    <w:rsid w:val="00E00646"/>
    <w:rsid w:val="00E01B4E"/>
    <w:rsid w:val="00E03257"/>
    <w:rsid w:val="00E06838"/>
    <w:rsid w:val="00E10EF7"/>
    <w:rsid w:val="00E135A1"/>
    <w:rsid w:val="00E13694"/>
    <w:rsid w:val="00E1519E"/>
    <w:rsid w:val="00E23DDF"/>
    <w:rsid w:val="00E2519C"/>
    <w:rsid w:val="00E25715"/>
    <w:rsid w:val="00E26C4C"/>
    <w:rsid w:val="00E27F71"/>
    <w:rsid w:val="00E3368C"/>
    <w:rsid w:val="00E3643E"/>
    <w:rsid w:val="00E368FB"/>
    <w:rsid w:val="00E4383A"/>
    <w:rsid w:val="00E50572"/>
    <w:rsid w:val="00E53588"/>
    <w:rsid w:val="00E550DC"/>
    <w:rsid w:val="00E5673B"/>
    <w:rsid w:val="00E57A4F"/>
    <w:rsid w:val="00E61F82"/>
    <w:rsid w:val="00E66651"/>
    <w:rsid w:val="00E6779C"/>
    <w:rsid w:val="00E678EF"/>
    <w:rsid w:val="00E7070E"/>
    <w:rsid w:val="00E71329"/>
    <w:rsid w:val="00E80362"/>
    <w:rsid w:val="00E82ED7"/>
    <w:rsid w:val="00E924C8"/>
    <w:rsid w:val="00E94DAC"/>
    <w:rsid w:val="00E95DEE"/>
    <w:rsid w:val="00EA13C3"/>
    <w:rsid w:val="00EA3C1D"/>
    <w:rsid w:val="00EB1E82"/>
    <w:rsid w:val="00EB395B"/>
    <w:rsid w:val="00EB3E03"/>
    <w:rsid w:val="00EB65AC"/>
    <w:rsid w:val="00EB7441"/>
    <w:rsid w:val="00EC14E1"/>
    <w:rsid w:val="00EC158E"/>
    <w:rsid w:val="00EC26A5"/>
    <w:rsid w:val="00EC5B96"/>
    <w:rsid w:val="00EC6714"/>
    <w:rsid w:val="00EC698B"/>
    <w:rsid w:val="00ED10E1"/>
    <w:rsid w:val="00ED6DF4"/>
    <w:rsid w:val="00ED782E"/>
    <w:rsid w:val="00ED7D48"/>
    <w:rsid w:val="00EE1C83"/>
    <w:rsid w:val="00EE1E80"/>
    <w:rsid w:val="00EE2329"/>
    <w:rsid w:val="00EE30E9"/>
    <w:rsid w:val="00EE461F"/>
    <w:rsid w:val="00EE49EF"/>
    <w:rsid w:val="00EE5074"/>
    <w:rsid w:val="00EE5941"/>
    <w:rsid w:val="00EF0082"/>
    <w:rsid w:val="00EF3408"/>
    <w:rsid w:val="00EF35EC"/>
    <w:rsid w:val="00EF5BB0"/>
    <w:rsid w:val="00F01AA5"/>
    <w:rsid w:val="00F02021"/>
    <w:rsid w:val="00F02DF4"/>
    <w:rsid w:val="00F0374D"/>
    <w:rsid w:val="00F0723D"/>
    <w:rsid w:val="00F10B17"/>
    <w:rsid w:val="00F17FCB"/>
    <w:rsid w:val="00F210CA"/>
    <w:rsid w:val="00F25478"/>
    <w:rsid w:val="00F30893"/>
    <w:rsid w:val="00F3268B"/>
    <w:rsid w:val="00F34263"/>
    <w:rsid w:val="00F34A4B"/>
    <w:rsid w:val="00F36612"/>
    <w:rsid w:val="00F4006B"/>
    <w:rsid w:val="00F41B95"/>
    <w:rsid w:val="00F4287C"/>
    <w:rsid w:val="00F44224"/>
    <w:rsid w:val="00F44CC9"/>
    <w:rsid w:val="00F5145D"/>
    <w:rsid w:val="00F60D24"/>
    <w:rsid w:val="00F63421"/>
    <w:rsid w:val="00F65A46"/>
    <w:rsid w:val="00F66AF7"/>
    <w:rsid w:val="00F70481"/>
    <w:rsid w:val="00F770E3"/>
    <w:rsid w:val="00F80065"/>
    <w:rsid w:val="00F81984"/>
    <w:rsid w:val="00F83116"/>
    <w:rsid w:val="00F863EB"/>
    <w:rsid w:val="00F909AB"/>
    <w:rsid w:val="00F91157"/>
    <w:rsid w:val="00F91171"/>
    <w:rsid w:val="00FA196B"/>
    <w:rsid w:val="00FA3119"/>
    <w:rsid w:val="00FA3717"/>
    <w:rsid w:val="00FA5092"/>
    <w:rsid w:val="00FA5DB8"/>
    <w:rsid w:val="00FA6748"/>
    <w:rsid w:val="00FB0438"/>
    <w:rsid w:val="00FB4221"/>
    <w:rsid w:val="00FB4DCB"/>
    <w:rsid w:val="00FB59D7"/>
    <w:rsid w:val="00FB672A"/>
    <w:rsid w:val="00FB7051"/>
    <w:rsid w:val="00FB7547"/>
    <w:rsid w:val="00FC173C"/>
    <w:rsid w:val="00FC3006"/>
    <w:rsid w:val="00FC53DF"/>
    <w:rsid w:val="00FD5E47"/>
    <w:rsid w:val="00FD631C"/>
    <w:rsid w:val="00FE0FDC"/>
    <w:rsid w:val="00FE3A87"/>
    <w:rsid w:val="00FE58D8"/>
    <w:rsid w:val="00FE68F7"/>
    <w:rsid w:val="00FF08AB"/>
    <w:rsid w:val="00FF29FD"/>
    <w:rsid w:val="00FF7CE7"/>
    <w:rsid w:val="01F4ADB0"/>
    <w:rsid w:val="05D044DE"/>
    <w:rsid w:val="0983F7A2"/>
    <w:rsid w:val="0D69FDDA"/>
    <w:rsid w:val="1045A64F"/>
    <w:rsid w:val="10CC1E94"/>
    <w:rsid w:val="13F62BEE"/>
    <w:rsid w:val="158D7C4F"/>
    <w:rsid w:val="1A0A5C74"/>
    <w:rsid w:val="1BF12DF9"/>
    <w:rsid w:val="1C0B04A8"/>
    <w:rsid w:val="1C5DC988"/>
    <w:rsid w:val="1D8DFE6C"/>
    <w:rsid w:val="2155A4E9"/>
    <w:rsid w:val="21BDC6EA"/>
    <w:rsid w:val="25AE7ED2"/>
    <w:rsid w:val="28CDFABB"/>
    <w:rsid w:val="2C4058B7"/>
    <w:rsid w:val="2D08B39B"/>
    <w:rsid w:val="2D1260C3"/>
    <w:rsid w:val="2F26E104"/>
    <w:rsid w:val="2FFB8DF3"/>
    <w:rsid w:val="31BDE572"/>
    <w:rsid w:val="3397BC56"/>
    <w:rsid w:val="33C95BBD"/>
    <w:rsid w:val="360DA85C"/>
    <w:rsid w:val="381EAEA6"/>
    <w:rsid w:val="3A41D0DD"/>
    <w:rsid w:val="3BF9794A"/>
    <w:rsid w:val="3CC59323"/>
    <w:rsid w:val="3F19A462"/>
    <w:rsid w:val="40ADF785"/>
    <w:rsid w:val="40E01473"/>
    <w:rsid w:val="470448E9"/>
    <w:rsid w:val="4782AC6D"/>
    <w:rsid w:val="4D21E41E"/>
    <w:rsid w:val="4D47008E"/>
    <w:rsid w:val="53E42BA6"/>
    <w:rsid w:val="547BD1C1"/>
    <w:rsid w:val="550FFB79"/>
    <w:rsid w:val="55522FE1"/>
    <w:rsid w:val="5615C4BB"/>
    <w:rsid w:val="56E9D25D"/>
    <w:rsid w:val="57A845A1"/>
    <w:rsid w:val="5E443CDB"/>
    <w:rsid w:val="5ED795A0"/>
    <w:rsid w:val="5EEF3BBC"/>
    <w:rsid w:val="5EF3E430"/>
    <w:rsid w:val="5F7DB72C"/>
    <w:rsid w:val="629D4A85"/>
    <w:rsid w:val="62EA931B"/>
    <w:rsid w:val="641A310D"/>
    <w:rsid w:val="643E22EE"/>
    <w:rsid w:val="66210573"/>
    <w:rsid w:val="66CF5008"/>
    <w:rsid w:val="66FFF24C"/>
    <w:rsid w:val="68832582"/>
    <w:rsid w:val="6909D2AC"/>
    <w:rsid w:val="69525FDC"/>
    <w:rsid w:val="6CF39047"/>
    <w:rsid w:val="6D388736"/>
    <w:rsid w:val="6F173C6D"/>
    <w:rsid w:val="7015C296"/>
    <w:rsid w:val="73C924AD"/>
    <w:rsid w:val="740D0C27"/>
    <w:rsid w:val="770BA21B"/>
    <w:rsid w:val="790F6F45"/>
    <w:rsid w:val="7A002D7A"/>
    <w:rsid w:val="7A0F624D"/>
    <w:rsid w:val="7A3BE864"/>
    <w:rsid w:val="7A87D490"/>
    <w:rsid w:val="7CEF30DE"/>
    <w:rsid w:val="7DF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89ED33"/>
  <w15:chartTrackingRefBased/>
  <w15:docId w15:val="{6824BB45-B19C-4531-BA1A-1E1F39D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uiPriority w:val="99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customStyle="1" w:styleId="normaltextrun">
    <w:name w:val="normaltextrun"/>
    <w:basedOn w:val="DefaultParagraphFont"/>
    <w:rsid w:val="00924BFC"/>
  </w:style>
  <w:style w:type="character" w:customStyle="1" w:styleId="eop">
    <w:name w:val="eop"/>
    <w:basedOn w:val="DefaultParagraphFont"/>
    <w:rsid w:val="00924BFC"/>
  </w:style>
  <w:style w:type="paragraph" w:customStyle="1" w:styleId="paragraph">
    <w:name w:val="paragraph"/>
    <w:basedOn w:val="Normal"/>
    <w:rsid w:val="00F91157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stru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2" ma:contentTypeDescription="Create a new document." ma:contentTypeScope="" ma:versionID="908535a160d0cd5be21b96b32049b05e">
  <xsd:schema xmlns:xsd="http://www.w3.org/2001/XMLSchema" xmlns:xs="http://www.w3.org/2001/XMLSchema" xmlns:p="http://schemas.microsoft.com/office/2006/metadata/properties" xmlns:ns2="fce774b4-c9d4-4a8f-80fc-e2982472d72a" targetNamespace="http://schemas.microsoft.com/office/2006/metadata/properties" ma:root="true" ma:fieldsID="b354916c3c29bb4b7741b0d965a82825" ns2:_="">
    <xsd:import namespace="fce774b4-c9d4-4a8f-80fc-e2982472d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CE985-162C-4AF4-B165-414D4B8FA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9187B-6058-4426-9D76-9EBA49F0A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2165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Links>
    <vt:vector size="18" baseType="variant">
      <vt:variant>
        <vt:i4>7864347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https://www.bls.gov/oes/current/oes_stru.htm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</dc:creator>
  <cp:keywords/>
  <cp:lastModifiedBy>Jones, Molly (ACF)</cp:lastModifiedBy>
  <cp:revision>10</cp:revision>
  <dcterms:created xsi:type="dcterms:W3CDTF">2021-09-01T17:23:00Z</dcterms:created>
  <dcterms:modified xsi:type="dcterms:W3CDTF">2021-09-07T17:10:00Z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