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7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85"/>
        <w:gridCol w:w="1925"/>
        <w:gridCol w:w="2166"/>
        <w:gridCol w:w="1598"/>
        <w:gridCol w:w="1486"/>
      </w:tblGrid>
      <w:tr w:rsidR="00453BCF" w:rsidTr="00A16A94" w14:paraId="362A1E96" w14:textId="77777777">
        <w:tc>
          <w:tcPr>
            <w:tcW w:w="9360" w:type="dxa"/>
            <w:gridSpan w:val="5"/>
          </w:tcPr>
          <w:p w:rsidR="00453BCF" w:rsidP="00A16A94" w:rsidRDefault="00D90B43" w14:paraId="6A7218B1" w14:textId="7169B194">
            <w:r w:rsidRPr="00D90B43">
              <w:rPr>
                <w:noProof/>
              </w:rPr>
              <w:drawing>
                <wp:inline distT="0" distB="0" distL="0" distR="0" wp14:anchorId="7ECE79FE" wp14:editId="522AEF99">
                  <wp:extent cx="4854361" cy="65537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361" cy="65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BCF" w:rsidTr="00A16A94" w14:paraId="3337A7BD" w14:textId="77777777">
        <w:tc>
          <w:tcPr>
            <w:tcW w:w="9360" w:type="dxa"/>
            <w:gridSpan w:val="5"/>
          </w:tcPr>
          <w:p w:rsidR="00453BCF" w:rsidP="00A16A94" w:rsidRDefault="00453BCF" w14:paraId="08E423A2" w14:textId="22C1038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61E20B" wp14:editId="00C94FEC">
                  <wp:extent cx="3154680" cy="1316553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346" cy="1326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BCF" w:rsidTr="00A16A94" w14:paraId="7F7A266F" w14:textId="77777777">
        <w:trPr>
          <w:trHeight w:val="58"/>
        </w:trPr>
        <w:tc>
          <w:tcPr>
            <w:tcW w:w="9360" w:type="dxa"/>
            <w:gridSpan w:val="5"/>
          </w:tcPr>
          <w:p w:rsidR="00453BCF" w:rsidP="00A16A94" w:rsidRDefault="00453BCF" w14:paraId="2FDE5546" w14:textId="77777777">
            <w:pPr>
              <w:jc w:val="center"/>
              <w:rPr>
                <w:noProof/>
              </w:rPr>
            </w:pPr>
          </w:p>
        </w:tc>
      </w:tr>
      <w:tr w:rsidR="00D90B43" w:rsidTr="00A16A94" w14:paraId="193C2C1E" w14:textId="77777777">
        <w:tc>
          <w:tcPr>
            <w:tcW w:w="9360" w:type="dxa"/>
            <w:gridSpan w:val="5"/>
          </w:tcPr>
          <w:p w:rsidRPr="00D90B43" w:rsidR="00D90B43" w:rsidP="00A16A94" w:rsidRDefault="00D90B43" w14:paraId="080DECA5" w14:textId="6F449319">
            <w:pPr>
              <w:jc w:val="center"/>
              <w:rPr>
                <w:b/>
                <w:bCs/>
                <w:noProof/>
              </w:rPr>
            </w:pPr>
            <w:r w:rsidRPr="00D90B43">
              <w:rPr>
                <w:b/>
                <w:bCs/>
                <w:noProof/>
                <w:sz w:val="28"/>
                <w:szCs w:val="28"/>
              </w:rPr>
              <w:t xml:space="preserve">Call for </w:t>
            </w:r>
            <w:r w:rsidR="00E1053F">
              <w:rPr>
                <w:b/>
                <w:bCs/>
                <w:noProof/>
                <w:sz w:val="28"/>
                <w:szCs w:val="28"/>
              </w:rPr>
              <w:t>P</w:t>
            </w:r>
            <w:r w:rsidRPr="00D90B43">
              <w:rPr>
                <w:b/>
                <w:bCs/>
                <w:noProof/>
                <w:sz w:val="28"/>
                <w:szCs w:val="28"/>
              </w:rPr>
              <w:t xml:space="preserve">roposals to </w:t>
            </w:r>
            <w:r w:rsidR="00E1053F">
              <w:rPr>
                <w:b/>
                <w:bCs/>
                <w:noProof/>
                <w:sz w:val="28"/>
                <w:szCs w:val="28"/>
              </w:rPr>
              <w:t>S</w:t>
            </w:r>
            <w:r w:rsidRPr="00D90B43">
              <w:rPr>
                <w:b/>
                <w:bCs/>
                <w:noProof/>
                <w:sz w:val="28"/>
                <w:szCs w:val="28"/>
              </w:rPr>
              <w:t>upport</w:t>
            </w:r>
            <w:r w:rsidR="00E1053F">
              <w:rPr>
                <w:b/>
                <w:bCs/>
                <w:noProof/>
                <w:sz w:val="28"/>
                <w:szCs w:val="28"/>
              </w:rPr>
              <w:t xml:space="preserve"> the</w:t>
            </w:r>
            <w:r w:rsidRPr="00D90B43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 w:rsidR="00E1053F">
              <w:rPr>
                <w:b/>
                <w:bCs/>
                <w:noProof/>
                <w:sz w:val="28"/>
                <w:szCs w:val="28"/>
              </w:rPr>
              <w:t>D</w:t>
            </w:r>
            <w:r w:rsidRPr="00D90B43">
              <w:rPr>
                <w:b/>
                <w:bCs/>
                <w:noProof/>
                <w:sz w:val="28"/>
                <w:szCs w:val="28"/>
              </w:rPr>
              <w:t xml:space="preserve">evelopment of </w:t>
            </w:r>
            <w:r w:rsidR="00E1053F">
              <w:rPr>
                <w:b/>
                <w:bCs/>
                <w:noProof/>
                <w:sz w:val="28"/>
                <w:szCs w:val="28"/>
              </w:rPr>
              <w:t>P</w:t>
            </w:r>
            <w:r w:rsidRPr="00D90B43">
              <w:rPr>
                <w:b/>
                <w:bCs/>
                <w:noProof/>
                <w:sz w:val="28"/>
                <w:szCs w:val="28"/>
              </w:rPr>
              <w:t xml:space="preserve">ublic </w:t>
            </w:r>
            <w:r w:rsidR="00E1053F">
              <w:rPr>
                <w:b/>
                <w:bCs/>
                <w:noProof/>
                <w:sz w:val="28"/>
                <w:szCs w:val="28"/>
              </w:rPr>
              <w:t>G</w:t>
            </w:r>
            <w:r w:rsidRPr="00D90B43">
              <w:rPr>
                <w:b/>
                <w:bCs/>
                <w:noProof/>
                <w:sz w:val="28"/>
                <w:szCs w:val="28"/>
              </w:rPr>
              <w:t>oods</w:t>
            </w:r>
            <w:r w:rsidR="00996DD6">
              <w:rPr>
                <w:b/>
                <w:bCs/>
                <w:noProof/>
                <w:sz w:val="28"/>
                <w:szCs w:val="28"/>
              </w:rPr>
              <w:t xml:space="preserve"> for Implementation Science </w:t>
            </w:r>
          </w:p>
        </w:tc>
      </w:tr>
      <w:tr w:rsidR="00453BCF" w:rsidTr="00A16A94" w14:paraId="78F0D9D2" w14:textId="77777777">
        <w:tc>
          <w:tcPr>
            <w:tcW w:w="9360" w:type="dxa"/>
            <w:gridSpan w:val="5"/>
          </w:tcPr>
          <w:p w:rsidRPr="00453BCF" w:rsidR="00453BCF" w:rsidP="00996DD6" w:rsidRDefault="00453BCF" w14:paraId="67937C81" w14:textId="0BC7598C">
            <w:pPr>
              <w:spacing w:before="120"/>
              <w:jc w:val="both"/>
              <w:rPr>
                <w:rFonts w:eastAsia="Times New Roman" w:cstheme="minorHAnsi"/>
              </w:rPr>
            </w:pPr>
            <w:r w:rsidRPr="00453BCF">
              <w:rPr>
                <w:rFonts w:eastAsia="Times New Roman" w:cstheme="minorHAnsi"/>
              </w:rPr>
              <w:t xml:space="preserve">The </w:t>
            </w:r>
            <w:hyperlink w:history="1" r:id="rId8">
              <w:r w:rsidRPr="00A16A94">
                <w:rPr>
                  <w:rStyle w:val="Hyperlink"/>
                  <w:rFonts w:eastAsia="Times New Roman" w:cstheme="minorHAnsi"/>
                </w:rPr>
                <w:t>Consortium for Cancer Implementation Science (CCIS)</w:t>
              </w:r>
            </w:hyperlink>
            <w:r w:rsidRPr="00453BCF">
              <w:rPr>
                <w:rFonts w:eastAsia="Times New Roman" w:cstheme="minorHAnsi"/>
              </w:rPr>
              <w:t xml:space="preserve"> was founded in 2019 as an open consortium where </w:t>
            </w:r>
            <w:hyperlink w:history="1" r:id="rId9">
              <w:proofErr w:type="spellStart"/>
              <w:r w:rsidRPr="00996DD6">
                <w:rPr>
                  <w:rStyle w:val="Hyperlink"/>
                  <w:rFonts w:eastAsia="Times New Roman" w:cstheme="minorHAnsi"/>
                </w:rPr>
                <w:t>Moonshot</w:t>
              </w:r>
            </w:hyperlink>
            <w:r w:rsidRPr="00996DD6" w:rsidR="00E1053F">
              <w:rPr>
                <w:rFonts w:eastAsia="Times New Roman" w:cstheme="minorHAnsi"/>
                <w:vertAlign w:val="superscript"/>
              </w:rPr>
              <w:t>SM</w:t>
            </w:r>
            <w:proofErr w:type="spellEnd"/>
            <w:r w:rsidRPr="00453BCF">
              <w:rPr>
                <w:rFonts w:eastAsia="Times New Roman" w:cstheme="minorHAnsi"/>
              </w:rPr>
              <w:t xml:space="preserve"> investigators as well as other researchers and practitioners work together to address key challenges and advance the implementation science (IS) agenda in cancer.</w:t>
            </w:r>
            <w:r>
              <w:rPr>
                <w:rFonts w:eastAsia="Times New Roman" w:cstheme="minorHAnsi"/>
              </w:rPr>
              <w:t xml:space="preserve"> </w:t>
            </w:r>
            <w:r w:rsidRPr="00453BCF">
              <w:rPr>
                <w:rFonts w:cstheme="minorHAnsi"/>
              </w:rPr>
              <w:t xml:space="preserve">Each year, an </w:t>
            </w:r>
            <w:hyperlink w:history="1" r:id="rId10">
              <w:r w:rsidRPr="00A16A94">
                <w:rPr>
                  <w:rStyle w:val="Hyperlink"/>
                  <w:rFonts w:cstheme="minorHAnsi"/>
                </w:rPr>
                <w:t>annual meeting</w:t>
              </w:r>
            </w:hyperlink>
            <w:r w:rsidRPr="00453BCF">
              <w:rPr>
                <w:rFonts w:cstheme="minorHAnsi"/>
              </w:rPr>
              <w:t xml:space="preserve"> is held where action groups meet to start or continue planning related to the development of publicly available tools and resources to move IS in cancer forward in the coming year. </w:t>
            </w:r>
          </w:p>
          <w:p w:rsidRPr="00453BCF" w:rsidR="00453BCF" w:rsidP="00996DD6" w:rsidRDefault="00453BCF" w14:paraId="766F3846" w14:textId="77777777">
            <w:pPr>
              <w:jc w:val="both"/>
              <w:rPr>
                <w:rFonts w:cstheme="minorHAnsi"/>
              </w:rPr>
            </w:pPr>
          </w:p>
          <w:p w:rsidR="00453BCF" w:rsidP="00996DD6" w:rsidRDefault="00453BCF" w14:paraId="775A3A12" w14:textId="2E0FAE37">
            <w:pPr>
              <w:jc w:val="both"/>
              <w:rPr>
                <w:rFonts w:eastAsia="Times New Roman" w:cstheme="minorHAnsi"/>
              </w:rPr>
            </w:pPr>
            <w:r w:rsidRPr="00453BCF">
              <w:rPr>
                <w:rFonts w:eastAsia="Times New Roman" w:cstheme="minorHAnsi"/>
              </w:rPr>
              <w:t>To support the development of publicly available tools and resources</w:t>
            </w:r>
            <w:r>
              <w:rPr>
                <w:rFonts w:eastAsia="Times New Roman" w:cstheme="minorHAnsi"/>
              </w:rPr>
              <w:t xml:space="preserve"> </w:t>
            </w:r>
            <w:r w:rsidRPr="00453BCF">
              <w:rPr>
                <w:rFonts w:eastAsia="Times New Roman" w:cstheme="minorHAnsi"/>
              </w:rPr>
              <w:t>and expand the reach to individuals at organizations with limited funding in implementation science, the National Cancer Institute is</w:t>
            </w:r>
            <w:r w:rsidR="00A16A94">
              <w:rPr>
                <w:rFonts w:eastAsia="Times New Roman" w:cstheme="minorHAnsi"/>
              </w:rPr>
              <w:t xml:space="preserve"> </w:t>
            </w:r>
            <w:r w:rsidRPr="00453BCF">
              <w:rPr>
                <w:rFonts w:eastAsia="Times New Roman" w:cstheme="minorHAnsi"/>
              </w:rPr>
              <w:t>accepting applications for personal service contracts</w:t>
            </w:r>
            <w:r w:rsidR="00996DD6">
              <w:rPr>
                <w:rFonts w:eastAsia="Times New Roman" w:cstheme="minorHAnsi"/>
              </w:rPr>
              <w:t xml:space="preserve"> </w:t>
            </w:r>
            <w:r w:rsidRPr="00453BCF">
              <w:rPr>
                <w:rFonts w:eastAsia="Times New Roman" w:cstheme="minorHAnsi"/>
              </w:rPr>
              <w:t>from individuals who are willing to dedicate time to develop and deliver specific tools and resources that have been prioritized by the action groups.</w:t>
            </w:r>
          </w:p>
          <w:p w:rsidR="00A16A94" w:rsidP="00996DD6" w:rsidRDefault="00A16A94" w14:paraId="4885477E" w14:textId="77777777">
            <w:pPr>
              <w:jc w:val="both"/>
              <w:rPr>
                <w:rFonts w:eastAsia="Times New Roman" w:cstheme="minorHAnsi"/>
              </w:rPr>
            </w:pPr>
          </w:p>
          <w:p w:rsidR="00A16A94" w:rsidP="00996DD6" w:rsidRDefault="00A16A94" w14:paraId="5E328306" w14:textId="32D467B6">
            <w:pPr>
              <w:jc w:val="both"/>
              <w:rPr>
                <w:rFonts w:eastAsia="Times New Roman" w:cstheme="minorHAnsi"/>
              </w:rPr>
            </w:pPr>
            <w:r w:rsidRPr="00D90B43">
              <w:t>Visit the website for more details as to eligibility</w:t>
            </w:r>
            <w:r>
              <w:t xml:space="preserve"> requirements</w:t>
            </w:r>
            <w:r w:rsidRPr="00D90B43">
              <w:t>, application process, and responses to frequently asked questions.</w:t>
            </w:r>
            <w:r>
              <w:t xml:space="preserve"> </w:t>
            </w:r>
            <w:r w:rsidRPr="00A16A94">
              <w:rPr>
                <w:b/>
                <w:bCs/>
              </w:rPr>
              <w:t xml:space="preserve">The submission period will be open from July 29 to </w:t>
            </w:r>
            <w:r w:rsidR="00E47637">
              <w:rPr>
                <w:b/>
                <w:bCs/>
              </w:rPr>
              <w:t>September 2</w:t>
            </w:r>
            <w:r w:rsidR="00E1053F">
              <w:rPr>
                <w:b/>
                <w:bCs/>
              </w:rPr>
              <w:t>, 2021</w:t>
            </w:r>
            <w:r w:rsidRPr="00A16A94">
              <w:rPr>
                <w:b/>
                <w:bCs/>
              </w:rPr>
              <w:t>.</w:t>
            </w:r>
          </w:p>
          <w:p w:rsidR="00453BCF" w:rsidP="00996DD6" w:rsidRDefault="00453BCF" w14:paraId="5957C85C" w14:textId="77777777">
            <w:pPr>
              <w:jc w:val="both"/>
            </w:pPr>
          </w:p>
          <w:p w:rsidR="00D90B43" w:rsidP="00996DD6" w:rsidRDefault="00D90B43" w14:paraId="792AC5BD" w14:textId="08F974C2">
            <w:pPr>
              <w:spacing w:after="160"/>
              <w:jc w:val="both"/>
            </w:pPr>
            <w:r w:rsidRPr="00A16A94">
              <w:rPr>
                <w:b/>
                <w:bCs/>
              </w:rPr>
              <w:t xml:space="preserve">Join us for a webinar on </w:t>
            </w:r>
            <w:r w:rsidR="00996DD6">
              <w:rPr>
                <w:b/>
                <w:bCs/>
              </w:rPr>
              <w:t>Thursday,</w:t>
            </w:r>
            <w:r w:rsidR="00E1053F">
              <w:rPr>
                <w:b/>
                <w:bCs/>
              </w:rPr>
              <w:t xml:space="preserve"> </w:t>
            </w:r>
            <w:r w:rsidRPr="00A16A94">
              <w:rPr>
                <w:b/>
                <w:bCs/>
              </w:rPr>
              <w:t>July 22, 2021</w:t>
            </w:r>
            <w:r w:rsidR="001D4F5F">
              <w:rPr>
                <w:b/>
                <w:bCs/>
              </w:rPr>
              <w:t>,</w:t>
            </w:r>
            <w:r w:rsidRPr="00A16A94">
              <w:rPr>
                <w:b/>
                <w:bCs/>
              </w:rPr>
              <w:t xml:space="preserve"> from </w:t>
            </w:r>
            <w:r w:rsidR="009C21FD">
              <w:rPr>
                <w:b/>
                <w:bCs/>
              </w:rPr>
              <w:t>3</w:t>
            </w:r>
            <w:r w:rsidR="00E1053F">
              <w:rPr>
                <w:b/>
                <w:bCs/>
              </w:rPr>
              <w:t xml:space="preserve">:00 – </w:t>
            </w:r>
            <w:r w:rsidR="009C21FD">
              <w:rPr>
                <w:b/>
                <w:bCs/>
              </w:rPr>
              <w:t>4</w:t>
            </w:r>
            <w:r w:rsidR="00E1053F">
              <w:rPr>
                <w:b/>
                <w:bCs/>
              </w:rPr>
              <w:t xml:space="preserve">:00 </w:t>
            </w:r>
            <w:r w:rsidRPr="00A16A94">
              <w:rPr>
                <w:b/>
                <w:bCs/>
              </w:rPr>
              <w:t>pm E</w:t>
            </w:r>
            <w:r w:rsidR="00996DD6">
              <w:rPr>
                <w:b/>
                <w:bCs/>
              </w:rPr>
              <w:t>S</w:t>
            </w:r>
            <w:r w:rsidRPr="00A16A94">
              <w:rPr>
                <w:b/>
                <w:bCs/>
              </w:rPr>
              <w:t>T</w:t>
            </w:r>
            <w:r>
              <w:t xml:space="preserve"> to learn more about this </w:t>
            </w:r>
            <w:r w:rsidR="009C21FD">
              <w:t>call for proposals</w:t>
            </w:r>
            <w:r>
              <w:t xml:space="preserve">. </w:t>
            </w:r>
          </w:p>
        </w:tc>
      </w:tr>
      <w:tr w:rsidR="009C21FD" w:rsidTr="00A16A94" w14:paraId="7AD15500" w14:textId="77777777">
        <w:trPr>
          <w:trHeight w:val="503"/>
        </w:trPr>
        <w:tc>
          <w:tcPr>
            <w:tcW w:w="2034" w:type="dxa"/>
          </w:tcPr>
          <w:p w:rsidRPr="00453BCF" w:rsidR="00D90B43" w:rsidP="00A16A94" w:rsidRDefault="00D90B43" w14:paraId="087BD4D1" w14:textId="77777777">
            <w:pPr>
              <w:spacing w:before="120"/>
              <w:rPr>
                <w:rFonts w:eastAsia="Times New Roman" w:cstheme="minorHAnsi"/>
              </w:rPr>
            </w:pPr>
          </w:p>
        </w:tc>
        <w:tc>
          <w:tcPr>
            <w:tcW w:w="1909" w:type="dxa"/>
          </w:tcPr>
          <w:p w:rsidRPr="009C21FD" w:rsidR="00D90B43" w:rsidP="00A16A94" w:rsidRDefault="00D90B43" w14:paraId="11A00A61" w14:textId="77777777">
            <w:pPr>
              <w:spacing w:before="120"/>
              <w:rPr>
                <w:rFonts w:eastAsia="Times New Roman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033" w:type="dxa"/>
            <w:shd w:val="clear" w:color="auto" w:fill="013B51"/>
            <w:vAlign w:val="center"/>
          </w:tcPr>
          <w:p w:rsidRPr="00833044" w:rsidR="00D90B43" w:rsidP="00A16A94" w:rsidRDefault="00833044" w14:paraId="43BAE469" w14:textId="72F8534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833044">
              <w:rPr>
                <w:b/>
                <w:bCs/>
              </w:rPr>
              <w:t>Apply</w:t>
            </w:r>
          </w:p>
        </w:tc>
        <w:tc>
          <w:tcPr>
            <w:tcW w:w="1731" w:type="dxa"/>
          </w:tcPr>
          <w:p w:rsidRPr="00453BCF" w:rsidR="00D90B43" w:rsidP="00A16A94" w:rsidRDefault="00D90B43" w14:paraId="73D95A52" w14:textId="77777777">
            <w:pPr>
              <w:spacing w:before="120"/>
              <w:rPr>
                <w:rFonts w:eastAsia="Times New Roman" w:cstheme="minorHAnsi"/>
              </w:rPr>
            </w:pPr>
          </w:p>
        </w:tc>
        <w:tc>
          <w:tcPr>
            <w:tcW w:w="1653" w:type="dxa"/>
          </w:tcPr>
          <w:p w:rsidRPr="00453BCF" w:rsidR="00D90B43" w:rsidP="00A16A94" w:rsidRDefault="00D90B43" w14:paraId="1C3A1200" w14:textId="1BB4F731">
            <w:pPr>
              <w:spacing w:before="120"/>
              <w:rPr>
                <w:rFonts w:eastAsia="Times New Roman" w:cstheme="minorHAnsi"/>
              </w:rPr>
            </w:pPr>
          </w:p>
        </w:tc>
      </w:tr>
      <w:tr w:rsidR="00D90B43" w:rsidTr="00A16A94" w14:paraId="23731EA7" w14:textId="77777777">
        <w:tc>
          <w:tcPr>
            <w:tcW w:w="9360" w:type="dxa"/>
            <w:gridSpan w:val="5"/>
          </w:tcPr>
          <w:p w:rsidRPr="00D90B43" w:rsidR="00D90B43" w:rsidP="00A16A94" w:rsidRDefault="00D90B43" w14:paraId="40E4C555" w14:textId="3C148EEE"/>
        </w:tc>
      </w:tr>
      <w:tr w:rsidR="00453BCF" w:rsidTr="00A16A94" w14:paraId="3D3C10FE" w14:textId="77777777">
        <w:tc>
          <w:tcPr>
            <w:tcW w:w="9360" w:type="dxa"/>
            <w:gridSpan w:val="5"/>
            <w:vAlign w:val="center"/>
          </w:tcPr>
          <w:p w:rsidR="00453BCF" w:rsidP="00A16A94" w:rsidRDefault="00A16A94" w14:paraId="4AE1385C" w14:textId="5A24618A">
            <w:r w:rsidRPr="00A16A94">
              <w:rPr>
                <w:noProof/>
              </w:rPr>
              <w:drawing>
                <wp:inline distT="0" distB="0" distL="0" distR="0" wp14:anchorId="40BEC13A" wp14:editId="3F8EA700">
                  <wp:extent cx="5821680" cy="645795"/>
                  <wp:effectExtent l="0" t="0" r="762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1468" cy="65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F9F" w:rsidRDefault="00A16A94" w14:paraId="395C9900" w14:textId="3CBB2AC8">
      <w:r w:rsidRPr="007D3FB7">
        <w:rPr>
          <w:b/>
          <w:bCs/>
        </w:rPr>
        <w:t>Subject Line:</w:t>
      </w:r>
      <w:r>
        <w:t xml:space="preserve"> SAVE THE DATE: </w:t>
      </w:r>
      <w:r w:rsidRPr="00A16A94">
        <w:t xml:space="preserve">Call for </w:t>
      </w:r>
      <w:r w:rsidR="009C21FD">
        <w:t>P</w:t>
      </w:r>
      <w:r w:rsidRPr="00A16A94">
        <w:t xml:space="preserve">roposals </w:t>
      </w:r>
      <w:r w:rsidR="009C21FD">
        <w:t xml:space="preserve">and Webinar </w:t>
      </w:r>
      <w:r w:rsidRPr="00A16A94">
        <w:t xml:space="preserve">to </w:t>
      </w:r>
      <w:r w:rsidR="009C21FD">
        <w:t>S</w:t>
      </w:r>
      <w:r w:rsidRPr="00A16A94">
        <w:t xml:space="preserve">upport </w:t>
      </w:r>
      <w:r w:rsidR="009C21FD">
        <w:t>D</w:t>
      </w:r>
      <w:r w:rsidRPr="00A16A94">
        <w:t xml:space="preserve">evelopment of </w:t>
      </w:r>
      <w:r w:rsidR="009C21FD">
        <w:t>P</w:t>
      </w:r>
      <w:r w:rsidRPr="00A16A94">
        <w:t xml:space="preserve">ublic </w:t>
      </w:r>
      <w:r w:rsidR="009C21FD">
        <w:t>G</w:t>
      </w:r>
      <w:r w:rsidRPr="00A16A94">
        <w:t>oods</w:t>
      </w:r>
      <w:r w:rsidR="00996DD6">
        <w:t xml:space="preserve"> for Implementation Science</w:t>
      </w:r>
    </w:p>
    <w:sectPr w:rsidR="00D32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A68A4" w14:textId="77777777" w:rsidR="009B6459" w:rsidRDefault="009B6459" w:rsidP="00A16A94">
      <w:pPr>
        <w:spacing w:after="0" w:line="240" w:lineRule="auto"/>
      </w:pPr>
      <w:r>
        <w:separator/>
      </w:r>
    </w:p>
  </w:endnote>
  <w:endnote w:type="continuationSeparator" w:id="0">
    <w:p w14:paraId="3FC75175" w14:textId="77777777" w:rsidR="009B6459" w:rsidRDefault="009B6459" w:rsidP="00A1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86C55" w14:textId="77777777" w:rsidR="009B6459" w:rsidRDefault="009B6459" w:rsidP="00A16A94">
      <w:pPr>
        <w:spacing w:after="0" w:line="240" w:lineRule="auto"/>
      </w:pPr>
      <w:r>
        <w:separator/>
      </w:r>
    </w:p>
  </w:footnote>
  <w:footnote w:type="continuationSeparator" w:id="0">
    <w:p w14:paraId="57A15041" w14:textId="77777777" w:rsidR="009B6459" w:rsidRDefault="009B6459" w:rsidP="00A16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CF"/>
    <w:rsid w:val="001C4E5E"/>
    <w:rsid w:val="001D4F5F"/>
    <w:rsid w:val="00340D1E"/>
    <w:rsid w:val="00453BCF"/>
    <w:rsid w:val="004B6411"/>
    <w:rsid w:val="006F60BB"/>
    <w:rsid w:val="007D3FB7"/>
    <w:rsid w:val="008241D9"/>
    <w:rsid w:val="00833044"/>
    <w:rsid w:val="00984E16"/>
    <w:rsid w:val="00996DD6"/>
    <w:rsid w:val="009B6459"/>
    <w:rsid w:val="009C21FD"/>
    <w:rsid w:val="00A16A94"/>
    <w:rsid w:val="00AB51D7"/>
    <w:rsid w:val="00B55D74"/>
    <w:rsid w:val="00BF5B56"/>
    <w:rsid w:val="00D32F9F"/>
    <w:rsid w:val="00D6428C"/>
    <w:rsid w:val="00D90B43"/>
    <w:rsid w:val="00DB0C1B"/>
    <w:rsid w:val="00E1053F"/>
    <w:rsid w:val="00E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D012"/>
  <w15:chartTrackingRefBased/>
  <w15:docId w15:val="{9A3A47D8-782E-46C5-89EA-01B428C7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6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A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A9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6A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A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94"/>
  </w:style>
  <w:style w:type="paragraph" w:styleId="Footer">
    <w:name w:val="footer"/>
    <w:basedOn w:val="Normal"/>
    <w:link w:val="FooterChar"/>
    <w:uiPriority w:val="99"/>
    <w:unhideWhenUsed/>
    <w:rsid w:val="00A1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94"/>
  </w:style>
  <w:style w:type="paragraph" w:styleId="BalloonText">
    <w:name w:val="Balloon Text"/>
    <w:basedOn w:val="Normal"/>
    <w:link w:val="BalloonTextChar"/>
    <w:uiPriority w:val="99"/>
    <w:semiHidden/>
    <w:unhideWhenUsed/>
    <w:rsid w:val="006F6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cercontrol.cancer.gov/is/initiatives/cci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s://cancercontrol.cancer.gov/is/initiatives/cci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cer.gov/research/key-initiatives/moonshot-cancer-initiative/blue-ribbon-pan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2021-07-20T17:54:00Z</dcterms:created>
  <dcterms:modified xsi:type="dcterms:W3CDTF">2021-07-20T17:54:00Z</dcterms:modified>
</cp:coreProperties>
</file>