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08A" w:rsidP="00F06866" w:rsidRDefault="00EE37F5" w14:paraId="200A4861" w14:textId="6B867D52">
      <w:pPr>
        <w:pStyle w:val="Heading2"/>
        <w:tabs>
          <w:tab w:val="left" w:pos="900"/>
        </w:tabs>
        <w:ind w:right="-180"/>
        <w:rPr>
          <w:sz w:val="28"/>
        </w:rPr>
      </w:pPr>
      <w:bookmarkStart w:name="_GoBack" w:id="0"/>
      <w:bookmarkEnd w:id="0"/>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rsidRDefault="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515459" w:rsidP="00515459" w:rsidRDefault="00515459" w14:paraId="4F050A90" w14:textId="12856F97">
      <w:pPr>
        <w:rPr>
          <w:b/>
        </w:rPr>
      </w:pPr>
      <w:r>
        <w:rPr>
          <w:b/>
          <w:noProof/>
        </w:rPr>
        <mc:AlternateContent>
          <mc:Choice Requires="wps">
            <w:drawing>
              <wp:anchor distT="0" distB="0" distL="114300" distR="114300" simplePos="0" relativeHeight="251657216" behindDoc="0" locked="0" layoutInCell="0" allowOverlap="1" wp14:editId="1E0B561E" wp14:anchorId="70BAE59F">
                <wp:simplePos x="0" y="0"/>
                <wp:positionH relativeFrom="column">
                  <wp:posOffset>0</wp:posOffset>
                </wp:positionH>
                <wp:positionV relativeFrom="paragraph">
                  <wp:posOffset>47670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3.75pt" to="468pt,3.75pt" w14:anchorId="5A44C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"/>
            </w:pict>
          </mc:Fallback>
        </mc:AlternateContent>
      </w:r>
    </w:p>
    <w:p w:rsidRPr="00515459" w:rsidR="00515459" w:rsidP="00515459" w:rsidRDefault="005E714A" w14:paraId="30F2FC16" w14:textId="62679029">
      <w:pPr>
        <w:rPr>
          <w:b/>
        </w:rPr>
      </w:pPr>
      <w:r w:rsidRPr="00434E33">
        <w:rPr>
          <w:b/>
        </w:rPr>
        <w:t>TITLE OF INFORMATION COLLECTION</w:t>
      </w:r>
      <w:r w:rsidRPr="00515459">
        <w:rPr>
          <w:b/>
        </w:rPr>
        <w:t>:</w:t>
      </w:r>
      <w:r w:rsidRPr="00515459">
        <w:t xml:space="preserve">  </w:t>
      </w:r>
      <w:r w:rsidRPr="00515459" w:rsidR="00515459">
        <w:rPr>
          <w:bCs/>
        </w:rPr>
        <w:t>Rachel Pearline Award Nominations</w:t>
      </w:r>
      <w:r w:rsidRPr="00515459" w:rsidR="00515459">
        <w:t xml:space="preserve"> (NCI)</w:t>
      </w:r>
    </w:p>
    <w:p w:rsidR="005E714A" w:rsidRDefault="005E714A" w14:paraId="7E4E3CB3" w14:textId="77777777"/>
    <w:p w:rsidR="001B0AAA" w:rsidRDefault="00F15956" w14:paraId="1A7B8BC0" w14:textId="77777777">
      <w:r>
        <w:rPr>
          <w:b/>
        </w:rPr>
        <w:t>PURPOSE</w:t>
      </w:r>
      <w:r w:rsidRPr="009239AA">
        <w:rPr>
          <w:b/>
        </w:rPr>
        <w:t>:</w:t>
      </w:r>
      <w:r w:rsidRPr="009239AA" w:rsidR="00C14CC4">
        <w:rPr>
          <w:b/>
        </w:rPr>
        <w:t xml:space="preserve">  </w:t>
      </w:r>
    </w:p>
    <w:p w:rsidR="001B0AAA" w:rsidRDefault="001B0AAA" w14:paraId="10AD0DCF" w14:textId="77777777"/>
    <w:p w:rsidRPr="00282727" w:rsidR="00282727" w:rsidP="00282727" w:rsidRDefault="00282727" w14:paraId="47F109E3" w14:textId="50D4BE2E">
      <w:r w:rsidRPr="00282727">
        <w:t>The 9</w:t>
      </w:r>
      <w:r w:rsidRPr="00282727">
        <w:rPr>
          <w:vertAlign w:val="superscript"/>
        </w:rPr>
        <w:t>th</w:t>
      </w:r>
      <w:r w:rsidRPr="00282727">
        <w:t xml:space="preserve"> Annual Symposium on Global Cancer Research Steering Committee would like to invite nominations for the 6</w:t>
      </w:r>
      <w:r w:rsidRPr="00282727">
        <w:rPr>
          <w:vertAlign w:val="superscript"/>
        </w:rPr>
        <w:t>th</w:t>
      </w:r>
      <w:r w:rsidRPr="00282727">
        <w:t xml:space="preserve"> Annual Rachel Pearline Award, to be presented at the virtual Symposium. </w:t>
      </w:r>
    </w:p>
    <w:p w:rsidR="00282727" w:rsidP="00282727" w:rsidRDefault="00282727" w14:paraId="2A49B5F4" w14:textId="77777777"/>
    <w:p w:rsidRPr="00282727" w:rsidR="00282727" w:rsidP="00282727" w:rsidRDefault="00282727" w14:paraId="152F2D93" w14:textId="7A8DDDFD">
      <w:r w:rsidRPr="00282727">
        <w:t>The Rachel Pearline Award honors Rachel Pearline, MD, MPH who received the award named in her memory in 2016 following her death at the age of 38, in November 2015, from gastric cancer.</w:t>
      </w:r>
      <w:r>
        <w:t xml:space="preserve"> </w:t>
      </w:r>
      <w:r w:rsidRPr="00282727">
        <w:t>As part of the Symposium each year, we recognize one outstanding professional for their excellence in global cancer research and practice. The Steering Committee invites nominations of individuals, at any stage in their career, who have made major contributions to global cancer research and practice. The nominee's work should focus on cancer research and practice in low-and-middle-income countries. The Steering Committee particularly wishes to encourage nominations of individuals currently living and working in a LMIC. The nominee will be recognized at the Annual Symposium on Global Cancer Research where they must give a keynote address that highlights their contributions to global cancer research or practice, and their future perspectives.</w:t>
      </w:r>
    </w:p>
    <w:p w:rsidR="00C8488C" w:rsidP="00434E33" w:rsidRDefault="00C8488C" w14:paraId="16F056AE" w14:textId="77777777">
      <w:pPr>
        <w:pStyle w:val="Header"/>
        <w:tabs>
          <w:tab w:val="clear" w:pos="4320"/>
          <w:tab w:val="clear" w:pos="8640"/>
        </w:tabs>
        <w:rPr>
          <w:b/>
        </w:rPr>
      </w:pPr>
    </w:p>
    <w:p w:rsidRPr="00282727" w:rsidR="00F15956" w:rsidP="00282727" w:rsidRDefault="00434E33" w14:paraId="556B2A44" w14:textId="2F8A20AE">
      <w:pPr>
        <w:pStyle w:val="Header"/>
        <w:tabs>
          <w:tab w:val="clear" w:pos="4320"/>
          <w:tab w:val="clear" w:pos="8640"/>
        </w:tabs>
        <w:rPr>
          <w:i/>
          <w:snapToGrid/>
        </w:rPr>
      </w:pPr>
      <w:r w:rsidRPr="00434E33">
        <w:rPr>
          <w:b/>
        </w:rPr>
        <w:t>DESCRIPTION OF RESPONDENTS</w:t>
      </w:r>
      <w:r>
        <w:t xml:space="preserve">: </w:t>
      </w:r>
    </w:p>
    <w:p w:rsidR="00C8488C" w:rsidRDefault="00C8488C" w14:paraId="0B414700" w14:textId="77777777"/>
    <w:p w:rsidRPr="00515459" w:rsidR="00515459" w:rsidP="00515459" w:rsidRDefault="00515459" w14:paraId="4077E1F9" w14:textId="77777777">
      <w:r w:rsidRPr="00515459">
        <w:t xml:space="preserve">NIH Scientists, NIH-funded Researchers, PIs, NCI Designated Cancer Centers, academic institutions, students, and researchers from low- and middle-income countries. </w:t>
      </w:r>
    </w:p>
    <w:p w:rsidR="00E26329" w:rsidRDefault="00E26329" w14:paraId="38C22350" w14:textId="77777777">
      <w:pPr>
        <w:rPr>
          <w:b/>
        </w:rPr>
      </w:pPr>
    </w:p>
    <w:p w:rsidR="00E26329" w:rsidRDefault="00E26329" w14:paraId="0AD177E0" w14:textId="77777777">
      <w:pPr>
        <w:rPr>
          <w:b/>
        </w:rPr>
      </w:pPr>
    </w:p>
    <w:p w:rsidRPr="00F06866" w:rsidR="00F06866" w:rsidRDefault="00F06866" w14:paraId="20F08E9D" w14:textId="77777777">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729623A5">
      <w:pPr>
        <w:pStyle w:val="BodyTextIndent"/>
        <w:tabs>
          <w:tab w:val="left" w:pos="360"/>
        </w:tabs>
        <w:ind w:left="0"/>
        <w:rPr>
          <w:bCs/>
          <w:sz w:val="24"/>
        </w:rPr>
      </w:pPr>
      <w:r w:rsidRPr="00F06866">
        <w:rPr>
          <w:bCs/>
          <w:sz w:val="24"/>
        </w:rPr>
        <w:t xml:space="preserve">[ ] </w:t>
      </w:r>
      <w:r w:rsidR="00DB608A">
        <w:rPr>
          <w:bCs/>
          <w:sz w:val="24"/>
        </w:rPr>
        <w:t>Recommendations of scientific reviewers</w:t>
      </w:r>
      <w:r w:rsidR="00DB608A">
        <w:rPr>
          <w:bCs/>
          <w:sz w:val="24"/>
        </w:rPr>
        <w:tab/>
      </w:r>
      <w:r w:rsidR="00254D56">
        <w:rPr>
          <w:bCs/>
          <w:sz w:val="24"/>
        </w:rPr>
        <w:tab/>
      </w:r>
      <w:r w:rsidR="00DB608A">
        <w:rPr>
          <w:bCs/>
          <w:sz w:val="24"/>
        </w:rPr>
        <w:t>[ ] Resources</w:t>
      </w:r>
    </w:p>
    <w:p w:rsidRPr="00F06866" w:rsidR="00F06866" w:rsidP="0096108F" w:rsidRDefault="00935ADA" w14:paraId="3A23215E" w14:textId="7CC83972">
      <w:pPr>
        <w:pStyle w:val="BodyTextIndent"/>
        <w:tabs>
          <w:tab w:val="left" w:pos="360"/>
        </w:tabs>
        <w:ind w:left="0"/>
        <w:rPr>
          <w:bCs/>
          <w:sz w:val="24"/>
        </w:rPr>
      </w:pPr>
      <w:r>
        <w:rPr>
          <w:bCs/>
          <w:sz w:val="24"/>
        </w:rPr>
        <w:t>[</w:t>
      </w:r>
      <w:r w:rsidR="00254D56">
        <w:rPr>
          <w:bCs/>
          <w:sz w:val="24"/>
        </w:rPr>
        <w:t xml:space="preserve"> X</w:t>
      </w:r>
      <w:r w:rsidR="006D5F47">
        <w:rPr>
          <w:bCs/>
          <w:sz w:val="24"/>
        </w:rPr>
        <w:t xml:space="preserve"> ] </w:t>
      </w:r>
      <w:r w:rsidR="00DB608A">
        <w:rPr>
          <w:bCs/>
          <w:sz w:val="24"/>
        </w:rPr>
        <w:t>Call for Nominations</w:t>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0C3E664" w14:textId="77777777">
      <w:pPr>
        <w:pStyle w:val="Header"/>
        <w:tabs>
          <w:tab w:val="clear" w:pos="4320"/>
          <w:tab w:val="clear" w:pos="8640"/>
        </w:tabs>
      </w:pPr>
    </w:p>
    <w:p w:rsidR="00CA2650" w:rsidRDefault="00441434" w14:paraId="266A8E6E" w14:textId="77777777">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2D633177">
      <w:pPr>
        <w:pStyle w:val="ListParagraph"/>
        <w:numPr>
          <w:ilvl w:val="0"/>
          <w:numId w:val="14"/>
        </w:numPr>
      </w:pPr>
      <w:r>
        <w:t>The</w:t>
      </w:r>
      <w:r w:rsidRPr="00C14CC4">
        <w:t xml:space="preserve"> collection </w:t>
      </w:r>
      <w:r>
        <w:t xml:space="preserve">is </w:t>
      </w:r>
      <w:r w:rsidRPr="00C14CC4" w:rsidR="00515459">
        <w:t>low burden</w:t>
      </w:r>
      <w:r w:rsidRPr="00C14CC4">
        <w:t xml:space="preserve"> for respondents and low-cost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009C13B9" w:rsidP="009C13B9" w:rsidRDefault="009C13B9" w14:paraId="52DF1569" w14:textId="01EE02BA">
      <w:r>
        <w:t>Name:</w:t>
      </w:r>
      <w:r w:rsidRPr="00515459" w:rsidR="00515459">
        <w:rPr>
          <w:rFonts w:ascii="Calibri" w:hAnsi="Calibri"/>
          <w:bCs/>
          <w:sz w:val="22"/>
          <w:szCs w:val="22"/>
          <w:lang w:eastAsia="zh-CN"/>
        </w:rPr>
        <w:t xml:space="preserve"> </w:t>
      </w:r>
      <w:proofErr w:type="spellStart"/>
      <w:r w:rsidRPr="00515459" w:rsidR="00515459">
        <w:rPr>
          <w:bCs/>
        </w:rPr>
        <w:t>Mishka</w:t>
      </w:r>
      <w:proofErr w:type="spellEnd"/>
      <w:r w:rsidRPr="00515459" w:rsidR="00515459">
        <w:rPr>
          <w:bCs/>
        </w:rPr>
        <w:t xml:space="preserve"> Cira</w:t>
      </w:r>
    </w:p>
    <w:p w:rsidR="00515459" w:rsidRDefault="00515459" w14:paraId="36E0C394" w14:textId="61149118"/>
    <w:p w:rsidR="009C13B9" w:rsidP="009C13B9" w:rsidRDefault="009C13B9" w14:paraId="24E1CA9D" w14:textId="22EB45C8">
      <w:r>
        <w:t>To assist review, please provide answers to the following question:</w:t>
      </w:r>
    </w:p>
    <w:p w:rsidR="009C13B9" w:rsidP="009C13B9" w:rsidRDefault="009C13B9" w14:paraId="0526A668" w14:textId="77777777">
      <w:pPr>
        <w:pStyle w:val="ListParagraph"/>
        <w:ind w:left="360"/>
      </w:pPr>
    </w:p>
    <w:p w:rsidRPr="00C86E91" w:rsidR="009C13B9" w:rsidP="00C86E91" w:rsidRDefault="00C86E91" w14:paraId="36CA8E31" w14:textId="77777777">
      <w:pPr>
        <w:rPr>
          <w:b/>
        </w:rPr>
      </w:pPr>
      <w:r w:rsidRPr="00C86E91">
        <w:rPr>
          <w:b/>
        </w:rPr>
        <w:t>Personally Identifiable Information:</w:t>
      </w:r>
    </w:p>
    <w:p w:rsidR="00C86E91" w:rsidP="00C86E91" w:rsidRDefault="009C13B9" w14:paraId="13BDC04D" w14:textId="77777777">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P="00C86E91" w:rsidRDefault="009C13B9" w14:paraId="7186FCEC"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62A1D75A" w14:textId="77777777">
      <w:pPr>
        <w:pStyle w:val="ListParagraph"/>
        <w:numPr>
          <w:ilvl w:val="0"/>
          <w:numId w:val="18"/>
        </w:numPr>
      </w:pPr>
      <w:r>
        <w:t>If Applicable, has a System or Records Notice been published?  [  ] Yes  [  ] No</w:t>
      </w:r>
    </w:p>
    <w:p w:rsidR="00633F74" w:rsidP="00633F74" w:rsidRDefault="00633F74" w14:paraId="75CF8E01" w14:textId="77777777">
      <w:pPr>
        <w:pStyle w:val="ListParagraph"/>
        <w:ind w:left="360"/>
      </w:pPr>
    </w:p>
    <w:p w:rsidRPr="00C86E91" w:rsidR="00C86E91" w:rsidP="00C86E91" w:rsidRDefault="00CB1078" w14:paraId="3687B54C" w14:textId="77777777">
      <w:pPr>
        <w:pStyle w:val="ListParagraph"/>
        <w:ind w:left="0"/>
        <w:rPr>
          <w:b/>
        </w:rPr>
      </w:pPr>
      <w:r>
        <w:rPr>
          <w:b/>
        </w:rPr>
        <w:t>Gifts or Payments</w:t>
      </w:r>
      <w:r w:rsidR="00C86E91">
        <w:rPr>
          <w:b/>
        </w:rPr>
        <w:t>:</w:t>
      </w:r>
    </w:p>
    <w:p w:rsidR="00C86E91" w:rsidP="00C86E91" w:rsidRDefault="00C86E91" w14:paraId="0F43050C" w14:textId="77777777">
      <w:r>
        <w:t xml:space="preserve">Is an incentive (e.g., money or reimbursement of expenses, token of appreciation) provided to participants?  [  ] Yes [  ] No  </w:t>
      </w:r>
    </w:p>
    <w:p w:rsidR="004D6E14" w:rsidRDefault="004D6E14" w14:paraId="19254812" w14:textId="77777777">
      <w:pPr>
        <w:rPr>
          <w:b/>
        </w:rPr>
      </w:pPr>
    </w:p>
    <w:p w:rsidR="00F24CFC" w:rsidRDefault="00F24CFC" w14:paraId="464AA28C" w14:textId="77777777">
      <w:pPr>
        <w:rPr>
          <w:b/>
        </w:rPr>
      </w:pPr>
    </w:p>
    <w:p w:rsidRPr="00BC676D" w:rsidR="005E714A" w:rsidP="00C86E91" w:rsidRDefault="003668D6" w14:paraId="384A9DB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190580F" w14:textId="77777777">
      <w:pPr>
        <w:keepNext/>
        <w:keepLines/>
        <w:rPr>
          <w:b/>
        </w:rPr>
      </w:pP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27"/>
        <w:gridCol w:w="1530"/>
        <w:gridCol w:w="2070"/>
        <w:gridCol w:w="1530"/>
        <w:gridCol w:w="2070"/>
      </w:tblGrid>
      <w:tr w:rsidR="003668D6" w:rsidTr="00254D56" w14:paraId="43D8EEDC" w14:textId="77777777">
        <w:trPr>
          <w:trHeight w:val="274"/>
        </w:trPr>
        <w:tc>
          <w:tcPr>
            <w:tcW w:w="2227" w:type="dxa"/>
            <w:vAlign w:val="center"/>
          </w:tcPr>
          <w:p w:rsidRPr="002D26E2" w:rsidR="003668D6" w:rsidP="00515459" w:rsidRDefault="003668D6" w14:paraId="398EF93D" w14:textId="1B325E78">
            <w:pPr>
              <w:jc w:val="center"/>
              <w:rPr>
                <w:b/>
              </w:rPr>
            </w:pPr>
            <w:r w:rsidRPr="002D26E2">
              <w:rPr>
                <w:b/>
              </w:rPr>
              <w:t>Category of Respondent</w:t>
            </w:r>
          </w:p>
        </w:tc>
        <w:tc>
          <w:tcPr>
            <w:tcW w:w="1530" w:type="dxa"/>
            <w:vAlign w:val="center"/>
          </w:tcPr>
          <w:p w:rsidRPr="002D26E2" w:rsidR="003668D6" w:rsidP="00515459" w:rsidRDefault="003668D6" w14:paraId="3CFC5F12" w14:textId="77777777">
            <w:pPr>
              <w:jc w:val="center"/>
              <w:rPr>
                <w:b/>
              </w:rPr>
            </w:pPr>
            <w:r w:rsidRPr="002D26E2">
              <w:rPr>
                <w:b/>
              </w:rPr>
              <w:t>No. of Respondents</w:t>
            </w:r>
          </w:p>
        </w:tc>
        <w:tc>
          <w:tcPr>
            <w:tcW w:w="2070" w:type="dxa"/>
            <w:vAlign w:val="center"/>
          </w:tcPr>
          <w:p w:rsidRPr="002D26E2" w:rsidR="003668D6" w:rsidP="00515459" w:rsidRDefault="003668D6" w14:paraId="38D7FB13" w14:textId="765EE1F4">
            <w:pPr>
              <w:jc w:val="center"/>
              <w:rPr>
                <w:b/>
              </w:rPr>
            </w:pPr>
            <w:r>
              <w:rPr>
                <w:b/>
              </w:rPr>
              <w:t>No. of Responses per Respondent</w:t>
            </w:r>
          </w:p>
        </w:tc>
        <w:tc>
          <w:tcPr>
            <w:tcW w:w="1530" w:type="dxa"/>
            <w:vAlign w:val="center"/>
          </w:tcPr>
          <w:p w:rsidR="003668D6" w:rsidP="00515459" w:rsidRDefault="003668D6" w14:paraId="50C7D0F5" w14:textId="310F4EF8">
            <w:pPr>
              <w:jc w:val="center"/>
              <w:rPr>
                <w:b/>
              </w:rPr>
            </w:pPr>
            <w:r>
              <w:rPr>
                <w:b/>
              </w:rPr>
              <w:t>Time per</w:t>
            </w:r>
          </w:p>
          <w:p w:rsidR="003668D6" w:rsidP="00515459" w:rsidRDefault="003668D6" w14:paraId="1CA824AB" w14:textId="3355475A">
            <w:pPr>
              <w:jc w:val="center"/>
              <w:rPr>
                <w:b/>
              </w:rPr>
            </w:pPr>
            <w:r>
              <w:rPr>
                <w:b/>
              </w:rPr>
              <w:t>Response</w:t>
            </w:r>
          </w:p>
          <w:p w:rsidRPr="002D26E2" w:rsidR="003668D6" w:rsidP="00515459" w:rsidRDefault="003668D6" w14:paraId="7993698B" w14:textId="699F1791">
            <w:pPr>
              <w:jc w:val="center"/>
              <w:rPr>
                <w:b/>
              </w:rPr>
            </w:pPr>
            <w:r>
              <w:rPr>
                <w:b/>
              </w:rPr>
              <w:t>(in hours)</w:t>
            </w:r>
          </w:p>
        </w:tc>
        <w:tc>
          <w:tcPr>
            <w:tcW w:w="2070" w:type="dxa"/>
            <w:vAlign w:val="center"/>
          </w:tcPr>
          <w:p w:rsidR="003668D6" w:rsidP="00515459" w:rsidRDefault="003668D6" w14:paraId="2744E6E5" w14:textId="77777777">
            <w:pPr>
              <w:jc w:val="center"/>
              <w:rPr>
                <w:b/>
              </w:rPr>
            </w:pPr>
            <w:r>
              <w:rPr>
                <w:b/>
              </w:rPr>
              <w:t xml:space="preserve">Total </w:t>
            </w:r>
            <w:r w:rsidRPr="002D26E2">
              <w:rPr>
                <w:b/>
              </w:rPr>
              <w:t>Burden</w:t>
            </w:r>
          </w:p>
          <w:p w:rsidRPr="002D26E2" w:rsidR="003668D6" w:rsidP="00515459" w:rsidRDefault="003668D6" w14:paraId="195A9A2A" w14:textId="175807A5">
            <w:pPr>
              <w:jc w:val="center"/>
              <w:rPr>
                <w:b/>
              </w:rPr>
            </w:pPr>
            <w:r>
              <w:rPr>
                <w:b/>
              </w:rPr>
              <w:t>Hours</w:t>
            </w:r>
          </w:p>
        </w:tc>
      </w:tr>
      <w:tr w:rsidR="003668D6" w:rsidTr="00254D56" w14:paraId="6C4086BE" w14:textId="77777777">
        <w:trPr>
          <w:trHeight w:val="260"/>
        </w:trPr>
        <w:tc>
          <w:tcPr>
            <w:tcW w:w="2227" w:type="dxa"/>
          </w:tcPr>
          <w:p w:rsidR="003668D6" w:rsidP="00843796" w:rsidRDefault="00515459" w14:paraId="74505133" w14:textId="176C321A">
            <w:r>
              <w:t>Individuals</w:t>
            </w:r>
          </w:p>
        </w:tc>
        <w:tc>
          <w:tcPr>
            <w:tcW w:w="1530" w:type="dxa"/>
            <w:vAlign w:val="center"/>
          </w:tcPr>
          <w:p w:rsidR="003668D6" w:rsidP="00515459" w:rsidRDefault="00515459" w14:paraId="48480537" w14:textId="7DE058A6">
            <w:pPr>
              <w:jc w:val="center"/>
            </w:pPr>
            <w:r>
              <w:t>20</w:t>
            </w:r>
          </w:p>
        </w:tc>
        <w:tc>
          <w:tcPr>
            <w:tcW w:w="2070" w:type="dxa"/>
            <w:vAlign w:val="center"/>
          </w:tcPr>
          <w:p w:rsidR="003668D6" w:rsidP="00515459" w:rsidRDefault="00515459" w14:paraId="0DFCFA35" w14:textId="22B5C4F4">
            <w:pPr>
              <w:jc w:val="center"/>
            </w:pPr>
            <w:r>
              <w:t>1</w:t>
            </w:r>
          </w:p>
        </w:tc>
        <w:tc>
          <w:tcPr>
            <w:tcW w:w="1530" w:type="dxa"/>
            <w:vAlign w:val="center"/>
          </w:tcPr>
          <w:p w:rsidR="003668D6" w:rsidP="00515459" w:rsidRDefault="00515459" w14:paraId="3D1773F5" w14:textId="72133562">
            <w:pPr>
              <w:jc w:val="center"/>
            </w:pPr>
            <w:r>
              <w:t>30/60</w:t>
            </w:r>
          </w:p>
        </w:tc>
        <w:tc>
          <w:tcPr>
            <w:tcW w:w="2070" w:type="dxa"/>
            <w:vAlign w:val="center"/>
          </w:tcPr>
          <w:p w:rsidR="003668D6" w:rsidP="00515459" w:rsidRDefault="00515459" w14:paraId="47C85A64" w14:textId="562591BA">
            <w:pPr>
              <w:jc w:val="center"/>
            </w:pPr>
            <w:r>
              <w:t>10</w:t>
            </w:r>
          </w:p>
        </w:tc>
      </w:tr>
      <w:tr w:rsidR="003668D6" w:rsidTr="00254D56" w14:paraId="40D619CD" w14:textId="77777777">
        <w:trPr>
          <w:trHeight w:val="289"/>
        </w:trPr>
        <w:tc>
          <w:tcPr>
            <w:tcW w:w="2227" w:type="dxa"/>
          </w:tcPr>
          <w:p w:rsidRPr="002D26E2" w:rsidR="003668D6" w:rsidP="00843796" w:rsidRDefault="003668D6" w14:paraId="4881398D" w14:textId="77777777">
            <w:pPr>
              <w:rPr>
                <w:b/>
              </w:rPr>
            </w:pPr>
            <w:r w:rsidRPr="002D26E2">
              <w:rPr>
                <w:b/>
              </w:rPr>
              <w:t>Totals</w:t>
            </w:r>
          </w:p>
        </w:tc>
        <w:tc>
          <w:tcPr>
            <w:tcW w:w="1530" w:type="dxa"/>
            <w:vAlign w:val="center"/>
          </w:tcPr>
          <w:p w:rsidRPr="002D26E2" w:rsidR="003668D6" w:rsidP="00515459" w:rsidRDefault="003668D6" w14:paraId="2089A7BF" w14:textId="77777777">
            <w:pPr>
              <w:jc w:val="center"/>
              <w:rPr>
                <w:b/>
              </w:rPr>
            </w:pPr>
          </w:p>
        </w:tc>
        <w:tc>
          <w:tcPr>
            <w:tcW w:w="2070" w:type="dxa"/>
            <w:vAlign w:val="center"/>
          </w:tcPr>
          <w:p w:rsidRPr="00515459" w:rsidR="003668D6" w:rsidP="00515459" w:rsidRDefault="00515459" w14:paraId="5BF515D7" w14:textId="12DB3C77">
            <w:pPr>
              <w:jc w:val="center"/>
              <w:rPr>
                <w:b/>
                <w:bCs/>
              </w:rPr>
            </w:pPr>
            <w:r w:rsidRPr="00515459">
              <w:rPr>
                <w:b/>
                <w:bCs/>
              </w:rPr>
              <w:t>20</w:t>
            </w:r>
          </w:p>
        </w:tc>
        <w:tc>
          <w:tcPr>
            <w:tcW w:w="1530" w:type="dxa"/>
            <w:vAlign w:val="center"/>
          </w:tcPr>
          <w:p w:rsidR="003668D6" w:rsidP="00515459" w:rsidRDefault="003668D6" w14:paraId="6453AF92" w14:textId="77777777">
            <w:pPr>
              <w:jc w:val="center"/>
            </w:pPr>
          </w:p>
        </w:tc>
        <w:tc>
          <w:tcPr>
            <w:tcW w:w="2070" w:type="dxa"/>
            <w:vAlign w:val="center"/>
          </w:tcPr>
          <w:p w:rsidRPr="002D26E2" w:rsidR="003668D6" w:rsidP="00515459" w:rsidRDefault="00515459" w14:paraId="79836567" w14:textId="6DE59281">
            <w:pPr>
              <w:jc w:val="center"/>
              <w:rPr>
                <w:b/>
              </w:rPr>
            </w:pPr>
            <w:r>
              <w:rPr>
                <w:b/>
              </w:rPr>
              <w:t>10</w:t>
            </w:r>
          </w:p>
        </w:tc>
      </w:tr>
    </w:tbl>
    <w:p w:rsidR="00F3170F" w:rsidP="00F3170F" w:rsidRDefault="00F3170F" w14:paraId="70A8B133" w14:textId="77777777"/>
    <w:p w:rsidRPr="009A036B" w:rsidR="009A036B" w:rsidP="009A036B" w:rsidRDefault="009A036B" w14:paraId="12A2E8AB" w14:textId="77777777">
      <w:pPr>
        <w:rPr>
          <w:b/>
        </w:rPr>
      </w:pP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867"/>
      </w:tblGrid>
      <w:tr w:rsidRPr="009A036B" w:rsidR="00CA2010" w:rsidTr="00254D56" w14:paraId="76277B5B" w14:textId="77777777">
        <w:trPr>
          <w:trHeight w:val="274"/>
        </w:trPr>
        <w:tc>
          <w:tcPr>
            <w:tcW w:w="2790" w:type="dxa"/>
            <w:vAlign w:val="center"/>
          </w:tcPr>
          <w:p w:rsidRPr="009A036B" w:rsidR="00CA2010" w:rsidP="00254D56" w:rsidRDefault="00CA2010" w14:paraId="267E1AAC" w14:textId="3AA1FF11">
            <w:pPr>
              <w:jc w:val="center"/>
              <w:rPr>
                <w:b/>
              </w:rPr>
            </w:pPr>
            <w:r w:rsidRPr="00CA2010">
              <w:rPr>
                <w:b/>
              </w:rPr>
              <w:t>Category of Respondent</w:t>
            </w:r>
          </w:p>
        </w:tc>
        <w:tc>
          <w:tcPr>
            <w:tcW w:w="2250" w:type="dxa"/>
            <w:vAlign w:val="center"/>
          </w:tcPr>
          <w:p w:rsidRPr="00CA2010" w:rsidR="00CA2010" w:rsidP="00515459" w:rsidRDefault="00CA2010" w14:paraId="4ED1F780" w14:textId="77777777">
            <w:pPr>
              <w:jc w:val="center"/>
              <w:rPr>
                <w:b/>
              </w:rPr>
            </w:pPr>
            <w:r w:rsidRPr="00CA2010">
              <w:rPr>
                <w:b/>
              </w:rPr>
              <w:t>Total Burden</w:t>
            </w:r>
          </w:p>
          <w:p w:rsidRPr="009A036B" w:rsidR="00CA2010" w:rsidP="00515459" w:rsidRDefault="00CA2010" w14:paraId="6810BA1F" w14:textId="77777777">
            <w:pPr>
              <w:jc w:val="center"/>
              <w:rPr>
                <w:b/>
              </w:rPr>
            </w:pPr>
            <w:r w:rsidRPr="00CA2010">
              <w:rPr>
                <w:b/>
              </w:rPr>
              <w:t>Hours</w:t>
            </w:r>
          </w:p>
        </w:tc>
        <w:tc>
          <w:tcPr>
            <w:tcW w:w="2520" w:type="dxa"/>
            <w:vAlign w:val="center"/>
          </w:tcPr>
          <w:p w:rsidRPr="009A036B" w:rsidR="00CA2010" w:rsidP="00515459" w:rsidRDefault="00F94D8C" w14:paraId="64C1222F" w14:textId="77777777">
            <w:pPr>
              <w:jc w:val="center"/>
              <w:rPr>
                <w:b/>
              </w:rPr>
            </w:pPr>
            <w:r>
              <w:rPr>
                <w:b/>
              </w:rPr>
              <w:t xml:space="preserve">Hourly </w:t>
            </w:r>
            <w:r w:rsidR="00CA2010">
              <w:rPr>
                <w:b/>
              </w:rPr>
              <w:t>Wage Rate*</w:t>
            </w:r>
          </w:p>
        </w:tc>
        <w:tc>
          <w:tcPr>
            <w:tcW w:w="1867" w:type="dxa"/>
            <w:vAlign w:val="center"/>
          </w:tcPr>
          <w:p w:rsidRPr="009A036B" w:rsidR="00CA2010" w:rsidP="00515459" w:rsidRDefault="00CA2010" w14:paraId="604946A1" w14:textId="191C663A">
            <w:pPr>
              <w:jc w:val="center"/>
              <w:rPr>
                <w:b/>
              </w:rPr>
            </w:pPr>
            <w:r>
              <w:rPr>
                <w:b/>
              </w:rPr>
              <w:t>Total Burden Cost</w:t>
            </w:r>
          </w:p>
        </w:tc>
      </w:tr>
      <w:tr w:rsidRPr="009A036B" w:rsidR="00CA2010" w:rsidTr="00254D56" w14:paraId="43039D02" w14:textId="77777777">
        <w:trPr>
          <w:trHeight w:val="260"/>
        </w:trPr>
        <w:tc>
          <w:tcPr>
            <w:tcW w:w="2790" w:type="dxa"/>
          </w:tcPr>
          <w:p w:rsidRPr="009A036B" w:rsidR="00CA2010" w:rsidP="009A036B" w:rsidRDefault="00515459" w14:paraId="63B44F56" w14:textId="5E189CF5">
            <w:r>
              <w:t>Individuals</w:t>
            </w:r>
          </w:p>
        </w:tc>
        <w:tc>
          <w:tcPr>
            <w:tcW w:w="2250" w:type="dxa"/>
          </w:tcPr>
          <w:p w:rsidRPr="009A036B" w:rsidR="00CA2010" w:rsidP="00515459" w:rsidRDefault="00515459" w14:paraId="17548B0F" w14:textId="49CA8818">
            <w:pPr>
              <w:jc w:val="center"/>
            </w:pPr>
            <w:r>
              <w:t>10</w:t>
            </w:r>
          </w:p>
        </w:tc>
        <w:tc>
          <w:tcPr>
            <w:tcW w:w="2520" w:type="dxa"/>
          </w:tcPr>
          <w:p w:rsidRPr="009A036B" w:rsidR="00CA2010" w:rsidP="00515459" w:rsidRDefault="00515459" w14:paraId="216778BF" w14:textId="6BEAC4C1">
            <w:pPr>
              <w:jc w:val="center"/>
            </w:pPr>
            <w:r>
              <w:t>$46.95</w:t>
            </w:r>
          </w:p>
        </w:tc>
        <w:tc>
          <w:tcPr>
            <w:tcW w:w="1867" w:type="dxa"/>
          </w:tcPr>
          <w:p w:rsidRPr="009A036B" w:rsidR="00CA2010" w:rsidP="00515459" w:rsidRDefault="00515459" w14:paraId="198FF701" w14:textId="2BC6A3DD">
            <w:pPr>
              <w:jc w:val="center"/>
            </w:pPr>
            <w:r>
              <w:t>$469.50</w:t>
            </w:r>
          </w:p>
        </w:tc>
      </w:tr>
      <w:tr w:rsidRPr="009A036B" w:rsidR="00CA2010" w:rsidTr="00254D56" w14:paraId="1707AB8A" w14:textId="77777777">
        <w:trPr>
          <w:trHeight w:val="289"/>
        </w:trPr>
        <w:tc>
          <w:tcPr>
            <w:tcW w:w="2790" w:type="dxa"/>
          </w:tcPr>
          <w:p w:rsidRPr="009A036B" w:rsidR="00CA2010" w:rsidP="009A036B" w:rsidRDefault="00CA2010" w14:paraId="363CB27C" w14:textId="0C6A76DA">
            <w:pPr>
              <w:rPr>
                <w:b/>
              </w:rPr>
            </w:pPr>
            <w:r w:rsidRPr="009A036B">
              <w:rPr>
                <w:b/>
              </w:rPr>
              <w:t>Total</w:t>
            </w:r>
          </w:p>
        </w:tc>
        <w:tc>
          <w:tcPr>
            <w:tcW w:w="2250" w:type="dxa"/>
          </w:tcPr>
          <w:p w:rsidRPr="009A036B" w:rsidR="00CA2010" w:rsidP="00515459" w:rsidRDefault="00CA2010" w14:paraId="51980B66" w14:textId="77777777">
            <w:pPr>
              <w:jc w:val="center"/>
              <w:rPr>
                <w:b/>
              </w:rPr>
            </w:pPr>
          </w:p>
        </w:tc>
        <w:tc>
          <w:tcPr>
            <w:tcW w:w="2520" w:type="dxa"/>
          </w:tcPr>
          <w:p w:rsidRPr="009A036B" w:rsidR="00CA2010" w:rsidP="00515459" w:rsidRDefault="00CA2010" w14:paraId="50FA256A" w14:textId="77777777">
            <w:pPr>
              <w:jc w:val="center"/>
            </w:pPr>
          </w:p>
        </w:tc>
        <w:tc>
          <w:tcPr>
            <w:tcW w:w="1867" w:type="dxa"/>
          </w:tcPr>
          <w:p w:rsidRPr="00515459" w:rsidR="00CA2010" w:rsidP="00515459" w:rsidRDefault="00515459" w14:paraId="277A39C9" w14:textId="3A2083BB">
            <w:pPr>
              <w:jc w:val="center"/>
              <w:rPr>
                <w:b/>
                <w:bCs/>
              </w:rPr>
            </w:pPr>
            <w:r w:rsidRPr="00515459">
              <w:rPr>
                <w:b/>
                <w:bCs/>
              </w:rPr>
              <w:t>$469.50</w:t>
            </w:r>
          </w:p>
        </w:tc>
      </w:tr>
    </w:tbl>
    <w:p w:rsidRPr="00515459" w:rsidR="00515459" w:rsidP="00515459" w:rsidRDefault="00515459" w14:paraId="7414FCDA" w14:textId="77777777">
      <w:pPr>
        <w:rPr>
          <w:bCs/>
        </w:rPr>
      </w:pPr>
      <w:r w:rsidRPr="00515459">
        <w:rPr>
          <w:bCs/>
          <w:sz w:val="22"/>
          <w:szCs w:val="22"/>
        </w:rPr>
        <w:t xml:space="preserve">*Source of the mean Hourly Wage Rate is provided by the Bureau of Labor Statistics, Occupation title “Medical Scientists” 19-1040, </w:t>
      </w:r>
      <w:hyperlink w:history="1" w:anchor="00-0000" r:id="rId11">
        <w:r w:rsidRPr="00515459">
          <w:rPr>
            <w:rStyle w:val="Hyperlink"/>
            <w:bCs/>
            <w:sz w:val="22"/>
            <w:szCs w:val="22"/>
          </w:rPr>
          <w:t>https://www.bls.gov/oes/2019/May/oes_nat.htm#00-0000</w:t>
        </w:r>
      </w:hyperlink>
      <w:r w:rsidRPr="00515459">
        <w:rPr>
          <w:bCs/>
        </w:rPr>
        <w:t>.</w:t>
      </w:r>
    </w:p>
    <w:p w:rsidR="009A036B" w:rsidP="00F3170F" w:rsidRDefault="009A036B" w14:paraId="7F3DCA9C" w14:textId="77777777"/>
    <w:p w:rsidR="00441434" w:rsidP="00F3170F" w:rsidRDefault="00441434" w14:paraId="0092AEDF" w14:textId="77777777"/>
    <w:p w:rsidR="009A036B" w:rsidP="009A036B" w:rsidRDefault="001C39F7" w14:paraId="2F526F57" w14:textId="655634A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515459">
        <w:t xml:space="preserve"> $</w:t>
      </w:r>
      <w:r w:rsidR="00254D56">
        <w:t>15,344.70.</w:t>
      </w:r>
    </w:p>
    <w:p w:rsidRPr="009A036B" w:rsidR="00515459" w:rsidP="009A036B" w:rsidRDefault="00515459" w14:paraId="68123252" w14:textId="77777777"/>
    <w:tbl>
      <w:tblPr>
        <w:tblW w:w="9440" w:type="dxa"/>
        <w:tblCellMar>
          <w:left w:w="0" w:type="dxa"/>
          <w:right w:w="0" w:type="dxa"/>
        </w:tblCellMar>
        <w:tblLook w:val="04A0" w:firstRow="1" w:lastRow="0" w:firstColumn="1" w:lastColumn="0" w:noHBand="0" w:noVBand="1"/>
      </w:tblPr>
      <w:tblGrid>
        <w:gridCol w:w="2240"/>
        <w:gridCol w:w="1260"/>
        <w:gridCol w:w="1170"/>
        <w:gridCol w:w="1350"/>
        <w:gridCol w:w="1530"/>
        <w:gridCol w:w="1890"/>
      </w:tblGrid>
      <w:tr w:rsidRPr="009A036B" w:rsidR="009A036B" w:rsidTr="00254D56" w14:paraId="32DEC570" w14:textId="77777777">
        <w:trPr>
          <w:trHeight w:val="900"/>
        </w:trPr>
        <w:tc>
          <w:tcPr>
            <w:tcW w:w="224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9A036B" w:rsidR="009A036B" w:rsidP="00515459" w:rsidRDefault="009A036B" w14:paraId="0886243E" w14:textId="1D215D4A">
            <w:pPr>
              <w:jc w:val="center"/>
              <w:rPr>
                <w:b/>
                <w:bCs/>
              </w:rPr>
            </w:pPr>
            <w:r w:rsidRPr="009A036B">
              <w:rPr>
                <w:b/>
                <w:bCs/>
              </w:rPr>
              <w:t>Staff</w:t>
            </w:r>
          </w:p>
        </w:tc>
        <w:tc>
          <w:tcPr>
            <w:tcW w:w="1260" w:type="dxa"/>
            <w:tcBorders>
              <w:top w:val="single" w:color="auto" w:sz="8" w:space="0"/>
              <w:left w:val="nil"/>
              <w:bottom w:val="single" w:color="auto" w:sz="8" w:space="0"/>
              <w:right w:val="single" w:color="auto" w:sz="8" w:space="0"/>
            </w:tcBorders>
            <w:shd w:val="clear" w:color="auto" w:fill="auto"/>
            <w:vAlign w:val="center"/>
          </w:tcPr>
          <w:p w:rsidRPr="009A036B" w:rsidR="009A036B" w:rsidP="00515459" w:rsidRDefault="009A036B" w14:paraId="499EF2F3" w14:textId="77777777">
            <w:pPr>
              <w:jc w:val="center"/>
              <w:rPr>
                <w:b/>
                <w:bCs/>
              </w:rPr>
            </w:pPr>
            <w:r w:rsidRPr="009A036B">
              <w:rPr>
                <w:b/>
                <w:bCs/>
              </w:rPr>
              <w:t>Grade/Step</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515459" w:rsidRDefault="009A036B" w14:paraId="71DB3A8D" w14:textId="77777777">
            <w:pPr>
              <w:jc w:val="center"/>
              <w:rPr>
                <w:b/>
                <w:bCs/>
              </w:rPr>
            </w:pPr>
            <w:r w:rsidRPr="009A036B">
              <w:rPr>
                <w:b/>
                <w:bCs/>
              </w:rPr>
              <w:t>Salary</w:t>
            </w:r>
            <w:r w:rsidR="002D74B4">
              <w:rPr>
                <w:b/>
                <w:bCs/>
              </w:rPr>
              <w:t>*</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515459" w:rsidRDefault="009A036B" w14:paraId="0262311B" w14:textId="77777777">
            <w:pPr>
              <w:jc w:val="center"/>
              <w:rPr>
                <w:b/>
                <w:bCs/>
              </w:rPr>
            </w:pPr>
            <w:r w:rsidRPr="009A036B">
              <w:rPr>
                <w:b/>
                <w:bCs/>
              </w:rPr>
              <w:t>% of Effort</w:t>
            </w:r>
          </w:p>
        </w:tc>
        <w:tc>
          <w:tcPr>
            <w:tcW w:w="1530" w:type="dxa"/>
            <w:tcBorders>
              <w:top w:val="single" w:color="auto" w:sz="8" w:space="0"/>
              <w:left w:val="nil"/>
              <w:bottom w:val="single" w:color="auto" w:sz="8" w:space="0"/>
              <w:right w:val="single" w:color="auto" w:sz="8" w:space="0"/>
            </w:tcBorders>
            <w:shd w:val="clear" w:color="auto" w:fill="auto"/>
            <w:vAlign w:val="center"/>
          </w:tcPr>
          <w:p w:rsidRPr="009A036B" w:rsidR="009A036B" w:rsidP="00515459" w:rsidRDefault="009A036B" w14:paraId="0C029248" w14:textId="77777777">
            <w:pPr>
              <w:jc w:val="center"/>
              <w:rPr>
                <w:b/>
                <w:bCs/>
              </w:rPr>
            </w:pPr>
            <w:r w:rsidRPr="009A036B">
              <w:rPr>
                <w:b/>
                <w:bCs/>
              </w:rPr>
              <w:t>Fringe (if applicable)</w:t>
            </w:r>
          </w:p>
        </w:tc>
        <w:tc>
          <w:tcPr>
            <w:tcW w:w="1890" w:type="dxa"/>
            <w:tcBorders>
              <w:top w:val="single" w:color="auto" w:sz="8" w:space="0"/>
              <w:left w:val="nil"/>
              <w:bottom w:val="single" w:color="auto" w:sz="8" w:space="0"/>
              <w:right w:val="single" w:color="auto" w:sz="8" w:space="0"/>
            </w:tcBorders>
            <w:shd w:val="clear" w:color="auto" w:fill="auto"/>
            <w:vAlign w:val="center"/>
          </w:tcPr>
          <w:p w:rsidRPr="009A036B" w:rsidR="009A036B" w:rsidP="00515459" w:rsidRDefault="009A036B" w14:paraId="59B293D9" w14:textId="77777777">
            <w:pPr>
              <w:jc w:val="center"/>
              <w:rPr>
                <w:b/>
                <w:bCs/>
              </w:rPr>
            </w:pPr>
            <w:r w:rsidRPr="009A036B">
              <w:rPr>
                <w:b/>
                <w:bCs/>
              </w:rPr>
              <w:t>Total Cost to Gov’t</w:t>
            </w:r>
          </w:p>
        </w:tc>
      </w:tr>
      <w:tr w:rsidRPr="009A036B" w:rsidR="009A036B" w:rsidTr="00254D56" w14:paraId="5E7DB439"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492D89" w14:textId="77777777">
            <w:pPr>
              <w:rPr>
                <w:b/>
              </w:rPr>
            </w:pPr>
            <w:r w:rsidRPr="009A036B">
              <w:rPr>
                <w:b/>
              </w:rPr>
              <w:t>Federal Oversight</w:t>
            </w:r>
          </w:p>
        </w:tc>
        <w:tc>
          <w:tcPr>
            <w:tcW w:w="1260" w:type="dxa"/>
            <w:tcBorders>
              <w:top w:val="nil"/>
              <w:left w:val="nil"/>
              <w:bottom w:val="single" w:color="auto" w:sz="8" w:space="0"/>
              <w:right w:val="single" w:color="auto" w:sz="8" w:space="0"/>
            </w:tcBorders>
          </w:tcPr>
          <w:p w:rsidRPr="009A036B" w:rsidR="009A036B" w:rsidP="009A036B" w:rsidRDefault="009A036B" w14:paraId="3D649E10" w14:textId="77777777"/>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10959E" w14:textId="77777777"/>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48A505" w14:textId="77777777"/>
        </w:tc>
        <w:tc>
          <w:tcPr>
            <w:tcW w:w="1530" w:type="dxa"/>
            <w:tcBorders>
              <w:top w:val="nil"/>
              <w:left w:val="nil"/>
              <w:bottom w:val="single" w:color="auto" w:sz="8" w:space="0"/>
              <w:right w:val="single" w:color="auto" w:sz="8" w:space="0"/>
            </w:tcBorders>
            <w:shd w:val="clear" w:color="auto" w:fill="BFBFBF"/>
          </w:tcPr>
          <w:p w:rsidRPr="009A036B" w:rsidR="009A036B" w:rsidP="009A036B" w:rsidRDefault="009A036B" w14:paraId="70EF6364" w14:textId="77777777"/>
        </w:tc>
        <w:tc>
          <w:tcPr>
            <w:tcW w:w="1890" w:type="dxa"/>
            <w:tcBorders>
              <w:top w:val="nil"/>
              <w:left w:val="nil"/>
              <w:bottom w:val="single" w:color="auto" w:sz="8" w:space="0"/>
              <w:right w:val="single" w:color="auto" w:sz="8" w:space="0"/>
            </w:tcBorders>
          </w:tcPr>
          <w:p w:rsidRPr="009A036B" w:rsidR="009A036B" w:rsidP="009A036B" w:rsidRDefault="009A036B" w14:paraId="2AC4E479" w14:textId="77777777"/>
        </w:tc>
      </w:tr>
      <w:tr w:rsidRPr="009A036B" w:rsidR="009A036B" w:rsidTr="00254D56" w14:paraId="18D99971"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515459" w14:paraId="1777C660" w14:textId="46387D4E">
            <w:r>
              <w:t xml:space="preserve">     Program Director</w:t>
            </w:r>
          </w:p>
        </w:tc>
        <w:tc>
          <w:tcPr>
            <w:tcW w:w="1260" w:type="dxa"/>
            <w:tcBorders>
              <w:top w:val="nil"/>
              <w:left w:val="nil"/>
              <w:bottom w:val="single" w:color="auto" w:sz="8" w:space="0"/>
              <w:right w:val="single" w:color="auto" w:sz="8" w:space="0"/>
            </w:tcBorders>
          </w:tcPr>
          <w:p w:rsidRPr="009A036B" w:rsidR="009A036B" w:rsidP="00254D56" w:rsidRDefault="00515459" w14:paraId="69021848" w14:textId="4A7013D6">
            <w:pPr>
              <w:jc w:val="center"/>
            </w:pPr>
            <w:r>
              <w:t>14/4</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254D56" w:rsidRDefault="00515459" w14:paraId="106A5FF8" w14:textId="453CAAF1">
            <w:pPr>
              <w:jc w:val="center"/>
            </w:pPr>
            <w:r>
              <w:t>$133,447</w:t>
            </w: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254D56" w:rsidRDefault="00515459" w14:paraId="5BF07074" w14:textId="51B6F87A">
            <w:pPr>
              <w:jc w:val="center"/>
            </w:pPr>
            <w:r>
              <w:t>10%</w:t>
            </w:r>
          </w:p>
        </w:tc>
        <w:tc>
          <w:tcPr>
            <w:tcW w:w="1530" w:type="dxa"/>
            <w:tcBorders>
              <w:top w:val="nil"/>
              <w:left w:val="nil"/>
              <w:bottom w:val="single" w:color="auto" w:sz="8" w:space="0"/>
              <w:right w:val="single" w:color="auto" w:sz="8" w:space="0"/>
            </w:tcBorders>
            <w:shd w:val="clear" w:color="auto" w:fill="BFBFBF"/>
          </w:tcPr>
          <w:p w:rsidRPr="009A036B" w:rsidR="009A036B" w:rsidP="00254D56" w:rsidRDefault="009A036B" w14:paraId="3216F74C" w14:textId="77777777">
            <w:pPr>
              <w:jc w:val="center"/>
            </w:pPr>
          </w:p>
        </w:tc>
        <w:tc>
          <w:tcPr>
            <w:tcW w:w="1890" w:type="dxa"/>
            <w:tcBorders>
              <w:top w:val="nil"/>
              <w:left w:val="nil"/>
              <w:bottom w:val="single" w:color="auto" w:sz="8" w:space="0"/>
              <w:right w:val="single" w:color="auto" w:sz="8" w:space="0"/>
            </w:tcBorders>
          </w:tcPr>
          <w:p w:rsidRPr="009A036B" w:rsidR="009A036B" w:rsidP="00254D56" w:rsidRDefault="00515459" w14:paraId="3619DA54" w14:textId="7984635C">
            <w:pPr>
              <w:jc w:val="center"/>
            </w:pPr>
            <w:r>
              <w:t>$13,344.70</w:t>
            </w:r>
          </w:p>
        </w:tc>
      </w:tr>
      <w:tr w:rsidRPr="009A036B" w:rsidR="009A036B" w:rsidTr="00254D56" w14:paraId="6B88E289"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1A5EF4" w14:textId="77777777">
            <w:pPr>
              <w:rPr>
                <w:b/>
              </w:rPr>
            </w:pPr>
            <w:r w:rsidRPr="009A036B">
              <w:rPr>
                <w:b/>
              </w:rPr>
              <w:t>Contractor Cost</w:t>
            </w:r>
          </w:p>
        </w:tc>
        <w:tc>
          <w:tcPr>
            <w:tcW w:w="1260" w:type="dxa"/>
            <w:tcBorders>
              <w:top w:val="nil"/>
              <w:left w:val="nil"/>
              <w:bottom w:val="single" w:color="auto" w:sz="8" w:space="0"/>
              <w:right w:val="single" w:color="auto" w:sz="8" w:space="0"/>
            </w:tcBorders>
            <w:shd w:val="clear" w:color="auto" w:fill="BFBFBF"/>
          </w:tcPr>
          <w:p w:rsidRPr="009A036B" w:rsidR="009A036B" w:rsidP="00254D56" w:rsidRDefault="009A036B" w14:paraId="58B9858A" w14:textId="77777777">
            <w:pPr>
              <w:jc w:val="cente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254D56" w:rsidRDefault="009A036B" w14:paraId="6044E33C" w14:textId="77777777">
            <w:pPr>
              <w:jc w:val="center"/>
            </w:pPr>
          </w:p>
        </w:tc>
        <w:tc>
          <w:tcPr>
            <w:tcW w:w="135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254D56" w:rsidRDefault="009A036B" w14:paraId="4DCE6869" w14:textId="77777777">
            <w:pPr>
              <w:jc w:val="center"/>
            </w:pPr>
          </w:p>
        </w:tc>
        <w:tc>
          <w:tcPr>
            <w:tcW w:w="1530" w:type="dxa"/>
            <w:tcBorders>
              <w:top w:val="nil"/>
              <w:left w:val="nil"/>
              <w:bottom w:val="single" w:color="auto" w:sz="8" w:space="0"/>
              <w:right w:val="single" w:color="auto" w:sz="8" w:space="0"/>
            </w:tcBorders>
            <w:shd w:val="clear" w:color="auto" w:fill="BFBFBF" w:themeFill="background1" w:themeFillShade="BF"/>
          </w:tcPr>
          <w:p w:rsidRPr="009A036B" w:rsidR="009A036B" w:rsidP="00254D56" w:rsidRDefault="009A036B" w14:paraId="02886867" w14:textId="77777777">
            <w:pPr>
              <w:jc w:val="center"/>
            </w:pPr>
          </w:p>
        </w:tc>
        <w:tc>
          <w:tcPr>
            <w:tcW w:w="1890" w:type="dxa"/>
            <w:tcBorders>
              <w:top w:val="nil"/>
              <w:left w:val="nil"/>
              <w:bottom w:val="single" w:color="auto" w:sz="8" w:space="0"/>
              <w:right w:val="single" w:color="auto" w:sz="8" w:space="0"/>
            </w:tcBorders>
          </w:tcPr>
          <w:p w:rsidRPr="009A036B" w:rsidR="009A036B" w:rsidP="00254D56" w:rsidRDefault="00254D56" w14:paraId="4619EC3E" w14:textId="39AE79B6">
            <w:pPr>
              <w:jc w:val="center"/>
            </w:pPr>
            <w:r>
              <w:t>$2,000.00</w:t>
            </w:r>
          </w:p>
        </w:tc>
      </w:tr>
      <w:tr w:rsidRPr="009A036B" w:rsidR="009A036B" w:rsidTr="00254D56" w14:paraId="012B44B8"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5EBDD8" w14:textId="77777777">
            <w:r w:rsidRPr="009A036B">
              <w:t>Travel</w:t>
            </w:r>
          </w:p>
        </w:tc>
        <w:tc>
          <w:tcPr>
            <w:tcW w:w="1260" w:type="dxa"/>
            <w:tcBorders>
              <w:top w:val="nil"/>
              <w:left w:val="nil"/>
              <w:bottom w:val="single" w:color="auto" w:sz="8" w:space="0"/>
              <w:right w:val="single" w:color="auto" w:sz="8" w:space="0"/>
            </w:tcBorders>
            <w:shd w:val="clear" w:color="auto" w:fill="BFBFBF"/>
          </w:tcPr>
          <w:p w:rsidRPr="009A036B" w:rsidR="009A036B" w:rsidP="00254D56" w:rsidRDefault="009A036B" w14:paraId="0BA5DFF6" w14:textId="77777777">
            <w:pPr>
              <w:jc w:val="center"/>
            </w:pPr>
          </w:p>
        </w:tc>
        <w:tc>
          <w:tcPr>
            <w:tcW w:w="117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254D56" w:rsidRDefault="009A036B" w14:paraId="758DA7B2" w14:textId="77777777">
            <w:pPr>
              <w:jc w:val="center"/>
            </w:pPr>
          </w:p>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254D56" w:rsidRDefault="009A036B" w14:paraId="566754DE" w14:textId="77777777">
            <w:pPr>
              <w:jc w:val="center"/>
            </w:pPr>
          </w:p>
        </w:tc>
        <w:tc>
          <w:tcPr>
            <w:tcW w:w="1530" w:type="dxa"/>
            <w:tcBorders>
              <w:top w:val="nil"/>
              <w:left w:val="nil"/>
              <w:bottom w:val="single" w:color="auto" w:sz="8" w:space="0"/>
              <w:right w:val="single" w:color="auto" w:sz="8" w:space="0"/>
            </w:tcBorders>
            <w:shd w:val="clear" w:color="auto" w:fill="BFBFBF"/>
          </w:tcPr>
          <w:p w:rsidRPr="009A036B" w:rsidR="009A036B" w:rsidP="00254D56" w:rsidRDefault="009A036B" w14:paraId="552FB691" w14:textId="77777777">
            <w:pPr>
              <w:jc w:val="center"/>
            </w:pPr>
          </w:p>
        </w:tc>
        <w:tc>
          <w:tcPr>
            <w:tcW w:w="1890" w:type="dxa"/>
            <w:tcBorders>
              <w:top w:val="nil"/>
              <w:left w:val="nil"/>
              <w:bottom w:val="single" w:color="auto" w:sz="8" w:space="0"/>
              <w:right w:val="single" w:color="auto" w:sz="8" w:space="0"/>
            </w:tcBorders>
          </w:tcPr>
          <w:p w:rsidRPr="009A036B" w:rsidR="009A036B" w:rsidP="00254D56" w:rsidRDefault="00254D56" w14:paraId="227BC46D" w14:textId="75733344">
            <w:pPr>
              <w:jc w:val="center"/>
            </w:pPr>
            <w:r>
              <w:t>$0</w:t>
            </w:r>
          </w:p>
        </w:tc>
      </w:tr>
      <w:tr w:rsidRPr="009A036B" w:rsidR="009A036B" w:rsidTr="00254D56" w14:paraId="4A765951"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F80661" w14:textId="77777777">
            <w:r w:rsidRPr="009A036B">
              <w:t>Other Cost</w:t>
            </w:r>
          </w:p>
        </w:tc>
        <w:tc>
          <w:tcPr>
            <w:tcW w:w="1260" w:type="dxa"/>
            <w:tcBorders>
              <w:top w:val="nil"/>
              <w:left w:val="nil"/>
              <w:bottom w:val="single" w:color="auto" w:sz="8" w:space="0"/>
              <w:right w:val="single" w:color="auto" w:sz="8" w:space="0"/>
            </w:tcBorders>
            <w:shd w:val="clear" w:color="auto" w:fill="BFBFBF"/>
          </w:tcPr>
          <w:p w:rsidRPr="009A036B" w:rsidR="009A036B" w:rsidP="00254D56" w:rsidRDefault="009A036B" w14:paraId="0D19B8A5" w14:textId="77777777">
            <w:pPr>
              <w:jc w:val="center"/>
            </w:pPr>
          </w:p>
        </w:tc>
        <w:tc>
          <w:tcPr>
            <w:tcW w:w="117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254D56" w:rsidRDefault="009A036B" w14:paraId="2ECD4545" w14:textId="77777777">
            <w:pPr>
              <w:jc w:val="center"/>
            </w:pPr>
          </w:p>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254D56" w:rsidRDefault="009A036B" w14:paraId="13E72BCE" w14:textId="77777777">
            <w:pPr>
              <w:jc w:val="center"/>
            </w:pPr>
          </w:p>
        </w:tc>
        <w:tc>
          <w:tcPr>
            <w:tcW w:w="1530" w:type="dxa"/>
            <w:tcBorders>
              <w:top w:val="nil"/>
              <w:left w:val="nil"/>
              <w:bottom w:val="single" w:color="auto" w:sz="8" w:space="0"/>
              <w:right w:val="single" w:color="auto" w:sz="8" w:space="0"/>
            </w:tcBorders>
            <w:shd w:val="clear" w:color="auto" w:fill="BFBFBF"/>
          </w:tcPr>
          <w:p w:rsidRPr="009A036B" w:rsidR="009A036B" w:rsidP="00254D56" w:rsidRDefault="009A036B" w14:paraId="2688391B" w14:textId="77777777">
            <w:pPr>
              <w:jc w:val="center"/>
            </w:pPr>
          </w:p>
        </w:tc>
        <w:tc>
          <w:tcPr>
            <w:tcW w:w="1890" w:type="dxa"/>
            <w:tcBorders>
              <w:top w:val="nil"/>
              <w:left w:val="nil"/>
              <w:bottom w:val="single" w:color="auto" w:sz="8" w:space="0"/>
              <w:right w:val="single" w:color="auto" w:sz="8" w:space="0"/>
            </w:tcBorders>
          </w:tcPr>
          <w:p w:rsidRPr="009A036B" w:rsidR="009A036B" w:rsidP="00254D56" w:rsidRDefault="00254D56" w14:paraId="53038E49" w14:textId="30B4409F">
            <w:pPr>
              <w:jc w:val="center"/>
            </w:pPr>
            <w:r>
              <w:t>$0</w:t>
            </w:r>
          </w:p>
        </w:tc>
      </w:tr>
      <w:tr w:rsidRPr="009A036B" w:rsidR="009A036B" w:rsidTr="00254D56" w14:paraId="5F5D27E7" w14:textId="77777777">
        <w:trPr>
          <w:trHeight w:val="300"/>
        </w:trPr>
        <w:tc>
          <w:tcPr>
            <w:tcW w:w="2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5AAA8C0" w14:textId="77777777">
            <w:pPr>
              <w:rPr>
                <w:b/>
              </w:rPr>
            </w:pPr>
            <w:r w:rsidRPr="004B1EB8">
              <w:rPr>
                <w:b/>
              </w:rPr>
              <w:t>Total</w:t>
            </w:r>
          </w:p>
        </w:tc>
        <w:tc>
          <w:tcPr>
            <w:tcW w:w="1260" w:type="dxa"/>
            <w:tcBorders>
              <w:top w:val="nil"/>
              <w:left w:val="nil"/>
              <w:bottom w:val="single" w:color="auto" w:sz="8" w:space="0"/>
              <w:right w:val="single" w:color="auto" w:sz="8" w:space="0"/>
            </w:tcBorders>
            <w:shd w:val="clear" w:color="auto" w:fill="A6A6A6"/>
          </w:tcPr>
          <w:p w:rsidRPr="009A036B" w:rsidR="009A036B" w:rsidP="00254D56" w:rsidRDefault="009A036B" w14:paraId="0F18B920" w14:textId="77777777">
            <w:pPr>
              <w:jc w:val="center"/>
            </w:pPr>
          </w:p>
        </w:tc>
        <w:tc>
          <w:tcPr>
            <w:tcW w:w="117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254D56" w:rsidRDefault="009A036B" w14:paraId="4282BF44" w14:textId="77777777">
            <w:pPr>
              <w:jc w:val="center"/>
            </w:pPr>
          </w:p>
        </w:tc>
        <w:tc>
          <w:tcPr>
            <w:tcW w:w="135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254D56" w:rsidRDefault="009A036B" w14:paraId="2CF067D9" w14:textId="77777777">
            <w:pPr>
              <w:jc w:val="center"/>
            </w:pPr>
          </w:p>
        </w:tc>
        <w:tc>
          <w:tcPr>
            <w:tcW w:w="1530" w:type="dxa"/>
            <w:tcBorders>
              <w:top w:val="nil"/>
              <w:left w:val="nil"/>
              <w:bottom w:val="single" w:color="auto" w:sz="8" w:space="0"/>
              <w:right w:val="single" w:color="auto" w:sz="8" w:space="0"/>
            </w:tcBorders>
            <w:shd w:val="clear" w:color="auto" w:fill="A6A6A6"/>
          </w:tcPr>
          <w:p w:rsidRPr="009A036B" w:rsidR="009A036B" w:rsidP="00254D56" w:rsidRDefault="009A036B" w14:paraId="1DCCC900" w14:textId="77777777">
            <w:pPr>
              <w:jc w:val="center"/>
            </w:pPr>
          </w:p>
        </w:tc>
        <w:tc>
          <w:tcPr>
            <w:tcW w:w="1890" w:type="dxa"/>
            <w:tcBorders>
              <w:top w:val="nil"/>
              <w:left w:val="nil"/>
              <w:bottom w:val="single" w:color="auto" w:sz="8" w:space="0"/>
              <w:right w:val="single" w:color="auto" w:sz="8" w:space="0"/>
            </w:tcBorders>
          </w:tcPr>
          <w:p w:rsidRPr="00254D56" w:rsidR="009A036B" w:rsidP="00254D56" w:rsidRDefault="00254D56" w14:paraId="5447BE52" w14:textId="51CF0E5C">
            <w:pPr>
              <w:jc w:val="center"/>
              <w:rPr>
                <w:b/>
                <w:bCs/>
              </w:rPr>
            </w:pPr>
            <w:r w:rsidRPr="00254D56">
              <w:rPr>
                <w:b/>
                <w:bCs/>
              </w:rPr>
              <w:t>$15,344.70</w:t>
            </w:r>
          </w:p>
        </w:tc>
      </w:tr>
    </w:tbl>
    <w:p w:rsidRPr="009A036B" w:rsidR="009A036B" w:rsidP="009A036B" w:rsidRDefault="002D74B4" w14:paraId="13D0BA23" w14:textId="227DA703">
      <w:r>
        <w:t>*</w:t>
      </w:r>
      <w:r w:rsidRPr="009747F4">
        <w:rPr>
          <w:sz w:val="18"/>
          <w:szCs w:val="18"/>
        </w:rPr>
        <w:t>the</w:t>
      </w:r>
      <w:r>
        <w:t xml:space="preserve"> </w:t>
      </w:r>
      <w:r w:rsidRPr="009747F4">
        <w:rPr>
          <w:sz w:val="18"/>
          <w:szCs w:val="18"/>
        </w:rPr>
        <w:t>Salary in table above is cited from</w:t>
      </w:r>
      <w:r>
        <w:t xml:space="preserve"> </w:t>
      </w:r>
      <w:hyperlink w:history="1" r:id="rId12">
        <w:r w:rsidR="005A7C5D">
          <w:rPr>
            <w:rStyle w:val="Hyperlink"/>
          </w:rPr>
          <w:t>https://www.opm.gov/policy-data-oversight/pay-leave/salaries-wages/2020/general-schedule/</w:t>
        </w:r>
      </w:hyperlink>
      <w:r>
        <w:rPr>
          <w:sz w:val="18"/>
          <w:szCs w:val="18"/>
        </w:rPr>
        <w:t xml:space="preserve"> </w:t>
      </w:r>
    </w:p>
    <w:p w:rsidR="009A036B" w:rsidRDefault="009A036B" w14:paraId="498195CC" w14:textId="77777777">
      <w:pPr>
        <w:rPr>
          <w:b/>
        </w:rPr>
      </w:pPr>
    </w:p>
    <w:p w:rsidR="00ED6492" w:rsidRDefault="00ED6492" w14:paraId="0B5C9F16" w14:textId="77777777">
      <w:pPr>
        <w:rPr>
          <w:b/>
          <w:bCs/>
          <w:u w:val="single"/>
        </w:rPr>
      </w:pPr>
    </w:p>
    <w:p w:rsidR="0069403B" w:rsidP="00F06866" w:rsidRDefault="00ED6492" w14:paraId="7B4FB8A6" w14:textId="77777777">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025F8C8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54D56">
        <w:t xml:space="preserve"> X</w:t>
      </w:r>
      <w:r>
        <w:t xml:space="preserve"> ] Yes</w:t>
      </w:r>
      <w:r>
        <w:tab/>
        <w:t>[ ] No</w:t>
      </w:r>
    </w:p>
    <w:p w:rsidR="00636621" w:rsidP="00636621" w:rsidRDefault="00636621" w14:paraId="38A88F38" w14:textId="77777777">
      <w:pPr>
        <w:pStyle w:val="ListParagraph"/>
      </w:pPr>
    </w:p>
    <w:p w:rsidR="00636621" w:rsidP="001B0AAA" w:rsidRDefault="00636621" w14:paraId="358B318F" w14:textId="47AF08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54D56" w:rsidP="001B0AAA" w:rsidRDefault="00254D56" w14:paraId="20E49366" w14:textId="7BF7858B"/>
    <w:p w:rsidR="00A403BB" w:rsidP="00254D56" w:rsidRDefault="00254D56" w14:paraId="37F9091A" w14:textId="3E94F02B">
      <w:pPr>
        <w:ind w:left="720"/>
      </w:pPr>
      <w:r w:rsidRPr="00254D56">
        <w:t>This meeting and the award will be advertised through NIH/NCI Center for Global Health listservs, social media, and scientific steering committee members.</w:t>
      </w:r>
    </w:p>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A403BB" w14:paraId="6E48500C" w14:textId="774EE4EE">
      <w:pPr>
        <w:ind w:left="720"/>
      </w:pPr>
      <w:r>
        <w:t>[</w:t>
      </w:r>
      <w:r w:rsidR="00254D56">
        <w:t xml:space="preserve"> X</w:t>
      </w:r>
      <w:r>
        <w:t xml:space="preserve"> </w:t>
      </w:r>
      <w:r w:rsidR="001B0AAA">
        <w:t xml:space="preserve"> </w:t>
      </w:r>
      <w:r>
        <w:t>] Web-based</w:t>
      </w:r>
      <w:r w:rsidR="001B0AAA">
        <w:t xml:space="preserve"> or other forms of Social Media </w:t>
      </w:r>
    </w:p>
    <w:p w:rsidR="001B0AAA" w:rsidP="001B0AAA" w:rsidRDefault="00A403BB" w14:paraId="6733C69B" w14:textId="77777777">
      <w:pPr>
        <w:ind w:left="720"/>
      </w:pPr>
      <w:r>
        <w:t xml:space="preserve">[ </w:t>
      </w:r>
      <w:r w:rsidR="001B0AAA">
        <w:t xml:space="preserve"> </w:t>
      </w:r>
      <w:r>
        <w:t>] Telephone</w:t>
      </w:r>
      <w:r>
        <w:tab/>
      </w:r>
    </w:p>
    <w:p w:rsidR="001B0AAA" w:rsidP="001B0AAA" w:rsidRDefault="00A403BB" w14:paraId="48571807" w14:textId="77777777">
      <w:pPr>
        <w:ind w:left="720"/>
      </w:pPr>
      <w:r>
        <w:t>[</w:t>
      </w:r>
      <w:r w:rsidR="001B0AAA">
        <w:t xml:space="preserve"> </w:t>
      </w:r>
      <w:r>
        <w:t xml:space="preserve"> ] In-person</w:t>
      </w:r>
      <w:r>
        <w:tab/>
      </w:r>
    </w:p>
    <w:p w:rsidR="001B0AAA" w:rsidP="001B0AAA" w:rsidRDefault="00A403BB" w14:paraId="504197B6" w14:textId="77777777">
      <w:pPr>
        <w:ind w:left="720"/>
      </w:pPr>
      <w:r>
        <w:t xml:space="preserve">[ </w:t>
      </w:r>
      <w:r w:rsidR="001B0AAA">
        <w:t xml:space="preserve"> </w:t>
      </w:r>
      <w:r>
        <w:t>] Mail</w:t>
      </w:r>
      <w:r w:rsidR="001B0AAA">
        <w:t xml:space="preserve"> </w:t>
      </w:r>
    </w:p>
    <w:p w:rsidR="001B0AAA" w:rsidP="001B0AAA" w:rsidRDefault="00A403BB" w14:paraId="7F6612C8" w14:textId="28B1858F">
      <w:pPr>
        <w:ind w:left="720"/>
      </w:pPr>
      <w:r>
        <w:t xml:space="preserve">[ </w:t>
      </w:r>
      <w:r w:rsidR="001B0AAA">
        <w:t xml:space="preserve"> </w:t>
      </w:r>
      <w:r>
        <w:t>] Other, Explain</w:t>
      </w:r>
    </w:p>
    <w:p w:rsidR="00254D56" w:rsidP="001B0AAA" w:rsidRDefault="00254D56" w14:paraId="3D5D859B" w14:textId="77777777">
      <w:pPr>
        <w:ind w:left="720"/>
      </w:pPr>
    </w:p>
    <w:p w:rsidR="00F24CFC" w:rsidP="00F24CFC" w:rsidRDefault="00F24CFC" w14:paraId="09EB718E" w14:textId="486AC177">
      <w:pPr>
        <w:pStyle w:val="ListParagraph"/>
        <w:numPr>
          <w:ilvl w:val="0"/>
          <w:numId w:val="17"/>
        </w:numPr>
      </w:pPr>
      <w:r>
        <w:t>Will interviewers or facilitators be used?  [  ] Yes [</w:t>
      </w:r>
      <w:r w:rsidR="00254D56">
        <w:t xml:space="preserve"> X</w:t>
      </w:r>
      <w:r>
        <w:t xml:space="preserve">  ] No</w:t>
      </w:r>
    </w:p>
    <w:p w:rsidR="00F24CFC" w:rsidP="00F24CFC" w:rsidRDefault="00F24CFC" w14:paraId="28700178" w14:textId="77777777">
      <w:pPr>
        <w:pStyle w:val="ListParagraph"/>
        <w:ind w:left="360"/>
      </w:pPr>
      <w:r>
        <w:t xml:space="preserve"> </w:t>
      </w:r>
    </w:p>
    <w:p w:rsidR="0024521E" w:rsidP="0024521E" w:rsidRDefault="00F24CFC" w14:paraId="6BF52ADD" w14:textId="77777777">
      <w:pPr>
        <w:rPr>
          <w:b/>
        </w:rPr>
      </w:pPr>
      <w:r w:rsidRPr="00F24CFC">
        <w:rPr>
          <w:b/>
        </w:rPr>
        <w:t>Please make sure that all instruments, instructions, and scripts are submitted with the request.</w:t>
      </w:r>
    </w:p>
    <w:p w:rsidR="003932D1" w:rsidP="0024521E" w:rsidRDefault="003932D1" w14:paraId="377A4B0F" w14:textId="77777777">
      <w:pPr>
        <w:rPr>
          <w:b/>
        </w:rPr>
      </w:pPr>
    </w:p>
    <w:p w:rsidRPr="00F24CFC" w:rsidR="003932D1" w:rsidP="0024521E" w:rsidRDefault="003932D1" w14:paraId="699E5224" w14:textId="77777777">
      <w:pPr>
        <w:rPr>
          <w:b/>
        </w:rPr>
      </w:pPr>
    </w:p>
    <w:p w:rsidR="005E714A" w:rsidP="00F24CFC" w:rsidRDefault="005E714A" w14:paraId="5354A140" w14:textId="77777777">
      <w:pPr>
        <w:tabs>
          <w:tab w:val="left" w:pos="5670"/>
        </w:tabs>
        <w:suppressAutoHyphens/>
      </w:pPr>
    </w:p>
    <w:sectPr w:rsidR="005E714A"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5F79D" w14:textId="77777777" w:rsidR="006536B5" w:rsidRDefault="006536B5">
      <w:r>
        <w:separator/>
      </w:r>
    </w:p>
  </w:endnote>
  <w:endnote w:type="continuationSeparator" w:id="0">
    <w:p w14:paraId="44929EDA" w14:textId="77777777" w:rsidR="006536B5" w:rsidRDefault="0065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ED6E" w14:textId="77777777" w:rsidR="006536B5" w:rsidRDefault="006536B5">
      <w:r>
        <w:separator/>
      </w:r>
    </w:p>
  </w:footnote>
  <w:footnote w:type="continuationSeparator" w:id="0">
    <w:p w14:paraId="5ABAA132" w14:textId="77777777" w:rsidR="006536B5" w:rsidRDefault="0065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C773" w14:textId="5B8DF772"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1E4F44"/>
    <w:rsid w:val="0023464B"/>
    <w:rsid w:val="00237B48"/>
    <w:rsid w:val="0024521E"/>
    <w:rsid w:val="00254D56"/>
    <w:rsid w:val="00263C3D"/>
    <w:rsid w:val="00274D0B"/>
    <w:rsid w:val="00282727"/>
    <w:rsid w:val="00284110"/>
    <w:rsid w:val="002B1498"/>
    <w:rsid w:val="002B3C95"/>
    <w:rsid w:val="002B46B0"/>
    <w:rsid w:val="002D0B92"/>
    <w:rsid w:val="002D26E2"/>
    <w:rsid w:val="002D74B4"/>
    <w:rsid w:val="002E48F5"/>
    <w:rsid w:val="003668D6"/>
    <w:rsid w:val="003756C2"/>
    <w:rsid w:val="003932D1"/>
    <w:rsid w:val="003960BB"/>
    <w:rsid w:val="003A7074"/>
    <w:rsid w:val="003B5350"/>
    <w:rsid w:val="003D5BBE"/>
    <w:rsid w:val="003E3C61"/>
    <w:rsid w:val="003F1C5B"/>
    <w:rsid w:val="004147CC"/>
    <w:rsid w:val="00420E91"/>
    <w:rsid w:val="00431EB1"/>
    <w:rsid w:val="00434E33"/>
    <w:rsid w:val="00441434"/>
    <w:rsid w:val="0045264C"/>
    <w:rsid w:val="0048415B"/>
    <w:rsid w:val="004876EC"/>
    <w:rsid w:val="004A44F3"/>
    <w:rsid w:val="004B1EB8"/>
    <w:rsid w:val="004D6E14"/>
    <w:rsid w:val="005009B0"/>
    <w:rsid w:val="00515459"/>
    <w:rsid w:val="005602C1"/>
    <w:rsid w:val="005A1006"/>
    <w:rsid w:val="005A772A"/>
    <w:rsid w:val="005A7C5D"/>
    <w:rsid w:val="005E714A"/>
    <w:rsid w:val="006140A0"/>
    <w:rsid w:val="00633F74"/>
    <w:rsid w:val="00636329"/>
    <w:rsid w:val="00636621"/>
    <w:rsid w:val="006409B1"/>
    <w:rsid w:val="00642B49"/>
    <w:rsid w:val="006536B5"/>
    <w:rsid w:val="006832D9"/>
    <w:rsid w:val="00686301"/>
    <w:rsid w:val="0069403B"/>
    <w:rsid w:val="006B7B34"/>
    <w:rsid w:val="006D5F47"/>
    <w:rsid w:val="006F3DDE"/>
    <w:rsid w:val="00704678"/>
    <w:rsid w:val="007304E5"/>
    <w:rsid w:val="007425E7"/>
    <w:rsid w:val="00766D95"/>
    <w:rsid w:val="0077703F"/>
    <w:rsid w:val="007F2A72"/>
    <w:rsid w:val="00802607"/>
    <w:rsid w:val="008101A5"/>
    <w:rsid w:val="00811789"/>
    <w:rsid w:val="00822664"/>
    <w:rsid w:val="00843796"/>
    <w:rsid w:val="0085116A"/>
    <w:rsid w:val="00887320"/>
    <w:rsid w:val="00895229"/>
    <w:rsid w:val="008E7827"/>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3AA6"/>
    <w:rsid w:val="00AC60E8"/>
    <w:rsid w:val="00AE14B1"/>
    <w:rsid w:val="00AE1809"/>
    <w:rsid w:val="00B1396E"/>
    <w:rsid w:val="00B2002B"/>
    <w:rsid w:val="00B605E0"/>
    <w:rsid w:val="00B63B5A"/>
    <w:rsid w:val="00B80D76"/>
    <w:rsid w:val="00BA2105"/>
    <w:rsid w:val="00BA7E06"/>
    <w:rsid w:val="00BB43B5"/>
    <w:rsid w:val="00BB6219"/>
    <w:rsid w:val="00BC676D"/>
    <w:rsid w:val="00BD290F"/>
    <w:rsid w:val="00BF6223"/>
    <w:rsid w:val="00C14CC4"/>
    <w:rsid w:val="00C15E7E"/>
    <w:rsid w:val="00C33C52"/>
    <w:rsid w:val="00C40D8B"/>
    <w:rsid w:val="00C8407A"/>
    <w:rsid w:val="00C8488C"/>
    <w:rsid w:val="00C86E91"/>
    <w:rsid w:val="00CA19A3"/>
    <w:rsid w:val="00CA2010"/>
    <w:rsid w:val="00CA2650"/>
    <w:rsid w:val="00CB1078"/>
    <w:rsid w:val="00CC6FAF"/>
    <w:rsid w:val="00CD3F0A"/>
    <w:rsid w:val="00D24698"/>
    <w:rsid w:val="00D6383F"/>
    <w:rsid w:val="00D662C8"/>
    <w:rsid w:val="00DB4A58"/>
    <w:rsid w:val="00DB59D0"/>
    <w:rsid w:val="00DB608A"/>
    <w:rsid w:val="00DC33D3"/>
    <w:rsid w:val="00DC64D3"/>
    <w:rsid w:val="00E26329"/>
    <w:rsid w:val="00E40B50"/>
    <w:rsid w:val="00E50293"/>
    <w:rsid w:val="00E65FFC"/>
    <w:rsid w:val="00E670E2"/>
    <w:rsid w:val="00E80951"/>
    <w:rsid w:val="00E86CC6"/>
    <w:rsid w:val="00EB56B3"/>
    <w:rsid w:val="00ED6492"/>
    <w:rsid w:val="00EE37F5"/>
    <w:rsid w:val="00EF2095"/>
    <w:rsid w:val="00F06866"/>
    <w:rsid w:val="00F15956"/>
    <w:rsid w:val="00F24CFC"/>
    <w:rsid w:val="00F3170F"/>
    <w:rsid w:val="00F605C7"/>
    <w:rsid w:val="00F86109"/>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51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96EC-CC67-4697-9B61-9FFC03C4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DCDE4-D310-4866-9FBE-2E19EDBEF05B}">
  <ds:schemaRefs>
    <ds:schemaRef ds:uri="http://schemas.microsoft.com/sharepoint/v3/contenttype/forms"/>
  </ds:schemaRefs>
</ds:datastoreItem>
</file>

<file path=customXml/itemProps3.xml><?xml version="1.0" encoding="utf-8"?>
<ds:datastoreItem xmlns:ds="http://schemas.openxmlformats.org/officeDocument/2006/customXml" ds:itemID="{7395376E-6931-4DD9-8C1C-C670B20BD5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C9581C-4A44-4264-B212-A62EDC49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5201</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2020-10-20T19:42:00Z</dcterms:created>
  <dcterms:modified xsi:type="dcterms:W3CDTF">2020-10-20T19:42:00Z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