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2EB2" w:rsidR="006D2EB2" w:rsidP="006D2EB2" w:rsidRDefault="006D2EB2" w14:paraId="6925F4BD" w14:textId="77777777">
      <w:pPr>
        <w:spacing w:after="160" w:line="259" w:lineRule="auto"/>
        <w:rPr>
          <w:rFonts w:ascii="Calibri" w:hAnsi="Calibri"/>
          <w:sz w:val="24"/>
          <w:szCs w:val="24"/>
          <w:u w:val="single"/>
        </w:rPr>
      </w:pPr>
      <w:r w:rsidRPr="006D2EB2">
        <w:rPr>
          <w:rFonts w:ascii="Calibri" w:hAnsi="Calibri"/>
          <w:sz w:val="24"/>
          <w:szCs w:val="24"/>
          <w:u w:val="single"/>
        </w:rPr>
        <w:t>Childhood Lead Poisoning Prevention Program: Summary</w:t>
      </w:r>
    </w:p>
    <w:p w:rsidRPr="006D2EB2" w:rsidR="006D2EB2" w:rsidP="006D2EB2" w:rsidRDefault="006D2EB2" w14:paraId="6925F4BE" w14:textId="776FEDA0">
      <w:pPr>
        <w:spacing w:after="160" w:line="259" w:lineRule="auto"/>
        <w:rPr>
          <w:rFonts w:ascii="Calibri" w:hAnsi="Calibri"/>
          <w:sz w:val="24"/>
          <w:szCs w:val="24"/>
        </w:rPr>
      </w:pPr>
      <w:r w:rsidRPr="006D2EB2">
        <w:rPr>
          <w:rFonts w:ascii="Calibri" w:hAnsi="Calibri"/>
          <w:sz w:val="24"/>
          <w:szCs w:val="24"/>
        </w:rPr>
        <w:t>CDC's Childhood Lead Poisoning Prevention Program (CLPPP) was authorized by the Lead Contamination Control Act to initiate program efforts to eliminate childhood lead poisoning in the United States. One of the program's primary responsibilities is to support state and local health departments to determine the extent of childhood lead poisoning by screening children for elevated blood lead levels, helping to ensure that lead-poisoned infants and children receive medical and environmental follow-up, and developing neighborhood-based efforts to prevent childhood lead poisoning. Since its inception, the CDC childhood lead poisoning prevention effort has funded nearly 60 childhood lead poisoning prevention programs to develop, implement, and evaluate lead poisoning prevention activities and developed the Childhood Blood Lead Surveillance System through which states can report data to CDC.</w:t>
      </w:r>
    </w:p>
    <w:p w:rsidR="006D2EB2" w:rsidP="006D2EB2" w:rsidRDefault="006D2EB2" w14:paraId="6925F4C4" w14:textId="1BFC1162">
      <w:pPr>
        <w:spacing w:after="160" w:line="259" w:lineRule="auto"/>
        <w:rPr>
          <w:rFonts w:ascii="Calibri" w:hAnsi="Calibri"/>
          <w:sz w:val="24"/>
          <w:szCs w:val="24"/>
          <w:u w:val="single"/>
        </w:rPr>
      </w:pPr>
      <w:r w:rsidRPr="006D2EB2">
        <w:rPr>
          <w:rFonts w:ascii="Calibri" w:hAnsi="Calibri"/>
          <w:sz w:val="24"/>
          <w:szCs w:val="24"/>
        </w:rPr>
        <w:t>2017-202</w:t>
      </w:r>
      <w:r w:rsidR="00C83F74">
        <w:rPr>
          <w:rFonts w:ascii="Calibri" w:hAnsi="Calibri"/>
          <w:sz w:val="24"/>
          <w:szCs w:val="24"/>
        </w:rPr>
        <w:t>3</w:t>
      </w:r>
      <w:r w:rsidRPr="006D2EB2">
        <w:rPr>
          <w:rFonts w:ascii="Calibri" w:hAnsi="Calibri"/>
          <w:sz w:val="24"/>
          <w:szCs w:val="24"/>
        </w:rPr>
        <w:t>: The program period will have the following main objectives: Support lead poisoning prevention activities including blood lead testing, surveillance, and targeted population-based interventions. Recipients will be expected to demonstrate that policies and systems are in place to identify lead-exposed children and link them to recommended services.  More specifically, they will be expected to work closely with other agencies, partners, stakeholders and others serving children to ensure that a comprehensive system of referral, case management, follow up, and evaluation is in place for lead-exposed children.</w:t>
      </w:r>
      <w:r w:rsidRPr="006D2EB2">
        <w:rPr>
          <w:rFonts w:ascii="Calibri" w:hAnsi="Calibri"/>
          <w:sz w:val="24"/>
          <w:szCs w:val="24"/>
          <w:u w:val="single"/>
        </w:rPr>
        <w:t xml:space="preserve">  </w:t>
      </w:r>
    </w:p>
    <w:p w:rsidRPr="002E6D65" w:rsidR="006D2EB2" w:rsidP="006D2EB2" w:rsidRDefault="006D2EB2" w14:paraId="6925F4C5" w14:textId="37E0B440">
      <w:pPr>
        <w:spacing w:line="276" w:lineRule="auto"/>
        <w:rPr>
          <w:rFonts w:ascii="Calibri" w:hAnsi="Calibri" w:cs="Calibri"/>
          <w:sz w:val="24"/>
          <w:szCs w:val="24"/>
        </w:rPr>
      </w:pPr>
      <w:r w:rsidRPr="002E6D65">
        <w:rPr>
          <w:rFonts w:ascii="Calibri" w:hAnsi="Calibri" w:cs="Calibri"/>
          <w:sz w:val="24"/>
          <w:szCs w:val="24"/>
        </w:rPr>
        <w:t xml:space="preserve">Note: On </w:t>
      </w:r>
      <w:r>
        <w:rPr>
          <w:rFonts w:ascii="Calibri" w:hAnsi="Calibri" w:cs="Calibri"/>
          <w:sz w:val="24"/>
          <w:szCs w:val="24"/>
        </w:rPr>
        <w:t>January 1</w:t>
      </w:r>
      <w:r w:rsidRPr="002E6D65">
        <w:rPr>
          <w:rFonts w:ascii="Calibri" w:hAnsi="Calibri" w:cs="Calibri"/>
          <w:sz w:val="24"/>
          <w:szCs w:val="24"/>
        </w:rPr>
        <w:t xml:space="preserve">, 2018, </w:t>
      </w:r>
      <w:r>
        <w:rPr>
          <w:rFonts w:ascii="Calibri" w:hAnsi="Calibri" w:cs="Calibri"/>
          <w:sz w:val="24"/>
          <w:szCs w:val="24"/>
        </w:rPr>
        <w:t xml:space="preserve">announced </w:t>
      </w:r>
      <w:r w:rsidRPr="002E6D65">
        <w:rPr>
          <w:rFonts w:ascii="Calibri" w:hAnsi="Calibri" w:cs="Calibri"/>
          <w:sz w:val="24"/>
          <w:szCs w:val="24"/>
        </w:rPr>
        <w:t xml:space="preserve">in 83 FR 6179, the Healthy Homes and Lead Poisoning Prevention Program </w:t>
      </w:r>
      <w:r>
        <w:rPr>
          <w:rFonts w:ascii="Calibri" w:hAnsi="Calibri" w:cs="Calibri"/>
          <w:sz w:val="24"/>
          <w:szCs w:val="24"/>
        </w:rPr>
        <w:t xml:space="preserve">(HHLPPP) </w:t>
      </w:r>
      <w:r w:rsidRPr="002E6D65">
        <w:rPr>
          <w:rFonts w:ascii="Calibri" w:hAnsi="Calibri" w:cs="Calibri"/>
          <w:sz w:val="24"/>
          <w:szCs w:val="24"/>
        </w:rPr>
        <w:t>was renamed the Lead Poisoning Prevention Section within the Lead Poisoning Prevention and Environmental Health Tracking Branch, in the Division of Environmental Health Science and Practice</w:t>
      </w:r>
      <w:r>
        <w:rPr>
          <w:rFonts w:ascii="Calibri" w:hAnsi="Calibri" w:cs="Calibri"/>
          <w:sz w:val="24"/>
          <w:szCs w:val="24"/>
        </w:rPr>
        <w:t>, National Center for Environmental Health at CDC</w:t>
      </w:r>
      <w:r w:rsidRPr="002E6D65">
        <w:rPr>
          <w:rFonts w:ascii="Calibri" w:hAnsi="Calibri" w:cs="Calibri"/>
          <w:sz w:val="24"/>
          <w:szCs w:val="24"/>
        </w:rPr>
        <w:t>.</w:t>
      </w:r>
      <w:r w:rsidR="00F27BE8">
        <w:rPr>
          <w:rFonts w:ascii="Calibri" w:hAnsi="Calibri" w:cs="Calibri"/>
          <w:sz w:val="24"/>
          <w:szCs w:val="24"/>
        </w:rPr>
        <w:t xml:space="preserve"> Currently, the program is undergoing the appropriate administrative </w:t>
      </w:r>
      <w:r w:rsidR="00D97011">
        <w:rPr>
          <w:rFonts w:ascii="Calibri" w:hAnsi="Calibri" w:cs="Calibri"/>
          <w:sz w:val="24"/>
          <w:szCs w:val="24"/>
        </w:rPr>
        <w:t xml:space="preserve">review </w:t>
      </w:r>
      <w:r w:rsidR="00F27BE8">
        <w:rPr>
          <w:rFonts w:ascii="Calibri" w:hAnsi="Calibri" w:cs="Calibri"/>
          <w:sz w:val="24"/>
          <w:szCs w:val="24"/>
        </w:rPr>
        <w:t>change to become the proposed Lead Poisoning Prevention and Surveillance Branch</w:t>
      </w:r>
      <w:r w:rsidR="00C83F74">
        <w:rPr>
          <w:rFonts w:ascii="Calibri" w:hAnsi="Calibri" w:cs="Calibri"/>
          <w:sz w:val="24"/>
          <w:szCs w:val="24"/>
        </w:rPr>
        <w:t>.</w:t>
      </w:r>
    </w:p>
    <w:p w:rsidRPr="006D2EB2" w:rsidR="006D2EB2" w:rsidP="006D2EB2" w:rsidRDefault="006D2EB2" w14:paraId="6925F4C6" w14:textId="77777777">
      <w:pPr>
        <w:pStyle w:val="Default"/>
        <w:rPr>
          <w:rFonts w:asciiTheme="minorHAnsi" w:hAnsiTheme="minorHAnsi"/>
          <w:color w:val="auto"/>
        </w:rPr>
      </w:pPr>
    </w:p>
    <w:p w:rsidRPr="004E328D" w:rsidR="006D2EB2" w:rsidP="006C314F" w:rsidRDefault="006D2EB2" w14:paraId="6925F4C7" w14:textId="66842C77">
      <w:pPr>
        <w:pStyle w:val="Default"/>
        <w:spacing w:after="120"/>
        <w:rPr>
          <w:rFonts w:asciiTheme="minorHAnsi" w:hAnsiTheme="minorHAnsi" w:cstheme="minorHAnsi"/>
          <w:color w:val="auto"/>
        </w:rPr>
      </w:pPr>
      <w:r w:rsidRPr="004E328D">
        <w:rPr>
          <w:rFonts w:asciiTheme="minorHAnsi" w:hAnsiTheme="minorHAnsi" w:cstheme="minorHAnsi"/>
          <w:color w:val="auto"/>
        </w:rPr>
        <w:t>201</w:t>
      </w:r>
      <w:r w:rsidR="0063737F">
        <w:rPr>
          <w:rFonts w:asciiTheme="minorHAnsi" w:hAnsiTheme="minorHAnsi" w:cstheme="minorHAnsi"/>
          <w:color w:val="auto"/>
        </w:rPr>
        <w:t>7</w:t>
      </w:r>
      <w:r w:rsidRPr="004E328D">
        <w:rPr>
          <w:rFonts w:asciiTheme="minorHAnsi" w:hAnsiTheme="minorHAnsi" w:cstheme="minorHAnsi"/>
          <w:color w:val="auto"/>
        </w:rPr>
        <w:t>—20</w:t>
      </w:r>
      <w:r w:rsidRPr="004E328D" w:rsidR="00297642">
        <w:rPr>
          <w:rFonts w:asciiTheme="minorHAnsi" w:hAnsiTheme="minorHAnsi" w:cstheme="minorHAnsi"/>
          <w:color w:val="auto"/>
        </w:rPr>
        <w:t>20</w:t>
      </w:r>
      <w:r w:rsidRPr="004E328D">
        <w:rPr>
          <w:rFonts w:asciiTheme="minorHAnsi" w:hAnsiTheme="minorHAnsi" w:cstheme="minorHAnsi"/>
          <w:color w:val="auto"/>
        </w:rPr>
        <w:t xml:space="preserve"> Publications</w:t>
      </w:r>
    </w:p>
    <w:p w:rsidR="00AE1116" w:rsidP="00AE1116" w:rsidRDefault="006D2EB2" w14:paraId="3073A325"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4E328D">
        <w:rPr>
          <w:rFonts w:asciiTheme="minorHAnsi" w:hAnsiTheme="minorHAnsi" w:cstheme="minorHAnsi"/>
          <w:color w:val="auto"/>
        </w:rPr>
        <w:t>Raymond J, Brown MJ. Childhood Blood Lead Levels in Children Aged &lt;5 Years — United States, 2007–2014. MMWR. January 20, 2017 / 66; 1-10. Availabl</w:t>
      </w:r>
      <w:r w:rsidRPr="00A04498">
        <w:rPr>
          <w:rFonts w:asciiTheme="minorHAnsi" w:hAnsiTheme="minorHAnsi" w:cstheme="minorHAnsi"/>
          <w:color w:val="auto"/>
        </w:rPr>
        <w:t xml:space="preserve">e at: </w:t>
      </w:r>
      <w:hyperlink w:history="1" r:id="rId7">
        <w:r w:rsidRPr="007D599E">
          <w:rPr>
            <w:rStyle w:val="Hyperlink"/>
            <w:rFonts w:asciiTheme="minorHAnsi" w:hAnsiTheme="minorHAnsi" w:cstheme="minorHAnsi"/>
          </w:rPr>
          <w:t>https://www.cdc.gov/mmwr/volumes/66/ss/ss6603a1.htm?s_cid=ss6603a1_w</w:t>
        </w:r>
      </w:hyperlink>
    </w:p>
    <w:p w:rsidR="006E1A34" w:rsidP="006E1A34" w:rsidRDefault="000454F0" w14:paraId="17A74109"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AE1116">
        <w:rPr>
          <w:rStyle w:val="Hyperlink"/>
          <w:rFonts w:asciiTheme="minorHAnsi" w:hAnsiTheme="minorHAnsi"/>
          <w:color w:val="auto"/>
          <w:u w:val="none"/>
        </w:rPr>
        <w:t>Ettinger A, Ruckart P, Dignam T. Lead Poisoning Prevention: The Unfinished Agenda</w:t>
      </w:r>
      <w:r w:rsidRPr="00AE1116" w:rsidR="00106D90">
        <w:rPr>
          <w:rStyle w:val="Hyperlink"/>
          <w:rFonts w:asciiTheme="minorHAnsi" w:hAnsiTheme="minorHAnsi"/>
          <w:color w:val="auto"/>
          <w:u w:val="none"/>
        </w:rPr>
        <w:t xml:space="preserve">. JPHMP. 2019;25:S1-S2. </w:t>
      </w:r>
    </w:p>
    <w:p w:rsidR="006E1A34" w:rsidP="006E1A34" w:rsidRDefault="00593CC0" w14:paraId="62107139"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proofErr w:type="spellStart"/>
      <w:r w:rsidRPr="006E1A34">
        <w:rPr>
          <w:rStyle w:val="Hyperlink"/>
          <w:rFonts w:asciiTheme="minorHAnsi" w:hAnsiTheme="minorHAnsi"/>
          <w:color w:val="auto"/>
          <w:u w:val="none"/>
        </w:rPr>
        <w:t>Breysee</w:t>
      </w:r>
      <w:proofErr w:type="spellEnd"/>
      <w:r w:rsidRPr="006E1A34">
        <w:rPr>
          <w:rStyle w:val="Hyperlink"/>
          <w:rFonts w:asciiTheme="minorHAnsi" w:hAnsiTheme="minorHAnsi"/>
          <w:color w:val="auto"/>
          <w:u w:val="none"/>
        </w:rPr>
        <w:t xml:space="preserve"> P. Lead Elimination for the 21</w:t>
      </w:r>
      <w:r w:rsidRPr="006E1A34">
        <w:rPr>
          <w:rStyle w:val="Hyperlink"/>
          <w:rFonts w:asciiTheme="minorHAnsi" w:hAnsiTheme="minorHAnsi"/>
          <w:color w:val="auto"/>
          <w:u w:val="none"/>
          <w:vertAlign w:val="superscript"/>
        </w:rPr>
        <w:t>st</w:t>
      </w:r>
      <w:r w:rsidRPr="006E1A34">
        <w:rPr>
          <w:rStyle w:val="Hyperlink"/>
          <w:rFonts w:asciiTheme="minorHAnsi" w:hAnsiTheme="minorHAnsi"/>
          <w:color w:val="auto"/>
          <w:u w:val="none"/>
        </w:rPr>
        <w:t xml:space="preserve"> Century. JPHMP. 2019;25:S3-S4.</w:t>
      </w:r>
    </w:p>
    <w:p w:rsidR="006E1A34" w:rsidP="006E1A34" w:rsidRDefault="005B5778" w14:paraId="7D314BC9"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olor w:val="auto"/>
          <w:u w:val="none"/>
        </w:rPr>
        <w:t>Ettinger A, Leonard M</w:t>
      </w:r>
      <w:r w:rsidRPr="006E1A34" w:rsidR="001956FC">
        <w:rPr>
          <w:rStyle w:val="Hyperlink"/>
          <w:rFonts w:asciiTheme="minorHAnsi" w:hAnsiTheme="minorHAnsi"/>
          <w:color w:val="auto"/>
          <w:u w:val="none"/>
        </w:rPr>
        <w:t>, Mason J. CDC’s Lead Poisoning Prevention Program: A long-standing Responsibility and Commitment to Protect Children from Lead Exposure. JPHMP. 2019;25:S5-S12.</w:t>
      </w:r>
    </w:p>
    <w:p w:rsidR="006E1A34" w:rsidP="006E1A34" w:rsidRDefault="00856A64" w14:paraId="10D994EE"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Fonts w:asciiTheme="minorHAnsi" w:hAnsiTheme="minorHAnsi"/>
          <w:color w:val="auto"/>
        </w:rPr>
        <w:lastRenderedPageBreak/>
        <w:t xml:space="preserve">Dignam T, Kaufmann RB, </w:t>
      </w:r>
      <w:proofErr w:type="spellStart"/>
      <w:r w:rsidRPr="006E1A34" w:rsidR="00C424BE">
        <w:rPr>
          <w:rFonts w:asciiTheme="minorHAnsi" w:hAnsiTheme="minorHAnsi"/>
          <w:color w:val="auto"/>
        </w:rPr>
        <w:t>LeStourgeon</w:t>
      </w:r>
      <w:proofErr w:type="spellEnd"/>
      <w:r w:rsidRPr="006E1A34" w:rsidR="00C424BE">
        <w:rPr>
          <w:rFonts w:asciiTheme="minorHAnsi" w:hAnsiTheme="minorHAnsi"/>
          <w:color w:val="auto"/>
        </w:rPr>
        <w:t xml:space="preserve"> L</w:t>
      </w:r>
      <w:r w:rsidRPr="006E1A34" w:rsidR="001E281E">
        <w:rPr>
          <w:rFonts w:asciiTheme="minorHAnsi" w:hAnsiTheme="minorHAnsi"/>
          <w:color w:val="auto"/>
        </w:rPr>
        <w:t>,</w:t>
      </w:r>
      <w:r w:rsidRPr="006E1A34" w:rsidR="00C424BE">
        <w:rPr>
          <w:rFonts w:asciiTheme="minorHAnsi" w:hAnsiTheme="minorHAnsi"/>
          <w:color w:val="auto"/>
        </w:rPr>
        <w:t xml:space="preserve"> et al. Control of Lead Sources in the United States, 1970-2017: Public Health Progress and Current Challenges to Eliminating Lead Exposure. </w:t>
      </w:r>
      <w:r w:rsidRPr="006E1A34" w:rsidR="00C424BE">
        <w:rPr>
          <w:rStyle w:val="Hyperlink"/>
          <w:rFonts w:asciiTheme="minorHAnsi" w:hAnsiTheme="minorHAnsi"/>
          <w:color w:val="auto"/>
          <w:u w:val="none"/>
        </w:rPr>
        <w:t>JPHMP. 2019;25:S13-S25.</w:t>
      </w:r>
    </w:p>
    <w:p w:rsidR="006E1A34" w:rsidP="006E1A34" w:rsidRDefault="005D1A55" w14:paraId="3F842438"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proofErr w:type="spellStart"/>
      <w:r w:rsidRPr="006E1A34">
        <w:rPr>
          <w:rStyle w:val="Hyperlink"/>
          <w:rFonts w:asciiTheme="minorHAnsi" w:hAnsiTheme="minorHAnsi"/>
          <w:color w:val="auto"/>
          <w:u w:val="none"/>
        </w:rPr>
        <w:t>Ruckart</w:t>
      </w:r>
      <w:proofErr w:type="spellEnd"/>
      <w:r w:rsidRPr="006E1A34">
        <w:rPr>
          <w:rStyle w:val="Hyperlink"/>
          <w:rFonts w:asciiTheme="minorHAnsi" w:hAnsiTheme="minorHAnsi"/>
          <w:color w:val="auto"/>
          <w:u w:val="none"/>
        </w:rPr>
        <w:t xml:space="preserve"> P, Ettinger A, </w:t>
      </w:r>
      <w:r w:rsidRPr="006E1A34" w:rsidR="00E7790F">
        <w:rPr>
          <w:rStyle w:val="Hyperlink"/>
          <w:rFonts w:asciiTheme="minorHAnsi" w:hAnsiTheme="minorHAnsi"/>
          <w:color w:val="auto"/>
          <w:u w:val="none"/>
        </w:rPr>
        <w:t>Hanna-</w:t>
      </w:r>
      <w:proofErr w:type="spellStart"/>
      <w:r w:rsidRPr="006E1A34" w:rsidR="00E7790F">
        <w:rPr>
          <w:rStyle w:val="Hyperlink"/>
          <w:rFonts w:asciiTheme="minorHAnsi" w:hAnsiTheme="minorHAnsi"/>
          <w:color w:val="auto"/>
          <w:u w:val="none"/>
        </w:rPr>
        <w:t>Attisha</w:t>
      </w:r>
      <w:proofErr w:type="spellEnd"/>
      <w:r w:rsidRPr="006E1A34" w:rsidR="00E7790F">
        <w:rPr>
          <w:rStyle w:val="Hyperlink"/>
          <w:rFonts w:asciiTheme="minorHAnsi" w:hAnsiTheme="minorHAnsi"/>
          <w:color w:val="auto"/>
          <w:u w:val="none"/>
        </w:rPr>
        <w:t xml:space="preserve"> M</w:t>
      </w:r>
      <w:r w:rsidRPr="006E1A34" w:rsidR="001E281E">
        <w:rPr>
          <w:rStyle w:val="Hyperlink"/>
          <w:rFonts w:asciiTheme="minorHAnsi" w:hAnsiTheme="minorHAnsi"/>
          <w:color w:val="auto"/>
          <w:u w:val="none"/>
        </w:rPr>
        <w:t>,</w:t>
      </w:r>
      <w:r w:rsidRPr="006E1A34" w:rsidR="00E7790F">
        <w:rPr>
          <w:rStyle w:val="Hyperlink"/>
          <w:rFonts w:asciiTheme="minorHAnsi" w:hAnsiTheme="minorHAnsi"/>
          <w:color w:val="auto"/>
          <w:u w:val="none"/>
        </w:rPr>
        <w:t xml:space="preserve"> et al. The Flint Water Crisis: A Coordinated Public Health Emergency Response and Recovery Initiative. JPHMP. 2019;25:S84-S</w:t>
      </w:r>
      <w:r w:rsidRPr="006E1A34" w:rsidR="001E281E">
        <w:rPr>
          <w:rStyle w:val="Hyperlink"/>
          <w:rFonts w:asciiTheme="minorHAnsi" w:hAnsiTheme="minorHAnsi"/>
          <w:color w:val="auto"/>
          <w:u w:val="none"/>
        </w:rPr>
        <w:t>90</w:t>
      </w:r>
      <w:r w:rsidRPr="006E1A34" w:rsidR="00E7790F">
        <w:rPr>
          <w:rStyle w:val="Hyperlink"/>
          <w:rFonts w:asciiTheme="minorHAnsi" w:hAnsiTheme="minorHAnsi"/>
          <w:color w:val="auto"/>
          <w:u w:val="none"/>
        </w:rPr>
        <w:t>.</w:t>
      </w:r>
    </w:p>
    <w:p w:rsidR="006E1A34" w:rsidP="006E1A34" w:rsidRDefault="001E281E" w14:paraId="2CB7DA4A"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olor w:val="auto"/>
          <w:u w:val="none"/>
        </w:rPr>
        <w:t xml:space="preserve">Mason J, Ortiz D, Pappas S, et al. Response to the US FDA </w:t>
      </w:r>
      <w:proofErr w:type="spellStart"/>
      <w:r w:rsidRPr="006E1A34">
        <w:rPr>
          <w:rStyle w:val="Hyperlink"/>
          <w:rFonts w:asciiTheme="minorHAnsi" w:hAnsiTheme="minorHAnsi"/>
          <w:color w:val="auto"/>
          <w:u w:val="none"/>
        </w:rPr>
        <w:t>LeadCare</w:t>
      </w:r>
      <w:proofErr w:type="spellEnd"/>
      <w:r w:rsidRPr="006E1A34">
        <w:rPr>
          <w:rStyle w:val="Hyperlink"/>
          <w:rFonts w:asciiTheme="minorHAnsi" w:hAnsiTheme="minorHAnsi"/>
          <w:color w:val="auto"/>
          <w:u w:val="none"/>
        </w:rPr>
        <w:t xml:space="preserve"> Testing Systems Recall and CDC Health Alert.</w:t>
      </w:r>
      <w:r w:rsidRPr="006E1A34" w:rsidR="0039016E">
        <w:rPr>
          <w:rStyle w:val="Hyperlink"/>
          <w:rFonts w:asciiTheme="minorHAnsi" w:hAnsiTheme="minorHAnsi"/>
          <w:color w:val="auto"/>
          <w:u w:val="none"/>
        </w:rPr>
        <w:t xml:space="preserve"> JPHMP. 2019;25:S91-S97.</w:t>
      </w:r>
    </w:p>
    <w:p w:rsidR="006E1A34" w:rsidP="006E1A34" w:rsidRDefault="0039016E" w14:paraId="072474F3"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olor w:val="auto"/>
          <w:u w:val="none"/>
        </w:rPr>
        <w:t>Egan KB, Tsai R, Chuke S. Integrating Childhood and Adult Blood Lead Surveillance to Improve Identification and Intervention Efforts. JPHMP. 2019;25:S98-S104.</w:t>
      </w:r>
    </w:p>
    <w:p w:rsidR="006E1A34" w:rsidP="006E1A34" w:rsidRDefault="000A0B97" w14:paraId="5C834AA3"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olor w:val="auto"/>
          <w:u w:val="none"/>
        </w:rPr>
        <w:t xml:space="preserve">Trinh E, Mason J. Evaluation of the Implementation of CDC’s Health Alert Related to the FDA </w:t>
      </w:r>
      <w:proofErr w:type="spellStart"/>
      <w:r w:rsidRPr="006E1A34">
        <w:rPr>
          <w:rStyle w:val="Hyperlink"/>
          <w:rFonts w:asciiTheme="minorHAnsi" w:hAnsiTheme="minorHAnsi"/>
          <w:color w:val="auto"/>
          <w:u w:val="none"/>
        </w:rPr>
        <w:t>LeadCare</w:t>
      </w:r>
      <w:proofErr w:type="spellEnd"/>
      <w:r w:rsidRPr="006E1A34">
        <w:rPr>
          <w:rStyle w:val="Hyperlink"/>
          <w:rFonts w:asciiTheme="minorHAnsi" w:hAnsiTheme="minorHAnsi"/>
          <w:color w:val="auto"/>
          <w:u w:val="none"/>
        </w:rPr>
        <w:t xml:space="preserve"> Recall from the State Health Department Perspective. JPHMP. 2019;25:S105-S110.</w:t>
      </w:r>
    </w:p>
    <w:p w:rsidR="006E1A34" w:rsidP="006E1A34" w:rsidRDefault="00FB7183" w14:paraId="5271D6C5"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proofErr w:type="spellStart"/>
      <w:r w:rsidRPr="006E1A34">
        <w:rPr>
          <w:rStyle w:val="Hyperlink"/>
          <w:rFonts w:asciiTheme="minorHAnsi" w:hAnsiTheme="minorHAnsi"/>
          <w:color w:val="auto"/>
          <w:u w:val="none"/>
        </w:rPr>
        <w:t>Lockamy-Kassim</w:t>
      </w:r>
      <w:proofErr w:type="spellEnd"/>
      <w:r w:rsidRPr="006E1A34">
        <w:rPr>
          <w:rStyle w:val="Hyperlink"/>
          <w:rFonts w:asciiTheme="minorHAnsi" w:hAnsiTheme="minorHAnsi"/>
          <w:color w:val="auto"/>
          <w:u w:val="none"/>
        </w:rPr>
        <w:t xml:space="preserve"> E, Friedberg J, Newby C, et al. Identifying and Chronicling Childhood Lead Poisoning Prevention Program Achievements with “Success Stories”. JPHMP. 2019;25:S111-S114.</w:t>
      </w:r>
    </w:p>
    <w:p w:rsidR="006E1A34" w:rsidP="006E1A34" w:rsidRDefault="00D95359" w14:paraId="409D8EC6"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olor w:val="auto"/>
          <w:u w:val="none"/>
        </w:rPr>
        <w:t>Whitehead L, Buchanan S. Childhood Lead Poisoning: A Perpetual Environme</w:t>
      </w:r>
      <w:r w:rsidRPr="006E1A34" w:rsidR="000434E1">
        <w:rPr>
          <w:rStyle w:val="Hyperlink"/>
          <w:rFonts w:asciiTheme="minorHAnsi" w:hAnsiTheme="minorHAnsi"/>
          <w:color w:val="auto"/>
          <w:u w:val="none"/>
        </w:rPr>
        <w:t>n</w:t>
      </w:r>
      <w:r w:rsidRPr="006E1A34">
        <w:rPr>
          <w:rStyle w:val="Hyperlink"/>
          <w:rFonts w:asciiTheme="minorHAnsi" w:hAnsiTheme="minorHAnsi"/>
          <w:color w:val="auto"/>
          <w:u w:val="none"/>
        </w:rPr>
        <w:t>tal Justice Issue? JPHMP. 2019;25:S115-S120.</w:t>
      </w:r>
    </w:p>
    <w:p w:rsidR="006E1A34" w:rsidP="006E1A34" w:rsidRDefault="00CB6AC8" w14:paraId="3CBD71AE" w14:textId="77777777">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Fonts w:asciiTheme="minorHAnsi" w:hAnsiTheme="minorHAnsi" w:cstheme="minorHAnsi"/>
          <w:color w:val="auto"/>
        </w:rPr>
        <w:t xml:space="preserve">Ettinger AS, Egan KB, </w:t>
      </w:r>
      <w:proofErr w:type="spellStart"/>
      <w:r w:rsidRPr="006E1A34">
        <w:rPr>
          <w:rFonts w:asciiTheme="minorHAnsi" w:hAnsiTheme="minorHAnsi" w:cstheme="minorHAnsi"/>
          <w:color w:val="auto"/>
        </w:rPr>
        <w:t>Homa</w:t>
      </w:r>
      <w:proofErr w:type="spellEnd"/>
      <w:r w:rsidRPr="006E1A34">
        <w:rPr>
          <w:rFonts w:asciiTheme="minorHAnsi" w:hAnsiTheme="minorHAnsi" w:cstheme="minorHAnsi"/>
          <w:color w:val="auto"/>
        </w:rPr>
        <w:t xml:space="preserve"> DM, Brown MJ.</w:t>
      </w:r>
      <w:r w:rsidRPr="006E1A34">
        <w:rPr>
          <w:rStyle w:val="Hyperlink"/>
          <w:rFonts w:asciiTheme="minorHAnsi" w:hAnsiTheme="minorHAnsi" w:cstheme="minorHAnsi"/>
          <w:color w:val="auto"/>
          <w:u w:val="none"/>
        </w:rPr>
        <w:t xml:space="preserve"> Blood Lead Levels in U.S. Women of Childbearing Age, 1976-2016. Environ Health </w:t>
      </w:r>
      <w:proofErr w:type="spellStart"/>
      <w:r w:rsidRPr="006E1A34">
        <w:rPr>
          <w:rStyle w:val="Hyperlink"/>
          <w:rFonts w:asciiTheme="minorHAnsi" w:hAnsiTheme="minorHAnsi" w:cstheme="minorHAnsi"/>
          <w:color w:val="auto"/>
          <w:u w:val="none"/>
        </w:rPr>
        <w:t>Perspect</w:t>
      </w:r>
      <w:proofErr w:type="spellEnd"/>
      <w:r w:rsidRPr="006E1A34">
        <w:rPr>
          <w:rStyle w:val="Hyperlink"/>
          <w:rFonts w:asciiTheme="minorHAnsi" w:hAnsiTheme="minorHAnsi" w:cstheme="minorHAnsi"/>
          <w:color w:val="auto"/>
          <w:u w:val="none"/>
        </w:rPr>
        <w:t xml:space="preserve">. 2020;128(1):17012. </w:t>
      </w:r>
      <w:proofErr w:type="spellStart"/>
      <w:r w:rsidRPr="006E1A34">
        <w:rPr>
          <w:rStyle w:val="Hyperlink"/>
          <w:rFonts w:asciiTheme="minorHAnsi" w:hAnsiTheme="minorHAnsi" w:cstheme="minorHAnsi"/>
          <w:color w:val="auto"/>
          <w:u w:val="none"/>
        </w:rPr>
        <w:t>doi</w:t>
      </w:r>
      <w:proofErr w:type="spellEnd"/>
      <w:r w:rsidRPr="006E1A34">
        <w:rPr>
          <w:rStyle w:val="Hyperlink"/>
          <w:rFonts w:asciiTheme="minorHAnsi" w:hAnsiTheme="minorHAnsi" w:cstheme="minorHAnsi"/>
          <w:color w:val="auto"/>
          <w:u w:val="none"/>
        </w:rPr>
        <w:t>: 10.1289/EHP5925.</w:t>
      </w:r>
    </w:p>
    <w:p w:rsidR="006E1A34" w:rsidP="006E1A34" w:rsidRDefault="00CB6AC8" w14:paraId="6B693E8C" w14:textId="77777777">
      <w:pPr>
        <w:pStyle w:val="Default"/>
        <w:numPr>
          <w:ilvl w:val="0"/>
          <w:numId w:val="13"/>
        </w:numPr>
        <w:tabs>
          <w:tab w:val="left" w:pos="360"/>
        </w:tabs>
        <w:spacing w:after="120"/>
        <w:ind w:left="360"/>
        <w:rPr>
          <w:rFonts w:asciiTheme="minorHAnsi" w:hAnsiTheme="minorHAnsi" w:cstheme="minorHAnsi"/>
          <w:color w:val="auto"/>
        </w:rPr>
      </w:pPr>
      <w:r w:rsidRPr="006E1A34">
        <w:rPr>
          <w:rFonts w:asciiTheme="minorHAnsi" w:hAnsiTheme="minorHAnsi" w:cstheme="minorHAnsi"/>
          <w:color w:val="auto"/>
        </w:rPr>
        <w:t xml:space="preserve">Dignam T, Hodge J, Chuke S, Mercado C, Ettinger AS, Flanders WD.  </w:t>
      </w:r>
      <w:r w:rsidRPr="006E1A34">
        <w:rPr>
          <w:rFonts w:asciiTheme="minorHAnsi" w:hAnsiTheme="minorHAnsi" w:cstheme="minorHAnsi"/>
          <w:color w:val="212121"/>
          <w:lang w:val="en"/>
        </w:rPr>
        <w:t xml:space="preserve">Use of the CUSUM and Shewhart control chart methods to identify changes of public health significance using childhood blood lead surveillance data. Environ Epidemiol </w:t>
      </w:r>
      <w:r w:rsidRPr="006E1A34">
        <w:rPr>
          <w:rStyle w:val="period"/>
          <w:rFonts w:asciiTheme="minorHAnsi" w:hAnsiTheme="minorHAnsi" w:cstheme="minorHAnsi"/>
          <w:color w:val="212121"/>
          <w:lang w:val="en"/>
        </w:rPr>
        <w:t xml:space="preserve">. </w:t>
      </w:r>
      <w:r w:rsidRPr="006E1A34">
        <w:rPr>
          <w:rStyle w:val="cit"/>
          <w:rFonts w:asciiTheme="minorHAnsi" w:hAnsiTheme="minorHAnsi" w:cstheme="minorHAnsi"/>
          <w:color w:val="212121"/>
          <w:lang w:val="en"/>
        </w:rPr>
        <w:t>2020 Apr;4(2): e090.</w:t>
      </w:r>
      <w:r w:rsidRPr="006E1A34">
        <w:rPr>
          <w:rFonts w:asciiTheme="minorHAnsi" w:hAnsiTheme="minorHAnsi" w:cstheme="minorHAnsi"/>
          <w:color w:val="212121"/>
          <w:lang w:val="en"/>
        </w:rPr>
        <w:t xml:space="preserve"> </w:t>
      </w:r>
      <w:proofErr w:type="spellStart"/>
      <w:r w:rsidRPr="006E1A34">
        <w:rPr>
          <w:rStyle w:val="citation-doi"/>
          <w:rFonts w:asciiTheme="minorHAnsi" w:hAnsiTheme="minorHAnsi" w:cstheme="minorHAnsi"/>
          <w:color w:val="212121"/>
          <w:lang w:val="en"/>
        </w:rPr>
        <w:t>doi</w:t>
      </w:r>
      <w:proofErr w:type="spellEnd"/>
      <w:r w:rsidRPr="006E1A34">
        <w:rPr>
          <w:rStyle w:val="citation-doi"/>
          <w:rFonts w:asciiTheme="minorHAnsi" w:hAnsiTheme="minorHAnsi" w:cstheme="minorHAnsi"/>
          <w:color w:val="212121"/>
          <w:lang w:val="en"/>
        </w:rPr>
        <w:t>: 10.1097/ee9.0000000000000090</w:t>
      </w:r>
    </w:p>
    <w:p w:rsidRPr="006E1A34" w:rsidR="00CB6AC8" w:rsidP="006E1A34" w:rsidRDefault="00CB6AC8" w14:paraId="6B85E25C" w14:textId="2D42815B">
      <w:pPr>
        <w:pStyle w:val="Default"/>
        <w:numPr>
          <w:ilvl w:val="0"/>
          <w:numId w:val="13"/>
        </w:numPr>
        <w:tabs>
          <w:tab w:val="left" w:pos="360"/>
        </w:tabs>
        <w:spacing w:after="120"/>
        <w:ind w:left="360"/>
        <w:rPr>
          <w:rStyle w:val="Hyperlink"/>
          <w:rFonts w:asciiTheme="minorHAnsi" w:hAnsiTheme="minorHAnsi" w:cstheme="minorHAnsi"/>
          <w:color w:val="auto"/>
          <w:u w:val="none"/>
        </w:rPr>
      </w:pPr>
      <w:r w:rsidRPr="006E1A34">
        <w:rPr>
          <w:rStyle w:val="Hyperlink"/>
          <w:rFonts w:asciiTheme="minorHAnsi" w:hAnsiTheme="minorHAnsi" w:cstheme="minorHAnsi"/>
          <w:color w:val="auto"/>
          <w:u w:val="none"/>
        </w:rPr>
        <w:t xml:space="preserve">Cornwell CR, Egan KB, Zahran HS, Mirabelli MC, Hsu J, Chew GL. Associations of blood lead levels with asthma and blood eosinophils in US children. </w:t>
      </w:r>
      <w:proofErr w:type="spellStart"/>
      <w:r w:rsidRPr="006E1A34">
        <w:rPr>
          <w:rStyle w:val="Hyperlink"/>
          <w:rFonts w:asciiTheme="minorHAnsi" w:hAnsiTheme="minorHAnsi" w:cstheme="minorHAnsi"/>
          <w:color w:val="auto"/>
          <w:u w:val="none"/>
        </w:rPr>
        <w:t>Pediatr</w:t>
      </w:r>
      <w:proofErr w:type="spellEnd"/>
      <w:r w:rsidRPr="006E1A34">
        <w:rPr>
          <w:rStyle w:val="Hyperlink"/>
          <w:rFonts w:asciiTheme="minorHAnsi" w:hAnsiTheme="minorHAnsi" w:cstheme="minorHAnsi"/>
          <w:color w:val="auto"/>
          <w:u w:val="none"/>
        </w:rPr>
        <w:t xml:space="preserve"> Allergy Immunol. 2020 Mar 11. </w:t>
      </w:r>
      <w:proofErr w:type="spellStart"/>
      <w:r w:rsidRPr="006E1A34">
        <w:rPr>
          <w:rStyle w:val="Hyperlink"/>
          <w:rFonts w:asciiTheme="minorHAnsi" w:hAnsiTheme="minorHAnsi" w:cstheme="minorHAnsi"/>
          <w:color w:val="auto"/>
          <w:u w:val="none"/>
        </w:rPr>
        <w:t>doi</w:t>
      </w:r>
      <w:proofErr w:type="spellEnd"/>
      <w:r w:rsidRPr="006E1A34">
        <w:rPr>
          <w:rStyle w:val="Hyperlink"/>
          <w:rFonts w:asciiTheme="minorHAnsi" w:hAnsiTheme="minorHAnsi" w:cstheme="minorHAnsi"/>
          <w:color w:val="auto"/>
          <w:u w:val="none"/>
        </w:rPr>
        <w:t>: 10.1111/pai.13241.</w:t>
      </w:r>
    </w:p>
    <w:p w:rsidRPr="00BE463D" w:rsidR="00C96CF2" w:rsidP="005B7D01" w:rsidRDefault="00C96CF2" w14:paraId="6925F4D7" w14:textId="77777777">
      <w:pPr>
        <w:pStyle w:val="Default"/>
        <w:tabs>
          <w:tab w:val="left" w:pos="360"/>
        </w:tabs>
        <w:spacing w:after="120"/>
        <w:rPr>
          <w:rFonts w:asciiTheme="minorHAnsi" w:hAnsiTheme="minorHAnsi"/>
          <w:color w:val="auto"/>
        </w:rPr>
      </w:pPr>
    </w:p>
    <w:p w:rsidRPr="00497951" w:rsidR="00D873FF" w:rsidP="005B7D01" w:rsidRDefault="00D873FF" w14:paraId="3E2E9BC5" w14:textId="0EACC3E9">
      <w:pPr>
        <w:spacing w:before="360" w:line="276" w:lineRule="auto"/>
        <w:rPr>
          <w:rFonts w:ascii="Calibri" w:hAnsi="Calibri" w:cs="Calibri"/>
          <w:sz w:val="24"/>
          <w:szCs w:val="24"/>
        </w:rPr>
      </w:pPr>
      <w:bookmarkStart w:name="_GoBack" w:id="0"/>
      <w:bookmarkEnd w:id="0"/>
    </w:p>
    <w:sectPr w:rsidRPr="00497951" w:rsidR="00D873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7205" w14:textId="77777777" w:rsidR="00476486" w:rsidRDefault="00476486" w:rsidP="0033668D">
      <w:pPr>
        <w:spacing w:after="0" w:line="240" w:lineRule="auto"/>
      </w:pPr>
      <w:r>
        <w:separator/>
      </w:r>
    </w:p>
  </w:endnote>
  <w:endnote w:type="continuationSeparator" w:id="0">
    <w:p w14:paraId="4AECE60E" w14:textId="77777777" w:rsidR="00476486" w:rsidRDefault="00476486" w:rsidP="0033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87BB" w14:textId="77777777" w:rsidR="0063737F" w:rsidRDefault="0063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560D" w14:textId="77777777" w:rsidR="0063737F" w:rsidRDefault="0063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AEB3" w14:textId="77777777" w:rsidR="0063737F" w:rsidRDefault="00637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B038" w14:textId="77777777" w:rsidR="00476486" w:rsidRDefault="00476486" w:rsidP="0033668D">
      <w:pPr>
        <w:spacing w:after="0" w:line="240" w:lineRule="auto"/>
      </w:pPr>
      <w:r>
        <w:separator/>
      </w:r>
    </w:p>
  </w:footnote>
  <w:footnote w:type="continuationSeparator" w:id="0">
    <w:p w14:paraId="5A84EDF6" w14:textId="77777777" w:rsidR="00476486" w:rsidRDefault="00476486" w:rsidP="0033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78A9" w14:textId="77777777" w:rsidR="0063737F" w:rsidRDefault="00637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F4FD" w14:textId="2A82FADB" w:rsidR="00746B27" w:rsidRDefault="00746B27" w:rsidP="003D347A">
    <w:pPr>
      <w:pStyle w:val="Header"/>
    </w:pPr>
    <w:r>
      <w:t xml:space="preserve">Attachment </w:t>
    </w:r>
    <w:r w:rsidR="00A04498">
      <w:t>4</w:t>
    </w:r>
    <w:r>
      <w:t>a. CLPPP-CBLS</w:t>
    </w:r>
    <w:r w:rsidRPr="00641576">
      <w:t xml:space="preserve"> Program Summary &amp; Accomp</w:t>
    </w:r>
    <w:r>
      <w:t>l</w:t>
    </w:r>
    <w:r w:rsidRPr="00641576">
      <w:t>ishments</w:t>
    </w:r>
    <w:r>
      <w:t xml:space="preserve"> </w:t>
    </w:r>
  </w:p>
  <w:p w14:paraId="6925F4FE" w14:textId="77777777" w:rsidR="00746B27" w:rsidRPr="003D347A" w:rsidRDefault="00746B27" w:rsidP="003D3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9C1B" w14:textId="77777777" w:rsidR="0063737F" w:rsidRDefault="0063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89C"/>
    <w:multiLevelType w:val="hybridMultilevel"/>
    <w:tmpl w:val="9C724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532D"/>
    <w:multiLevelType w:val="hybridMultilevel"/>
    <w:tmpl w:val="72C0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60C6"/>
    <w:multiLevelType w:val="hybridMultilevel"/>
    <w:tmpl w:val="724AE498"/>
    <w:lvl w:ilvl="0" w:tplc="4C38656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B1775E"/>
    <w:multiLevelType w:val="hybridMultilevel"/>
    <w:tmpl w:val="42926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42BF"/>
    <w:multiLevelType w:val="hybridMultilevel"/>
    <w:tmpl w:val="B9A2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54B2A"/>
    <w:multiLevelType w:val="hybridMultilevel"/>
    <w:tmpl w:val="FD7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276B8"/>
    <w:multiLevelType w:val="hybridMultilevel"/>
    <w:tmpl w:val="8B026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404EE"/>
    <w:multiLevelType w:val="hybridMultilevel"/>
    <w:tmpl w:val="083C2BB0"/>
    <w:lvl w:ilvl="0" w:tplc="535C5230">
      <w:start w:val="2014"/>
      <w:numFmt w:val="decimal"/>
      <w:lvlText w:val="%1"/>
      <w:lvlJc w:val="left"/>
      <w:pPr>
        <w:ind w:left="840" w:hanging="48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D6015"/>
    <w:multiLevelType w:val="hybridMultilevel"/>
    <w:tmpl w:val="B13E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427B7"/>
    <w:multiLevelType w:val="hybridMultilevel"/>
    <w:tmpl w:val="D9DE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6"/>
  </w:num>
  <w:num w:numId="5">
    <w:abstractNumId w:val="12"/>
  </w:num>
  <w:num w:numId="6">
    <w:abstractNumId w:val="3"/>
  </w:num>
  <w:num w:numId="7">
    <w:abstractNumId w:val="2"/>
  </w:num>
  <w:num w:numId="8">
    <w:abstractNumId w:val="4"/>
  </w:num>
  <w:num w:numId="9">
    <w:abstractNumId w:val="8"/>
  </w:num>
  <w:num w:numId="10">
    <w:abstractNumId w:val="0"/>
  </w:num>
  <w:num w:numId="11">
    <w:abstractNumId w:val="10"/>
  </w:num>
  <w:num w:numId="12">
    <w:abstractNumId w:val="7"/>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8D"/>
    <w:rsid w:val="00037287"/>
    <w:rsid w:val="000434E1"/>
    <w:rsid w:val="000454F0"/>
    <w:rsid w:val="00083B66"/>
    <w:rsid w:val="000A0B97"/>
    <w:rsid w:val="000D4245"/>
    <w:rsid w:val="000E1512"/>
    <w:rsid w:val="0010455A"/>
    <w:rsid w:val="00106D90"/>
    <w:rsid w:val="0012786B"/>
    <w:rsid w:val="00141402"/>
    <w:rsid w:val="00144CD4"/>
    <w:rsid w:val="00184447"/>
    <w:rsid w:val="001956FC"/>
    <w:rsid w:val="001B4299"/>
    <w:rsid w:val="001E281E"/>
    <w:rsid w:val="00260493"/>
    <w:rsid w:val="00270F77"/>
    <w:rsid w:val="0027164C"/>
    <w:rsid w:val="00275FD9"/>
    <w:rsid w:val="00296CEF"/>
    <w:rsid w:val="00297642"/>
    <w:rsid w:val="002B7C2D"/>
    <w:rsid w:val="002E6D65"/>
    <w:rsid w:val="00300121"/>
    <w:rsid w:val="0033668D"/>
    <w:rsid w:val="00361E1E"/>
    <w:rsid w:val="00381F4F"/>
    <w:rsid w:val="0039016E"/>
    <w:rsid w:val="003B38D1"/>
    <w:rsid w:val="003D163A"/>
    <w:rsid w:val="003D347A"/>
    <w:rsid w:val="003D51F1"/>
    <w:rsid w:val="003E7781"/>
    <w:rsid w:val="004050B1"/>
    <w:rsid w:val="00417D93"/>
    <w:rsid w:val="00464290"/>
    <w:rsid w:val="00466129"/>
    <w:rsid w:val="0047134C"/>
    <w:rsid w:val="00476486"/>
    <w:rsid w:val="00497951"/>
    <w:rsid w:val="004E328D"/>
    <w:rsid w:val="00525251"/>
    <w:rsid w:val="0057274E"/>
    <w:rsid w:val="00590100"/>
    <w:rsid w:val="00593CC0"/>
    <w:rsid w:val="00594D1F"/>
    <w:rsid w:val="005A46AE"/>
    <w:rsid w:val="005A7FAB"/>
    <w:rsid w:val="005B5778"/>
    <w:rsid w:val="005B7D01"/>
    <w:rsid w:val="005D1A55"/>
    <w:rsid w:val="006303CC"/>
    <w:rsid w:val="0063737F"/>
    <w:rsid w:val="00641576"/>
    <w:rsid w:val="006C314F"/>
    <w:rsid w:val="006D2EB2"/>
    <w:rsid w:val="006E1A34"/>
    <w:rsid w:val="007430AD"/>
    <w:rsid w:val="00746B27"/>
    <w:rsid w:val="007824AA"/>
    <w:rsid w:val="007B71B2"/>
    <w:rsid w:val="007D599E"/>
    <w:rsid w:val="007F66FC"/>
    <w:rsid w:val="00821C8F"/>
    <w:rsid w:val="00836534"/>
    <w:rsid w:val="00856A64"/>
    <w:rsid w:val="008C3284"/>
    <w:rsid w:val="008E14AF"/>
    <w:rsid w:val="008E5CE4"/>
    <w:rsid w:val="00952D77"/>
    <w:rsid w:val="009615CD"/>
    <w:rsid w:val="00986F1C"/>
    <w:rsid w:val="00993164"/>
    <w:rsid w:val="009F148A"/>
    <w:rsid w:val="00A04498"/>
    <w:rsid w:val="00AC7934"/>
    <w:rsid w:val="00AE1116"/>
    <w:rsid w:val="00BE463D"/>
    <w:rsid w:val="00BE73D0"/>
    <w:rsid w:val="00BF0650"/>
    <w:rsid w:val="00C424BE"/>
    <w:rsid w:val="00C4556D"/>
    <w:rsid w:val="00C55B40"/>
    <w:rsid w:val="00C83F74"/>
    <w:rsid w:val="00C96CF2"/>
    <w:rsid w:val="00CB517C"/>
    <w:rsid w:val="00CB6AC8"/>
    <w:rsid w:val="00D05C3A"/>
    <w:rsid w:val="00D13B8C"/>
    <w:rsid w:val="00D332F2"/>
    <w:rsid w:val="00D33CE6"/>
    <w:rsid w:val="00D873FF"/>
    <w:rsid w:val="00D91AFF"/>
    <w:rsid w:val="00D95359"/>
    <w:rsid w:val="00D95636"/>
    <w:rsid w:val="00D97011"/>
    <w:rsid w:val="00DE65FC"/>
    <w:rsid w:val="00E30A01"/>
    <w:rsid w:val="00E7790F"/>
    <w:rsid w:val="00E86543"/>
    <w:rsid w:val="00E91D2B"/>
    <w:rsid w:val="00EC2B4D"/>
    <w:rsid w:val="00F2594F"/>
    <w:rsid w:val="00F27BE8"/>
    <w:rsid w:val="00FB7183"/>
    <w:rsid w:val="00FC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25F4BD"/>
  <w15:docId w15:val="{969BBC3D-4501-46C8-826D-D5E5A585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8D"/>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68D"/>
    <w:rPr>
      <w:color w:val="0563C1" w:themeColor="hyperlink"/>
      <w:u w:val="single"/>
    </w:rPr>
  </w:style>
  <w:style w:type="paragraph" w:styleId="ListParagraph">
    <w:name w:val="List Paragraph"/>
    <w:basedOn w:val="Normal"/>
    <w:uiPriority w:val="34"/>
    <w:qFormat/>
    <w:rsid w:val="0033668D"/>
    <w:pPr>
      <w:ind w:left="720"/>
      <w:contextualSpacing/>
    </w:pPr>
  </w:style>
  <w:style w:type="paragraph" w:styleId="FootnoteText">
    <w:name w:val="footnote text"/>
    <w:basedOn w:val="Normal"/>
    <w:link w:val="FootnoteTextChar"/>
    <w:uiPriority w:val="99"/>
    <w:semiHidden/>
    <w:unhideWhenUsed/>
    <w:rsid w:val="00336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68D"/>
    <w:rPr>
      <w:rFonts w:eastAsiaTheme="minorEastAsia"/>
      <w:sz w:val="20"/>
      <w:szCs w:val="20"/>
    </w:rPr>
  </w:style>
  <w:style w:type="character" w:styleId="FootnoteReference">
    <w:name w:val="footnote reference"/>
    <w:basedOn w:val="DefaultParagraphFont"/>
    <w:uiPriority w:val="99"/>
    <w:semiHidden/>
    <w:unhideWhenUsed/>
    <w:rsid w:val="0033668D"/>
    <w:rPr>
      <w:vertAlign w:val="superscript"/>
    </w:rPr>
  </w:style>
  <w:style w:type="table" w:styleId="TableGrid">
    <w:name w:val="Table Grid"/>
    <w:basedOn w:val="TableNormal"/>
    <w:uiPriority w:val="59"/>
    <w:rsid w:val="00C96C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96CF2"/>
    <w:rPr>
      <w:color w:val="954F72" w:themeColor="followedHyperlink"/>
      <w:u w:val="single"/>
    </w:rPr>
  </w:style>
  <w:style w:type="paragraph" w:styleId="Header">
    <w:name w:val="header"/>
    <w:basedOn w:val="Normal"/>
    <w:link w:val="HeaderChar"/>
    <w:uiPriority w:val="99"/>
    <w:unhideWhenUsed/>
    <w:rsid w:val="0095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77"/>
    <w:rPr>
      <w:rFonts w:eastAsiaTheme="minorEastAsia"/>
      <w:sz w:val="21"/>
      <w:szCs w:val="21"/>
    </w:rPr>
  </w:style>
  <w:style w:type="paragraph" w:styleId="Footer">
    <w:name w:val="footer"/>
    <w:basedOn w:val="Normal"/>
    <w:link w:val="FooterChar"/>
    <w:uiPriority w:val="99"/>
    <w:unhideWhenUsed/>
    <w:rsid w:val="0095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77"/>
    <w:rPr>
      <w:rFonts w:eastAsiaTheme="minorEastAsia"/>
      <w:sz w:val="21"/>
      <w:szCs w:val="21"/>
    </w:rPr>
  </w:style>
  <w:style w:type="paragraph" w:styleId="BalloonText">
    <w:name w:val="Balloon Text"/>
    <w:basedOn w:val="Normal"/>
    <w:link w:val="BalloonTextChar"/>
    <w:uiPriority w:val="99"/>
    <w:semiHidden/>
    <w:unhideWhenUsed/>
    <w:rsid w:val="00083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B66"/>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66129"/>
    <w:rPr>
      <w:sz w:val="16"/>
      <w:szCs w:val="16"/>
    </w:rPr>
  </w:style>
  <w:style w:type="paragraph" w:styleId="CommentText">
    <w:name w:val="annotation text"/>
    <w:basedOn w:val="Normal"/>
    <w:link w:val="CommentTextChar"/>
    <w:uiPriority w:val="99"/>
    <w:semiHidden/>
    <w:unhideWhenUsed/>
    <w:rsid w:val="00466129"/>
    <w:pPr>
      <w:spacing w:line="240" w:lineRule="auto"/>
    </w:pPr>
    <w:rPr>
      <w:sz w:val="20"/>
      <w:szCs w:val="20"/>
    </w:rPr>
  </w:style>
  <w:style w:type="character" w:customStyle="1" w:styleId="CommentTextChar">
    <w:name w:val="Comment Text Char"/>
    <w:basedOn w:val="DefaultParagraphFont"/>
    <w:link w:val="CommentText"/>
    <w:uiPriority w:val="99"/>
    <w:semiHidden/>
    <w:rsid w:val="004661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66129"/>
    <w:rPr>
      <w:b/>
      <w:bCs/>
    </w:rPr>
  </w:style>
  <w:style w:type="character" w:customStyle="1" w:styleId="CommentSubjectChar">
    <w:name w:val="Comment Subject Char"/>
    <w:basedOn w:val="CommentTextChar"/>
    <w:link w:val="CommentSubject"/>
    <w:uiPriority w:val="99"/>
    <w:semiHidden/>
    <w:rsid w:val="00466129"/>
    <w:rPr>
      <w:rFonts w:eastAsiaTheme="minorEastAsia"/>
      <w:b/>
      <w:bCs/>
      <w:sz w:val="20"/>
      <w:szCs w:val="20"/>
    </w:rPr>
  </w:style>
  <w:style w:type="character" w:customStyle="1" w:styleId="period">
    <w:name w:val="period"/>
    <w:basedOn w:val="DefaultParagraphFont"/>
    <w:rsid w:val="00417D93"/>
  </w:style>
  <w:style w:type="character" w:customStyle="1" w:styleId="cit">
    <w:name w:val="cit"/>
    <w:basedOn w:val="DefaultParagraphFont"/>
    <w:rsid w:val="00417D93"/>
  </w:style>
  <w:style w:type="character" w:customStyle="1" w:styleId="citation-doi">
    <w:name w:val="citation-doi"/>
    <w:basedOn w:val="DefaultParagraphFont"/>
    <w:rsid w:val="00417D93"/>
  </w:style>
  <w:style w:type="character" w:styleId="UnresolvedMention">
    <w:name w:val="Unresolved Mention"/>
    <w:basedOn w:val="DefaultParagraphFont"/>
    <w:uiPriority w:val="99"/>
    <w:semiHidden/>
    <w:unhideWhenUsed/>
    <w:rsid w:val="00AC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dc.gov/mmwr/volumes/66/ss/ss6603a1.htm?s_cid=ss6603a1_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abe7</dc:creator>
  <cp:keywords/>
  <dc:description/>
  <cp:lastModifiedBy>NCEH/ATSDR Office of Science</cp:lastModifiedBy>
  <cp:revision>2</cp:revision>
  <dcterms:created xsi:type="dcterms:W3CDTF">2021-01-19T19:56:00Z</dcterms:created>
  <dcterms:modified xsi:type="dcterms:W3CDTF">2021-01-19T19:56:00Z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2021-01-19T19:55:59Z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e370767e-65d1-45ba-852b-4b453fa16bdf</vt:lpwstr>
  </property>
  <property fmtid="{D5CDD505-2E9C-101B-9397-08002B2CF9AE}" pid="8" name="MSIP_Label_7b94a7b8-f06c-4dfe-bdcc-9b548fd58c31_ContentBits">
    <vt:lpwstr>0</vt:lpwstr>
  </property>
</Properties>
</file>