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086" w:rsidP="001311C3" w:rsidRDefault="00CA2086">
      <w:pPr>
        <w:shd w:val="clear" w:color="auto" w:fill="FFFFFF"/>
        <w:spacing w:line="480" w:lineRule="auto"/>
        <w:contextualSpacing/>
        <w:jc w:val="center"/>
      </w:pPr>
      <w:bookmarkStart w:name="_GoBack" w:id="0"/>
      <w:bookmarkEnd w:id="0"/>
      <w:r>
        <w:t>United States Food and Drug Administration</w:t>
      </w:r>
    </w:p>
    <w:p w:rsidR="005425B7" w:rsidP="001311C3" w:rsidRDefault="005425B7">
      <w:pPr>
        <w:shd w:val="clear" w:color="auto" w:fill="FFFFFF"/>
        <w:spacing w:line="480" w:lineRule="auto"/>
        <w:contextualSpacing/>
        <w:jc w:val="center"/>
      </w:pPr>
      <w:r w:rsidRPr="005871C6">
        <w:t xml:space="preserve">Study of </w:t>
      </w:r>
      <w:r w:rsidRPr="005871C6" w:rsidR="005871C6">
        <w:t xml:space="preserve">Multiple </w:t>
      </w:r>
      <w:r w:rsidRPr="005871C6">
        <w:t xml:space="preserve">Indications in Direct-to-Consumer Television </w:t>
      </w:r>
      <w:r w:rsidR="005871C6">
        <w:t>Advertisements</w:t>
      </w:r>
    </w:p>
    <w:p w:rsidR="00CA2086" w:rsidP="001311C3" w:rsidRDefault="00CA2086">
      <w:pPr>
        <w:shd w:val="clear" w:color="auto" w:fill="FFFFFF"/>
        <w:spacing w:line="480" w:lineRule="auto"/>
        <w:contextualSpacing/>
        <w:jc w:val="center"/>
      </w:pPr>
      <w:r>
        <w:t>OMB Control No. 0910-NEW</w:t>
      </w:r>
    </w:p>
    <w:p w:rsidRPr="00681993" w:rsidR="00CA2086" w:rsidP="001311C3" w:rsidRDefault="00CA2086">
      <w:pPr>
        <w:shd w:val="clear" w:color="auto" w:fill="FFFFFF"/>
        <w:spacing w:line="480" w:lineRule="auto"/>
        <w:contextualSpacing/>
        <w:jc w:val="center"/>
      </w:pPr>
      <w:r>
        <w:t>SUPPORTING STATEMENT</w:t>
      </w:r>
    </w:p>
    <w:p w:rsidRPr="001841FE" w:rsidR="00EB7538" w:rsidP="005871C6" w:rsidRDefault="00CA2086">
      <w:pPr>
        <w:shd w:val="clear" w:color="auto" w:fill="FFFFFF"/>
        <w:spacing w:before="100" w:beforeAutospacing="1" w:after="100" w:afterAutospacing="1"/>
        <w:ind w:left="288"/>
        <w:rPr>
          <w:b/>
        </w:rPr>
      </w:pPr>
      <w:r w:rsidRPr="001841FE">
        <w:rPr>
          <w:b/>
        </w:rPr>
        <w:t xml:space="preserve">Part </w:t>
      </w:r>
      <w:r w:rsidRPr="001841FE" w:rsidR="002D4799">
        <w:rPr>
          <w:b/>
        </w:rPr>
        <w:t>B.</w:t>
      </w:r>
      <w:r w:rsidRPr="001841FE" w:rsidR="002D4799">
        <w:rPr>
          <w:b/>
        </w:rPr>
        <w:tab/>
      </w:r>
      <w:r w:rsidRPr="001841FE" w:rsidR="00EB7538">
        <w:rPr>
          <w:b/>
        </w:rPr>
        <w:t>Statistical Methods</w:t>
      </w:r>
    </w:p>
    <w:p w:rsidRPr="00681993" w:rsidR="000B4906" w:rsidP="001311C3" w:rsidRDefault="00EB7538">
      <w:pPr>
        <w:numPr>
          <w:ilvl w:val="0"/>
          <w:numId w:val="2"/>
        </w:numPr>
        <w:shd w:val="clear" w:color="auto" w:fill="FFFFFF"/>
        <w:spacing w:before="100" w:beforeAutospacing="1" w:after="100" w:afterAutospacing="1"/>
        <w:rPr>
          <w:u w:val="single"/>
        </w:rPr>
      </w:pPr>
      <w:r w:rsidRPr="00681993">
        <w:rPr>
          <w:u w:val="single"/>
        </w:rPr>
        <w:t>Responden</w:t>
      </w:r>
      <w:r w:rsidRPr="00681993" w:rsidR="004846BF">
        <w:rPr>
          <w:u w:val="single"/>
        </w:rPr>
        <w:t>t Universe and Sampling Methods</w:t>
      </w:r>
    </w:p>
    <w:p w:rsidRPr="00BA16AA" w:rsidR="00681993" w:rsidP="001311C3" w:rsidRDefault="00681993">
      <w:pPr>
        <w:shd w:val="clear" w:color="auto" w:fill="FFFFFF"/>
        <w:ind w:left="720"/>
      </w:pPr>
      <w:r w:rsidRPr="00BA16AA">
        <w:t>For all phases of this research, we will recruit adult volunteers 18 years of age or older</w:t>
      </w:r>
      <w:r w:rsidRPr="00BA16AA" w:rsidR="00532973">
        <w:t xml:space="preserve"> with certain medical conditions</w:t>
      </w:r>
      <w:r w:rsidRPr="00BA16AA">
        <w:t>. For additional screening materials, see the “Participants” section below.</w:t>
      </w:r>
    </w:p>
    <w:p w:rsidRPr="00BA16AA" w:rsidR="00B937B1" w:rsidP="005871C6" w:rsidRDefault="00B937B1">
      <w:pPr>
        <w:pStyle w:val="BodyText"/>
        <w:shd w:val="clear" w:color="auto" w:fill="FFFFFF"/>
        <w:contextualSpacing/>
      </w:pPr>
    </w:p>
    <w:p w:rsidRPr="00BA16AA" w:rsidR="00EA26F5" w:rsidP="001311C3" w:rsidRDefault="00EA26F5">
      <w:pPr>
        <w:pStyle w:val="BodyText"/>
        <w:shd w:val="clear" w:color="auto" w:fill="FFFFFF"/>
        <w:ind w:left="720"/>
        <w:rPr>
          <w:rFonts w:cs="Calibri"/>
        </w:rPr>
      </w:pPr>
      <w:r w:rsidRPr="00BA16AA">
        <w:rPr>
          <w:rFonts w:cs="Calibri"/>
        </w:rPr>
        <w:t xml:space="preserve">The samples for the pretests and main studies will be drawn from Dynata’s consumer database. Dynata’s opt-in online survey panel is demographically balanced, including racial and ethnic minorities, a wide range of different age groups, and individuals with relatively less educational attainment. Dynata recruits panel members through a combination of e-mail, online marketing, and by invitation, with over 300 diverse online and offline affiliate partners and targeted website advertising. Panel inclusion is by invitation only, and Dynata invites only pre-validated individuals with known characteristics to participate in the consumer panels. Panel members will be invited to participate by receiving an e-mail invitation (Appendix D) and, if interested, can click on a hyperlink within the e-mail and gain access to the study. The sample </w:t>
      </w:r>
      <w:r w:rsidRPr="00BA16AA" w:rsidR="006D1839">
        <w:rPr>
          <w:rFonts w:cs="Calibri"/>
        </w:rPr>
        <w:t>is not intended to</w:t>
      </w:r>
      <w:r w:rsidRPr="00BA16AA">
        <w:rPr>
          <w:rFonts w:cs="Calibri"/>
        </w:rPr>
        <w:t xml:space="preserve"> be representative of the population</w:t>
      </w:r>
      <w:r w:rsidRPr="00BA16AA" w:rsidR="006D1839">
        <w:rPr>
          <w:rFonts w:cs="Calibri"/>
        </w:rPr>
        <w:t>.</w:t>
      </w:r>
    </w:p>
    <w:p w:rsidRPr="00BA16AA" w:rsidR="004C6979" w:rsidP="001311C3" w:rsidRDefault="00EB7538">
      <w:pPr>
        <w:numPr>
          <w:ilvl w:val="0"/>
          <w:numId w:val="2"/>
        </w:numPr>
        <w:shd w:val="clear" w:color="auto" w:fill="FFFFFF"/>
        <w:spacing w:before="100" w:beforeAutospacing="1" w:after="100" w:afterAutospacing="1"/>
        <w:rPr>
          <w:u w:val="single"/>
        </w:rPr>
      </w:pPr>
      <w:r w:rsidRPr="00BA16AA">
        <w:rPr>
          <w:u w:val="single"/>
        </w:rPr>
        <w:t>Procedures fo</w:t>
      </w:r>
      <w:r w:rsidRPr="00BA16AA" w:rsidR="004846BF">
        <w:rPr>
          <w:u w:val="single"/>
        </w:rPr>
        <w:t>r the Collection of Information</w:t>
      </w:r>
    </w:p>
    <w:p w:rsidRPr="00BA16AA" w:rsidR="00BC79AD" w:rsidP="001311C3" w:rsidRDefault="00BC79AD">
      <w:pPr>
        <w:shd w:val="clear" w:color="auto" w:fill="FFFFFF"/>
        <w:jc w:val="center"/>
        <w:rPr>
          <w:b/>
        </w:rPr>
      </w:pPr>
      <w:r w:rsidRPr="00BA16AA">
        <w:rPr>
          <w:b/>
        </w:rPr>
        <w:t>Design Overview</w:t>
      </w:r>
    </w:p>
    <w:p w:rsidRPr="00BA16AA" w:rsidR="00BC79AD" w:rsidP="001311C3" w:rsidRDefault="00BC79AD">
      <w:pPr>
        <w:shd w:val="clear" w:color="auto" w:fill="FFFFFF"/>
        <w:jc w:val="center"/>
        <w:rPr>
          <w:b/>
        </w:rPr>
      </w:pPr>
    </w:p>
    <w:p w:rsidRPr="00BA16AA" w:rsidR="004E309A" w:rsidP="00532973" w:rsidRDefault="00532973">
      <w:pPr>
        <w:shd w:val="clear" w:color="auto" w:fill="FFFFFF"/>
        <w:ind w:left="720"/>
      </w:pPr>
      <w:r w:rsidRPr="00BA16AA">
        <w:t>We propose to test three types of fictional DTC television ads – one that promotes a single indication, one that promotes an indication plus a similar indication, and one that promotes an indication plus a dissimilar indication – in two different medical conditions (Table 1).</w:t>
      </w:r>
    </w:p>
    <w:p w:rsidRPr="00BA16AA" w:rsidR="00532973" w:rsidP="006D1839" w:rsidRDefault="00532973">
      <w:pPr>
        <w:rPr>
          <w:rStyle w:val="Strong"/>
        </w:rPr>
      </w:pPr>
    </w:p>
    <w:p w:rsidRPr="00BA16AA" w:rsidR="006D1839" w:rsidP="006D1839" w:rsidRDefault="006D1839">
      <w:pPr>
        <w:jc w:val="center"/>
        <w:rPr>
          <w:rStyle w:val="Strong"/>
        </w:rPr>
      </w:pPr>
      <w:r w:rsidRPr="00BA16AA">
        <w:rPr>
          <w:rStyle w:val="Strong"/>
        </w:rPr>
        <w:t>Procedure</w:t>
      </w:r>
    </w:p>
    <w:p w:rsidRPr="00BA16AA" w:rsidR="006D1839" w:rsidP="006D1839" w:rsidRDefault="006D1839">
      <w:pPr>
        <w:jc w:val="center"/>
        <w:rPr>
          <w:rStyle w:val="Strong"/>
        </w:rPr>
      </w:pPr>
    </w:p>
    <w:p w:rsidRPr="00BA16AA" w:rsidR="00532973" w:rsidP="006D1839" w:rsidRDefault="006D1839">
      <w:pPr>
        <w:ind w:left="720"/>
        <w:rPr>
          <w:rStyle w:val="Strong"/>
          <w:b w:val="0"/>
        </w:rPr>
      </w:pPr>
      <w:r w:rsidRPr="00BA16AA">
        <w:rPr>
          <w:rStyle w:val="Strong"/>
          <w:b w:val="0"/>
        </w:rPr>
        <w:t xml:space="preserve">We plan to conduct two pretests (one for each main study) and two main studies not longer than 20 minutes, administered via internet panel. Participants will be randomly assigned to view one study ad and then complete a questionnaire (Appendix C) that assesses recall and comprehension of the drug’s benefits and risks, benefit and risk perceptions, attitudes, and behavioral intentions. We will also measure covariates such as demographics and health literacy.    </w:t>
      </w:r>
    </w:p>
    <w:p w:rsidRPr="00BA16AA" w:rsidR="004C79D7" w:rsidP="00532973" w:rsidRDefault="004C79D7">
      <w:pPr>
        <w:jc w:val="center"/>
        <w:rPr>
          <w:rStyle w:val="Strong"/>
        </w:rPr>
      </w:pPr>
    </w:p>
    <w:p w:rsidRPr="00BA16AA" w:rsidR="00532973" w:rsidP="00532973" w:rsidRDefault="00532973">
      <w:pPr>
        <w:jc w:val="center"/>
        <w:rPr>
          <w:rStyle w:val="Strong"/>
        </w:rPr>
      </w:pPr>
    </w:p>
    <w:p w:rsidRPr="00BA16AA" w:rsidR="00C76F75" w:rsidP="00532973" w:rsidRDefault="00532973">
      <w:pPr>
        <w:jc w:val="center"/>
        <w:rPr>
          <w:b/>
          <w:bCs/>
        </w:rPr>
      </w:pPr>
      <w:r w:rsidRPr="00BA16AA">
        <w:rPr>
          <w:rStyle w:val="Strong"/>
        </w:rPr>
        <w:t>Table 1: Study Design</w:t>
      </w:r>
      <w:r w:rsidRPr="00BA16AA">
        <w:t xml:space="preserve"> </w:t>
      </w:r>
      <w:r w:rsidRPr="00BA16AA">
        <w:rPr>
          <w:b/>
        </w:rPr>
        <w:t>-- 1 x 3 factorial experiment repeated in two medical conditions.</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5"/>
        <w:gridCol w:w="1525"/>
        <w:gridCol w:w="2340"/>
        <w:gridCol w:w="2340"/>
      </w:tblGrid>
      <w:tr w:rsidRPr="00BA16AA" w:rsidR="00532973" w:rsidTr="00A472FE">
        <w:tc>
          <w:tcPr>
            <w:tcW w:w="3145" w:type="dxa"/>
            <w:shd w:val="clear" w:color="auto" w:fill="auto"/>
          </w:tcPr>
          <w:p w:rsidRPr="00BA16AA" w:rsidR="00532973" w:rsidP="00A472FE" w:rsidRDefault="00532973">
            <w:pPr>
              <w:spacing w:line="480" w:lineRule="auto"/>
            </w:pPr>
            <w:bookmarkStart w:name="_Hlk529543835" w:id="1"/>
          </w:p>
        </w:tc>
        <w:tc>
          <w:tcPr>
            <w:tcW w:w="1525" w:type="dxa"/>
            <w:shd w:val="clear" w:color="auto" w:fill="auto"/>
          </w:tcPr>
          <w:p w:rsidRPr="00BA16AA" w:rsidR="00532973" w:rsidP="00A472FE" w:rsidRDefault="00532973">
            <w:pPr>
              <w:spacing w:line="480" w:lineRule="auto"/>
              <w:jc w:val="center"/>
            </w:pPr>
            <w:r w:rsidRPr="00BA16AA">
              <w:t>Indication 1</w:t>
            </w:r>
          </w:p>
        </w:tc>
        <w:tc>
          <w:tcPr>
            <w:tcW w:w="2340" w:type="dxa"/>
            <w:shd w:val="clear" w:color="auto" w:fill="auto"/>
          </w:tcPr>
          <w:p w:rsidRPr="00BA16AA" w:rsidR="00532973" w:rsidP="00A472FE" w:rsidRDefault="00532973">
            <w:pPr>
              <w:spacing w:line="480" w:lineRule="auto"/>
              <w:jc w:val="center"/>
            </w:pPr>
            <w:r w:rsidRPr="00BA16AA">
              <w:t>Indication 1 plus a similar indication</w:t>
            </w:r>
          </w:p>
        </w:tc>
        <w:tc>
          <w:tcPr>
            <w:tcW w:w="2340" w:type="dxa"/>
            <w:shd w:val="clear" w:color="auto" w:fill="auto"/>
          </w:tcPr>
          <w:p w:rsidRPr="00BA16AA" w:rsidR="00532973" w:rsidP="00A472FE" w:rsidRDefault="00532973">
            <w:pPr>
              <w:spacing w:line="480" w:lineRule="auto"/>
              <w:jc w:val="center"/>
            </w:pPr>
            <w:r w:rsidRPr="00BA16AA">
              <w:t>Indication 1 plus a dissimilar indication</w:t>
            </w:r>
          </w:p>
        </w:tc>
      </w:tr>
      <w:tr w:rsidRPr="00BA16AA" w:rsidR="00532973" w:rsidTr="00A472FE">
        <w:tc>
          <w:tcPr>
            <w:tcW w:w="3145" w:type="dxa"/>
            <w:shd w:val="clear" w:color="auto" w:fill="auto"/>
          </w:tcPr>
          <w:p w:rsidRPr="00BA16AA" w:rsidR="00532973" w:rsidP="00A472FE" w:rsidRDefault="00532973">
            <w:pPr>
              <w:spacing w:line="480" w:lineRule="auto"/>
            </w:pPr>
            <w:r w:rsidRPr="00BA16AA">
              <w:t>Study 1: Diabetic peripheral neuropathy (DPN)</w:t>
            </w:r>
          </w:p>
        </w:tc>
        <w:tc>
          <w:tcPr>
            <w:tcW w:w="1525" w:type="dxa"/>
            <w:shd w:val="clear" w:color="auto" w:fill="auto"/>
          </w:tcPr>
          <w:p w:rsidRPr="00BA16AA" w:rsidR="00532973" w:rsidP="00A472FE" w:rsidRDefault="00532973">
            <w:pPr>
              <w:spacing w:line="480" w:lineRule="auto"/>
              <w:jc w:val="center"/>
            </w:pPr>
            <w:r w:rsidRPr="00BA16AA">
              <w:t xml:space="preserve">DPN </w:t>
            </w:r>
          </w:p>
        </w:tc>
        <w:tc>
          <w:tcPr>
            <w:tcW w:w="2340" w:type="dxa"/>
            <w:shd w:val="clear" w:color="auto" w:fill="auto"/>
          </w:tcPr>
          <w:p w:rsidRPr="00BA16AA" w:rsidR="00532973" w:rsidP="00A472FE" w:rsidRDefault="00532973">
            <w:pPr>
              <w:spacing w:line="480" w:lineRule="auto"/>
              <w:jc w:val="center"/>
            </w:pPr>
            <w:r w:rsidRPr="00BA16AA">
              <w:t>DPN + fibromyalgia</w:t>
            </w:r>
          </w:p>
        </w:tc>
        <w:tc>
          <w:tcPr>
            <w:tcW w:w="2340" w:type="dxa"/>
            <w:shd w:val="clear" w:color="auto" w:fill="auto"/>
          </w:tcPr>
          <w:p w:rsidRPr="00BA16AA" w:rsidR="00532973" w:rsidP="00A472FE" w:rsidRDefault="00532973">
            <w:pPr>
              <w:spacing w:line="480" w:lineRule="auto"/>
              <w:jc w:val="center"/>
            </w:pPr>
            <w:r w:rsidRPr="00BA16AA">
              <w:t>DPN + general anxiety disorder</w:t>
            </w:r>
          </w:p>
        </w:tc>
      </w:tr>
      <w:tr w:rsidRPr="00BA16AA" w:rsidR="00532973" w:rsidTr="00A472FE">
        <w:tc>
          <w:tcPr>
            <w:tcW w:w="3145" w:type="dxa"/>
            <w:shd w:val="clear" w:color="auto" w:fill="auto"/>
          </w:tcPr>
          <w:p w:rsidRPr="00BA16AA" w:rsidR="00532973" w:rsidP="00A472FE" w:rsidRDefault="00532973">
            <w:pPr>
              <w:spacing w:line="480" w:lineRule="auto"/>
            </w:pPr>
            <w:r w:rsidRPr="00BA16AA">
              <w:t>Study 2: Rheumatoid arthritis (RA)</w:t>
            </w:r>
          </w:p>
        </w:tc>
        <w:tc>
          <w:tcPr>
            <w:tcW w:w="1525" w:type="dxa"/>
            <w:shd w:val="clear" w:color="auto" w:fill="auto"/>
          </w:tcPr>
          <w:p w:rsidRPr="00BA16AA" w:rsidR="00532973" w:rsidP="00A472FE" w:rsidRDefault="00532973">
            <w:pPr>
              <w:spacing w:line="480" w:lineRule="auto"/>
              <w:jc w:val="center"/>
            </w:pPr>
            <w:r w:rsidRPr="00BA16AA">
              <w:t>RA</w:t>
            </w:r>
          </w:p>
        </w:tc>
        <w:tc>
          <w:tcPr>
            <w:tcW w:w="2340" w:type="dxa"/>
            <w:shd w:val="clear" w:color="auto" w:fill="auto"/>
          </w:tcPr>
          <w:p w:rsidRPr="00BA16AA" w:rsidR="00532973" w:rsidP="00A472FE" w:rsidRDefault="00532973">
            <w:pPr>
              <w:spacing w:line="480" w:lineRule="auto"/>
              <w:jc w:val="center"/>
            </w:pPr>
            <w:r w:rsidRPr="00BA16AA">
              <w:t>RA + psoriatic arthritis</w:t>
            </w:r>
          </w:p>
        </w:tc>
        <w:tc>
          <w:tcPr>
            <w:tcW w:w="2340" w:type="dxa"/>
            <w:shd w:val="clear" w:color="auto" w:fill="auto"/>
          </w:tcPr>
          <w:p w:rsidRPr="00BA16AA" w:rsidR="00532973" w:rsidP="00A472FE" w:rsidRDefault="00532973">
            <w:pPr>
              <w:spacing w:line="480" w:lineRule="auto"/>
              <w:jc w:val="center"/>
            </w:pPr>
            <w:r w:rsidRPr="00BA16AA">
              <w:t>RA + leukemia</w:t>
            </w:r>
          </w:p>
        </w:tc>
      </w:tr>
      <w:bookmarkEnd w:id="1"/>
    </w:tbl>
    <w:p w:rsidRPr="00BA16AA" w:rsidR="00B937B1" w:rsidP="006D1839" w:rsidRDefault="00B937B1">
      <w:pPr>
        <w:shd w:val="clear" w:color="auto" w:fill="FFFFFF"/>
      </w:pPr>
    </w:p>
    <w:p w:rsidRPr="00BA16AA" w:rsidR="00635096" w:rsidP="001311C3" w:rsidRDefault="00BC79AD">
      <w:pPr>
        <w:shd w:val="clear" w:color="auto" w:fill="FFFFFF"/>
        <w:ind w:left="720"/>
        <w:jc w:val="center"/>
        <w:rPr>
          <w:b/>
        </w:rPr>
      </w:pPr>
      <w:r w:rsidRPr="00BA16AA">
        <w:rPr>
          <w:b/>
        </w:rPr>
        <w:t>Participants</w:t>
      </w:r>
    </w:p>
    <w:p w:rsidRPr="00BA16AA" w:rsidR="008D5E7F" w:rsidP="001311C3" w:rsidRDefault="008D5E7F">
      <w:pPr>
        <w:shd w:val="clear" w:color="auto" w:fill="FFFFFF"/>
        <w:ind w:left="720"/>
        <w:jc w:val="center"/>
        <w:rPr>
          <w:b/>
        </w:rPr>
      </w:pPr>
    </w:p>
    <w:p w:rsidRPr="00BA16AA" w:rsidR="00945F04" w:rsidP="001311C3" w:rsidRDefault="005871C6">
      <w:pPr>
        <w:widowControl w:val="0"/>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A16AA">
        <w:t>For all phases of this research, we will recruit adult volunteers 18 years of age or older</w:t>
      </w:r>
      <w:r w:rsidRPr="00BA16AA" w:rsidR="006D1839">
        <w:t xml:space="preserve"> from an Internet panel</w:t>
      </w:r>
      <w:r w:rsidRPr="00BA16AA">
        <w:t>.  For Pretest 1 and Study 1, we will recruit participants who self-report being diagnosed with diabetes (N = 60 in Pretest 1 and N = 402 in Study 1). For Pretest 2 and Study 2, we will recruit participants who self-report being diagnosed with rheumatoid arthritis (N = 60 in Pretest 2 and N = 402 in Study 2). We will exclude individuals who work for the Department of Health and Human Services or work in the healthcare, marketing, or pharmaceutical industries.  We will also exclude pretest participants from the main studies, and participants will not be able to participate in both Studies 1 and 2. See Appendix B for the study screener.</w:t>
      </w:r>
    </w:p>
    <w:p w:rsidRPr="00BA16AA" w:rsidR="005871C6" w:rsidP="001311C3" w:rsidRDefault="005871C6">
      <w:pPr>
        <w:widowControl w:val="0"/>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BA16AA" w:rsidR="00BC79AD" w:rsidP="001311C3" w:rsidRDefault="00BC79AD">
      <w:pPr>
        <w:shd w:val="clear" w:color="auto" w:fill="FFFFFF"/>
        <w:spacing w:line="480" w:lineRule="auto"/>
        <w:ind w:left="720"/>
        <w:jc w:val="center"/>
        <w:rPr>
          <w:b/>
        </w:rPr>
      </w:pPr>
      <w:r w:rsidRPr="00BA16AA">
        <w:rPr>
          <w:b/>
        </w:rPr>
        <w:t>Hypotheses</w:t>
      </w:r>
    </w:p>
    <w:p w:rsidRPr="00BA16AA" w:rsidR="00DC15ED" w:rsidP="001311C3" w:rsidRDefault="005871C6">
      <w:pPr>
        <w:shd w:val="clear" w:color="auto" w:fill="FFFFFF"/>
        <w:tabs>
          <w:tab w:val="left" w:pos="720"/>
        </w:tabs>
        <w:ind w:left="720"/>
        <w:contextualSpacing/>
      </w:pPr>
      <w:r w:rsidRPr="00BA16AA">
        <w:t>We hypothesis that participants will be more likely to correctly recall and understand the first indication when it is presented alone, compared with when it is presented with a second (similar or dissimilar) indication. We will explore whether similarity of the indications affects participants’ likelihood to recall and understand the indications. We will also explore the effects of the indication presentation on benefit and risk perceptions, attitudes toward the drug and the indication information, and intentions to look for more information and ask a doctor about the drug.</w:t>
      </w:r>
    </w:p>
    <w:p w:rsidRPr="00BA16AA" w:rsidR="005871C6" w:rsidP="001311C3" w:rsidRDefault="005871C6">
      <w:pPr>
        <w:shd w:val="clear" w:color="auto" w:fill="FFFFFF"/>
        <w:tabs>
          <w:tab w:val="left" w:pos="720"/>
        </w:tabs>
        <w:ind w:left="720"/>
        <w:contextualSpacing/>
        <w:rPr>
          <w:b/>
        </w:rPr>
      </w:pPr>
    </w:p>
    <w:p w:rsidRPr="00BA16AA" w:rsidR="00BC79AD" w:rsidP="001311C3" w:rsidRDefault="00BC79AD">
      <w:pPr>
        <w:shd w:val="clear" w:color="auto" w:fill="FFFFFF"/>
        <w:tabs>
          <w:tab w:val="left" w:pos="720"/>
        </w:tabs>
        <w:spacing w:line="480" w:lineRule="auto"/>
        <w:ind w:left="720"/>
        <w:contextualSpacing/>
        <w:jc w:val="center"/>
        <w:rPr>
          <w:b/>
        </w:rPr>
      </w:pPr>
      <w:r w:rsidRPr="00BA16AA">
        <w:rPr>
          <w:b/>
        </w:rPr>
        <w:t>Analysis Plan</w:t>
      </w:r>
    </w:p>
    <w:p w:rsidRPr="00BA16AA" w:rsidR="0082658B" w:rsidP="001311C3" w:rsidRDefault="0082658B">
      <w:pPr>
        <w:shd w:val="clear" w:color="auto" w:fill="FFFFFF"/>
        <w:tabs>
          <w:tab w:val="left" w:pos="720"/>
        </w:tabs>
        <w:ind w:left="720"/>
      </w:pPr>
      <w:r w:rsidRPr="00BA16AA">
        <w:t xml:space="preserve">We will conduct ANOVAs </w:t>
      </w:r>
      <w:r w:rsidRPr="00BA16AA" w:rsidR="005D6ED9">
        <w:t xml:space="preserve">(for continuous variables) and logistic regressions (for dichotomous variables) </w:t>
      </w:r>
      <w:r w:rsidRPr="00BA16AA">
        <w:t xml:space="preserve">with interaction terms and planned comparisons to test the hypotheses outline above.  </w:t>
      </w:r>
    </w:p>
    <w:p w:rsidRPr="00BA16AA" w:rsidR="00B937B1" w:rsidP="001311C3" w:rsidRDefault="00B937B1">
      <w:pPr>
        <w:shd w:val="clear" w:color="auto" w:fill="FFFFFF"/>
        <w:tabs>
          <w:tab w:val="left" w:pos="720"/>
        </w:tabs>
        <w:ind w:left="720"/>
      </w:pPr>
    </w:p>
    <w:p w:rsidRPr="00BA16AA" w:rsidR="006D1839" w:rsidP="001311C3" w:rsidRDefault="006D1839">
      <w:pPr>
        <w:shd w:val="clear" w:color="auto" w:fill="FFFFFF"/>
        <w:tabs>
          <w:tab w:val="left" w:pos="720"/>
        </w:tabs>
        <w:ind w:left="720"/>
        <w:jc w:val="center"/>
        <w:rPr>
          <w:b/>
        </w:rPr>
      </w:pPr>
    </w:p>
    <w:p w:rsidRPr="00BA16AA" w:rsidR="006D1839" w:rsidP="001311C3" w:rsidRDefault="006D1839">
      <w:pPr>
        <w:shd w:val="clear" w:color="auto" w:fill="FFFFFF"/>
        <w:tabs>
          <w:tab w:val="left" w:pos="720"/>
        </w:tabs>
        <w:ind w:left="720"/>
        <w:jc w:val="center"/>
        <w:rPr>
          <w:b/>
        </w:rPr>
      </w:pPr>
    </w:p>
    <w:p w:rsidRPr="00BA16AA" w:rsidR="00E05FEE" w:rsidP="001311C3" w:rsidRDefault="00981612">
      <w:pPr>
        <w:shd w:val="clear" w:color="auto" w:fill="FFFFFF"/>
        <w:tabs>
          <w:tab w:val="left" w:pos="720"/>
        </w:tabs>
        <w:ind w:left="720"/>
        <w:jc w:val="center"/>
        <w:rPr>
          <w:b/>
        </w:rPr>
      </w:pPr>
      <w:r w:rsidRPr="00BA16AA">
        <w:rPr>
          <w:b/>
        </w:rPr>
        <w:lastRenderedPageBreak/>
        <w:t>Power</w:t>
      </w:r>
    </w:p>
    <w:p w:rsidRPr="00BA16AA" w:rsidR="008A1B22" w:rsidP="008A1B22" w:rsidRDefault="008D7C4F">
      <w:pPr>
        <w:pStyle w:val="BodyText"/>
        <w:shd w:val="clear" w:color="auto" w:fill="FFFFFF"/>
        <w:tabs>
          <w:tab w:val="left" w:pos="720"/>
        </w:tabs>
        <w:kinsoku w:val="0"/>
        <w:overflowPunct w:val="0"/>
        <w:spacing w:after="0"/>
        <w:ind w:left="720"/>
      </w:pPr>
      <w:r w:rsidRPr="00BA16AA">
        <w:t>We conducted</w:t>
      </w:r>
      <w:r w:rsidRPr="00BA16AA" w:rsidDel="008E4F4A">
        <w:t xml:space="preserve"> </w:t>
      </w:r>
      <w:r w:rsidRPr="00BA16AA">
        <w:t xml:space="preserve">power analyses for each </w:t>
      </w:r>
      <w:r w:rsidRPr="00BA16AA" w:rsidR="00001401">
        <w:t xml:space="preserve">main </w:t>
      </w:r>
      <w:r w:rsidRPr="00BA16AA">
        <w:t xml:space="preserve">study, taking into consideration the study’s purpose, expected outcome measures, and potential key analyses. </w:t>
      </w:r>
      <w:r w:rsidRPr="00BA16AA" w:rsidR="008A1B22">
        <w:t>Both studies have been powered to detect a small effect size (no smaller than Cohen’s f =.15), with a power of .90 and an alpha of .05. Given the achieved effect sizes of previous FDA studies that manipulated aspects of the drug in direct-to-consumer television ads, we propose an effect size of f =.18, resulting in a total sample size of 402 for each study (with approximately 134 participants per experimental group). If a significant main effect is found, we will also be able to conduct three planned contrasts using a Bonferroni-adjusted threshold of .0167 with enough sensitivity to detect small to moderate effects (f=.20). This sample size is also consistent with Cohen’s (1988) definition of small effect size (e.g., f between .10 and .24).</w:t>
      </w:r>
    </w:p>
    <w:p w:rsidRPr="00BA16AA" w:rsidR="00EA26F5" w:rsidP="008A1B22" w:rsidRDefault="00EA26F5">
      <w:pPr>
        <w:pStyle w:val="BodyText"/>
        <w:shd w:val="clear" w:color="auto" w:fill="FFFFFF"/>
        <w:tabs>
          <w:tab w:val="left" w:pos="720"/>
        </w:tabs>
        <w:kinsoku w:val="0"/>
        <w:overflowPunct w:val="0"/>
        <w:spacing w:after="0"/>
        <w:ind w:left="720"/>
      </w:pPr>
    </w:p>
    <w:p w:rsidRPr="00BA16AA" w:rsidR="00EA26F5" w:rsidP="008A1B22" w:rsidRDefault="00EA26F5">
      <w:pPr>
        <w:pStyle w:val="BodyText"/>
        <w:shd w:val="clear" w:color="auto" w:fill="FFFFFF"/>
        <w:tabs>
          <w:tab w:val="left" w:pos="720"/>
        </w:tabs>
        <w:kinsoku w:val="0"/>
        <w:overflowPunct w:val="0"/>
        <w:spacing w:after="0"/>
        <w:ind w:left="720"/>
      </w:pPr>
      <w:r w:rsidRPr="00BA16AA">
        <w:t>Cohen, J. (1988). Statistical power analysis for the behavioral sciences (2nd ed.). Hillsdale, NJ: Erlbaum.</w:t>
      </w:r>
    </w:p>
    <w:p w:rsidRPr="00681993" w:rsidR="004C6979" w:rsidP="001311C3" w:rsidRDefault="00EB7538">
      <w:pPr>
        <w:numPr>
          <w:ilvl w:val="0"/>
          <w:numId w:val="2"/>
        </w:numPr>
        <w:shd w:val="clear" w:color="auto" w:fill="FFFFFF"/>
        <w:spacing w:before="100" w:beforeAutospacing="1" w:after="100" w:afterAutospacing="1"/>
        <w:rPr>
          <w:u w:val="single"/>
        </w:rPr>
      </w:pPr>
      <w:r w:rsidRPr="00BA16AA">
        <w:rPr>
          <w:u w:val="single"/>
        </w:rPr>
        <w:t xml:space="preserve">Methods to Maximize Response </w:t>
      </w:r>
      <w:r w:rsidRPr="00BA16AA" w:rsidR="004846BF">
        <w:rPr>
          <w:u w:val="single"/>
        </w:rPr>
        <w:t>Rates and Deal with Non</w:t>
      </w:r>
      <w:r w:rsidRPr="00BA16AA" w:rsidR="00E00EA0">
        <w:rPr>
          <w:u w:val="single"/>
        </w:rPr>
        <w:t>-</w:t>
      </w:r>
      <w:r w:rsidRPr="00BA16AA" w:rsidR="004846BF">
        <w:rPr>
          <w:u w:val="single"/>
        </w:rPr>
        <w:t>response</w:t>
      </w:r>
    </w:p>
    <w:p w:rsidRPr="00681993" w:rsidR="0021223F" w:rsidP="001311C3" w:rsidRDefault="005425B7">
      <w:pPr>
        <w:pStyle w:val="NormalWeb"/>
        <w:shd w:val="clear" w:color="auto" w:fill="FFFFFF"/>
        <w:spacing w:before="0" w:beforeAutospacing="0" w:after="0" w:afterAutospacing="0"/>
        <w:ind w:left="720"/>
      </w:pPr>
      <w:r w:rsidRPr="00681993">
        <w:rPr>
          <w:color w:val="000000"/>
        </w:rPr>
        <w:t>The pretests and main studies</w:t>
      </w:r>
      <w:r w:rsidRPr="00681993" w:rsidR="00423C0D">
        <w:rPr>
          <w:color w:val="000000"/>
        </w:rPr>
        <w:t xml:space="preserve"> will use an existing </w:t>
      </w:r>
      <w:r w:rsidRPr="00681993" w:rsidR="00907392">
        <w:rPr>
          <w:color w:val="000000"/>
        </w:rPr>
        <w:t>research</w:t>
      </w:r>
      <w:r w:rsidRPr="00681993" w:rsidR="00423C0D">
        <w:rPr>
          <w:color w:val="000000"/>
        </w:rPr>
        <w:t xml:space="preserve"> panel to draw a sample.  The panel comprises individuals who </w:t>
      </w:r>
      <w:r w:rsidRPr="00681993" w:rsidR="00907392">
        <w:rPr>
          <w:color w:val="000000"/>
        </w:rPr>
        <w:t xml:space="preserve">have signed up to participate in </w:t>
      </w:r>
      <w:r w:rsidRPr="00681993" w:rsidR="00E773C0">
        <w:rPr>
          <w:color w:val="000000"/>
        </w:rPr>
        <w:t xml:space="preserve">online </w:t>
      </w:r>
      <w:r w:rsidRPr="00681993" w:rsidR="00907392">
        <w:rPr>
          <w:color w:val="000000"/>
        </w:rPr>
        <w:t>studies</w:t>
      </w:r>
      <w:r w:rsidRPr="00681993" w:rsidR="0021223F">
        <w:rPr>
          <w:color w:val="000000"/>
        </w:rPr>
        <w:t>.  To help ensure that the par</w:t>
      </w:r>
      <w:r w:rsidRPr="00681993" w:rsidR="00423C0D">
        <w:rPr>
          <w:color w:val="000000"/>
        </w:rPr>
        <w:t>ticipation rate is as high as possible</w:t>
      </w:r>
      <w:r w:rsidRPr="00681993" w:rsidR="00423C0D">
        <w:t>, FDA will:</w:t>
      </w:r>
    </w:p>
    <w:p w:rsidRPr="00681993" w:rsidR="0021223F" w:rsidP="001311C3" w:rsidRDefault="0021223F">
      <w:pPr>
        <w:pStyle w:val="NormalWeb"/>
        <w:shd w:val="clear" w:color="auto" w:fill="FFFFFF"/>
        <w:spacing w:before="0" w:beforeAutospacing="0" w:after="0" w:afterAutospacing="0"/>
        <w:ind w:left="360"/>
      </w:pPr>
    </w:p>
    <w:p w:rsidRPr="00681993" w:rsidR="0021223F" w:rsidP="001311C3" w:rsidRDefault="00423C0D">
      <w:pPr>
        <w:pStyle w:val="NormalWeb"/>
        <w:numPr>
          <w:ilvl w:val="0"/>
          <w:numId w:val="44"/>
        </w:numPr>
        <w:shd w:val="clear" w:color="auto" w:fill="FFFFFF"/>
        <w:spacing w:before="0" w:beforeAutospacing="0" w:after="0" w:afterAutospacing="0"/>
      </w:pPr>
      <w:r w:rsidRPr="00681993">
        <w:t xml:space="preserve">Design an experimental protocol that minimizes burden (short in length, clearly written, and with appealing graphics); </w:t>
      </w:r>
    </w:p>
    <w:p w:rsidRPr="00681993" w:rsidR="0082658B" w:rsidP="001311C3" w:rsidRDefault="0082658B">
      <w:pPr>
        <w:pStyle w:val="NormalWeb"/>
        <w:numPr>
          <w:ilvl w:val="0"/>
          <w:numId w:val="44"/>
        </w:numPr>
        <w:shd w:val="clear" w:color="auto" w:fill="FFFFFF"/>
        <w:spacing w:before="0" w:beforeAutospacing="0" w:after="0" w:afterAutospacing="0"/>
      </w:pPr>
      <w:r w:rsidRPr="00681993">
        <w:t xml:space="preserve">Administer the </w:t>
      </w:r>
      <w:r w:rsidRPr="00681993" w:rsidR="005425B7">
        <w:t>pretests and main studies</w:t>
      </w:r>
      <w:r w:rsidRPr="00681993">
        <w:t xml:space="preserve"> over the Internet, allowing respondents to answer questions at a time </w:t>
      </w:r>
      <w:r w:rsidRPr="00681993" w:rsidR="00BF5A22">
        <w:t>and location of their choosing.</w:t>
      </w:r>
    </w:p>
    <w:p w:rsidRPr="00681993" w:rsidR="004C6979" w:rsidP="001311C3" w:rsidRDefault="00EB7538">
      <w:pPr>
        <w:numPr>
          <w:ilvl w:val="0"/>
          <w:numId w:val="2"/>
        </w:numPr>
        <w:shd w:val="clear" w:color="auto" w:fill="FFFFFF"/>
        <w:spacing w:before="100" w:beforeAutospacing="1" w:after="100" w:afterAutospacing="1"/>
        <w:rPr>
          <w:u w:val="single"/>
        </w:rPr>
      </w:pPr>
      <w:r w:rsidRPr="00681993">
        <w:rPr>
          <w:u w:val="single"/>
        </w:rPr>
        <w:t>Test of Procedu</w:t>
      </w:r>
      <w:r w:rsidRPr="00681993" w:rsidR="004846BF">
        <w:rPr>
          <w:u w:val="single"/>
        </w:rPr>
        <w:t>res or Methods to be Undertaken</w:t>
      </w:r>
    </w:p>
    <w:p w:rsidRPr="00681993" w:rsidR="00901043" w:rsidP="001311C3" w:rsidRDefault="005871C6">
      <w:pPr>
        <w:shd w:val="clear" w:color="auto" w:fill="FFFFFF"/>
        <w:spacing w:before="100" w:beforeAutospacing="1" w:after="100" w:afterAutospacing="1"/>
        <w:ind w:left="720"/>
      </w:pPr>
      <w:r>
        <w:t>W</w:t>
      </w:r>
      <w:r w:rsidRPr="00681993" w:rsidR="00675E2F">
        <w:t xml:space="preserve">e will conduct nine hour-long qualitative interviews to cognitively test the study stimuli and materials. </w:t>
      </w:r>
      <w:r w:rsidRPr="00681993" w:rsidR="005425B7">
        <w:t xml:space="preserve">For each main study, we will conduct a </w:t>
      </w:r>
      <w:r w:rsidRPr="00681993" w:rsidR="00BF5A22">
        <w:t>pretest</w:t>
      </w:r>
      <w:r w:rsidRPr="00681993" w:rsidR="00910CC3">
        <w:t xml:space="preserve"> to </w:t>
      </w:r>
      <w:r w:rsidRPr="00681993" w:rsidR="00BF5A22">
        <w:t>test the experimental manipulations and pilot the main study procedures</w:t>
      </w:r>
      <w:r w:rsidRPr="00681993" w:rsidR="00910CC3">
        <w:t xml:space="preserve">. </w:t>
      </w:r>
      <w:r w:rsidRPr="00681993" w:rsidR="00C76F75">
        <w:t>Final</w:t>
      </w:r>
      <w:r w:rsidRPr="00681993" w:rsidR="00BF5A22">
        <w:t xml:space="preserve">ly, we will run </w:t>
      </w:r>
      <w:r w:rsidRPr="00681993" w:rsidR="005425B7">
        <w:t xml:space="preserve">each </w:t>
      </w:r>
      <w:r w:rsidRPr="00681993" w:rsidR="00BF5A22">
        <w:t>main study</w:t>
      </w:r>
      <w:r w:rsidRPr="00681993" w:rsidR="00C76F75">
        <w:t xml:space="preserve"> as described elsewhere in this document.</w:t>
      </w:r>
      <w:r w:rsidRPr="00681993" w:rsidR="00423C0D">
        <w:t xml:space="preserve"> </w:t>
      </w:r>
    </w:p>
    <w:p w:rsidRPr="00681993" w:rsidR="00423C0D" w:rsidP="001311C3" w:rsidRDefault="00EB7538">
      <w:pPr>
        <w:numPr>
          <w:ilvl w:val="0"/>
          <w:numId w:val="2"/>
        </w:numPr>
        <w:shd w:val="clear" w:color="auto" w:fill="FFFFFF"/>
        <w:spacing w:before="100" w:beforeAutospacing="1" w:after="100" w:afterAutospacing="1"/>
      </w:pPr>
      <w:r w:rsidRPr="00681993">
        <w:rPr>
          <w:u w:val="single"/>
        </w:rPr>
        <w:t>Individuals Consulted on Statistical Aspects and Individuals Collecting and/or Analyzing Data</w:t>
      </w:r>
    </w:p>
    <w:p w:rsidR="00423C0D" w:rsidP="001311C3" w:rsidRDefault="00423C0D">
      <w:pPr>
        <w:shd w:val="clear" w:color="auto" w:fill="FFFFFF"/>
        <w:spacing w:before="100" w:beforeAutospacing="1" w:after="100" w:afterAutospacing="1"/>
        <w:ind w:left="720"/>
      </w:pPr>
      <w:r w:rsidRPr="00681993">
        <w:t xml:space="preserve">The contractor, </w:t>
      </w:r>
      <w:r w:rsidRPr="00681993" w:rsidR="005425B7">
        <w:t>RTI International</w:t>
      </w:r>
      <w:r w:rsidRPr="00681993">
        <w:t xml:space="preserve">, will collect the data on behalf of FDA as a task order </w:t>
      </w:r>
      <w:r w:rsidRPr="00EA26F5">
        <w:t xml:space="preserve">under Contract </w:t>
      </w:r>
      <w:r w:rsidRPr="00EA26F5" w:rsidR="00A718FB">
        <w:t>HHSF22320151000</w:t>
      </w:r>
      <w:r w:rsidRPr="00EA26F5" w:rsidR="005425B7">
        <w:t>2</w:t>
      </w:r>
      <w:r w:rsidRPr="00EA26F5" w:rsidR="00A718FB">
        <w:t>B</w:t>
      </w:r>
      <w:r w:rsidRPr="00EA26F5">
        <w:t xml:space="preserve">. </w:t>
      </w:r>
      <w:r w:rsidRPr="00EA26F5" w:rsidR="008A1B22">
        <w:t>Mihaela Johnson</w:t>
      </w:r>
      <w:r w:rsidRPr="00EA26F5">
        <w:t xml:space="preserve">, </w:t>
      </w:r>
      <w:r w:rsidRPr="00EA26F5" w:rsidR="00EA26F5">
        <w:t>919-990-8365</w:t>
      </w:r>
      <w:r w:rsidRPr="00681993">
        <w:rPr>
          <w:noProof/>
        </w:rPr>
        <w:t xml:space="preserve">, </w:t>
      </w:r>
      <w:r w:rsidRPr="00681993">
        <w:t xml:space="preserve">is </w:t>
      </w:r>
      <w:r w:rsidRPr="00681993" w:rsidR="00C76F75">
        <w:t>the contractor’s</w:t>
      </w:r>
      <w:r w:rsidRPr="00681993">
        <w:t xml:space="preserve"> Project Director for this project</w:t>
      </w:r>
      <w:r w:rsidRPr="00681993">
        <w:rPr>
          <w:noProof/>
        </w:rPr>
        <w:t>.  Data</w:t>
      </w:r>
      <w:r w:rsidRPr="00681993">
        <w:rPr>
          <w:noProof/>
          <w:color w:val="000080"/>
        </w:rPr>
        <w:t xml:space="preserve"> </w:t>
      </w:r>
      <w:r w:rsidRPr="00681993">
        <w:t>analysis will be overseen by the Research Team, Office of Prescription Drug Promotion (OPDP), Office of Medical Policy, CDER, FDA, and coordinated</w:t>
      </w:r>
      <w:r w:rsidRPr="00681993" w:rsidR="00A718FB">
        <w:t xml:space="preserve"> by Helen W. Sullivan, Ph.D., MPH</w:t>
      </w:r>
      <w:r w:rsidRPr="00681993">
        <w:t xml:space="preserve">, 301-796-4188, and </w:t>
      </w:r>
      <w:r w:rsidR="00EA26F5">
        <w:t>Kathryn Aikin</w:t>
      </w:r>
      <w:r w:rsidRPr="00681993">
        <w:t>, Ph.D., 301-796-</w:t>
      </w:r>
      <w:r w:rsidR="00EA26F5">
        <w:t>1200</w:t>
      </w:r>
      <w:r w:rsidRPr="00681993">
        <w:t>.</w:t>
      </w:r>
    </w:p>
    <w:p w:rsidRPr="004C6979" w:rsidR="00A718FB" w:rsidP="001311C3" w:rsidRDefault="00A718FB">
      <w:pPr>
        <w:shd w:val="clear" w:color="auto" w:fill="FFFFFF"/>
        <w:spacing w:before="100" w:beforeAutospacing="1" w:after="100" w:afterAutospacing="1"/>
        <w:ind w:left="720"/>
        <w:rPr>
          <w:b/>
        </w:rPr>
      </w:pPr>
    </w:p>
    <w:sectPr w:rsidRPr="004C6979" w:rsidR="00A718FB"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797" w:rsidRDefault="00507797">
      <w:r>
        <w:separator/>
      </w:r>
    </w:p>
  </w:endnote>
  <w:endnote w:type="continuationSeparator" w:id="0">
    <w:p w:rsidR="00507797" w:rsidRDefault="0050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9C0">
      <w:rPr>
        <w:rStyle w:val="PageNumber"/>
        <w:noProof/>
      </w:rPr>
      <w:t>4</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797" w:rsidRDefault="00507797">
      <w:r>
        <w:separator/>
      </w:r>
    </w:p>
  </w:footnote>
  <w:footnote w:type="continuationSeparator" w:id="0">
    <w:p w:rsidR="00507797" w:rsidRDefault="00507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41126"/>
    <w:multiLevelType w:val="hybridMultilevel"/>
    <w:tmpl w:val="2C42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7" w15:restartNumberingAfterBreak="0">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015AFB"/>
    <w:multiLevelType w:val="hybridMultilevel"/>
    <w:tmpl w:val="4F783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48B1A41"/>
    <w:multiLevelType w:val="hybridMultilevel"/>
    <w:tmpl w:val="EDFA1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297DBF"/>
    <w:multiLevelType w:val="hybridMultilevel"/>
    <w:tmpl w:val="7CF2AEDE"/>
    <w:lvl w:ilvl="0" w:tplc="253E0CAE">
      <w:start w:val="1"/>
      <w:numFmt w:val="decimal"/>
      <w:lvlText w:val="(%1)"/>
      <w:lvlJc w:val="left"/>
      <w:pPr>
        <w:ind w:left="450" w:hanging="360"/>
      </w:pPr>
      <w:rPr>
        <w:rFonts w:ascii="Franklin Gothic Medium" w:hAnsi="Franklin Gothic Medium" w:hint="default"/>
        <w:b/>
        <w:color w:val="DD481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6655C5"/>
    <w:multiLevelType w:val="hybridMultilevel"/>
    <w:tmpl w:val="801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2"/>
  </w:num>
  <w:num w:numId="6">
    <w:abstractNumId w:val="31"/>
  </w:num>
  <w:num w:numId="7">
    <w:abstractNumId w:val="36"/>
  </w:num>
  <w:num w:numId="8">
    <w:abstractNumId w:val="9"/>
  </w:num>
  <w:num w:numId="9">
    <w:abstractNumId w:val="32"/>
  </w:num>
  <w:num w:numId="10">
    <w:abstractNumId w:val="26"/>
  </w:num>
  <w:num w:numId="11">
    <w:abstractNumId w:val="14"/>
  </w:num>
  <w:num w:numId="12">
    <w:abstractNumId w:val="40"/>
  </w:num>
  <w:num w:numId="13">
    <w:abstractNumId w:val="25"/>
  </w:num>
  <w:num w:numId="14">
    <w:abstractNumId w:val="13"/>
  </w:num>
  <w:num w:numId="15">
    <w:abstractNumId w:val="21"/>
  </w:num>
  <w:num w:numId="16">
    <w:abstractNumId w:val="20"/>
  </w:num>
  <w:num w:numId="17">
    <w:abstractNumId w:val="35"/>
  </w:num>
  <w:num w:numId="18">
    <w:abstractNumId w:val="39"/>
  </w:num>
  <w:num w:numId="19">
    <w:abstractNumId w:val="37"/>
  </w:num>
  <w:num w:numId="20">
    <w:abstractNumId w:val="24"/>
  </w:num>
  <w:num w:numId="21">
    <w:abstractNumId w:val="19"/>
  </w:num>
  <w:num w:numId="22">
    <w:abstractNumId w:val="5"/>
  </w:num>
  <w:num w:numId="23">
    <w:abstractNumId w:val="33"/>
  </w:num>
  <w:num w:numId="24">
    <w:abstractNumId w:val="28"/>
  </w:num>
  <w:num w:numId="25">
    <w:abstractNumId w:val="17"/>
  </w:num>
  <w:num w:numId="26">
    <w:abstractNumId w:val="11"/>
  </w:num>
  <w:num w:numId="27">
    <w:abstractNumId w:val="42"/>
  </w:num>
  <w:num w:numId="28">
    <w:abstractNumId w:val="34"/>
  </w:num>
  <w:num w:numId="29">
    <w:abstractNumId w:val="10"/>
  </w:num>
  <w:num w:numId="30">
    <w:abstractNumId w:val="23"/>
  </w:num>
  <w:num w:numId="31">
    <w:abstractNumId w:val="4"/>
  </w:num>
  <w:num w:numId="32">
    <w:abstractNumId w:val="2"/>
  </w:num>
  <w:num w:numId="33">
    <w:abstractNumId w:val="6"/>
  </w:num>
  <w:num w:numId="34">
    <w:abstractNumId w:val="3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5"/>
  </w:num>
  <w:num w:numId="38">
    <w:abstractNumId w:val="3"/>
  </w:num>
  <w:num w:numId="39">
    <w:abstractNumId w:val="7"/>
  </w:num>
  <w:num w:numId="40">
    <w:abstractNumId w:val="38"/>
  </w:num>
  <w:num w:numId="41">
    <w:abstractNumId w:val="1"/>
  </w:num>
  <w:num w:numId="42">
    <w:abstractNumId w:val="18"/>
  </w:num>
  <w:num w:numId="43">
    <w:abstractNumId w:val="41"/>
  </w:num>
  <w:num w:numId="4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401"/>
    <w:rsid w:val="000321D3"/>
    <w:rsid w:val="000324D8"/>
    <w:rsid w:val="00040160"/>
    <w:rsid w:val="000532C8"/>
    <w:rsid w:val="0006570F"/>
    <w:rsid w:val="000739A4"/>
    <w:rsid w:val="000840C7"/>
    <w:rsid w:val="00091CF2"/>
    <w:rsid w:val="000964BB"/>
    <w:rsid w:val="00096B8B"/>
    <w:rsid w:val="000A0F34"/>
    <w:rsid w:val="000B4906"/>
    <w:rsid w:val="000B7714"/>
    <w:rsid w:val="000D48FD"/>
    <w:rsid w:val="000D7569"/>
    <w:rsid w:val="000D7C58"/>
    <w:rsid w:val="000E1C64"/>
    <w:rsid w:val="000E36BA"/>
    <w:rsid w:val="000E75B0"/>
    <w:rsid w:val="000F6CA6"/>
    <w:rsid w:val="00100739"/>
    <w:rsid w:val="00107885"/>
    <w:rsid w:val="00114FC4"/>
    <w:rsid w:val="0012329C"/>
    <w:rsid w:val="001311C3"/>
    <w:rsid w:val="0013231E"/>
    <w:rsid w:val="00134FA7"/>
    <w:rsid w:val="001370ED"/>
    <w:rsid w:val="00137950"/>
    <w:rsid w:val="00152F29"/>
    <w:rsid w:val="00165A9E"/>
    <w:rsid w:val="0016663D"/>
    <w:rsid w:val="00167BE3"/>
    <w:rsid w:val="0017237B"/>
    <w:rsid w:val="00172A34"/>
    <w:rsid w:val="0017723D"/>
    <w:rsid w:val="00177D6B"/>
    <w:rsid w:val="00181DF3"/>
    <w:rsid w:val="001841FE"/>
    <w:rsid w:val="00185270"/>
    <w:rsid w:val="00193E2A"/>
    <w:rsid w:val="001A322F"/>
    <w:rsid w:val="001A3B5A"/>
    <w:rsid w:val="001A444E"/>
    <w:rsid w:val="001B7CE9"/>
    <w:rsid w:val="001B7E54"/>
    <w:rsid w:val="001C416C"/>
    <w:rsid w:val="001C42D8"/>
    <w:rsid w:val="001D2477"/>
    <w:rsid w:val="001D495A"/>
    <w:rsid w:val="001E3E05"/>
    <w:rsid w:val="001F59EE"/>
    <w:rsid w:val="0021223F"/>
    <w:rsid w:val="00213BCA"/>
    <w:rsid w:val="00216419"/>
    <w:rsid w:val="002259EF"/>
    <w:rsid w:val="00242ED1"/>
    <w:rsid w:val="00251EBF"/>
    <w:rsid w:val="0025328C"/>
    <w:rsid w:val="00254069"/>
    <w:rsid w:val="00256561"/>
    <w:rsid w:val="0027039C"/>
    <w:rsid w:val="002734E5"/>
    <w:rsid w:val="0027419B"/>
    <w:rsid w:val="002746DB"/>
    <w:rsid w:val="00280CAF"/>
    <w:rsid w:val="00282F09"/>
    <w:rsid w:val="00294C80"/>
    <w:rsid w:val="002A4B47"/>
    <w:rsid w:val="002A4F7C"/>
    <w:rsid w:val="002A502B"/>
    <w:rsid w:val="002B2607"/>
    <w:rsid w:val="002C6B45"/>
    <w:rsid w:val="002D0C6C"/>
    <w:rsid w:val="002D14D8"/>
    <w:rsid w:val="002D4799"/>
    <w:rsid w:val="002D49E7"/>
    <w:rsid w:val="002E357B"/>
    <w:rsid w:val="002E3FA4"/>
    <w:rsid w:val="002E7C59"/>
    <w:rsid w:val="002F06A7"/>
    <w:rsid w:val="002F552B"/>
    <w:rsid w:val="002F5BB3"/>
    <w:rsid w:val="002F7854"/>
    <w:rsid w:val="00302419"/>
    <w:rsid w:val="0032277F"/>
    <w:rsid w:val="00323E95"/>
    <w:rsid w:val="00343ED7"/>
    <w:rsid w:val="00345CE3"/>
    <w:rsid w:val="00350523"/>
    <w:rsid w:val="003517D8"/>
    <w:rsid w:val="00373CDC"/>
    <w:rsid w:val="003740BC"/>
    <w:rsid w:val="003801A3"/>
    <w:rsid w:val="003820D3"/>
    <w:rsid w:val="00383D90"/>
    <w:rsid w:val="003933F7"/>
    <w:rsid w:val="003A2364"/>
    <w:rsid w:val="003A551D"/>
    <w:rsid w:val="003B42B3"/>
    <w:rsid w:val="003B6384"/>
    <w:rsid w:val="003B7D6B"/>
    <w:rsid w:val="003C4EBB"/>
    <w:rsid w:val="003D1531"/>
    <w:rsid w:val="003D6B91"/>
    <w:rsid w:val="003E4EC6"/>
    <w:rsid w:val="003E527E"/>
    <w:rsid w:val="003E553E"/>
    <w:rsid w:val="003E7078"/>
    <w:rsid w:val="003F3DF5"/>
    <w:rsid w:val="0040001A"/>
    <w:rsid w:val="004069C6"/>
    <w:rsid w:val="00411B7E"/>
    <w:rsid w:val="00411D11"/>
    <w:rsid w:val="00415E23"/>
    <w:rsid w:val="00423C0D"/>
    <w:rsid w:val="00424061"/>
    <w:rsid w:val="00435DE8"/>
    <w:rsid w:val="00443969"/>
    <w:rsid w:val="004446D0"/>
    <w:rsid w:val="00446EB0"/>
    <w:rsid w:val="00447D74"/>
    <w:rsid w:val="00450A74"/>
    <w:rsid w:val="0046292A"/>
    <w:rsid w:val="00465350"/>
    <w:rsid w:val="004744BA"/>
    <w:rsid w:val="004846BF"/>
    <w:rsid w:val="004A15A1"/>
    <w:rsid w:val="004B6AD4"/>
    <w:rsid w:val="004C47C2"/>
    <w:rsid w:val="004C6979"/>
    <w:rsid w:val="004C6DCB"/>
    <w:rsid w:val="004C79D7"/>
    <w:rsid w:val="004D3E7A"/>
    <w:rsid w:val="004E0E7D"/>
    <w:rsid w:val="004E309A"/>
    <w:rsid w:val="004F1781"/>
    <w:rsid w:val="00500A13"/>
    <w:rsid w:val="00507797"/>
    <w:rsid w:val="00523FA3"/>
    <w:rsid w:val="00531E80"/>
    <w:rsid w:val="00532973"/>
    <w:rsid w:val="005425B7"/>
    <w:rsid w:val="00544002"/>
    <w:rsid w:val="00544138"/>
    <w:rsid w:val="00550A33"/>
    <w:rsid w:val="00554DEF"/>
    <w:rsid w:val="005640FD"/>
    <w:rsid w:val="0056457A"/>
    <w:rsid w:val="0056599C"/>
    <w:rsid w:val="00570C72"/>
    <w:rsid w:val="0057509E"/>
    <w:rsid w:val="00576517"/>
    <w:rsid w:val="00584583"/>
    <w:rsid w:val="005871C6"/>
    <w:rsid w:val="00597CD8"/>
    <w:rsid w:val="005A4099"/>
    <w:rsid w:val="005A59A1"/>
    <w:rsid w:val="005C38B2"/>
    <w:rsid w:val="005C5029"/>
    <w:rsid w:val="005C55C2"/>
    <w:rsid w:val="005D44CE"/>
    <w:rsid w:val="005D4DF5"/>
    <w:rsid w:val="005D6ED9"/>
    <w:rsid w:val="005F0651"/>
    <w:rsid w:val="005F1FC8"/>
    <w:rsid w:val="00600837"/>
    <w:rsid w:val="006023B1"/>
    <w:rsid w:val="00606E2B"/>
    <w:rsid w:val="00611D6B"/>
    <w:rsid w:val="00615D1E"/>
    <w:rsid w:val="00620F8E"/>
    <w:rsid w:val="006348DF"/>
    <w:rsid w:val="00635096"/>
    <w:rsid w:val="006364CA"/>
    <w:rsid w:val="0064391D"/>
    <w:rsid w:val="0065044F"/>
    <w:rsid w:val="00651E91"/>
    <w:rsid w:val="006664F8"/>
    <w:rsid w:val="0066768B"/>
    <w:rsid w:val="00675E2F"/>
    <w:rsid w:val="00681993"/>
    <w:rsid w:val="006830C1"/>
    <w:rsid w:val="00683687"/>
    <w:rsid w:val="00694C18"/>
    <w:rsid w:val="006974B3"/>
    <w:rsid w:val="006A26C6"/>
    <w:rsid w:val="006A27C6"/>
    <w:rsid w:val="006A6C67"/>
    <w:rsid w:val="006A6F4B"/>
    <w:rsid w:val="006A7D5D"/>
    <w:rsid w:val="006B5E70"/>
    <w:rsid w:val="006D1839"/>
    <w:rsid w:val="006E48F4"/>
    <w:rsid w:val="006F4D6D"/>
    <w:rsid w:val="006F50C7"/>
    <w:rsid w:val="00705086"/>
    <w:rsid w:val="007409EF"/>
    <w:rsid w:val="007446CF"/>
    <w:rsid w:val="00746A87"/>
    <w:rsid w:val="00754497"/>
    <w:rsid w:val="00754BE0"/>
    <w:rsid w:val="007666A0"/>
    <w:rsid w:val="00783478"/>
    <w:rsid w:val="0078524B"/>
    <w:rsid w:val="00785D5F"/>
    <w:rsid w:val="00787C39"/>
    <w:rsid w:val="007940F0"/>
    <w:rsid w:val="00795DF3"/>
    <w:rsid w:val="007A212B"/>
    <w:rsid w:val="007A373C"/>
    <w:rsid w:val="007B225C"/>
    <w:rsid w:val="007B7A56"/>
    <w:rsid w:val="007C0AA6"/>
    <w:rsid w:val="007C75B1"/>
    <w:rsid w:val="007D3DFC"/>
    <w:rsid w:val="007D7C9C"/>
    <w:rsid w:val="007E48B6"/>
    <w:rsid w:val="0080776D"/>
    <w:rsid w:val="00810145"/>
    <w:rsid w:val="008108FA"/>
    <w:rsid w:val="00810FF1"/>
    <w:rsid w:val="00822336"/>
    <w:rsid w:val="00823DFA"/>
    <w:rsid w:val="0082658B"/>
    <w:rsid w:val="008424CA"/>
    <w:rsid w:val="00843752"/>
    <w:rsid w:val="00863CC5"/>
    <w:rsid w:val="00872AFC"/>
    <w:rsid w:val="00876526"/>
    <w:rsid w:val="00885B09"/>
    <w:rsid w:val="008910A2"/>
    <w:rsid w:val="00892400"/>
    <w:rsid w:val="008A1B22"/>
    <w:rsid w:val="008A209D"/>
    <w:rsid w:val="008B0E29"/>
    <w:rsid w:val="008B0EFA"/>
    <w:rsid w:val="008B30AB"/>
    <w:rsid w:val="008C5368"/>
    <w:rsid w:val="008D189F"/>
    <w:rsid w:val="008D5E7F"/>
    <w:rsid w:val="008D7C4F"/>
    <w:rsid w:val="008E0792"/>
    <w:rsid w:val="008F2743"/>
    <w:rsid w:val="008F4031"/>
    <w:rsid w:val="00901043"/>
    <w:rsid w:val="009051D2"/>
    <w:rsid w:val="00905DEF"/>
    <w:rsid w:val="00907392"/>
    <w:rsid w:val="00910CC3"/>
    <w:rsid w:val="00913B43"/>
    <w:rsid w:val="009210AD"/>
    <w:rsid w:val="00930203"/>
    <w:rsid w:val="009311D2"/>
    <w:rsid w:val="00931275"/>
    <w:rsid w:val="00936AC7"/>
    <w:rsid w:val="00945F04"/>
    <w:rsid w:val="00946F1B"/>
    <w:rsid w:val="009703AD"/>
    <w:rsid w:val="0097146A"/>
    <w:rsid w:val="009765CB"/>
    <w:rsid w:val="009807AD"/>
    <w:rsid w:val="00981612"/>
    <w:rsid w:val="009832AD"/>
    <w:rsid w:val="00987F45"/>
    <w:rsid w:val="0099022F"/>
    <w:rsid w:val="00990E8D"/>
    <w:rsid w:val="009950E0"/>
    <w:rsid w:val="009952E5"/>
    <w:rsid w:val="009A1674"/>
    <w:rsid w:val="009C666B"/>
    <w:rsid w:val="009C684F"/>
    <w:rsid w:val="009D074C"/>
    <w:rsid w:val="009E2FDB"/>
    <w:rsid w:val="009E64F5"/>
    <w:rsid w:val="009F0955"/>
    <w:rsid w:val="009F2B4F"/>
    <w:rsid w:val="009F66B5"/>
    <w:rsid w:val="00A10D1B"/>
    <w:rsid w:val="00A20A7D"/>
    <w:rsid w:val="00A35D42"/>
    <w:rsid w:val="00A46CCF"/>
    <w:rsid w:val="00A472FE"/>
    <w:rsid w:val="00A70426"/>
    <w:rsid w:val="00A718FB"/>
    <w:rsid w:val="00A725E8"/>
    <w:rsid w:val="00A73542"/>
    <w:rsid w:val="00A76D0D"/>
    <w:rsid w:val="00A91E9A"/>
    <w:rsid w:val="00A93ED9"/>
    <w:rsid w:val="00AA1F72"/>
    <w:rsid w:val="00AC6A64"/>
    <w:rsid w:val="00AC6A99"/>
    <w:rsid w:val="00AF5DE1"/>
    <w:rsid w:val="00B0456C"/>
    <w:rsid w:val="00B055EF"/>
    <w:rsid w:val="00B14278"/>
    <w:rsid w:val="00B23285"/>
    <w:rsid w:val="00B23769"/>
    <w:rsid w:val="00B47448"/>
    <w:rsid w:val="00B531F2"/>
    <w:rsid w:val="00B63ECB"/>
    <w:rsid w:val="00B725C5"/>
    <w:rsid w:val="00B73038"/>
    <w:rsid w:val="00B778F3"/>
    <w:rsid w:val="00B77C23"/>
    <w:rsid w:val="00B82974"/>
    <w:rsid w:val="00B86DFA"/>
    <w:rsid w:val="00B936D0"/>
    <w:rsid w:val="00B937B1"/>
    <w:rsid w:val="00BA16AA"/>
    <w:rsid w:val="00BA2E82"/>
    <w:rsid w:val="00BA44A2"/>
    <w:rsid w:val="00BC79AD"/>
    <w:rsid w:val="00BD3046"/>
    <w:rsid w:val="00BE3600"/>
    <w:rsid w:val="00BF5A22"/>
    <w:rsid w:val="00C01F6F"/>
    <w:rsid w:val="00C149AB"/>
    <w:rsid w:val="00C26E55"/>
    <w:rsid w:val="00C27499"/>
    <w:rsid w:val="00C3097C"/>
    <w:rsid w:val="00C40694"/>
    <w:rsid w:val="00C51037"/>
    <w:rsid w:val="00C63DB9"/>
    <w:rsid w:val="00C70542"/>
    <w:rsid w:val="00C75CBF"/>
    <w:rsid w:val="00C76F75"/>
    <w:rsid w:val="00C81B29"/>
    <w:rsid w:val="00C926B0"/>
    <w:rsid w:val="00CA2086"/>
    <w:rsid w:val="00CC2894"/>
    <w:rsid w:val="00CD77C3"/>
    <w:rsid w:val="00CE112C"/>
    <w:rsid w:val="00CE6036"/>
    <w:rsid w:val="00CF5212"/>
    <w:rsid w:val="00D0451B"/>
    <w:rsid w:val="00D608DA"/>
    <w:rsid w:val="00D65E42"/>
    <w:rsid w:val="00D730BF"/>
    <w:rsid w:val="00D763D0"/>
    <w:rsid w:val="00D8271B"/>
    <w:rsid w:val="00D92F2F"/>
    <w:rsid w:val="00D932AA"/>
    <w:rsid w:val="00DA0C2B"/>
    <w:rsid w:val="00DB6788"/>
    <w:rsid w:val="00DB7C18"/>
    <w:rsid w:val="00DC15ED"/>
    <w:rsid w:val="00DC67FE"/>
    <w:rsid w:val="00DC690B"/>
    <w:rsid w:val="00DC76C7"/>
    <w:rsid w:val="00DC7A33"/>
    <w:rsid w:val="00DD09F5"/>
    <w:rsid w:val="00DD3A4D"/>
    <w:rsid w:val="00DD4201"/>
    <w:rsid w:val="00DE5711"/>
    <w:rsid w:val="00DE574D"/>
    <w:rsid w:val="00DE59C0"/>
    <w:rsid w:val="00DF38D5"/>
    <w:rsid w:val="00E00EA0"/>
    <w:rsid w:val="00E05FEE"/>
    <w:rsid w:val="00E108CD"/>
    <w:rsid w:val="00E13764"/>
    <w:rsid w:val="00E21E9C"/>
    <w:rsid w:val="00E26758"/>
    <w:rsid w:val="00E36779"/>
    <w:rsid w:val="00E4357B"/>
    <w:rsid w:val="00E52320"/>
    <w:rsid w:val="00E63DE5"/>
    <w:rsid w:val="00E649B8"/>
    <w:rsid w:val="00E652F9"/>
    <w:rsid w:val="00E65A37"/>
    <w:rsid w:val="00E666EB"/>
    <w:rsid w:val="00E7010E"/>
    <w:rsid w:val="00E773C0"/>
    <w:rsid w:val="00E77B48"/>
    <w:rsid w:val="00E802AD"/>
    <w:rsid w:val="00E803FD"/>
    <w:rsid w:val="00E90219"/>
    <w:rsid w:val="00E91799"/>
    <w:rsid w:val="00E97DF5"/>
    <w:rsid w:val="00EA26F5"/>
    <w:rsid w:val="00EA34E3"/>
    <w:rsid w:val="00EA4CE0"/>
    <w:rsid w:val="00EB6A4F"/>
    <w:rsid w:val="00EB7538"/>
    <w:rsid w:val="00EC3D7A"/>
    <w:rsid w:val="00ED0C4A"/>
    <w:rsid w:val="00EF1CE0"/>
    <w:rsid w:val="00EF3CCE"/>
    <w:rsid w:val="00F10C5F"/>
    <w:rsid w:val="00F207A4"/>
    <w:rsid w:val="00F21F9D"/>
    <w:rsid w:val="00F2790D"/>
    <w:rsid w:val="00F355AC"/>
    <w:rsid w:val="00F57B45"/>
    <w:rsid w:val="00F57FD3"/>
    <w:rsid w:val="00F65B5B"/>
    <w:rsid w:val="00F71A5A"/>
    <w:rsid w:val="00F769E0"/>
    <w:rsid w:val="00F76EBC"/>
    <w:rsid w:val="00F83808"/>
    <w:rsid w:val="00F861E8"/>
    <w:rsid w:val="00FA0DD9"/>
    <w:rsid w:val="00FB373C"/>
    <w:rsid w:val="00FC6BDE"/>
    <w:rsid w:val="00FE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45FAA75-6571-45C3-9F3D-7D25D082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link w:val="ListParagraphChar"/>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character" w:customStyle="1" w:styleId="ListParagraphChar">
    <w:name w:val="List Paragraph Char"/>
    <w:link w:val="ListParagraph"/>
    <w:uiPriority w:val="34"/>
    <w:locked/>
    <w:rsid w:val="0065044F"/>
    <w:rPr>
      <w:rFonts w:ascii="Calibri" w:eastAsia="Calibri" w:hAnsi="Calibri"/>
      <w:sz w:val="22"/>
      <w:szCs w:val="22"/>
    </w:rPr>
  </w:style>
  <w:style w:type="paragraph" w:styleId="Revision">
    <w:name w:val="Revision"/>
    <w:hidden/>
    <w:uiPriority w:val="99"/>
    <w:semiHidden/>
    <w:rsid w:val="00DE59C0"/>
    <w:rPr>
      <w:sz w:val="24"/>
      <w:szCs w:val="24"/>
    </w:rPr>
  </w:style>
  <w:style w:type="character" w:styleId="Strong">
    <w:name w:val="Strong"/>
    <w:uiPriority w:val="22"/>
    <w:qFormat/>
    <w:rsid w:val="00532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88649">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39296622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584613565">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691150381">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967206265">
      <w:bodyDiv w:val="1"/>
      <w:marLeft w:val="0"/>
      <w:marRight w:val="0"/>
      <w:marTop w:val="0"/>
      <w:marBottom w:val="0"/>
      <w:divBdr>
        <w:top w:val="none" w:sz="0" w:space="0" w:color="auto"/>
        <w:left w:val="none" w:sz="0" w:space="0" w:color="auto"/>
        <w:bottom w:val="none" w:sz="0" w:space="0" w:color="auto"/>
        <w:right w:val="none" w:sz="0" w:space="0" w:color="auto"/>
      </w:divBdr>
    </w:div>
    <w:div w:id="1034499774">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89842436">
      <w:bodyDiv w:val="1"/>
      <w:marLeft w:val="0"/>
      <w:marRight w:val="0"/>
      <w:marTop w:val="0"/>
      <w:marBottom w:val="0"/>
      <w:divBdr>
        <w:top w:val="none" w:sz="0" w:space="0" w:color="auto"/>
        <w:left w:val="none" w:sz="0" w:space="0" w:color="auto"/>
        <w:bottom w:val="none" w:sz="0" w:space="0" w:color="auto"/>
        <w:right w:val="none" w:sz="0" w:space="0" w:color="auto"/>
      </w:divBdr>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0745462">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D597-7C85-491F-A7B8-AA78D7AD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2</cp:revision>
  <cp:lastPrinted>2010-12-08T19:17:00Z</cp:lastPrinted>
  <dcterms:created xsi:type="dcterms:W3CDTF">2021-02-09T21:56:00Z</dcterms:created>
  <dcterms:modified xsi:type="dcterms:W3CDTF">2021-02-09T21:56:00Z</dcterms:modified>
</cp:coreProperties>
</file>