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6E5A" w:rsidRDefault="00136E5A">
      <w:pPr>
        <w:widowControl/>
        <w:tabs>
          <w:tab w:val="center" w:pos="4680"/>
        </w:tabs>
        <w:rPr>
          <w:b/>
          <w:bCs/>
        </w:rPr>
      </w:pPr>
      <w:r>
        <w:tab/>
      </w:r>
      <w:r>
        <w:rPr>
          <w:b/>
          <w:bCs/>
        </w:rPr>
        <w:t>SUPPORTING STATEMENT</w:t>
      </w:r>
    </w:p>
    <w:p w:rsidR="00734522" w:rsidP="00734522" w:rsidRDefault="00734522">
      <w:pPr>
        <w:widowControl/>
        <w:tabs>
          <w:tab w:val="center" w:pos="4680"/>
        </w:tabs>
        <w:jc w:val="center"/>
        <w:rPr>
          <w:b/>
          <w:bCs/>
        </w:rPr>
      </w:pPr>
      <w:smartTag w:uri="urn:schemas-microsoft-com:office:smarttags" w:element="country-region">
        <w:smartTag w:uri="urn:schemas-microsoft-com:office:smarttags" w:element="place">
          <w:r>
            <w:rPr>
              <w:b/>
              <w:bCs/>
            </w:rPr>
            <w:t>U.S.</w:t>
          </w:r>
        </w:smartTag>
      </w:smartTag>
      <w:r>
        <w:rPr>
          <w:b/>
          <w:bCs/>
        </w:rPr>
        <w:t xml:space="preserve"> Department of Commerce</w:t>
      </w:r>
    </w:p>
    <w:p w:rsidR="00136E5A" w:rsidRDefault="00136E5A">
      <w:pPr>
        <w:widowControl/>
        <w:tabs>
          <w:tab w:val="center" w:pos="4680"/>
        </w:tabs>
        <w:rPr>
          <w:b/>
          <w:bCs/>
        </w:rPr>
      </w:pPr>
      <w:r>
        <w:tab/>
      </w:r>
      <w:r w:rsidR="00DA00CE">
        <w:rPr>
          <w:b/>
          <w:bCs/>
        </w:rPr>
        <w:t>National Institute of Standards and Technology (NIST)</w:t>
      </w:r>
    </w:p>
    <w:p w:rsidR="00136E5A" w:rsidRDefault="00DA00CE">
      <w:pPr>
        <w:widowControl/>
        <w:jc w:val="center"/>
        <w:rPr>
          <w:b/>
          <w:bCs/>
        </w:rPr>
      </w:pPr>
      <w:r>
        <w:rPr>
          <w:b/>
          <w:bCs/>
        </w:rPr>
        <w:t>NIST Associates Information System</w:t>
      </w:r>
      <w:r w:rsidR="00274239">
        <w:rPr>
          <w:b/>
          <w:bCs/>
        </w:rPr>
        <w:t xml:space="preserve"> (NAIS)</w:t>
      </w:r>
    </w:p>
    <w:p w:rsidR="00136E5A" w:rsidRDefault="00DC7587">
      <w:pPr>
        <w:widowControl/>
        <w:jc w:val="center"/>
      </w:pPr>
      <w:r>
        <w:rPr>
          <w:b/>
          <w:bCs/>
        </w:rPr>
        <w:t>OMB Control</w:t>
      </w:r>
      <w:r w:rsidR="00136E5A">
        <w:rPr>
          <w:b/>
          <w:bCs/>
        </w:rPr>
        <w:t xml:space="preserve"> N</w:t>
      </w:r>
      <w:r>
        <w:rPr>
          <w:b/>
          <w:bCs/>
        </w:rPr>
        <w:t>o</w:t>
      </w:r>
      <w:r w:rsidR="00136E5A">
        <w:rPr>
          <w:b/>
          <w:bCs/>
        </w:rPr>
        <w:t xml:space="preserve">. </w:t>
      </w:r>
      <w:r w:rsidR="000C314D">
        <w:rPr>
          <w:b/>
          <w:bCs/>
        </w:rPr>
        <w:t>0693</w:t>
      </w:r>
      <w:r w:rsidR="00136E5A">
        <w:rPr>
          <w:b/>
          <w:bCs/>
        </w:rPr>
        <w:t>-</w:t>
      </w:r>
      <w:r w:rsidR="001F65C5">
        <w:rPr>
          <w:b/>
          <w:bCs/>
        </w:rPr>
        <w:t>0067</w:t>
      </w:r>
    </w:p>
    <w:p w:rsidR="00136E5A" w:rsidRDefault="00136E5A">
      <w:pPr>
        <w:widowControl/>
      </w:pPr>
    </w:p>
    <w:p w:rsidR="005911ED" w:rsidRDefault="005911ED">
      <w:pPr>
        <w:widowControl/>
        <w:tabs>
          <w:tab w:val="left" w:pos="-1440"/>
        </w:tabs>
        <w:ind w:left="720" w:hanging="720"/>
        <w:rPr>
          <w:b/>
          <w:bCs/>
        </w:rPr>
      </w:pPr>
    </w:p>
    <w:p w:rsidR="00136E5A" w:rsidP="005B405E" w:rsidRDefault="00136E5A">
      <w:pPr>
        <w:widowControl/>
        <w:numPr>
          <w:ilvl w:val="0"/>
          <w:numId w:val="3"/>
        </w:numPr>
        <w:tabs>
          <w:tab w:val="left" w:pos="-1440"/>
        </w:tabs>
        <w:rPr>
          <w:b/>
          <w:bCs/>
        </w:rPr>
      </w:pPr>
      <w:r>
        <w:rPr>
          <w:b/>
          <w:bCs/>
        </w:rPr>
        <w:t>JUSTIFICATION</w:t>
      </w:r>
    </w:p>
    <w:p w:rsidR="005B405E" w:rsidP="005B405E" w:rsidRDefault="005B405E">
      <w:pPr>
        <w:widowControl/>
        <w:tabs>
          <w:tab w:val="left" w:pos="-1440"/>
        </w:tabs>
        <w:ind w:left="1080"/>
        <w:rPr>
          <w:b/>
          <w:bCs/>
        </w:rPr>
      </w:pPr>
    </w:p>
    <w:p w:rsidRPr="005B405E" w:rsidR="005911ED" w:rsidP="005B405E" w:rsidRDefault="001F65C5">
      <w:pPr>
        <w:widowControl/>
        <w:tabs>
          <w:tab w:val="left" w:pos="-1440"/>
        </w:tabs>
        <w:ind w:left="720" w:hanging="720"/>
        <w:jc w:val="both"/>
        <w:rPr>
          <w:bCs/>
        </w:rPr>
      </w:pPr>
      <w:r w:rsidRPr="005B405E">
        <w:rPr>
          <w:bCs/>
        </w:rPr>
        <w:t xml:space="preserve">This is a request to </w:t>
      </w:r>
      <w:r w:rsidR="006F55C8">
        <w:rPr>
          <w:bCs/>
        </w:rPr>
        <w:t xml:space="preserve">revise and </w:t>
      </w:r>
      <w:r w:rsidRPr="005B405E">
        <w:rPr>
          <w:bCs/>
        </w:rPr>
        <w:t>extend</w:t>
      </w:r>
      <w:r w:rsidR="00D74454">
        <w:rPr>
          <w:bCs/>
        </w:rPr>
        <w:t xml:space="preserve"> </w:t>
      </w:r>
      <w:r w:rsidRPr="005B405E">
        <w:rPr>
          <w:bCs/>
        </w:rPr>
        <w:t>this Office of Management and Budget (OMB) approval of this information collection.</w:t>
      </w:r>
    </w:p>
    <w:p w:rsidR="005B405E" w:rsidP="000D0A55" w:rsidRDefault="005B405E">
      <w:pPr>
        <w:widowControl/>
        <w:rPr>
          <w:b/>
          <w:bCs/>
        </w:rPr>
      </w:pPr>
    </w:p>
    <w:p w:rsidR="00136E5A" w:rsidP="000D0A55" w:rsidRDefault="000D0A55">
      <w:pPr>
        <w:widowControl/>
        <w:rPr>
          <w:b/>
          <w:bCs/>
          <w:u w:val="single"/>
        </w:rPr>
      </w:pPr>
      <w:r w:rsidRPr="000D0A55">
        <w:rPr>
          <w:b/>
          <w:bCs/>
        </w:rPr>
        <w:t xml:space="preserve">1.  </w:t>
      </w:r>
      <w:r w:rsidR="00136E5A">
        <w:rPr>
          <w:b/>
          <w:bCs/>
          <w:u w:val="single"/>
        </w:rPr>
        <w:t>Explain the circumstances that make the collection of information necessary.</w:t>
      </w:r>
    </w:p>
    <w:p w:rsidR="003F4161" w:rsidP="003F4161" w:rsidRDefault="003F4161">
      <w:pPr>
        <w:widowControl/>
        <w:rPr>
          <w:b/>
          <w:bCs/>
          <w:u w:val="single"/>
        </w:rPr>
      </w:pPr>
    </w:p>
    <w:p w:rsidR="003F4161" w:rsidP="003F4161" w:rsidRDefault="001F65C5">
      <w:r>
        <w:t>The National Institute of Standards and Technology (</w:t>
      </w:r>
      <w:r w:rsidR="003F4161">
        <w:t>NIST</w:t>
      </w:r>
      <w:r>
        <w:t>)</w:t>
      </w:r>
      <w:r w:rsidR="003F4161">
        <w:t xml:space="preserve"> has an imperative to know who has access to the NIST facility for safety, security, and compliance with Federal laws and regulations. NIST Associates (NA) are given access to NIST facilities to advance NIST’s mission but this entails a level of security risk.  NIST sites include a nuclear reactor, sophisticated equipment, proprietary information, sensitive and classified information, and information related to U.S. businesses.  NIST performs advanced research in many areas controlled by export control regulations and requires background information to ensure compliance.  NIST facilities have lasers, reactors, hazardous materials, and other safety concerns that are a necessary part of research.  Providing access to this equipment involves a safety risk and NIST must ensure safety of both the associates and NIST staff.  This requires an understanding of the background and qualifications of associates who will work on the NIST campus and information in case accident or emergency.   In addition, intellectual property developed during research is controlled by several laws and it is important for NIST to understand the background and affiliation of associates to make a determination of intellectual property rights and government use rights resulting from work performed in collaboration with NIST staff.  </w:t>
      </w:r>
    </w:p>
    <w:p w:rsidR="00566BA3" w:rsidRDefault="00566BA3">
      <w:pPr>
        <w:widowControl/>
        <w:rPr>
          <w:rFonts w:ascii="Calibri" w:hAnsi="Calibri"/>
        </w:rPr>
      </w:pPr>
    </w:p>
    <w:p w:rsidRPr="00EB5D92" w:rsidR="00405291" w:rsidP="00C85474" w:rsidRDefault="009835AB">
      <w:pPr>
        <w:widowControl/>
        <w:autoSpaceDE/>
        <w:autoSpaceDN/>
        <w:adjustRightInd/>
      </w:pPr>
      <w:r>
        <w:t>NIST's mission is to promote U.S. innovation and industrial competitiveness by advancing measurement science, standards, and technology in ways that enhance economic security and improve our quality of life. The agency operates in two locations: G</w:t>
      </w:r>
      <w:r w:rsidR="00420B46">
        <w:t xml:space="preserve">aithersburg, Md., (headquarters - </w:t>
      </w:r>
      <w:r>
        <w:t xml:space="preserve">234-hectare/578-acre campus) and </w:t>
      </w:r>
      <w:hyperlink w:history="1" r:id="rId7">
        <w:r w:rsidRPr="009835AB">
          <w:rPr>
            <w:rStyle w:val="Hyperlink"/>
            <w:color w:val="auto"/>
            <w:u w:val="none"/>
          </w:rPr>
          <w:t>Boulder</w:t>
        </w:r>
      </w:hyperlink>
      <w:r w:rsidR="00274239">
        <w:t>, Colorado</w:t>
      </w:r>
      <w:r>
        <w:t xml:space="preserve">, (84-hectare/208-acre campus). NIST employs about </w:t>
      </w:r>
      <w:r w:rsidR="001B1E8B">
        <w:t>3,000</w:t>
      </w:r>
      <w:r>
        <w:t xml:space="preserve"> scientists, engineers, technicians, and support and administrative </w:t>
      </w:r>
      <w:r w:rsidRPr="00EB5D92">
        <w:t xml:space="preserve">personnel. </w:t>
      </w:r>
      <w:r w:rsidRPr="00EB5D92" w:rsidR="00405291">
        <w:t>NIST works collaboratively with many organizations in support of our mission.  The NIST O</w:t>
      </w:r>
      <w:r w:rsidR="00CB18AA">
        <w:t xml:space="preserve">rganic Act (15 USC 272 (c)(7)) </w:t>
      </w:r>
      <w:r w:rsidRPr="00EB5D92" w:rsidR="00405291">
        <w:t xml:space="preserve">specifically allows NIST to “accept research associates… from industry, and also engage with industry in research to develop new basic and generic technologies for traditional and new products and for improved production and manufacturing”.  NIST hosts approximately </w:t>
      </w:r>
      <w:r w:rsidRPr="002D3425" w:rsidR="00405291">
        <w:t>2,</w:t>
      </w:r>
      <w:r w:rsidRPr="002D3425" w:rsidR="001B1E8B">
        <w:t>8</w:t>
      </w:r>
      <w:r w:rsidRPr="002D3425" w:rsidR="00405291">
        <w:t>00</w:t>
      </w:r>
      <w:r w:rsidRPr="00EB5D92" w:rsidR="00405291">
        <w:t xml:space="preserve"> associates and facility users from academia, industry, and other government agencies in support of its mission.</w:t>
      </w:r>
    </w:p>
    <w:p w:rsidR="009835AB" w:rsidRDefault="009835AB">
      <w:pPr>
        <w:widowControl/>
      </w:pPr>
    </w:p>
    <w:p w:rsidR="00274239" w:rsidRDefault="003F4161">
      <w:pPr>
        <w:widowControl/>
      </w:pPr>
      <w:r>
        <w:t>NAs</w:t>
      </w:r>
      <w:r w:rsidRPr="00EB5D92" w:rsidR="00D87AC2">
        <w:t xml:space="preserve"> </w:t>
      </w:r>
      <w:r w:rsidRPr="00EB5D92" w:rsidR="009835AB">
        <w:t xml:space="preserve">include </w:t>
      </w:r>
      <w:r w:rsidR="00F00536">
        <w:t xml:space="preserve">foreign and domestic </w:t>
      </w:r>
      <w:r w:rsidRPr="00EB5D92" w:rsidR="00D41598">
        <w:t>guest researchers, research associates, contractors, and other non-NIST employees that require access to t</w:t>
      </w:r>
      <w:r w:rsidRPr="00EB5D92" w:rsidR="009835AB">
        <w:t xml:space="preserve">he NIST campuses or resources and contribute to the </w:t>
      </w:r>
      <w:r w:rsidRPr="00EB5D92" w:rsidR="009835AB">
        <w:lastRenderedPageBreak/>
        <w:t xml:space="preserve">NIST mission. </w:t>
      </w:r>
      <w:r w:rsidR="00CB18AA">
        <w:t>NAs</w:t>
      </w:r>
      <w:r w:rsidRPr="00EB5D92" w:rsidR="00274239">
        <w:t xml:space="preserve"> are located in every part of NIST</w:t>
      </w:r>
      <w:r w:rsidR="00CB18AA">
        <w:t>’s</w:t>
      </w:r>
      <w:r w:rsidRPr="00EB5D92" w:rsidR="00274239">
        <w:t xml:space="preserve"> organization and each </w:t>
      </w:r>
      <w:r w:rsidR="00CB18AA">
        <w:t>NA</w:t>
      </w:r>
      <w:r w:rsidRPr="00EB5D92" w:rsidR="00274239">
        <w:t xml:space="preserve"> contributes to NIST’s mission in a unique way. Guest Researchers </w:t>
      </w:r>
      <w:r w:rsidRPr="00EB5D92" w:rsidR="00150648">
        <w:t>work collaboratively</w:t>
      </w:r>
      <w:r w:rsidRPr="00EB5D92" w:rsidR="00274239">
        <w:t xml:space="preserve"> with NIST </w:t>
      </w:r>
      <w:r w:rsidRPr="00EB5D92" w:rsidR="00150648">
        <w:t xml:space="preserve">scientists </w:t>
      </w:r>
      <w:r w:rsidRPr="00EB5D92" w:rsidR="00274239">
        <w:t>on research and development projects of mutual interest or to transfer NIST "know-how," methodologies, procedures, and best practices</w:t>
      </w:r>
      <w:r w:rsidRPr="00EB5D92" w:rsidR="00150648">
        <w:t>. Research associates work at NIST under a Cooperative Research and Development Agreement (CRADA)</w:t>
      </w:r>
      <w:r w:rsidRPr="00EB5D92" w:rsidR="00EB5D92">
        <w:t>, a partnering tool that allows federal laboratories to work with U.S. industries, academia, and other organization</w:t>
      </w:r>
      <w:r w:rsidR="00053909">
        <w:t>s</w:t>
      </w:r>
      <w:r w:rsidRPr="00EB5D92" w:rsidR="00EB5D92">
        <w:t xml:space="preserve"> on cooperative </w:t>
      </w:r>
      <w:r w:rsidR="00CC69B3">
        <w:t>research and development</w:t>
      </w:r>
      <w:r w:rsidRPr="00EB5D92" w:rsidR="00EB5D92">
        <w:t xml:space="preserve"> projects. Contractors and other non-NIST employees provide specific services that NIST has identified as essential to their mission. </w:t>
      </w:r>
      <w:r w:rsidR="00EB5D92">
        <w:t xml:space="preserve">The activities </w:t>
      </w:r>
      <w:r w:rsidR="002012DD">
        <w:t xml:space="preserve">of NAs </w:t>
      </w:r>
      <w:r w:rsidR="00EB5D92">
        <w:t xml:space="preserve">range from highly-technical work in laboratories to </w:t>
      </w:r>
      <w:r w:rsidR="00CB18AA">
        <w:t>construction and maintenance</w:t>
      </w:r>
      <w:r w:rsidR="00894CE8">
        <w:t xml:space="preserve"> of facilities.</w:t>
      </w:r>
    </w:p>
    <w:p w:rsidR="00274239" w:rsidRDefault="00274239">
      <w:pPr>
        <w:widowControl/>
      </w:pPr>
    </w:p>
    <w:p w:rsidR="00CB18AA" w:rsidRDefault="00BE7C0C">
      <w:pPr>
        <w:widowControl/>
      </w:pPr>
      <w:r>
        <w:rPr>
          <w:lang w:val="en"/>
        </w:rPr>
        <w:t>The NIST Associates Information System (NAIS) is an automated system that supports the process of bringing NIST Associates (NAs) to the NIST campus or allowing them access to NIST resources. NAIS automates the preparation, review, and approval of all NA agreements, records, extensions, and security forms.</w:t>
      </w:r>
      <w:r>
        <w:t xml:space="preserve"> </w:t>
      </w:r>
      <w:r w:rsidR="00894CE8">
        <w:t xml:space="preserve">NAIS simplifies the information collection process by </w:t>
      </w:r>
      <w:r w:rsidR="00CC69B3">
        <w:t>allowing for a single collection of data that is used on multiple forms</w:t>
      </w:r>
      <w:r w:rsidR="00A032E2">
        <w:t xml:space="preserve"> therefore reducing transfer errors and </w:t>
      </w:r>
      <w:r w:rsidR="006743DB">
        <w:t>decreasing</w:t>
      </w:r>
      <w:r w:rsidR="00A032E2">
        <w:t xml:space="preserve"> time </w:t>
      </w:r>
      <w:r w:rsidR="006743DB">
        <w:t>required</w:t>
      </w:r>
      <w:r w:rsidR="00894CE8">
        <w:t xml:space="preserve">. </w:t>
      </w:r>
    </w:p>
    <w:p w:rsidR="00EF1E31" w:rsidRDefault="00EF1E31">
      <w:pPr>
        <w:widowControl/>
      </w:pPr>
    </w:p>
    <w:p w:rsidRPr="00163A5A" w:rsidR="00D95166" w:rsidP="00D95166" w:rsidRDefault="00D95166">
      <w:r w:rsidRPr="00163A5A">
        <w:t xml:space="preserve">NAIS is jointly owned by the Technology Partnerships Office (TPO) and the International and Academic Affairs Office (IAAO).  TPO and IAAO are respectively responsible for domestic and foreign associates. NAIS supports TPO’s mission of </w:t>
      </w:r>
      <w:r w:rsidRPr="00163A5A">
        <w:rPr>
          <w:color w:val="000000"/>
          <w:lang w:val="en"/>
        </w:rPr>
        <w:t xml:space="preserve">promoting both formal and informal collaboration opportunities </w:t>
      </w:r>
      <w:r w:rsidRPr="00163A5A">
        <w:t xml:space="preserve">and </w:t>
      </w:r>
      <w:r w:rsidRPr="00163A5A">
        <w:rPr>
          <w:color w:val="000000"/>
          <w:lang w:val="en"/>
        </w:rPr>
        <w:t xml:space="preserve">enabling technology transfer from NIST to promote US competitiveness. IAAO verifies the visa status of all foreign associates and their program </w:t>
      </w:r>
      <w:r>
        <w:rPr>
          <w:color w:val="000000"/>
          <w:lang w:val="en"/>
        </w:rPr>
        <w:t xml:space="preserve">and </w:t>
      </w:r>
      <w:r w:rsidRPr="00163A5A">
        <w:t>offers scientists from around the world the opportunity to work collaboratively with NIST scientists</w:t>
      </w:r>
      <w:r w:rsidRPr="00163A5A">
        <w:rPr>
          <w:color w:val="000000"/>
          <w:lang w:val="en"/>
        </w:rPr>
        <w:t xml:space="preserve">. </w:t>
      </w:r>
      <w:r w:rsidRPr="00163A5A">
        <w:t>The NAIS team consists of staff from TPO, IAAO and Office of Information Systems Management’s Applications Systems Division. The NAIS team plans and implements all aspects of the system including assisting users and generating reports.</w:t>
      </w:r>
    </w:p>
    <w:p w:rsidR="00F75162" w:rsidRDefault="00F75162">
      <w:pPr>
        <w:widowControl/>
      </w:pPr>
    </w:p>
    <w:p w:rsidR="001B274D" w:rsidRDefault="00E064AF">
      <w:pPr>
        <w:widowControl/>
      </w:pPr>
      <w:r>
        <w:t xml:space="preserve">The </w:t>
      </w:r>
      <w:r w:rsidR="00913A59">
        <w:t xml:space="preserve">appropriate </w:t>
      </w:r>
      <w:r>
        <w:t>collection instrument</w:t>
      </w:r>
      <w:r w:rsidR="00913A59">
        <w:t>, based on the type of NA and the access needed,</w:t>
      </w:r>
      <w:r>
        <w:t xml:space="preserve"> is forwarded to the NA by their NIST host.</w:t>
      </w:r>
      <w:r w:rsidR="003A4560">
        <w:t xml:space="preserve"> The NA </w:t>
      </w:r>
      <w:r w:rsidR="00D87AC2">
        <w:t xml:space="preserve">will </w:t>
      </w:r>
      <w:r w:rsidR="003A4560">
        <w:t>return the completed collection instrument to NIST for processing prior to their arrival.</w:t>
      </w:r>
      <w:r w:rsidR="00CB18AA">
        <w:t xml:space="preserve"> </w:t>
      </w:r>
      <w:r w:rsidRPr="00DA00CE" w:rsidR="00CB18AA">
        <w:t xml:space="preserve">The information collected through </w:t>
      </w:r>
      <w:r w:rsidR="00CB18AA">
        <w:t>NAIS</w:t>
      </w:r>
      <w:r w:rsidRPr="00DA00CE" w:rsidR="00CB18AA">
        <w:t xml:space="preserve"> collection instruments </w:t>
      </w:r>
      <w:r w:rsidR="00CB18AA">
        <w:t>will be</w:t>
      </w:r>
      <w:r w:rsidRPr="00DA00CE" w:rsidR="00CB18AA">
        <w:t xml:space="preserve"> input into NAIS, which </w:t>
      </w:r>
      <w:r w:rsidR="00CB18AA">
        <w:t xml:space="preserve">will </w:t>
      </w:r>
      <w:r w:rsidRPr="00DA00CE" w:rsidR="00CB18AA">
        <w:t>automatically populate the appropriate forms, and route</w:t>
      </w:r>
      <w:r w:rsidR="00CB18AA">
        <w:t>s them</w:t>
      </w:r>
      <w:r w:rsidRPr="00DA00CE" w:rsidR="00CB18AA">
        <w:t xml:space="preserve"> through the approval process.</w:t>
      </w:r>
    </w:p>
    <w:p w:rsidR="000B2974" w:rsidRDefault="000B2974">
      <w:pPr>
        <w:widowControl/>
      </w:pPr>
    </w:p>
    <w:p w:rsidR="000B2974" w:rsidRDefault="000B2974">
      <w:pPr>
        <w:widowControl/>
      </w:pPr>
      <w:r>
        <w:t>Prior to the arrival of a NA, the NIST host division determines the length of stay, develops a work plan, determines financial assistance (if applicable), reviews any funding agreement, and establishes the need for a security investigation.</w:t>
      </w:r>
    </w:p>
    <w:p w:rsidR="003F431D" w:rsidRDefault="003F431D">
      <w:pPr>
        <w:widowControl/>
      </w:pPr>
    </w:p>
    <w:p w:rsidR="003F431D" w:rsidRDefault="001F64FC">
      <w:pPr>
        <w:widowControl/>
      </w:pPr>
      <w:r>
        <w:t xml:space="preserve">The NAIS system will populate the </w:t>
      </w:r>
      <w:r w:rsidR="003F431D">
        <w:t xml:space="preserve">following forms and fields </w:t>
      </w:r>
      <w:r>
        <w:t>from the</w:t>
      </w:r>
      <w:r w:rsidR="003F431D">
        <w:t xml:space="preserve"> data collected:</w:t>
      </w:r>
    </w:p>
    <w:p w:rsidR="003F431D" w:rsidRDefault="003F431D">
      <w:pPr>
        <w:widowControl/>
      </w:pPr>
    </w:p>
    <w:p w:rsidR="003F431D" w:rsidRDefault="003F431D">
      <w:pPr>
        <w:widowControl/>
      </w:pPr>
      <w:r>
        <w:t>NIST 1296 – Domestic Guest Researcher Agreement</w:t>
      </w:r>
    </w:p>
    <w:p w:rsidR="000D0A55" w:rsidRDefault="001B256B">
      <w:pPr>
        <w:widowControl/>
      </w:pPr>
      <w:r>
        <w:tab/>
        <w:t xml:space="preserve">Name, Citizenship, Employer/Home Organization Name and address, Sponsor Name and </w:t>
      </w:r>
      <w:r>
        <w:tab/>
        <w:t xml:space="preserve">Address, </w:t>
      </w:r>
      <w:r w:rsidR="00971E0A">
        <w:t xml:space="preserve">Emergency Personal Contact, </w:t>
      </w:r>
      <w:r>
        <w:t>Education</w:t>
      </w:r>
      <w:r w:rsidR="00971E0A">
        <w:t xml:space="preserve"> (institution name, address, years </w:t>
      </w:r>
      <w:r w:rsidR="00971E0A">
        <w:tab/>
        <w:t>attended, subjects studied, and degree)</w:t>
      </w:r>
    </w:p>
    <w:p w:rsidR="003F431D" w:rsidRDefault="000D0A55">
      <w:pPr>
        <w:widowControl/>
      </w:pPr>
      <w:r>
        <w:br w:type="page"/>
      </w:r>
      <w:r w:rsidR="003F431D">
        <w:lastRenderedPageBreak/>
        <w:t>NIST 1291- Foreign Guest Researcher Agreement</w:t>
      </w:r>
    </w:p>
    <w:p w:rsidR="00971E0A" w:rsidRDefault="00971E0A">
      <w:pPr>
        <w:widowControl/>
      </w:pPr>
      <w:r>
        <w:tab/>
        <w:t xml:space="preserve">Name, Citizenship, Date of Birth, Place of Birth, Social Security Number, </w:t>
      </w:r>
      <w:r>
        <w:tab/>
        <w:t xml:space="preserve">Employee/Home Organization Name and Address, Sponsor Name and Address, </w:t>
      </w:r>
      <w:r>
        <w:tab/>
        <w:t xml:space="preserve">Emergency Personal Contact, Education (institution name, address, years attended, </w:t>
      </w:r>
      <w:r>
        <w:tab/>
        <w:t>subjects studied, and degree)</w:t>
      </w:r>
    </w:p>
    <w:p w:rsidR="003F431D" w:rsidRDefault="003F431D">
      <w:pPr>
        <w:widowControl/>
      </w:pPr>
    </w:p>
    <w:p w:rsidR="003F431D" w:rsidRDefault="003F431D">
      <w:pPr>
        <w:widowControl/>
      </w:pPr>
      <w:r>
        <w:t>NIST-1085 – Request for Security Assurance</w:t>
      </w:r>
    </w:p>
    <w:p w:rsidR="001B256B" w:rsidRDefault="001B256B">
      <w:pPr>
        <w:widowControl/>
      </w:pPr>
      <w:r>
        <w:tab/>
        <w:t xml:space="preserve">Name, Date of Birth, Email, Place of Birth, Social Security Number, Other Names Used, </w:t>
      </w:r>
      <w:r>
        <w:tab/>
        <w:t xml:space="preserve">Sex, Citizenship, Worked at NIST in Past, Foreign National Coming Directly From </w:t>
      </w:r>
      <w:r>
        <w:tab/>
        <w:t>Homeland, Previous U.S. Government Clearances</w:t>
      </w:r>
    </w:p>
    <w:p w:rsidR="00971E0A" w:rsidRDefault="00971E0A">
      <w:pPr>
        <w:widowControl/>
      </w:pPr>
    </w:p>
    <w:p w:rsidR="00971E0A" w:rsidRDefault="00971E0A">
      <w:pPr>
        <w:widowControl/>
      </w:pPr>
      <w:r>
        <w:t xml:space="preserve">NIST-1260 </w:t>
      </w:r>
      <w:r w:rsidR="00C162F7">
        <w:t xml:space="preserve">- </w:t>
      </w:r>
      <w:r>
        <w:t>Report of Foreign Visitor, Guest, and Conference Attendee</w:t>
      </w:r>
    </w:p>
    <w:p w:rsidR="00971E0A" w:rsidRDefault="00971E0A">
      <w:pPr>
        <w:widowControl/>
      </w:pPr>
      <w:r>
        <w:tab/>
        <w:t>Name, Date of Birth, Place of Birth, Employer/Sponsor Name and Address, Citizenship</w:t>
      </w:r>
    </w:p>
    <w:p w:rsidR="003F431D" w:rsidRDefault="003F431D">
      <w:pPr>
        <w:widowControl/>
      </w:pPr>
    </w:p>
    <w:p w:rsidR="003F431D" w:rsidRDefault="003F431D">
      <w:pPr>
        <w:widowControl/>
      </w:pPr>
      <w:r>
        <w:t>NIST-351 – Request for Federal Credential or NIST Site Badge</w:t>
      </w:r>
    </w:p>
    <w:p w:rsidR="001B256B" w:rsidRDefault="001B256B">
      <w:pPr>
        <w:widowControl/>
      </w:pPr>
      <w:r>
        <w:tab/>
        <w:t>Name, Date of Birth, Social Security Number, Citizenship, Home Address</w:t>
      </w:r>
    </w:p>
    <w:p w:rsidR="003F431D" w:rsidRDefault="003F431D">
      <w:pPr>
        <w:widowControl/>
      </w:pPr>
    </w:p>
    <w:p w:rsidR="003F431D" w:rsidRDefault="003F431D">
      <w:pPr>
        <w:widowControl/>
      </w:pPr>
      <w:r>
        <w:t>Release – Fair Credit Reporting Act of 1970</w:t>
      </w:r>
    </w:p>
    <w:p w:rsidR="001B256B" w:rsidRDefault="001B256B">
      <w:pPr>
        <w:widowControl/>
      </w:pPr>
      <w:r>
        <w:tab/>
        <w:t>Name, Social Security Number</w:t>
      </w:r>
    </w:p>
    <w:p w:rsidR="003F431D" w:rsidRDefault="003F431D">
      <w:pPr>
        <w:widowControl/>
      </w:pPr>
    </w:p>
    <w:p w:rsidR="003F431D" w:rsidRDefault="003F431D">
      <w:pPr>
        <w:widowControl/>
      </w:pPr>
      <w:r>
        <w:t>OFI-86C – Special Agre</w:t>
      </w:r>
      <w:r w:rsidR="00CB18AA">
        <w:t>e</w:t>
      </w:r>
      <w:r>
        <w:t>ment Checks (SAC)</w:t>
      </w:r>
    </w:p>
    <w:p w:rsidR="001B256B" w:rsidRDefault="001B256B">
      <w:pPr>
        <w:widowControl/>
      </w:pPr>
      <w:r>
        <w:tab/>
        <w:t>Name, Date of Birth, Place of Birth, Social Security Number, Other Names Used</w:t>
      </w:r>
      <w:r w:rsidR="00011297">
        <w:t xml:space="preserve">, U.S. </w:t>
      </w:r>
      <w:r w:rsidR="00011297">
        <w:tab/>
        <w:t>Passport Number</w:t>
      </w:r>
    </w:p>
    <w:p w:rsidR="003F431D" w:rsidRDefault="003F431D">
      <w:pPr>
        <w:widowControl/>
      </w:pPr>
    </w:p>
    <w:p w:rsidR="001B256B" w:rsidRDefault="001B256B">
      <w:pPr>
        <w:widowControl/>
      </w:pPr>
      <w:r>
        <w:t>Authorization for Release of Information</w:t>
      </w:r>
      <w:r w:rsidR="00A110F8">
        <w:t xml:space="preserve"> (Attachment to OFI-86C)</w:t>
      </w:r>
      <w:r>
        <w:t xml:space="preserve"> </w:t>
      </w:r>
      <w:r w:rsidR="00011297">
        <w:tab/>
      </w:r>
    </w:p>
    <w:p w:rsidR="00011297" w:rsidRDefault="00011297">
      <w:pPr>
        <w:widowControl/>
      </w:pPr>
      <w:r>
        <w:tab/>
        <w:t>Name, Other Names Used, Home Address and Phone Number</w:t>
      </w:r>
    </w:p>
    <w:p w:rsidR="001B256B" w:rsidRDefault="00011297">
      <w:pPr>
        <w:widowControl/>
      </w:pPr>
      <w:r>
        <w:tab/>
      </w:r>
    </w:p>
    <w:p w:rsidR="001B256B" w:rsidRDefault="001B256B">
      <w:pPr>
        <w:widowControl/>
      </w:pPr>
      <w:r>
        <w:t>OF-306 – Decla</w:t>
      </w:r>
      <w:r w:rsidR="00011297">
        <w:t>ra</w:t>
      </w:r>
      <w:r>
        <w:t>tion for Federal Employment</w:t>
      </w:r>
    </w:p>
    <w:p w:rsidR="00011297" w:rsidRDefault="00011297">
      <w:pPr>
        <w:widowControl/>
      </w:pPr>
      <w:r>
        <w:tab/>
        <w:t>Name, Social Security Number, Place of Birth, Citizenship, Date of Birth, O</w:t>
      </w:r>
      <w:r w:rsidR="00C162F7">
        <w:t xml:space="preserve">ther Names </w:t>
      </w:r>
      <w:r w:rsidR="00C162F7">
        <w:tab/>
        <w:t>Used, Phone Numbers</w:t>
      </w:r>
    </w:p>
    <w:p w:rsidR="000F4AD6" w:rsidRDefault="000F4AD6">
      <w:pPr>
        <w:widowControl/>
      </w:pPr>
    </w:p>
    <w:p w:rsidRPr="00742C0E" w:rsidR="000F4AD6" w:rsidP="000F4AD6" w:rsidRDefault="000F4AD6">
      <w:pPr>
        <w:pStyle w:val="CommentText"/>
        <w:rPr>
          <w:sz w:val="24"/>
          <w:szCs w:val="24"/>
        </w:rPr>
      </w:pPr>
      <w:r w:rsidRPr="00742C0E">
        <w:rPr>
          <w:sz w:val="24"/>
          <w:szCs w:val="24"/>
        </w:rPr>
        <w:t xml:space="preserve">OSY Form 207-12-A (Foreign </w:t>
      </w:r>
      <w:r w:rsidR="00D12F9D">
        <w:rPr>
          <w:sz w:val="24"/>
          <w:szCs w:val="24"/>
        </w:rPr>
        <w:t>N</w:t>
      </w:r>
      <w:r w:rsidRPr="00742C0E">
        <w:rPr>
          <w:sz w:val="24"/>
          <w:szCs w:val="24"/>
        </w:rPr>
        <w:t>ational Request Form), OMB No. 0690-0033</w:t>
      </w:r>
    </w:p>
    <w:p w:rsidR="00C162F7" w:rsidP="001B7BBD" w:rsidRDefault="00FA14D6">
      <w:pPr>
        <w:widowControl/>
        <w:ind w:left="720"/>
      </w:pPr>
      <w:r>
        <w:t>Name, Social Security Number, Place of Birth</w:t>
      </w:r>
      <w:r w:rsidR="00526840">
        <w:t xml:space="preserve">, Citizenship, Last 3 Entries into U.S. in Past 5 Years </w:t>
      </w:r>
    </w:p>
    <w:p w:rsidR="00742C0E" w:rsidP="00742C0E" w:rsidRDefault="00742C0E">
      <w:pPr>
        <w:widowControl/>
        <w:ind w:left="720"/>
      </w:pPr>
    </w:p>
    <w:p w:rsidR="00C162F7" w:rsidRDefault="00C162F7">
      <w:pPr>
        <w:widowControl/>
      </w:pPr>
      <w:r>
        <w:t>Forms NIST-</w:t>
      </w:r>
      <w:r w:rsidR="0079665A">
        <w:t xml:space="preserve">1296 and NIST-1291 </w:t>
      </w:r>
      <w:r w:rsidR="00A43E01">
        <w:t>are used</w:t>
      </w:r>
      <w:r>
        <w:t xml:space="preserve"> </w:t>
      </w:r>
      <w:r w:rsidR="00A43E01">
        <w:t xml:space="preserve">respectively by </w:t>
      </w:r>
      <w:r>
        <w:t xml:space="preserve">NIST’s Technology Partnerships Office (TPO) and International and Academic Affairs Office (IAAO) </w:t>
      </w:r>
      <w:r w:rsidR="00A43E01">
        <w:t xml:space="preserve">for </w:t>
      </w:r>
      <w:r>
        <w:t xml:space="preserve">intellectual property purposes. </w:t>
      </w:r>
      <w:r w:rsidR="00A43E01">
        <w:t xml:space="preserve">The forms </w:t>
      </w:r>
      <w:r w:rsidR="0079665A">
        <w:t xml:space="preserve">list the terms of agreement and describe procedures for disclosure of any inventions made during the NA’s time at NIST. </w:t>
      </w:r>
      <w:r w:rsidR="000B2974">
        <w:t xml:space="preserve">IAAO also uses the NIST 1291 to process any required visa paperwork. </w:t>
      </w:r>
      <w:r w:rsidR="0079665A">
        <w:t>The form is signed by the NA upon their arrival at NIST.</w:t>
      </w:r>
      <w:r w:rsidR="00A43E01">
        <w:t xml:space="preserve"> </w:t>
      </w:r>
      <w:r>
        <w:t>All ot</w:t>
      </w:r>
      <w:r w:rsidR="002012DD">
        <w:t xml:space="preserve">her forms are required by DOC/NIST </w:t>
      </w:r>
      <w:r>
        <w:t>Office of Security (OSY).</w:t>
      </w:r>
    </w:p>
    <w:p w:rsidR="001B274D" w:rsidRDefault="001B274D">
      <w:pPr>
        <w:widowControl/>
      </w:pPr>
    </w:p>
    <w:p w:rsidRPr="00DA00CE" w:rsidR="00913A59" w:rsidP="007548E4" w:rsidRDefault="004E1AC7">
      <w:r>
        <w:t>The process Initiator, usually a group secretary, will input into NAIS t</w:t>
      </w:r>
      <w:r w:rsidR="00E064AF">
        <w:t xml:space="preserve">he information </w:t>
      </w:r>
      <w:r w:rsidR="00011297">
        <w:t xml:space="preserve">collected through the data collection </w:t>
      </w:r>
      <w:r w:rsidR="000111DF">
        <w:t>instrument</w:t>
      </w:r>
      <w:r w:rsidR="00E064AF">
        <w:t>. The NA</w:t>
      </w:r>
      <w:r w:rsidR="0079665A">
        <w:t>IS</w:t>
      </w:r>
      <w:r w:rsidR="00E064AF">
        <w:t xml:space="preserve"> </w:t>
      </w:r>
      <w:r w:rsidR="00565BE6">
        <w:t>information</w:t>
      </w:r>
      <w:r w:rsidR="00E064AF">
        <w:t xml:space="preserve"> </w:t>
      </w:r>
      <w:r>
        <w:t>will</w:t>
      </w:r>
      <w:r w:rsidR="00E064AF">
        <w:t xml:space="preserve"> </w:t>
      </w:r>
      <w:r>
        <w:t xml:space="preserve">be </w:t>
      </w:r>
      <w:r w:rsidR="00E064AF">
        <w:t xml:space="preserve">routed within the </w:t>
      </w:r>
      <w:r w:rsidR="001B274D">
        <w:t>Operating Units (OU)</w:t>
      </w:r>
      <w:r w:rsidR="00E064AF">
        <w:t xml:space="preserve"> for approval.</w:t>
      </w:r>
      <w:r w:rsidR="001B274D">
        <w:t xml:space="preserve"> </w:t>
      </w:r>
      <w:r w:rsidR="00E064AF">
        <w:t xml:space="preserve">The NAIS process provides OU management with </w:t>
      </w:r>
      <w:r w:rsidR="00E064AF">
        <w:lastRenderedPageBreak/>
        <w:t xml:space="preserve">information about who will be working in their OU and their purpose </w:t>
      </w:r>
      <w:r w:rsidR="003A4560">
        <w:t xml:space="preserve">for </w:t>
      </w:r>
      <w:r w:rsidR="00E064AF">
        <w:t xml:space="preserve">being at NIST. </w:t>
      </w:r>
      <w:r w:rsidR="00BE7C0C">
        <w:t xml:space="preserve">No NA </w:t>
      </w:r>
      <w:r>
        <w:t xml:space="preserve">will be </w:t>
      </w:r>
      <w:r w:rsidR="00BE7C0C">
        <w:t xml:space="preserve">allowed access to NIST facilities and/or resources without approval in NAIS. </w:t>
      </w:r>
      <w:r w:rsidR="00E064AF">
        <w:t>G</w:t>
      </w:r>
      <w:r w:rsidR="001B274D">
        <w:t xml:space="preserve">uest researcher </w:t>
      </w:r>
      <w:r w:rsidR="00565BE6">
        <w:t>information</w:t>
      </w:r>
      <w:r w:rsidR="00E064AF">
        <w:t xml:space="preserve"> </w:t>
      </w:r>
      <w:r>
        <w:t xml:space="preserve">will be </w:t>
      </w:r>
      <w:r w:rsidR="001B274D">
        <w:t xml:space="preserve">routed through the Administrative Officer, </w:t>
      </w:r>
      <w:r w:rsidR="00A1218F">
        <w:t xml:space="preserve">Host, </w:t>
      </w:r>
      <w:r w:rsidR="001B274D">
        <w:t>Division Chief, OU Director</w:t>
      </w:r>
      <w:r w:rsidR="00A1218F">
        <w:t>, Foreign National Approver, and Senior Administrative Official as appropriate</w:t>
      </w:r>
      <w:r w:rsidR="001B274D">
        <w:t xml:space="preserve">. </w:t>
      </w:r>
      <w:r w:rsidR="00050728">
        <w:t xml:space="preserve"> </w:t>
      </w:r>
      <w:r w:rsidR="00565BE6">
        <w:t>Information on o</w:t>
      </w:r>
      <w:r w:rsidR="001B274D">
        <w:t xml:space="preserve">ther NA types </w:t>
      </w:r>
      <w:r>
        <w:t xml:space="preserve">will be </w:t>
      </w:r>
      <w:r w:rsidR="001B274D">
        <w:t xml:space="preserve">routed through the Administrative Officer and OU Director. After OU approval, </w:t>
      </w:r>
      <w:r w:rsidR="00565BE6">
        <w:t xml:space="preserve">the information for </w:t>
      </w:r>
      <w:r w:rsidR="001B274D">
        <w:t>all domestic ass</w:t>
      </w:r>
      <w:r w:rsidR="00E4680A">
        <w:t>ociates</w:t>
      </w:r>
      <w:r w:rsidR="001B274D">
        <w:t xml:space="preserve"> </w:t>
      </w:r>
      <w:r>
        <w:t xml:space="preserve">will be </w:t>
      </w:r>
      <w:r w:rsidR="001B274D">
        <w:t xml:space="preserve">routed to </w:t>
      </w:r>
      <w:r w:rsidR="002012DD">
        <w:t>TPO</w:t>
      </w:r>
      <w:r w:rsidR="00E4680A">
        <w:t>, manager of domestic NAs</w:t>
      </w:r>
      <w:r w:rsidR="00011297">
        <w:t xml:space="preserve">. </w:t>
      </w:r>
      <w:r w:rsidR="00565BE6">
        <w:t>The information for a</w:t>
      </w:r>
      <w:r w:rsidR="001B274D">
        <w:t xml:space="preserve">ll foreign associates </w:t>
      </w:r>
      <w:r>
        <w:t xml:space="preserve">will be </w:t>
      </w:r>
      <w:r w:rsidR="001B274D">
        <w:t xml:space="preserve">routed to the </w:t>
      </w:r>
      <w:r w:rsidR="002012DD">
        <w:t>IAAO</w:t>
      </w:r>
      <w:r w:rsidR="00E4680A">
        <w:t>, manager of all foreign NAs</w:t>
      </w:r>
      <w:r w:rsidR="00871605">
        <w:t xml:space="preserve"> and the Security Review Committee</w:t>
      </w:r>
      <w:r w:rsidR="001B274D">
        <w:t xml:space="preserve">. </w:t>
      </w:r>
      <w:r w:rsidR="00565BE6">
        <w:t>The information for</w:t>
      </w:r>
      <w:r w:rsidR="001B274D">
        <w:t xml:space="preserve"> foreign associates that receive subsistence </w:t>
      </w:r>
      <w:r>
        <w:t xml:space="preserve">will be </w:t>
      </w:r>
      <w:r w:rsidR="001B274D">
        <w:t>routed to the Finance group.</w:t>
      </w:r>
      <w:r w:rsidR="00913A59">
        <w:t xml:space="preserve">  The opt-out </w:t>
      </w:r>
      <w:r w:rsidR="00CB18AA">
        <w:t xml:space="preserve">collection </w:t>
      </w:r>
      <w:r w:rsidR="000111DF">
        <w:t>instrument</w:t>
      </w:r>
      <w:r w:rsidR="00A110F8">
        <w:t xml:space="preserve"> (titled:  General Information for N</w:t>
      </w:r>
      <w:r w:rsidR="002D3425">
        <w:t>IST</w:t>
      </w:r>
      <w:r w:rsidR="00A110F8">
        <w:t xml:space="preserve"> Associates)</w:t>
      </w:r>
      <w:r w:rsidR="00CB18AA">
        <w:t xml:space="preserve"> </w:t>
      </w:r>
      <w:r w:rsidR="00913A59">
        <w:t xml:space="preserve">will be used </w:t>
      </w:r>
      <w:r w:rsidR="000F1C19">
        <w:t>by</w:t>
      </w:r>
      <w:r w:rsidR="000F1C19">
        <w:rPr>
          <w:color w:val="1F497D"/>
        </w:rPr>
        <w:t xml:space="preserve"> </w:t>
      </w:r>
      <w:r w:rsidRPr="009835AB" w:rsidR="000F1C19">
        <w:t>the NIST</w:t>
      </w:r>
      <w:r w:rsidRPr="007548E4" w:rsidR="000F1C19">
        <w:t xml:space="preserve"> employee or office hosting the </w:t>
      </w:r>
      <w:r w:rsidR="007548E4">
        <w:t>NA</w:t>
      </w:r>
      <w:r w:rsidRPr="007548E4" w:rsidR="000F1C19">
        <w:t xml:space="preserve"> if it is determined</w:t>
      </w:r>
      <w:r w:rsidR="00457B7D">
        <w:t>,</w:t>
      </w:r>
      <w:r w:rsidRPr="007548E4" w:rsidR="000F1C19">
        <w:t xml:space="preserve"> before the form </w:t>
      </w:r>
      <w:r w:rsidRPr="007548E4" w:rsidR="007548E4">
        <w:t xml:space="preserve">is provided to </w:t>
      </w:r>
      <w:r w:rsidRPr="007548E4" w:rsidR="000F1C19">
        <w:t>the associate</w:t>
      </w:r>
      <w:r w:rsidR="00457B7D">
        <w:t>,</w:t>
      </w:r>
      <w:r w:rsidRPr="007548E4" w:rsidR="007548E4">
        <w:t xml:space="preserve"> </w:t>
      </w:r>
      <w:r w:rsidRPr="007548E4" w:rsidR="000F1C19">
        <w:t>that any investigation or additional processing is not necessary.</w:t>
      </w:r>
      <w:r w:rsidR="007548E4">
        <w:t xml:space="preserve">  These</w:t>
      </w:r>
      <w:r w:rsidR="00913A59">
        <w:t xml:space="preserve"> NAs will not receive a badge</w:t>
      </w:r>
      <w:r w:rsidR="007548E4">
        <w:t xml:space="preserve">, </w:t>
      </w:r>
      <w:r w:rsidR="00913A59">
        <w:t xml:space="preserve">not have access to NIST </w:t>
      </w:r>
      <w:r w:rsidR="007548E4">
        <w:t>information technology r</w:t>
      </w:r>
      <w:r w:rsidR="00913A59">
        <w:t>esources</w:t>
      </w:r>
      <w:r w:rsidR="007548E4">
        <w:t>,</w:t>
      </w:r>
      <w:r w:rsidR="00913A59">
        <w:t xml:space="preserve"> and will be escorted at all times while on the NIST campus</w:t>
      </w:r>
      <w:r w:rsidR="007548E4">
        <w:t>es</w:t>
      </w:r>
      <w:r w:rsidR="00913A59">
        <w:t>.</w:t>
      </w:r>
    </w:p>
    <w:p w:rsidR="001B274D" w:rsidRDefault="001B274D">
      <w:pPr>
        <w:widowControl/>
      </w:pPr>
    </w:p>
    <w:p w:rsidR="0031748C" w:rsidRDefault="008C7BB3">
      <w:pPr>
        <w:widowControl/>
      </w:pPr>
      <w:r>
        <w:t xml:space="preserve">After the OU approval process is complete, </w:t>
      </w:r>
      <w:r w:rsidR="002012DD">
        <w:t xml:space="preserve">the </w:t>
      </w:r>
      <w:r>
        <w:t>DOC/</w:t>
      </w:r>
      <w:r w:rsidR="002012DD">
        <w:t>NIST</w:t>
      </w:r>
      <w:r w:rsidRPr="00DA00CE" w:rsidR="00D41598">
        <w:t xml:space="preserve"> </w:t>
      </w:r>
      <w:r w:rsidR="002012DD">
        <w:t>OSY</w:t>
      </w:r>
      <w:r w:rsidRPr="00DA00CE" w:rsidR="00D41598">
        <w:t xml:space="preserve"> </w:t>
      </w:r>
      <w:r w:rsidR="00CC4604">
        <w:t xml:space="preserve">will </w:t>
      </w:r>
      <w:r w:rsidRPr="00DA00CE" w:rsidR="00D41598">
        <w:t xml:space="preserve">receive </w:t>
      </w:r>
      <w:r w:rsidR="00457B7D">
        <w:t xml:space="preserve">the </w:t>
      </w:r>
      <w:r w:rsidRPr="00DA00CE" w:rsidR="00D41598">
        <w:t xml:space="preserve">security forms through the NAIS process to allow preliminary access for NAs to the NIST campuses or resources.  The data collected </w:t>
      </w:r>
      <w:r w:rsidR="00CC4604">
        <w:t>will</w:t>
      </w:r>
      <w:r w:rsidRPr="00DA00CE" w:rsidR="00D41598">
        <w:t xml:space="preserve"> also</w:t>
      </w:r>
      <w:r w:rsidR="00CC4604">
        <w:t xml:space="preserve"> be</w:t>
      </w:r>
      <w:r w:rsidRPr="00DA00CE" w:rsidR="00D41598">
        <w:t xml:space="preserve"> the basis for further security investigations as necessary</w:t>
      </w:r>
      <w:r w:rsidR="00B63611">
        <w:t>, including attempts to locate previous background inve</w:t>
      </w:r>
      <w:r w:rsidR="00BD04B8">
        <w:t>stigations, regis</w:t>
      </w:r>
      <w:r w:rsidR="00B63611">
        <w:t xml:space="preserve">tration into </w:t>
      </w:r>
      <w:r w:rsidR="00BD04B8">
        <w:t>the DO</w:t>
      </w:r>
      <w:r w:rsidR="00B63611">
        <w:t>C</w:t>
      </w:r>
      <w:r w:rsidR="00BD04B8">
        <w:t xml:space="preserve"> Management Application for Security (MAPS), and invitation to the NA into Electronic Questionnaires for Investigations Processing (e-QIP).</w:t>
      </w:r>
    </w:p>
    <w:p w:rsidR="000D0A55" w:rsidRDefault="000D0A55">
      <w:pPr>
        <w:widowControl/>
      </w:pPr>
    </w:p>
    <w:p w:rsidR="00BD04B8" w:rsidRDefault="00A110F8">
      <w:pPr>
        <w:widowControl/>
      </w:pPr>
      <w:r>
        <w:t>NIST uses Electronic Questionnaires for Investigations Processing (e-QIP) to collect information require</w:t>
      </w:r>
      <w:r w:rsidR="00053909">
        <w:t>d</w:t>
      </w:r>
      <w:r>
        <w:t xml:space="preserve"> by Forms SF-85, SF-85P and SF-86.  e-Quip is an automated system that facilitates the processing of standard investigative forms for background processing.  This process occurs outside of the NAIS </w:t>
      </w:r>
      <w:r w:rsidR="00117333">
        <w:t>p</w:t>
      </w:r>
      <w:r>
        <w:t>rocess and NIST uses the NAIS information only to register the NA in e-QIP.  The NA is invited into e-QIP only after their process has been approved in NAIS and only when an investigati</w:t>
      </w:r>
      <w:r w:rsidR="00117333">
        <w:t>on is necessary.  Using e-QIP allows</w:t>
      </w:r>
      <w:r>
        <w:t xml:space="preserve"> NAs to transmit their personal information in a private </w:t>
      </w:r>
      <w:r w:rsidR="00117333">
        <w:t xml:space="preserve">and secure manner.  Data exclusive to the SF-85, SF-85P or the SF-86 forms is intentionally excluded from collection in NAIS since it is not required as part of the NAIS process.  </w:t>
      </w:r>
    </w:p>
    <w:p w:rsidR="00117333" w:rsidRDefault="00117333">
      <w:pPr>
        <w:widowControl/>
      </w:pPr>
    </w:p>
    <w:p w:rsidR="00117333" w:rsidRDefault="00117333">
      <w:pPr>
        <w:widowControl/>
      </w:pPr>
      <w:r>
        <w:t>The Authorization and Release form provides the authority for the collection, purpose of the collection, routine uses and consequences of not providing information as required by 5 U.S.C. 5521(e)(3).</w:t>
      </w:r>
    </w:p>
    <w:p w:rsidR="00117333" w:rsidRDefault="00117333">
      <w:pPr>
        <w:widowControl/>
      </w:pPr>
    </w:p>
    <w:p w:rsidR="00136E5A" w:rsidRDefault="00136E5A">
      <w:pPr>
        <w:widowControl/>
        <w:rPr>
          <w:b/>
          <w:bCs/>
        </w:rPr>
      </w:pPr>
      <w:r>
        <w:rPr>
          <w:b/>
          <w:bCs/>
        </w:rPr>
        <w:t xml:space="preserve">2.  </w:t>
      </w:r>
      <w:r>
        <w:rPr>
          <w:b/>
          <w:bCs/>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Pr>
          <w:b/>
          <w:bCs/>
        </w:rPr>
        <w:t xml:space="preserve">. </w:t>
      </w:r>
    </w:p>
    <w:p w:rsidR="00566BA3" w:rsidRDefault="00566BA3">
      <w:pPr>
        <w:widowControl/>
        <w:rPr>
          <w:b/>
          <w:bCs/>
        </w:rPr>
      </w:pPr>
    </w:p>
    <w:p w:rsidRPr="00DA00CE" w:rsidR="00566BA3" w:rsidRDefault="003A1AC5">
      <w:pPr>
        <w:widowControl/>
      </w:pPr>
      <w:r w:rsidRPr="00DA00CE">
        <w:rPr>
          <w:bCs/>
        </w:rPr>
        <w:t xml:space="preserve">Information </w:t>
      </w:r>
      <w:r w:rsidR="00CC4604">
        <w:rPr>
          <w:bCs/>
        </w:rPr>
        <w:t>will be</w:t>
      </w:r>
      <w:r w:rsidRPr="00DA00CE">
        <w:rPr>
          <w:bCs/>
        </w:rPr>
        <w:t xml:space="preserve"> collected </w:t>
      </w:r>
      <w:r w:rsidR="00053909">
        <w:rPr>
          <w:bCs/>
        </w:rPr>
        <w:t>by</w:t>
      </w:r>
      <w:r w:rsidRPr="00DA00CE" w:rsidR="00053909">
        <w:rPr>
          <w:bCs/>
        </w:rPr>
        <w:t xml:space="preserve"> </w:t>
      </w:r>
      <w:r w:rsidRPr="00DA00CE">
        <w:rPr>
          <w:bCs/>
        </w:rPr>
        <w:t xml:space="preserve">the NIST Operating Units </w:t>
      </w:r>
      <w:r w:rsidR="00117333">
        <w:rPr>
          <w:bCs/>
        </w:rPr>
        <w:t xml:space="preserve">(OUs) </w:t>
      </w:r>
      <w:r w:rsidRPr="00DA00CE">
        <w:rPr>
          <w:bCs/>
        </w:rPr>
        <w:t>for each</w:t>
      </w:r>
      <w:r w:rsidR="001F0B90">
        <w:rPr>
          <w:bCs/>
        </w:rPr>
        <w:t xml:space="preserve"> associate.</w:t>
      </w:r>
      <w:r w:rsidRPr="00DA00CE">
        <w:rPr>
          <w:bCs/>
        </w:rPr>
        <w:t xml:space="preserve"> </w:t>
      </w:r>
      <w:r w:rsidRPr="00DA00CE" w:rsidR="006D594D">
        <w:rPr>
          <w:bCs/>
        </w:rPr>
        <w:t>T</w:t>
      </w:r>
      <w:r w:rsidRPr="00DA00CE" w:rsidR="00566BA3">
        <w:rPr>
          <w:bCs/>
        </w:rPr>
        <w:t xml:space="preserve">he information collected </w:t>
      </w:r>
      <w:r w:rsidR="00CC4604">
        <w:rPr>
          <w:bCs/>
        </w:rPr>
        <w:t>will be</w:t>
      </w:r>
      <w:r w:rsidRPr="00DA00CE" w:rsidR="00566BA3">
        <w:rPr>
          <w:bCs/>
        </w:rPr>
        <w:t xml:space="preserve"> used for </w:t>
      </w:r>
      <w:r w:rsidR="00142E96">
        <w:rPr>
          <w:bCs/>
        </w:rPr>
        <w:t xml:space="preserve">NA agreements and </w:t>
      </w:r>
      <w:r w:rsidRPr="00DA00CE" w:rsidR="00566BA3">
        <w:rPr>
          <w:bCs/>
        </w:rPr>
        <w:t>security/background investigations.</w:t>
      </w:r>
      <w:r w:rsidR="00DA00CE">
        <w:rPr>
          <w:bCs/>
        </w:rPr>
        <w:t xml:space="preserve">  </w:t>
      </w:r>
      <w:r w:rsidRPr="00DA00CE" w:rsidR="00566BA3">
        <w:rPr>
          <w:bCs/>
        </w:rPr>
        <w:t>Only general demographic information will be used publically</w:t>
      </w:r>
      <w:r w:rsidR="00891442">
        <w:rPr>
          <w:bCs/>
        </w:rPr>
        <w:t>— for example, a speech at the University of Maryland may contain the number of NAs currently at NIST</w:t>
      </w:r>
      <w:r w:rsidR="00E33E64">
        <w:rPr>
          <w:bCs/>
        </w:rPr>
        <w:t xml:space="preserve"> from the University</w:t>
      </w:r>
      <w:r w:rsidR="00891442">
        <w:rPr>
          <w:bCs/>
        </w:rPr>
        <w:t>.</w:t>
      </w:r>
    </w:p>
    <w:p w:rsidRPr="00DA00CE" w:rsidR="00136E5A" w:rsidRDefault="00136E5A">
      <w:pPr>
        <w:widowControl/>
        <w:ind w:firstLine="2880"/>
      </w:pPr>
    </w:p>
    <w:p w:rsidR="00136E5A" w:rsidRDefault="00522491">
      <w:pPr>
        <w:widowControl/>
      </w:pPr>
      <w:r w:rsidRPr="00DA00CE">
        <w:t xml:space="preserve">The information will be collected, maintained, </w:t>
      </w:r>
      <w:r w:rsidR="00891442">
        <w:t xml:space="preserve">and </w:t>
      </w:r>
      <w:r w:rsidRPr="00DA00CE">
        <w:t>used in a way that is consistent with the applicable NIST Chief Information Officer (CIO) Information Quality Guidelines and Standards.</w:t>
      </w:r>
      <w:r w:rsidR="00891442">
        <w:t xml:space="preserve"> Only general demographic information will be disseminated </w:t>
      </w:r>
      <w:r w:rsidR="001602C7">
        <w:t>publicly</w:t>
      </w:r>
      <w:r w:rsidR="00891442">
        <w:t>.</w:t>
      </w:r>
    </w:p>
    <w:p w:rsidRPr="00DA00CE" w:rsidR="004F1C0B" w:rsidRDefault="004F1C0B">
      <w:pPr>
        <w:widowControl/>
      </w:pPr>
    </w:p>
    <w:p w:rsidR="00136E5A" w:rsidRDefault="00136E5A">
      <w:pPr>
        <w:widowControl/>
      </w:pPr>
      <w:r>
        <w:rPr>
          <w:b/>
          <w:bCs/>
        </w:rPr>
        <w:t xml:space="preserve">3.  </w:t>
      </w:r>
      <w:r>
        <w:rPr>
          <w:b/>
          <w:bCs/>
          <w:u w:val="single"/>
        </w:rPr>
        <w:t>Describe whether, and to what extent, the collection of information involves the use of automated, electronic, mechanical, or other technological techniques or other forms of information technology</w:t>
      </w:r>
      <w:r>
        <w:rPr>
          <w:b/>
          <w:bCs/>
        </w:rPr>
        <w:t>.</w:t>
      </w:r>
    </w:p>
    <w:p w:rsidR="00136E5A" w:rsidRDefault="00136E5A">
      <w:pPr>
        <w:widowControl/>
      </w:pPr>
    </w:p>
    <w:p w:rsidR="000D0A55" w:rsidRDefault="00B0583F">
      <w:pPr>
        <w:widowControl/>
      </w:pPr>
      <w:r>
        <w:t>The collection instrument</w:t>
      </w:r>
      <w:r w:rsidR="002F51C2">
        <w:t>s</w:t>
      </w:r>
      <w:r>
        <w:t xml:space="preserve"> </w:t>
      </w:r>
      <w:r w:rsidR="002F51C2">
        <w:t>are</w:t>
      </w:r>
      <w:r>
        <w:t xml:space="preserve"> available as a fillable printable questionnaire </w:t>
      </w:r>
      <w:r w:rsidR="001F0B90">
        <w:t>on NIST’s internal website</w:t>
      </w:r>
      <w:r w:rsidR="001B53AB">
        <w:t xml:space="preserve"> (</w:t>
      </w:r>
      <w:r w:rsidRPr="001B53AB" w:rsidR="001B53AB">
        <w:t>https://inet.nist.gov/tpo/services/nais</w:t>
      </w:r>
      <w:r w:rsidR="001B53AB">
        <w:t>)</w:t>
      </w:r>
      <w:r w:rsidR="001F0B90">
        <w:t xml:space="preserve">. </w:t>
      </w:r>
      <w:r w:rsidR="005066E2">
        <w:t xml:space="preserve"> </w:t>
      </w:r>
      <w:r w:rsidR="00E33E64">
        <w:t xml:space="preserve">The </w:t>
      </w:r>
      <w:r w:rsidR="001F0B90">
        <w:t>NAIS process Initiator</w:t>
      </w:r>
      <w:r w:rsidR="00E33E64">
        <w:t xml:space="preserve"> or </w:t>
      </w:r>
      <w:r w:rsidR="00C94E9C">
        <w:t>the NIST employee</w:t>
      </w:r>
      <w:r w:rsidR="00E33E64">
        <w:t xml:space="preserve"> hosting the associate </w:t>
      </w:r>
      <w:r w:rsidR="00D90B0D">
        <w:t xml:space="preserve">will </w:t>
      </w:r>
      <w:r w:rsidR="001F0B90">
        <w:t>provide the applicable form to the NA</w:t>
      </w:r>
      <w:r w:rsidR="005066E2">
        <w:t xml:space="preserve">.  </w:t>
      </w:r>
      <w:r w:rsidR="001F0B90">
        <w:t xml:space="preserve">The NA </w:t>
      </w:r>
      <w:r w:rsidR="00D90B0D">
        <w:t xml:space="preserve">will </w:t>
      </w:r>
      <w:r w:rsidR="001F0B90">
        <w:t xml:space="preserve">complete the form and </w:t>
      </w:r>
      <w:r>
        <w:t>submit</w:t>
      </w:r>
      <w:r w:rsidR="001F0B90">
        <w:t xml:space="preserve"> it</w:t>
      </w:r>
      <w:r>
        <w:t xml:space="preserve"> via fax or in hard copy format.  </w:t>
      </w:r>
      <w:r w:rsidR="001F0B90">
        <w:t xml:space="preserve">The </w:t>
      </w:r>
      <w:r w:rsidR="00142E96">
        <w:t xml:space="preserve">NAIS </w:t>
      </w:r>
      <w:r w:rsidR="001F0B90">
        <w:t>process Initiator</w:t>
      </w:r>
      <w:r>
        <w:t xml:space="preserve"> </w:t>
      </w:r>
      <w:r w:rsidR="00CC4604">
        <w:t xml:space="preserve">will </w:t>
      </w:r>
      <w:r>
        <w:t xml:space="preserve">then enter the information into </w:t>
      </w:r>
      <w:r w:rsidR="005066E2">
        <w:t>the</w:t>
      </w:r>
      <w:r>
        <w:t xml:space="preserve"> system for use in generation of the necessary security forms and agreements.</w:t>
      </w:r>
      <w:r w:rsidR="00700BBC">
        <w:t xml:space="preserve"> A planned enhancement is to provide the collection instrument as a fillable, public-facing interface that will allow for importation of the data into NAIS thus eliminating data entry by NIST staff.</w:t>
      </w:r>
    </w:p>
    <w:p w:rsidR="00117333" w:rsidRDefault="00117333">
      <w:pPr>
        <w:widowControl/>
      </w:pPr>
    </w:p>
    <w:p w:rsidR="00136E5A" w:rsidRDefault="00136E5A">
      <w:pPr>
        <w:widowControl/>
      </w:pPr>
      <w:r>
        <w:rPr>
          <w:b/>
          <w:bCs/>
        </w:rPr>
        <w:t xml:space="preserve">4.  </w:t>
      </w:r>
      <w:r>
        <w:rPr>
          <w:b/>
          <w:bCs/>
          <w:u w:val="single"/>
        </w:rPr>
        <w:t>Describe efforts to identify duplication</w:t>
      </w:r>
      <w:r>
        <w:rPr>
          <w:b/>
          <w:bCs/>
        </w:rPr>
        <w:t>.</w:t>
      </w:r>
    </w:p>
    <w:p w:rsidR="00136E5A" w:rsidRDefault="00136E5A">
      <w:pPr>
        <w:widowControl/>
      </w:pPr>
    </w:p>
    <w:p w:rsidR="0023206F" w:rsidP="0023206F" w:rsidRDefault="00043F75">
      <w:r>
        <w:t xml:space="preserve">The collected information is specific to </w:t>
      </w:r>
      <w:r w:rsidR="00BE7C0C">
        <w:t>each</w:t>
      </w:r>
      <w:r>
        <w:t xml:space="preserve"> NA and is not available elsewhere.  </w:t>
      </w:r>
      <w:r w:rsidR="0023206F">
        <w:t>The NAIS information collection process is designed to reduce and prevent duplication.  Respondents will comp</w:t>
      </w:r>
      <w:r w:rsidR="00E33E64">
        <w:t xml:space="preserve">lete the information collection </w:t>
      </w:r>
      <w:r w:rsidR="000111DF">
        <w:t>instrument</w:t>
      </w:r>
      <w:r w:rsidR="00E33E64">
        <w:t xml:space="preserve"> and </w:t>
      </w:r>
      <w:r w:rsidR="0023206F">
        <w:t>their information wil</w:t>
      </w:r>
      <w:r w:rsidR="00B70EF8">
        <w:t>l then be in</w:t>
      </w:r>
      <w:r w:rsidR="0023206F">
        <w:t xml:space="preserve">put into the NAIS database.  The NAIS database will use the information to populate </w:t>
      </w:r>
      <w:r w:rsidR="00E33E64">
        <w:t>all required</w:t>
      </w:r>
      <w:r w:rsidR="0023206F">
        <w:t xml:space="preserve"> forms without the need for the respondent </w:t>
      </w:r>
      <w:r w:rsidRPr="00204BED" w:rsidR="0023206F">
        <w:rPr>
          <w:color w:val="000000"/>
        </w:rPr>
        <w:t>to</w:t>
      </w:r>
      <w:r w:rsidR="0023206F">
        <w:rPr>
          <w:color w:val="FF0000"/>
        </w:rPr>
        <w:t xml:space="preserve"> </w:t>
      </w:r>
      <w:r w:rsidR="0023206F">
        <w:t xml:space="preserve">complete additional </w:t>
      </w:r>
      <w:r w:rsidR="00E33E64">
        <w:t xml:space="preserve">forms, </w:t>
      </w:r>
      <w:r w:rsidR="0023206F">
        <w:t>information collections</w:t>
      </w:r>
      <w:r w:rsidR="00E33E64">
        <w:t xml:space="preserve">, </w:t>
      </w:r>
      <w:r w:rsidR="003A77D3">
        <w:t>or respond to further requests for the same information</w:t>
      </w:r>
      <w:r w:rsidR="0023206F">
        <w:t>.</w:t>
      </w:r>
      <w:r>
        <w:t xml:space="preserve">  </w:t>
      </w:r>
    </w:p>
    <w:p w:rsidR="00B70EF8" w:rsidP="0023206F" w:rsidRDefault="00B70EF8"/>
    <w:p w:rsidR="00FF61C2" w:rsidP="0023206F" w:rsidRDefault="00B70EF8">
      <w:r>
        <w:t xml:space="preserve">The following forms </w:t>
      </w:r>
      <w:r w:rsidR="00D90B0D">
        <w:t xml:space="preserve">will be </w:t>
      </w:r>
      <w:r>
        <w:t>populated with the data collected and generated by NAIS</w:t>
      </w:r>
      <w:r w:rsidR="0021276A">
        <w:t>. No NA may come to NIST with</w:t>
      </w:r>
      <w:r w:rsidR="00D90B0D">
        <w:t>out</w:t>
      </w:r>
      <w:r w:rsidR="0021276A">
        <w:t xml:space="preserve"> approval of documentation in NAIS. </w:t>
      </w:r>
      <w:r w:rsidR="000B3169">
        <w:t xml:space="preserve"> </w:t>
      </w:r>
      <w:r w:rsidR="003A77D3">
        <w:t xml:space="preserve">The </w:t>
      </w:r>
      <w:r w:rsidR="00837FE8">
        <w:t xml:space="preserve">Domestic Guest Researcher Agreement, </w:t>
      </w:r>
      <w:r>
        <w:t>NIST 1296</w:t>
      </w:r>
      <w:r w:rsidR="003A77D3">
        <w:t>,</w:t>
      </w:r>
      <w:r>
        <w:t xml:space="preserve"> </w:t>
      </w:r>
      <w:r w:rsidR="003A77D3">
        <w:t>is u</w:t>
      </w:r>
      <w:r w:rsidR="0021276A">
        <w:t xml:space="preserve">sed </w:t>
      </w:r>
      <w:r w:rsidR="00E33E64">
        <w:t xml:space="preserve">by NIST TPO </w:t>
      </w:r>
      <w:r w:rsidR="0021276A">
        <w:t>for determination of intellectual property issue</w:t>
      </w:r>
      <w:r w:rsidR="003A77D3">
        <w:t xml:space="preserve">s should any invention be made </w:t>
      </w:r>
      <w:r w:rsidR="0021276A">
        <w:t>during time at NIST.</w:t>
      </w:r>
      <w:r w:rsidR="003A77D3">
        <w:t xml:space="preserve"> It includes the statement</w:t>
      </w:r>
      <w:r w:rsidR="000111DF">
        <w:t xml:space="preserve"> </w:t>
      </w:r>
      <w:r w:rsidRPr="00753BBC" w:rsidR="0021276A">
        <w:t>“</w:t>
      </w:r>
      <w:r w:rsidRPr="000111DF" w:rsidR="0021276A">
        <w:rPr>
          <w:bCs/>
        </w:rPr>
        <w:t>T</w:t>
      </w:r>
      <w:r w:rsidR="000111DF">
        <w:rPr>
          <w:bCs/>
        </w:rPr>
        <w:t>he</w:t>
      </w:r>
      <w:r w:rsidRPr="000111DF" w:rsidR="0021276A">
        <w:rPr>
          <w:bCs/>
        </w:rPr>
        <w:t xml:space="preserve"> P</w:t>
      </w:r>
      <w:r w:rsidR="000111DF">
        <w:rPr>
          <w:bCs/>
        </w:rPr>
        <w:t xml:space="preserve">rivacy </w:t>
      </w:r>
      <w:r w:rsidRPr="000111DF" w:rsidR="0021276A">
        <w:rPr>
          <w:bCs/>
        </w:rPr>
        <w:t>A</w:t>
      </w:r>
      <w:r w:rsidR="000111DF">
        <w:rPr>
          <w:bCs/>
        </w:rPr>
        <w:t>ct</w:t>
      </w:r>
      <w:r w:rsidRPr="000111DF" w:rsidR="0021276A">
        <w:rPr>
          <w:bCs/>
        </w:rPr>
        <w:t xml:space="preserve"> </w:t>
      </w:r>
      <w:r w:rsidR="000111DF">
        <w:rPr>
          <w:bCs/>
        </w:rPr>
        <w:t>of</w:t>
      </w:r>
      <w:r w:rsidRPr="000111DF" w:rsidR="0021276A">
        <w:rPr>
          <w:bCs/>
        </w:rPr>
        <w:t xml:space="preserve"> 1974 (5 U.S.C. 552A) </w:t>
      </w:r>
      <w:r w:rsidR="000111DF">
        <w:rPr>
          <w:bCs/>
        </w:rPr>
        <w:t>requires that you be given certain information in connection with the request for information on this form. The authority for the collection of this data is 5 U.S.C. 301.”</w:t>
      </w:r>
      <w:r w:rsidR="00837FE8">
        <w:t xml:space="preserve"> The </w:t>
      </w:r>
      <w:r w:rsidR="000111DF">
        <w:t xml:space="preserve">Foreign Guest Researcher Agreement, </w:t>
      </w:r>
      <w:r>
        <w:t>NIST 1291</w:t>
      </w:r>
      <w:r w:rsidR="003A77D3">
        <w:t>,</w:t>
      </w:r>
      <w:r>
        <w:t xml:space="preserve"> </w:t>
      </w:r>
      <w:r w:rsidR="003A77D3">
        <w:t>is u</w:t>
      </w:r>
      <w:r w:rsidR="0021276A">
        <w:t xml:space="preserve">sed </w:t>
      </w:r>
      <w:r w:rsidR="00E33E64">
        <w:t xml:space="preserve">by NIST IAAO </w:t>
      </w:r>
      <w:r w:rsidR="0021276A">
        <w:t>for determination of intellectual property issue</w:t>
      </w:r>
      <w:r w:rsidR="003A77D3">
        <w:t xml:space="preserve">s should any invention be made </w:t>
      </w:r>
      <w:r w:rsidR="0021276A">
        <w:t>during time at NIST.</w:t>
      </w:r>
    </w:p>
    <w:p w:rsidR="00FF61C2" w:rsidP="0023206F" w:rsidRDefault="00FF61C2"/>
    <w:p w:rsidR="007F7DD7" w:rsidP="00B70EF8" w:rsidRDefault="007010FD">
      <w:r>
        <w:t>NAIS will populate and generate the</w:t>
      </w:r>
      <w:r w:rsidR="007F7DD7">
        <w:t xml:space="preserve"> following forms </w:t>
      </w:r>
      <w:r w:rsidR="003A77D3">
        <w:t xml:space="preserve">for security purposes. </w:t>
      </w:r>
      <w:r w:rsidR="000111DF">
        <w:t xml:space="preserve">Request for Security Assurance, </w:t>
      </w:r>
      <w:r w:rsidR="00837FE8">
        <w:t>NIST</w:t>
      </w:r>
      <w:r w:rsidR="003A77D3">
        <w:t>-</w:t>
      </w:r>
      <w:r w:rsidR="007F7DD7">
        <w:t>1085</w:t>
      </w:r>
      <w:r w:rsidR="003A77D3">
        <w:t xml:space="preserve">, is required </w:t>
      </w:r>
      <w:r w:rsidR="007F7DD7">
        <w:t>by DOC</w:t>
      </w:r>
      <w:r w:rsidR="008A50B8">
        <w:t>/NIST</w:t>
      </w:r>
      <w:r w:rsidR="00E33E64">
        <w:t xml:space="preserve"> OSY</w:t>
      </w:r>
      <w:r w:rsidR="007F7DD7">
        <w:t xml:space="preserve"> for background investigation as mandated by Executive Order 10450</w:t>
      </w:r>
      <w:r w:rsidR="003A77D3">
        <w:t xml:space="preserve">. </w:t>
      </w:r>
      <w:r w:rsidR="00837FE8">
        <w:t>Report of Foreign Visitor, Guest, and Conference Attendee, NIST-1260, is required by DOC</w:t>
      </w:r>
      <w:r w:rsidR="00E33E64">
        <w:t>/NIST OSY</w:t>
      </w:r>
      <w:r w:rsidR="00837FE8">
        <w:t>. Request for Federal Credential or NIST Site Badge, NIST-351, is required by DOC</w:t>
      </w:r>
      <w:r w:rsidR="00E33E64">
        <w:t>/NIST OSY</w:t>
      </w:r>
      <w:r w:rsidR="00837FE8">
        <w:t xml:space="preserve"> </w:t>
      </w:r>
      <w:r w:rsidR="00680310">
        <w:t xml:space="preserve">and NIST’s Emergency Services Division </w:t>
      </w:r>
      <w:r w:rsidR="00837FE8">
        <w:t xml:space="preserve">to request </w:t>
      </w:r>
      <w:r w:rsidR="00680310">
        <w:t xml:space="preserve">and prepare </w:t>
      </w:r>
      <w:r w:rsidR="00837FE8">
        <w:t xml:space="preserve">a Personal Identity Verification (PIV) and/or site badge.  Fair Credit Reporting Act Release is a standard federal government form. </w:t>
      </w:r>
      <w:r w:rsidR="000111DF">
        <w:t xml:space="preserve">Special Agreement Checks, </w:t>
      </w:r>
      <w:r w:rsidR="007F7DD7">
        <w:t>OFI 86C</w:t>
      </w:r>
      <w:r w:rsidR="003A77D3">
        <w:t>,</w:t>
      </w:r>
      <w:r w:rsidR="007F7DD7">
        <w:t xml:space="preserve"> </w:t>
      </w:r>
      <w:r w:rsidR="003A77D3">
        <w:t xml:space="preserve">is a security form from the </w:t>
      </w:r>
      <w:r w:rsidR="007F7DD7">
        <w:t>U</w:t>
      </w:r>
      <w:r w:rsidR="00837FE8">
        <w:t>.</w:t>
      </w:r>
      <w:r w:rsidR="007F7DD7">
        <w:t>S</w:t>
      </w:r>
      <w:r w:rsidR="00837FE8">
        <w:t>.</w:t>
      </w:r>
      <w:r w:rsidR="007F7DD7">
        <w:t xml:space="preserve"> Office of Personnel Management Investigative </w:t>
      </w:r>
      <w:r w:rsidR="007F7DD7">
        <w:lastRenderedPageBreak/>
        <w:t>Services</w:t>
      </w:r>
      <w:r w:rsidR="000111DF">
        <w:t>. Declaration for Federal E</w:t>
      </w:r>
      <w:r w:rsidR="003A77D3">
        <w:t xml:space="preserve">mployment, </w:t>
      </w:r>
      <w:r w:rsidR="007F7DD7">
        <w:t>OF 306</w:t>
      </w:r>
      <w:r w:rsidR="003A77D3">
        <w:t>,</w:t>
      </w:r>
      <w:r w:rsidR="007F7DD7">
        <w:t xml:space="preserve"> </w:t>
      </w:r>
      <w:r w:rsidR="003A77D3">
        <w:t xml:space="preserve">is approved by OMB (OMB </w:t>
      </w:r>
      <w:r w:rsidR="007F7DD7">
        <w:t>No. 3206</w:t>
      </w:r>
      <w:r w:rsidR="001B7BBD">
        <w:t xml:space="preserve"> </w:t>
      </w:r>
      <w:r w:rsidR="007F7DD7">
        <w:t>0182</w:t>
      </w:r>
      <w:r w:rsidR="003A77D3">
        <w:t>).</w:t>
      </w:r>
    </w:p>
    <w:p w:rsidR="00753BBC" w:rsidP="007F7DD7" w:rsidRDefault="00753BBC">
      <w:pPr>
        <w:ind w:left="720" w:hanging="720"/>
      </w:pPr>
    </w:p>
    <w:p w:rsidR="00AE003B" w:rsidP="00B70EF8" w:rsidRDefault="007010FD">
      <w:r>
        <w:t>The following data will be collected by these information collection instruments for uses other than the forms described above and in response to Question 1.</w:t>
      </w:r>
      <w:r w:rsidR="00B70EF8">
        <w:t xml:space="preserve"> </w:t>
      </w:r>
      <w:r w:rsidR="00A15156">
        <w:t xml:space="preserve">Mother’s maiden name </w:t>
      </w:r>
      <w:r>
        <w:t xml:space="preserve">will be </w:t>
      </w:r>
      <w:r w:rsidR="00AE003B">
        <w:t xml:space="preserve">used to verify </w:t>
      </w:r>
      <w:r w:rsidR="00E33E64">
        <w:t xml:space="preserve">a </w:t>
      </w:r>
      <w:r w:rsidR="00AE003B">
        <w:t>unique name/individual</w:t>
      </w:r>
      <w:r w:rsidR="00A15156">
        <w:t xml:space="preserve">. </w:t>
      </w:r>
      <w:r w:rsidR="005167A5">
        <w:t xml:space="preserve">Employer/home organization, address, sponsor name, sponsor address </w:t>
      </w:r>
      <w:r>
        <w:t>will be</w:t>
      </w:r>
      <w:r w:rsidR="00B70EF8">
        <w:t xml:space="preserve"> </w:t>
      </w:r>
      <w:r w:rsidR="005167A5">
        <w:t xml:space="preserve">used to determine intellectual property rights </w:t>
      </w:r>
      <w:r w:rsidR="00B70EF8">
        <w:t>but</w:t>
      </w:r>
      <w:r w:rsidR="005167A5">
        <w:t xml:space="preserve"> </w:t>
      </w:r>
      <w:r w:rsidR="00B70EF8">
        <w:t xml:space="preserve">also have </w:t>
      </w:r>
      <w:r w:rsidR="001602C7">
        <w:t>programmatic and</w:t>
      </w:r>
      <w:r w:rsidR="006743DB">
        <w:t xml:space="preserve"> statistical analysis uses </w:t>
      </w:r>
      <w:r w:rsidR="00B70EF8">
        <w:t xml:space="preserve">such as reporting on the number of NAs from a particular organization or state. Email address </w:t>
      </w:r>
      <w:r>
        <w:t xml:space="preserve">will be </w:t>
      </w:r>
      <w:r w:rsidR="00B70EF8">
        <w:t xml:space="preserve">used by DOC/NIST </w:t>
      </w:r>
      <w:r w:rsidR="00E33E64">
        <w:t>OSY</w:t>
      </w:r>
      <w:r w:rsidR="00B70EF8">
        <w:t xml:space="preserve"> to contact the NA for an invitation to e</w:t>
      </w:r>
      <w:r w:rsidR="00D7714A">
        <w:t>-</w:t>
      </w:r>
      <w:r w:rsidR="00BD04B8">
        <w:t>QIP</w:t>
      </w:r>
      <w:r w:rsidR="00B70EF8">
        <w:t xml:space="preserve">. </w:t>
      </w:r>
      <w:r w:rsidR="00AE003B">
        <w:t>Emplo</w:t>
      </w:r>
      <w:r w:rsidR="00A15156">
        <w:t xml:space="preserve">yed by another federal agency </w:t>
      </w:r>
      <w:r w:rsidR="00B70EF8">
        <w:t>and education date have</w:t>
      </w:r>
      <w:r w:rsidR="00A15156">
        <w:t xml:space="preserve"> </w:t>
      </w:r>
      <w:r w:rsidR="00AE003B">
        <w:t>programmatic</w:t>
      </w:r>
      <w:r w:rsidR="00A15156">
        <w:t xml:space="preserve"> uses such as </w:t>
      </w:r>
      <w:r w:rsidR="00797A45">
        <w:t>providing quick access to the number of NAs that are federal employees</w:t>
      </w:r>
      <w:r w:rsidR="00B70EF8">
        <w:t xml:space="preserve"> or from a specific university</w:t>
      </w:r>
      <w:r w:rsidR="00797A45">
        <w:t xml:space="preserve">. </w:t>
      </w:r>
      <w:r w:rsidR="005167A5">
        <w:t xml:space="preserve">Emergency personal contact and employer/home organization contact </w:t>
      </w:r>
      <w:r>
        <w:t xml:space="preserve">will be </w:t>
      </w:r>
      <w:r w:rsidR="005167A5">
        <w:t>used for emergency purposes only.</w:t>
      </w:r>
      <w:r w:rsidR="00B70EF8">
        <w:t xml:space="preserve"> </w:t>
      </w:r>
    </w:p>
    <w:p w:rsidR="00C20A2C" w:rsidP="00BE7C0C" w:rsidRDefault="00C20A2C">
      <w:pPr>
        <w:ind w:left="720" w:hanging="720"/>
      </w:pPr>
    </w:p>
    <w:p w:rsidRPr="00116960" w:rsidR="00CA5CF4" w:rsidP="00CA5CF4" w:rsidRDefault="00C20A2C">
      <w:pPr>
        <w:rPr>
          <w:color w:val="000000"/>
        </w:rPr>
      </w:pPr>
      <w:r>
        <w:t>Existing systems such as the USAccess, which is used for issuing identification badges, are insufficient for NIST needs.  As stated in the paragraphs above, the information needed for the forms and agreements required as part of the NA approval process and the information needed for purposes of intellectual property rights are not collected in the USAccess information collection, and that information is needed prior to the initiation of the badging process.  In addition, not all NAs are required to have an identification badge, therefore, they will never need to provide information for purposes of the USAccess.</w:t>
      </w:r>
      <w:r w:rsidR="00CA5CF4">
        <w:t xml:space="preserve">  </w:t>
      </w:r>
      <w:r w:rsidRPr="00116960" w:rsidR="00CA5CF4">
        <w:rPr>
          <w:color w:val="000000"/>
        </w:rPr>
        <w:t>NIST’s Office of Security (OSY) was an integral part of NAIS planning and implementation. OSY developed the system security requirements and performed testing on the security section. The NAIS team continues to meet with OSY on a bi-weekly basis to discuss any issues or needs.</w:t>
      </w:r>
    </w:p>
    <w:p w:rsidR="00CA5CF4" w:rsidP="00CA5CF4" w:rsidRDefault="00CA5CF4">
      <w:pPr>
        <w:rPr>
          <w:color w:val="1F497D"/>
        </w:rPr>
      </w:pPr>
    </w:p>
    <w:p w:rsidR="00984309" w:rsidP="003B10B2" w:rsidRDefault="00984309">
      <w:r>
        <w:t xml:space="preserve">Within NIST the NAIS record </w:t>
      </w:r>
      <w:r w:rsidR="007010FD">
        <w:t xml:space="preserve">will be </w:t>
      </w:r>
      <w:r>
        <w:t>used as the authoritative identity for all NAs. All Information Technology</w:t>
      </w:r>
      <w:r w:rsidR="003B10B2">
        <w:t xml:space="preserve"> and Telecommunications</w:t>
      </w:r>
      <w:r>
        <w:t xml:space="preserve"> access </w:t>
      </w:r>
      <w:r w:rsidR="007010FD">
        <w:t xml:space="preserve">will </w:t>
      </w:r>
      <w:r>
        <w:t>tie back to the NA record</w:t>
      </w:r>
      <w:r w:rsidR="003B10B2">
        <w:t xml:space="preserve">. This </w:t>
      </w:r>
      <w:r w:rsidR="007010FD">
        <w:t xml:space="preserve">will </w:t>
      </w:r>
      <w:r w:rsidR="003B10B2">
        <w:t xml:space="preserve">ensure that that access provided is commensurate with the agreement the NA is operating under and all logical (IT) </w:t>
      </w:r>
      <w:r>
        <w:t xml:space="preserve">access is terminated when the </w:t>
      </w:r>
      <w:r w:rsidR="003B10B2">
        <w:t>NIST Agreement is terminated</w:t>
      </w:r>
      <w:r>
        <w:t>.</w:t>
      </w:r>
    </w:p>
    <w:p w:rsidR="00984309" w:rsidP="003B10B2" w:rsidRDefault="00984309"/>
    <w:p w:rsidR="000D0A55" w:rsidP="003B10B2" w:rsidRDefault="00984309">
      <w:r>
        <w:t xml:space="preserve">The NAIS NA record </w:t>
      </w:r>
      <w:r w:rsidR="007010FD">
        <w:t xml:space="preserve">will be </w:t>
      </w:r>
      <w:r>
        <w:t>used to control physical access: For NAs receiving PIV badges the US Access system is audited to ensure that badges are terminated w</w:t>
      </w:r>
      <w:r w:rsidR="003B10B2">
        <w:t>ith an Agreement and for NAs receiving site access the physical security system is linked to the term, status and authorizations within the NAIS system.</w:t>
      </w:r>
    </w:p>
    <w:p w:rsidR="00050728" w:rsidP="00E70FCD" w:rsidRDefault="00050728">
      <w:pPr>
        <w:widowControl/>
        <w:rPr>
          <w:rFonts w:ascii="Calibri" w:hAnsi="Calibri"/>
        </w:rPr>
      </w:pPr>
    </w:p>
    <w:p w:rsidR="00136E5A" w:rsidRDefault="00136E5A">
      <w:pPr>
        <w:widowControl/>
      </w:pPr>
      <w:r>
        <w:rPr>
          <w:b/>
          <w:bCs/>
        </w:rPr>
        <w:t xml:space="preserve">5.  </w:t>
      </w:r>
      <w:r>
        <w:rPr>
          <w:b/>
          <w:bCs/>
          <w:u w:val="single"/>
        </w:rPr>
        <w:t>If the collection of information involves small businesses or other small entities, describe the methods used to minimize burden</w:t>
      </w:r>
      <w:r>
        <w:rPr>
          <w:b/>
          <w:bCs/>
        </w:rPr>
        <w:t>.</w:t>
      </w:r>
      <w:r>
        <w:t xml:space="preserve"> </w:t>
      </w:r>
    </w:p>
    <w:p w:rsidR="00136E5A" w:rsidRDefault="00136E5A">
      <w:pPr>
        <w:widowControl/>
      </w:pPr>
    </w:p>
    <w:p w:rsidRPr="00DA00CE" w:rsidR="00136E5A" w:rsidRDefault="00ED4265">
      <w:pPr>
        <w:widowControl/>
      </w:pPr>
      <w:r>
        <w:t>Small businesses are not involved in this information collection.</w:t>
      </w:r>
    </w:p>
    <w:p w:rsidR="00CA1FEC" w:rsidRDefault="00CA1FEC">
      <w:pPr>
        <w:widowControl/>
        <w:rPr>
          <w:b/>
          <w:bCs/>
        </w:rPr>
      </w:pPr>
    </w:p>
    <w:p w:rsidR="00136E5A" w:rsidRDefault="00136E5A">
      <w:pPr>
        <w:widowControl/>
      </w:pPr>
      <w:r>
        <w:rPr>
          <w:b/>
          <w:bCs/>
        </w:rPr>
        <w:t xml:space="preserve">6.  </w:t>
      </w:r>
      <w:r>
        <w:rPr>
          <w:b/>
          <w:bCs/>
          <w:u w:val="single"/>
        </w:rPr>
        <w:t>Describe the consequences to the Federal program or policy activities if the collection is not conducted or is conducted less frequently</w:t>
      </w:r>
      <w:r>
        <w:rPr>
          <w:b/>
          <w:bCs/>
        </w:rPr>
        <w:t>.</w:t>
      </w:r>
      <w:r>
        <w:t xml:space="preserve"> </w:t>
      </w:r>
    </w:p>
    <w:p w:rsidR="00136E5A" w:rsidRDefault="00136E5A">
      <w:pPr>
        <w:widowControl/>
      </w:pPr>
    </w:p>
    <w:p w:rsidR="00DF49DB" w:rsidRDefault="00DF49DB">
      <w:pPr>
        <w:widowControl/>
      </w:pPr>
      <w:r>
        <w:t xml:space="preserve">The information </w:t>
      </w:r>
      <w:r w:rsidR="007010FD">
        <w:t xml:space="preserve">will </w:t>
      </w:r>
      <w:r>
        <w:t xml:space="preserve">only </w:t>
      </w:r>
      <w:r w:rsidR="007010FD">
        <w:t xml:space="preserve">be </w:t>
      </w:r>
      <w:r>
        <w:t xml:space="preserve">collected when a NA is </w:t>
      </w:r>
      <w:r w:rsidR="000D0A55">
        <w:t xml:space="preserve">initially </w:t>
      </w:r>
      <w:r>
        <w:t xml:space="preserve">coming to NIST and </w:t>
      </w:r>
      <w:r w:rsidR="007010FD">
        <w:t xml:space="preserve">will be </w:t>
      </w:r>
      <w:r>
        <w:t>updated if/when their agreement is extended (typically annually).</w:t>
      </w:r>
    </w:p>
    <w:p w:rsidR="00DE1DBF" w:rsidRDefault="005C18BE">
      <w:pPr>
        <w:widowControl/>
      </w:pPr>
      <w:r>
        <w:lastRenderedPageBreak/>
        <w:t xml:space="preserve">The information collected is </w:t>
      </w:r>
      <w:r w:rsidR="00BE7C0C">
        <w:t>critical</w:t>
      </w:r>
      <w:r>
        <w:t xml:space="preserve"> to the administrative and security processing of NAs, who are essential to the successful accomplishment of NIST’s mission. </w:t>
      </w:r>
      <w:r w:rsidR="00DF49DB">
        <w:t>Du</w:t>
      </w:r>
      <w:r w:rsidR="000D0A55">
        <w:t>e to security, tax law and visa</w:t>
      </w:r>
      <w:r w:rsidR="00DF49DB">
        <w:t>/State department requirements it is not possible to process NAs without collecting the data. Modifying the process to have the NA provide the information on multiple forms for individual purposes would result in data inconsistencies</w:t>
      </w:r>
      <w:r w:rsidR="00984309">
        <w:t>, increased errors</w:t>
      </w:r>
      <w:r w:rsidR="007010FD">
        <w:t>, increased burden on the respondents to provide the same information multiple times,</w:t>
      </w:r>
      <w:r w:rsidR="00DF49DB">
        <w:t xml:space="preserve"> and significantly increase</w:t>
      </w:r>
      <w:r w:rsidR="00984309">
        <w:t>d</w:t>
      </w:r>
      <w:r w:rsidR="00DF49DB">
        <w:t xml:space="preserve"> processing burden</w:t>
      </w:r>
      <w:r w:rsidR="00984309">
        <w:t xml:space="preserve"> to NIST.  This would in turn lengthen the time required to bring NAs on board and negatively impact the NIST mission.</w:t>
      </w:r>
      <w:r w:rsidR="00DF49DB">
        <w:t xml:space="preserve"> </w:t>
      </w:r>
    </w:p>
    <w:p w:rsidR="00DE1DBF" w:rsidRDefault="00DE1DBF">
      <w:pPr>
        <w:widowControl/>
      </w:pPr>
    </w:p>
    <w:p w:rsidR="000D0A55" w:rsidRDefault="00DE1DBF">
      <w:pPr>
        <w:widowControl/>
        <w:rPr>
          <w:lang w:val="en"/>
        </w:rPr>
      </w:pPr>
      <w:r>
        <w:t xml:space="preserve">The Bayh-Dole Act of 1980 and Executive Order 12591 </w:t>
      </w:r>
      <w:r w:rsidR="00C36A6D">
        <w:rPr>
          <w:lang w:val="en"/>
        </w:rPr>
        <w:t>permit</w:t>
      </w:r>
      <w:r>
        <w:rPr>
          <w:lang w:val="en"/>
        </w:rPr>
        <w:t xml:space="preserve"> a university, business, or non-profit institution to elect to pursue ownership of an invention </w:t>
      </w:r>
      <w:r w:rsidR="00752972">
        <w:rPr>
          <w:lang w:val="en"/>
        </w:rPr>
        <w:t xml:space="preserve">created under federally funded research projects </w:t>
      </w:r>
      <w:r>
        <w:rPr>
          <w:lang w:val="en"/>
        </w:rPr>
        <w:t xml:space="preserve">in preference to the government. </w:t>
      </w:r>
      <w:r w:rsidR="00752972">
        <w:rPr>
          <w:lang w:val="en"/>
        </w:rPr>
        <w:t>Lack of k</w:t>
      </w:r>
      <w:r w:rsidR="00C36A6D">
        <w:rPr>
          <w:lang w:val="en"/>
        </w:rPr>
        <w:t xml:space="preserve">nowledge of the </w:t>
      </w:r>
      <w:r>
        <w:rPr>
          <w:lang w:val="en"/>
        </w:rPr>
        <w:t xml:space="preserve">employer/home organization of a NA </w:t>
      </w:r>
      <w:r w:rsidR="00752972">
        <w:rPr>
          <w:lang w:val="en"/>
        </w:rPr>
        <w:t>will compromise the</w:t>
      </w:r>
      <w:r w:rsidR="00C36A6D">
        <w:rPr>
          <w:lang w:val="en"/>
        </w:rPr>
        <w:t xml:space="preserve"> determination of</w:t>
      </w:r>
      <w:r>
        <w:rPr>
          <w:lang w:val="en"/>
        </w:rPr>
        <w:t xml:space="preserve"> </w:t>
      </w:r>
      <w:r w:rsidR="007010FD">
        <w:rPr>
          <w:lang w:val="en"/>
        </w:rPr>
        <w:t xml:space="preserve">intellectual property </w:t>
      </w:r>
      <w:r>
        <w:rPr>
          <w:lang w:val="en"/>
        </w:rPr>
        <w:t>rights for both the NA and the federal government.</w:t>
      </w:r>
    </w:p>
    <w:p w:rsidR="004F1C0B" w:rsidRDefault="004F1C0B">
      <w:pPr>
        <w:widowControl/>
        <w:rPr>
          <w:lang w:val="en"/>
        </w:rPr>
      </w:pPr>
    </w:p>
    <w:p w:rsidR="00325AF1" w:rsidRDefault="00325AF1">
      <w:pPr>
        <w:widowControl/>
      </w:pPr>
      <w:r>
        <w:t>If this information were not</w:t>
      </w:r>
      <w:r w:rsidRPr="00DA00CE">
        <w:t xml:space="preserve"> collect</w:t>
      </w:r>
      <w:r>
        <w:t xml:space="preserve">ed or collected less frequently, unauthorized persons </w:t>
      </w:r>
      <w:r w:rsidR="00984309">
        <w:t>could gain</w:t>
      </w:r>
      <w:r>
        <w:t xml:space="preserve"> </w:t>
      </w:r>
      <w:r w:rsidRPr="00DA00CE" w:rsidR="000E1186">
        <w:t>access to NIST</w:t>
      </w:r>
      <w:r w:rsidR="00BE7C0C">
        <w:t>’s</w:t>
      </w:r>
      <w:r w:rsidRPr="00DA00CE" w:rsidR="000E1186">
        <w:t xml:space="preserve"> </w:t>
      </w:r>
      <w:r>
        <w:t xml:space="preserve">secured </w:t>
      </w:r>
      <w:r w:rsidRPr="00DA00CE" w:rsidR="000E1186">
        <w:t>campus or resources</w:t>
      </w:r>
      <w:r w:rsidR="000B3169">
        <w:t xml:space="preserve"> and/or NIST</w:t>
      </w:r>
      <w:r w:rsidR="003F4161">
        <w:t>’s mission would be jeopardized</w:t>
      </w:r>
      <w:r w:rsidR="00DE1DBF">
        <w:t>.</w:t>
      </w:r>
    </w:p>
    <w:p w:rsidR="0031748C" w:rsidRDefault="0031748C">
      <w:pPr>
        <w:widowControl/>
        <w:rPr>
          <w:b/>
          <w:bCs/>
        </w:rPr>
      </w:pPr>
    </w:p>
    <w:p w:rsidR="00136E5A" w:rsidRDefault="00136E5A">
      <w:pPr>
        <w:widowControl/>
      </w:pPr>
      <w:r>
        <w:rPr>
          <w:b/>
          <w:bCs/>
        </w:rPr>
        <w:t xml:space="preserve">7.  </w:t>
      </w:r>
      <w:r>
        <w:rPr>
          <w:b/>
          <w:bCs/>
          <w:u w:val="single"/>
        </w:rPr>
        <w:t>Explain any special circumstances that require the collection to be conducted in a manner inconsistent with OMB guidelines</w:t>
      </w:r>
      <w:r>
        <w:rPr>
          <w:b/>
          <w:bCs/>
        </w:rPr>
        <w:t xml:space="preserve">. </w:t>
      </w:r>
    </w:p>
    <w:p w:rsidR="00136E5A" w:rsidRDefault="00136E5A">
      <w:pPr>
        <w:widowControl/>
      </w:pPr>
    </w:p>
    <w:p w:rsidR="00325AF1" w:rsidRDefault="00ED4265">
      <w:pPr>
        <w:widowControl/>
      </w:pPr>
      <w:r>
        <w:t>The collection will be conducted in a manner consistent with OMB guidelines.  Expiration date and notwithstanding statement will be included on the instruments.</w:t>
      </w:r>
    </w:p>
    <w:p w:rsidR="002F51C2" w:rsidRDefault="002F51C2">
      <w:pPr>
        <w:widowControl/>
      </w:pPr>
    </w:p>
    <w:p w:rsidR="00050728" w:rsidRDefault="00136E5A">
      <w:pPr>
        <w:widowControl/>
        <w:rPr>
          <w:b/>
          <w:bCs/>
          <w:u w:val="single"/>
        </w:rPr>
      </w:pPr>
      <w:r>
        <w:rPr>
          <w:b/>
          <w:bCs/>
        </w:rPr>
        <w:t xml:space="preserve">8.  </w:t>
      </w:r>
      <w:r>
        <w:rPr>
          <w:b/>
          <w:bCs/>
          <w:u w:val="single"/>
        </w:rPr>
        <w:t xml:space="preserve">Provide </w:t>
      </w:r>
      <w:r w:rsidR="007A7A7E">
        <w:rPr>
          <w:b/>
          <w:bCs/>
          <w:u w:val="single"/>
        </w:rPr>
        <w:t xml:space="preserve">information </w:t>
      </w:r>
      <w:r>
        <w:rPr>
          <w:b/>
          <w:bCs/>
          <w:u w:val="single"/>
        </w:rPr>
        <w:t xml:space="preserve">of the PRA Federal Register </w:t>
      </w:r>
      <w:r w:rsidR="00DC7587">
        <w:rPr>
          <w:b/>
          <w:bCs/>
          <w:u w:val="single"/>
        </w:rPr>
        <w:t>N</w:t>
      </w:r>
      <w:r>
        <w:rPr>
          <w:b/>
          <w:bCs/>
          <w:u w:val="single"/>
        </w:rPr>
        <w:t>otice that solicited public comments on the information collection prior to this submission.  Summarize the public comments received in response to that notice and describe the actions taken by the agency in response to those comments</w:t>
      </w:r>
      <w:r>
        <w:rPr>
          <w:b/>
          <w:bCs/>
        </w:rPr>
        <w:t>.</w:t>
      </w:r>
      <w:r>
        <w:t xml:space="preserve">  </w:t>
      </w:r>
      <w:r>
        <w:rPr>
          <w:b/>
          <w:bCs/>
          <w:u w:val="single"/>
        </w:rPr>
        <w:t xml:space="preserve">Describe the efforts to consult with persons outside the agency to </w:t>
      </w:r>
    </w:p>
    <w:p w:rsidR="00136E5A" w:rsidRDefault="00136E5A">
      <w:pPr>
        <w:widowControl/>
        <w:rPr>
          <w:b/>
          <w:bCs/>
        </w:rPr>
      </w:pPr>
      <w:r>
        <w:rPr>
          <w:b/>
          <w:bCs/>
          <w:u w:val="single"/>
        </w:rPr>
        <w:t>obtain their views on the availability of data, frequency of collection, the clarity of instructions and recordkeeping, disclosure, or reporting format (if any), and on the data elements to be recorded, disclosed, or reported</w:t>
      </w:r>
      <w:r>
        <w:rPr>
          <w:b/>
          <w:bCs/>
        </w:rPr>
        <w:t>.</w:t>
      </w:r>
    </w:p>
    <w:p w:rsidR="00B0583F" w:rsidRDefault="00B0583F">
      <w:pPr>
        <w:widowControl/>
        <w:rPr>
          <w:b/>
          <w:bCs/>
        </w:rPr>
      </w:pPr>
    </w:p>
    <w:p w:rsidR="00B0583F" w:rsidP="00B0583F" w:rsidRDefault="009E4A4D">
      <w:pPr>
        <w:widowControl/>
        <w:autoSpaceDE/>
        <w:autoSpaceDN/>
        <w:adjustRightInd/>
      </w:pPr>
      <w:r>
        <w:t xml:space="preserve">A 60-Day Federal Register Notice to solicit public comments was published on </w:t>
      </w:r>
      <w:r w:rsidR="003E0B4E">
        <w:t>January 7, 2021</w:t>
      </w:r>
      <w:r>
        <w:t xml:space="preserve"> on page </w:t>
      </w:r>
      <w:r w:rsidR="003E0B4E">
        <w:t>1089</w:t>
      </w:r>
      <w:r>
        <w:t>, Vol. 8</w:t>
      </w:r>
      <w:r w:rsidR="003E0B4E">
        <w:t>6</w:t>
      </w:r>
      <w:r>
        <w:t xml:space="preserve">, No. </w:t>
      </w:r>
      <w:r w:rsidR="003E0B4E">
        <w:t>4</w:t>
      </w:r>
      <w:r>
        <w:t>.  No comments were received.</w:t>
      </w:r>
    </w:p>
    <w:p w:rsidR="009E4A4D" w:rsidP="00B0583F" w:rsidRDefault="009E4A4D">
      <w:pPr>
        <w:widowControl/>
        <w:autoSpaceDE/>
        <w:autoSpaceDN/>
        <w:adjustRightInd/>
      </w:pPr>
    </w:p>
    <w:p w:rsidR="009E4A4D" w:rsidP="00B0583F" w:rsidRDefault="009E4A4D">
      <w:pPr>
        <w:widowControl/>
        <w:autoSpaceDE/>
        <w:autoSpaceDN/>
        <w:adjustRightInd/>
      </w:pPr>
      <w:r>
        <w:t xml:space="preserve">A 30-Day Federal Register Notice to solicit public comments was published on </w:t>
      </w:r>
      <w:r w:rsidR="001979BA">
        <w:t>March 15, 2021</w:t>
      </w:r>
      <w:r>
        <w:t xml:space="preserve"> on page</w:t>
      </w:r>
      <w:r w:rsidR="00BA40F3">
        <w:t>s</w:t>
      </w:r>
      <w:r>
        <w:t xml:space="preserve"> </w:t>
      </w:r>
      <w:r w:rsidR="001979BA">
        <w:t>14313</w:t>
      </w:r>
      <w:r w:rsidR="009C22B5">
        <w:t>-14314</w:t>
      </w:r>
      <w:r>
        <w:t xml:space="preserve">, Vol. </w:t>
      </w:r>
      <w:r w:rsidR="00BA40F3">
        <w:t>8</w:t>
      </w:r>
      <w:r w:rsidR="009C22B5">
        <w:t>6</w:t>
      </w:r>
      <w:r>
        <w:t xml:space="preserve">, No. </w:t>
      </w:r>
      <w:r w:rsidR="009C22B5">
        <w:t>48</w:t>
      </w:r>
      <w:r>
        <w:t>.</w:t>
      </w:r>
    </w:p>
    <w:p w:rsidR="0035775F" w:rsidP="00B0583F" w:rsidRDefault="0035775F">
      <w:pPr>
        <w:widowControl/>
        <w:autoSpaceDE/>
        <w:autoSpaceDN/>
        <w:adjustRightInd/>
      </w:pPr>
    </w:p>
    <w:p w:rsidRPr="00B0583F" w:rsidR="00AA7EE8" w:rsidP="0035775F" w:rsidRDefault="00AA7EE8">
      <w:pPr>
        <w:widowControl/>
        <w:autoSpaceDE/>
        <w:autoSpaceDN/>
        <w:adjustRightInd/>
      </w:pPr>
      <w:bookmarkStart w:name="_GoBack" w:id="0"/>
      <w:bookmarkEnd w:id="0"/>
      <w:r w:rsidRPr="00AA7EE8">
        <w:t>A 30-Day Federal Register Notice to reflect the correct burden hours was published on March 18, 2021 on page 14727, Vol. 86, No. 51.</w:t>
      </w:r>
    </w:p>
    <w:p w:rsidR="002F51C2" w:rsidRDefault="002F51C2">
      <w:pPr>
        <w:widowControl/>
        <w:rPr>
          <w:b/>
          <w:bCs/>
        </w:rPr>
      </w:pPr>
    </w:p>
    <w:p w:rsidR="00136E5A" w:rsidRDefault="00136E5A">
      <w:pPr>
        <w:widowControl/>
      </w:pPr>
      <w:r>
        <w:rPr>
          <w:b/>
          <w:bCs/>
        </w:rPr>
        <w:t xml:space="preserve">9.  </w:t>
      </w:r>
      <w:r>
        <w:rPr>
          <w:b/>
          <w:bCs/>
          <w:u w:val="single"/>
        </w:rPr>
        <w:t>Explain any decisions to provide payments or gifts to respondents, other than remuneration of contractors or grantees</w:t>
      </w:r>
      <w:r>
        <w:rPr>
          <w:b/>
          <w:bCs/>
        </w:rPr>
        <w:t>.</w:t>
      </w:r>
    </w:p>
    <w:p w:rsidR="00136E5A" w:rsidRDefault="00136E5A">
      <w:pPr>
        <w:widowControl/>
      </w:pPr>
    </w:p>
    <w:p w:rsidR="002F51C2" w:rsidRDefault="009E4A4D">
      <w:pPr>
        <w:widowControl/>
      </w:pPr>
      <w:r>
        <w:t>No payments or gifts are offered to participants.</w:t>
      </w:r>
      <w:r w:rsidRPr="00DA00CE" w:rsidR="00711F9D">
        <w:t xml:space="preserve">  </w:t>
      </w:r>
    </w:p>
    <w:p w:rsidR="002F51C2" w:rsidRDefault="002F51C2">
      <w:pPr>
        <w:widowControl/>
      </w:pPr>
    </w:p>
    <w:p w:rsidR="004F1C0B" w:rsidRDefault="004F1C0B">
      <w:pPr>
        <w:widowControl/>
      </w:pPr>
    </w:p>
    <w:p w:rsidR="00136E5A" w:rsidRDefault="00136E5A">
      <w:pPr>
        <w:widowControl/>
        <w:rPr>
          <w:b/>
          <w:bCs/>
        </w:rPr>
      </w:pPr>
      <w:r>
        <w:rPr>
          <w:b/>
          <w:bCs/>
        </w:rPr>
        <w:t xml:space="preserve">10.  </w:t>
      </w:r>
      <w:r>
        <w:rPr>
          <w:b/>
          <w:bCs/>
          <w:u w:val="single"/>
        </w:rPr>
        <w:t>Describe any assurance of confidentiality provided to respondents and the basis for assurance in statute, regulation, or agency policy</w:t>
      </w:r>
      <w:r>
        <w:rPr>
          <w:b/>
          <w:bCs/>
        </w:rPr>
        <w:t>.</w:t>
      </w:r>
    </w:p>
    <w:p w:rsidR="00A67599" w:rsidP="00B53B27" w:rsidRDefault="00A67599">
      <w:pPr>
        <w:pStyle w:val="HTMLPreformatted"/>
        <w:rPr>
          <w:rFonts w:ascii="Calibri" w:hAnsi="Calibri"/>
          <w:sz w:val="24"/>
          <w:szCs w:val="24"/>
        </w:rPr>
      </w:pPr>
    </w:p>
    <w:p w:rsidR="0031748C" w:rsidRDefault="00290764">
      <w:pPr>
        <w:widowControl/>
        <w:rPr>
          <w:bCs/>
        </w:rPr>
      </w:pPr>
      <w:r w:rsidRPr="00290764">
        <w:t xml:space="preserve">No assurances of confidentiality will be given.  However, </w:t>
      </w:r>
      <w:r w:rsidRPr="00290764" w:rsidR="00A67599">
        <w:t>NAIS</w:t>
      </w:r>
      <w:r w:rsidRPr="00DA00CE" w:rsidR="00A67599">
        <w:t xml:space="preserve"> is governed by the provisions of 5 U.S.C. 522a (known as the Privacy Act of 1974), and selected provisions of other Federal statutes, regulations, Department of Commerce (DOC), and National Institute of Standards and Technology (NIST) policies, procedures and guidelines.</w:t>
      </w:r>
      <w:r w:rsidR="009E4A4D">
        <w:t xml:space="preserve">  Appropriate Privacy Act Statement is provided on the collection instruments and details appropriate SORNs. </w:t>
      </w:r>
      <w:r w:rsidRPr="00DA00CE" w:rsidR="00A67599">
        <w:t xml:space="preserve"> NAIS Rules of Behavior are not intended to </w:t>
      </w:r>
      <w:r w:rsidRPr="00DA00CE" w:rsidR="00DF49DB">
        <w:t>supersede</w:t>
      </w:r>
      <w:r w:rsidRPr="00DA00CE" w:rsidR="00A67599">
        <w:t xml:space="preserve"> any such statutes, regulations, etc., nor are these rules intended to conflict with these pre-existing statutes and regulations. Rather, these rules of behavior are intended to enhance and further define the specific procedures each user must follow while accessing NAIS, consistent with the NAIS Privacy, Security and Access Policy.</w:t>
      </w:r>
      <w:r w:rsidR="00386BEF">
        <w:rPr>
          <w:bCs/>
        </w:rPr>
        <w:t xml:space="preserve">  </w:t>
      </w:r>
    </w:p>
    <w:p w:rsidRPr="001B53AB" w:rsidR="00386BEF" w:rsidRDefault="00386BEF">
      <w:pPr>
        <w:widowControl/>
        <w:rPr>
          <w:bCs/>
        </w:rPr>
      </w:pPr>
    </w:p>
    <w:p w:rsidR="00136E5A" w:rsidRDefault="00136E5A">
      <w:pPr>
        <w:widowControl/>
        <w:rPr>
          <w:b/>
          <w:bCs/>
        </w:rPr>
      </w:pPr>
      <w:r>
        <w:rPr>
          <w:b/>
          <w:bCs/>
        </w:rPr>
        <w:t xml:space="preserve">11.  </w:t>
      </w:r>
      <w:r>
        <w:rPr>
          <w:b/>
          <w:bCs/>
          <w:u w:val="single"/>
        </w:rPr>
        <w:t>Provide additional justification for any questions of a sensitive nature, such as sexual behavior and attitudes, religious beliefs, and other matters that are commonly considered private</w:t>
      </w:r>
      <w:r>
        <w:rPr>
          <w:b/>
          <w:bCs/>
        </w:rPr>
        <w:t>.</w:t>
      </w:r>
    </w:p>
    <w:p w:rsidR="00E512E6" w:rsidRDefault="00E512E6">
      <w:pPr>
        <w:widowControl/>
        <w:rPr>
          <w:b/>
          <w:bCs/>
        </w:rPr>
      </w:pPr>
    </w:p>
    <w:p w:rsidR="00711F9D" w:rsidP="00711F9D" w:rsidRDefault="000911FF">
      <w:pPr>
        <w:rPr>
          <w:bCs/>
        </w:rPr>
      </w:pPr>
      <w:r>
        <w:rPr>
          <w:bCs/>
        </w:rPr>
        <w:t>NIST will not collect sensitive data.</w:t>
      </w:r>
      <w:r w:rsidRPr="00DA00CE" w:rsidR="00711F9D">
        <w:rPr>
          <w:bCs/>
        </w:rPr>
        <w:t xml:space="preserve">  </w:t>
      </w:r>
    </w:p>
    <w:p w:rsidR="00136E5A" w:rsidRDefault="00136E5A">
      <w:pPr>
        <w:widowControl/>
      </w:pPr>
    </w:p>
    <w:p w:rsidR="00136E5A" w:rsidRDefault="00136E5A">
      <w:pPr>
        <w:widowControl/>
      </w:pPr>
      <w:r>
        <w:rPr>
          <w:b/>
          <w:bCs/>
        </w:rPr>
        <w:t xml:space="preserve">12.  </w:t>
      </w:r>
      <w:r>
        <w:rPr>
          <w:b/>
          <w:bCs/>
          <w:u w:val="single"/>
        </w:rPr>
        <w:t>Provide an estimate in hours of the burden of the collection of information</w:t>
      </w:r>
      <w:r>
        <w:rPr>
          <w:b/>
          <w:bCs/>
        </w:rPr>
        <w:t>.</w:t>
      </w:r>
    </w:p>
    <w:p w:rsidR="00136E5A" w:rsidRDefault="00136E5A">
      <w:pPr>
        <w:widowControl/>
      </w:pPr>
    </w:p>
    <w:p w:rsidR="00DF7EFD" w:rsidRDefault="005911ED">
      <w:pPr>
        <w:widowControl/>
      </w:pPr>
      <w:r>
        <w:t xml:space="preserve">NIST estimates </w:t>
      </w:r>
      <w:r w:rsidR="00B23AEC">
        <w:t>4</w:t>
      </w:r>
      <w:r w:rsidR="00AE14AF">
        <w:t>,</w:t>
      </w:r>
      <w:r w:rsidR="00B23AEC">
        <w:t xml:space="preserve">000 </w:t>
      </w:r>
      <w:r>
        <w:t>NAs will be processed</w:t>
      </w:r>
      <w:r w:rsidR="00D366F0">
        <w:t xml:space="preserve"> per year.  </w:t>
      </w:r>
      <w:r w:rsidRPr="00B36D13" w:rsidR="00B36D13">
        <w:t xml:space="preserve">It is estimated that it will take </w:t>
      </w:r>
      <w:r w:rsidR="00B36D13">
        <w:t>30-</w:t>
      </w:r>
      <w:r w:rsidRPr="00B36D13" w:rsidR="00B36D13">
        <w:t>40 minutes to complete the appropriate collection instrument</w:t>
      </w:r>
      <w:r w:rsidR="00B36D13">
        <w:t xml:space="preserve"> for a total of 2,083 burden hours.</w:t>
      </w:r>
    </w:p>
    <w:p w:rsidR="00DF7EFD" w:rsidRDefault="00DF7EFD">
      <w:pPr>
        <w:widowControl/>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94"/>
        <w:gridCol w:w="2394"/>
        <w:gridCol w:w="2394"/>
        <w:gridCol w:w="2394"/>
      </w:tblGrid>
      <w:tr w:rsidR="00DF7EFD" w:rsidTr="000F0DD2">
        <w:tc>
          <w:tcPr>
            <w:tcW w:w="2394" w:type="dxa"/>
            <w:shd w:val="clear" w:color="auto" w:fill="auto"/>
          </w:tcPr>
          <w:p w:rsidR="00DF7EFD" w:rsidP="000F0DD2" w:rsidRDefault="00DF7EFD">
            <w:pPr>
              <w:widowControl/>
            </w:pPr>
            <w:r>
              <w:t>Collection Instrument</w:t>
            </w:r>
          </w:p>
        </w:tc>
        <w:tc>
          <w:tcPr>
            <w:tcW w:w="2394" w:type="dxa"/>
            <w:shd w:val="clear" w:color="auto" w:fill="auto"/>
          </w:tcPr>
          <w:p w:rsidR="00DF7EFD" w:rsidP="000F0DD2" w:rsidRDefault="00DF7EFD">
            <w:pPr>
              <w:widowControl/>
            </w:pPr>
            <w:r>
              <w:t>Number of Respondents</w:t>
            </w:r>
          </w:p>
        </w:tc>
        <w:tc>
          <w:tcPr>
            <w:tcW w:w="2394" w:type="dxa"/>
            <w:shd w:val="clear" w:color="auto" w:fill="auto"/>
          </w:tcPr>
          <w:p w:rsidR="00DF7EFD" w:rsidP="000F0DD2" w:rsidRDefault="00DF7EFD">
            <w:pPr>
              <w:widowControl/>
            </w:pPr>
            <w:r>
              <w:t>Number of Minutes to Complete the Collection Instrument</w:t>
            </w:r>
          </w:p>
        </w:tc>
        <w:tc>
          <w:tcPr>
            <w:tcW w:w="2394" w:type="dxa"/>
            <w:shd w:val="clear" w:color="auto" w:fill="auto"/>
          </w:tcPr>
          <w:p w:rsidR="00DF7EFD" w:rsidP="000F0DD2" w:rsidRDefault="00DF7EFD">
            <w:pPr>
              <w:widowControl/>
            </w:pPr>
            <w:r>
              <w:t>Number of Burden Hours</w:t>
            </w:r>
          </w:p>
        </w:tc>
      </w:tr>
      <w:tr w:rsidR="00DF7EFD" w:rsidTr="000F0DD2">
        <w:tc>
          <w:tcPr>
            <w:tcW w:w="2394" w:type="dxa"/>
            <w:shd w:val="clear" w:color="auto" w:fill="auto"/>
          </w:tcPr>
          <w:p w:rsidR="00DF7EFD" w:rsidP="000F0DD2" w:rsidRDefault="00DF7EFD">
            <w:pPr>
              <w:widowControl/>
            </w:pPr>
            <w:r>
              <w:t>General Information for NIST Associates</w:t>
            </w:r>
          </w:p>
        </w:tc>
        <w:tc>
          <w:tcPr>
            <w:tcW w:w="2394" w:type="dxa"/>
            <w:shd w:val="clear" w:color="auto" w:fill="auto"/>
          </w:tcPr>
          <w:p w:rsidR="00DF7EFD" w:rsidP="000F0DD2" w:rsidRDefault="00DF7EFD">
            <w:pPr>
              <w:widowControl/>
            </w:pPr>
            <w:r>
              <w:t>1</w:t>
            </w:r>
            <w:r w:rsidR="00B36D13">
              <w:t>,</w:t>
            </w:r>
            <w:r>
              <w:t>800</w:t>
            </w:r>
          </w:p>
        </w:tc>
        <w:tc>
          <w:tcPr>
            <w:tcW w:w="2394" w:type="dxa"/>
            <w:shd w:val="clear" w:color="auto" w:fill="auto"/>
          </w:tcPr>
          <w:p w:rsidR="00DF7EFD" w:rsidP="000F0DD2" w:rsidRDefault="00DF7EFD">
            <w:pPr>
              <w:widowControl/>
            </w:pPr>
            <w:r>
              <w:t>30 minutes</w:t>
            </w:r>
          </w:p>
        </w:tc>
        <w:tc>
          <w:tcPr>
            <w:tcW w:w="2394" w:type="dxa"/>
            <w:shd w:val="clear" w:color="auto" w:fill="auto"/>
          </w:tcPr>
          <w:p w:rsidR="00DF7EFD" w:rsidP="000F0DD2" w:rsidRDefault="00DF7EFD">
            <w:pPr>
              <w:widowControl/>
            </w:pPr>
            <w:r>
              <w:t>900 hours</w:t>
            </w:r>
          </w:p>
        </w:tc>
      </w:tr>
      <w:tr w:rsidR="00DF7EFD" w:rsidTr="000F0DD2">
        <w:tc>
          <w:tcPr>
            <w:tcW w:w="2394" w:type="dxa"/>
            <w:shd w:val="clear" w:color="auto" w:fill="auto"/>
          </w:tcPr>
          <w:p w:rsidR="00DF7EFD" w:rsidP="000F0DD2" w:rsidRDefault="00DF7EFD">
            <w:pPr>
              <w:widowControl/>
            </w:pPr>
            <w:r>
              <w:t>General Information for NIST Associates with Opt-Out</w:t>
            </w:r>
          </w:p>
        </w:tc>
        <w:tc>
          <w:tcPr>
            <w:tcW w:w="2394" w:type="dxa"/>
            <w:shd w:val="clear" w:color="auto" w:fill="auto"/>
          </w:tcPr>
          <w:p w:rsidR="00DF7EFD" w:rsidP="000F0DD2" w:rsidRDefault="00DF7EFD">
            <w:pPr>
              <w:widowControl/>
            </w:pPr>
            <w:r>
              <w:t>200</w:t>
            </w:r>
          </w:p>
        </w:tc>
        <w:tc>
          <w:tcPr>
            <w:tcW w:w="2394" w:type="dxa"/>
            <w:shd w:val="clear" w:color="auto" w:fill="auto"/>
          </w:tcPr>
          <w:p w:rsidR="00DF7EFD" w:rsidP="000F0DD2" w:rsidRDefault="00DF7EFD">
            <w:pPr>
              <w:widowControl/>
            </w:pPr>
            <w:r>
              <w:t>30 minutes</w:t>
            </w:r>
          </w:p>
        </w:tc>
        <w:tc>
          <w:tcPr>
            <w:tcW w:w="2394" w:type="dxa"/>
            <w:shd w:val="clear" w:color="auto" w:fill="auto"/>
          </w:tcPr>
          <w:p w:rsidR="00DF7EFD" w:rsidP="000F0DD2" w:rsidRDefault="00DF7EFD">
            <w:pPr>
              <w:widowControl/>
            </w:pPr>
            <w:r>
              <w:t>100 hours</w:t>
            </w:r>
          </w:p>
        </w:tc>
      </w:tr>
      <w:tr w:rsidR="00DF7EFD" w:rsidTr="000F0DD2">
        <w:tc>
          <w:tcPr>
            <w:tcW w:w="2394" w:type="dxa"/>
            <w:shd w:val="clear" w:color="auto" w:fill="auto"/>
          </w:tcPr>
          <w:p w:rsidR="00DF7EFD" w:rsidP="000F0DD2" w:rsidRDefault="00DF7EFD">
            <w:pPr>
              <w:widowControl/>
            </w:pPr>
            <w:r>
              <w:t xml:space="preserve">General Information for </w:t>
            </w:r>
            <w:r w:rsidR="00086B3C">
              <w:t xml:space="preserve">NIST </w:t>
            </w:r>
            <w:r>
              <w:t xml:space="preserve">Foreign </w:t>
            </w:r>
            <w:r w:rsidR="00086B3C">
              <w:t>National Associates (FNAs)</w:t>
            </w:r>
          </w:p>
        </w:tc>
        <w:tc>
          <w:tcPr>
            <w:tcW w:w="2394" w:type="dxa"/>
            <w:shd w:val="clear" w:color="auto" w:fill="auto"/>
          </w:tcPr>
          <w:p w:rsidR="00DF7EFD" w:rsidP="000F0DD2" w:rsidRDefault="00DF7EFD">
            <w:pPr>
              <w:widowControl/>
            </w:pPr>
            <w:r>
              <w:t>500</w:t>
            </w:r>
          </w:p>
        </w:tc>
        <w:tc>
          <w:tcPr>
            <w:tcW w:w="2394" w:type="dxa"/>
            <w:shd w:val="clear" w:color="auto" w:fill="auto"/>
          </w:tcPr>
          <w:p w:rsidR="00DF7EFD" w:rsidP="000F0DD2" w:rsidRDefault="00DF7EFD">
            <w:pPr>
              <w:widowControl/>
            </w:pPr>
            <w:r>
              <w:t>40 minutes</w:t>
            </w:r>
          </w:p>
        </w:tc>
        <w:tc>
          <w:tcPr>
            <w:tcW w:w="2394" w:type="dxa"/>
            <w:shd w:val="clear" w:color="auto" w:fill="auto"/>
          </w:tcPr>
          <w:p w:rsidR="00DF7EFD" w:rsidP="000F0DD2" w:rsidRDefault="00DF7EFD">
            <w:pPr>
              <w:widowControl/>
            </w:pPr>
            <w:r>
              <w:t>333 hours</w:t>
            </w:r>
          </w:p>
        </w:tc>
      </w:tr>
      <w:tr w:rsidR="00DF7EFD" w:rsidTr="000F0DD2">
        <w:tc>
          <w:tcPr>
            <w:tcW w:w="2394" w:type="dxa"/>
            <w:shd w:val="clear" w:color="auto" w:fill="auto"/>
          </w:tcPr>
          <w:p w:rsidR="00DF7EFD" w:rsidP="000F0DD2" w:rsidRDefault="00DF7EFD">
            <w:pPr>
              <w:widowControl/>
            </w:pPr>
            <w:r>
              <w:t>General Information</w:t>
            </w:r>
            <w:r w:rsidR="00B36D13">
              <w:t xml:space="preserve"> for Domestic Guest Researchers</w:t>
            </w:r>
          </w:p>
        </w:tc>
        <w:tc>
          <w:tcPr>
            <w:tcW w:w="2394" w:type="dxa"/>
            <w:shd w:val="clear" w:color="auto" w:fill="auto"/>
          </w:tcPr>
          <w:p w:rsidR="00DF7EFD" w:rsidP="000F0DD2" w:rsidRDefault="00B36D13">
            <w:pPr>
              <w:widowControl/>
            </w:pPr>
            <w:r>
              <w:t>1,500</w:t>
            </w:r>
          </w:p>
        </w:tc>
        <w:tc>
          <w:tcPr>
            <w:tcW w:w="2394" w:type="dxa"/>
            <w:shd w:val="clear" w:color="auto" w:fill="auto"/>
          </w:tcPr>
          <w:p w:rsidR="00DF7EFD" w:rsidP="000F0DD2" w:rsidRDefault="00B36D13">
            <w:pPr>
              <w:widowControl/>
            </w:pPr>
            <w:r>
              <w:t>30 minutes</w:t>
            </w:r>
          </w:p>
        </w:tc>
        <w:tc>
          <w:tcPr>
            <w:tcW w:w="2394" w:type="dxa"/>
            <w:shd w:val="clear" w:color="auto" w:fill="auto"/>
          </w:tcPr>
          <w:p w:rsidR="00DF7EFD" w:rsidP="000F0DD2" w:rsidRDefault="00B36D13">
            <w:pPr>
              <w:widowControl/>
            </w:pPr>
            <w:r>
              <w:t>750 hours</w:t>
            </w:r>
          </w:p>
        </w:tc>
      </w:tr>
      <w:tr w:rsidR="00B36D13" w:rsidTr="000F0DD2">
        <w:trPr>
          <w:trHeight w:val="413"/>
        </w:trPr>
        <w:tc>
          <w:tcPr>
            <w:tcW w:w="2394" w:type="dxa"/>
            <w:shd w:val="clear" w:color="auto" w:fill="auto"/>
          </w:tcPr>
          <w:p w:rsidR="00B36D13" w:rsidP="000F0DD2" w:rsidRDefault="00B36D13">
            <w:pPr>
              <w:widowControl/>
            </w:pPr>
            <w:r>
              <w:t>TOTALS</w:t>
            </w:r>
          </w:p>
        </w:tc>
        <w:tc>
          <w:tcPr>
            <w:tcW w:w="2394" w:type="dxa"/>
            <w:shd w:val="clear" w:color="auto" w:fill="auto"/>
          </w:tcPr>
          <w:p w:rsidR="00B36D13" w:rsidP="000F0DD2" w:rsidRDefault="00B36D13">
            <w:pPr>
              <w:widowControl/>
            </w:pPr>
            <w:r>
              <w:t>4,000</w:t>
            </w:r>
          </w:p>
        </w:tc>
        <w:tc>
          <w:tcPr>
            <w:tcW w:w="2394" w:type="dxa"/>
            <w:shd w:val="clear" w:color="auto" w:fill="auto"/>
          </w:tcPr>
          <w:p w:rsidR="00B36D13" w:rsidP="000F0DD2" w:rsidRDefault="00B36D13">
            <w:pPr>
              <w:widowControl/>
            </w:pPr>
            <w:r>
              <w:t>30-40 minutes</w:t>
            </w:r>
          </w:p>
        </w:tc>
        <w:tc>
          <w:tcPr>
            <w:tcW w:w="2394" w:type="dxa"/>
            <w:shd w:val="clear" w:color="auto" w:fill="auto"/>
          </w:tcPr>
          <w:p w:rsidR="00B36D13" w:rsidP="000F0DD2" w:rsidRDefault="00B36D13">
            <w:pPr>
              <w:widowControl/>
            </w:pPr>
            <w:r>
              <w:t>2,083 hours</w:t>
            </w:r>
          </w:p>
        </w:tc>
      </w:tr>
    </w:tbl>
    <w:p w:rsidR="00D366F0" w:rsidRDefault="00D366F0">
      <w:pPr>
        <w:widowControl/>
      </w:pPr>
      <w:r>
        <w:t xml:space="preserve"> </w:t>
      </w:r>
    </w:p>
    <w:p w:rsidR="00D366F0" w:rsidRDefault="00D366F0">
      <w:pPr>
        <w:widowControl/>
      </w:pPr>
    </w:p>
    <w:p w:rsidR="00050728" w:rsidRDefault="00050728">
      <w:pPr>
        <w:widowControl/>
      </w:pPr>
    </w:p>
    <w:p w:rsidR="00DC7587" w:rsidRDefault="00136E5A">
      <w:pPr>
        <w:widowControl/>
        <w:rPr>
          <w:b/>
          <w:bCs/>
          <w:u w:val="single"/>
        </w:rPr>
      </w:pPr>
      <w:r>
        <w:rPr>
          <w:b/>
          <w:bCs/>
        </w:rPr>
        <w:t xml:space="preserve">13.  </w:t>
      </w:r>
      <w:r>
        <w:rPr>
          <w:b/>
          <w:bCs/>
          <w:u w:val="single"/>
        </w:rPr>
        <w:t xml:space="preserve">Provide an estimate of the total annual cost burden to the respondents or record-keepers resulting from the collection (excluding the value of the burden hours in </w:t>
      </w:r>
    </w:p>
    <w:p w:rsidR="00136E5A" w:rsidRDefault="00DC7587">
      <w:pPr>
        <w:widowControl/>
        <w:rPr>
          <w:b/>
          <w:bCs/>
        </w:rPr>
      </w:pPr>
      <w:r>
        <w:rPr>
          <w:b/>
          <w:bCs/>
          <w:u w:val="single"/>
        </w:rPr>
        <w:t xml:space="preserve">Question </w:t>
      </w:r>
      <w:r w:rsidR="00136E5A">
        <w:rPr>
          <w:b/>
          <w:bCs/>
          <w:u w:val="single"/>
        </w:rPr>
        <w:t>12 above)</w:t>
      </w:r>
      <w:r w:rsidR="00136E5A">
        <w:rPr>
          <w:b/>
          <w:bCs/>
        </w:rPr>
        <w:t>.</w:t>
      </w:r>
    </w:p>
    <w:p w:rsidR="00DC7587" w:rsidRDefault="00DC7587">
      <w:pPr>
        <w:widowControl/>
        <w:rPr>
          <w:b/>
          <w:bCs/>
        </w:rPr>
      </w:pPr>
    </w:p>
    <w:p w:rsidRPr="00E81A19" w:rsidR="00DC7587" w:rsidRDefault="005B405E">
      <w:pPr>
        <w:widowControl/>
        <w:rPr>
          <w:bCs/>
        </w:rPr>
      </w:pPr>
      <w:r>
        <w:rPr>
          <w:bCs/>
        </w:rPr>
        <w:t xml:space="preserve">There is no cost to the respondent.  </w:t>
      </w:r>
    </w:p>
    <w:p w:rsidR="00050728" w:rsidRDefault="00050728">
      <w:pPr>
        <w:widowControl/>
      </w:pPr>
    </w:p>
    <w:p w:rsidR="00136E5A" w:rsidRDefault="00136E5A">
      <w:pPr>
        <w:widowControl/>
      </w:pPr>
      <w:r>
        <w:rPr>
          <w:b/>
          <w:bCs/>
        </w:rPr>
        <w:t xml:space="preserve">14.  </w:t>
      </w:r>
      <w:r>
        <w:rPr>
          <w:b/>
          <w:bCs/>
          <w:u w:val="single"/>
        </w:rPr>
        <w:t>Provide estimates of annualized cost to the Federal government</w:t>
      </w:r>
      <w:r>
        <w:rPr>
          <w:b/>
          <w:bCs/>
        </w:rPr>
        <w:t>.</w:t>
      </w:r>
    </w:p>
    <w:p w:rsidR="00136E5A" w:rsidRDefault="00136E5A">
      <w:pPr>
        <w:widowControl/>
      </w:pPr>
    </w:p>
    <w:p w:rsidRPr="003907EF" w:rsidR="00D366F0" w:rsidP="00D366F0" w:rsidRDefault="00D366F0">
      <w:r w:rsidRPr="003907EF">
        <w:t xml:space="preserve">NIST estimates that approximately 40 hours of time would be involved for the </w:t>
      </w:r>
      <w:r w:rsidR="007B0156">
        <w:t xml:space="preserve">Analyst managing the </w:t>
      </w:r>
      <w:r w:rsidRPr="003907EF">
        <w:t>efforts o</w:t>
      </w:r>
      <w:r w:rsidR="007B0156">
        <w:t>f</w:t>
      </w:r>
      <w:r w:rsidRPr="003907EF">
        <w:t xml:space="preserve"> this information collection.  That estimated cost is $</w:t>
      </w:r>
      <w:r w:rsidR="00EB11DA">
        <w:t>2,200.00</w:t>
      </w:r>
      <w:r w:rsidRPr="003907EF">
        <w:t>.</w:t>
      </w:r>
    </w:p>
    <w:p w:rsidRPr="005911ED" w:rsidR="00050728" w:rsidRDefault="00050728">
      <w:pPr>
        <w:widowControl/>
        <w:rPr>
          <w:b/>
          <w:bCs/>
        </w:rPr>
      </w:pPr>
    </w:p>
    <w:p w:rsidR="00136E5A" w:rsidRDefault="00136E5A">
      <w:pPr>
        <w:widowControl/>
      </w:pPr>
      <w:r>
        <w:rPr>
          <w:b/>
          <w:bCs/>
        </w:rPr>
        <w:t xml:space="preserve">15.  </w:t>
      </w:r>
      <w:r>
        <w:rPr>
          <w:b/>
          <w:bCs/>
          <w:u w:val="single"/>
        </w:rPr>
        <w:t>Explain the reasons for any program changes or adjustments</w:t>
      </w:r>
      <w:r>
        <w:rPr>
          <w:b/>
          <w:bCs/>
        </w:rPr>
        <w:t>.</w:t>
      </w:r>
    </w:p>
    <w:p w:rsidR="00136E5A" w:rsidRDefault="00136E5A">
      <w:pPr>
        <w:widowControl/>
      </w:pPr>
    </w:p>
    <w:p w:rsidRPr="00093A2A" w:rsidR="001B7BBD" w:rsidRDefault="0075595D">
      <w:pPr>
        <w:widowControl/>
      </w:pPr>
      <w:r w:rsidRPr="00093A2A">
        <w:t xml:space="preserve">Only changes to the </w:t>
      </w:r>
      <w:r w:rsidRPr="00093A2A" w:rsidR="00DC5112">
        <w:t xml:space="preserve">General Information for </w:t>
      </w:r>
      <w:r w:rsidRPr="00093A2A">
        <w:t xml:space="preserve">Foreign </w:t>
      </w:r>
      <w:r w:rsidRPr="00093A2A" w:rsidR="00DC5112">
        <w:t>Guest Researchers</w:t>
      </w:r>
      <w:r w:rsidRPr="00093A2A" w:rsidR="006F55C8">
        <w:t xml:space="preserve"> </w:t>
      </w:r>
      <w:r w:rsidR="008C7FD3">
        <w:t xml:space="preserve">(now called General Information for NIST Foreign National Associates) </w:t>
      </w:r>
      <w:r w:rsidRPr="00093A2A" w:rsidR="006069A5">
        <w:t>collection instrument</w:t>
      </w:r>
      <w:r w:rsidRPr="00093A2A">
        <w:t xml:space="preserve"> are </w:t>
      </w:r>
      <w:r w:rsidRPr="00093A2A" w:rsidR="006069A5">
        <w:t>being made. The three other collection instruments</w:t>
      </w:r>
      <w:r w:rsidRPr="00093A2A" w:rsidR="00DC5112">
        <w:t>, General Information for Domestic Guest Researcher</w:t>
      </w:r>
      <w:r w:rsidR="008C7FD3">
        <w:t>s</w:t>
      </w:r>
      <w:r w:rsidRPr="00093A2A" w:rsidR="00DC5112">
        <w:t>, General Information for NIST Associates, and General Information for NIST Associates (with security opt-out),</w:t>
      </w:r>
      <w:r w:rsidRPr="00093A2A" w:rsidR="006069A5">
        <w:t xml:space="preserve"> are unchanged.</w:t>
      </w:r>
      <w:r w:rsidRPr="00093A2A" w:rsidR="001B7BBD">
        <w:t xml:space="preserve"> </w:t>
      </w:r>
    </w:p>
    <w:p w:rsidRPr="00093A2A" w:rsidR="000579B5" w:rsidRDefault="000579B5">
      <w:pPr>
        <w:widowControl/>
      </w:pPr>
    </w:p>
    <w:p w:rsidRPr="00093A2A" w:rsidR="000579B5" w:rsidP="000579B5" w:rsidRDefault="000579B5">
      <w:pPr>
        <w:rPr>
          <w:sz w:val="22"/>
          <w:szCs w:val="22"/>
        </w:rPr>
      </w:pPr>
      <w:r w:rsidRPr="00093A2A">
        <w:t>The Joint Committee on the Research Environment (JCORE) was established in May 2019 through the National Science Technology Council to address four critical issues related to the research enterprise (</w:t>
      </w:r>
      <w:hyperlink w:history="1" r:id="rId8">
        <w:r w:rsidRPr="00093A2A">
          <w:rPr>
            <w:rStyle w:val="Hyperlink"/>
            <w:color w:val="auto"/>
          </w:rPr>
          <w:t>https://science.house.gov/imo/media/doc/Droegemeier%20Testimony1.pdf</w:t>
        </w:r>
      </w:hyperlink>
      <w:r w:rsidRPr="00093A2A">
        <w:t xml:space="preserve">):  </w:t>
      </w:r>
    </w:p>
    <w:p w:rsidRPr="00093A2A" w:rsidR="000579B5" w:rsidP="000579B5" w:rsidRDefault="000579B5"/>
    <w:p w:rsidRPr="00093A2A" w:rsidR="000579B5" w:rsidP="000579B5" w:rsidRDefault="000579B5">
      <w:pPr>
        <w:pStyle w:val="ListParagraph"/>
        <w:numPr>
          <w:ilvl w:val="0"/>
          <w:numId w:val="4"/>
        </w:numPr>
        <w:spacing w:after="160" w:line="252" w:lineRule="auto"/>
        <w:ind w:left="648"/>
        <w:contextualSpacing/>
        <w:rPr>
          <w:rFonts w:ascii="Times New Roman" w:hAnsi="Times New Roman"/>
          <w:sz w:val="24"/>
          <w:szCs w:val="24"/>
        </w:rPr>
      </w:pPr>
      <w:r w:rsidRPr="00093A2A">
        <w:rPr>
          <w:rFonts w:ascii="Times New Roman" w:hAnsi="Times New Roman"/>
          <w:sz w:val="24"/>
          <w:szCs w:val="24"/>
        </w:rPr>
        <w:t xml:space="preserve">Strengthening the security of American research enterprise; </w:t>
      </w:r>
    </w:p>
    <w:p w:rsidRPr="00093A2A" w:rsidR="000579B5" w:rsidP="000579B5" w:rsidRDefault="000579B5">
      <w:pPr>
        <w:pStyle w:val="ListParagraph"/>
        <w:numPr>
          <w:ilvl w:val="0"/>
          <w:numId w:val="4"/>
        </w:numPr>
        <w:spacing w:after="160" w:line="252" w:lineRule="auto"/>
        <w:ind w:left="648"/>
        <w:contextualSpacing/>
        <w:rPr>
          <w:rFonts w:ascii="Times New Roman" w:hAnsi="Times New Roman"/>
          <w:sz w:val="24"/>
          <w:szCs w:val="24"/>
        </w:rPr>
      </w:pPr>
      <w:r w:rsidRPr="00093A2A">
        <w:rPr>
          <w:rFonts w:ascii="Times New Roman" w:hAnsi="Times New Roman"/>
          <w:sz w:val="24"/>
          <w:szCs w:val="24"/>
        </w:rPr>
        <w:t xml:space="preserve">Creating safe and inclusive research environments; </w:t>
      </w:r>
    </w:p>
    <w:p w:rsidRPr="00093A2A" w:rsidR="000579B5" w:rsidP="000579B5" w:rsidRDefault="000579B5">
      <w:pPr>
        <w:pStyle w:val="ListParagraph"/>
        <w:numPr>
          <w:ilvl w:val="0"/>
          <w:numId w:val="4"/>
        </w:numPr>
        <w:spacing w:after="160" w:line="252" w:lineRule="auto"/>
        <w:ind w:left="648"/>
        <w:contextualSpacing/>
        <w:rPr>
          <w:rFonts w:ascii="Times New Roman" w:hAnsi="Times New Roman"/>
          <w:sz w:val="24"/>
          <w:szCs w:val="24"/>
        </w:rPr>
      </w:pPr>
      <w:r w:rsidRPr="00093A2A">
        <w:rPr>
          <w:rFonts w:ascii="Times New Roman" w:hAnsi="Times New Roman"/>
          <w:sz w:val="24"/>
          <w:szCs w:val="24"/>
        </w:rPr>
        <w:t>Reducing administrative burdens on Federally-funded research; and</w:t>
      </w:r>
    </w:p>
    <w:p w:rsidRPr="00093A2A" w:rsidR="000579B5" w:rsidP="000579B5" w:rsidRDefault="000579B5">
      <w:pPr>
        <w:pStyle w:val="ListParagraph"/>
        <w:numPr>
          <w:ilvl w:val="0"/>
          <w:numId w:val="4"/>
        </w:numPr>
        <w:spacing w:after="160" w:line="252" w:lineRule="auto"/>
        <w:ind w:left="648"/>
        <w:contextualSpacing/>
        <w:rPr>
          <w:rFonts w:ascii="Times New Roman" w:hAnsi="Times New Roman"/>
          <w:sz w:val="24"/>
          <w:szCs w:val="24"/>
        </w:rPr>
      </w:pPr>
      <w:r w:rsidRPr="00093A2A">
        <w:rPr>
          <w:rFonts w:ascii="Times New Roman" w:hAnsi="Times New Roman"/>
          <w:sz w:val="24"/>
          <w:szCs w:val="24"/>
        </w:rPr>
        <w:t>Improving rigor and integrity in research.</w:t>
      </w:r>
    </w:p>
    <w:p w:rsidRPr="00093A2A" w:rsidR="000579B5" w:rsidP="000579B5" w:rsidRDefault="000579B5">
      <w:r w:rsidRPr="00093A2A">
        <w:t xml:space="preserve">JCORE recommends that research organizations, like NIST establish policies and procedures to help protect the security and integrity of the S&amp;T research enterprise.  Among the recommendations, the following address the collection of information from potential NIST foreign national researches:    </w:t>
      </w:r>
    </w:p>
    <w:p w:rsidRPr="00093A2A" w:rsidR="000579B5" w:rsidP="000579B5" w:rsidRDefault="000579B5"/>
    <w:p w:rsidRPr="00093A2A" w:rsidR="000579B5" w:rsidP="000579B5" w:rsidRDefault="000579B5">
      <w:pPr>
        <w:pStyle w:val="ListParagraph"/>
        <w:numPr>
          <w:ilvl w:val="0"/>
          <w:numId w:val="5"/>
        </w:numPr>
        <w:spacing w:after="160" w:line="252" w:lineRule="auto"/>
        <w:ind w:left="648"/>
        <w:contextualSpacing/>
      </w:pPr>
      <w:r w:rsidRPr="00093A2A">
        <w:t>E</w:t>
      </w:r>
      <w:r w:rsidRPr="00093A2A">
        <w:rPr>
          <w:i/>
          <w:iCs/>
        </w:rPr>
        <w:t>stablish high-level research security and integrity working groups and task forces</w:t>
      </w:r>
      <w:r w:rsidRPr="00093A2A">
        <w:t xml:space="preserve"> to discuss, develop, implement, and review strategies to better coordinate and address concerns regarding protecting the security and integrity of its research enterprise.  </w:t>
      </w:r>
    </w:p>
    <w:p w:rsidRPr="00093A2A" w:rsidR="000579B5" w:rsidP="000579B5" w:rsidRDefault="000579B5">
      <w:pPr>
        <w:pStyle w:val="ListParagraph"/>
        <w:numPr>
          <w:ilvl w:val="0"/>
          <w:numId w:val="5"/>
        </w:numPr>
        <w:spacing w:after="160" w:line="252" w:lineRule="auto"/>
        <w:ind w:left="648"/>
        <w:contextualSpacing/>
      </w:pPr>
      <w:r w:rsidRPr="00093A2A">
        <w:rPr>
          <w:i/>
          <w:iCs/>
        </w:rPr>
        <w:t>Establish and administer organizational policies regarding conflicts of interest, commitment and disclosure.</w:t>
      </w:r>
    </w:p>
    <w:p w:rsidRPr="00093A2A" w:rsidR="000579B5" w:rsidP="000579B5" w:rsidRDefault="000579B5">
      <w:pPr>
        <w:pStyle w:val="ListParagraph"/>
        <w:numPr>
          <w:ilvl w:val="0"/>
          <w:numId w:val="5"/>
        </w:numPr>
        <w:spacing w:after="160" w:line="252" w:lineRule="auto"/>
        <w:ind w:left="648"/>
        <w:contextualSpacing/>
      </w:pPr>
      <w:r w:rsidRPr="00093A2A">
        <w:rPr>
          <w:i/>
          <w:iCs/>
        </w:rPr>
        <w:t>Require that employees and affiliates disclose to the organization all information necessary to identify and assess potential conflicts of interest and commitment.</w:t>
      </w:r>
      <w:r w:rsidRPr="00093A2A">
        <w:t xml:space="preserve"> Including the following: </w:t>
      </w:r>
    </w:p>
    <w:p w:rsidRPr="00093A2A" w:rsidR="000579B5" w:rsidP="000579B5" w:rsidRDefault="000579B5">
      <w:pPr>
        <w:pStyle w:val="ListParagraph"/>
        <w:numPr>
          <w:ilvl w:val="2"/>
          <w:numId w:val="5"/>
        </w:numPr>
        <w:spacing w:before="240" w:after="160" w:line="22" w:lineRule="atLeast"/>
        <w:ind w:left="1188"/>
        <w:contextualSpacing/>
      </w:pPr>
      <w:r w:rsidRPr="00093A2A">
        <w:t>Organizational affiliations and employment</w:t>
      </w:r>
    </w:p>
    <w:p w:rsidRPr="00093A2A" w:rsidR="000579B5" w:rsidP="000579B5" w:rsidRDefault="000579B5">
      <w:pPr>
        <w:pStyle w:val="ListParagraph"/>
        <w:numPr>
          <w:ilvl w:val="2"/>
          <w:numId w:val="5"/>
        </w:numPr>
        <w:spacing w:before="240" w:after="160" w:line="22" w:lineRule="atLeast"/>
        <w:ind w:left="1188"/>
        <w:contextualSpacing/>
      </w:pPr>
      <w:r w:rsidRPr="00093A2A">
        <w:t>Other support, contractual or otherwise, direct and indirect, including current and pending private and public sources of funding or income, both foreign and domestic. For researchers, other support should include </w:t>
      </w:r>
      <w:r w:rsidRPr="00093A2A">
        <w:rPr>
          <w:rStyle w:val="Emphasis"/>
        </w:rPr>
        <w:t>all </w:t>
      </w:r>
      <w:r w:rsidRPr="00093A2A">
        <w:t xml:space="preserve">resources made available to a researcher in </w:t>
      </w:r>
      <w:r w:rsidRPr="00093A2A">
        <w:lastRenderedPageBreak/>
        <w:t>support of and/or related to </w:t>
      </w:r>
      <w:r w:rsidRPr="00093A2A">
        <w:rPr>
          <w:rStyle w:val="Emphasis"/>
        </w:rPr>
        <w:t>all </w:t>
      </w:r>
      <w:r w:rsidRPr="00093A2A">
        <w:t xml:space="preserve">of their professional R&amp;D efforts, including resources provided directly to the individual rather than through the research institution, and regardless of whether or not they have monetary value (e.g., even if the support received is only in-kind, such as office/laboratory space, equipment, supplies, or employees). This should include resource and/or financial support from all foreign and domestic entities, including but not limited to, gifts provided with terms or conditions, financial support for laboratory personnel, and participation of student and visiting researchers supported by other sources of funding. </w:t>
      </w:r>
    </w:p>
    <w:p w:rsidRPr="00093A2A" w:rsidR="000579B5" w:rsidP="000579B5" w:rsidRDefault="000579B5">
      <w:pPr>
        <w:pStyle w:val="ListParagraph"/>
        <w:numPr>
          <w:ilvl w:val="2"/>
          <w:numId w:val="5"/>
        </w:numPr>
        <w:spacing w:before="240" w:after="160" w:line="22" w:lineRule="atLeast"/>
        <w:ind w:left="1188"/>
        <w:contextualSpacing/>
      </w:pPr>
      <w:r w:rsidRPr="00093A2A">
        <w:t>Current or pending participation in, or applications to, programs sponsored by foreign governments, instrumentalities, or entities, including foreign government-sponsored talent recruitment programs. Organizations should require that individuals disclose associated contract(s), upon request of the institution, in addition to the fact of participation.</w:t>
      </w:r>
    </w:p>
    <w:p w:rsidRPr="00093A2A" w:rsidR="000579B5" w:rsidP="000579B5" w:rsidRDefault="000579B5">
      <w:pPr>
        <w:pStyle w:val="ListParagraph"/>
        <w:numPr>
          <w:ilvl w:val="2"/>
          <w:numId w:val="5"/>
        </w:numPr>
        <w:spacing w:after="160" w:line="22" w:lineRule="atLeast"/>
        <w:ind w:left="1188"/>
        <w:contextualSpacing/>
      </w:pPr>
      <w:r w:rsidRPr="00093A2A">
        <w:t>Positions and appointments. All positions and professional appointments both domestic and foreign that are relevant to the individual’s relationship to the research institution, including affiliations with foreign entities or governments. This includes titled academic, professional, or organizational appointments whether or not remuneration is received, and whether full-time, part-time, or voluntary (including adjunct, visiting, or honorary).</w:t>
      </w:r>
    </w:p>
    <w:p w:rsidRPr="00093A2A" w:rsidR="000579B5" w:rsidP="000579B5" w:rsidRDefault="000579B5">
      <w:r w:rsidRPr="00093A2A">
        <w:t>The goal of this effort is to ensure that scientists and students who follow laws, policies, regulations, and codes of conduct will be welcome and supported within a vibrant and secure enterprise that remains a desirable destination for researchers across the world. </w:t>
      </w:r>
    </w:p>
    <w:p w:rsidRPr="00093A2A" w:rsidR="006069A5" w:rsidP="000579B5" w:rsidRDefault="006069A5"/>
    <w:p w:rsidRPr="00093A2A" w:rsidR="00DC5112" w:rsidP="000579B5" w:rsidRDefault="006069A5">
      <w:r w:rsidRPr="00093A2A">
        <w:t>The additional information</w:t>
      </w:r>
      <w:r w:rsidRPr="00093A2A" w:rsidR="00DC5112">
        <w:t xml:space="preserve"> </w:t>
      </w:r>
      <w:r w:rsidRPr="00093A2A" w:rsidR="00093A2A">
        <w:t>collected,</w:t>
      </w:r>
      <w:r w:rsidRPr="00093A2A">
        <w:t xml:space="preserve"> </w:t>
      </w:r>
      <w:r w:rsidRPr="00093A2A" w:rsidR="00DC5112">
        <w:t>and changes are:</w:t>
      </w:r>
    </w:p>
    <w:p w:rsidRPr="00093A2A" w:rsidR="00DC5112" w:rsidP="000579B5" w:rsidRDefault="00DC5112"/>
    <w:p w:rsidRPr="00093A2A" w:rsidR="006069A5" w:rsidP="000579B5" w:rsidRDefault="00DC5112">
      <w:r w:rsidRPr="00093A2A">
        <w:t>- Title changed from ‘General Information for Foreign Guest Researchers’ to ‘General Information for Foreign National Associates (FNAs)’</w:t>
      </w:r>
      <w:r w:rsidRPr="00093A2A" w:rsidR="00696C3D">
        <w:t>.</w:t>
      </w:r>
      <w:r w:rsidRPr="00093A2A" w:rsidR="006069A5">
        <w:br/>
      </w:r>
    </w:p>
    <w:p w:rsidRPr="00093A2A" w:rsidR="006069A5" w:rsidP="000579B5" w:rsidRDefault="006069A5">
      <w:r w:rsidRPr="00093A2A">
        <w:t>- Education</w:t>
      </w:r>
      <w:r w:rsidRPr="00093A2A" w:rsidR="00696C3D">
        <w:t>al</w:t>
      </w:r>
      <w:r w:rsidRPr="00093A2A">
        <w:t xml:space="preserve"> Institutes</w:t>
      </w:r>
      <w:r w:rsidRPr="00093A2A" w:rsidR="00696C3D">
        <w:t>: expanded to request information for all educational institutes attended.</w:t>
      </w:r>
    </w:p>
    <w:p w:rsidRPr="00093A2A" w:rsidR="00DC5112" w:rsidP="000579B5" w:rsidRDefault="00DC5112"/>
    <w:p w:rsidRPr="00093A2A" w:rsidR="006069A5" w:rsidP="000579B5" w:rsidRDefault="006069A5">
      <w:r w:rsidRPr="00093A2A">
        <w:t>- Other Funding Sources</w:t>
      </w:r>
      <w:r w:rsidRPr="00093A2A" w:rsidR="00DC5112">
        <w:t>: Funding Organization, Street Address, Address Line 2, Address Line 3, City, State, County/Province, Country, Zip</w:t>
      </w:r>
      <w:r w:rsidRPr="00093A2A" w:rsidR="00696C3D">
        <w:t>.</w:t>
      </w:r>
    </w:p>
    <w:p w:rsidRPr="00093A2A" w:rsidR="00DC5112" w:rsidP="000579B5" w:rsidRDefault="00DC5112"/>
    <w:p w:rsidR="006069A5" w:rsidP="000579B5" w:rsidRDefault="006069A5">
      <w:r w:rsidRPr="00093A2A">
        <w:t>- Affiliations</w:t>
      </w:r>
      <w:r w:rsidRPr="00093A2A" w:rsidR="00DC5112">
        <w:t>: Affiliate Name, Street Address, Address Line 2, Address Line 3, City, State, County/Province, Country, Zip</w:t>
      </w:r>
      <w:r w:rsidRPr="00093A2A" w:rsidR="00696C3D">
        <w:t>.</w:t>
      </w:r>
    </w:p>
    <w:p w:rsidR="00B751FE" w:rsidP="000579B5" w:rsidRDefault="00B751FE"/>
    <w:p w:rsidR="00B751FE" w:rsidP="000579B5" w:rsidRDefault="00B751FE">
      <w:r w:rsidRPr="00B751FE">
        <w:t xml:space="preserve">The number of </w:t>
      </w:r>
      <w:r>
        <w:t xml:space="preserve">minutes per response </w:t>
      </w:r>
      <w:r w:rsidR="008C7FD3">
        <w:t xml:space="preserve">for this instrument </w:t>
      </w:r>
      <w:r>
        <w:t>has increased from 30 to 40 minutes due to collecting this additional information.</w:t>
      </w:r>
    </w:p>
    <w:p w:rsidRPr="00093A2A" w:rsidR="00793557" w:rsidP="000579B5" w:rsidRDefault="00793557"/>
    <w:p w:rsidR="001B7BBD" w:rsidRDefault="001B7BBD">
      <w:pPr>
        <w:widowControl/>
      </w:pPr>
    </w:p>
    <w:p w:rsidR="00136E5A" w:rsidRDefault="00136E5A">
      <w:pPr>
        <w:widowControl/>
      </w:pPr>
      <w:r>
        <w:rPr>
          <w:b/>
          <w:bCs/>
        </w:rPr>
        <w:t xml:space="preserve">16.  </w:t>
      </w:r>
      <w:r>
        <w:rPr>
          <w:b/>
          <w:bCs/>
          <w:u w:val="single"/>
        </w:rPr>
        <w:t>For collections whose results will be published, outline the plans for tabulation and publication</w:t>
      </w:r>
      <w:r>
        <w:rPr>
          <w:b/>
          <w:bCs/>
        </w:rPr>
        <w:t>.</w:t>
      </w:r>
    </w:p>
    <w:p w:rsidR="00136E5A" w:rsidRDefault="00136E5A">
      <w:pPr>
        <w:widowControl/>
      </w:pPr>
    </w:p>
    <w:p w:rsidRPr="00DA00CE" w:rsidR="00136E5A" w:rsidRDefault="00E81A19">
      <w:pPr>
        <w:widowControl/>
      </w:pPr>
      <w:r w:rsidRPr="00DA00CE">
        <w:t xml:space="preserve">The results </w:t>
      </w:r>
      <w:r w:rsidR="007B0156">
        <w:t xml:space="preserve">of this collection </w:t>
      </w:r>
      <w:r w:rsidRPr="00DA00CE">
        <w:t>will not be published.</w:t>
      </w:r>
    </w:p>
    <w:p w:rsidR="00050728" w:rsidRDefault="00050728">
      <w:pPr>
        <w:widowControl/>
      </w:pPr>
    </w:p>
    <w:p w:rsidR="00136E5A" w:rsidRDefault="00136E5A">
      <w:pPr>
        <w:widowControl/>
      </w:pPr>
      <w:r>
        <w:rPr>
          <w:b/>
          <w:bCs/>
        </w:rPr>
        <w:t xml:space="preserve">17.  </w:t>
      </w:r>
      <w:r>
        <w:rPr>
          <w:b/>
          <w:bCs/>
          <w:u w:val="single"/>
        </w:rPr>
        <w:t>If seeking approval to not display the expiration date for OMB approval of the information collection, explain the reasons why display would be inappropriate</w:t>
      </w:r>
      <w:r>
        <w:rPr>
          <w:b/>
          <w:bCs/>
        </w:rPr>
        <w:t>.</w:t>
      </w:r>
    </w:p>
    <w:p w:rsidR="00136E5A" w:rsidRDefault="00136E5A">
      <w:pPr>
        <w:widowControl/>
      </w:pPr>
    </w:p>
    <w:p w:rsidR="00DC7587" w:rsidRDefault="000911FF">
      <w:pPr>
        <w:widowControl/>
      </w:pPr>
      <w:r>
        <w:t>The OMB Control number and expiration date will be displayed.</w:t>
      </w:r>
    </w:p>
    <w:p w:rsidR="004F1C0B" w:rsidRDefault="004F1C0B">
      <w:pPr>
        <w:widowControl/>
        <w:rPr>
          <w:rFonts w:ascii="Shruti" w:hAnsi="Shruti" w:cs="Shruti"/>
        </w:rPr>
      </w:pPr>
    </w:p>
    <w:p w:rsidR="00136E5A" w:rsidRDefault="00136E5A">
      <w:pPr>
        <w:widowControl/>
        <w:rPr>
          <w:b/>
          <w:bCs/>
        </w:rPr>
      </w:pPr>
      <w:r>
        <w:rPr>
          <w:b/>
          <w:bCs/>
        </w:rPr>
        <w:t xml:space="preserve">18.  </w:t>
      </w:r>
      <w:r>
        <w:rPr>
          <w:b/>
          <w:bCs/>
          <w:u w:val="single"/>
        </w:rPr>
        <w:t>Explain each exception to the certification statement</w:t>
      </w:r>
      <w:r>
        <w:rPr>
          <w:b/>
          <w:bCs/>
        </w:rPr>
        <w:t>.</w:t>
      </w:r>
    </w:p>
    <w:p w:rsidR="00C002D3" w:rsidRDefault="00C002D3">
      <w:pPr>
        <w:widowControl/>
        <w:rPr>
          <w:rFonts w:ascii="Shruti" w:hAnsi="Shruti" w:cs="Shruti"/>
        </w:rPr>
      </w:pPr>
    </w:p>
    <w:p w:rsidR="00325AF1" w:rsidRDefault="000911FF">
      <w:pPr>
        <w:widowControl/>
      </w:pPr>
      <w:r>
        <w:t>NIST does not require any exceptions.</w:t>
      </w:r>
    </w:p>
    <w:p w:rsidR="0031748C" w:rsidP="00C002D3" w:rsidRDefault="0031748C">
      <w:pPr>
        <w:widowControl/>
      </w:pPr>
    </w:p>
    <w:p w:rsidR="00C002D3" w:rsidP="00C002D3" w:rsidRDefault="00325AF1">
      <w:pPr>
        <w:widowControl/>
      </w:pPr>
      <w:r>
        <w:rPr>
          <w:b/>
          <w:bCs/>
        </w:rPr>
        <w:t>B.</w:t>
      </w:r>
      <w:r w:rsidR="00C002D3">
        <w:rPr>
          <w:b/>
          <w:bCs/>
        </w:rPr>
        <w:t xml:space="preserve">  COLLECTIONS OF INFORMATION EMPLOYING STATISTICAL METHODS</w:t>
      </w:r>
    </w:p>
    <w:p w:rsidR="001B5C62" w:rsidRDefault="001B5C62">
      <w:pPr>
        <w:widowControl/>
      </w:pPr>
    </w:p>
    <w:p w:rsidR="00B0583F" w:rsidRDefault="00B0583F">
      <w:pPr>
        <w:widowControl/>
      </w:pPr>
      <w:r>
        <w:t>This collection does not employ statistical methodology.</w:t>
      </w:r>
    </w:p>
    <w:p w:rsidR="001B5C62" w:rsidRDefault="001B5C62">
      <w:pPr>
        <w:widowControl/>
      </w:pPr>
    </w:p>
    <w:sectPr w:rsidR="001B5C62" w:rsidSect="000D0A55">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1440" w:footer="108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7541" w:rsidRDefault="006E7541">
      <w:r>
        <w:separator/>
      </w:r>
    </w:p>
  </w:endnote>
  <w:endnote w:type="continuationSeparator" w:id="0">
    <w:p w:rsidR="006E7541" w:rsidRDefault="006E7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5162" w:rsidRDefault="00F751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5162" w:rsidRDefault="00F75162">
    <w:pPr>
      <w:spacing w:line="240" w:lineRule="exact"/>
    </w:pPr>
  </w:p>
  <w:p w:rsidR="00F75162" w:rsidRDefault="00F75162">
    <w:pPr>
      <w:framePr w:w="9361" w:wrap="notBeside" w:vAnchor="text" w:hAnchor="text" w:x="1" w:y="1"/>
      <w:jc w:val="center"/>
    </w:pPr>
    <w:r>
      <w:fldChar w:fldCharType="begin"/>
    </w:r>
    <w:r>
      <w:instrText xml:space="preserve">PAGE </w:instrText>
    </w:r>
    <w:r>
      <w:fldChar w:fldCharType="separate"/>
    </w:r>
    <w:r w:rsidR="00376171">
      <w:rPr>
        <w:noProof/>
      </w:rPr>
      <w:t>1</w:t>
    </w:r>
    <w:r>
      <w:rPr>
        <w:noProof/>
      </w:rPr>
      <w:fldChar w:fldCharType="end"/>
    </w:r>
  </w:p>
  <w:p w:rsidR="00F75162" w:rsidRDefault="00F751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5162" w:rsidRDefault="00F751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7541" w:rsidRDefault="006E7541">
      <w:r>
        <w:separator/>
      </w:r>
    </w:p>
  </w:footnote>
  <w:footnote w:type="continuationSeparator" w:id="0">
    <w:p w:rsidR="006E7541" w:rsidRDefault="006E75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5162" w:rsidRDefault="00F751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5162" w:rsidRDefault="00F751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5162" w:rsidRDefault="00F751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36663802"/>
    <w:multiLevelType w:val="hybridMultilevel"/>
    <w:tmpl w:val="21948872"/>
    <w:lvl w:ilvl="0" w:tplc="EEC2113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7B30B7"/>
    <w:multiLevelType w:val="hybridMultilevel"/>
    <w:tmpl w:val="7722C6E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623B2AF6"/>
    <w:multiLevelType w:val="hybridMultilevel"/>
    <w:tmpl w:val="02944470"/>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EE519C"/>
    <w:multiLevelType w:val="multilevel"/>
    <w:tmpl w:val="7BB2DE9C"/>
    <w:lvl w:ilvl="0">
      <w:start w:val="1"/>
      <w:numFmt w:val="decimal"/>
      <w:lvlText w:val="%1."/>
      <w:lvlJc w:val="left"/>
      <w:pPr>
        <w:ind w:left="540" w:hanging="360"/>
      </w:pPr>
    </w:lvl>
    <w:lvl w:ilvl="1">
      <w:start w:val="1"/>
      <w:numFmt w:val="upperLetter"/>
      <w:lvlText w:val="%2"/>
      <w:lvlJc w:val="left"/>
      <w:pPr>
        <w:ind w:left="1080" w:hanging="360"/>
      </w:pPr>
    </w:lvl>
    <w:lvl w:ilvl="2">
      <w:start w:val="1"/>
      <w:numFmt w:val="lowerRoman"/>
      <w:lvlText w:val="%3."/>
      <w:lvlJc w:val="right"/>
      <w:pPr>
        <w:ind w:left="1800" w:hanging="180"/>
      </w:pPr>
    </w:lvl>
    <w:lvl w:ilvl="3">
      <w:start w:val="1"/>
      <w:numFmt w:val="lowerLetter"/>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7BD858AC"/>
    <w:multiLevelType w:val="hybridMultilevel"/>
    <w:tmpl w:val="EED29B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36E5A"/>
    <w:rsid w:val="000111DF"/>
    <w:rsid w:val="00011297"/>
    <w:rsid w:val="00027886"/>
    <w:rsid w:val="00043F75"/>
    <w:rsid w:val="00050728"/>
    <w:rsid w:val="00053909"/>
    <w:rsid w:val="000579B5"/>
    <w:rsid w:val="00077546"/>
    <w:rsid w:val="00081662"/>
    <w:rsid w:val="0008433D"/>
    <w:rsid w:val="0008643E"/>
    <w:rsid w:val="00086B3C"/>
    <w:rsid w:val="000911FF"/>
    <w:rsid w:val="00093A2A"/>
    <w:rsid w:val="00097F75"/>
    <w:rsid w:val="000A01CF"/>
    <w:rsid w:val="000A1082"/>
    <w:rsid w:val="000B2974"/>
    <w:rsid w:val="000B3169"/>
    <w:rsid w:val="000B32BD"/>
    <w:rsid w:val="000C314D"/>
    <w:rsid w:val="000C7988"/>
    <w:rsid w:val="000D0A55"/>
    <w:rsid w:val="000E1186"/>
    <w:rsid w:val="000E7E5E"/>
    <w:rsid w:val="000F0DD2"/>
    <w:rsid w:val="000F1C19"/>
    <w:rsid w:val="000F370A"/>
    <w:rsid w:val="000F4AD6"/>
    <w:rsid w:val="000F4EC9"/>
    <w:rsid w:val="0010527F"/>
    <w:rsid w:val="00116960"/>
    <w:rsid w:val="00117333"/>
    <w:rsid w:val="001224D4"/>
    <w:rsid w:val="00136788"/>
    <w:rsid w:val="00136E5A"/>
    <w:rsid w:val="00140AB7"/>
    <w:rsid w:val="00141D7F"/>
    <w:rsid w:val="00142E96"/>
    <w:rsid w:val="00150648"/>
    <w:rsid w:val="001602C7"/>
    <w:rsid w:val="001713F8"/>
    <w:rsid w:val="00173A03"/>
    <w:rsid w:val="001777A6"/>
    <w:rsid w:val="001975F1"/>
    <w:rsid w:val="001979BA"/>
    <w:rsid w:val="001B1E8B"/>
    <w:rsid w:val="001B256B"/>
    <w:rsid w:val="001B274D"/>
    <w:rsid w:val="001B3EF2"/>
    <w:rsid w:val="001B53AB"/>
    <w:rsid w:val="001B5C62"/>
    <w:rsid w:val="001B7BBD"/>
    <w:rsid w:val="001C3089"/>
    <w:rsid w:val="001C3293"/>
    <w:rsid w:val="001D3C35"/>
    <w:rsid w:val="001D5671"/>
    <w:rsid w:val="001D6FF7"/>
    <w:rsid w:val="001F0B90"/>
    <w:rsid w:val="001F64FC"/>
    <w:rsid w:val="001F65C5"/>
    <w:rsid w:val="002012DD"/>
    <w:rsid w:val="002041C4"/>
    <w:rsid w:val="00204BED"/>
    <w:rsid w:val="0021276A"/>
    <w:rsid w:val="0023206F"/>
    <w:rsid w:val="00235589"/>
    <w:rsid w:val="00252054"/>
    <w:rsid w:val="00271BE8"/>
    <w:rsid w:val="00274239"/>
    <w:rsid w:val="00280000"/>
    <w:rsid w:val="00283D19"/>
    <w:rsid w:val="00290764"/>
    <w:rsid w:val="002C60C0"/>
    <w:rsid w:val="002D2FD3"/>
    <w:rsid w:val="002D3425"/>
    <w:rsid w:val="002D3E9B"/>
    <w:rsid w:val="002F51C2"/>
    <w:rsid w:val="003141B5"/>
    <w:rsid w:val="0031748C"/>
    <w:rsid w:val="00321834"/>
    <w:rsid w:val="00323169"/>
    <w:rsid w:val="00323668"/>
    <w:rsid w:val="00325AF1"/>
    <w:rsid w:val="00343DD7"/>
    <w:rsid w:val="00344811"/>
    <w:rsid w:val="0035775F"/>
    <w:rsid w:val="00363E8F"/>
    <w:rsid w:val="00376171"/>
    <w:rsid w:val="00386BEF"/>
    <w:rsid w:val="003958BF"/>
    <w:rsid w:val="003976A9"/>
    <w:rsid w:val="003A1AC5"/>
    <w:rsid w:val="003A4560"/>
    <w:rsid w:val="003A506A"/>
    <w:rsid w:val="003A77D3"/>
    <w:rsid w:val="003B10B2"/>
    <w:rsid w:val="003C4816"/>
    <w:rsid w:val="003D4491"/>
    <w:rsid w:val="003E0B4E"/>
    <w:rsid w:val="003E2817"/>
    <w:rsid w:val="003F4161"/>
    <w:rsid w:val="003F431D"/>
    <w:rsid w:val="003F6C8B"/>
    <w:rsid w:val="004018DE"/>
    <w:rsid w:val="00403D66"/>
    <w:rsid w:val="00405291"/>
    <w:rsid w:val="00420B46"/>
    <w:rsid w:val="004260EF"/>
    <w:rsid w:val="00434B25"/>
    <w:rsid w:val="0044795E"/>
    <w:rsid w:val="00457B7D"/>
    <w:rsid w:val="00476CA1"/>
    <w:rsid w:val="00486429"/>
    <w:rsid w:val="0048748F"/>
    <w:rsid w:val="004971C2"/>
    <w:rsid w:val="004A3BB2"/>
    <w:rsid w:val="004E1AC7"/>
    <w:rsid w:val="004F1C0B"/>
    <w:rsid w:val="005066E2"/>
    <w:rsid w:val="005167A5"/>
    <w:rsid w:val="00522491"/>
    <w:rsid w:val="00526840"/>
    <w:rsid w:val="00531DF6"/>
    <w:rsid w:val="005508D2"/>
    <w:rsid w:val="00565BE6"/>
    <w:rsid w:val="00566BA3"/>
    <w:rsid w:val="0057620E"/>
    <w:rsid w:val="00583B11"/>
    <w:rsid w:val="005911ED"/>
    <w:rsid w:val="005930CF"/>
    <w:rsid w:val="005B2F8E"/>
    <w:rsid w:val="005B405E"/>
    <w:rsid w:val="005C18BE"/>
    <w:rsid w:val="006027BA"/>
    <w:rsid w:val="006069A5"/>
    <w:rsid w:val="0062648E"/>
    <w:rsid w:val="00662B22"/>
    <w:rsid w:val="006743DB"/>
    <w:rsid w:val="00680310"/>
    <w:rsid w:val="00696C3D"/>
    <w:rsid w:val="006C6D25"/>
    <w:rsid w:val="006D594D"/>
    <w:rsid w:val="006E0C6B"/>
    <w:rsid w:val="006E1414"/>
    <w:rsid w:val="006E7541"/>
    <w:rsid w:val="006F0E82"/>
    <w:rsid w:val="006F443F"/>
    <w:rsid w:val="006F4609"/>
    <w:rsid w:val="006F55C8"/>
    <w:rsid w:val="00700BBC"/>
    <w:rsid w:val="007010FD"/>
    <w:rsid w:val="0070582A"/>
    <w:rsid w:val="00711F9D"/>
    <w:rsid w:val="00734522"/>
    <w:rsid w:val="00736CA5"/>
    <w:rsid w:val="00742B9D"/>
    <w:rsid w:val="00742C0E"/>
    <w:rsid w:val="00745B7C"/>
    <w:rsid w:val="00752972"/>
    <w:rsid w:val="00753BBC"/>
    <w:rsid w:val="007548E4"/>
    <w:rsid w:val="0075595D"/>
    <w:rsid w:val="00765EDE"/>
    <w:rsid w:val="007674B2"/>
    <w:rsid w:val="007862D4"/>
    <w:rsid w:val="00793557"/>
    <w:rsid w:val="0079665A"/>
    <w:rsid w:val="00797A45"/>
    <w:rsid w:val="007A7A7E"/>
    <w:rsid w:val="007B0156"/>
    <w:rsid w:val="007C5836"/>
    <w:rsid w:val="007C7218"/>
    <w:rsid w:val="007D453E"/>
    <w:rsid w:val="007F7DD7"/>
    <w:rsid w:val="00811282"/>
    <w:rsid w:val="00825575"/>
    <w:rsid w:val="00837FE8"/>
    <w:rsid w:val="00842F3F"/>
    <w:rsid w:val="0085465C"/>
    <w:rsid w:val="008575CE"/>
    <w:rsid w:val="00861495"/>
    <w:rsid w:val="008708B8"/>
    <w:rsid w:val="00871605"/>
    <w:rsid w:val="00891442"/>
    <w:rsid w:val="00891FBB"/>
    <w:rsid w:val="0089268A"/>
    <w:rsid w:val="00894CE8"/>
    <w:rsid w:val="008A19D5"/>
    <w:rsid w:val="008A50B8"/>
    <w:rsid w:val="008C1F76"/>
    <w:rsid w:val="008C7BB3"/>
    <w:rsid w:val="008C7FD3"/>
    <w:rsid w:val="008D329F"/>
    <w:rsid w:val="008E13D7"/>
    <w:rsid w:val="008E5077"/>
    <w:rsid w:val="008E6C68"/>
    <w:rsid w:val="00900236"/>
    <w:rsid w:val="009075A8"/>
    <w:rsid w:val="00913A59"/>
    <w:rsid w:val="00946346"/>
    <w:rsid w:val="00955DF8"/>
    <w:rsid w:val="00967BCC"/>
    <w:rsid w:val="00971C32"/>
    <w:rsid w:val="00971E0A"/>
    <w:rsid w:val="009835AB"/>
    <w:rsid w:val="00984309"/>
    <w:rsid w:val="009A0831"/>
    <w:rsid w:val="009A74A6"/>
    <w:rsid w:val="009C22B5"/>
    <w:rsid w:val="009E4A4D"/>
    <w:rsid w:val="009F2A1C"/>
    <w:rsid w:val="009F4349"/>
    <w:rsid w:val="009F6B69"/>
    <w:rsid w:val="00A032E2"/>
    <w:rsid w:val="00A110F8"/>
    <w:rsid w:val="00A1218F"/>
    <w:rsid w:val="00A15156"/>
    <w:rsid w:val="00A21BDE"/>
    <w:rsid w:val="00A32D72"/>
    <w:rsid w:val="00A43E01"/>
    <w:rsid w:val="00A503C4"/>
    <w:rsid w:val="00A67599"/>
    <w:rsid w:val="00A73675"/>
    <w:rsid w:val="00A8203E"/>
    <w:rsid w:val="00AA7EE8"/>
    <w:rsid w:val="00AB0EF8"/>
    <w:rsid w:val="00AE003B"/>
    <w:rsid w:val="00AE14AF"/>
    <w:rsid w:val="00AE1F5B"/>
    <w:rsid w:val="00AE3C99"/>
    <w:rsid w:val="00AE7D69"/>
    <w:rsid w:val="00AF065E"/>
    <w:rsid w:val="00B04C38"/>
    <w:rsid w:val="00B0583F"/>
    <w:rsid w:val="00B12B25"/>
    <w:rsid w:val="00B142C1"/>
    <w:rsid w:val="00B23AEC"/>
    <w:rsid w:val="00B26622"/>
    <w:rsid w:val="00B279DB"/>
    <w:rsid w:val="00B323C2"/>
    <w:rsid w:val="00B35DBC"/>
    <w:rsid w:val="00B36D13"/>
    <w:rsid w:val="00B4083D"/>
    <w:rsid w:val="00B53B27"/>
    <w:rsid w:val="00B63611"/>
    <w:rsid w:val="00B65D45"/>
    <w:rsid w:val="00B70EF8"/>
    <w:rsid w:val="00B751FE"/>
    <w:rsid w:val="00B939A9"/>
    <w:rsid w:val="00B94D8A"/>
    <w:rsid w:val="00BA40F3"/>
    <w:rsid w:val="00BA4B25"/>
    <w:rsid w:val="00BB5798"/>
    <w:rsid w:val="00BB5FA3"/>
    <w:rsid w:val="00BB7AB0"/>
    <w:rsid w:val="00BC5586"/>
    <w:rsid w:val="00BD04B8"/>
    <w:rsid w:val="00BD2607"/>
    <w:rsid w:val="00BD5DF9"/>
    <w:rsid w:val="00BE7C0C"/>
    <w:rsid w:val="00BF3549"/>
    <w:rsid w:val="00C002D3"/>
    <w:rsid w:val="00C162F7"/>
    <w:rsid w:val="00C20A2C"/>
    <w:rsid w:val="00C23507"/>
    <w:rsid w:val="00C36A6D"/>
    <w:rsid w:val="00C548EB"/>
    <w:rsid w:val="00C67D83"/>
    <w:rsid w:val="00C7090A"/>
    <w:rsid w:val="00C85474"/>
    <w:rsid w:val="00C94E9C"/>
    <w:rsid w:val="00C953F9"/>
    <w:rsid w:val="00C9676A"/>
    <w:rsid w:val="00CA1FEC"/>
    <w:rsid w:val="00CA5CF4"/>
    <w:rsid w:val="00CB18AA"/>
    <w:rsid w:val="00CB6B58"/>
    <w:rsid w:val="00CC4604"/>
    <w:rsid w:val="00CC69B3"/>
    <w:rsid w:val="00CC7C8A"/>
    <w:rsid w:val="00CD1B0F"/>
    <w:rsid w:val="00CF2660"/>
    <w:rsid w:val="00D007FA"/>
    <w:rsid w:val="00D12F9D"/>
    <w:rsid w:val="00D17AF6"/>
    <w:rsid w:val="00D25C17"/>
    <w:rsid w:val="00D27B05"/>
    <w:rsid w:val="00D366F0"/>
    <w:rsid w:val="00D408E4"/>
    <w:rsid w:val="00D41598"/>
    <w:rsid w:val="00D41CBD"/>
    <w:rsid w:val="00D54555"/>
    <w:rsid w:val="00D671A4"/>
    <w:rsid w:val="00D7199A"/>
    <w:rsid w:val="00D72088"/>
    <w:rsid w:val="00D74454"/>
    <w:rsid w:val="00D767F3"/>
    <w:rsid w:val="00D7714A"/>
    <w:rsid w:val="00D8679D"/>
    <w:rsid w:val="00D87AC2"/>
    <w:rsid w:val="00D90B0D"/>
    <w:rsid w:val="00D95166"/>
    <w:rsid w:val="00D9671E"/>
    <w:rsid w:val="00DA00CE"/>
    <w:rsid w:val="00DA1869"/>
    <w:rsid w:val="00DC5112"/>
    <w:rsid w:val="00DC6FB0"/>
    <w:rsid w:val="00DC7587"/>
    <w:rsid w:val="00DE1DBF"/>
    <w:rsid w:val="00DF49DB"/>
    <w:rsid w:val="00DF7EFD"/>
    <w:rsid w:val="00E064AF"/>
    <w:rsid w:val="00E13F6F"/>
    <w:rsid w:val="00E16418"/>
    <w:rsid w:val="00E22A72"/>
    <w:rsid w:val="00E26E89"/>
    <w:rsid w:val="00E26EAA"/>
    <w:rsid w:val="00E33E64"/>
    <w:rsid w:val="00E35EB3"/>
    <w:rsid w:val="00E4680A"/>
    <w:rsid w:val="00E47C7B"/>
    <w:rsid w:val="00E512E6"/>
    <w:rsid w:val="00E70FCD"/>
    <w:rsid w:val="00E81A19"/>
    <w:rsid w:val="00EB11DA"/>
    <w:rsid w:val="00EB5D92"/>
    <w:rsid w:val="00EC393F"/>
    <w:rsid w:val="00ED4265"/>
    <w:rsid w:val="00EE691C"/>
    <w:rsid w:val="00EF1E31"/>
    <w:rsid w:val="00EF7697"/>
    <w:rsid w:val="00F00536"/>
    <w:rsid w:val="00F63F37"/>
    <w:rsid w:val="00F71341"/>
    <w:rsid w:val="00F75162"/>
    <w:rsid w:val="00F93C65"/>
    <w:rsid w:val="00FA14D6"/>
    <w:rsid w:val="00FB3BDE"/>
    <w:rsid w:val="00FB6F04"/>
    <w:rsid w:val="00FC6402"/>
    <w:rsid w:val="00FC71F0"/>
    <w:rsid w:val="00FF0B7A"/>
    <w:rsid w:val="00FF6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5121"/>
    <o:shapelayout v:ext="edit">
      <o:idmap v:ext="edit" data="1"/>
    </o:shapelayout>
  </w:shapeDefaults>
  <w:decimalSymbol w:val="."/>
  <w:listSeparator w:val=","/>
  <w14:docId w14:val="6A7C10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1282"/>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811282"/>
  </w:style>
  <w:style w:type="paragraph" w:styleId="Header">
    <w:name w:val="header"/>
    <w:basedOn w:val="Normal"/>
    <w:link w:val="HeaderChar"/>
    <w:rsid w:val="006027BA"/>
    <w:pPr>
      <w:tabs>
        <w:tab w:val="center" w:pos="4320"/>
        <w:tab w:val="right" w:pos="8640"/>
      </w:tabs>
    </w:pPr>
    <w:rPr>
      <w:lang w:val="x-none" w:eastAsia="x-none"/>
    </w:rPr>
  </w:style>
  <w:style w:type="character" w:customStyle="1" w:styleId="HeaderChar">
    <w:name w:val="Header Char"/>
    <w:link w:val="Header"/>
    <w:rsid w:val="006027BA"/>
    <w:rPr>
      <w:sz w:val="24"/>
      <w:szCs w:val="24"/>
    </w:rPr>
  </w:style>
  <w:style w:type="paragraph" w:styleId="HTMLPreformatted">
    <w:name w:val="HTML Preformatted"/>
    <w:basedOn w:val="Normal"/>
    <w:link w:val="HTMLPreformattedChar"/>
    <w:rsid w:val="00B53B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sz w:val="20"/>
      <w:szCs w:val="20"/>
      <w:lang w:val="x-none" w:eastAsia="x-none"/>
    </w:rPr>
  </w:style>
  <w:style w:type="character" w:customStyle="1" w:styleId="HTMLPreformattedChar">
    <w:name w:val="HTML Preformatted Char"/>
    <w:link w:val="HTMLPreformatted"/>
    <w:rsid w:val="00B53B27"/>
    <w:rPr>
      <w:rFonts w:ascii="Courier New" w:hAnsi="Courier New" w:cs="Courier New"/>
    </w:rPr>
  </w:style>
  <w:style w:type="character" w:styleId="Strong">
    <w:name w:val="Strong"/>
    <w:qFormat/>
    <w:rsid w:val="00B53B27"/>
    <w:rPr>
      <w:b/>
      <w:bCs/>
    </w:rPr>
  </w:style>
  <w:style w:type="paragraph" w:styleId="BalloonText">
    <w:name w:val="Balloon Text"/>
    <w:basedOn w:val="Normal"/>
    <w:link w:val="BalloonTextChar"/>
    <w:rsid w:val="00711F9D"/>
    <w:rPr>
      <w:rFonts w:ascii="Tahoma" w:hAnsi="Tahoma"/>
      <w:sz w:val="16"/>
      <w:szCs w:val="16"/>
      <w:lang w:val="x-none" w:eastAsia="x-none"/>
    </w:rPr>
  </w:style>
  <w:style w:type="character" w:customStyle="1" w:styleId="BalloonTextChar">
    <w:name w:val="Balloon Text Char"/>
    <w:link w:val="BalloonText"/>
    <w:rsid w:val="00711F9D"/>
    <w:rPr>
      <w:rFonts w:ascii="Tahoma" w:hAnsi="Tahoma" w:cs="Tahoma"/>
      <w:sz w:val="16"/>
      <w:szCs w:val="16"/>
    </w:rPr>
  </w:style>
  <w:style w:type="character" w:styleId="Hyperlink">
    <w:name w:val="Hyperlink"/>
    <w:rsid w:val="000A01CF"/>
    <w:rPr>
      <w:color w:val="0000FF"/>
      <w:u w:val="single"/>
    </w:rPr>
  </w:style>
  <w:style w:type="character" w:styleId="CommentReference">
    <w:name w:val="annotation reference"/>
    <w:rsid w:val="000A01CF"/>
    <w:rPr>
      <w:sz w:val="16"/>
      <w:szCs w:val="16"/>
    </w:rPr>
  </w:style>
  <w:style w:type="paragraph" w:styleId="CommentText">
    <w:name w:val="annotation text"/>
    <w:basedOn w:val="Normal"/>
    <w:link w:val="CommentTextChar"/>
    <w:rsid w:val="000A01CF"/>
    <w:rPr>
      <w:sz w:val="20"/>
      <w:szCs w:val="20"/>
    </w:rPr>
  </w:style>
  <w:style w:type="character" w:customStyle="1" w:styleId="CommentTextChar">
    <w:name w:val="Comment Text Char"/>
    <w:basedOn w:val="DefaultParagraphFont"/>
    <w:link w:val="CommentText"/>
    <w:rsid w:val="000A01CF"/>
  </w:style>
  <w:style w:type="paragraph" w:styleId="CommentSubject">
    <w:name w:val="annotation subject"/>
    <w:basedOn w:val="CommentText"/>
    <w:next w:val="CommentText"/>
    <w:link w:val="CommentSubjectChar"/>
    <w:rsid w:val="000A01CF"/>
    <w:rPr>
      <w:b/>
      <w:bCs/>
      <w:lang w:val="x-none" w:eastAsia="x-none"/>
    </w:rPr>
  </w:style>
  <w:style w:type="character" w:customStyle="1" w:styleId="CommentSubjectChar">
    <w:name w:val="Comment Subject Char"/>
    <w:link w:val="CommentSubject"/>
    <w:rsid w:val="000A01CF"/>
    <w:rPr>
      <w:b/>
      <w:bCs/>
    </w:rPr>
  </w:style>
  <w:style w:type="paragraph" w:styleId="Revision">
    <w:name w:val="Revision"/>
    <w:hidden/>
    <w:uiPriority w:val="99"/>
    <w:semiHidden/>
    <w:rsid w:val="00F71341"/>
    <w:rPr>
      <w:sz w:val="24"/>
      <w:szCs w:val="24"/>
    </w:rPr>
  </w:style>
  <w:style w:type="paragraph" w:styleId="ListParagraph">
    <w:name w:val="List Paragraph"/>
    <w:aliases w:val="Dot pt,F5 List Paragraph,List Paragraph Char Char Char,Indicator Text,Numbered Para 1,Bullet 1,Bullet Points,List Paragraph2,MAIN CONTENT,Normal numbered,List Paragraph1,Colorful List - Accent 11,Issue Action POC,3,POCG Table Text,Bullet"/>
    <w:basedOn w:val="Normal"/>
    <w:link w:val="ListParagraphChar"/>
    <w:uiPriority w:val="34"/>
    <w:qFormat/>
    <w:rsid w:val="00050728"/>
    <w:pPr>
      <w:widowControl/>
      <w:autoSpaceDE/>
      <w:autoSpaceDN/>
      <w:adjustRightInd/>
      <w:ind w:left="720"/>
    </w:pPr>
    <w:rPr>
      <w:rFonts w:ascii="Calibri" w:eastAsia="Calibri" w:hAnsi="Calibri"/>
      <w:sz w:val="22"/>
      <w:szCs w:val="22"/>
    </w:rPr>
  </w:style>
  <w:style w:type="paragraph" w:styleId="Footer">
    <w:name w:val="footer"/>
    <w:basedOn w:val="Normal"/>
    <w:link w:val="FooterChar"/>
    <w:rsid w:val="008E6C68"/>
    <w:pPr>
      <w:tabs>
        <w:tab w:val="center" w:pos="4680"/>
        <w:tab w:val="right" w:pos="9360"/>
      </w:tabs>
    </w:pPr>
    <w:rPr>
      <w:lang w:val="x-none" w:eastAsia="x-none"/>
    </w:rPr>
  </w:style>
  <w:style w:type="character" w:customStyle="1" w:styleId="FooterChar">
    <w:name w:val="Footer Char"/>
    <w:link w:val="Footer"/>
    <w:rsid w:val="008E6C68"/>
    <w:rPr>
      <w:sz w:val="24"/>
      <w:szCs w:val="24"/>
    </w:rPr>
  </w:style>
  <w:style w:type="paragraph" w:styleId="NormalWeb">
    <w:name w:val="Normal (Web)"/>
    <w:basedOn w:val="Normal"/>
    <w:uiPriority w:val="99"/>
    <w:unhideWhenUsed/>
    <w:rsid w:val="00150648"/>
    <w:pPr>
      <w:widowControl/>
      <w:autoSpaceDE/>
      <w:autoSpaceDN/>
      <w:adjustRightInd/>
      <w:spacing w:line="336" w:lineRule="atLeast"/>
    </w:pPr>
  </w:style>
  <w:style w:type="character" w:customStyle="1" w:styleId="p1">
    <w:name w:val="p1"/>
    <w:rsid w:val="004A3BB2"/>
    <w:rPr>
      <w:vanish w:val="0"/>
      <w:webHidden w:val="0"/>
      <w:specVanish w:val="0"/>
    </w:rPr>
  </w:style>
  <w:style w:type="character" w:customStyle="1" w:styleId="e-031">
    <w:name w:val="e-031"/>
    <w:rsid w:val="004A3BB2"/>
    <w:rPr>
      <w:i/>
      <w:iCs/>
    </w:rPr>
  </w:style>
  <w:style w:type="character" w:customStyle="1" w:styleId="ListParagraphChar">
    <w:name w:val="List Paragraph Char"/>
    <w:aliases w:val="Dot pt Char,F5 List Paragraph Char,List Paragraph Char Char Char Char,Indicator Text Char,Numbered Para 1 Char,Bullet 1 Char,Bullet Points Char,List Paragraph2 Char,MAIN CONTENT Char,Normal numbered Char,List Paragraph1 Char,3 Char"/>
    <w:link w:val="ListParagraph"/>
    <w:uiPriority w:val="34"/>
    <w:locked/>
    <w:rsid w:val="000579B5"/>
    <w:rPr>
      <w:rFonts w:ascii="Calibri" w:eastAsia="Calibri" w:hAnsi="Calibri"/>
      <w:sz w:val="22"/>
      <w:szCs w:val="22"/>
    </w:rPr>
  </w:style>
  <w:style w:type="character" w:styleId="Emphasis">
    <w:name w:val="Emphasis"/>
    <w:uiPriority w:val="20"/>
    <w:qFormat/>
    <w:rsid w:val="000579B5"/>
    <w:rPr>
      <w:i/>
      <w:iCs/>
    </w:rPr>
  </w:style>
  <w:style w:type="table" w:styleId="TableGrid">
    <w:name w:val="Table Grid"/>
    <w:basedOn w:val="TableNormal"/>
    <w:rsid w:val="00DF7E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8001">
      <w:bodyDiv w:val="1"/>
      <w:marLeft w:val="0"/>
      <w:marRight w:val="0"/>
      <w:marTop w:val="0"/>
      <w:marBottom w:val="0"/>
      <w:divBdr>
        <w:top w:val="none" w:sz="0" w:space="0" w:color="auto"/>
        <w:left w:val="none" w:sz="0" w:space="0" w:color="auto"/>
        <w:bottom w:val="none" w:sz="0" w:space="0" w:color="auto"/>
        <w:right w:val="none" w:sz="0" w:space="0" w:color="auto"/>
      </w:divBdr>
      <w:divsChild>
        <w:div w:id="1608738002">
          <w:marLeft w:val="0"/>
          <w:marRight w:val="0"/>
          <w:marTop w:val="0"/>
          <w:marBottom w:val="0"/>
          <w:divBdr>
            <w:top w:val="none" w:sz="0" w:space="0" w:color="auto"/>
            <w:left w:val="none" w:sz="0" w:space="0" w:color="auto"/>
            <w:bottom w:val="none" w:sz="0" w:space="0" w:color="auto"/>
            <w:right w:val="none" w:sz="0" w:space="0" w:color="auto"/>
          </w:divBdr>
          <w:divsChild>
            <w:div w:id="2143619759">
              <w:marLeft w:val="0"/>
              <w:marRight w:val="0"/>
              <w:marTop w:val="0"/>
              <w:marBottom w:val="0"/>
              <w:divBdr>
                <w:top w:val="none" w:sz="0" w:space="0" w:color="auto"/>
                <w:left w:val="none" w:sz="0" w:space="0" w:color="auto"/>
                <w:bottom w:val="none" w:sz="0" w:space="0" w:color="auto"/>
                <w:right w:val="none" w:sz="0" w:space="0" w:color="auto"/>
              </w:divBdr>
              <w:divsChild>
                <w:div w:id="959728959">
                  <w:marLeft w:val="0"/>
                  <w:marRight w:val="0"/>
                  <w:marTop w:val="0"/>
                  <w:marBottom w:val="0"/>
                  <w:divBdr>
                    <w:top w:val="none" w:sz="0" w:space="0" w:color="auto"/>
                    <w:left w:val="none" w:sz="0" w:space="0" w:color="auto"/>
                    <w:bottom w:val="none" w:sz="0" w:space="0" w:color="auto"/>
                    <w:right w:val="none" w:sz="0" w:space="0" w:color="auto"/>
                  </w:divBdr>
                  <w:divsChild>
                    <w:div w:id="315183048">
                      <w:marLeft w:val="0"/>
                      <w:marRight w:val="0"/>
                      <w:marTop w:val="0"/>
                      <w:marBottom w:val="0"/>
                      <w:divBdr>
                        <w:top w:val="none" w:sz="0" w:space="0" w:color="auto"/>
                        <w:left w:val="none" w:sz="0" w:space="0" w:color="auto"/>
                        <w:bottom w:val="none" w:sz="0" w:space="0" w:color="auto"/>
                        <w:right w:val="none" w:sz="0" w:space="0" w:color="auto"/>
                      </w:divBdr>
                      <w:divsChild>
                        <w:div w:id="1397628283">
                          <w:marLeft w:val="0"/>
                          <w:marRight w:val="0"/>
                          <w:marTop w:val="0"/>
                          <w:marBottom w:val="180"/>
                          <w:divBdr>
                            <w:top w:val="none" w:sz="0" w:space="0" w:color="auto"/>
                            <w:left w:val="none" w:sz="0" w:space="0" w:color="auto"/>
                            <w:bottom w:val="none" w:sz="0" w:space="0" w:color="auto"/>
                            <w:right w:val="none" w:sz="0" w:space="0" w:color="auto"/>
                          </w:divBdr>
                          <w:divsChild>
                            <w:div w:id="428042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00918">
      <w:bodyDiv w:val="1"/>
      <w:marLeft w:val="0"/>
      <w:marRight w:val="0"/>
      <w:marTop w:val="0"/>
      <w:marBottom w:val="0"/>
      <w:divBdr>
        <w:top w:val="none" w:sz="0" w:space="0" w:color="auto"/>
        <w:left w:val="none" w:sz="0" w:space="0" w:color="auto"/>
        <w:bottom w:val="none" w:sz="0" w:space="0" w:color="auto"/>
        <w:right w:val="none" w:sz="0" w:space="0" w:color="auto"/>
      </w:divBdr>
    </w:div>
    <w:div w:id="213540209">
      <w:bodyDiv w:val="1"/>
      <w:marLeft w:val="0"/>
      <w:marRight w:val="0"/>
      <w:marTop w:val="0"/>
      <w:marBottom w:val="0"/>
      <w:divBdr>
        <w:top w:val="none" w:sz="0" w:space="0" w:color="auto"/>
        <w:left w:val="none" w:sz="0" w:space="0" w:color="auto"/>
        <w:bottom w:val="none" w:sz="0" w:space="0" w:color="auto"/>
        <w:right w:val="none" w:sz="0" w:space="0" w:color="auto"/>
      </w:divBdr>
      <w:divsChild>
        <w:div w:id="1849714549">
          <w:marLeft w:val="0"/>
          <w:marRight w:val="0"/>
          <w:marTop w:val="0"/>
          <w:marBottom w:val="0"/>
          <w:divBdr>
            <w:top w:val="none" w:sz="0" w:space="0" w:color="auto"/>
            <w:left w:val="none" w:sz="0" w:space="0" w:color="auto"/>
            <w:bottom w:val="none" w:sz="0" w:space="0" w:color="auto"/>
            <w:right w:val="none" w:sz="0" w:space="0" w:color="auto"/>
          </w:divBdr>
          <w:divsChild>
            <w:div w:id="1020279845">
              <w:marLeft w:val="0"/>
              <w:marRight w:val="0"/>
              <w:marTop w:val="0"/>
              <w:marBottom w:val="0"/>
              <w:divBdr>
                <w:top w:val="none" w:sz="0" w:space="0" w:color="auto"/>
                <w:left w:val="none" w:sz="0" w:space="0" w:color="auto"/>
                <w:bottom w:val="none" w:sz="0" w:space="0" w:color="auto"/>
                <w:right w:val="none" w:sz="0" w:space="0" w:color="auto"/>
              </w:divBdr>
              <w:divsChild>
                <w:div w:id="1308510178">
                  <w:marLeft w:val="0"/>
                  <w:marRight w:val="0"/>
                  <w:marTop w:val="0"/>
                  <w:marBottom w:val="0"/>
                  <w:divBdr>
                    <w:top w:val="none" w:sz="0" w:space="0" w:color="auto"/>
                    <w:left w:val="none" w:sz="0" w:space="0" w:color="auto"/>
                    <w:bottom w:val="none" w:sz="0" w:space="0" w:color="auto"/>
                    <w:right w:val="none" w:sz="0" w:space="0" w:color="auto"/>
                  </w:divBdr>
                  <w:divsChild>
                    <w:div w:id="963971358">
                      <w:marLeft w:val="0"/>
                      <w:marRight w:val="0"/>
                      <w:marTop w:val="0"/>
                      <w:marBottom w:val="0"/>
                      <w:divBdr>
                        <w:top w:val="none" w:sz="0" w:space="0" w:color="auto"/>
                        <w:left w:val="none" w:sz="0" w:space="0" w:color="auto"/>
                        <w:bottom w:val="none" w:sz="0" w:space="0" w:color="auto"/>
                        <w:right w:val="none" w:sz="0" w:space="0" w:color="auto"/>
                      </w:divBdr>
                      <w:divsChild>
                        <w:div w:id="94654776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243078534">
      <w:bodyDiv w:val="1"/>
      <w:marLeft w:val="0"/>
      <w:marRight w:val="0"/>
      <w:marTop w:val="0"/>
      <w:marBottom w:val="0"/>
      <w:divBdr>
        <w:top w:val="none" w:sz="0" w:space="0" w:color="auto"/>
        <w:left w:val="none" w:sz="0" w:space="0" w:color="auto"/>
        <w:bottom w:val="none" w:sz="0" w:space="0" w:color="auto"/>
        <w:right w:val="none" w:sz="0" w:space="0" w:color="auto"/>
      </w:divBdr>
    </w:div>
    <w:div w:id="263154257">
      <w:bodyDiv w:val="1"/>
      <w:marLeft w:val="0"/>
      <w:marRight w:val="0"/>
      <w:marTop w:val="0"/>
      <w:marBottom w:val="0"/>
      <w:divBdr>
        <w:top w:val="none" w:sz="0" w:space="0" w:color="auto"/>
        <w:left w:val="none" w:sz="0" w:space="0" w:color="auto"/>
        <w:bottom w:val="none" w:sz="0" w:space="0" w:color="auto"/>
        <w:right w:val="none" w:sz="0" w:space="0" w:color="auto"/>
      </w:divBdr>
    </w:div>
    <w:div w:id="321353159">
      <w:bodyDiv w:val="1"/>
      <w:marLeft w:val="0"/>
      <w:marRight w:val="0"/>
      <w:marTop w:val="0"/>
      <w:marBottom w:val="0"/>
      <w:divBdr>
        <w:top w:val="none" w:sz="0" w:space="0" w:color="auto"/>
        <w:left w:val="none" w:sz="0" w:space="0" w:color="auto"/>
        <w:bottom w:val="none" w:sz="0" w:space="0" w:color="auto"/>
        <w:right w:val="none" w:sz="0" w:space="0" w:color="auto"/>
      </w:divBdr>
    </w:div>
    <w:div w:id="859317983">
      <w:bodyDiv w:val="1"/>
      <w:marLeft w:val="0"/>
      <w:marRight w:val="0"/>
      <w:marTop w:val="0"/>
      <w:marBottom w:val="0"/>
      <w:divBdr>
        <w:top w:val="none" w:sz="0" w:space="0" w:color="auto"/>
        <w:left w:val="none" w:sz="0" w:space="0" w:color="auto"/>
        <w:bottom w:val="none" w:sz="0" w:space="0" w:color="auto"/>
        <w:right w:val="none" w:sz="0" w:space="0" w:color="auto"/>
      </w:divBdr>
    </w:div>
    <w:div w:id="907304026">
      <w:bodyDiv w:val="1"/>
      <w:marLeft w:val="0"/>
      <w:marRight w:val="0"/>
      <w:marTop w:val="0"/>
      <w:marBottom w:val="0"/>
      <w:divBdr>
        <w:top w:val="none" w:sz="0" w:space="0" w:color="auto"/>
        <w:left w:val="none" w:sz="0" w:space="0" w:color="auto"/>
        <w:bottom w:val="none" w:sz="0" w:space="0" w:color="auto"/>
        <w:right w:val="none" w:sz="0" w:space="0" w:color="auto"/>
      </w:divBdr>
    </w:div>
    <w:div w:id="1101560797">
      <w:bodyDiv w:val="1"/>
      <w:marLeft w:val="0"/>
      <w:marRight w:val="0"/>
      <w:marTop w:val="0"/>
      <w:marBottom w:val="0"/>
      <w:divBdr>
        <w:top w:val="none" w:sz="0" w:space="0" w:color="auto"/>
        <w:left w:val="none" w:sz="0" w:space="0" w:color="auto"/>
        <w:bottom w:val="none" w:sz="0" w:space="0" w:color="auto"/>
        <w:right w:val="none" w:sz="0" w:space="0" w:color="auto"/>
      </w:divBdr>
    </w:div>
    <w:div w:id="1264872891">
      <w:bodyDiv w:val="1"/>
      <w:marLeft w:val="0"/>
      <w:marRight w:val="0"/>
      <w:marTop w:val="0"/>
      <w:marBottom w:val="0"/>
      <w:divBdr>
        <w:top w:val="none" w:sz="0" w:space="0" w:color="auto"/>
        <w:left w:val="none" w:sz="0" w:space="0" w:color="auto"/>
        <w:bottom w:val="none" w:sz="0" w:space="0" w:color="auto"/>
        <w:right w:val="none" w:sz="0" w:space="0" w:color="auto"/>
      </w:divBdr>
      <w:divsChild>
        <w:div w:id="1723627891">
          <w:marLeft w:val="0"/>
          <w:marRight w:val="0"/>
          <w:marTop w:val="0"/>
          <w:marBottom w:val="0"/>
          <w:divBdr>
            <w:top w:val="none" w:sz="0" w:space="0" w:color="auto"/>
            <w:left w:val="none" w:sz="0" w:space="0" w:color="auto"/>
            <w:bottom w:val="none" w:sz="0" w:space="0" w:color="auto"/>
            <w:right w:val="none" w:sz="0" w:space="0" w:color="auto"/>
          </w:divBdr>
          <w:divsChild>
            <w:div w:id="2009945333">
              <w:marLeft w:val="0"/>
              <w:marRight w:val="0"/>
              <w:marTop w:val="0"/>
              <w:marBottom w:val="0"/>
              <w:divBdr>
                <w:top w:val="none" w:sz="0" w:space="0" w:color="auto"/>
                <w:left w:val="none" w:sz="0" w:space="0" w:color="auto"/>
                <w:bottom w:val="none" w:sz="0" w:space="0" w:color="auto"/>
                <w:right w:val="none" w:sz="0" w:space="0" w:color="auto"/>
              </w:divBdr>
              <w:divsChild>
                <w:div w:id="1520773993">
                  <w:marLeft w:val="0"/>
                  <w:marRight w:val="0"/>
                  <w:marTop w:val="0"/>
                  <w:marBottom w:val="0"/>
                  <w:divBdr>
                    <w:top w:val="none" w:sz="0" w:space="0" w:color="auto"/>
                    <w:left w:val="single" w:sz="6" w:space="0" w:color="BEBEBE"/>
                    <w:bottom w:val="none" w:sz="0" w:space="0" w:color="auto"/>
                    <w:right w:val="none" w:sz="0" w:space="0" w:color="auto"/>
                  </w:divBdr>
                  <w:divsChild>
                    <w:div w:id="1119370910">
                      <w:marLeft w:val="0"/>
                      <w:marRight w:val="0"/>
                      <w:marTop w:val="0"/>
                      <w:marBottom w:val="0"/>
                      <w:divBdr>
                        <w:top w:val="none" w:sz="0" w:space="0" w:color="auto"/>
                        <w:left w:val="none" w:sz="0" w:space="0" w:color="auto"/>
                        <w:bottom w:val="none" w:sz="0" w:space="0" w:color="auto"/>
                        <w:right w:val="none" w:sz="0" w:space="0" w:color="auto"/>
                      </w:divBdr>
                      <w:divsChild>
                        <w:div w:id="1485731560">
                          <w:marLeft w:val="0"/>
                          <w:marRight w:val="0"/>
                          <w:marTop w:val="0"/>
                          <w:marBottom w:val="0"/>
                          <w:divBdr>
                            <w:top w:val="single" w:sz="2" w:space="1" w:color="auto"/>
                            <w:left w:val="single" w:sz="2" w:space="1" w:color="auto"/>
                            <w:bottom w:val="single" w:sz="2" w:space="1" w:color="auto"/>
                            <w:right w:val="single" w:sz="2" w:space="1" w:color="auto"/>
                          </w:divBdr>
                          <w:divsChild>
                            <w:div w:id="163067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793054">
      <w:bodyDiv w:val="1"/>
      <w:marLeft w:val="0"/>
      <w:marRight w:val="0"/>
      <w:marTop w:val="0"/>
      <w:marBottom w:val="0"/>
      <w:divBdr>
        <w:top w:val="none" w:sz="0" w:space="0" w:color="auto"/>
        <w:left w:val="none" w:sz="0" w:space="0" w:color="auto"/>
        <w:bottom w:val="none" w:sz="0" w:space="0" w:color="auto"/>
        <w:right w:val="none" w:sz="0" w:space="0" w:color="auto"/>
      </w:divBdr>
    </w:div>
    <w:div w:id="1376079312">
      <w:bodyDiv w:val="1"/>
      <w:marLeft w:val="0"/>
      <w:marRight w:val="0"/>
      <w:marTop w:val="0"/>
      <w:marBottom w:val="0"/>
      <w:divBdr>
        <w:top w:val="none" w:sz="0" w:space="0" w:color="auto"/>
        <w:left w:val="none" w:sz="0" w:space="0" w:color="auto"/>
        <w:bottom w:val="none" w:sz="0" w:space="0" w:color="auto"/>
        <w:right w:val="none" w:sz="0" w:space="0" w:color="auto"/>
      </w:divBdr>
    </w:div>
    <w:div w:id="1686010440">
      <w:bodyDiv w:val="1"/>
      <w:marLeft w:val="0"/>
      <w:marRight w:val="0"/>
      <w:marTop w:val="0"/>
      <w:marBottom w:val="0"/>
      <w:divBdr>
        <w:top w:val="none" w:sz="0" w:space="0" w:color="auto"/>
        <w:left w:val="none" w:sz="0" w:space="0" w:color="auto"/>
        <w:bottom w:val="none" w:sz="0" w:space="0" w:color="auto"/>
        <w:right w:val="none" w:sz="0" w:space="0" w:color="auto"/>
      </w:divBdr>
    </w:div>
    <w:div w:id="1826966236">
      <w:bodyDiv w:val="1"/>
      <w:marLeft w:val="0"/>
      <w:marRight w:val="0"/>
      <w:marTop w:val="0"/>
      <w:marBottom w:val="0"/>
      <w:divBdr>
        <w:top w:val="none" w:sz="0" w:space="0" w:color="auto"/>
        <w:left w:val="none" w:sz="0" w:space="0" w:color="auto"/>
        <w:bottom w:val="none" w:sz="0" w:space="0" w:color="auto"/>
        <w:right w:val="none" w:sz="0" w:space="0" w:color="auto"/>
      </w:divBdr>
    </w:div>
    <w:div w:id="182704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cience.house.gov/imo/media/doc/Droegemeier%20Testimony1.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boulder.nist.gov/"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4249</Words>
  <Characters>24220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28413</CharactersWithSpaces>
  <SharedDoc>false</SharedDoc>
  <HLinks>
    <vt:vector size="12" baseType="variant">
      <vt:variant>
        <vt:i4>7209081</vt:i4>
      </vt:variant>
      <vt:variant>
        <vt:i4>3</vt:i4>
      </vt:variant>
      <vt:variant>
        <vt:i4>0</vt:i4>
      </vt:variant>
      <vt:variant>
        <vt:i4>5</vt:i4>
      </vt:variant>
      <vt:variant>
        <vt:lpwstr>https://science.house.gov/imo/media/doc/Droegemeier Testimony1.pdf</vt:lpwstr>
      </vt:variant>
      <vt:variant>
        <vt:lpwstr/>
      </vt:variant>
      <vt:variant>
        <vt:i4>5832724</vt:i4>
      </vt:variant>
      <vt:variant>
        <vt:i4>0</vt:i4>
      </vt:variant>
      <vt:variant>
        <vt:i4>0</vt:i4>
      </vt:variant>
      <vt:variant>
        <vt:i4>5</vt:i4>
      </vt:variant>
      <vt:variant>
        <vt:lpwstr>http://www.boulder.nist.gov/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2021-03-18T11:57:00Z</dcterms:created>
  <dcterms:modified xsi:type="dcterms:W3CDTF">2021-03-18T15:32:00Z</dcterms:modified>
</cp:coreProperties>
</file>