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2E8" w:rsidRDefault="0067137C" w14:paraId="02C91757" w14:textId="77777777">
      <w:pPr>
        <w:jc w:val="center"/>
        <w:rPr>
          <w:b/>
        </w:rPr>
      </w:pPr>
      <w:bookmarkStart w:name="_gjdgxs" w:colFirst="0" w:colLast="0" w:id="0"/>
      <w:bookmarkEnd w:id="0"/>
      <w:r>
        <w:rPr>
          <w:b/>
        </w:rPr>
        <w:t xml:space="preserve">SUPPORTING STATEMENT </w:t>
      </w:r>
    </w:p>
    <w:p w:rsidR="00F222E8" w:rsidRDefault="0067137C" w14:paraId="77912963" w14:textId="77777777">
      <w:pPr>
        <w:widowControl w:val="0"/>
        <w:spacing w:before="22" w:line="259" w:lineRule="auto"/>
        <w:ind w:firstLine="14"/>
        <w:jc w:val="center"/>
        <w:rPr>
          <w:b/>
        </w:rPr>
      </w:pPr>
      <w:r>
        <w:rPr>
          <w:b/>
        </w:rPr>
        <w:t>U.S. Department of Commerce</w:t>
      </w:r>
    </w:p>
    <w:p w:rsidR="00F222E8" w:rsidRDefault="0067137C" w14:paraId="16EDB16F" w14:textId="77777777">
      <w:pPr>
        <w:widowControl w:val="0"/>
        <w:spacing w:before="22" w:line="259" w:lineRule="auto"/>
        <w:ind w:firstLine="14"/>
        <w:jc w:val="center"/>
        <w:rPr>
          <w:b/>
        </w:rPr>
      </w:pPr>
      <w:r>
        <w:rPr>
          <w:b/>
        </w:rPr>
        <w:t>National Oceanic &amp; Atmospheric Administration</w:t>
      </w:r>
    </w:p>
    <w:p w:rsidR="00F222E8" w:rsidRDefault="0067137C" w14:paraId="5970F325" w14:textId="4BAEE9B0">
      <w:pPr>
        <w:jc w:val="center"/>
        <w:rPr>
          <w:b/>
        </w:rPr>
      </w:pPr>
      <w:r>
        <w:rPr>
          <w:b/>
        </w:rPr>
        <w:t>Evaluation of Public Visitors’ Experience at the National Marine Sanctuaries</w:t>
      </w:r>
    </w:p>
    <w:p w:rsidR="00F222E8" w:rsidRDefault="0067137C" w14:paraId="5D2CBD83" w14:textId="77777777">
      <w:pPr>
        <w:jc w:val="center"/>
        <w:rPr>
          <w:b/>
        </w:rPr>
      </w:pPr>
      <w:r>
        <w:rPr>
          <w:b/>
        </w:rPr>
        <w:t xml:space="preserve"> Visitor Centers and Exhibits </w:t>
      </w:r>
    </w:p>
    <w:p w:rsidR="00F222E8" w:rsidRDefault="0067137C" w14:paraId="7E141C41" w14:textId="77777777">
      <w:pPr>
        <w:tabs>
          <w:tab w:val="center" w:pos="4680"/>
          <w:tab w:val="left" w:pos="5798"/>
        </w:tabs>
        <w:rPr>
          <w:b/>
        </w:rPr>
      </w:pPr>
      <w:bookmarkStart w:name="_GoBack" w:id="1"/>
      <w:bookmarkEnd w:id="1"/>
      <w:r>
        <w:rPr>
          <w:b/>
        </w:rPr>
        <w:tab/>
        <w:t xml:space="preserve">OMB Control No. 0648-0582 </w:t>
      </w:r>
    </w:p>
    <w:p w:rsidR="00F222E8" w:rsidRDefault="00F222E8" w14:paraId="648CE7A4" w14:textId="77777777">
      <w:pPr>
        <w:tabs>
          <w:tab w:val="center" w:pos="4680"/>
          <w:tab w:val="left" w:pos="5798"/>
        </w:tabs>
        <w:rPr>
          <w:b/>
        </w:rPr>
      </w:pPr>
    </w:p>
    <w:p w:rsidR="00F222E8" w:rsidRDefault="0067137C" w14:paraId="0C9F6C80" w14:textId="77777777">
      <w:pPr>
        <w:pBdr>
          <w:top w:val="nil"/>
          <w:left w:val="nil"/>
          <w:bottom w:val="nil"/>
          <w:right w:val="nil"/>
          <w:between w:val="nil"/>
        </w:pBdr>
        <w:rPr>
          <w:b/>
          <w:color w:val="000000"/>
          <w:sz w:val="22"/>
          <w:szCs w:val="22"/>
        </w:rPr>
      </w:pPr>
      <w:r>
        <w:rPr>
          <w:b/>
          <w:sz w:val="22"/>
          <w:szCs w:val="22"/>
        </w:rPr>
        <w:t>SUPPORTING STATEMENT PART B</w:t>
      </w:r>
      <w:r>
        <w:rPr>
          <w:b/>
          <w:color w:val="000000"/>
          <w:sz w:val="22"/>
          <w:szCs w:val="22"/>
        </w:rPr>
        <w:t xml:space="preserve"> </w:t>
      </w:r>
    </w:p>
    <w:p w:rsidR="00F222E8" w:rsidRDefault="00F222E8" w14:paraId="5B122FE2" w14:textId="77777777">
      <w:pPr>
        <w:pBdr>
          <w:top w:val="nil"/>
          <w:left w:val="nil"/>
          <w:bottom w:val="nil"/>
          <w:right w:val="nil"/>
          <w:between w:val="nil"/>
        </w:pBdr>
        <w:rPr>
          <w:b/>
          <w:sz w:val="22"/>
          <w:szCs w:val="22"/>
        </w:rPr>
      </w:pPr>
    </w:p>
    <w:p w:rsidR="00F222E8" w:rsidRDefault="0067137C" w14:paraId="63C3D295" w14:textId="77777777">
      <w:pPr>
        <w:pBdr>
          <w:top w:val="nil"/>
          <w:left w:val="nil"/>
          <w:bottom w:val="nil"/>
          <w:right w:val="nil"/>
          <w:between w:val="nil"/>
        </w:pBdr>
        <w:rPr>
          <w:b/>
          <w:color w:val="000000"/>
        </w:rPr>
      </w:pPr>
      <w:r>
        <w:rPr>
          <w:b/>
          <w:color w:val="000000"/>
          <w:sz w:val="22"/>
          <w:szCs w:val="22"/>
        </w:rPr>
        <w:t xml:space="preserve">COLLECTIONS OF INFORMATION EMPLOYING STATISTICAL METHODS </w:t>
      </w:r>
    </w:p>
    <w:p w:rsidR="00F222E8" w:rsidRDefault="0067137C" w14:paraId="6A728407" w14:textId="77777777">
      <w:pPr>
        <w:pBdr>
          <w:top w:val="nil"/>
          <w:left w:val="nil"/>
          <w:bottom w:val="nil"/>
          <w:right w:val="nil"/>
          <w:between w:val="nil"/>
        </w:pBdr>
        <w:spacing w:before="280"/>
        <w:rPr>
          <w:color w:val="000000"/>
        </w:rPr>
      </w:pPr>
      <w:r>
        <w:rPr>
          <w:b/>
          <w:color w:val="000000"/>
        </w:rPr>
        <w:t>1. Describe (including a numerical estimate</w:t>
      </w:r>
      <w:r w:rsidRPr="00A03F41">
        <w:rPr>
          <w:b/>
          <w:color w:val="000000"/>
        </w:rPr>
        <w:t>)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w:t>
      </w:r>
      <w:r>
        <w:rPr>
          <w:b/>
          <w:color w:val="000000"/>
        </w:rPr>
        <w:t xml:space="preserve"> the collection as a whole. If the collection has been conducted before, provide the actual response rate achieved. </w:t>
      </w:r>
    </w:p>
    <w:p w:rsidR="00F222E8" w:rsidRDefault="00F222E8" w14:paraId="464001F2" w14:textId="77777777">
      <w:pPr>
        <w:pBdr>
          <w:top w:val="nil"/>
          <w:left w:val="nil"/>
          <w:bottom w:val="nil"/>
          <w:right w:val="nil"/>
          <w:between w:val="nil"/>
        </w:pBdr>
        <w:rPr>
          <w:color w:val="000000"/>
        </w:rPr>
      </w:pPr>
    </w:p>
    <w:p w:rsidR="00F222E8" w:rsidRDefault="0067137C" w14:paraId="6C89C416" w14:textId="0007B27A">
      <w:pPr>
        <w:pBdr>
          <w:top w:val="nil"/>
          <w:left w:val="nil"/>
          <w:bottom w:val="nil"/>
          <w:right w:val="nil"/>
          <w:between w:val="nil"/>
        </w:pBdr>
      </w:pPr>
      <w:r>
        <w:t xml:space="preserve">     Potential Respondent Universe</w:t>
      </w:r>
    </w:p>
    <w:p w:rsidR="00F222E8" w:rsidRDefault="00F222E8" w14:paraId="7C347A92" w14:textId="77777777">
      <w:pPr>
        <w:pBdr>
          <w:top w:val="nil"/>
          <w:left w:val="nil"/>
          <w:bottom w:val="nil"/>
          <w:right w:val="nil"/>
          <w:between w:val="nil"/>
        </w:pBdr>
      </w:pPr>
    </w:p>
    <w:p w:rsidR="00F222E8" w:rsidRDefault="0067137C" w14:paraId="044F398A" w14:textId="77777777">
      <w:pPr>
        <w:spacing w:line="276" w:lineRule="auto"/>
        <w:ind w:right="239"/>
        <w:rPr>
          <w:b/>
        </w:rPr>
      </w:pPr>
      <w:r>
        <w:rPr>
          <w:b/>
        </w:rPr>
        <w:t>Table 1: Visitor Center and Exhibit Visitors and Responses Needed</w:t>
      </w:r>
    </w:p>
    <w:p w:rsidR="00F222E8" w:rsidRDefault="0067137C" w14:paraId="6E5F1868" w14:textId="77777777">
      <w:pPr>
        <w:spacing w:line="276" w:lineRule="auto"/>
        <w:ind w:right="239"/>
      </w:pPr>
      <w:r>
        <w:t>Green highlighted fields represent visitor centers, the non-highlighted rows are exhibits.</w:t>
      </w:r>
    </w:p>
    <w:tbl>
      <w:tblPr>
        <w:tblStyle w:val="a"/>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20"/>
        <w:gridCol w:w="2579"/>
        <w:gridCol w:w="1805"/>
        <w:gridCol w:w="1446"/>
      </w:tblGrid>
      <w:tr w:rsidR="00F222E8" w:rsidTr="00414E49" w14:paraId="2A3B1954" w14:textId="77777777">
        <w:trPr>
          <w:trHeight w:val="300"/>
          <w:tblHeader/>
        </w:trPr>
        <w:tc>
          <w:tcPr>
            <w:tcW w:w="3520" w:type="dxa"/>
            <w:shd w:val="clear" w:color="auto" w:fill="auto"/>
            <w:vAlign w:val="center"/>
          </w:tcPr>
          <w:p w:rsidR="00F222E8" w:rsidRDefault="0067137C" w14:paraId="51382D3D" w14:textId="77777777">
            <w:pPr>
              <w:jc w:val="center"/>
              <w:rPr>
                <w:rFonts w:ascii="Arial Narrow" w:hAnsi="Arial Narrow" w:eastAsia="Arial Narrow" w:cs="Arial Narrow"/>
                <w:b/>
                <w:color w:val="000000"/>
                <w:sz w:val="22"/>
                <w:szCs w:val="22"/>
              </w:rPr>
            </w:pPr>
            <w:r>
              <w:rPr>
                <w:rFonts w:ascii="Arial Narrow" w:hAnsi="Arial Narrow" w:eastAsia="Arial Narrow" w:cs="Arial Narrow"/>
                <w:b/>
                <w:color w:val="000000"/>
                <w:sz w:val="22"/>
                <w:szCs w:val="22"/>
              </w:rPr>
              <w:t>Program</w:t>
            </w:r>
          </w:p>
        </w:tc>
        <w:tc>
          <w:tcPr>
            <w:tcW w:w="2579" w:type="dxa"/>
            <w:shd w:val="clear" w:color="auto" w:fill="auto"/>
            <w:vAlign w:val="center"/>
          </w:tcPr>
          <w:p w:rsidR="00F222E8" w:rsidRDefault="0067137C" w14:paraId="732C66E2" w14:textId="77777777">
            <w:pPr>
              <w:jc w:val="center"/>
              <w:rPr>
                <w:rFonts w:ascii="Arial Narrow" w:hAnsi="Arial Narrow" w:eastAsia="Arial Narrow" w:cs="Arial Narrow"/>
                <w:b/>
                <w:color w:val="000000"/>
                <w:sz w:val="22"/>
                <w:szCs w:val="22"/>
              </w:rPr>
            </w:pPr>
            <w:r>
              <w:rPr>
                <w:rFonts w:ascii="Arial Narrow" w:hAnsi="Arial Narrow" w:eastAsia="Arial Narrow" w:cs="Arial Narrow"/>
                <w:b/>
                <w:color w:val="000000"/>
                <w:sz w:val="22"/>
                <w:szCs w:val="22"/>
              </w:rPr>
              <w:t>National Marine Sanctuary</w:t>
            </w:r>
          </w:p>
        </w:tc>
        <w:tc>
          <w:tcPr>
            <w:tcW w:w="1805" w:type="dxa"/>
            <w:shd w:val="clear" w:color="auto" w:fill="auto"/>
            <w:vAlign w:val="center"/>
          </w:tcPr>
          <w:p w:rsidR="00F222E8" w:rsidRDefault="0067137C" w14:paraId="0973D142" w14:textId="77777777">
            <w:pPr>
              <w:jc w:val="center"/>
              <w:rPr>
                <w:rFonts w:ascii="Arial Narrow" w:hAnsi="Arial Narrow" w:eastAsia="Arial Narrow" w:cs="Arial Narrow"/>
                <w:b/>
                <w:color w:val="000000"/>
                <w:sz w:val="22"/>
                <w:szCs w:val="22"/>
              </w:rPr>
            </w:pPr>
            <w:r>
              <w:rPr>
                <w:rFonts w:ascii="Arial Narrow" w:hAnsi="Arial Narrow" w:eastAsia="Arial Narrow" w:cs="Arial Narrow"/>
                <w:b/>
                <w:color w:val="000000"/>
                <w:sz w:val="22"/>
                <w:szCs w:val="22"/>
              </w:rPr>
              <w:t>Annual Visitors</w:t>
            </w:r>
          </w:p>
        </w:tc>
        <w:tc>
          <w:tcPr>
            <w:tcW w:w="1446" w:type="dxa"/>
            <w:shd w:val="clear" w:color="auto" w:fill="auto"/>
            <w:vAlign w:val="center"/>
          </w:tcPr>
          <w:p w:rsidR="00F222E8" w:rsidRDefault="0067137C" w14:paraId="3B2F8CD8" w14:textId="77777777">
            <w:pPr>
              <w:jc w:val="center"/>
              <w:rPr>
                <w:rFonts w:ascii="Arial Narrow" w:hAnsi="Arial Narrow" w:eastAsia="Arial Narrow" w:cs="Arial Narrow"/>
                <w:b/>
                <w:color w:val="000000"/>
                <w:sz w:val="22"/>
                <w:szCs w:val="22"/>
              </w:rPr>
            </w:pPr>
            <w:r>
              <w:rPr>
                <w:rFonts w:ascii="Arial Narrow" w:hAnsi="Arial Narrow" w:eastAsia="Arial Narrow" w:cs="Arial Narrow"/>
                <w:b/>
                <w:color w:val="000000"/>
                <w:sz w:val="22"/>
                <w:szCs w:val="22"/>
              </w:rPr>
              <w:t>Responses Needed</w:t>
            </w:r>
          </w:p>
        </w:tc>
      </w:tr>
      <w:tr w:rsidR="00F222E8" w14:paraId="286D48E0" w14:textId="77777777">
        <w:trPr>
          <w:trHeight w:val="300"/>
        </w:trPr>
        <w:tc>
          <w:tcPr>
            <w:tcW w:w="3520" w:type="dxa"/>
            <w:shd w:val="clear" w:color="auto" w:fill="C6E0B4"/>
            <w:vAlign w:val="center"/>
          </w:tcPr>
          <w:p w:rsidR="00F222E8" w:rsidRDefault="0067137C" w14:paraId="384783B5" w14:textId="77777777">
            <w:pPr>
              <w:jc w:val="center"/>
              <w:rPr>
                <w:rFonts w:ascii="Arial Narrow" w:hAnsi="Arial Narrow" w:eastAsia="Arial Narrow" w:cs="Arial Narrow"/>
                <w:color w:val="000000"/>
                <w:sz w:val="22"/>
                <w:szCs w:val="22"/>
              </w:rPr>
            </w:pPr>
            <w:proofErr w:type="spellStart"/>
            <w:r>
              <w:rPr>
                <w:rFonts w:ascii="Arial Narrow" w:hAnsi="Arial Narrow" w:eastAsia="Arial Narrow" w:cs="Arial Narrow"/>
                <w:color w:val="000000"/>
                <w:sz w:val="22"/>
                <w:szCs w:val="22"/>
              </w:rPr>
              <w:t>Mokupāpapa</w:t>
            </w:r>
            <w:proofErr w:type="spellEnd"/>
            <w:r>
              <w:rPr>
                <w:rFonts w:ascii="Arial Narrow" w:hAnsi="Arial Narrow" w:eastAsia="Arial Narrow" w:cs="Arial Narrow"/>
                <w:color w:val="000000"/>
                <w:sz w:val="22"/>
                <w:szCs w:val="22"/>
              </w:rPr>
              <w:t xml:space="preserve"> Discovery Center </w:t>
            </w:r>
          </w:p>
        </w:tc>
        <w:tc>
          <w:tcPr>
            <w:tcW w:w="2579" w:type="dxa"/>
            <w:shd w:val="clear" w:color="auto" w:fill="C6E0B4"/>
            <w:vAlign w:val="center"/>
          </w:tcPr>
          <w:p w:rsidR="00F222E8" w:rsidRDefault="0067137C" w14:paraId="2A948894" w14:textId="77777777">
            <w:pPr>
              <w:jc w:val="center"/>
              <w:rPr>
                <w:rFonts w:ascii="Arial Narrow" w:hAnsi="Arial Narrow" w:eastAsia="Arial Narrow" w:cs="Arial Narrow"/>
                <w:color w:val="000000"/>
                <w:sz w:val="22"/>
                <w:szCs w:val="22"/>
              </w:rPr>
            </w:pPr>
            <w:proofErr w:type="spellStart"/>
            <w:r>
              <w:rPr>
                <w:rFonts w:ascii="Arial Narrow" w:hAnsi="Arial Narrow" w:eastAsia="Arial Narrow" w:cs="Arial Narrow"/>
                <w:color w:val="000000"/>
                <w:sz w:val="22"/>
                <w:szCs w:val="22"/>
              </w:rPr>
              <w:t>Papahānaumokuākea</w:t>
            </w:r>
            <w:proofErr w:type="spellEnd"/>
            <w:r>
              <w:rPr>
                <w:rFonts w:ascii="Arial Narrow" w:hAnsi="Arial Narrow" w:eastAsia="Arial Narrow" w:cs="Arial Narrow"/>
                <w:color w:val="000000"/>
                <w:sz w:val="22"/>
                <w:szCs w:val="22"/>
              </w:rPr>
              <w:t xml:space="preserve"> Marine National Monument</w:t>
            </w:r>
          </w:p>
        </w:tc>
        <w:tc>
          <w:tcPr>
            <w:tcW w:w="1805" w:type="dxa"/>
            <w:shd w:val="clear" w:color="auto" w:fill="C6E0B4"/>
            <w:vAlign w:val="center"/>
          </w:tcPr>
          <w:p w:rsidR="00F222E8" w:rsidRDefault="0067137C" w14:paraId="1F4856BB"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75,000</w:t>
            </w:r>
          </w:p>
        </w:tc>
        <w:tc>
          <w:tcPr>
            <w:tcW w:w="1446" w:type="dxa"/>
            <w:shd w:val="clear" w:color="auto" w:fill="C6E0B4"/>
            <w:vAlign w:val="center"/>
          </w:tcPr>
          <w:p w:rsidR="00F222E8" w:rsidRDefault="0067137C" w14:paraId="353409EB"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398</w:t>
            </w:r>
          </w:p>
        </w:tc>
      </w:tr>
      <w:tr w:rsidR="00F222E8" w14:paraId="0D83A765" w14:textId="77777777">
        <w:trPr>
          <w:trHeight w:val="300"/>
        </w:trPr>
        <w:tc>
          <w:tcPr>
            <w:tcW w:w="3520" w:type="dxa"/>
            <w:shd w:val="clear" w:color="auto" w:fill="C6E0B4"/>
            <w:vAlign w:val="center"/>
          </w:tcPr>
          <w:p w:rsidR="00F222E8" w:rsidRDefault="0067137C" w14:paraId="03917E50"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 xml:space="preserve">ASNMS Governor </w:t>
            </w:r>
            <w:proofErr w:type="spellStart"/>
            <w:r>
              <w:rPr>
                <w:rFonts w:ascii="Arial Narrow" w:hAnsi="Arial Narrow" w:eastAsia="Arial Narrow" w:cs="Arial Narrow"/>
                <w:color w:val="000000"/>
                <w:sz w:val="22"/>
                <w:szCs w:val="22"/>
              </w:rPr>
              <w:t>Tauese</w:t>
            </w:r>
            <w:proofErr w:type="spellEnd"/>
            <w:r>
              <w:rPr>
                <w:rFonts w:ascii="Arial Narrow" w:hAnsi="Arial Narrow" w:eastAsia="Arial Narrow" w:cs="Arial Narrow"/>
                <w:color w:val="000000"/>
                <w:sz w:val="22"/>
                <w:szCs w:val="22"/>
              </w:rPr>
              <w:t xml:space="preserve"> P.F. </w:t>
            </w:r>
            <w:proofErr w:type="spellStart"/>
            <w:r>
              <w:rPr>
                <w:rFonts w:ascii="Arial Narrow" w:hAnsi="Arial Narrow" w:eastAsia="Arial Narrow" w:cs="Arial Narrow"/>
                <w:color w:val="000000"/>
                <w:sz w:val="22"/>
                <w:szCs w:val="22"/>
              </w:rPr>
              <w:t>Sunia</w:t>
            </w:r>
            <w:proofErr w:type="spellEnd"/>
            <w:r>
              <w:rPr>
                <w:rFonts w:ascii="Arial Narrow" w:hAnsi="Arial Narrow" w:eastAsia="Arial Narrow" w:cs="Arial Narrow"/>
                <w:color w:val="000000"/>
                <w:sz w:val="22"/>
                <w:szCs w:val="22"/>
              </w:rPr>
              <w:t xml:space="preserve"> Ocean Center</w:t>
            </w:r>
          </w:p>
        </w:tc>
        <w:tc>
          <w:tcPr>
            <w:tcW w:w="2579" w:type="dxa"/>
            <w:shd w:val="clear" w:color="auto" w:fill="C6E0B4"/>
            <w:vAlign w:val="center"/>
          </w:tcPr>
          <w:p w:rsidR="00F222E8" w:rsidRDefault="0067137C" w14:paraId="7FA77ABB"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 xml:space="preserve">American Samoa </w:t>
            </w:r>
          </w:p>
        </w:tc>
        <w:tc>
          <w:tcPr>
            <w:tcW w:w="1805" w:type="dxa"/>
            <w:shd w:val="clear" w:color="auto" w:fill="C6E0B4"/>
            <w:vAlign w:val="center"/>
          </w:tcPr>
          <w:p w:rsidR="00F222E8" w:rsidRDefault="0067137C" w14:paraId="571C5690"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5,306</w:t>
            </w:r>
          </w:p>
        </w:tc>
        <w:tc>
          <w:tcPr>
            <w:tcW w:w="1446" w:type="dxa"/>
            <w:shd w:val="clear" w:color="auto" w:fill="C6E0B4"/>
            <w:vAlign w:val="center"/>
          </w:tcPr>
          <w:p w:rsidR="00F222E8" w:rsidRDefault="0067137C" w14:paraId="7531AB40"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370</w:t>
            </w:r>
          </w:p>
        </w:tc>
      </w:tr>
      <w:tr w:rsidR="00F222E8" w14:paraId="461B14CF" w14:textId="77777777">
        <w:trPr>
          <w:trHeight w:val="300"/>
        </w:trPr>
        <w:tc>
          <w:tcPr>
            <w:tcW w:w="3520" w:type="dxa"/>
            <w:shd w:val="clear" w:color="auto" w:fill="C6E0B4"/>
            <w:vAlign w:val="center"/>
          </w:tcPr>
          <w:p w:rsidR="00F222E8" w:rsidRDefault="0067137C" w14:paraId="0EB98BF6"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Florida Keys NMS Eco-Discovery Center</w:t>
            </w:r>
          </w:p>
        </w:tc>
        <w:tc>
          <w:tcPr>
            <w:tcW w:w="2579" w:type="dxa"/>
            <w:shd w:val="clear" w:color="auto" w:fill="C6E0B4"/>
            <w:vAlign w:val="center"/>
          </w:tcPr>
          <w:p w:rsidR="00F222E8" w:rsidRDefault="0067137C" w14:paraId="7F3B0DAB"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 xml:space="preserve">Florida Keys </w:t>
            </w:r>
          </w:p>
        </w:tc>
        <w:tc>
          <w:tcPr>
            <w:tcW w:w="1805" w:type="dxa"/>
            <w:shd w:val="clear" w:color="auto" w:fill="C6E0B4"/>
            <w:vAlign w:val="center"/>
          </w:tcPr>
          <w:p w:rsidR="00F222E8" w:rsidRDefault="0067137C" w14:paraId="178846E5"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47,255</w:t>
            </w:r>
          </w:p>
        </w:tc>
        <w:tc>
          <w:tcPr>
            <w:tcW w:w="1446" w:type="dxa"/>
            <w:shd w:val="clear" w:color="auto" w:fill="C6E0B4"/>
            <w:vAlign w:val="center"/>
          </w:tcPr>
          <w:p w:rsidR="00F222E8" w:rsidRDefault="0067137C" w14:paraId="621476B6"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397</w:t>
            </w:r>
          </w:p>
        </w:tc>
      </w:tr>
      <w:tr w:rsidR="00F222E8" w14:paraId="2A379328" w14:textId="77777777">
        <w:trPr>
          <w:trHeight w:val="300"/>
        </w:trPr>
        <w:tc>
          <w:tcPr>
            <w:tcW w:w="3520" w:type="dxa"/>
            <w:shd w:val="clear" w:color="auto" w:fill="auto"/>
            <w:vAlign w:val="center"/>
          </w:tcPr>
          <w:p w:rsidR="00F222E8" w:rsidRDefault="0067137C" w14:paraId="17FA2A3C"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Exhibits at Texas Seaport Museum</w:t>
            </w:r>
          </w:p>
        </w:tc>
        <w:tc>
          <w:tcPr>
            <w:tcW w:w="2579" w:type="dxa"/>
            <w:shd w:val="clear" w:color="auto" w:fill="auto"/>
            <w:vAlign w:val="center"/>
          </w:tcPr>
          <w:p w:rsidR="00F222E8" w:rsidRDefault="0067137C" w14:paraId="7332FBE3"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 xml:space="preserve">Flower Garden Banks </w:t>
            </w:r>
          </w:p>
        </w:tc>
        <w:tc>
          <w:tcPr>
            <w:tcW w:w="1805" w:type="dxa"/>
            <w:shd w:val="clear" w:color="auto" w:fill="auto"/>
            <w:vAlign w:val="center"/>
          </w:tcPr>
          <w:p w:rsidR="00F222E8" w:rsidRDefault="0067137C" w14:paraId="05F6273C"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57,500</w:t>
            </w:r>
          </w:p>
        </w:tc>
        <w:tc>
          <w:tcPr>
            <w:tcW w:w="1446" w:type="dxa"/>
            <w:shd w:val="clear" w:color="auto" w:fill="auto"/>
            <w:vAlign w:val="center"/>
          </w:tcPr>
          <w:p w:rsidR="00F222E8" w:rsidRDefault="0067137C" w14:paraId="4F4BCE56"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397</w:t>
            </w:r>
          </w:p>
        </w:tc>
      </w:tr>
      <w:tr w:rsidR="00F222E8" w14:paraId="587ECE5A" w14:textId="77777777">
        <w:trPr>
          <w:trHeight w:val="300"/>
        </w:trPr>
        <w:tc>
          <w:tcPr>
            <w:tcW w:w="3520" w:type="dxa"/>
            <w:shd w:val="clear" w:color="auto" w:fill="auto"/>
            <w:vAlign w:val="center"/>
          </w:tcPr>
          <w:p w:rsidR="00F222E8" w:rsidRDefault="0067137C" w14:paraId="31153E2C"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Reef on the Road Traveling Exhibit and Programs</w:t>
            </w:r>
          </w:p>
        </w:tc>
        <w:tc>
          <w:tcPr>
            <w:tcW w:w="2579" w:type="dxa"/>
            <w:shd w:val="clear" w:color="auto" w:fill="auto"/>
            <w:vAlign w:val="center"/>
          </w:tcPr>
          <w:p w:rsidR="00F222E8" w:rsidRDefault="0067137C" w14:paraId="16FEF341"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 xml:space="preserve">Flower Garden Banks </w:t>
            </w:r>
          </w:p>
        </w:tc>
        <w:tc>
          <w:tcPr>
            <w:tcW w:w="1805" w:type="dxa"/>
            <w:shd w:val="clear" w:color="auto" w:fill="auto"/>
            <w:vAlign w:val="center"/>
          </w:tcPr>
          <w:p w:rsidR="00F222E8" w:rsidRDefault="0067137C" w14:paraId="4DC6D336"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8,208</w:t>
            </w:r>
          </w:p>
        </w:tc>
        <w:tc>
          <w:tcPr>
            <w:tcW w:w="1446" w:type="dxa"/>
            <w:shd w:val="clear" w:color="auto" w:fill="auto"/>
            <w:vAlign w:val="center"/>
          </w:tcPr>
          <w:p w:rsidR="00F222E8" w:rsidRDefault="0067137C" w14:paraId="5FA1AD36"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381</w:t>
            </w:r>
          </w:p>
        </w:tc>
      </w:tr>
      <w:tr w:rsidR="00F222E8" w14:paraId="6CB6E674" w14:textId="77777777">
        <w:trPr>
          <w:trHeight w:val="300"/>
        </w:trPr>
        <w:tc>
          <w:tcPr>
            <w:tcW w:w="3520" w:type="dxa"/>
            <w:shd w:val="clear" w:color="auto" w:fill="auto"/>
            <w:vAlign w:val="center"/>
          </w:tcPr>
          <w:p w:rsidR="00F222E8" w:rsidRDefault="0067137C" w14:paraId="13BF3574"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Exhibits at Cameron Park Zoo</w:t>
            </w:r>
          </w:p>
        </w:tc>
        <w:tc>
          <w:tcPr>
            <w:tcW w:w="2579" w:type="dxa"/>
            <w:shd w:val="clear" w:color="auto" w:fill="auto"/>
            <w:vAlign w:val="center"/>
          </w:tcPr>
          <w:p w:rsidR="00F222E8" w:rsidRDefault="0067137C" w14:paraId="2972660E"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 xml:space="preserve">Flower Garden Banks </w:t>
            </w:r>
          </w:p>
        </w:tc>
        <w:tc>
          <w:tcPr>
            <w:tcW w:w="1805" w:type="dxa"/>
            <w:shd w:val="clear" w:color="auto" w:fill="auto"/>
            <w:vAlign w:val="center"/>
          </w:tcPr>
          <w:p w:rsidR="00F222E8" w:rsidRDefault="0067137C" w14:paraId="24C1E26E"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450,000</w:t>
            </w:r>
          </w:p>
        </w:tc>
        <w:tc>
          <w:tcPr>
            <w:tcW w:w="1446" w:type="dxa"/>
            <w:shd w:val="clear" w:color="auto" w:fill="auto"/>
            <w:vAlign w:val="center"/>
          </w:tcPr>
          <w:p w:rsidR="00F222E8" w:rsidRDefault="0067137C" w14:paraId="3D186A68"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400</w:t>
            </w:r>
          </w:p>
        </w:tc>
      </w:tr>
      <w:tr w:rsidR="00F222E8" w14:paraId="5503C859" w14:textId="77777777">
        <w:trPr>
          <w:trHeight w:val="300"/>
        </w:trPr>
        <w:tc>
          <w:tcPr>
            <w:tcW w:w="3520" w:type="dxa"/>
            <w:shd w:val="clear" w:color="auto" w:fill="auto"/>
            <w:vAlign w:val="center"/>
          </w:tcPr>
          <w:p w:rsidR="00F222E8" w:rsidRDefault="0067137C" w14:paraId="3FB3E5B4"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Exhibits at Tybee Island Marine Science Center</w:t>
            </w:r>
          </w:p>
        </w:tc>
        <w:tc>
          <w:tcPr>
            <w:tcW w:w="2579" w:type="dxa"/>
            <w:shd w:val="clear" w:color="auto" w:fill="auto"/>
            <w:vAlign w:val="center"/>
          </w:tcPr>
          <w:p w:rsidR="00F222E8" w:rsidRDefault="0067137C" w14:paraId="73800414"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 xml:space="preserve">Gray's Reef </w:t>
            </w:r>
          </w:p>
        </w:tc>
        <w:tc>
          <w:tcPr>
            <w:tcW w:w="1805" w:type="dxa"/>
            <w:shd w:val="clear" w:color="auto" w:fill="auto"/>
            <w:vAlign w:val="center"/>
          </w:tcPr>
          <w:p w:rsidR="00F222E8" w:rsidRDefault="0067137C" w14:paraId="11295D5E"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60,000</w:t>
            </w:r>
          </w:p>
        </w:tc>
        <w:tc>
          <w:tcPr>
            <w:tcW w:w="1446" w:type="dxa"/>
            <w:shd w:val="clear" w:color="auto" w:fill="auto"/>
            <w:vAlign w:val="center"/>
          </w:tcPr>
          <w:p w:rsidR="00F222E8" w:rsidRDefault="0067137C" w14:paraId="7AEF9A6A"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397</w:t>
            </w:r>
          </w:p>
        </w:tc>
      </w:tr>
      <w:tr w:rsidR="00F222E8" w14:paraId="0F2A18AD" w14:textId="77777777">
        <w:trPr>
          <w:trHeight w:val="300"/>
        </w:trPr>
        <w:tc>
          <w:tcPr>
            <w:tcW w:w="3520" w:type="dxa"/>
            <w:shd w:val="clear" w:color="auto" w:fill="auto"/>
            <w:vAlign w:val="center"/>
          </w:tcPr>
          <w:p w:rsidR="00F222E8" w:rsidRDefault="0067137C" w14:paraId="0D29D148"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Exhibits at Georgia Southern Museum</w:t>
            </w:r>
          </w:p>
        </w:tc>
        <w:tc>
          <w:tcPr>
            <w:tcW w:w="2579" w:type="dxa"/>
            <w:shd w:val="clear" w:color="auto" w:fill="auto"/>
            <w:vAlign w:val="center"/>
          </w:tcPr>
          <w:p w:rsidR="00F222E8" w:rsidRDefault="0067137C" w14:paraId="184E6D8F"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 xml:space="preserve">Gray's Reef </w:t>
            </w:r>
          </w:p>
        </w:tc>
        <w:tc>
          <w:tcPr>
            <w:tcW w:w="1805" w:type="dxa"/>
            <w:shd w:val="clear" w:color="auto" w:fill="auto"/>
            <w:vAlign w:val="center"/>
          </w:tcPr>
          <w:p w:rsidR="00F222E8" w:rsidRDefault="0067137C" w14:paraId="13CDB57C"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16,470</w:t>
            </w:r>
          </w:p>
        </w:tc>
        <w:tc>
          <w:tcPr>
            <w:tcW w:w="1446" w:type="dxa"/>
            <w:shd w:val="clear" w:color="auto" w:fill="auto"/>
            <w:vAlign w:val="center"/>
          </w:tcPr>
          <w:p w:rsidR="00F222E8" w:rsidRDefault="0067137C" w14:paraId="55B801CE"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390</w:t>
            </w:r>
          </w:p>
        </w:tc>
      </w:tr>
      <w:tr w:rsidR="00F222E8" w14:paraId="47CD866C" w14:textId="77777777">
        <w:trPr>
          <w:trHeight w:val="300"/>
        </w:trPr>
        <w:tc>
          <w:tcPr>
            <w:tcW w:w="3520" w:type="dxa"/>
            <w:shd w:val="clear" w:color="auto" w:fill="C6E0B4"/>
            <w:vAlign w:val="center"/>
          </w:tcPr>
          <w:p w:rsidR="00F222E8" w:rsidRDefault="0067137C" w14:paraId="5D015A58"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 xml:space="preserve">Greater </w:t>
            </w:r>
            <w:proofErr w:type="spellStart"/>
            <w:r>
              <w:rPr>
                <w:rFonts w:ascii="Arial Narrow" w:hAnsi="Arial Narrow" w:eastAsia="Arial Narrow" w:cs="Arial Narrow"/>
                <w:color w:val="000000"/>
                <w:sz w:val="22"/>
                <w:szCs w:val="22"/>
              </w:rPr>
              <w:t>Farallones</w:t>
            </w:r>
            <w:proofErr w:type="spellEnd"/>
            <w:r>
              <w:rPr>
                <w:rFonts w:ascii="Arial Narrow" w:hAnsi="Arial Narrow" w:eastAsia="Arial Narrow" w:cs="Arial Narrow"/>
                <w:color w:val="000000"/>
                <w:sz w:val="22"/>
                <w:szCs w:val="22"/>
              </w:rPr>
              <w:t xml:space="preserve"> Marine Sanctuary Visitor Center</w:t>
            </w:r>
          </w:p>
        </w:tc>
        <w:tc>
          <w:tcPr>
            <w:tcW w:w="2579" w:type="dxa"/>
            <w:shd w:val="clear" w:color="auto" w:fill="C6E0B4"/>
            <w:vAlign w:val="center"/>
          </w:tcPr>
          <w:p w:rsidR="00F222E8" w:rsidRDefault="0067137C" w14:paraId="17F3D656"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 xml:space="preserve">Greater </w:t>
            </w:r>
            <w:proofErr w:type="spellStart"/>
            <w:r>
              <w:rPr>
                <w:rFonts w:ascii="Arial Narrow" w:hAnsi="Arial Narrow" w:eastAsia="Arial Narrow" w:cs="Arial Narrow"/>
                <w:color w:val="000000"/>
                <w:sz w:val="22"/>
                <w:szCs w:val="22"/>
              </w:rPr>
              <w:t>Farallones</w:t>
            </w:r>
            <w:proofErr w:type="spellEnd"/>
            <w:r>
              <w:rPr>
                <w:rFonts w:ascii="Arial Narrow" w:hAnsi="Arial Narrow" w:eastAsia="Arial Narrow" w:cs="Arial Narrow"/>
                <w:color w:val="000000"/>
                <w:sz w:val="22"/>
                <w:szCs w:val="22"/>
              </w:rPr>
              <w:t xml:space="preserve"> </w:t>
            </w:r>
          </w:p>
        </w:tc>
        <w:tc>
          <w:tcPr>
            <w:tcW w:w="1805" w:type="dxa"/>
            <w:shd w:val="clear" w:color="auto" w:fill="C6E0B4"/>
            <w:vAlign w:val="center"/>
          </w:tcPr>
          <w:p w:rsidR="00F222E8" w:rsidRDefault="0067137C" w14:paraId="00725818"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17,958</w:t>
            </w:r>
          </w:p>
        </w:tc>
        <w:tc>
          <w:tcPr>
            <w:tcW w:w="1446" w:type="dxa"/>
            <w:shd w:val="clear" w:color="auto" w:fill="C6E0B4"/>
            <w:vAlign w:val="center"/>
          </w:tcPr>
          <w:p w:rsidR="00F222E8" w:rsidRDefault="0067137C" w14:paraId="3DAA42B2"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391</w:t>
            </w:r>
          </w:p>
        </w:tc>
      </w:tr>
      <w:tr w:rsidR="00F222E8" w14:paraId="2758057F" w14:textId="77777777">
        <w:trPr>
          <w:trHeight w:val="300"/>
        </w:trPr>
        <w:tc>
          <w:tcPr>
            <w:tcW w:w="3520" w:type="dxa"/>
            <w:shd w:val="clear" w:color="auto" w:fill="auto"/>
            <w:vAlign w:val="center"/>
          </w:tcPr>
          <w:p w:rsidR="00F222E8" w:rsidRDefault="0067137C" w14:paraId="32AAC7C9"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Exhibits at Aquarium of the Bay</w:t>
            </w:r>
          </w:p>
        </w:tc>
        <w:tc>
          <w:tcPr>
            <w:tcW w:w="2579" w:type="dxa"/>
            <w:shd w:val="clear" w:color="auto" w:fill="auto"/>
            <w:vAlign w:val="center"/>
          </w:tcPr>
          <w:p w:rsidR="00F222E8" w:rsidRDefault="0067137C" w14:paraId="5CBF28BC"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 xml:space="preserve">Greater </w:t>
            </w:r>
            <w:proofErr w:type="spellStart"/>
            <w:r>
              <w:rPr>
                <w:rFonts w:ascii="Arial Narrow" w:hAnsi="Arial Narrow" w:eastAsia="Arial Narrow" w:cs="Arial Narrow"/>
                <w:color w:val="000000"/>
                <w:sz w:val="22"/>
                <w:szCs w:val="22"/>
              </w:rPr>
              <w:t>Farallones</w:t>
            </w:r>
            <w:proofErr w:type="spellEnd"/>
            <w:r>
              <w:rPr>
                <w:rFonts w:ascii="Arial Narrow" w:hAnsi="Arial Narrow" w:eastAsia="Arial Narrow" w:cs="Arial Narrow"/>
                <w:color w:val="000000"/>
                <w:sz w:val="22"/>
                <w:szCs w:val="22"/>
              </w:rPr>
              <w:t xml:space="preserve"> </w:t>
            </w:r>
          </w:p>
        </w:tc>
        <w:tc>
          <w:tcPr>
            <w:tcW w:w="1805" w:type="dxa"/>
            <w:shd w:val="clear" w:color="auto" w:fill="auto"/>
            <w:vAlign w:val="center"/>
          </w:tcPr>
          <w:p w:rsidR="00F222E8" w:rsidRDefault="0067137C" w14:paraId="2C8A8F69"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550,000</w:t>
            </w:r>
          </w:p>
        </w:tc>
        <w:tc>
          <w:tcPr>
            <w:tcW w:w="1446" w:type="dxa"/>
            <w:shd w:val="clear" w:color="auto" w:fill="auto"/>
            <w:vAlign w:val="center"/>
          </w:tcPr>
          <w:p w:rsidR="00F222E8" w:rsidRDefault="0067137C" w14:paraId="5AAC8430"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400</w:t>
            </w:r>
          </w:p>
        </w:tc>
      </w:tr>
      <w:tr w:rsidR="00F222E8" w14:paraId="6BB51EF8" w14:textId="77777777">
        <w:trPr>
          <w:trHeight w:val="300"/>
        </w:trPr>
        <w:tc>
          <w:tcPr>
            <w:tcW w:w="3520" w:type="dxa"/>
            <w:shd w:val="clear" w:color="auto" w:fill="auto"/>
            <w:vAlign w:val="center"/>
          </w:tcPr>
          <w:p w:rsidR="00F222E8" w:rsidRDefault="0067137C" w14:paraId="76D7ADBA"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Exhibits at California Academy of Sciences</w:t>
            </w:r>
          </w:p>
        </w:tc>
        <w:tc>
          <w:tcPr>
            <w:tcW w:w="2579" w:type="dxa"/>
            <w:shd w:val="clear" w:color="auto" w:fill="auto"/>
            <w:vAlign w:val="center"/>
          </w:tcPr>
          <w:p w:rsidR="00F222E8" w:rsidRDefault="0067137C" w14:paraId="4B30BB8B"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 xml:space="preserve">Greater </w:t>
            </w:r>
            <w:proofErr w:type="spellStart"/>
            <w:r>
              <w:rPr>
                <w:rFonts w:ascii="Arial Narrow" w:hAnsi="Arial Narrow" w:eastAsia="Arial Narrow" w:cs="Arial Narrow"/>
                <w:color w:val="000000"/>
                <w:sz w:val="22"/>
                <w:szCs w:val="22"/>
              </w:rPr>
              <w:t>Farallones</w:t>
            </w:r>
            <w:proofErr w:type="spellEnd"/>
            <w:r>
              <w:rPr>
                <w:rFonts w:ascii="Arial Narrow" w:hAnsi="Arial Narrow" w:eastAsia="Arial Narrow" w:cs="Arial Narrow"/>
                <w:color w:val="000000"/>
                <w:sz w:val="22"/>
                <w:szCs w:val="22"/>
              </w:rPr>
              <w:t xml:space="preserve"> </w:t>
            </w:r>
          </w:p>
        </w:tc>
        <w:tc>
          <w:tcPr>
            <w:tcW w:w="1805" w:type="dxa"/>
            <w:shd w:val="clear" w:color="auto" w:fill="auto"/>
            <w:vAlign w:val="center"/>
          </w:tcPr>
          <w:p w:rsidR="00F222E8" w:rsidRDefault="0067137C" w14:paraId="2797B0D1"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1,500,000</w:t>
            </w:r>
          </w:p>
        </w:tc>
        <w:tc>
          <w:tcPr>
            <w:tcW w:w="1446" w:type="dxa"/>
            <w:shd w:val="clear" w:color="auto" w:fill="auto"/>
            <w:vAlign w:val="center"/>
          </w:tcPr>
          <w:p w:rsidR="00F222E8" w:rsidRDefault="0067137C" w14:paraId="01671C4B"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400</w:t>
            </w:r>
          </w:p>
        </w:tc>
      </w:tr>
      <w:tr w:rsidR="00F222E8" w14:paraId="0BC17EB2" w14:textId="77777777">
        <w:trPr>
          <w:trHeight w:val="300"/>
        </w:trPr>
        <w:tc>
          <w:tcPr>
            <w:tcW w:w="3520" w:type="dxa"/>
            <w:shd w:val="clear" w:color="auto" w:fill="auto"/>
            <w:vAlign w:val="center"/>
          </w:tcPr>
          <w:p w:rsidR="00F222E8" w:rsidRDefault="0067137C" w14:paraId="1E71F301"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Exhibits at Pigeon Point Lighthouse</w:t>
            </w:r>
          </w:p>
        </w:tc>
        <w:tc>
          <w:tcPr>
            <w:tcW w:w="2579" w:type="dxa"/>
            <w:shd w:val="clear" w:color="auto" w:fill="auto"/>
            <w:vAlign w:val="center"/>
          </w:tcPr>
          <w:p w:rsidR="00F222E8" w:rsidRDefault="0067137C" w14:paraId="14842364"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 xml:space="preserve">Greater </w:t>
            </w:r>
            <w:proofErr w:type="spellStart"/>
            <w:r>
              <w:rPr>
                <w:rFonts w:ascii="Arial Narrow" w:hAnsi="Arial Narrow" w:eastAsia="Arial Narrow" w:cs="Arial Narrow"/>
                <w:color w:val="000000"/>
                <w:sz w:val="22"/>
                <w:szCs w:val="22"/>
              </w:rPr>
              <w:t>Farallones</w:t>
            </w:r>
            <w:proofErr w:type="spellEnd"/>
          </w:p>
        </w:tc>
        <w:tc>
          <w:tcPr>
            <w:tcW w:w="1805" w:type="dxa"/>
            <w:shd w:val="clear" w:color="auto" w:fill="auto"/>
            <w:vAlign w:val="center"/>
          </w:tcPr>
          <w:p w:rsidR="00F222E8" w:rsidRDefault="0067137C" w14:paraId="2C4E6562"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175,000</w:t>
            </w:r>
          </w:p>
        </w:tc>
        <w:tc>
          <w:tcPr>
            <w:tcW w:w="1446" w:type="dxa"/>
            <w:shd w:val="clear" w:color="auto" w:fill="auto"/>
            <w:vAlign w:val="center"/>
          </w:tcPr>
          <w:p w:rsidR="00F222E8" w:rsidRDefault="0067137C" w14:paraId="569420F7"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400</w:t>
            </w:r>
          </w:p>
        </w:tc>
      </w:tr>
      <w:tr w:rsidR="00F222E8" w14:paraId="00EE58C5" w14:textId="77777777">
        <w:trPr>
          <w:trHeight w:val="300"/>
        </w:trPr>
        <w:tc>
          <w:tcPr>
            <w:tcW w:w="3520" w:type="dxa"/>
            <w:shd w:val="clear" w:color="auto" w:fill="C6E0B4"/>
            <w:vAlign w:val="center"/>
          </w:tcPr>
          <w:p w:rsidR="00F222E8" w:rsidRDefault="0067137C" w14:paraId="192639C6"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Hawaiian Islands Humpback Whale Sanctuary Visitor Center</w:t>
            </w:r>
          </w:p>
        </w:tc>
        <w:tc>
          <w:tcPr>
            <w:tcW w:w="2579" w:type="dxa"/>
            <w:shd w:val="clear" w:color="auto" w:fill="C6E0B4"/>
            <w:vAlign w:val="center"/>
          </w:tcPr>
          <w:p w:rsidR="00F222E8" w:rsidRDefault="0067137C" w14:paraId="6A8322DD"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Hawaiian Islands Humpback Whale</w:t>
            </w:r>
          </w:p>
        </w:tc>
        <w:tc>
          <w:tcPr>
            <w:tcW w:w="1805" w:type="dxa"/>
            <w:shd w:val="clear" w:color="auto" w:fill="C6E0B4"/>
            <w:vAlign w:val="center"/>
          </w:tcPr>
          <w:p w:rsidR="00F222E8" w:rsidRDefault="0067137C" w14:paraId="43DD727E"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9,829</w:t>
            </w:r>
          </w:p>
        </w:tc>
        <w:tc>
          <w:tcPr>
            <w:tcW w:w="1446" w:type="dxa"/>
            <w:shd w:val="clear" w:color="auto" w:fill="C6E0B4"/>
            <w:vAlign w:val="center"/>
          </w:tcPr>
          <w:p w:rsidR="00F222E8" w:rsidRDefault="0067137C" w14:paraId="217E2F6E"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385</w:t>
            </w:r>
          </w:p>
        </w:tc>
      </w:tr>
      <w:tr w:rsidR="00F222E8" w14:paraId="79F8E214" w14:textId="77777777">
        <w:trPr>
          <w:trHeight w:val="300"/>
        </w:trPr>
        <w:tc>
          <w:tcPr>
            <w:tcW w:w="3520" w:type="dxa"/>
            <w:shd w:val="clear" w:color="auto" w:fill="C6E0B4"/>
            <w:vAlign w:val="center"/>
          </w:tcPr>
          <w:p w:rsidR="00F222E8" w:rsidRDefault="0067137C" w14:paraId="52D02DD2"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lastRenderedPageBreak/>
              <w:t xml:space="preserve">Coastal Discovery Center </w:t>
            </w:r>
          </w:p>
        </w:tc>
        <w:tc>
          <w:tcPr>
            <w:tcW w:w="2579" w:type="dxa"/>
            <w:shd w:val="clear" w:color="auto" w:fill="C6E0B4"/>
            <w:vAlign w:val="center"/>
          </w:tcPr>
          <w:p w:rsidR="00F222E8" w:rsidRDefault="0067137C" w14:paraId="177AAA3C"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Monterey Bay</w:t>
            </w:r>
          </w:p>
        </w:tc>
        <w:tc>
          <w:tcPr>
            <w:tcW w:w="1805" w:type="dxa"/>
            <w:shd w:val="clear" w:color="auto" w:fill="C6E0B4"/>
            <w:vAlign w:val="center"/>
          </w:tcPr>
          <w:p w:rsidR="00F222E8" w:rsidRDefault="0067137C" w14:paraId="57E16FAD"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12,000</w:t>
            </w:r>
          </w:p>
        </w:tc>
        <w:tc>
          <w:tcPr>
            <w:tcW w:w="1446" w:type="dxa"/>
            <w:shd w:val="clear" w:color="auto" w:fill="C6E0B4"/>
            <w:vAlign w:val="center"/>
          </w:tcPr>
          <w:p w:rsidR="00F222E8" w:rsidRDefault="0067137C" w14:paraId="7E861C4E"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390</w:t>
            </w:r>
          </w:p>
        </w:tc>
      </w:tr>
      <w:tr w:rsidR="00F222E8" w14:paraId="71FDF768" w14:textId="77777777">
        <w:trPr>
          <w:trHeight w:val="300"/>
        </w:trPr>
        <w:tc>
          <w:tcPr>
            <w:tcW w:w="3520" w:type="dxa"/>
            <w:shd w:val="clear" w:color="auto" w:fill="C6E0B4"/>
            <w:vAlign w:val="center"/>
          </w:tcPr>
          <w:p w:rsidR="00F222E8" w:rsidRDefault="0067137C" w14:paraId="5C06224F"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Sanctuary Exploration Center</w:t>
            </w:r>
          </w:p>
        </w:tc>
        <w:tc>
          <w:tcPr>
            <w:tcW w:w="2579" w:type="dxa"/>
            <w:shd w:val="clear" w:color="auto" w:fill="C6E0B4"/>
            <w:vAlign w:val="center"/>
          </w:tcPr>
          <w:p w:rsidR="00F222E8" w:rsidRDefault="0067137C" w14:paraId="725F1314"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Monterey Bay</w:t>
            </w:r>
          </w:p>
        </w:tc>
        <w:tc>
          <w:tcPr>
            <w:tcW w:w="1805" w:type="dxa"/>
            <w:shd w:val="clear" w:color="auto" w:fill="C6E0B4"/>
            <w:vAlign w:val="center"/>
          </w:tcPr>
          <w:p w:rsidR="00F222E8" w:rsidRDefault="0067137C" w14:paraId="446BD310"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56,000</w:t>
            </w:r>
          </w:p>
        </w:tc>
        <w:tc>
          <w:tcPr>
            <w:tcW w:w="1446" w:type="dxa"/>
            <w:shd w:val="clear" w:color="auto" w:fill="C6E0B4"/>
            <w:vAlign w:val="center"/>
          </w:tcPr>
          <w:p w:rsidR="00F222E8" w:rsidRDefault="0067137C" w14:paraId="778CDCC2"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397</w:t>
            </w:r>
          </w:p>
        </w:tc>
      </w:tr>
      <w:tr w:rsidR="00F222E8" w14:paraId="56A0E8D9" w14:textId="77777777">
        <w:trPr>
          <w:trHeight w:val="300"/>
        </w:trPr>
        <w:tc>
          <w:tcPr>
            <w:tcW w:w="3520" w:type="dxa"/>
            <w:shd w:val="clear" w:color="auto" w:fill="C6E0B4"/>
            <w:vAlign w:val="center"/>
          </w:tcPr>
          <w:p w:rsidR="00F222E8" w:rsidRDefault="0067137C" w14:paraId="37095794"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Olympic Coast Discovery Center</w:t>
            </w:r>
          </w:p>
        </w:tc>
        <w:tc>
          <w:tcPr>
            <w:tcW w:w="2579" w:type="dxa"/>
            <w:shd w:val="clear" w:color="auto" w:fill="C6E0B4"/>
            <w:vAlign w:val="center"/>
          </w:tcPr>
          <w:p w:rsidR="00F222E8" w:rsidRDefault="0067137C" w14:paraId="7C7199E9"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Olympic Coast</w:t>
            </w:r>
          </w:p>
        </w:tc>
        <w:tc>
          <w:tcPr>
            <w:tcW w:w="1805" w:type="dxa"/>
            <w:shd w:val="clear" w:color="auto" w:fill="C6E0B4"/>
            <w:vAlign w:val="center"/>
          </w:tcPr>
          <w:p w:rsidR="00F222E8" w:rsidRDefault="0067137C" w14:paraId="2D2A74FC"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6,000</w:t>
            </w:r>
          </w:p>
        </w:tc>
        <w:tc>
          <w:tcPr>
            <w:tcW w:w="1446" w:type="dxa"/>
            <w:shd w:val="clear" w:color="auto" w:fill="C6E0B4"/>
            <w:vAlign w:val="center"/>
          </w:tcPr>
          <w:p w:rsidR="00F222E8" w:rsidRDefault="0067137C" w14:paraId="50D6AC68"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375</w:t>
            </w:r>
          </w:p>
        </w:tc>
      </w:tr>
      <w:tr w:rsidR="00F222E8" w14:paraId="4BA92FD1" w14:textId="77777777">
        <w:trPr>
          <w:trHeight w:val="300"/>
        </w:trPr>
        <w:tc>
          <w:tcPr>
            <w:tcW w:w="3520" w:type="dxa"/>
            <w:shd w:val="clear" w:color="auto" w:fill="auto"/>
            <w:vAlign w:val="center"/>
          </w:tcPr>
          <w:p w:rsidR="00F222E8" w:rsidRDefault="0067137C" w14:paraId="7611A937"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Exhibits at Maritime Aquarium at Norwalk</w:t>
            </w:r>
          </w:p>
        </w:tc>
        <w:tc>
          <w:tcPr>
            <w:tcW w:w="2579" w:type="dxa"/>
            <w:shd w:val="clear" w:color="auto" w:fill="auto"/>
            <w:vAlign w:val="center"/>
          </w:tcPr>
          <w:p w:rsidR="00F222E8" w:rsidRDefault="0067137C" w14:paraId="1E95A1C3"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Stellwagen Bank</w:t>
            </w:r>
          </w:p>
        </w:tc>
        <w:tc>
          <w:tcPr>
            <w:tcW w:w="1805" w:type="dxa"/>
            <w:shd w:val="clear" w:color="auto" w:fill="auto"/>
            <w:vAlign w:val="center"/>
          </w:tcPr>
          <w:p w:rsidR="00F222E8" w:rsidRDefault="0067137C" w14:paraId="6D6B7633"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300,000</w:t>
            </w:r>
          </w:p>
        </w:tc>
        <w:tc>
          <w:tcPr>
            <w:tcW w:w="1446" w:type="dxa"/>
            <w:shd w:val="clear" w:color="auto" w:fill="auto"/>
            <w:vAlign w:val="center"/>
          </w:tcPr>
          <w:p w:rsidR="00F222E8" w:rsidRDefault="0067137C" w14:paraId="4EA283DA"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400</w:t>
            </w:r>
          </w:p>
        </w:tc>
      </w:tr>
      <w:tr w:rsidR="00F222E8" w14:paraId="1A1484A4" w14:textId="77777777">
        <w:trPr>
          <w:trHeight w:val="300"/>
        </w:trPr>
        <w:tc>
          <w:tcPr>
            <w:tcW w:w="3520" w:type="dxa"/>
            <w:shd w:val="clear" w:color="auto" w:fill="auto"/>
            <w:vAlign w:val="center"/>
          </w:tcPr>
          <w:p w:rsidR="00F222E8" w:rsidRDefault="0067137C" w14:paraId="349C34CD"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Exhibits at Maritime Gloucester</w:t>
            </w:r>
          </w:p>
        </w:tc>
        <w:tc>
          <w:tcPr>
            <w:tcW w:w="2579" w:type="dxa"/>
            <w:shd w:val="clear" w:color="auto" w:fill="auto"/>
            <w:vAlign w:val="center"/>
          </w:tcPr>
          <w:p w:rsidR="00F222E8" w:rsidRDefault="0067137C" w14:paraId="67A26813"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Stellwagen Bank</w:t>
            </w:r>
          </w:p>
        </w:tc>
        <w:tc>
          <w:tcPr>
            <w:tcW w:w="1805" w:type="dxa"/>
            <w:shd w:val="clear" w:color="auto" w:fill="auto"/>
            <w:vAlign w:val="center"/>
          </w:tcPr>
          <w:p w:rsidR="00F222E8" w:rsidRDefault="0067137C" w14:paraId="5C7F854E"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30,000</w:t>
            </w:r>
          </w:p>
        </w:tc>
        <w:tc>
          <w:tcPr>
            <w:tcW w:w="1446" w:type="dxa"/>
            <w:shd w:val="clear" w:color="auto" w:fill="auto"/>
            <w:vAlign w:val="center"/>
          </w:tcPr>
          <w:p w:rsidR="00F222E8" w:rsidRDefault="0067137C" w14:paraId="2329EA76"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397</w:t>
            </w:r>
          </w:p>
        </w:tc>
      </w:tr>
      <w:tr w:rsidR="00F222E8" w14:paraId="6BE81F26" w14:textId="77777777">
        <w:trPr>
          <w:trHeight w:val="300"/>
        </w:trPr>
        <w:tc>
          <w:tcPr>
            <w:tcW w:w="3520" w:type="dxa"/>
            <w:shd w:val="clear" w:color="auto" w:fill="C6E0B4"/>
            <w:vAlign w:val="center"/>
          </w:tcPr>
          <w:p w:rsidR="00F222E8" w:rsidRDefault="0067137C" w14:paraId="20313DE7"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Great Lakes Maritime Heritage Center</w:t>
            </w:r>
          </w:p>
        </w:tc>
        <w:tc>
          <w:tcPr>
            <w:tcW w:w="2579" w:type="dxa"/>
            <w:shd w:val="clear" w:color="auto" w:fill="C6E0B4"/>
            <w:vAlign w:val="center"/>
          </w:tcPr>
          <w:p w:rsidR="00F222E8" w:rsidRDefault="0067137C" w14:paraId="1C2094D9"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Thunder Bay</w:t>
            </w:r>
          </w:p>
        </w:tc>
        <w:tc>
          <w:tcPr>
            <w:tcW w:w="1805" w:type="dxa"/>
            <w:shd w:val="clear" w:color="auto" w:fill="C6E0B4"/>
            <w:vAlign w:val="center"/>
          </w:tcPr>
          <w:p w:rsidR="00F222E8" w:rsidRDefault="0067137C" w14:paraId="28FAF8B7"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93,943</w:t>
            </w:r>
          </w:p>
        </w:tc>
        <w:tc>
          <w:tcPr>
            <w:tcW w:w="1446" w:type="dxa"/>
            <w:shd w:val="clear" w:color="auto" w:fill="C6E0B4"/>
            <w:vAlign w:val="center"/>
          </w:tcPr>
          <w:p w:rsidR="00F222E8" w:rsidRDefault="0067137C" w14:paraId="3F243A94"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400</w:t>
            </w:r>
          </w:p>
        </w:tc>
      </w:tr>
      <w:tr w:rsidR="00F222E8" w14:paraId="65F89451" w14:textId="77777777">
        <w:trPr>
          <w:trHeight w:val="620"/>
        </w:trPr>
        <w:tc>
          <w:tcPr>
            <w:tcW w:w="3520" w:type="dxa"/>
            <w:shd w:val="clear" w:color="auto" w:fill="auto"/>
            <w:vAlign w:val="center"/>
          </w:tcPr>
          <w:p w:rsidR="00F222E8" w:rsidRDefault="0067137C" w14:paraId="42FFD769"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Exhibits at NPS Point Reyes Bear Valley Visitor Center</w:t>
            </w:r>
          </w:p>
        </w:tc>
        <w:tc>
          <w:tcPr>
            <w:tcW w:w="2579" w:type="dxa"/>
            <w:shd w:val="clear" w:color="auto" w:fill="auto"/>
            <w:vAlign w:val="center"/>
          </w:tcPr>
          <w:p w:rsidR="00F222E8" w:rsidRDefault="0067137C" w14:paraId="6BF7B27B"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Cordell Bank</w:t>
            </w:r>
            <w:r>
              <w:rPr>
                <w:rFonts w:ascii="Arial Narrow" w:hAnsi="Arial Narrow" w:eastAsia="Arial Narrow" w:cs="Arial Narrow"/>
                <w:color w:val="000000"/>
                <w:sz w:val="22"/>
                <w:szCs w:val="22"/>
              </w:rPr>
              <w:br/>
              <w:t xml:space="preserve">Greater </w:t>
            </w:r>
            <w:proofErr w:type="spellStart"/>
            <w:r>
              <w:rPr>
                <w:rFonts w:ascii="Arial Narrow" w:hAnsi="Arial Narrow" w:eastAsia="Arial Narrow" w:cs="Arial Narrow"/>
                <w:color w:val="000000"/>
                <w:sz w:val="22"/>
                <w:szCs w:val="22"/>
              </w:rPr>
              <w:t>Farallones</w:t>
            </w:r>
            <w:proofErr w:type="spellEnd"/>
            <w:r>
              <w:rPr>
                <w:rFonts w:ascii="Arial Narrow" w:hAnsi="Arial Narrow" w:eastAsia="Arial Narrow" w:cs="Arial Narrow"/>
                <w:color w:val="000000"/>
                <w:sz w:val="22"/>
                <w:szCs w:val="22"/>
              </w:rPr>
              <w:br/>
            </w:r>
          </w:p>
        </w:tc>
        <w:tc>
          <w:tcPr>
            <w:tcW w:w="1805" w:type="dxa"/>
            <w:shd w:val="clear" w:color="auto" w:fill="auto"/>
            <w:vAlign w:val="center"/>
          </w:tcPr>
          <w:p w:rsidR="00F222E8" w:rsidRDefault="0067137C" w14:paraId="188702A3"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290,000</w:t>
            </w:r>
          </w:p>
        </w:tc>
        <w:tc>
          <w:tcPr>
            <w:tcW w:w="1446" w:type="dxa"/>
            <w:shd w:val="clear" w:color="auto" w:fill="auto"/>
            <w:vAlign w:val="center"/>
          </w:tcPr>
          <w:p w:rsidR="00F222E8" w:rsidRDefault="0067137C" w14:paraId="0E7CD4B3"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400</w:t>
            </w:r>
          </w:p>
        </w:tc>
      </w:tr>
      <w:tr w:rsidR="00F222E8" w14:paraId="3B2D272D" w14:textId="77777777">
        <w:trPr>
          <w:trHeight w:val="600"/>
        </w:trPr>
        <w:tc>
          <w:tcPr>
            <w:tcW w:w="3520" w:type="dxa"/>
            <w:shd w:val="clear" w:color="auto" w:fill="auto"/>
            <w:vAlign w:val="center"/>
          </w:tcPr>
          <w:p w:rsidR="00F222E8" w:rsidRDefault="0067137C" w14:paraId="0C5ED799"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Exhibits at NPS Point Reyes Ocean Exploration Center</w:t>
            </w:r>
          </w:p>
        </w:tc>
        <w:tc>
          <w:tcPr>
            <w:tcW w:w="2579" w:type="dxa"/>
            <w:shd w:val="clear" w:color="auto" w:fill="auto"/>
            <w:vAlign w:val="center"/>
          </w:tcPr>
          <w:p w:rsidR="00F222E8" w:rsidRDefault="0067137C" w14:paraId="2D81B8D6"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Cordell Bank</w:t>
            </w:r>
            <w:r>
              <w:rPr>
                <w:rFonts w:ascii="Arial Narrow" w:hAnsi="Arial Narrow" w:eastAsia="Arial Narrow" w:cs="Arial Narrow"/>
                <w:color w:val="000000"/>
                <w:sz w:val="22"/>
                <w:szCs w:val="22"/>
              </w:rPr>
              <w:br/>
              <w:t xml:space="preserve">Greater </w:t>
            </w:r>
            <w:proofErr w:type="spellStart"/>
            <w:r>
              <w:rPr>
                <w:rFonts w:ascii="Arial Narrow" w:hAnsi="Arial Narrow" w:eastAsia="Arial Narrow" w:cs="Arial Narrow"/>
                <w:color w:val="000000"/>
                <w:sz w:val="22"/>
                <w:szCs w:val="22"/>
              </w:rPr>
              <w:t>Farallones</w:t>
            </w:r>
            <w:proofErr w:type="spellEnd"/>
          </w:p>
        </w:tc>
        <w:tc>
          <w:tcPr>
            <w:tcW w:w="1805" w:type="dxa"/>
            <w:shd w:val="clear" w:color="auto" w:fill="auto"/>
            <w:vAlign w:val="center"/>
          </w:tcPr>
          <w:p w:rsidR="00F222E8" w:rsidRDefault="0067137C" w14:paraId="649CC2AE"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131,700</w:t>
            </w:r>
          </w:p>
        </w:tc>
        <w:tc>
          <w:tcPr>
            <w:tcW w:w="1446" w:type="dxa"/>
            <w:shd w:val="clear" w:color="auto" w:fill="auto"/>
            <w:vAlign w:val="center"/>
          </w:tcPr>
          <w:p w:rsidR="00F222E8" w:rsidRDefault="0067137C" w14:paraId="6CE57E5A"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400</w:t>
            </w:r>
          </w:p>
        </w:tc>
      </w:tr>
      <w:tr w:rsidR="00F222E8" w14:paraId="2785BA48" w14:textId="77777777">
        <w:trPr>
          <w:trHeight w:val="600"/>
        </w:trPr>
        <w:tc>
          <w:tcPr>
            <w:tcW w:w="6099" w:type="dxa"/>
            <w:gridSpan w:val="2"/>
            <w:shd w:val="clear" w:color="auto" w:fill="auto"/>
            <w:vAlign w:val="center"/>
          </w:tcPr>
          <w:p w:rsidR="00F222E8" w:rsidRDefault="0067137C" w14:paraId="4E44B327" w14:textId="77777777">
            <w:pPr>
              <w:jc w:val="right"/>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Total</w:t>
            </w:r>
          </w:p>
        </w:tc>
        <w:tc>
          <w:tcPr>
            <w:tcW w:w="1805" w:type="dxa"/>
            <w:shd w:val="clear" w:color="auto" w:fill="auto"/>
            <w:vAlign w:val="center"/>
          </w:tcPr>
          <w:p w:rsidR="00F222E8" w:rsidRDefault="0067137C" w14:paraId="3C99B5C9"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 xml:space="preserve">         </w:t>
            </w:r>
          </w:p>
          <w:p w:rsidR="00F222E8" w:rsidRDefault="0067137C" w14:paraId="6FDFB8F5"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 xml:space="preserve">  3,892,169 </w:t>
            </w:r>
          </w:p>
          <w:p w:rsidR="00F222E8" w:rsidRDefault="00F222E8" w14:paraId="74C78025" w14:textId="77777777">
            <w:pPr>
              <w:jc w:val="center"/>
              <w:rPr>
                <w:rFonts w:ascii="Arial Narrow" w:hAnsi="Arial Narrow" w:eastAsia="Arial Narrow" w:cs="Arial Narrow"/>
                <w:color w:val="000000"/>
                <w:sz w:val="22"/>
                <w:szCs w:val="22"/>
              </w:rPr>
            </w:pPr>
          </w:p>
        </w:tc>
        <w:tc>
          <w:tcPr>
            <w:tcW w:w="1446" w:type="dxa"/>
            <w:shd w:val="clear" w:color="auto" w:fill="auto"/>
            <w:vAlign w:val="center"/>
          </w:tcPr>
          <w:p w:rsidR="00F222E8" w:rsidRDefault="0067137C" w14:paraId="248BF012" w14:textId="77777777">
            <w:pPr>
              <w:jc w:val="center"/>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8,265</w:t>
            </w:r>
          </w:p>
        </w:tc>
      </w:tr>
    </w:tbl>
    <w:p w:rsidR="00F222E8" w:rsidRDefault="00F222E8" w14:paraId="50482A88" w14:textId="77777777">
      <w:pPr>
        <w:spacing w:line="276" w:lineRule="auto"/>
        <w:ind w:right="239"/>
        <w:rPr>
          <w:b/>
        </w:rPr>
      </w:pPr>
    </w:p>
    <w:p w:rsidR="00F222E8" w:rsidP="0014428E" w:rsidRDefault="0067137C" w14:paraId="631AC8BF" w14:textId="07C8EF18">
      <w:r>
        <w:t xml:space="preserve">The target population is users of the visitor centers (and not the sanctuary).  Data analysis will be geared toward understanding the attributes of our target population, effectiveness of sanctuary messaging, satisfaction with visitor center services and what could be improved. Attribute profiles for the population will be summarized using basic univariate descriptive statistics. Using a precision level of 5%, a confidence level of 95% and a P=.5 the table shows the number of responses needed from each site.  </w:t>
      </w:r>
    </w:p>
    <w:p w:rsidR="00F222E8" w:rsidRDefault="00F222E8" w14:paraId="15942666" w14:textId="77777777">
      <w:pPr>
        <w:pBdr>
          <w:top w:val="nil"/>
          <w:left w:val="nil"/>
          <w:bottom w:val="nil"/>
          <w:right w:val="nil"/>
          <w:between w:val="nil"/>
        </w:pBdr>
        <w:ind w:right="1800"/>
      </w:pPr>
    </w:p>
    <w:p w:rsidR="00F222E8" w:rsidRDefault="0067137C" w14:paraId="6F91D6D1" w14:textId="7B0A816A">
      <w:pPr>
        <w:pBdr>
          <w:top w:val="nil"/>
          <w:left w:val="nil"/>
          <w:bottom w:val="nil"/>
          <w:right w:val="nil"/>
          <w:between w:val="nil"/>
        </w:pBdr>
        <w:rPr>
          <w:color w:val="000000"/>
        </w:rPr>
      </w:pPr>
      <w:r>
        <w:rPr>
          <w:color w:val="000000"/>
        </w:rPr>
        <w:t xml:space="preserve">Based on responses </w:t>
      </w:r>
      <w:r w:rsidRPr="00E876AC">
        <w:rPr>
          <w:color w:val="000000"/>
        </w:rPr>
        <w:t xml:space="preserve">to </w:t>
      </w:r>
      <w:proofErr w:type="spellStart"/>
      <w:r w:rsidRPr="00E876AC" w:rsidR="00E07FFC">
        <w:rPr>
          <w:rFonts w:eastAsia="Arial Narrow"/>
          <w:color w:val="000000"/>
        </w:rPr>
        <w:t>Mokupāpapa</w:t>
      </w:r>
      <w:proofErr w:type="spellEnd"/>
      <w:r w:rsidRPr="00E876AC" w:rsidR="00E07FFC">
        <w:rPr>
          <w:rFonts w:eastAsia="Arial Narrow"/>
          <w:color w:val="000000"/>
        </w:rPr>
        <w:t xml:space="preserve"> Discovery Center</w:t>
      </w:r>
      <w:r w:rsidR="00E876AC">
        <w:rPr>
          <w:rFonts w:eastAsia="Arial Narrow"/>
          <w:color w:val="000000"/>
        </w:rPr>
        <w:t>’s</w:t>
      </w:r>
      <w:r w:rsidRPr="00E876AC" w:rsidR="00E07FFC">
        <w:rPr>
          <w:rFonts w:eastAsia="Arial Narrow"/>
          <w:color w:val="000000"/>
        </w:rPr>
        <w:t xml:space="preserve"> </w:t>
      </w:r>
      <w:r w:rsidR="00E876AC">
        <w:rPr>
          <w:rFonts w:eastAsia="Arial Narrow"/>
          <w:color w:val="000000"/>
        </w:rPr>
        <w:t>(</w:t>
      </w:r>
      <w:r w:rsidRPr="00E876AC">
        <w:rPr>
          <w:color w:val="000000"/>
        </w:rPr>
        <w:t>MDC’s</w:t>
      </w:r>
      <w:r w:rsidR="00E876AC">
        <w:rPr>
          <w:color w:val="000000"/>
        </w:rPr>
        <w:t>)</w:t>
      </w:r>
      <w:r>
        <w:rPr>
          <w:color w:val="000000"/>
        </w:rPr>
        <w:t xml:space="preserve"> prior survey (completed in January of 2010), and data from similar surveys conducted at aquariums and other interpretive facilities, there is an expected response rate of 85%-90%.  Therefore, non-response should not be an issue in this study.  Prior experience has shown that inviting visitors to contribute their opinions and feedback is a positive motivator. </w:t>
      </w:r>
    </w:p>
    <w:p w:rsidR="00F222E8" w:rsidRDefault="00F222E8" w14:paraId="48EAFFDE" w14:textId="77777777">
      <w:pPr>
        <w:pBdr>
          <w:top w:val="nil"/>
          <w:left w:val="nil"/>
          <w:bottom w:val="nil"/>
          <w:right w:val="nil"/>
          <w:between w:val="nil"/>
        </w:pBdr>
        <w:rPr>
          <w:color w:val="000000"/>
        </w:rPr>
      </w:pPr>
    </w:p>
    <w:p w:rsidR="00F222E8" w:rsidP="00070256" w:rsidRDefault="0067137C" w14:paraId="7A66CFDF" w14:textId="45E44A76">
      <w:pPr>
        <w:pBdr>
          <w:top w:val="nil"/>
          <w:left w:val="nil"/>
          <w:bottom w:val="nil"/>
          <w:right w:val="nil"/>
          <w:between w:val="nil"/>
        </w:pBdr>
        <w:rPr>
          <w:color w:val="000000"/>
        </w:rPr>
      </w:pPr>
      <w:r>
        <w:rPr>
          <w:color w:val="000000"/>
        </w:rPr>
        <w:t xml:space="preserve">Characteristics of patron types at visitor centers and museums may vary considerably (e.g., a local family may be followed by a tourist couple who may be followed by a single adult tourist). In places with relatively low volumes of visitors (such as the </w:t>
      </w:r>
      <w:proofErr w:type="spellStart"/>
      <w:r>
        <w:rPr>
          <w:color w:val="000000"/>
        </w:rPr>
        <w:t>Mokupāpapa</w:t>
      </w:r>
      <w:proofErr w:type="spellEnd"/>
      <w:r>
        <w:rPr>
          <w:color w:val="000000"/>
        </w:rPr>
        <w:t xml:space="preserve"> Discovery Center, compared to high volume places such as the Smithsonian) </w:t>
      </w:r>
      <w:r w:rsidR="00CC6048">
        <w:rPr>
          <w:color w:val="000000"/>
        </w:rPr>
        <w:t>a</w:t>
      </w:r>
      <w:r>
        <w:rPr>
          <w:color w:val="000000"/>
        </w:rPr>
        <w:t xml:space="preserve"> sample of visitor groups can be obtained by using a “next available” protocol, as follows:</w:t>
      </w:r>
    </w:p>
    <w:p w:rsidR="00F222E8" w:rsidRDefault="00F222E8" w14:paraId="55419140" w14:textId="77777777">
      <w:pPr>
        <w:pBdr>
          <w:top w:val="nil"/>
          <w:left w:val="nil"/>
          <w:bottom w:val="nil"/>
          <w:right w:val="nil"/>
          <w:between w:val="nil"/>
        </w:pBdr>
        <w:rPr>
          <w:color w:val="000000"/>
        </w:rPr>
      </w:pPr>
    </w:p>
    <w:p w:rsidR="00F222E8" w:rsidRDefault="0067137C" w14:paraId="4F6E2C2D" w14:textId="77777777">
      <w:pPr>
        <w:pBdr>
          <w:top w:val="nil"/>
          <w:left w:val="nil"/>
          <w:bottom w:val="nil"/>
          <w:right w:val="nil"/>
          <w:between w:val="nil"/>
        </w:pBdr>
        <w:ind w:left="720"/>
        <w:rPr>
          <w:color w:val="000000"/>
        </w:rPr>
      </w:pPr>
      <w:r>
        <w:rPr>
          <w:color w:val="000000"/>
        </w:rPr>
        <w:t xml:space="preserve">The interviewer is positioned near the exit from the exhibit space.  As any visitor group (usually 1-4 people) nears the exit, the interviewer approaches and makes eye contact with the ‘first adult’ (in practice: the one who is physically closest to the interviewer) and requests their participation in giving feedback about the exhibits. Face-to-face surveys typically offer the highest response rates obtainable.  If the adult visitor agrees, the interview is completed.  Upon completion, the interviewer will tend to step aside to complete their work on the interview form (documenting the date and time of the interview, adding their own initials to it, reviewing the form to check for completeness and readable handwriting, and also to put away that completed interview form and have a </w:t>
      </w:r>
      <w:r>
        <w:rPr>
          <w:color w:val="000000"/>
        </w:rPr>
        <w:lastRenderedPageBreak/>
        <w:t xml:space="preserve">new blank one ready); this process usually takes 3-5 minutes.  When the interviewer is then prepared with a new blank interview form and related materials (e.g., a photo board about the exhibits, used for some of the interview questions), he/she looks up and selects the “next available” visitor group.  </w:t>
      </w:r>
    </w:p>
    <w:p w:rsidR="00F222E8" w:rsidRDefault="00F222E8" w14:paraId="50A191B7" w14:textId="77777777">
      <w:pPr>
        <w:pBdr>
          <w:top w:val="nil"/>
          <w:left w:val="nil"/>
          <w:bottom w:val="nil"/>
          <w:right w:val="nil"/>
          <w:between w:val="nil"/>
        </w:pBdr>
        <w:rPr>
          <w:color w:val="000000"/>
        </w:rPr>
      </w:pPr>
    </w:p>
    <w:p w:rsidR="00F222E8" w:rsidRDefault="0067137C" w14:paraId="615FEB60" w14:textId="77777777">
      <w:pPr>
        <w:pBdr>
          <w:top w:val="nil"/>
          <w:left w:val="nil"/>
          <w:bottom w:val="nil"/>
          <w:right w:val="nil"/>
          <w:between w:val="nil"/>
        </w:pBdr>
        <w:rPr>
          <w:color w:val="000000"/>
        </w:rPr>
      </w:pPr>
      <w:r>
        <w:rPr>
          <w:color w:val="000000"/>
        </w:rPr>
        <w:t xml:space="preserve">The principle of this and other sampling methods is that the interviewer does not </w:t>
      </w:r>
      <w:r>
        <w:rPr>
          <w:i/>
          <w:color w:val="000000"/>
        </w:rPr>
        <w:t>choose</w:t>
      </w:r>
      <w:r>
        <w:rPr>
          <w:color w:val="000000"/>
        </w:rPr>
        <w:t xml:space="preserve"> who to interview by appearance, or by facial expression that might indicate enjoyment or not, or by whether there are or are not children in the group; in essence, the visitor group </w:t>
      </w:r>
      <w:r>
        <w:rPr>
          <w:i/>
          <w:color w:val="000000"/>
        </w:rPr>
        <w:t>selects themselves</w:t>
      </w:r>
      <w:r>
        <w:rPr>
          <w:color w:val="000000"/>
        </w:rPr>
        <w:t xml:space="preserve"> (although they don’t know the sampling parameters) by deciding when to exit (e.g., there may be another group being interviewed at the time when this group leaves, in which case they would not be selected).  Depending on the visitor flow, the next visitor group might be leaving right then, or the interviewer might have to wait for 5-10 minutes for the next group to leave.  This characteristic of ‘low volume’ visitor facilities makes it impractical to use other methods such as selecting every 4</w:t>
      </w:r>
      <w:r>
        <w:rPr>
          <w:color w:val="000000"/>
          <w:vertAlign w:val="superscript"/>
        </w:rPr>
        <w:t>th</w:t>
      </w:r>
      <w:r>
        <w:rPr>
          <w:color w:val="000000"/>
        </w:rPr>
        <w:t xml:space="preserve"> visitor group, or using a random number chart (for example, from 1 to 5) to decide which visitor group to select.  While additional methods could be used to provide reliability assessments of the sampling method, the budget is modest in this particular project, and we are choosing to put relatively more effort in the analysis of questions</w:t>
      </w:r>
      <w:r>
        <w:t xml:space="preserve"> from a </w:t>
      </w:r>
      <w:r>
        <w:rPr>
          <w:color w:val="000000"/>
        </w:rPr>
        <w:t>well-conducted random sampling of “next available” visitor groups.  We will make an effort to balance the sampling between weekday and weekend surveys to ensure capture of both local and visitor traffic.</w:t>
      </w:r>
    </w:p>
    <w:p w:rsidR="00F222E8" w:rsidRDefault="00F222E8" w14:paraId="37D5B02C" w14:textId="77777777">
      <w:pPr>
        <w:pBdr>
          <w:top w:val="nil"/>
          <w:left w:val="nil"/>
          <w:bottom w:val="nil"/>
          <w:right w:val="nil"/>
          <w:between w:val="nil"/>
        </w:pBdr>
        <w:rPr>
          <w:color w:val="000000"/>
        </w:rPr>
      </w:pPr>
    </w:p>
    <w:p w:rsidR="00F222E8" w:rsidRDefault="0067137C" w14:paraId="3F36C588" w14:textId="77777777">
      <w:pPr>
        <w:pBdr>
          <w:top w:val="nil"/>
          <w:left w:val="nil"/>
          <w:bottom w:val="nil"/>
          <w:right w:val="nil"/>
          <w:between w:val="nil"/>
        </w:pBdr>
        <w:rPr>
          <w:color w:val="000000"/>
          <w:u w:val="single"/>
        </w:rPr>
      </w:pPr>
      <w:r>
        <w:rPr>
          <w:b/>
          <w:color w:val="000000"/>
        </w:rPr>
        <w:t>2.</w:t>
      </w:r>
      <w:r>
        <w:rPr>
          <w:color w:val="000000"/>
          <w:u w:val="single"/>
        </w:rPr>
        <w:t xml:space="preserve"> </w:t>
      </w:r>
      <w:r>
        <w:rPr>
          <w:b/>
          <w:color w:val="000000"/>
        </w:rPr>
        <w:t xml:space="preserve">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 </w:t>
      </w:r>
    </w:p>
    <w:p w:rsidR="00F222E8" w:rsidRDefault="00F222E8" w14:paraId="3344BBD6" w14:textId="77777777">
      <w:pPr>
        <w:ind w:left="360"/>
        <w:rPr>
          <w:i/>
          <w:u w:val="single"/>
        </w:rPr>
      </w:pPr>
    </w:p>
    <w:p w:rsidR="00F222E8" w:rsidP="00070256" w:rsidRDefault="0067137C" w14:paraId="6EE6DAE1" w14:textId="77777777">
      <w:pPr>
        <w:rPr>
          <w:i/>
          <w:u w:val="single"/>
        </w:rPr>
      </w:pPr>
      <w:r>
        <w:rPr>
          <w:i/>
          <w:u w:val="single"/>
        </w:rPr>
        <w:t>Statistical Method for Stratification and Sample Selection</w:t>
      </w:r>
    </w:p>
    <w:p w:rsidRPr="00BA0C46" w:rsidR="00F222E8" w:rsidP="00E876AC" w:rsidRDefault="0067137C" w14:paraId="2967D749" w14:textId="2C053896">
      <w:pPr>
        <w:spacing w:before="240" w:after="240"/>
      </w:pPr>
      <w:r w:rsidRPr="00BA0C46">
        <w:t xml:space="preserve">This collection does not employ </w:t>
      </w:r>
      <w:r w:rsidR="00325E0F">
        <w:t xml:space="preserve">a </w:t>
      </w:r>
      <w:r w:rsidRPr="00BA0C46">
        <w:t xml:space="preserve">statistical sampling method. The sample will be a convenience sample of the target population – users of the visitor center. Using a precision level of 5%, a confidence level of 95% and a P=.5 we determined the number of responses needed from each visitor center/exhibit. </w:t>
      </w:r>
    </w:p>
    <w:p w:rsidR="00F222E8" w:rsidP="00070256" w:rsidRDefault="0067137C" w14:paraId="0D79E911" w14:textId="2E9B4459">
      <w:pPr>
        <w:spacing w:before="240" w:after="240"/>
        <w:rPr>
          <w:b/>
          <w:i/>
          <w:u w:val="single"/>
        </w:rPr>
      </w:pPr>
      <w:r>
        <w:rPr>
          <w:i/>
          <w:u w:val="single"/>
        </w:rPr>
        <w:t>Estimation Procedure and Accuracy</w:t>
      </w:r>
    </w:p>
    <w:p w:rsidR="00F222E8" w:rsidP="00E876AC" w:rsidRDefault="0067137C" w14:paraId="201168FB" w14:textId="3C1F7278">
      <w:pPr>
        <w:rPr>
          <w:b/>
        </w:rPr>
      </w:pPr>
      <w:r>
        <w:t xml:space="preserve">Data analysis will be geared toward understanding the attributes of our target population, effectiveness of sanctuary messaging, satisfaction with visitor center services and what could be improved. Attribute profiles for the population will be summarized using basic univariate descriptive statistics. We do not know the demographic characteristics of the population, so it is not possible to weight the data.  </w:t>
      </w:r>
    </w:p>
    <w:p w:rsidR="00F222E8" w:rsidRDefault="00F222E8" w14:paraId="56F52027" w14:textId="77777777">
      <w:pPr>
        <w:ind w:left="360"/>
        <w:rPr>
          <w:b/>
        </w:rPr>
      </w:pPr>
    </w:p>
    <w:p w:rsidR="00F222E8" w:rsidP="00070256" w:rsidRDefault="0067137C" w14:paraId="14DF5023" w14:textId="77777777">
      <w:pPr>
        <w:rPr>
          <w:b/>
          <w:i/>
          <w:u w:val="single"/>
        </w:rPr>
      </w:pPr>
      <w:r>
        <w:rPr>
          <w:i/>
          <w:u w:val="single"/>
        </w:rPr>
        <w:t>Unusual Problems Requiring Specialized Sampling Procedures</w:t>
      </w:r>
    </w:p>
    <w:p w:rsidR="00F222E8" w:rsidRDefault="00F222E8" w14:paraId="56120BA1" w14:textId="77777777">
      <w:pPr>
        <w:ind w:left="360"/>
        <w:rPr>
          <w:b/>
        </w:rPr>
      </w:pPr>
    </w:p>
    <w:p w:rsidR="00F222E8" w:rsidP="00E876AC" w:rsidRDefault="0067137C" w14:paraId="0D55132E" w14:textId="21961E64">
      <w:r>
        <w:t xml:space="preserve">We do not anticipate any unusual problems that require specialized sampling procedures.  We do not plan to collect demographic information on approached individuals who decline the survey. </w:t>
      </w:r>
    </w:p>
    <w:p w:rsidR="00E876AC" w:rsidP="00E876AC" w:rsidRDefault="00E876AC" w14:paraId="1718A94A" w14:textId="77777777">
      <w:pPr>
        <w:rPr>
          <w:b/>
        </w:rPr>
      </w:pPr>
    </w:p>
    <w:p w:rsidR="00F222E8" w:rsidP="00E876AC" w:rsidRDefault="0067137C" w14:paraId="5030081B" w14:textId="77777777">
      <w:pPr>
        <w:rPr>
          <w:b/>
          <w:i/>
          <w:u w:val="single"/>
        </w:rPr>
      </w:pPr>
      <w:r>
        <w:rPr>
          <w:i/>
          <w:u w:val="single"/>
        </w:rPr>
        <w:t>Periodic Data Collection Cycles</w:t>
      </w:r>
    </w:p>
    <w:p w:rsidR="00F222E8" w:rsidRDefault="00F222E8" w14:paraId="5DB3D032" w14:textId="77777777">
      <w:pPr>
        <w:pBdr>
          <w:top w:val="nil"/>
          <w:left w:val="nil"/>
          <w:bottom w:val="nil"/>
          <w:right w:val="nil"/>
          <w:between w:val="nil"/>
        </w:pBdr>
      </w:pPr>
    </w:p>
    <w:p w:rsidRPr="00CC6048" w:rsidR="00F222E8" w:rsidP="00E876AC" w:rsidRDefault="0067137C" w14:paraId="5646E694" w14:textId="77777777">
      <w:pPr>
        <w:widowControl w:val="0"/>
        <w:pBdr>
          <w:top w:val="nil"/>
          <w:left w:val="nil"/>
          <w:bottom w:val="nil"/>
          <w:right w:val="nil"/>
          <w:between w:val="nil"/>
        </w:pBdr>
      </w:pPr>
      <w:r>
        <w:rPr>
          <w:highlight w:val="white"/>
        </w:rPr>
        <w:t xml:space="preserve">The purpose </w:t>
      </w:r>
      <w:r>
        <w:t xml:space="preserve">is a snapshot of visitor experience, thus the </w:t>
      </w:r>
      <w:r>
        <w:rPr>
          <w:highlight w:val="white"/>
        </w:rPr>
        <w:t>timing of survey administration is important as the visitor experience should be fresh in the respondent’s mind to get the most honest answers. There is no intention of predicting or forecasting visitor behavior</w:t>
      </w:r>
      <w:r>
        <w:rPr>
          <w:color w:val="4D5156"/>
          <w:highlight w:val="white"/>
        </w:rPr>
        <w:t xml:space="preserve"> </w:t>
      </w:r>
      <w:r w:rsidRPr="00CC6048">
        <w:rPr>
          <w:highlight w:val="white"/>
        </w:rPr>
        <w:t xml:space="preserve">from the responses collected. </w:t>
      </w:r>
    </w:p>
    <w:p w:rsidR="00F222E8" w:rsidRDefault="00F222E8" w14:paraId="507E3178" w14:textId="77777777">
      <w:pPr>
        <w:pBdr>
          <w:top w:val="nil"/>
          <w:left w:val="nil"/>
          <w:bottom w:val="nil"/>
          <w:right w:val="nil"/>
          <w:between w:val="nil"/>
        </w:pBdr>
        <w:rPr>
          <w:b/>
        </w:rPr>
      </w:pPr>
    </w:p>
    <w:p w:rsidR="00F222E8" w:rsidRDefault="0067137C" w14:paraId="143C9D31" w14:textId="77777777">
      <w:pPr>
        <w:pBdr>
          <w:top w:val="nil"/>
          <w:left w:val="nil"/>
          <w:bottom w:val="nil"/>
          <w:right w:val="nil"/>
          <w:between w:val="nil"/>
        </w:pBdr>
        <w:rPr>
          <w:b/>
          <w:color w:val="000000"/>
        </w:rPr>
      </w:pPr>
      <w:r>
        <w:rPr>
          <w:b/>
          <w:color w:val="000000"/>
        </w:rPr>
        <w:t xml:space="preserve">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 </w:t>
      </w:r>
    </w:p>
    <w:p w:rsidR="00F222E8" w:rsidRDefault="00F222E8" w14:paraId="7467170C" w14:textId="77777777">
      <w:pPr>
        <w:pBdr>
          <w:top w:val="nil"/>
          <w:left w:val="nil"/>
          <w:bottom w:val="nil"/>
          <w:right w:val="nil"/>
          <w:between w:val="nil"/>
        </w:pBdr>
      </w:pPr>
    </w:p>
    <w:p w:rsidR="00F222E8" w:rsidRDefault="0067137C" w14:paraId="31EC14AE" w14:textId="169A35B3">
      <w:pPr>
        <w:pBdr>
          <w:top w:val="nil"/>
          <w:left w:val="nil"/>
          <w:bottom w:val="nil"/>
          <w:right w:val="nil"/>
          <w:between w:val="nil"/>
        </w:pBdr>
        <w:rPr>
          <w:color w:val="000000"/>
        </w:rPr>
      </w:pPr>
      <w:r>
        <w:rPr>
          <w:color w:val="000000"/>
        </w:rPr>
        <w:t>Based on responses to MDC’s prior survey (completed in January of 2010 and data from similar surveys conducted at aquariums and other interpretive facilities)</w:t>
      </w:r>
      <w:r w:rsidR="00E876AC">
        <w:rPr>
          <w:color w:val="000000"/>
        </w:rPr>
        <w:t>,</w:t>
      </w:r>
      <w:r>
        <w:rPr>
          <w:color w:val="000000"/>
        </w:rPr>
        <w:t xml:space="preserve"> there is an expected response rate of 85%-90%.  Therefore, non-response should not be an issue in this study.  Prior experience has shown that inviting visitors to contribute their opinions and feedback is a positive motivator. </w:t>
      </w:r>
      <w:r>
        <w:t xml:space="preserve">The respondents are from a group of interested users, which has been shown to yield higher response rates than a random mail or phone survey.  For the reasons described above, we do not expect non-response bias to be an issue for this collection.  </w:t>
      </w:r>
    </w:p>
    <w:p w:rsidR="00F222E8" w:rsidRDefault="00F222E8" w14:paraId="48E231A6" w14:textId="77777777">
      <w:pPr>
        <w:pBdr>
          <w:top w:val="nil"/>
          <w:left w:val="nil"/>
          <w:bottom w:val="nil"/>
          <w:right w:val="nil"/>
          <w:between w:val="nil"/>
        </w:pBdr>
        <w:rPr>
          <w:b/>
        </w:rPr>
      </w:pPr>
    </w:p>
    <w:p w:rsidR="00F222E8" w:rsidRDefault="0067137C" w14:paraId="2897905D" w14:textId="77777777">
      <w:pPr>
        <w:pBdr>
          <w:top w:val="nil"/>
          <w:left w:val="nil"/>
          <w:bottom w:val="nil"/>
          <w:right w:val="nil"/>
          <w:between w:val="nil"/>
        </w:pBdr>
        <w:rPr>
          <w:b/>
          <w:color w:val="000000"/>
        </w:rPr>
      </w:pPr>
      <w:r>
        <w:rPr>
          <w:b/>
          <w:color w:val="000000"/>
        </w:rPr>
        <w:t xml:space="preserve">4. Describe any tests of procedures or methods to be undertaken.  Tests are encouraged as effective means to refine collections, but if ten or more test respondents are involved OMB must give prior approval under the Paperwork Reduction Act.  </w:t>
      </w:r>
    </w:p>
    <w:p w:rsidR="00F222E8" w:rsidRDefault="00F222E8" w14:paraId="5989F834" w14:textId="77777777">
      <w:pPr>
        <w:pBdr>
          <w:top w:val="nil"/>
          <w:left w:val="nil"/>
          <w:bottom w:val="nil"/>
          <w:right w:val="nil"/>
          <w:between w:val="nil"/>
        </w:pBdr>
      </w:pPr>
    </w:p>
    <w:p w:rsidR="00F222E8" w:rsidRDefault="0067137C" w14:paraId="1D03DA7B" w14:textId="77777777">
      <w:pPr>
        <w:pBdr>
          <w:top w:val="nil"/>
          <w:left w:val="nil"/>
          <w:bottom w:val="nil"/>
          <w:right w:val="nil"/>
          <w:between w:val="nil"/>
        </w:pBdr>
        <w:rPr>
          <w:color w:val="000000"/>
        </w:rPr>
      </w:pPr>
      <w:r>
        <w:t>There will be no test of procedures or methods.</w:t>
      </w:r>
      <w:r>
        <w:rPr>
          <w:color w:val="000000"/>
        </w:rPr>
        <w:t xml:space="preserve"> </w:t>
      </w:r>
    </w:p>
    <w:p w:rsidR="00F222E8" w:rsidRDefault="00F222E8" w14:paraId="37E15044" w14:textId="77777777">
      <w:pPr>
        <w:pBdr>
          <w:top w:val="nil"/>
          <w:left w:val="nil"/>
          <w:bottom w:val="nil"/>
          <w:right w:val="nil"/>
          <w:between w:val="nil"/>
        </w:pBdr>
        <w:rPr>
          <w:color w:val="000000"/>
        </w:rPr>
      </w:pPr>
    </w:p>
    <w:p w:rsidR="00F222E8" w:rsidRDefault="0067137C" w14:paraId="59D1014A" w14:textId="77777777">
      <w:pPr>
        <w:pBdr>
          <w:top w:val="nil"/>
          <w:left w:val="nil"/>
          <w:bottom w:val="nil"/>
          <w:right w:val="nil"/>
          <w:between w:val="nil"/>
        </w:pBdr>
        <w:rPr>
          <w:b/>
          <w:color w:val="000000"/>
        </w:rPr>
      </w:pPr>
      <w:r>
        <w:rPr>
          <w:b/>
          <w:color w:val="000000"/>
        </w:rPr>
        <w:t xml:space="preserve">5. Provide the name and telephone number of individuals consulted on the statistical aspects of the design, and the name of the agency unit, contractor(s), grantee(s), or other person(s) who will actually collect and/or analyze the information for the agency. </w:t>
      </w:r>
    </w:p>
    <w:p w:rsidR="00F222E8" w:rsidRDefault="00F222E8" w14:paraId="422B63C0" w14:textId="77777777">
      <w:pPr>
        <w:pBdr>
          <w:top w:val="nil"/>
          <w:left w:val="nil"/>
          <w:bottom w:val="nil"/>
          <w:right w:val="nil"/>
          <w:between w:val="nil"/>
        </w:pBdr>
        <w:rPr>
          <w:b/>
          <w:color w:val="000000"/>
        </w:rPr>
      </w:pPr>
    </w:p>
    <w:p w:rsidR="00F222E8" w:rsidRDefault="0067137C" w14:paraId="011AC3FD" w14:textId="03517E2D">
      <w:pPr>
        <w:pBdr>
          <w:top w:val="nil"/>
          <w:left w:val="nil"/>
          <w:bottom w:val="nil"/>
          <w:right w:val="nil"/>
          <w:between w:val="nil"/>
        </w:pBdr>
        <w:rPr>
          <w:color w:val="000000"/>
        </w:rPr>
      </w:pPr>
      <w:r>
        <w:rPr>
          <w:color w:val="000000"/>
        </w:rPr>
        <w:t xml:space="preserve">The instructional designer and information scientist who adapted the research design from the original survey, and composed the survey instrument, is </w:t>
      </w:r>
      <w:r>
        <w:rPr>
          <w:b/>
          <w:color w:val="000000"/>
        </w:rPr>
        <w:t>Andy Collins</w:t>
      </w:r>
      <w:r>
        <w:rPr>
          <w:color w:val="000000"/>
        </w:rPr>
        <w:t xml:space="preserve">, </w:t>
      </w:r>
      <w:proofErr w:type="spellStart"/>
      <w:r>
        <w:rPr>
          <w:color w:val="000000"/>
        </w:rPr>
        <w:t>Papahānaumokuākea</w:t>
      </w:r>
      <w:proofErr w:type="spellEnd"/>
      <w:r>
        <w:rPr>
          <w:color w:val="000000"/>
        </w:rPr>
        <w:t xml:space="preserve"> Education Coordinator, andy.collins@noaa.gov, (808) </w:t>
      </w:r>
      <w:r>
        <w:t>725-5891</w:t>
      </w:r>
      <w:r>
        <w:rPr>
          <w:color w:val="000000"/>
        </w:rPr>
        <w:t>.</w:t>
      </w:r>
    </w:p>
    <w:p w:rsidR="00F222E8" w:rsidRDefault="00F222E8" w14:paraId="7ADD63D3" w14:textId="77777777">
      <w:pPr>
        <w:pBdr>
          <w:top w:val="nil"/>
          <w:left w:val="nil"/>
          <w:bottom w:val="nil"/>
          <w:right w:val="nil"/>
          <w:between w:val="nil"/>
        </w:pBdr>
        <w:rPr>
          <w:color w:val="000000"/>
        </w:rPr>
      </w:pPr>
    </w:p>
    <w:p w:rsidR="00F222E8" w:rsidRDefault="0067137C" w14:paraId="1A4B8839" w14:textId="77777777">
      <w:pPr>
        <w:pBdr>
          <w:top w:val="nil"/>
          <w:left w:val="nil"/>
          <w:bottom w:val="nil"/>
          <w:right w:val="nil"/>
          <w:between w:val="nil"/>
        </w:pBdr>
        <w:rPr>
          <w:color w:val="000000"/>
        </w:rPr>
      </w:pPr>
      <w:r>
        <w:rPr>
          <w:color w:val="000000"/>
        </w:rPr>
        <w:t xml:space="preserve">Andy Collins will be NOAA’s informational designer and responsible for data compilation and synthesis.  Representative data will be used for exhibits, programs, and related ways of educating the public about </w:t>
      </w:r>
      <w:proofErr w:type="spellStart"/>
      <w:r>
        <w:rPr>
          <w:color w:val="000000"/>
        </w:rPr>
        <w:t>Papahānaumokuākea</w:t>
      </w:r>
      <w:proofErr w:type="spellEnd"/>
      <w:r>
        <w:rPr>
          <w:color w:val="000000"/>
        </w:rPr>
        <w:t xml:space="preserve"> Marine National Monument. </w:t>
      </w:r>
    </w:p>
    <w:p w:rsidR="00F222E8" w:rsidRDefault="00F222E8" w14:paraId="5EB5A761" w14:textId="77777777"/>
    <w:p w:rsidR="00F222E8" w:rsidRDefault="0067137C" w14:paraId="79E328AC" w14:textId="77777777">
      <w:r>
        <w:t>Dayna McLaughlin, National Interpretation Coordinator, dayna.mclaughlin@noaa.gov</w:t>
      </w:r>
    </w:p>
    <w:sectPr w:rsidR="00F222E8">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8D848" w14:textId="77777777" w:rsidR="00797DA1" w:rsidRDefault="00797DA1">
      <w:r>
        <w:separator/>
      </w:r>
    </w:p>
  </w:endnote>
  <w:endnote w:type="continuationSeparator" w:id="0">
    <w:p w14:paraId="2C079C39" w14:textId="77777777" w:rsidR="00797DA1" w:rsidRDefault="0079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D6E4E" w14:textId="323E0254" w:rsidR="00F222E8" w:rsidRDefault="0067137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E876AC">
      <w:rPr>
        <w:noProof/>
        <w:color w:val="000000"/>
      </w:rPr>
      <w:t>4</w:t>
    </w:r>
    <w:r>
      <w:rPr>
        <w:color w:val="000000"/>
      </w:rPr>
      <w:fldChar w:fldCharType="end"/>
    </w:r>
  </w:p>
  <w:p w14:paraId="0E6D9ADA" w14:textId="77777777" w:rsidR="00F222E8" w:rsidRDefault="00F222E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FEE54" w14:textId="77777777" w:rsidR="00797DA1" w:rsidRDefault="00797DA1">
      <w:r>
        <w:separator/>
      </w:r>
    </w:p>
  </w:footnote>
  <w:footnote w:type="continuationSeparator" w:id="0">
    <w:p w14:paraId="125B2B32" w14:textId="77777777" w:rsidR="00797DA1" w:rsidRDefault="00797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2E8"/>
    <w:rsid w:val="00070256"/>
    <w:rsid w:val="000A28F0"/>
    <w:rsid w:val="0014428E"/>
    <w:rsid w:val="0016260C"/>
    <w:rsid w:val="00325E0F"/>
    <w:rsid w:val="00414E49"/>
    <w:rsid w:val="0067137C"/>
    <w:rsid w:val="00676D6B"/>
    <w:rsid w:val="00797DA1"/>
    <w:rsid w:val="00801228"/>
    <w:rsid w:val="00A03F41"/>
    <w:rsid w:val="00BA0C46"/>
    <w:rsid w:val="00CC6048"/>
    <w:rsid w:val="00D537D6"/>
    <w:rsid w:val="00DC181B"/>
    <w:rsid w:val="00E07FFC"/>
    <w:rsid w:val="00E876AC"/>
    <w:rsid w:val="00F22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3DE01"/>
  <w15:docId w15:val="{6AB82927-2C4B-4B8E-B9E4-4BA356E8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A0C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C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Tadesse Wodajo</dc:creator>
  <cp:lastModifiedBy>Adrienne.Thomas</cp:lastModifiedBy>
  <cp:revision>3</cp:revision>
  <dcterms:created xsi:type="dcterms:W3CDTF">2021-09-02T22:11:00Z</dcterms:created>
  <dcterms:modified xsi:type="dcterms:W3CDTF">2021-09-02T22:49:00Z</dcterms:modified>
</cp:coreProperties>
</file>