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91AB7" w:rsidR="00AD769B" w:rsidRDefault="00AD769B" w14:paraId="79425226" w14:textId="77777777">
      <w:pPr>
        <w:pStyle w:val="Title"/>
        <w:rPr>
          <w:rFonts w:ascii="Times New Roman" w:hAnsi="Times New Roman"/>
        </w:rPr>
      </w:pPr>
      <w:r w:rsidRPr="00891AB7">
        <w:rPr>
          <w:rFonts w:ascii="Times New Roman" w:hAnsi="Times New Roman"/>
        </w:rPr>
        <w:t>OMB SUPPORTING STATEMENT</w:t>
      </w:r>
      <w:r w:rsidR="0000454A">
        <w:rPr>
          <w:rFonts w:ascii="Times New Roman" w:hAnsi="Times New Roman"/>
        </w:rPr>
        <w:t xml:space="preserve"> - </w:t>
      </w:r>
      <w:r w:rsidR="008D5F60">
        <w:rPr>
          <w:rFonts w:ascii="Times New Roman" w:hAnsi="Times New Roman"/>
        </w:rPr>
        <w:t>2021</w:t>
      </w:r>
    </w:p>
    <w:p w:rsidRPr="00891AB7" w:rsidR="00AD769B" w:rsidRDefault="00AD769B" w14:paraId="005666BB" w14:textId="77777777">
      <w:pPr>
        <w:rPr>
          <w:b/>
          <w:color w:val="FF0000"/>
          <w:sz w:val="24"/>
          <w:szCs w:val="24"/>
        </w:rPr>
      </w:pPr>
    </w:p>
    <w:p w:rsidR="000E26DA" w:rsidP="00023A21" w:rsidRDefault="00AD769B" w14:paraId="0DAFCF35" w14:textId="77777777">
      <w:pPr>
        <w:pStyle w:val="BodyText"/>
        <w:jc w:val="center"/>
        <w:rPr>
          <w:rFonts w:ascii="Times New Roman" w:hAnsi="Times New Roman"/>
        </w:rPr>
      </w:pPr>
      <w:r w:rsidRPr="00891AB7">
        <w:rPr>
          <w:rFonts w:ascii="Times New Roman" w:hAnsi="Times New Roman"/>
        </w:rPr>
        <w:t>Request to Change FEHB Enrollment</w:t>
      </w:r>
      <w:r w:rsidR="000E26DA">
        <w:rPr>
          <w:rFonts w:ascii="Times New Roman" w:hAnsi="Times New Roman"/>
        </w:rPr>
        <w:t xml:space="preserve"> or to Receive Plan Brochures for Spouse Equity/Temporary Continuation of Coverage Enrollees/Direct Pay Annuitants </w:t>
      </w:r>
    </w:p>
    <w:p w:rsidR="00AD769B" w:rsidP="00023A21" w:rsidRDefault="000E26DA" w14:paraId="2CACCB5F" w14:textId="77777777">
      <w:pPr>
        <w:pStyle w:val="BodyText"/>
        <w:jc w:val="center"/>
        <w:rPr>
          <w:rFonts w:ascii="Times New Roman" w:hAnsi="Times New Roman"/>
        </w:rPr>
      </w:pPr>
      <w:r>
        <w:rPr>
          <w:rFonts w:ascii="Times New Roman" w:hAnsi="Times New Roman"/>
        </w:rPr>
        <w:t>(DPRS 2809)</w:t>
      </w:r>
    </w:p>
    <w:p w:rsidRPr="00891AB7" w:rsidR="00023A21" w:rsidP="00023A21" w:rsidRDefault="00023A21" w14:paraId="7C02B64F" w14:textId="77777777">
      <w:pPr>
        <w:pStyle w:val="BodyText"/>
        <w:jc w:val="center"/>
        <w:rPr>
          <w:rFonts w:ascii="Times New Roman" w:hAnsi="Times New Roman"/>
          <w:color w:val="FF0000"/>
        </w:rPr>
      </w:pPr>
      <w:r>
        <w:rPr>
          <w:rFonts w:ascii="Times New Roman" w:hAnsi="Times New Roman"/>
        </w:rPr>
        <w:t>0505-0024</w:t>
      </w:r>
    </w:p>
    <w:p w:rsidRPr="00891AB7" w:rsidR="00AD769B" w:rsidRDefault="00AD769B" w14:paraId="0F18ECF6" w14:textId="77777777">
      <w:pPr>
        <w:rPr>
          <w:sz w:val="24"/>
        </w:rPr>
      </w:pPr>
    </w:p>
    <w:p w:rsidRPr="00891AB7" w:rsidR="00AD769B" w:rsidRDefault="00AD769B" w14:paraId="4A47615F" w14:textId="77777777">
      <w:pPr>
        <w:numPr>
          <w:ilvl w:val="0"/>
          <w:numId w:val="1"/>
        </w:numPr>
        <w:rPr>
          <w:sz w:val="24"/>
          <w:u w:val="single"/>
        </w:rPr>
      </w:pPr>
      <w:r w:rsidRPr="00891AB7">
        <w:rPr>
          <w:sz w:val="24"/>
          <w:u w:val="single"/>
        </w:rPr>
        <w:t>Justification</w:t>
      </w:r>
    </w:p>
    <w:p w:rsidRPr="00891AB7" w:rsidR="00AD769B" w:rsidRDefault="00AD769B" w14:paraId="2F6F68B5" w14:textId="77777777">
      <w:pPr>
        <w:rPr>
          <w:sz w:val="24"/>
          <w:u w:val="single"/>
        </w:rPr>
      </w:pPr>
    </w:p>
    <w:p w:rsidRPr="00891AB7" w:rsidR="00AD769B" w:rsidRDefault="00AD769B" w14:paraId="6010B082" w14:textId="77777777">
      <w:pPr>
        <w:pStyle w:val="BodyTextIndent"/>
        <w:numPr>
          <w:ilvl w:val="0"/>
          <w:numId w:val="2"/>
        </w:numPr>
        <w:rPr>
          <w:rFonts w:ascii="Times New Roman" w:hAnsi="Times New Roman"/>
        </w:rPr>
      </w:pPr>
      <w:r w:rsidRPr="00891AB7">
        <w:rPr>
          <w:rFonts w:ascii="Times New Roman" w:hAnsi="Times New Roman"/>
        </w:rPr>
        <w:t>Title 5, U.S. Code, Chapter 89, sections 8905 and 8905</w:t>
      </w:r>
      <w:r w:rsidRPr="00891AB7" w:rsidR="00791EE4">
        <w:rPr>
          <w:rFonts w:ascii="Times New Roman" w:hAnsi="Times New Roman"/>
        </w:rPr>
        <w:t>a</w:t>
      </w:r>
      <w:r w:rsidRPr="00891AB7">
        <w:rPr>
          <w:rFonts w:ascii="Times New Roman" w:hAnsi="Times New Roman"/>
        </w:rPr>
        <w:t xml:space="preserve"> speci</w:t>
      </w:r>
      <w:r w:rsidRPr="00891AB7" w:rsidR="00791EE4">
        <w:rPr>
          <w:rFonts w:ascii="Times New Roman" w:hAnsi="Times New Roman"/>
        </w:rPr>
        <w:t>fies</w:t>
      </w:r>
      <w:r w:rsidRPr="00891AB7">
        <w:rPr>
          <w:rFonts w:ascii="Times New Roman" w:hAnsi="Times New Roman"/>
        </w:rPr>
        <w:t xml:space="preserve"> the opportunities and conditions under which a retiree, survivor annuitant, separated employee, former spouse or </w:t>
      </w:r>
      <w:r w:rsidRPr="00891AB7" w:rsidR="00791EE4">
        <w:rPr>
          <w:rFonts w:ascii="Times New Roman" w:hAnsi="Times New Roman"/>
        </w:rPr>
        <w:t>former</w:t>
      </w:r>
      <w:r w:rsidRPr="00891AB7" w:rsidR="00791EE4">
        <w:rPr>
          <w:rFonts w:ascii="Times New Roman" w:hAnsi="Times New Roman"/>
          <w:color w:val="FF0000"/>
        </w:rPr>
        <w:t xml:space="preserve"> </w:t>
      </w:r>
      <w:r w:rsidRPr="00891AB7" w:rsidR="00791EE4">
        <w:rPr>
          <w:rFonts w:ascii="Times New Roman" w:hAnsi="Times New Roman"/>
        </w:rPr>
        <w:t>dependent child</w:t>
      </w:r>
      <w:r w:rsidRPr="00891AB7" w:rsidR="00791EE4">
        <w:rPr>
          <w:rFonts w:ascii="Times New Roman" w:hAnsi="Times New Roman"/>
          <w:color w:val="FF0000"/>
        </w:rPr>
        <w:t xml:space="preserve"> </w:t>
      </w:r>
      <w:r w:rsidRPr="00891AB7">
        <w:rPr>
          <w:rFonts w:ascii="Times New Roman" w:hAnsi="Times New Roman"/>
        </w:rPr>
        <w:t>of a retiree, employee, or separated employee is eligible to change enrollment in the Federal Employees Health Benefits</w:t>
      </w:r>
      <w:r w:rsidRPr="00891AB7" w:rsidR="00791EE4">
        <w:rPr>
          <w:rFonts w:ascii="Times New Roman" w:hAnsi="Times New Roman"/>
        </w:rPr>
        <w:t xml:space="preserve"> (FEHB) </w:t>
      </w:r>
      <w:r w:rsidRPr="00891AB7">
        <w:rPr>
          <w:rFonts w:ascii="Times New Roman" w:hAnsi="Times New Roman"/>
        </w:rPr>
        <w:t>Program</w:t>
      </w:r>
      <w:r w:rsidRPr="00891AB7" w:rsidR="00791EE4">
        <w:rPr>
          <w:rFonts w:ascii="Times New Roman" w:hAnsi="Times New Roman"/>
        </w:rPr>
        <w:t xml:space="preserve">.  </w:t>
      </w:r>
      <w:r w:rsidRPr="00891AB7">
        <w:rPr>
          <w:rFonts w:ascii="Times New Roman" w:hAnsi="Times New Roman"/>
        </w:rPr>
        <w:t xml:space="preserve">DPRS-2809 is completed by the </w:t>
      </w:r>
      <w:r w:rsidRPr="00891AB7" w:rsidR="00791EE4">
        <w:rPr>
          <w:rFonts w:ascii="Times New Roman" w:hAnsi="Times New Roman"/>
        </w:rPr>
        <w:t xml:space="preserve">enrollee to make an open season enrollment change.  </w:t>
      </w:r>
    </w:p>
    <w:p w:rsidRPr="00891AB7" w:rsidR="00AD769B" w:rsidRDefault="00AD769B" w14:paraId="7B505360" w14:textId="77777777">
      <w:pPr>
        <w:ind w:left="1440" w:hanging="720"/>
        <w:rPr>
          <w:sz w:val="24"/>
        </w:rPr>
      </w:pPr>
    </w:p>
    <w:p w:rsidRPr="00891AB7" w:rsidR="00AD769B" w:rsidRDefault="00AD769B" w14:paraId="539B7625" w14:textId="77777777">
      <w:pPr>
        <w:numPr>
          <w:ilvl w:val="0"/>
          <w:numId w:val="2"/>
        </w:numPr>
        <w:rPr>
          <w:sz w:val="24"/>
        </w:rPr>
      </w:pPr>
      <w:r w:rsidRPr="00891AB7">
        <w:rPr>
          <w:sz w:val="24"/>
        </w:rPr>
        <w:t xml:space="preserve">The DPRS-2809 is administered by the U.S. Department of Agriculture's National Finance Center (NFC) for </w:t>
      </w:r>
      <w:r w:rsidRPr="00891AB7" w:rsidR="003B343D">
        <w:rPr>
          <w:sz w:val="24"/>
        </w:rPr>
        <w:t>use by</w:t>
      </w:r>
      <w:r w:rsidRPr="00891AB7" w:rsidR="003B343D">
        <w:rPr>
          <w:color w:val="FF0000"/>
          <w:sz w:val="24"/>
        </w:rPr>
        <w:t xml:space="preserve"> </w:t>
      </w:r>
      <w:r w:rsidRPr="00891AB7">
        <w:rPr>
          <w:sz w:val="24"/>
        </w:rPr>
        <w:t xml:space="preserve">separated employees or former spouses and former dependent children of active or separated employees.  NFC determines whether all conditions permitting change in enrollment are met and implements the enrollment change. NFC also informs the </w:t>
      </w:r>
      <w:r w:rsidR="00285161">
        <w:rPr>
          <w:sz w:val="24"/>
        </w:rPr>
        <w:t>FEHB</w:t>
      </w:r>
      <w:r w:rsidRPr="00891AB7">
        <w:rPr>
          <w:sz w:val="24"/>
        </w:rPr>
        <w:t xml:space="preserve"> carriers of the action. If this information were not collected, NFC could not comply with the provisions of title 5, U.S. Code, Chapter 89.</w:t>
      </w:r>
    </w:p>
    <w:p w:rsidRPr="00891AB7" w:rsidR="00AD769B" w:rsidRDefault="00AD769B" w14:paraId="0E10556B" w14:textId="77777777">
      <w:pPr>
        <w:rPr>
          <w:sz w:val="24"/>
        </w:rPr>
      </w:pPr>
    </w:p>
    <w:p w:rsidRPr="00891AB7" w:rsidR="00AD769B" w:rsidRDefault="00AD769B" w14:paraId="23A99389" w14:textId="77777777">
      <w:pPr>
        <w:numPr>
          <w:ilvl w:val="0"/>
          <w:numId w:val="2"/>
        </w:numPr>
        <w:rPr>
          <w:sz w:val="24"/>
        </w:rPr>
      </w:pPr>
      <w:r w:rsidRPr="00891AB7">
        <w:rPr>
          <w:sz w:val="24"/>
        </w:rPr>
        <w:t>Improved technology has been used in the construction and processing of DPRS-2809; the form is a computer-generated mailer.  However, there is no improved technology to reduce the burden on the respondent. The information collected can only be obtained from the respondents; they must sign the election form to signify their desire for the enrollment change.</w:t>
      </w:r>
    </w:p>
    <w:p w:rsidRPr="00891AB7" w:rsidR="00AD769B" w:rsidRDefault="00AD769B" w14:paraId="3B8DA1F2" w14:textId="77777777">
      <w:pPr>
        <w:rPr>
          <w:sz w:val="24"/>
        </w:rPr>
      </w:pPr>
    </w:p>
    <w:p w:rsidRPr="00891AB7" w:rsidR="00AD769B" w:rsidRDefault="00AD769B" w14:paraId="438A9D13" w14:textId="77777777">
      <w:pPr>
        <w:numPr>
          <w:ilvl w:val="0"/>
          <w:numId w:val="2"/>
        </w:numPr>
        <w:rPr>
          <w:sz w:val="24"/>
        </w:rPr>
      </w:pPr>
      <w:r w:rsidRPr="00891AB7">
        <w:rPr>
          <w:sz w:val="24"/>
        </w:rPr>
        <w:t>This form is filed individually. Duplication is minimized. Up-to-date similar information is not available.</w:t>
      </w:r>
    </w:p>
    <w:p w:rsidRPr="00891AB7" w:rsidR="00AD769B" w:rsidRDefault="00AD769B" w14:paraId="37B8CBC7" w14:textId="77777777">
      <w:pPr>
        <w:rPr>
          <w:sz w:val="24"/>
        </w:rPr>
      </w:pPr>
    </w:p>
    <w:p w:rsidRPr="00891AB7" w:rsidR="00AD769B" w:rsidRDefault="00AD769B" w14:paraId="476E5E05" w14:textId="77777777">
      <w:pPr>
        <w:numPr>
          <w:ilvl w:val="0"/>
          <w:numId w:val="2"/>
        </w:numPr>
        <w:rPr>
          <w:sz w:val="24"/>
        </w:rPr>
      </w:pPr>
      <w:r w:rsidRPr="00891AB7">
        <w:rPr>
          <w:sz w:val="24"/>
        </w:rPr>
        <w:t>This information collection does not involve small businesses.</w:t>
      </w:r>
    </w:p>
    <w:p w:rsidRPr="00891AB7" w:rsidR="00AD769B" w:rsidRDefault="00AD769B" w14:paraId="7019BFA7" w14:textId="77777777">
      <w:pPr>
        <w:rPr>
          <w:sz w:val="24"/>
        </w:rPr>
      </w:pPr>
    </w:p>
    <w:p w:rsidRPr="00891AB7" w:rsidR="00AD769B" w:rsidRDefault="00AD769B" w14:paraId="26DA61B4" w14:textId="77777777">
      <w:pPr>
        <w:numPr>
          <w:ilvl w:val="0"/>
          <w:numId w:val="2"/>
        </w:numPr>
        <w:rPr>
          <w:sz w:val="24"/>
        </w:rPr>
      </w:pPr>
      <w:r w:rsidRPr="00891AB7">
        <w:rPr>
          <w:sz w:val="24"/>
        </w:rPr>
        <w:t xml:space="preserve">This information is collected because </w:t>
      </w:r>
      <w:r w:rsidRPr="00891AB7" w:rsidR="003B343D">
        <w:rPr>
          <w:sz w:val="24"/>
        </w:rPr>
        <w:t>during open season an enrollee may</w:t>
      </w:r>
      <w:r w:rsidRPr="00891AB7" w:rsidR="003B343D">
        <w:rPr>
          <w:color w:val="FF0000"/>
          <w:sz w:val="24"/>
        </w:rPr>
        <w:t xml:space="preserve"> </w:t>
      </w:r>
      <w:r w:rsidRPr="00891AB7">
        <w:rPr>
          <w:sz w:val="24"/>
        </w:rPr>
        <w:t xml:space="preserve">change enrollment </w:t>
      </w:r>
      <w:r w:rsidRPr="00891AB7" w:rsidR="003B343D">
        <w:rPr>
          <w:sz w:val="24"/>
        </w:rPr>
        <w:t>i</w:t>
      </w:r>
      <w:r w:rsidRPr="00891AB7">
        <w:rPr>
          <w:sz w:val="24"/>
        </w:rPr>
        <w:t>n the FEHB</w:t>
      </w:r>
      <w:r w:rsidRPr="00891AB7" w:rsidR="003B343D">
        <w:rPr>
          <w:sz w:val="24"/>
        </w:rPr>
        <w:t xml:space="preserve"> </w:t>
      </w:r>
      <w:r w:rsidRPr="00891AB7">
        <w:rPr>
          <w:sz w:val="24"/>
        </w:rPr>
        <w:t>P</w:t>
      </w:r>
      <w:r w:rsidRPr="00891AB7" w:rsidR="003B343D">
        <w:rPr>
          <w:sz w:val="24"/>
        </w:rPr>
        <w:t>rogram</w:t>
      </w:r>
      <w:r w:rsidRPr="00891AB7">
        <w:rPr>
          <w:sz w:val="24"/>
        </w:rPr>
        <w:t>. The frequency of collection is determined by the provisions of title 5, U.S. Code, Chapter 89.</w:t>
      </w:r>
    </w:p>
    <w:p w:rsidRPr="00891AB7" w:rsidR="00AD769B" w:rsidRDefault="00AD769B" w14:paraId="22E30FEF" w14:textId="77777777">
      <w:pPr>
        <w:rPr>
          <w:sz w:val="24"/>
        </w:rPr>
      </w:pPr>
    </w:p>
    <w:p w:rsidRPr="00891AB7" w:rsidR="00AD769B" w:rsidRDefault="00AD769B" w14:paraId="7BE6F99F" w14:textId="77777777">
      <w:pPr>
        <w:numPr>
          <w:ilvl w:val="0"/>
          <w:numId w:val="2"/>
        </w:numPr>
        <w:rPr>
          <w:sz w:val="24"/>
        </w:rPr>
      </w:pPr>
      <w:r w:rsidRPr="00891AB7">
        <w:rPr>
          <w:sz w:val="24"/>
        </w:rPr>
        <w:t>This information collection is consistent with the guidelines in 5 CFR 1320.6.</w:t>
      </w:r>
    </w:p>
    <w:p w:rsidRPr="00891AB7" w:rsidR="00AD769B" w:rsidRDefault="00AD769B" w14:paraId="670332A2" w14:textId="77777777">
      <w:pPr>
        <w:rPr>
          <w:sz w:val="24"/>
        </w:rPr>
      </w:pPr>
    </w:p>
    <w:p w:rsidRPr="00387896" w:rsidR="00AD769B" w:rsidP="00387896" w:rsidRDefault="00AD769B" w14:paraId="00BA6405" w14:textId="77777777">
      <w:pPr>
        <w:numPr>
          <w:ilvl w:val="0"/>
          <w:numId w:val="2"/>
        </w:numPr>
        <w:rPr>
          <w:sz w:val="24"/>
        </w:rPr>
      </w:pPr>
      <w:r w:rsidRPr="00387896">
        <w:rPr>
          <w:sz w:val="24"/>
        </w:rPr>
        <w:t xml:space="preserve">Notice of the information collection was published in the </w:t>
      </w:r>
      <w:r w:rsidRPr="00387896">
        <w:rPr>
          <w:i/>
          <w:sz w:val="24"/>
        </w:rPr>
        <w:t>Federal Register</w:t>
      </w:r>
      <w:r w:rsidRPr="00387896" w:rsidR="00141191">
        <w:rPr>
          <w:i/>
          <w:sz w:val="24"/>
        </w:rPr>
        <w:t xml:space="preserve"> </w:t>
      </w:r>
      <w:r w:rsidRPr="00387896" w:rsidR="00141191">
        <w:rPr>
          <w:sz w:val="24"/>
        </w:rPr>
        <w:t xml:space="preserve">Volume </w:t>
      </w:r>
      <w:r w:rsidRPr="00387896" w:rsidR="008F593E">
        <w:rPr>
          <w:sz w:val="24"/>
        </w:rPr>
        <w:t xml:space="preserve">86, </w:t>
      </w:r>
      <w:r w:rsidRPr="00387896" w:rsidR="0055343F">
        <w:rPr>
          <w:sz w:val="24"/>
        </w:rPr>
        <w:t xml:space="preserve">No. </w:t>
      </w:r>
      <w:r w:rsidRPr="00387896" w:rsidR="008F593E">
        <w:rPr>
          <w:sz w:val="24"/>
        </w:rPr>
        <w:t xml:space="preserve">164, </w:t>
      </w:r>
      <w:r w:rsidRPr="00387896" w:rsidR="00241280">
        <w:rPr>
          <w:sz w:val="24"/>
        </w:rPr>
        <w:t xml:space="preserve">pg. </w:t>
      </w:r>
      <w:r w:rsidRPr="00387896" w:rsidR="008F593E">
        <w:rPr>
          <w:sz w:val="24"/>
        </w:rPr>
        <w:t xml:space="preserve">48115 </w:t>
      </w:r>
      <w:r w:rsidRPr="00387896">
        <w:rPr>
          <w:sz w:val="24"/>
        </w:rPr>
        <w:t xml:space="preserve">on </w:t>
      </w:r>
      <w:r w:rsidRPr="00387896" w:rsidR="008F593E">
        <w:rPr>
          <w:sz w:val="24"/>
        </w:rPr>
        <w:t>Friday, August 27, 2021</w:t>
      </w:r>
      <w:r w:rsidRPr="00387896" w:rsidR="001B7A5C">
        <w:rPr>
          <w:sz w:val="24"/>
        </w:rPr>
        <w:t>,</w:t>
      </w:r>
      <w:r w:rsidRPr="00387896" w:rsidR="001B7A5C">
        <w:rPr>
          <w:color w:val="FF0000"/>
          <w:sz w:val="24"/>
        </w:rPr>
        <w:t xml:space="preserve"> </w:t>
      </w:r>
      <w:r w:rsidRPr="00387896">
        <w:rPr>
          <w:sz w:val="24"/>
        </w:rPr>
        <w:t xml:space="preserve">giving persons outside the agency an opportunity to comment on the form.  </w:t>
      </w:r>
      <w:r w:rsidRPr="00387896" w:rsidR="0000454A">
        <w:rPr>
          <w:sz w:val="24"/>
        </w:rPr>
        <w:t xml:space="preserve">No </w:t>
      </w:r>
      <w:r w:rsidRPr="00387896" w:rsidR="0000454A">
        <w:rPr>
          <w:sz w:val="24"/>
        </w:rPr>
        <w:lastRenderedPageBreak/>
        <w:t>comments were received.</w:t>
      </w:r>
      <w:r w:rsidRPr="00387896" w:rsidR="00F5115D">
        <w:rPr>
          <w:sz w:val="24"/>
        </w:rPr>
        <w:t xml:space="preserve"> </w:t>
      </w:r>
      <w:r w:rsidRPr="00387896" w:rsidR="00682D55">
        <w:rPr>
          <w:sz w:val="24"/>
        </w:rPr>
        <w:t xml:space="preserve">The </w:t>
      </w:r>
      <w:r w:rsidRPr="00387896" w:rsidR="00387896">
        <w:rPr>
          <w:sz w:val="24"/>
        </w:rPr>
        <w:t>NFC</w:t>
      </w:r>
      <w:r w:rsidRPr="00387896" w:rsidR="00682D55">
        <w:rPr>
          <w:sz w:val="24"/>
        </w:rPr>
        <w:t xml:space="preserve"> </w:t>
      </w:r>
      <w:r w:rsidRPr="00387896" w:rsidR="007F4E2C">
        <w:rPr>
          <w:sz w:val="24"/>
        </w:rPr>
        <w:t xml:space="preserve">consulted with </w:t>
      </w:r>
      <w:r w:rsidR="00387896">
        <w:rPr>
          <w:sz w:val="24"/>
        </w:rPr>
        <w:t xml:space="preserve">the </w:t>
      </w:r>
      <w:r w:rsidRPr="00387896" w:rsidR="007F4E2C">
        <w:rPr>
          <w:sz w:val="24"/>
        </w:rPr>
        <w:t xml:space="preserve">three people outside of the agency to obtain their opinion on the time it takes to complete the form. </w:t>
      </w:r>
      <w:r w:rsidRPr="00387896" w:rsidR="00387896">
        <w:rPr>
          <w:sz w:val="24"/>
        </w:rPr>
        <w:t>The following people</w:t>
      </w:r>
      <w:r w:rsidR="00387896">
        <w:rPr>
          <w:sz w:val="24"/>
        </w:rPr>
        <w:t xml:space="preserve">: </w:t>
      </w:r>
      <w:r w:rsidRPr="00387896" w:rsidR="00387896">
        <w:rPr>
          <w:sz w:val="24"/>
        </w:rPr>
        <w:t xml:space="preserve">Karen Meeks 990 Dirt Road Clarksville, TN 37040 (931) 648-2457; William Shepherd 42 Alteza Drive Hot </w:t>
      </w:r>
      <w:r w:rsidR="00AA1ED9">
        <w:rPr>
          <w:sz w:val="24"/>
        </w:rPr>
        <w:t>S</w:t>
      </w:r>
      <w:r w:rsidRPr="00387896" w:rsidR="00387896">
        <w:rPr>
          <w:sz w:val="24"/>
        </w:rPr>
        <w:t>prings, AR 71909 (636) 448-2139; Paula Grenier 3695 N Nelson Street Arlington, VA 22207 (571) 213-6853</w:t>
      </w:r>
      <w:r w:rsidR="00387896">
        <w:rPr>
          <w:sz w:val="24"/>
        </w:rPr>
        <w:t xml:space="preserve"> </w:t>
      </w:r>
      <w:r w:rsidRPr="00387896" w:rsidR="00387896">
        <w:rPr>
          <w:sz w:val="24"/>
        </w:rPr>
        <w:t>agreed with</w:t>
      </w:r>
      <w:r w:rsidR="00867AEF">
        <w:rPr>
          <w:sz w:val="24"/>
        </w:rPr>
        <w:t xml:space="preserve"> NFC’s</w:t>
      </w:r>
      <w:r w:rsidRPr="00387896" w:rsidR="00387896">
        <w:rPr>
          <w:sz w:val="24"/>
        </w:rPr>
        <w:t xml:space="preserve"> estimate</w:t>
      </w:r>
      <w:r w:rsidR="00387896">
        <w:rPr>
          <w:sz w:val="24"/>
        </w:rPr>
        <w:t xml:space="preserve"> that</w:t>
      </w:r>
      <w:r w:rsidRPr="00387896" w:rsidR="00387896">
        <w:rPr>
          <w:sz w:val="24"/>
        </w:rPr>
        <w:t xml:space="preserve"> this form takes an average of 45 minutes to complete, including the time for reviewing instructions, getting the needed data, and reviewing the completed form</w:t>
      </w:r>
      <w:r w:rsidR="00867AEF">
        <w:rPr>
          <w:sz w:val="24"/>
        </w:rPr>
        <w:t>.</w:t>
      </w:r>
      <w:r w:rsidRPr="00387896" w:rsidR="00387896">
        <w:rPr>
          <w:sz w:val="24"/>
        </w:rPr>
        <w:t xml:space="preserve"> </w:t>
      </w:r>
    </w:p>
    <w:p w:rsidRPr="00891AB7" w:rsidR="00AD769B" w:rsidRDefault="00AD769B" w14:paraId="099BCE44" w14:textId="77777777">
      <w:pPr>
        <w:rPr>
          <w:sz w:val="24"/>
        </w:rPr>
      </w:pPr>
    </w:p>
    <w:p w:rsidRPr="00891AB7" w:rsidR="00AD769B" w:rsidRDefault="00AD769B" w14:paraId="3944ADE4" w14:textId="77777777">
      <w:pPr>
        <w:numPr>
          <w:ilvl w:val="0"/>
          <w:numId w:val="2"/>
        </w:numPr>
        <w:rPr>
          <w:sz w:val="24"/>
        </w:rPr>
      </w:pPr>
      <w:r w:rsidRPr="00891AB7">
        <w:rPr>
          <w:sz w:val="24"/>
        </w:rPr>
        <w:t>No payment or gift is provided to these respondents.</w:t>
      </w:r>
    </w:p>
    <w:p w:rsidRPr="00891AB7" w:rsidR="00AD769B" w:rsidRDefault="00AD769B" w14:paraId="1ACFE919" w14:textId="77777777">
      <w:pPr>
        <w:ind w:left="720"/>
        <w:rPr>
          <w:sz w:val="24"/>
        </w:rPr>
      </w:pPr>
    </w:p>
    <w:p w:rsidRPr="00891AB7" w:rsidR="00AD769B" w:rsidRDefault="00AD769B" w14:paraId="352E1709" w14:textId="77777777">
      <w:pPr>
        <w:numPr>
          <w:ilvl w:val="0"/>
          <w:numId w:val="2"/>
        </w:numPr>
        <w:rPr>
          <w:sz w:val="24"/>
        </w:rPr>
      </w:pPr>
      <w:r w:rsidRPr="00891AB7">
        <w:rPr>
          <w:sz w:val="24"/>
        </w:rPr>
        <w:t xml:space="preserve">The information collection is protected by the Privacy Act of 1974 and OPM regulations (5 CFR 831.106). The routine uses of disclosure appear in the </w:t>
      </w:r>
      <w:r w:rsidRPr="00891AB7">
        <w:rPr>
          <w:i/>
          <w:sz w:val="24"/>
        </w:rPr>
        <w:t>Federal Register</w:t>
      </w:r>
      <w:r w:rsidRPr="00891AB7">
        <w:rPr>
          <w:sz w:val="24"/>
        </w:rPr>
        <w:t xml:space="preserve"> for OPM/Central-1 (</w:t>
      </w:r>
      <w:r w:rsidR="00984F0F">
        <w:rPr>
          <w:sz w:val="24"/>
        </w:rPr>
        <w:t xml:space="preserve">73 FR 15013, </w:t>
      </w:r>
      <w:r w:rsidRPr="00984F0F" w:rsidR="00984F0F">
        <w:rPr>
          <w:i/>
          <w:sz w:val="24"/>
        </w:rPr>
        <w:t>et.seq.,</w:t>
      </w:r>
      <w:r w:rsidR="00984F0F">
        <w:rPr>
          <w:sz w:val="24"/>
        </w:rPr>
        <w:t xml:space="preserve"> March 20, 2008)</w:t>
      </w:r>
      <w:r w:rsidRPr="00891AB7">
        <w:rPr>
          <w:sz w:val="24"/>
        </w:rPr>
        <w:t>.</w:t>
      </w:r>
    </w:p>
    <w:p w:rsidRPr="00891AB7" w:rsidR="00AD769B" w:rsidRDefault="00AD769B" w14:paraId="44367B87" w14:textId="77777777">
      <w:pPr>
        <w:rPr>
          <w:sz w:val="24"/>
        </w:rPr>
      </w:pPr>
    </w:p>
    <w:p w:rsidRPr="00891AB7" w:rsidR="00AD769B" w:rsidRDefault="00AD769B" w14:paraId="792DB9EA" w14:textId="77777777">
      <w:pPr>
        <w:numPr>
          <w:ilvl w:val="0"/>
          <w:numId w:val="2"/>
        </w:numPr>
        <w:rPr>
          <w:sz w:val="24"/>
        </w:rPr>
      </w:pPr>
      <w:r w:rsidRPr="00891AB7">
        <w:rPr>
          <w:sz w:val="24"/>
        </w:rPr>
        <w:t>This information collection does not include questions of a sensitive nature, such as sexual behavior and attitudes, religious beliefs, and other matters that are commonly considered private.</w:t>
      </w:r>
    </w:p>
    <w:p w:rsidRPr="00891AB7" w:rsidR="00AD769B" w:rsidRDefault="00AD769B" w14:paraId="6A4237F9" w14:textId="77777777">
      <w:pPr>
        <w:rPr>
          <w:sz w:val="24"/>
        </w:rPr>
      </w:pPr>
    </w:p>
    <w:p w:rsidRPr="00891AB7" w:rsidR="00AD769B" w:rsidP="00300BEE" w:rsidRDefault="00AD769B" w14:paraId="096A2FF1" w14:textId="77777777">
      <w:pPr>
        <w:numPr>
          <w:ilvl w:val="0"/>
          <w:numId w:val="2"/>
        </w:numPr>
        <w:rPr>
          <w:sz w:val="24"/>
        </w:rPr>
      </w:pPr>
      <w:r w:rsidRPr="00891AB7">
        <w:rPr>
          <w:sz w:val="24"/>
        </w:rPr>
        <w:t xml:space="preserve">There are approximately </w:t>
      </w:r>
      <w:r w:rsidRPr="00F6263D" w:rsidR="00F6263D">
        <w:rPr>
          <w:sz w:val="24"/>
        </w:rPr>
        <w:t>45</w:t>
      </w:r>
      <w:r w:rsidRPr="00F6263D" w:rsidR="00CE2CED">
        <w:rPr>
          <w:sz w:val="24"/>
        </w:rPr>
        <w:t>,000</w:t>
      </w:r>
      <w:r w:rsidR="00CE2CED">
        <w:rPr>
          <w:sz w:val="24"/>
        </w:rPr>
        <w:t xml:space="preserve"> </w:t>
      </w:r>
      <w:r w:rsidRPr="00891AB7">
        <w:rPr>
          <w:sz w:val="24"/>
        </w:rPr>
        <w:t xml:space="preserve">respondents to the DPRS-2809 per year. The annual hour burden is estimated to be </w:t>
      </w:r>
      <w:r w:rsidR="00622523">
        <w:rPr>
          <w:sz w:val="24"/>
        </w:rPr>
        <w:t>33,750</w:t>
      </w:r>
      <w:r w:rsidR="00CE2CED">
        <w:rPr>
          <w:color w:val="FF0000"/>
          <w:sz w:val="24"/>
        </w:rPr>
        <w:t xml:space="preserve"> </w:t>
      </w:r>
      <w:r w:rsidRPr="00891AB7">
        <w:rPr>
          <w:sz w:val="24"/>
        </w:rPr>
        <w:t>hours. The hour burden was determined by multiplying the number of possible respondents by the estimated time it takes for a respondent to complete the form (</w:t>
      </w:r>
      <w:r w:rsidR="00622523">
        <w:rPr>
          <w:sz w:val="24"/>
        </w:rPr>
        <w:t>45</w:t>
      </w:r>
      <w:r w:rsidRPr="00891AB7">
        <w:rPr>
          <w:sz w:val="24"/>
        </w:rPr>
        <w:t xml:space="preserve"> minutes or .</w:t>
      </w:r>
      <w:r w:rsidR="00622523">
        <w:rPr>
          <w:sz w:val="24"/>
        </w:rPr>
        <w:t>75</w:t>
      </w:r>
      <w:r w:rsidRPr="00891AB7">
        <w:rPr>
          <w:sz w:val="24"/>
        </w:rPr>
        <w:t xml:space="preserve"> of one hour).</w:t>
      </w:r>
      <w:r w:rsidR="00A72D4A">
        <w:rPr>
          <w:sz w:val="24"/>
        </w:rPr>
        <w:t xml:space="preserve">  </w:t>
      </w:r>
      <w:r w:rsidR="00FF09A3">
        <w:rPr>
          <w:sz w:val="24"/>
        </w:rPr>
        <w:t xml:space="preserve">Total cost to the respondents would be </w:t>
      </w:r>
      <w:r w:rsidRPr="00F6263D" w:rsidR="00FF09A3">
        <w:rPr>
          <w:sz w:val="24"/>
        </w:rPr>
        <w:t>$</w:t>
      </w:r>
      <w:r w:rsidR="00622523">
        <w:rPr>
          <w:sz w:val="24"/>
        </w:rPr>
        <w:t>244</w:t>
      </w:r>
      <w:r w:rsidR="008F593E">
        <w:rPr>
          <w:sz w:val="24"/>
        </w:rPr>
        <w:t>,</w:t>
      </w:r>
      <w:r w:rsidR="00622523">
        <w:rPr>
          <w:sz w:val="24"/>
        </w:rPr>
        <w:t>687</w:t>
      </w:r>
      <w:r w:rsidRPr="00F6263D" w:rsidR="00FF09A3">
        <w:rPr>
          <w:sz w:val="24"/>
        </w:rPr>
        <w:t>.</w:t>
      </w:r>
      <w:r w:rsidR="00622523">
        <w:rPr>
          <w:sz w:val="24"/>
        </w:rPr>
        <w:t>5</w:t>
      </w:r>
      <w:r w:rsidR="008F593E">
        <w:rPr>
          <w:sz w:val="24"/>
        </w:rPr>
        <w:t>0.</w:t>
      </w:r>
      <w:r w:rsidR="00FF09A3">
        <w:rPr>
          <w:sz w:val="24"/>
        </w:rPr>
        <w:t xml:space="preserve"> This cost was calculated using the minimum wage for all respondents.  </w:t>
      </w:r>
      <w:r w:rsidR="00F6263D">
        <w:rPr>
          <w:sz w:val="24"/>
        </w:rPr>
        <w:t>The number of respondents has almost doubled from 25,000 since April 2018.</w:t>
      </w:r>
      <w:r w:rsidR="00F302DC">
        <w:rPr>
          <w:sz w:val="24"/>
        </w:rPr>
        <w:t xml:space="preserve">  </w:t>
      </w:r>
      <w:r w:rsidR="00A72D4A">
        <w:rPr>
          <w:sz w:val="24"/>
        </w:rPr>
        <w:t xml:space="preserve">The form is used by separated employees or former spouses and dependent children of active or separated employees.  </w:t>
      </w:r>
      <w:r w:rsidR="00300BEE">
        <w:rPr>
          <w:sz w:val="24"/>
        </w:rPr>
        <w:t xml:space="preserve">  </w:t>
      </w:r>
    </w:p>
    <w:p w:rsidRPr="00891AB7" w:rsidR="00AD769B" w:rsidRDefault="00AD769B" w14:paraId="49BDD3EB" w14:textId="77777777">
      <w:pPr>
        <w:rPr>
          <w:sz w:val="24"/>
        </w:rPr>
      </w:pPr>
    </w:p>
    <w:p w:rsidRPr="00891AB7" w:rsidR="00AD769B" w:rsidRDefault="00AA34CB" w14:paraId="1277AE06" w14:textId="77777777">
      <w:pPr>
        <w:numPr>
          <w:ilvl w:val="0"/>
          <w:numId w:val="2"/>
        </w:numPr>
        <w:rPr>
          <w:sz w:val="24"/>
        </w:rPr>
      </w:pPr>
      <w:r>
        <w:rPr>
          <w:sz w:val="24"/>
        </w:rPr>
        <w:t xml:space="preserve">There are no capital or start-up </w:t>
      </w:r>
      <w:r w:rsidR="008F593E">
        <w:rPr>
          <w:sz w:val="24"/>
        </w:rPr>
        <w:t>costs,</w:t>
      </w:r>
      <w:r>
        <w:rPr>
          <w:sz w:val="24"/>
        </w:rPr>
        <w:t xml:space="preserve"> or operations and maintenance costs associated with this collection. </w:t>
      </w:r>
    </w:p>
    <w:p w:rsidRPr="00891AB7" w:rsidR="00AD769B" w:rsidRDefault="00AD769B" w14:paraId="145BD2E1" w14:textId="77777777">
      <w:pPr>
        <w:rPr>
          <w:sz w:val="24"/>
        </w:rPr>
      </w:pPr>
    </w:p>
    <w:p w:rsidRPr="00891AB7" w:rsidR="00AD769B" w:rsidRDefault="00AD769B" w14:paraId="21B5CC25" w14:textId="77777777">
      <w:pPr>
        <w:numPr>
          <w:ilvl w:val="0"/>
          <w:numId w:val="2"/>
        </w:numPr>
        <w:rPr>
          <w:sz w:val="24"/>
        </w:rPr>
      </w:pPr>
      <w:bookmarkStart w:name="_Hlk67405517" w:id="0"/>
      <w:r w:rsidRPr="00891AB7">
        <w:rPr>
          <w:sz w:val="24"/>
        </w:rPr>
        <w:t>The total annual cost to the Federal Government is estimated to be $</w:t>
      </w:r>
      <w:r w:rsidR="003077DB">
        <w:rPr>
          <w:sz w:val="24"/>
        </w:rPr>
        <w:t>26,793</w:t>
      </w:r>
      <w:r w:rsidRPr="00891AB7">
        <w:rPr>
          <w:sz w:val="24"/>
        </w:rPr>
        <w:t>. Approximately $</w:t>
      </w:r>
      <w:r w:rsidR="00F6263D">
        <w:rPr>
          <w:sz w:val="24"/>
        </w:rPr>
        <w:t>18,997</w:t>
      </w:r>
      <w:r w:rsidRPr="00891AB7">
        <w:rPr>
          <w:sz w:val="24"/>
        </w:rPr>
        <w:t xml:space="preserve"> will be spent on postage; $</w:t>
      </w:r>
      <w:r w:rsidRPr="003077DB" w:rsidR="00F6263D">
        <w:rPr>
          <w:sz w:val="24"/>
        </w:rPr>
        <w:t>7,796</w:t>
      </w:r>
      <w:r w:rsidRPr="00891AB7">
        <w:rPr>
          <w:sz w:val="24"/>
        </w:rPr>
        <w:t xml:space="preserve"> will be spent on materials, such as paper and envelopes</w:t>
      </w:r>
      <w:r w:rsidR="00F6263D">
        <w:rPr>
          <w:sz w:val="24"/>
        </w:rPr>
        <w:t xml:space="preserve"> and contracted labor</w:t>
      </w:r>
      <w:r w:rsidRPr="00891AB7">
        <w:rPr>
          <w:sz w:val="24"/>
        </w:rPr>
        <w:t>; and $</w:t>
      </w:r>
      <w:r w:rsidR="00305D4B">
        <w:rPr>
          <w:sz w:val="24"/>
        </w:rPr>
        <w:t>5,414</w:t>
      </w:r>
      <w:r w:rsidRPr="00891AB7">
        <w:rPr>
          <w:sz w:val="24"/>
        </w:rPr>
        <w:t xml:space="preserve"> will be spent on other operations, such as programming and testing.</w:t>
      </w:r>
      <w:r w:rsidR="00F302DC">
        <w:rPr>
          <w:sz w:val="24"/>
        </w:rPr>
        <w:t xml:space="preserve"> </w:t>
      </w:r>
      <w:r w:rsidR="000250CE">
        <w:rPr>
          <w:sz w:val="24"/>
        </w:rPr>
        <w:t xml:space="preserve">The cost is </w:t>
      </w:r>
      <w:r w:rsidR="00F6263D">
        <w:rPr>
          <w:sz w:val="24"/>
        </w:rPr>
        <w:t>raised from the 2018 collection due to the rise in cost of postage and labor and rise in the number of respondents</w:t>
      </w:r>
      <w:r w:rsidR="00622523">
        <w:rPr>
          <w:sz w:val="24"/>
        </w:rPr>
        <w:t>.</w:t>
      </w:r>
    </w:p>
    <w:bookmarkEnd w:id="0"/>
    <w:p w:rsidRPr="00891AB7" w:rsidR="00AD769B" w:rsidRDefault="00AD769B" w14:paraId="56656914" w14:textId="77777777">
      <w:pPr>
        <w:rPr>
          <w:sz w:val="24"/>
        </w:rPr>
      </w:pPr>
    </w:p>
    <w:p w:rsidR="00AD769B" w:rsidP="003077DB" w:rsidRDefault="00FF09A3" w14:paraId="0B7D029B" w14:textId="77777777">
      <w:pPr>
        <w:numPr>
          <w:ilvl w:val="0"/>
          <w:numId w:val="2"/>
        </w:numPr>
        <w:rPr>
          <w:sz w:val="24"/>
        </w:rPr>
      </w:pPr>
      <w:r w:rsidRPr="003077DB">
        <w:rPr>
          <w:sz w:val="24"/>
        </w:rPr>
        <w:t xml:space="preserve">There is </w:t>
      </w:r>
      <w:r w:rsidRPr="003077DB" w:rsidR="00F6263D">
        <w:rPr>
          <w:sz w:val="24"/>
        </w:rPr>
        <w:t xml:space="preserve">a change in the respondents, responses, and burden hours from the last approval due to a rise in the number of participants in the </w:t>
      </w:r>
      <w:r w:rsidRPr="003077DB" w:rsidR="003077DB">
        <w:rPr>
          <w:sz w:val="24"/>
        </w:rPr>
        <w:t>FEHB program.</w:t>
      </w:r>
    </w:p>
    <w:p w:rsidRPr="003077DB" w:rsidR="003077DB" w:rsidP="003077DB" w:rsidRDefault="003077DB" w14:paraId="55D99BB8" w14:textId="77777777">
      <w:pPr>
        <w:rPr>
          <w:sz w:val="24"/>
        </w:rPr>
      </w:pPr>
    </w:p>
    <w:p w:rsidRPr="00891AB7" w:rsidR="00AD769B" w:rsidRDefault="00AD769B" w14:paraId="1837D084" w14:textId="77777777">
      <w:pPr>
        <w:numPr>
          <w:ilvl w:val="0"/>
          <w:numId w:val="2"/>
        </w:numPr>
        <w:rPr>
          <w:sz w:val="24"/>
        </w:rPr>
      </w:pPr>
      <w:r w:rsidRPr="00891AB7">
        <w:rPr>
          <w:sz w:val="24"/>
        </w:rPr>
        <w:t>The results of this information collection are not published.</w:t>
      </w:r>
    </w:p>
    <w:p w:rsidRPr="00891AB7" w:rsidR="00AD769B" w:rsidRDefault="00AD769B" w14:paraId="3047164B" w14:textId="77777777">
      <w:pPr>
        <w:rPr>
          <w:sz w:val="24"/>
        </w:rPr>
      </w:pPr>
    </w:p>
    <w:p w:rsidRPr="00891AB7" w:rsidR="00AD769B" w:rsidRDefault="00AD769B" w14:paraId="322F19E2" w14:textId="77777777">
      <w:pPr>
        <w:numPr>
          <w:ilvl w:val="0"/>
          <w:numId w:val="2"/>
        </w:numPr>
        <w:rPr>
          <w:sz w:val="24"/>
        </w:rPr>
      </w:pPr>
      <w:r w:rsidRPr="00891AB7">
        <w:rPr>
          <w:sz w:val="24"/>
        </w:rPr>
        <w:t>It is not cost-effective to reprint the whole supply of forms to change the OMB clearance expiration date. Therefore, we seek approval not to display the date on the form.</w:t>
      </w:r>
    </w:p>
    <w:p w:rsidRPr="00891AB7" w:rsidR="00AD769B" w:rsidRDefault="00AD769B" w14:paraId="5400B663" w14:textId="77777777">
      <w:pPr>
        <w:rPr>
          <w:sz w:val="24"/>
        </w:rPr>
      </w:pPr>
    </w:p>
    <w:p w:rsidRPr="00891AB7" w:rsidR="00AD769B" w:rsidRDefault="00AD769B" w14:paraId="3A61D226" w14:textId="77777777">
      <w:pPr>
        <w:numPr>
          <w:ilvl w:val="0"/>
          <w:numId w:val="2"/>
        </w:numPr>
        <w:rPr>
          <w:sz w:val="24"/>
        </w:rPr>
      </w:pPr>
      <w:r w:rsidRPr="00891AB7">
        <w:rPr>
          <w:sz w:val="24"/>
        </w:rPr>
        <w:t>There are no exceptions to the certification statement.</w:t>
      </w:r>
    </w:p>
    <w:p w:rsidRPr="00891AB7" w:rsidR="00AD769B" w:rsidRDefault="00AD769B" w14:paraId="55C7E202" w14:textId="77777777">
      <w:pPr>
        <w:rPr>
          <w:sz w:val="24"/>
        </w:rPr>
      </w:pPr>
    </w:p>
    <w:sectPr w:rsidRPr="00891AB7" w:rsidR="00AD769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29531D"/>
    <w:multiLevelType w:val="singleLevel"/>
    <w:tmpl w:val="A672D556"/>
    <w:lvl w:ilvl="0">
      <w:start w:val="1"/>
      <w:numFmt w:val="upperLetter"/>
      <w:lvlText w:val="%1."/>
      <w:lvlJc w:val="left"/>
      <w:pPr>
        <w:tabs>
          <w:tab w:val="num" w:pos="720"/>
        </w:tabs>
        <w:ind w:left="720" w:hanging="720"/>
      </w:pPr>
      <w:rPr>
        <w:rFonts w:hint="default"/>
        <w:u w:val="none"/>
      </w:rPr>
    </w:lvl>
  </w:abstractNum>
  <w:abstractNum w:abstractNumId="1" w15:restartNumberingAfterBreak="0">
    <w:nsid w:val="6F7527A0"/>
    <w:multiLevelType w:val="singleLevel"/>
    <w:tmpl w:val="B38C8EEC"/>
    <w:lvl w:ilvl="0">
      <w:start w:val="1"/>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4B"/>
    <w:rsid w:val="0000454A"/>
    <w:rsid w:val="00023A21"/>
    <w:rsid w:val="000250CE"/>
    <w:rsid w:val="00040DF9"/>
    <w:rsid w:val="0008352B"/>
    <w:rsid w:val="000A2A66"/>
    <w:rsid w:val="000E26DA"/>
    <w:rsid w:val="00141191"/>
    <w:rsid w:val="00183FDA"/>
    <w:rsid w:val="001A04D2"/>
    <w:rsid w:val="001B7A5C"/>
    <w:rsid w:val="001F73CD"/>
    <w:rsid w:val="00226860"/>
    <w:rsid w:val="00241280"/>
    <w:rsid w:val="0028205C"/>
    <w:rsid w:val="00285161"/>
    <w:rsid w:val="002861EC"/>
    <w:rsid w:val="00300BEE"/>
    <w:rsid w:val="00305D4B"/>
    <w:rsid w:val="003077DB"/>
    <w:rsid w:val="00387896"/>
    <w:rsid w:val="003B343D"/>
    <w:rsid w:val="00442F70"/>
    <w:rsid w:val="00503B12"/>
    <w:rsid w:val="0055343F"/>
    <w:rsid w:val="005C1E38"/>
    <w:rsid w:val="00622523"/>
    <w:rsid w:val="00682D55"/>
    <w:rsid w:val="006D1EAC"/>
    <w:rsid w:val="00791EE4"/>
    <w:rsid w:val="007F4E2C"/>
    <w:rsid w:val="00867AEF"/>
    <w:rsid w:val="00891AB7"/>
    <w:rsid w:val="008D5F60"/>
    <w:rsid w:val="008E6527"/>
    <w:rsid w:val="008F593E"/>
    <w:rsid w:val="00984F0F"/>
    <w:rsid w:val="009877D6"/>
    <w:rsid w:val="009C1A31"/>
    <w:rsid w:val="00A72D4A"/>
    <w:rsid w:val="00AA1ED9"/>
    <w:rsid w:val="00AA34CB"/>
    <w:rsid w:val="00AD769B"/>
    <w:rsid w:val="00B0374B"/>
    <w:rsid w:val="00B160DF"/>
    <w:rsid w:val="00B50F0F"/>
    <w:rsid w:val="00B7419A"/>
    <w:rsid w:val="00BC3582"/>
    <w:rsid w:val="00BC5842"/>
    <w:rsid w:val="00C03B3E"/>
    <w:rsid w:val="00C64616"/>
    <w:rsid w:val="00CE2CED"/>
    <w:rsid w:val="00CE57C1"/>
    <w:rsid w:val="00D4469F"/>
    <w:rsid w:val="00D450FD"/>
    <w:rsid w:val="00DC502F"/>
    <w:rsid w:val="00DD65AC"/>
    <w:rsid w:val="00DE581D"/>
    <w:rsid w:val="00EB32E1"/>
    <w:rsid w:val="00EC272A"/>
    <w:rsid w:val="00EE19A5"/>
    <w:rsid w:val="00F14404"/>
    <w:rsid w:val="00F15805"/>
    <w:rsid w:val="00F302DC"/>
    <w:rsid w:val="00F306CB"/>
    <w:rsid w:val="00F5115D"/>
    <w:rsid w:val="00F6263D"/>
    <w:rsid w:val="00FC471A"/>
    <w:rsid w:val="00FF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F35C62"/>
  <w15:chartTrackingRefBased/>
  <w15:docId w15:val="{BA321A18-C55B-4390-8FBE-51778537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Univers (W1)" w:hAnsi="Univers (W1)"/>
      <w:b/>
      <w:sz w:val="24"/>
    </w:rPr>
  </w:style>
  <w:style w:type="paragraph" w:styleId="BodyText">
    <w:name w:val="Body Text"/>
    <w:basedOn w:val="Normal"/>
    <w:rPr>
      <w:rFonts w:ascii="Univers (W1)" w:hAnsi="Univers (W1)"/>
      <w:sz w:val="24"/>
    </w:rPr>
  </w:style>
  <w:style w:type="paragraph" w:styleId="BodyTextIndent">
    <w:name w:val="Body Text Indent"/>
    <w:basedOn w:val="Normal"/>
    <w:pPr>
      <w:ind w:left="1440" w:hanging="720"/>
    </w:pPr>
    <w:rPr>
      <w:rFonts w:ascii="Univers (W1)" w:hAnsi="Univers (W1)"/>
      <w:sz w:val="24"/>
    </w:rPr>
  </w:style>
  <w:style w:type="character" w:styleId="CommentReference">
    <w:name w:val="annotation reference"/>
    <w:uiPriority w:val="99"/>
    <w:semiHidden/>
    <w:unhideWhenUsed/>
    <w:rsid w:val="00040DF9"/>
    <w:rPr>
      <w:sz w:val="16"/>
      <w:szCs w:val="16"/>
    </w:rPr>
  </w:style>
  <w:style w:type="paragraph" w:styleId="CommentText">
    <w:name w:val="annotation text"/>
    <w:basedOn w:val="Normal"/>
    <w:link w:val="CommentTextChar"/>
    <w:uiPriority w:val="99"/>
    <w:semiHidden/>
    <w:unhideWhenUsed/>
    <w:rsid w:val="00040DF9"/>
  </w:style>
  <w:style w:type="character" w:customStyle="1" w:styleId="CommentTextChar">
    <w:name w:val="Comment Text Char"/>
    <w:basedOn w:val="DefaultParagraphFont"/>
    <w:link w:val="CommentText"/>
    <w:uiPriority w:val="99"/>
    <w:semiHidden/>
    <w:rsid w:val="00040DF9"/>
  </w:style>
  <w:style w:type="paragraph" w:styleId="CommentSubject">
    <w:name w:val="annotation subject"/>
    <w:basedOn w:val="CommentText"/>
    <w:next w:val="CommentText"/>
    <w:link w:val="CommentSubjectChar"/>
    <w:uiPriority w:val="99"/>
    <w:semiHidden/>
    <w:unhideWhenUsed/>
    <w:rsid w:val="00040DF9"/>
    <w:rPr>
      <w:b/>
      <w:bCs/>
    </w:rPr>
  </w:style>
  <w:style w:type="character" w:customStyle="1" w:styleId="CommentSubjectChar">
    <w:name w:val="Comment Subject Char"/>
    <w:link w:val="CommentSubject"/>
    <w:uiPriority w:val="99"/>
    <w:semiHidden/>
    <w:rsid w:val="00040DF9"/>
    <w:rPr>
      <w:b/>
      <w:bCs/>
    </w:rPr>
  </w:style>
  <w:style w:type="paragraph" w:styleId="BalloonText">
    <w:name w:val="Balloon Text"/>
    <w:basedOn w:val="Normal"/>
    <w:link w:val="BalloonTextChar"/>
    <w:uiPriority w:val="99"/>
    <w:semiHidden/>
    <w:unhideWhenUsed/>
    <w:rsid w:val="00040DF9"/>
    <w:rPr>
      <w:rFonts w:ascii="Tahoma" w:hAnsi="Tahoma" w:cs="Tahoma"/>
      <w:sz w:val="16"/>
      <w:szCs w:val="16"/>
    </w:rPr>
  </w:style>
  <w:style w:type="character" w:customStyle="1" w:styleId="BalloonTextChar">
    <w:name w:val="Balloon Text Char"/>
    <w:link w:val="BalloonText"/>
    <w:uiPriority w:val="99"/>
    <w:semiHidden/>
    <w:rsid w:val="00040DF9"/>
    <w:rPr>
      <w:rFonts w:ascii="Tahoma" w:hAnsi="Tahoma" w:cs="Tahoma"/>
      <w:sz w:val="16"/>
      <w:szCs w:val="16"/>
    </w:rPr>
  </w:style>
  <w:style w:type="paragraph" w:styleId="ListParagraph">
    <w:name w:val="List Paragraph"/>
    <w:basedOn w:val="Normal"/>
    <w:uiPriority w:val="34"/>
    <w:qFormat/>
    <w:rsid w:val="00F14404"/>
    <w:pPr>
      <w:ind w:left="720"/>
    </w:pPr>
  </w:style>
  <w:style w:type="character" w:styleId="Hyperlink">
    <w:name w:val="Hyperlink"/>
    <w:uiPriority w:val="99"/>
    <w:unhideWhenUsed/>
    <w:rsid w:val="00300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11615">
      <w:bodyDiv w:val="1"/>
      <w:marLeft w:val="0"/>
      <w:marRight w:val="0"/>
      <w:marTop w:val="0"/>
      <w:marBottom w:val="0"/>
      <w:divBdr>
        <w:top w:val="none" w:sz="0" w:space="0" w:color="auto"/>
        <w:left w:val="none" w:sz="0" w:space="0" w:color="auto"/>
        <w:bottom w:val="none" w:sz="0" w:space="0" w:color="auto"/>
        <w:right w:val="none" w:sz="0" w:space="0" w:color="auto"/>
      </w:divBdr>
    </w:div>
    <w:div w:id="341130444">
      <w:bodyDiv w:val="1"/>
      <w:marLeft w:val="0"/>
      <w:marRight w:val="0"/>
      <w:marTop w:val="0"/>
      <w:marBottom w:val="0"/>
      <w:divBdr>
        <w:top w:val="none" w:sz="0" w:space="0" w:color="auto"/>
        <w:left w:val="none" w:sz="0" w:space="0" w:color="auto"/>
        <w:bottom w:val="none" w:sz="0" w:space="0" w:color="auto"/>
        <w:right w:val="none" w:sz="0" w:space="0" w:color="auto"/>
      </w:divBdr>
    </w:div>
    <w:div w:id="807938993">
      <w:bodyDiv w:val="1"/>
      <w:marLeft w:val="0"/>
      <w:marRight w:val="0"/>
      <w:marTop w:val="0"/>
      <w:marBottom w:val="0"/>
      <w:divBdr>
        <w:top w:val="none" w:sz="0" w:space="0" w:color="auto"/>
        <w:left w:val="none" w:sz="0" w:space="0" w:color="auto"/>
        <w:bottom w:val="none" w:sz="0" w:space="0" w:color="auto"/>
        <w:right w:val="none" w:sz="0" w:space="0" w:color="auto"/>
      </w:divBdr>
    </w:div>
    <w:div w:id="868683507">
      <w:bodyDiv w:val="1"/>
      <w:marLeft w:val="0"/>
      <w:marRight w:val="0"/>
      <w:marTop w:val="0"/>
      <w:marBottom w:val="0"/>
      <w:divBdr>
        <w:top w:val="none" w:sz="0" w:space="0" w:color="auto"/>
        <w:left w:val="none" w:sz="0" w:space="0" w:color="auto"/>
        <w:bottom w:val="none" w:sz="0" w:space="0" w:color="auto"/>
        <w:right w:val="none" w:sz="0" w:space="0" w:color="auto"/>
      </w:divBdr>
    </w:div>
    <w:div w:id="1139956968">
      <w:bodyDiv w:val="1"/>
      <w:marLeft w:val="0"/>
      <w:marRight w:val="0"/>
      <w:marTop w:val="0"/>
      <w:marBottom w:val="0"/>
      <w:divBdr>
        <w:top w:val="none" w:sz="0" w:space="0" w:color="auto"/>
        <w:left w:val="none" w:sz="0" w:space="0" w:color="auto"/>
        <w:bottom w:val="none" w:sz="0" w:space="0" w:color="auto"/>
        <w:right w:val="none" w:sz="0" w:space="0" w:color="auto"/>
      </w:divBdr>
    </w:div>
    <w:div w:id="1346902528">
      <w:bodyDiv w:val="1"/>
      <w:marLeft w:val="0"/>
      <w:marRight w:val="0"/>
      <w:marTop w:val="0"/>
      <w:marBottom w:val="0"/>
      <w:divBdr>
        <w:top w:val="none" w:sz="0" w:space="0" w:color="auto"/>
        <w:left w:val="none" w:sz="0" w:space="0" w:color="auto"/>
        <w:bottom w:val="none" w:sz="0" w:space="0" w:color="auto"/>
        <w:right w:val="none" w:sz="0" w:space="0" w:color="auto"/>
      </w:divBdr>
    </w:div>
    <w:div w:id="1370495595">
      <w:bodyDiv w:val="1"/>
      <w:marLeft w:val="0"/>
      <w:marRight w:val="0"/>
      <w:marTop w:val="0"/>
      <w:marBottom w:val="0"/>
      <w:divBdr>
        <w:top w:val="none" w:sz="0" w:space="0" w:color="auto"/>
        <w:left w:val="none" w:sz="0" w:space="0" w:color="auto"/>
        <w:bottom w:val="none" w:sz="0" w:space="0" w:color="auto"/>
        <w:right w:val="none" w:sz="0" w:space="0" w:color="auto"/>
      </w:divBdr>
    </w:div>
    <w:div w:id="1422797720">
      <w:bodyDiv w:val="1"/>
      <w:marLeft w:val="0"/>
      <w:marRight w:val="0"/>
      <w:marTop w:val="0"/>
      <w:marBottom w:val="0"/>
      <w:divBdr>
        <w:top w:val="none" w:sz="0" w:space="0" w:color="auto"/>
        <w:left w:val="none" w:sz="0" w:space="0" w:color="auto"/>
        <w:bottom w:val="none" w:sz="0" w:space="0" w:color="auto"/>
        <w:right w:val="none" w:sz="0" w:space="0" w:color="auto"/>
      </w:divBdr>
    </w:div>
    <w:div w:id="1744646865">
      <w:bodyDiv w:val="1"/>
      <w:marLeft w:val="0"/>
      <w:marRight w:val="0"/>
      <w:marTop w:val="0"/>
      <w:marBottom w:val="0"/>
      <w:divBdr>
        <w:top w:val="none" w:sz="0" w:space="0" w:color="auto"/>
        <w:left w:val="none" w:sz="0" w:space="0" w:color="auto"/>
        <w:bottom w:val="none" w:sz="0" w:space="0" w:color="auto"/>
        <w:right w:val="none" w:sz="0" w:space="0" w:color="auto"/>
      </w:divBdr>
    </w:div>
    <w:div w:id="1821773497">
      <w:bodyDiv w:val="1"/>
      <w:marLeft w:val="0"/>
      <w:marRight w:val="0"/>
      <w:marTop w:val="0"/>
      <w:marBottom w:val="0"/>
      <w:divBdr>
        <w:top w:val="none" w:sz="0" w:space="0" w:color="auto"/>
        <w:left w:val="none" w:sz="0" w:space="0" w:color="auto"/>
        <w:bottom w:val="none" w:sz="0" w:space="0" w:color="auto"/>
        <w:right w:val="none" w:sz="0" w:space="0" w:color="auto"/>
      </w:divBdr>
    </w:div>
    <w:div w:id="1872303190">
      <w:bodyDiv w:val="1"/>
      <w:marLeft w:val="0"/>
      <w:marRight w:val="0"/>
      <w:marTop w:val="0"/>
      <w:marBottom w:val="0"/>
      <w:divBdr>
        <w:top w:val="none" w:sz="0" w:space="0" w:color="auto"/>
        <w:left w:val="none" w:sz="0" w:space="0" w:color="auto"/>
        <w:bottom w:val="none" w:sz="0" w:space="0" w:color="auto"/>
        <w:right w:val="none" w:sz="0" w:space="0" w:color="auto"/>
      </w:divBdr>
    </w:div>
    <w:div w:id="1937789349">
      <w:bodyDiv w:val="1"/>
      <w:marLeft w:val="0"/>
      <w:marRight w:val="0"/>
      <w:marTop w:val="0"/>
      <w:marBottom w:val="0"/>
      <w:divBdr>
        <w:top w:val="none" w:sz="0" w:space="0" w:color="auto"/>
        <w:left w:val="none" w:sz="0" w:space="0" w:color="auto"/>
        <w:bottom w:val="none" w:sz="0" w:space="0" w:color="auto"/>
        <w:right w:val="none" w:sz="0" w:space="0" w:color="auto"/>
      </w:divBdr>
    </w:div>
    <w:div w:id="20393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4102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DRMCCURD</dc:creator>
  <cp:keywords/>
  <cp:lastModifiedBy>Brown, Ruth - OCIO-IRMC, Washington, DC</cp:lastModifiedBy>
  <cp:revision>2</cp:revision>
  <cp:lastPrinted>2018-09-12T12:38:00Z</cp:lastPrinted>
  <dcterms:created xsi:type="dcterms:W3CDTF">2021-10-29T13:07:00Z</dcterms:created>
  <dcterms:modified xsi:type="dcterms:W3CDTF">2021-10-29T13:07:00Z</dcterms:modified>
</cp:coreProperties>
</file>