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641" w:rsidRDefault="00A10641" w14:paraId="03882652" w14:textId="77777777">
      <w:pPr>
        <w:suppressAutoHyphens/>
        <w:jc w:val="center"/>
        <w:rPr>
          <w:rFonts w:ascii="Times New Roman" w:hAnsi="Times New Roman"/>
        </w:rPr>
      </w:pPr>
      <w:r>
        <w:rPr>
          <w:rFonts w:ascii="Times New Roman" w:hAnsi="Times New Roman"/>
        </w:rPr>
        <w:t>SUPPORTING STATEMENT</w:t>
      </w:r>
    </w:p>
    <w:p w:rsidR="00A10641" w:rsidRDefault="00A10641" w14:paraId="1932C81F" w14:textId="77777777">
      <w:pPr>
        <w:suppressAutoHyphens/>
        <w:jc w:val="center"/>
        <w:rPr>
          <w:rFonts w:ascii="Times New Roman" w:hAnsi="Times New Roman"/>
        </w:rPr>
      </w:pPr>
      <w:r>
        <w:rPr>
          <w:rFonts w:ascii="Times New Roman" w:hAnsi="Times New Roman"/>
        </w:rPr>
        <w:t>NOTICE OF BRANCH CLOSURE</w:t>
      </w:r>
    </w:p>
    <w:p w:rsidR="00A10641" w:rsidRDefault="00A10641" w14:paraId="4C3406CE" w14:textId="77777777">
      <w:pPr>
        <w:suppressAutoHyphens/>
        <w:jc w:val="center"/>
        <w:rPr>
          <w:rFonts w:ascii="Times New Roman" w:hAnsi="Times New Roman"/>
        </w:rPr>
      </w:pPr>
      <w:r>
        <w:rPr>
          <w:rFonts w:ascii="Times New Roman" w:hAnsi="Times New Roman"/>
        </w:rPr>
        <w:t>(OMB No. 3064-0109)</w:t>
      </w:r>
    </w:p>
    <w:p w:rsidR="00A10641" w:rsidRDefault="00A10641" w14:paraId="02F5F9DC" w14:textId="77777777">
      <w:pPr>
        <w:suppressAutoHyphens/>
        <w:rPr>
          <w:rFonts w:ascii="Times New Roman" w:hAnsi="Times New Roman"/>
        </w:rPr>
      </w:pPr>
    </w:p>
    <w:p w:rsidR="00A10641" w:rsidRDefault="00A10641" w14:paraId="317F2B6A" w14:textId="77777777">
      <w:pPr>
        <w:suppressAutoHyphens/>
        <w:rPr>
          <w:rFonts w:ascii="Times New Roman" w:hAnsi="Times New Roman"/>
        </w:rPr>
      </w:pPr>
      <w:r>
        <w:rPr>
          <w:rFonts w:ascii="Times New Roman" w:hAnsi="Times New Roman"/>
          <w:u w:val="single"/>
        </w:rPr>
        <w:t>INTRODUCTION</w:t>
      </w:r>
    </w:p>
    <w:p w:rsidR="00A10641" w:rsidRDefault="00A10641" w14:paraId="76B147B7" w14:textId="77777777">
      <w:pPr>
        <w:suppressAutoHyphens/>
        <w:rPr>
          <w:rFonts w:ascii="Times New Roman" w:hAnsi="Times New Roman"/>
        </w:rPr>
      </w:pPr>
    </w:p>
    <w:p w:rsidR="00A10641" w:rsidRDefault="00A10641" w14:paraId="0A192FE5" w14:textId="77777777">
      <w:pPr>
        <w:suppressAutoHyphens/>
        <w:rPr>
          <w:rFonts w:ascii="Times New Roman" w:hAnsi="Times New Roman"/>
        </w:rPr>
      </w:pPr>
      <w:r>
        <w:rPr>
          <w:rFonts w:ascii="Times New Roman" w:hAnsi="Times New Roman"/>
        </w:rPr>
        <w:t>The Federal Deposit Insurance Corpora</w:t>
      </w:r>
      <w:r w:rsidR="00821F26">
        <w:rPr>
          <w:rFonts w:ascii="Times New Roman" w:hAnsi="Times New Roman"/>
        </w:rPr>
        <w:t xml:space="preserve">tion is requesting an extension, without change, </w:t>
      </w:r>
      <w:r>
        <w:rPr>
          <w:rFonts w:ascii="Times New Roman" w:hAnsi="Times New Roman"/>
        </w:rPr>
        <w:t>of the currently</w:t>
      </w:r>
      <w:r w:rsidR="00F856B0">
        <w:rPr>
          <w:rFonts w:ascii="Times New Roman" w:hAnsi="Times New Roman"/>
        </w:rPr>
        <w:t>-</w:t>
      </w:r>
      <w:r>
        <w:rPr>
          <w:rFonts w:ascii="Times New Roman" w:hAnsi="Times New Roman"/>
        </w:rPr>
        <w:t>approved information collection captioned above</w:t>
      </w:r>
      <w:r w:rsidR="00821F26">
        <w:rPr>
          <w:rFonts w:ascii="Times New Roman" w:hAnsi="Times New Roman"/>
        </w:rPr>
        <w:t>.</w:t>
      </w:r>
      <w:r>
        <w:rPr>
          <w:rFonts w:ascii="Times New Roman" w:hAnsi="Times New Roman"/>
        </w:rPr>
        <w:t xml:space="preserve">  The current clearance for the collection expires on </w:t>
      </w:r>
      <w:r w:rsidR="00366534">
        <w:rPr>
          <w:rFonts w:ascii="Times New Roman" w:hAnsi="Times New Roman"/>
        </w:rPr>
        <w:t>September 30</w:t>
      </w:r>
      <w:r w:rsidRPr="00CB70C1" w:rsidR="00CB0D1A">
        <w:rPr>
          <w:rFonts w:ascii="Times New Roman" w:hAnsi="Times New Roman"/>
        </w:rPr>
        <w:t xml:space="preserve">, </w:t>
      </w:r>
      <w:r w:rsidR="00366534">
        <w:rPr>
          <w:rFonts w:ascii="Times New Roman" w:hAnsi="Times New Roman"/>
        </w:rPr>
        <w:t>2021</w:t>
      </w:r>
      <w:r>
        <w:rPr>
          <w:rFonts w:ascii="Times New Roman" w:hAnsi="Times New Roman"/>
        </w:rPr>
        <w:t xml:space="preserve">.  </w:t>
      </w:r>
    </w:p>
    <w:p w:rsidR="00F856B0" w:rsidRDefault="00F856B0" w14:paraId="034F13C6" w14:textId="77777777">
      <w:pPr>
        <w:suppressAutoHyphens/>
        <w:rPr>
          <w:rFonts w:ascii="Times New Roman" w:hAnsi="Times New Roman"/>
        </w:rPr>
      </w:pPr>
    </w:p>
    <w:p w:rsidR="00A10641" w:rsidRDefault="00A10641" w14:paraId="0BB65385" w14:textId="77777777">
      <w:pPr>
        <w:suppressAutoHyphens/>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rsidR="00A10641" w:rsidRDefault="00A10641" w14:paraId="6CAEDED2" w14:textId="77777777">
      <w:pPr>
        <w:suppressAutoHyphens/>
        <w:rPr>
          <w:rFonts w:ascii="Times New Roman" w:hAnsi="Times New Roman"/>
        </w:rPr>
      </w:pPr>
    </w:p>
    <w:p w:rsidR="00A10641" w:rsidRDefault="00A10641" w14:paraId="0BA71665" w14:textId="77777777">
      <w:pPr>
        <w:suppressAutoHyphens/>
        <w:ind w:left="1080" w:hanging="1080"/>
        <w:rPr>
          <w:rFonts w:ascii="Times New Roman" w:hAnsi="Times New Roman"/>
        </w:rPr>
      </w:pPr>
      <w:r>
        <w:rPr>
          <w:rFonts w:ascii="Times New Roman" w:hAnsi="Times New Roman"/>
        </w:rPr>
        <w:tab/>
        <w:t>1.</w:t>
      </w:r>
      <w:r>
        <w:rPr>
          <w:rFonts w:ascii="Times New Roman" w:hAnsi="Times New Roman"/>
        </w:rPr>
        <w:tab/>
      </w:r>
      <w:r w:rsidRPr="00C56C82" w:rsidR="00C56C82">
        <w:rPr>
          <w:rFonts w:ascii="Times New Roman" w:hAnsi="Times New Roman"/>
          <w:bCs/>
          <w:iCs/>
          <w:u w:val="single"/>
        </w:rPr>
        <w:t>Circumstances that make the collection necessary:</w:t>
      </w:r>
    </w:p>
    <w:p w:rsidR="00A10641" w:rsidRDefault="00A10641" w14:paraId="2412CB7A" w14:textId="77777777">
      <w:pPr>
        <w:suppressAutoHyphens/>
        <w:rPr>
          <w:rFonts w:ascii="Times New Roman" w:hAnsi="Times New Roman"/>
        </w:rPr>
      </w:pPr>
    </w:p>
    <w:p w:rsidR="00A10641" w:rsidRDefault="00A10641" w14:paraId="0014D64D" w14:textId="77777777">
      <w:pPr>
        <w:suppressAutoHyphens/>
        <w:ind w:left="1440"/>
        <w:rPr>
          <w:rFonts w:ascii="Times New Roman" w:hAnsi="Times New Roman"/>
        </w:rPr>
      </w:pPr>
      <w:r>
        <w:rPr>
          <w:rFonts w:ascii="Times New Roman" w:hAnsi="Times New Roman"/>
        </w:rPr>
        <w:t>Section 42 of the Federal Deposit Insurance Act mandates that an institution closing a branch notify its primary federal regulator not later than 90 days prior to the closing.  The statute also provides that a notice be posted on the premises of the branch for the 30</w:t>
      </w:r>
      <w:r>
        <w:rPr>
          <w:rFonts w:ascii="Times New Roman" w:hAnsi="Times New Roman"/>
        </w:rPr>
        <w:noBreakHyphen/>
        <w:t xml:space="preserve">day period immediately prior to the closing and that the customers be notified in a mailing at least 90 days prior to the closing.  Each insured depository institution </w:t>
      </w:r>
      <w:r w:rsidR="00B32BB8">
        <w:rPr>
          <w:rFonts w:ascii="Times New Roman" w:hAnsi="Times New Roman"/>
        </w:rPr>
        <w:t xml:space="preserve">that has one or more branches </w:t>
      </w:r>
      <w:r>
        <w:rPr>
          <w:rFonts w:ascii="Times New Roman" w:hAnsi="Times New Roman"/>
        </w:rPr>
        <w:t xml:space="preserve">is required to adopt </w:t>
      </w:r>
      <w:r w:rsidR="00B32BB8">
        <w:rPr>
          <w:rFonts w:ascii="Times New Roman" w:hAnsi="Times New Roman"/>
        </w:rPr>
        <w:t xml:space="preserve">a written policy </w:t>
      </w:r>
      <w:r>
        <w:rPr>
          <w:rFonts w:ascii="Times New Roman" w:hAnsi="Times New Roman"/>
        </w:rPr>
        <w:t>for branch closings.</w:t>
      </w:r>
    </w:p>
    <w:p w:rsidR="00A10641" w:rsidRDefault="00A10641" w14:paraId="3A6DE652" w14:textId="77777777">
      <w:pPr>
        <w:suppressAutoHyphens/>
        <w:rPr>
          <w:rFonts w:ascii="Times New Roman" w:hAnsi="Times New Roman"/>
        </w:rPr>
      </w:pPr>
    </w:p>
    <w:p w:rsidR="00A10641" w:rsidRDefault="00A10641" w14:paraId="2529A0EC" w14:textId="77777777">
      <w:pPr>
        <w:suppressAutoHyphens/>
        <w:ind w:left="1440"/>
        <w:rPr>
          <w:rFonts w:ascii="Times New Roman" w:hAnsi="Times New Roman"/>
        </w:rPr>
      </w:pPr>
      <w:r>
        <w:rPr>
          <w:rFonts w:ascii="Times New Roman" w:hAnsi="Times New Roman"/>
        </w:rPr>
        <w:t xml:space="preserve">This section charges the FDIC with the responsibility of enforcing the provisions and filing requirements.  To fulfill its statutory mandate, the FDIC in cooperation with other federal financial institution regulators developed an Interagency Policy Statement on Advance Notice of Branch Closings. </w:t>
      </w:r>
    </w:p>
    <w:p w:rsidR="00A10641" w:rsidRDefault="00A10641" w14:paraId="490F49A3" w14:textId="77777777">
      <w:pPr>
        <w:suppressAutoHyphens/>
        <w:rPr>
          <w:rFonts w:ascii="Times New Roman" w:hAnsi="Times New Roman"/>
        </w:rPr>
      </w:pPr>
    </w:p>
    <w:p w:rsidR="00A10641" w:rsidP="00366534" w:rsidRDefault="00A10641" w14:paraId="6A88CC20" w14:textId="77777777">
      <w:pPr>
        <w:suppressAutoHyphens/>
        <w:ind w:left="1080" w:hanging="1080"/>
        <w:rPr>
          <w:rFonts w:ascii="Times New Roman" w:hAnsi="Times New Roman"/>
          <w:u w:val="single"/>
        </w:rPr>
      </w:pPr>
      <w:r>
        <w:rPr>
          <w:rFonts w:ascii="Times New Roman" w:hAnsi="Times New Roman"/>
        </w:rPr>
        <w:tab/>
        <w:t>2.</w:t>
      </w:r>
      <w:r>
        <w:rPr>
          <w:rFonts w:ascii="Times New Roman" w:hAnsi="Times New Roman"/>
        </w:rPr>
        <w:tab/>
      </w:r>
      <w:r w:rsidRPr="00366534" w:rsidR="00366534">
        <w:rPr>
          <w:rFonts w:ascii="Times New Roman" w:hAnsi="Times New Roman"/>
          <w:u w:val="single"/>
        </w:rPr>
        <w:t>Use of information collected:</w:t>
      </w:r>
    </w:p>
    <w:p w:rsidR="00366534" w:rsidP="00366534" w:rsidRDefault="00366534" w14:paraId="1D0BE6A2" w14:textId="77777777">
      <w:pPr>
        <w:suppressAutoHyphens/>
        <w:ind w:left="1080" w:hanging="1080"/>
        <w:rPr>
          <w:rFonts w:ascii="Times New Roman" w:hAnsi="Times New Roman"/>
        </w:rPr>
      </w:pPr>
    </w:p>
    <w:p w:rsidR="00A10641" w:rsidRDefault="00A10641" w14:paraId="6C9B83C1" w14:textId="77777777">
      <w:pPr>
        <w:suppressAutoHyphens/>
        <w:ind w:left="1440"/>
        <w:rPr>
          <w:rFonts w:ascii="Times New Roman" w:hAnsi="Times New Roman"/>
        </w:rPr>
      </w:pPr>
      <w:r>
        <w:rPr>
          <w:rFonts w:ascii="Times New Roman" w:hAnsi="Times New Roman"/>
        </w:rPr>
        <w:t>The information in the notices and in the policy statements is used by the FDIC as part of its oversight of an institution's record of serving the needs of its community.  Such information allows the FDIC to make judgments of the reasonableness of the bank's record of opening and closing offices.</w:t>
      </w:r>
    </w:p>
    <w:p w:rsidR="00A10641" w:rsidRDefault="00A10641" w14:paraId="251A7814" w14:textId="77777777">
      <w:pPr>
        <w:suppressAutoHyphens/>
        <w:ind w:left="1080" w:hanging="1080"/>
        <w:rPr>
          <w:rFonts w:ascii="Times New Roman" w:hAnsi="Times New Roman"/>
        </w:rPr>
      </w:pPr>
    </w:p>
    <w:p w:rsidR="00A10641" w:rsidRDefault="00A10641" w14:paraId="037D5F93" w14:textId="77777777">
      <w:pPr>
        <w:suppressAutoHyphens/>
        <w:ind w:left="1080" w:hanging="1080"/>
        <w:rPr>
          <w:rFonts w:ascii="Times New Roman" w:hAnsi="Times New Roman"/>
        </w:rPr>
      </w:pPr>
      <w:r>
        <w:rPr>
          <w:rFonts w:ascii="Times New Roman" w:hAnsi="Times New Roman"/>
        </w:rPr>
        <w:tab/>
        <w:t>3.</w:t>
      </w:r>
      <w:r>
        <w:rPr>
          <w:rFonts w:ascii="Times New Roman" w:hAnsi="Times New Roman"/>
        </w:rPr>
        <w:tab/>
      </w:r>
      <w:r w:rsidRPr="00366534" w:rsidR="00366534">
        <w:rPr>
          <w:rFonts w:ascii="Times New Roman" w:hAnsi="Times New Roman"/>
          <w:u w:val="single"/>
        </w:rPr>
        <w:t>Consideration of the use of improved information technology:</w:t>
      </w:r>
    </w:p>
    <w:p w:rsidR="00A10641" w:rsidRDefault="00A10641" w14:paraId="7BC848BD" w14:textId="77777777">
      <w:pPr>
        <w:suppressAutoHyphens/>
        <w:rPr>
          <w:rFonts w:ascii="Times New Roman" w:hAnsi="Times New Roman"/>
        </w:rPr>
      </w:pPr>
    </w:p>
    <w:p w:rsidR="00A10641" w:rsidRDefault="00A10641" w14:paraId="4D9B7FA8" w14:textId="073A0AEC">
      <w:pPr>
        <w:suppressAutoHyphens/>
        <w:ind w:left="1440"/>
        <w:rPr>
          <w:rFonts w:ascii="Times New Roman" w:hAnsi="Times New Roman"/>
        </w:rPr>
      </w:pPr>
      <w:r>
        <w:rPr>
          <w:rFonts w:ascii="Times New Roman" w:hAnsi="Times New Roman"/>
        </w:rPr>
        <w:t>The FDIC has an interactive website, FDIC</w:t>
      </w:r>
      <w:r>
        <w:rPr>
          <w:rFonts w:ascii="Times New Roman" w:hAnsi="Times New Roman"/>
          <w:i/>
        </w:rPr>
        <w:t>connect</w:t>
      </w:r>
      <w:r>
        <w:rPr>
          <w:rFonts w:ascii="Times New Roman" w:hAnsi="Times New Roman"/>
        </w:rPr>
        <w:t xml:space="preserve">, </w:t>
      </w:r>
      <w:r w:rsidR="00F52BA7">
        <w:rPr>
          <w:rFonts w:ascii="Times New Roman" w:hAnsi="Times New Roman"/>
        </w:rPr>
        <w:t xml:space="preserve">which </w:t>
      </w:r>
      <w:r>
        <w:rPr>
          <w:rFonts w:ascii="Times New Roman" w:hAnsi="Times New Roman"/>
        </w:rPr>
        <w:t>allows insured institutions to submit certain filings to the FDIC electronically.</w:t>
      </w:r>
      <w:r>
        <w:rPr>
          <w:rFonts w:ascii="Times New Roman" w:hAnsi="Times New Roman"/>
        </w:rPr>
        <w:br w:type="page"/>
      </w:r>
    </w:p>
    <w:p w:rsidR="00A10641" w:rsidRDefault="00A10641" w14:paraId="617D39C1" w14:textId="77777777">
      <w:pPr>
        <w:suppressAutoHyphens/>
        <w:ind w:left="1080" w:hanging="1080"/>
        <w:rPr>
          <w:rFonts w:ascii="Times New Roman" w:hAnsi="Times New Roman"/>
        </w:rPr>
      </w:pPr>
      <w:r>
        <w:rPr>
          <w:rFonts w:ascii="Times New Roman" w:hAnsi="Times New Roman"/>
        </w:rPr>
        <w:lastRenderedPageBreak/>
        <w:tab/>
        <w:t>4.</w:t>
      </w:r>
      <w:r>
        <w:rPr>
          <w:rFonts w:ascii="Times New Roman" w:hAnsi="Times New Roman"/>
        </w:rPr>
        <w:tab/>
      </w:r>
      <w:r w:rsidRPr="00366534" w:rsidR="00366534">
        <w:rPr>
          <w:rFonts w:ascii="Times New Roman" w:hAnsi="Times New Roman"/>
          <w:u w:val="single"/>
        </w:rPr>
        <w:t>Efforts to identify duplication:</w:t>
      </w:r>
    </w:p>
    <w:p w:rsidR="00A10641" w:rsidRDefault="00A10641" w14:paraId="1C1D8645" w14:textId="77777777">
      <w:pPr>
        <w:suppressAutoHyphens/>
        <w:rPr>
          <w:rFonts w:ascii="Times New Roman" w:hAnsi="Times New Roman"/>
        </w:rPr>
      </w:pPr>
    </w:p>
    <w:p w:rsidR="00A10641" w:rsidRDefault="00A10641" w14:paraId="33B4C0C9" w14:textId="77777777">
      <w:pPr>
        <w:suppressAutoHyphens/>
        <w:ind w:left="1440"/>
        <w:rPr>
          <w:rFonts w:ascii="Times New Roman" w:hAnsi="Times New Roman"/>
        </w:rPr>
      </w:pPr>
      <w:r>
        <w:rPr>
          <w:rFonts w:ascii="Times New Roman" w:hAnsi="Times New Roman"/>
        </w:rPr>
        <w:t xml:space="preserve">These collection requirements parallel the statutory language of Section 42.  The FDIC works closely with other Federal financial institution regulators to assure interpretation of the requirements is uniform and does not involve any duplicated information.  There is no similar information available to the FDIC. </w:t>
      </w:r>
    </w:p>
    <w:p w:rsidR="00A10641" w:rsidRDefault="00A10641" w14:paraId="3854AFF1" w14:textId="77777777">
      <w:pPr>
        <w:suppressAutoHyphens/>
        <w:rPr>
          <w:rFonts w:ascii="Times New Roman" w:hAnsi="Times New Roman"/>
        </w:rPr>
      </w:pPr>
    </w:p>
    <w:p w:rsidR="00A10641" w:rsidP="00366534" w:rsidRDefault="00A10641" w14:paraId="23EE90FC" w14:textId="77777777">
      <w:pPr>
        <w:suppressAutoHyphens/>
        <w:ind w:left="1440" w:hanging="360"/>
        <w:rPr>
          <w:rFonts w:ascii="Times New Roman" w:hAnsi="Times New Roman"/>
        </w:rPr>
      </w:pPr>
      <w:r>
        <w:rPr>
          <w:rFonts w:ascii="Times New Roman" w:hAnsi="Times New Roman"/>
        </w:rPr>
        <w:t>5.</w:t>
      </w:r>
      <w:r>
        <w:rPr>
          <w:rFonts w:ascii="Times New Roman" w:hAnsi="Times New Roman"/>
        </w:rPr>
        <w:tab/>
      </w:r>
      <w:r w:rsidRPr="00366534" w:rsidR="00366534">
        <w:rPr>
          <w:rFonts w:ascii="Times New Roman" w:hAnsi="Times New Roman"/>
          <w:u w:val="single"/>
        </w:rPr>
        <w:t>Methods used to minimize burden if the collection has a significant impact on a substantial number of small entities:</w:t>
      </w:r>
    </w:p>
    <w:p w:rsidR="00A10641" w:rsidRDefault="00A10641" w14:paraId="123CE49F" w14:textId="77777777">
      <w:pPr>
        <w:suppressAutoHyphens/>
        <w:rPr>
          <w:rFonts w:ascii="Times New Roman" w:hAnsi="Times New Roman"/>
        </w:rPr>
      </w:pPr>
    </w:p>
    <w:p w:rsidR="00A10641" w:rsidRDefault="00A10641" w14:paraId="451B6FC5" w14:textId="77777777">
      <w:pPr>
        <w:suppressAutoHyphens/>
        <w:ind w:left="1440"/>
        <w:rPr>
          <w:rFonts w:ascii="Times New Roman" w:hAnsi="Times New Roman"/>
        </w:rPr>
      </w:pPr>
      <w:r>
        <w:rPr>
          <w:rFonts w:ascii="Times New Roman" w:hAnsi="Times New Roman"/>
        </w:rPr>
        <w:t>An exception has been granted to the requirement to formulate policies for branch closure for institutions that currently do not have a branch office.  All other institutions, regardless of size, must submit the same notices and formulate the same type polices.  The notice requirements parallel the statutory requirements of Section 42.</w:t>
      </w:r>
    </w:p>
    <w:p w:rsidR="00A10641" w:rsidRDefault="00A10641" w14:paraId="489BA166" w14:textId="77777777">
      <w:pPr>
        <w:suppressAutoHyphens/>
        <w:rPr>
          <w:rFonts w:ascii="Times New Roman" w:hAnsi="Times New Roman"/>
        </w:rPr>
      </w:pPr>
    </w:p>
    <w:p w:rsidR="00A10641" w:rsidP="00366534" w:rsidRDefault="00A10641" w14:paraId="158B8ED0" w14:textId="77777777">
      <w:pPr>
        <w:suppressAutoHyphens/>
        <w:ind w:left="1440" w:hanging="360"/>
        <w:rPr>
          <w:rFonts w:ascii="Times New Roman" w:hAnsi="Times New Roman"/>
        </w:rPr>
      </w:pPr>
      <w:r>
        <w:rPr>
          <w:rFonts w:ascii="Times New Roman" w:hAnsi="Times New Roman"/>
        </w:rPr>
        <w:t>6.</w:t>
      </w:r>
      <w:r>
        <w:rPr>
          <w:rFonts w:ascii="Times New Roman" w:hAnsi="Times New Roman"/>
        </w:rPr>
        <w:tab/>
      </w:r>
      <w:r w:rsidRPr="00366534" w:rsidR="00366534">
        <w:rPr>
          <w:rFonts w:ascii="Times New Roman" w:hAnsi="Times New Roman"/>
          <w:u w:val="single"/>
        </w:rPr>
        <w:t>Consequences to the Federal program if the collection were conducted less frequently:</w:t>
      </w:r>
    </w:p>
    <w:p w:rsidR="00A10641" w:rsidRDefault="00A10641" w14:paraId="25F2835A" w14:textId="77777777">
      <w:pPr>
        <w:suppressAutoHyphens/>
        <w:rPr>
          <w:rFonts w:ascii="Times New Roman" w:hAnsi="Times New Roman"/>
        </w:rPr>
      </w:pPr>
    </w:p>
    <w:p w:rsidR="00A10641" w:rsidRDefault="00A10641" w14:paraId="63A5D99A" w14:textId="77777777">
      <w:pPr>
        <w:suppressAutoHyphens/>
        <w:ind w:left="1440"/>
        <w:rPr>
          <w:rFonts w:ascii="Times New Roman" w:hAnsi="Times New Roman"/>
        </w:rPr>
      </w:pPr>
      <w:r>
        <w:rPr>
          <w:rFonts w:ascii="Times New Roman" w:hAnsi="Times New Roman"/>
        </w:rPr>
        <w:t>The collections in the interagency statement vary in frequency.  Some are one</w:t>
      </w:r>
      <w:r>
        <w:rPr>
          <w:rFonts w:ascii="Times New Roman" w:hAnsi="Times New Roman"/>
        </w:rPr>
        <w:noBreakHyphen/>
        <w:t xml:space="preserve">time </w:t>
      </w:r>
      <w:r w:rsidR="00B32BB8">
        <w:rPr>
          <w:rFonts w:ascii="Times New Roman" w:hAnsi="Times New Roman"/>
        </w:rPr>
        <w:t>recordkeeping requirements</w:t>
      </w:r>
      <w:r>
        <w:rPr>
          <w:rFonts w:ascii="Times New Roman" w:hAnsi="Times New Roman"/>
        </w:rPr>
        <w:t>; others are on occasion.  In every case, frequency is consistent with the statutory mandate.  Less frequent collection would result in non</w:t>
      </w:r>
      <w:r>
        <w:rPr>
          <w:rFonts w:ascii="Times New Roman" w:hAnsi="Times New Roman"/>
        </w:rPr>
        <w:noBreakHyphen/>
        <w:t>compliance with the law.</w:t>
      </w:r>
    </w:p>
    <w:p w:rsidR="00A10641" w:rsidRDefault="00A10641" w14:paraId="6C99D4D7" w14:textId="77777777">
      <w:pPr>
        <w:suppressAutoHyphens/>
        <w:rPr>
          <w:rFonts w:ascii="Times New Roman" w:hAnsi="Times New Roman"/>
        </w:rPr>
      </w:pPr>
    </w:p>
    <w:p w:rsidR="00A10641" w:rsidP="00366534" w:rsidRDefault="00A10641" w14:paraId="64872B86" w14:textId="77777777">
      <w:pPr>
        <w:suppressAutoHyphens/>
        <w:ind w:left="1440" w:hanging="360"/>
        <w:rPr>
          <w:rFonts w:ascii="Times New Roman" w:hAnsi="Times New Roman"/>
        </w:rPr>
      </w:pPr>
      <w:r>
        <w:rPr>
          <w:rFonts w:ascii="Times New Roman" w:hAnsi="Times New Roman"/>
        </w:rPr>
        <w:t>7.</w:t>
      </w:r>
      <w:r>
        <w:rPr>
          <w:rFonts w:ascii="Times New Roman" w:hAnsi="Times New Roman"/>
        </w:rPr>
        <w:tab/>
      </w:r>
      <w:r w:rsidRPr="00366534" w:rsidR="00366534">
        <w:rPr>
          <w:rFonts w:ascii="Times New Roman" w:hAnsi="Times New Roman"/>
          <w:u w:val="single"/>
        </w:rPr>
        <w:t>Special circumstances necessitating collection inconsistent with 5 CFR Part 1320.5(d)(2):</w:t>
      </w:r>
    </w:p>
    <w:p w:rsidR="00A10641" w:rsidRDefault="00A10641" w14:paraId="309D916B" w14:textId="77777777">
      <w:pPr>
        <w:suppressAutoHyphens/>
        <w:rPr>
          <w:rFonts w:ascii="Times New Roman" w:hAnsi="Times New Roman"/>
        </w:rPr>
      </w:pPr>
    </w:p>
    <w:p w:rsidR="00A10641" w:rsidRDefault="00366534" w14:paraId="27E07244" w14:textId="77777777">
      <w:pPr>
        <w:suppressAutoHyphens/>
        <w:ind w:left="1440"/>
        <w:rPr>
          <w:rFonts w:ascii="Times New Roman" w:hAnsi="Times New Roman"/>
        </w:rPr>
      </w:pPr>
      <w:r w:rsidRPr="00366534">
        <w:rPr>
          <w:rFonts w:ascii="Times New Roman" w:hAnsi="Times New Roman"/>
        </w:rPr>
        <w:t>None.  The</w:t>
      </w:r>
      <w:r w:rsidRPr="00366534">
        <w:rPr>
          <w:rFonts w:ascii="Times New Roman" w:hAnsi="Times New Roman"/>
          <w:bCs/>
          <w:iCs/>
        </w:rPr>
        <w:t xml:space="preserve"> information is collected in a manner consistent with 5 CFR Part 1320.5(d)(2).</w:t>
      </w:r>
    </w:p>
    <w:p w:rsidR="00A10641" w:rsidRDefault="00A10641" w14:paraId="688C5D9D" w14:textId="77777777">
      <w:pPr>
        <w:suppressAutoHyphens/>
        <w:rPr>
          <w:rFonts w:ascii="Times New Roman" w:hAnsi="Times New Roman"/>
        </w:rPr>
      </w:pPr>
    </w:p>
    <w:p w:rsidR="00A10641" w:rsidRDefault="00A10641" w14:paraId="6BF031BD" w14:textId="77777777">
      <w:pPr>
        <w:suppressAutoHyphens/>
        <w:ind w:left="1080" w:hanging="1080"/>
        <w:rPr>
          <w:rFonts w:ascii="Times New Roman" w:hAnsi="Times New Roman"/>
        </w:rPr>
      </w:pPr>
      <w:r>
        <w:rPr>
          <w:rFonts w:ascii="Times New Roman" w:hAnsi="Times New Roman"/>
        </w:rPr>
        <w:tab/>
        <w:t>8.</w:t>
      </w:r>
      <w:r>
        <w:rPr>
          <w:rFonts w:ascii="Times New Roman" w:hAnsi="Times New Roman"/>
        </w:rPr>
        <w:tab/>
      </w:r>
      <w:r w:rsidRPr="00366534" w:rsidR="00366534">
        <w:rPr>
          <w:rFonts w:ascii="Times New Roman" w:hAnsi="Times New Roman"/>
          <w:u w:val="single"/>
        </w:rPr>
        <w:t>Efforts to consult with persons outside the agency:</w:t>
      </w:r>
    </w:p>
    <w:p w:rsidR="00A10641" w:rsidRDefault="00A10641" w14:paraId="78B11A77" w14:textId="77777777">
      <w:pPr>
        <w:suppressAutoHyphens/>
        <w:rPr>
          <w:rFonts w:ascii="Times New Roman" w:hAnsi="Times New Roman"/>
        </w:rPr>
      </w:pPr>
    </w:p>
    <w:p w:rsidRPr="005E1A91" w:rsidR="005E1A91" w:rsidP="005E1A91" w:rsidRDefault="005E1A91" w14:paraId="3D513C58" w14:textId="77777777">
      <w:pPr>
        <w:suppressAutoHyphens/>
        <w:ind w:left="1440"/>
        <w:rPr>
          <w:rFonts w:ascii="Times New Roman" w:hAnsi="Times New Roman"/>
        </w:rPr>
      </w:pPr>
      <w:r w:rsidRPr="005E1A91">
        <w:rPr>
          <w:rFonts w:ascii="Times New Roman" w:hAnsi="Times New Roman"/>
        </w:rPr>
        <w:t xml:space="preserve">A 60-day notice seeking public comment on the </w:t>
      </w:r>
      <w:r w:rsidR="00AF65B5">
        <w:rPr>
          <w:rFonts w:ascii="Times New Roman" w:hAnsi="Times New Roman"/>
        </w:rPr>
        <w:t>FDIC’s</w:t>
      </w:r>
      <w:r w:rsidRPr="005E1A91">
        <w:rPr>
          <w:rFonts w:ascii="Times New Roman" w:hAnsi="Times New Roman"/>
        </w:rPr>
        <w:t xml:space="preserve"> renewal of the information collection was published on </w:t>
      </w:r>
      <w:r w:rsidR="00366534">
        <w:rPr>
          <w:rFonts w:ascii="Times New Roman" w:hAnsi="Times New Roman"/>
        </w:rPr>
        <w:t>July 8</w:t>
      </w:r>
      <w:r w:rsidR="003E7A05">
        <w:rPr>
          <w:rFonts w:ascii="Times New Roman" w:hAnsi="Times New Roman"/>
        </w:rPr>
        <w:t>, 20</w:t>
      </w:r>
      <w:r w:rsidR="00366534">
        <w:rPr>
          <w:rFonts w:ascii="Times New Roman" w:hAnsi="Times New Roman"/>
        </w:rPr>
        <w:t>21</w:t>
      </w:r>
      <w:r w:rsidR="003E7A05">
        <w:rPr>
          <w:rFonts w:ascii="Times New Roman" w:hAnsi="Times New Roman"/>
        </w:rPr>
        <w:t xml:space="preserve"> (8</w:t>
      </w:r>
      <w:r w:rsidR="00366534">
        <w:rPr>
          <w:rFonts w:ascii="Times New Roman" w:hAnsi="Times New Roman"/>
        </w:rPr>
        <w:t>6</w:t>
      </w:r>
      <w:r w:rsidR="003E7A05">
        <w:rPr>
          <w:rFonts w:ascii="Times New Roman" w:hAnsi="Times New Roman"/>
        </w:rPr>
        <w:t xml:space="preserve"> FR </w:t>
      </w:r>
      <w:r w:rsidR="00366534">
        <w:rPr>
          <w:rFonts w:ascii="Times New Roman" w:hAnsi="Times New Roman"/>
        </w:rPr>
        <w:t>36137</w:t>
      </w:r>
      <w:r w:rsidR="003E7A05">
        <w:rPr>
          <w:rFonts w:ascii="Times New Roman" w:hAnsi="Times New Roman"/>
        </w:rPr>
        <w:t>)</w:t>
      </w:r>
      <w:r w:rsidRPr="005E1A91">
        <w:rPr>
          <w:rFonts w:ascii="Times New Roman" w:hAnsi="Times New Roman"/>
        </w:rPr>
        <w:t>.  No comments were received.</w:t>
      </w:r>
    </w:p>
    <w:p w:rsidR="00A10641" w:rsidRDefault="00A10641" w14:paraId="7084D235" w14:textId="77777777">
      <w:pPr>
        <w:suppressAutoHyphens/>
        <w:ind w:left="1440"/>
        <w:rPr>
          <w:rFonts w:ascii="Times New Roman" w:hAnsi="Times New Roman"/>
        </w:rPr>
      </w:pPr>
    </w:p>
    <w:p w:rsidRPr="00366534" w:rsidR="00366534" w:rsidP="00366534" w:rsidRDefault="00366534" w14:paraId="32813E14" w14:textId="77777777">
      <w:pPr>
        <w:numPr>
          <w:ilvl w:val="0"/>
          <w:numId w:val="5"/>
        </w:numPr>
        <w:tabs>
          <w:tab w:val="num" w:pos="1440"/>
        </w:tabs>
        <w:suppressAutoHyphens/>
        <w:ind w:hanging="1215"/>
        <w:rPr>
          <w:rFonts w:ascii="Times New Roman" w:hAnsi="Times New Roman"/>
          <w:u w:val="single"/>
        </w:rPr>
      </w:pPr>
      <w:r w:rsidRPr="00366534">
        <w:rPr>
          <w:rFonts w:ascii="Times New Roman" w:hAnsi="Times New Roman"/>
          <w:u w:val="single"/>
        </w:rPr>
        <w:t>Payment or gift to respondents:</w:t>
      </w:r>
    </w:p>
    <w:p w:rsidR="00A10641" w:rsidRDefault="00A10641" w14:paraId="233764CD" w14:textId="77777777">
      <w:pPr>
        <w:suppressAutoHyphens/>
        <w:rPr>
          <w:rFonts w:ascii="Times New Roman" w:hAnsi="Times New Roman"/>
        </w:rPr>
      </w:pPr>
    </w:p>
    <w:p w:rsidR="00A10641" w:rsidRDefault="00A10641" w14:paraId="1F22D6A7" w14:textId="77777777">
      <w:pPr>
        <w:suppressAutoHyphens/>
        <w:ind w:left="1440"/>
        <w:rPr>
          <w:rFonts w:ascii="Times New Roman" w:hAnsi="Times New Roman"/>
        </w:rPr>
      </w:pPr>
      <w:r>
        <w:rPr>
          <w:rFonts w:ascii="Times New Roman" w:hAnsi="Times New Roman"/>
        </w:rPr>
        <w:t>None.</w:t>
      </w:r>
      <w:r>
        <w:rPr>
          <w:rFonts w:ascii="Times New Roman" w:hAnsi="Times New Roman"/>
        </w:rPr>
        <w:tab/>
      </w:r>
    </w:p>
    <w:p w:rsidR="00A10641" w:rsidRDefault="00A10641" w14:paraId="169197C4" w14:textId="77777777">
      <w:pPr>
        <w:suppressAutoHyphens/>
        <w:rPr>
          <w:rFonts w:ascii="Times New Roman" w:hAnsi="Times New Roman"/>
        </w:rPr>
      </w:pPr>
    </w:p>
    <w:p w:rsidRPr="00366534" w:rsidR="00366534" w:rsidP="00366534" w:rsidRDefault="00366534" w14:paraId="6A77FE89" w14:textId="77777777">
      <w:pPr>
        <w:pStyle w:val="ListParagraph"/>
        <w:numPr>
          <w:ilvl w:val="0"/>
          <w:numId w:val="5"/>
        </w:numPr>
        <w:tabs>
          <w:tab w:val="clear" w:pos="2295"/>
          <w:tab w:val="num" w:pos="1530"/>
        </w:tabs>
        <w:suppressAutoHyphens/>
        <w:ind w:hanging="1215"/>
        <w:rPr>
          <w:rFonts w:ascii="Times New Roman" w:hAnsi="Times New Roman"/>
          <w:u w:val="single"/>
        </w:rPr>
      </w:pPr>
      <w:r w:rsidRPr="00366534">
        <w:rPr>
          <w:rFonts w:ascii="Times New Roman" w:hAnsi="Times New Roman"/>
          <w:u w:val="single"/>
        </w:rPr>
        <w:t>Any assurance of confidentiality:</w:t>
      </w:r>
    </w:p>
    <w:p w:rsidR="00A10641" w:rsidRDefault="00A10641" w14:paraId="186CC0CA" w14:textId="77777777">
      <w:pPr>
        <w:suppressAutoHyphens/>
        <w:ind w:left="1080" w:hanging="1080"/>
        <w:rPr>
          <w:rFonts w:ascii="Times New Roman" w:hAnsi="Times New Roman"/>
        </w:rPr>
      </w:pPr>
    </w:p>
    <w:p w:rsidR="00A10641" w:rsidRDefault="00A10641" w14:paraId="1F2CB1E4" w14:textId="77777777">
      <w:pPr>
        <w:suppressAutoHyphens/>
        <w:ind w:left="1440"/>
        <w:rPr>
          <w:rFonts w:ascii="Times New Roman" w:hAnsi="Times New Roman"/>
        </w:rPr>
      </w:pPr>
      <w:r>
        <w:rPr>
          <w:rFonts w:ascii="Times New Roman" w:hAnsi="Times New Roman"/>
        </w:rPr>
        <w:t xml:space="preserve">The information required in the interagency statement is generally available to the public; however, any information </w:t>
      </w:r>
      <w:r w:rsidR="00B32BB8">
        <w:rPr>
          <w:rFonts w:ascii="Times New Roman" w:hAnsi="Times New Roman"/>
        </w:rPr>
        <w:t>identified by an institution as confidential may be</w:t>
      </w:r>
      <w:r>
        <w:rPr>
          <w:rFonts w:ascii="Times New Roman" w:hAnsi="Times New Roman"/>
        </w:rPr>
        <w:t xml:space="preserve"> </w:t>
      </w:r>
      <w:r w:rsidR="005E1A91">
        <w:rPr>
          <w:rFonts w:ascii="Times New Roman" w:hAnsi="Times New Roman"/>
        </w:rPr>
        <w:t>kept private to the extent provided by law.</w:t>
      </w:r>
    </w:p>
    <w:p w:rsidR="00A10641" w:rsidRDefault="00A10641" w14:paraId="10B14DA0" w14:textId="77777777">
      <w:pPr>
        <w:suppressAutoHyphens/>
        <w:rPr>
          <w:rFonts w:ascii="Times New Roman" w:hAnsi="Times New Roman"/>
        </w:rPr>
      </w:pPr>
      <w:r>
        <w:rPr>
          <w:rFonts w:ascii="Times New Roman" w:hAnsi="Times New Roman"/>
        </w:rPr>
        <w:br w:type="page"/>
      </w:r>
      <w:r>
        <w:rPr>
          <w:rFonts w:ascii="Times New Roman" w:hAnsi="Times New Roman"/>
        </w:rPr>
        <w:lastRenderedPageBreak/>
        <w:tab/>
        <w:t>11.</w:t>
      </w:r>
      <w:r>
        <w:rPr>
          <w:rFonts w:ascii="Times New Roman" w:hAnsi="Times New Roman"/>
        </w:rPr>
        <w:tab/>
      </w:r>
      <w:r w:rsidRPr="00366534" w:rsidR="00366534">
        <w:rPr>
          <w:rFonts w:ascii="Times New Roman" w:hAnsi="Times New Roman"/>
          <w:u w:val="single"/>
        </w:rPr>
        <w:t>Justification for questions of a sensitive nature:</w:t>
      </w:r>
    </w:p>
    <w:p w:rsidR="00A10641" w:rsidRDefault="00A10641" w14:paraId="7CFBA5C6" w14:textId="77777777">
      <w:pPr>
        <w:suppressAutoHyphens/>
        <w:rPr>
          <w:rFonts w:ascii="Times New Roman" w:hAnsi="Times New Roman"/>
        </w:rPr>
      </w:pPr>
    </w:p>
    <w:p w:rsidR="00A10641" w:rsidRDefault="00A10641" w14:paraId="5D13950A" w14:textId="77777777">
      <w:pPr>
        <w:suppressAutoHyphens/>
        <w:ind w:left="1080" w:hanging="1080"/>
        <w:rPr>
          <w:rFonts w:ascii="Times New Roman" w:hAnsi="Times New Roman"/>
        </w:rPr>
      </w:pPr>
      <w:r>
        <w:rPr>
          <w:rFonts w:ascii="Times New Roman" w:hAnsi="Times New Roman"/>
        </w:rPr>
        <w:tab/>
      </w:r>
      <w:r>
        <w:rPr>
          <w:rFonts w:ascii="Times New Roman" w:hAnsi="Times New Roman"/>
        </w:rPr>
        <w:tab/>
        <w:t>No questions of a sensitive nature are included in the collections.</w:t>
      </w:r>
    </w:p>
    <w:p w:rsidR="00A10641" w:rsidRDefault="00A10641" w14:paraId="53498111" w14:textId="77777777">
      <w:pPr>
        <w:suppressAutoHyphens/>
        <w:rPr>
          <w:rFonts w:ascii="Times New Roman" w:hAnsi="Times New Roman"/>
        </w:rPr>
      </w:pPr>
    </w:p>
    <w:p w:rsidRPr="00E47080" w:rsidR="00A10641" w:rsidP="001A0299" w:rsidRDefault="00A10641" w14:paraId="45E93A40" w14:textId="77777777">
      <w:pPr>
        <w:suppressAutoHyphens/>
        <w:rPr>
          <w:rFonts w:ascii="Times New Roman" w:hAnsi="Times New Roman"/>
          <w:b/>
          <w:highlight w:val="yellow"/>
        </w:rPr>
      </w:pPr>
      <w:r>
        <w:rPr>
          <w:rFonts w:ascii="Times New Roman" w:hAnsi="Times New Roman"/>
        </w:rPr>
        <w:tab/>
        <w:t>12.</w:t>
      </w:r>
      <w:r>
        <w:rPr>
          <w:rFonts w:ascii="Times New Roman" w:hAnsi="Times New Roman"/>
        </w:rPr>
        <w:tab/>
      </w:r>
      <w:r w:rsidRPr="00C90302" w:rsidR="00366534">
        <w:rPr>
          <w:rFonts w:ascii="Times New Roman" w:hAnsi="Times New Roman"/>
          <w:u w:val="single"/>
        </w:rPr>
        <w:t>Estimate of hour burden including annualized hourly costs:</w:t>
      </w:r>
    </w:p>
    <w:p w:rsidR="00A10641" w:rsidRDefault="00A10641" w14:paraId="1F6C7142" w14:textId="77777777">
      <w:pPr>
        <w:pStyle w:val="EndnoteText"/>
        <w:tabs>
          <w:tab w:val="left" w:pos="2280"/>
          <w:tab w:val="left" w:pos="3720"/>
          <w:tab w:val="left" w:pos="5160"/>
          <w:tab w:val="left" w:pos="6600"/>
          <w:tab w:val="left" w:pos="8040"/>
        </w:tabs>
        <w:suppressAutoHyphens/>
        <w:rPr>
          <w:rFonts w:ascii="Times New Roman" w:hAnsi="Times New Roman"/>
          <w:highlight w:val="yellow"/>
        </w:rPr>
      </w:pPr>
    </w:p>
    <w:tbl>
      <w:tblPr>
        <w:tblW w:w="9820" w:type="dxa"/>
        <w:tblLook w:val="04A0" w:firstRow="1" w:lastRow="0" w:firstColumn="1" w:lastColumn="0" w:noHBand="0" w:noVBand="1"/>
      </w:tblPr>
      <w:tblGrid>
        <w:gridCol w:w="2262"/>
        <w:gridCol w:w="1477"/>
        <w:gridCol w:w="1097"/>
        <w:gridCol w:w="1353"/>
        <w:gridCol w:w="1269"/>
        <w:gridCol w:w="1065"/>
        <w:gridCol w:w="1534"/>
      </w:tblGrid>
      <w:tr w:rsidRPr="00B12187" w:rsidR="00B12187" w:rsidTr="0034516E" w14:paraId="5A8202F4" w14:textId="77777777">
        <w:trPr>
          <w:trHeight w:val="288"/>
        </w:trPr>
        <w:tc>
          <w:tcPr>
            <w:tcW w:w="9820" w:type="dxa"/>
            <w:gridSpan w:val="7"/>
            <w:tcBorders>
              <w:top w:val="single" w:color="auto" w:sz="4" w:space="0"/>
              <w:left w:val="single" w:color="auto" w:sz="4" w:space="0"/>
              <w:bottom w:val="single" w:color="auto" w:sz="4" w:space="0"/>
              <w:right w:val="single" w:color="auto" w:sz="4" w:space="0"/>
            </w:tcBorders>
            <w:shd w:val="clear" w:color="auto" w:fill="auto"/>
            <w:vAlign w:val="center"/>
            <w:hideMark/>
          </w:tcPr>
          <w:p w:rsidRPr="00B12187" w:rsidR="00B12187" w:rsidP="00B12187" w:rsidRDefault="00B12187" w14:paraId="1E41B9CF" w14:textId="77777777">
            <w:pPr>
              <w:widowControl/>
              <w:jc w:val="center"/>
              <w:rPr>
                <w:rFonts w:ascii="Source Sans Pro" w:hAnsi="Source Sans Pro" w:cs="Calibri"/>
                <w:b/>
                <w:bCs/>
                <w:snapToGrid/>
                <w:color w:val="000000"/>
                <w:sz w:val="20"/>
              </w:rPr>
            </w:pPr>
            <w:r w:rsidRPr="00B12187">
              <w:rPr>
                <w:rFonts w:ascii="Source Sans Pro" w:hAnsi="Source Sans Pro" w:cs="Calibri"/>
                <w:b/>
                <w:bCs/>
                <w:snapToGrid/>
                <w:color w:val="000000"/>
                <w:sz w:val="20"/>
              </w:rPr>
              <w:t xml:space="preserve">Summary of Estimated Annual Burden </w:t>
            </w:r>
          </w:p>
        </w:tc>
      </w:tr>
      <w:tr w:rsidRPr="00B12187" w:rsidR="00B12187" w:rsidTr="0034516E" w14:paraId="157F24D0" w14:textId="77777777">
        <w:trPr>
          <w:trHeight w:val="828"/>
        </w:trPr>
        <w:tc>
          <w:tcPr>
            <w:tcW w:w="2420" w:type="dxa"/>
            <w:tcBorders>
              <w:top w:val="nil"/>
              <w:left w:val="single" w:color="auto" w:sz="4" w:space="0"/>
              <w:bottom w:val="single" w:color="auto" w:sz="4" w:space="0"/>
              <w:right w:val="single" w:color="auto" w:sz="4" w:space="0"/>
            </w:tcBorders>
            <w:shd w:val="clear" w:color="000000" w:fill="D9D9D9"/>
            <w:vAlign w:val="center"/>
            <w:hideMark/>
          </w:tcPr>
          <w:p w:rsidRPr="00B12187" w:rsidR="00B12187" w:rsidP="00B12187" w:rsidRDefault="00B12187" w14:paraId="48B832CA" w14:textId="77777777">
            <w:pPr>
              <w:widowControl/>
              <w:jc w:val="center"/>
              <w:rPr>
                <w:rFonts w:ascii="Source Sans Pro" w:hAnsi="Source Sans Pro" w:cs="Calibri"/>
                <w:b/>
                <w:bCs/>
                <w:snapToGrid/>
                <w:color w:val="000000"/>
                <w:sz w:val="20"/>
              </w:rPr>
            </w:pPr>
            <w:r w:rsidRPr="00B12187">
              <w:rPr>
                <w:rFonts w:ascii="Source Sans Pro" w:hAnsi="Source Sans Pro" w:cs="Calibri"/>
                <w:b/>
                <w:bCs/>
                <w:snapToGrid/>
                <w:color w:val="000000"/>
                <w:sz w:val="20"/>
              </w:rPr>
              <w:t>Information Collection Description</w:t>
            </w:r>
            <w:r w:rsidRPr="00B12187">
              <w:rPr>
                <w:rFonts w:ascii="Calibri" w:hAnsi="Calibri" w:cs="Calibri"/>
                <w:b/>
                <w:bCs/>
                <w:snapToGrid/>
                <w:color w:val="000000"/>
                <w:sz w:val="20"/>
              </w:rPr>
              <w:t> </w:t>
            </w:r>
            <w:r w:rsidRPr="00B12187">
              <w:rPr>
                <w:rFonts w:ascii="Calibri" w:hAnsi="Calibri" w:cs="Calibri"/>
                <w:snapToGrid/>
                <w:color w:val="000000"/>
                <w:sz w:val="20"/>
              </w:rPr>
              <w:t> </w:t>
            </w:r>
          </w:p>
        </w:tc>
        <w:tc>
          <w:tcPr>
            <w:tcW w:w="1500" w:type="dxa"/>
            <w:tcBorders>
              <w:top w:val="nil"/>
              <w:left w:val="nil"/>
              <w:bottom w:val="single" w:color="auto" w:sz="4" w:space="0"/>
              <w:right w:val="single" w:color="auto" w:sz="4" w:space="0"/>
            </w:tcBorders>
            <w:shd w:val="clear" w:color="000000" w:fill="D9D9D9"/>
            <w:vAlign w:val="center"/>
            <w:hideMark/>
          </w:tcPr>
          <w:p w:rsidRPr="00B12187" w:rsidR="00B12187" w:rsidP="00B12187" w:rsidRDefault="00B12187" w14:paraId="5D815BA7" w14:textId="77777777">
            <w:pPr>
              <w:widowControl/>
              <w:jc w:val="center"/>
              <w:rPr>
                <w:rFonts w:ascii="Source Sans Pro" w:hAnsi="Source Sans Pro" w:cs="Calibri"/>
                <w:snapToGrid/>
                <w:color w:val="000000"/>
                <w:sz w:val="20"/>
              </w:rPr>
            </w:pPr>
            <w:r w:rsidRPr="00B12187">
              <w:rPr>
                <w:rFonts w:ascii="Source Sans Pro" w:hAnsi="Source Sans Pro" w:cs="Calibri"/>
                <w:snapToGrid/>
                <w:color w:val="000000"/>
                <w:sz w:val="20"/>
              </w:rPr>
              <w:t>Type of Burden (Obligation to Respond) </w:t>
            </w:r>
          </w:p>
        </w:tc>
        <w:tc>
          <w:tcPr>
            <w:tcW w:w="960" w:type="dxa"/>
            <w:tcBorders>
              <w:top w:val="nil"/>
              <w:left w:val="nil"/>
              <w:bottom w:val="single" w:color="auto" w:sz="4" w:space="0"/>
              <w:right w:val="single" w:color="auto" w:sz="4" w:space="0"/>
            </w:tcBorders>
            <w:shd w:val="clear" w:color="000000" w:fill="D9D9D9"/>
            <w:vAlign w:val="center"/>
            <w:hideMark/>
          </w:tcPr>
          <w:p w:rsidRPr="00B12187" w:rsidR="00B12187" w:rsidP="00B12187" w:rsidRDefault="00B12187" w14:paraId="46A60191" w14:textId="77777777">
            <w:pPr>
              <w:widowControl/>
              <w:jc w:val="center"/>
              <w:rPr>
                <w:rFonts w:ascii="Source Sans Pro" w:hAnsi="Source Sans Pro" w:cs="Calibri"/>
                <w:snapToGrid/>
                <w:color w:val="000000"/>
                <w:sz w:val="20"/>
              </w:rPr>
            </w:pPr>
            <w:r w:rsidRPr="00B12187">
              <w:rPr>
                <w:rFonts w:ascii="Source Sans Pro" w:hAnsi="Source Sans Pro" w:cs="Calibri"/>
                <w:snapToGrid/>
                <w:color w:val="000000"/>
                <w:sz w:val="20"/>
              </w:rPr>
              <w:t>Frequency of Response </w:t>
            </w:r>
          </w:p>
        </w:tc>
        <w:tc>
          <w:tcPr>
            <w:tcW w:w="1180" w:type="dxa"/>
            <w:tcBorders>
              <w:top w:val="nil"/>
              <w:left w:val="nil"/>
              <w:bottom w:val="single" w:color="auto" w:sz="4" w:space="0"/>
              <w:right w:val="single" w:color="auto" w:sz="4" w:space="0"/>
            </w:tcBorders>
            <w:shd w:val="clear" w:color="000000" w:fill="D9D9D9"/>
            <w:vAlign w:val="center"/>
            <w:hideMark/>
          </w:tcPr>
          <w:p w:rsidRPr="00B12187" w:rsidR="00B12187" w:rsidP="00B12187" w:rsidRDefault="00B12187" w14:paraId="6996E0BB" w14:textId="77777777">
            <w:pPr>
              <w:widowControl/>
              <w:jc w:val="center"/>
              <w:rPr>
                <w:rFonts w:ascii="Source Sans Pro" w:hAnsi="Source Sans Pro" w:cs="Calibri"/>
                <w:snapToGrid/>
                <w:color w:val="000000"/>
                <w:sz w:val="20"/>
              </w:rPr>
            </w:pPr>
            <w:r w:rsidRPr="00B12187">
              <w:rPr>
                <w:rFonts w:ascii="Source Sans Pro" w:hAnsi="Source Sans Pro" w:cs="Calibri"/>
                <w:snapToGrid/>
                <w:color w:val="000000"/>
                <w:sz w:val="20"/>
              </w:rPr>
              <w:t>Number of Respondents </w:t>
            </w:r>
          </w:p>
        </w:tc>
        <w:tc>
          <w:tcPr>
            <w:tcW w:w="1380" w:type="dxa"/>
            <w:tcBorders>
              <w:top w:val="nil"/>
              <w:left w:val="nil"/>
              <w:bottom w:val="single" w:color="auto" w:sz="4" w:space="0"/>
              <w:right w:val="single" w:color="auto" w:sz="4" w:space="0"/>
            </w:tcBorders>
            <w:shd w:val="clear" w:color="000000" w:fill="D9D9D9"/>
            <w:vAlign w:val="center"/>
            <w:hideMark/>
          </w:tcPr>
          <w:p w:rsidRPr="00B12187" w:rsidR="00B12187" w:rsidP="00B12187" w:rsidRDefault="00B12187" w14:paraId="5C384398" w14:textId="77777777">
            <w:pPr>
              <w:widowControl/>
              <w:jc w:val="center"/>
              <w:rPr>
                <w:rFonts w:ascii="Source Sans Pro" w:hAnsi="Source Sans Pro" w:cs="Calibri"/>
                <w:snapToGrid/>
                <w:color w:val="000000"/>
                <w:sz w:val="20"/>
              </w:rPr>
            </w:pPr>
            <w:r w:rsidRPr="00B12187">
              <w:rPr>
                <w:rFonts w:ascii="Source Sans Pro" w:hAnsi="Source Sans Pro" w:cs="Calibri"/>
                <w:snapToGrid/>
                <w:color w:val="000000"/>
                <w:sz w:val="20"/>
              </w:rPr>
              <w:t>Number of Responses per Respondent </w:t>
            </w:r>
          </w:p>
        </w:tc>
        <w:tc>
          <w:tcPr>
            <w:tcW w:w="960" w:type="dxa"/>
            <w:tcBorders>
              <w:top w:val="nil"/>
              <w:left w:val="nil"/>
              <w:bottom w:val="single" w:color="auto" w:sz="4" w:space="0"/>
              <w:right w:val="single" w:color="auto" w:sz="4" w:space="0"/>
            </w:tcBorders>
            <w:shd w:val="clear" w:color="000000" w:fill="D9D9D9"/>
            <w:vAlign w:val="center"/>
            <w:hideMark/>
          </w:tcPr>
          <w:p w:rsidRPr="00B12187" w:rsidR="00B12187" w:rsidP="00B12187" w:rsidRDefault="00B12187" w14:paraId="7585FA01" w14:textId="77777777">
            <w:pPr>
              <w:widowControl/>
              <w:jc w:val="center"/>
              <w:rPr>
                <w:rFonts w:ascii="Source Sans Pro" w:hAnsi="Source Sans Pro" w:cs="Calibri"/>
                <w:snapToGrid/>
                <w:color w:val="000000"/>
                <w:sz w:val="20"/>
              </w:rPr>
            </w:pPr>
            <w:r w:rsidRPr="00B12187">
              <w:rPr>
                <w:rFonts w:ascii="Source Sans Pro" w:hAnsi="Source Sans Pro" w:cs="Calibri"/>
                <w:snapToGrid/>
                <w:color w:val="000000"/>
                <w:sz w:val="20"/>
              </w:rPr>
              <w:t>Hours per Response </w:t>
            </w:r>
          </w:p>
        </w:tc>
        <w:tc>
          <w:tcPr>
            <w:tcW w:w="1420" w:type="dxa"/>
            <w:tcBorders>
              <w:top w:val="nil"/>
              <w:left w:val="nil"/>
              <w:bottom w:val="single" w:color="auto" w:sz="4" w:space="0"/>
              <w:right w:val="single" w:color="auto" w:sz="4" w:space="0"/>
            </w:tcBorders>
            <w:shd w:val="clear" w:color="000000" w:fill="D9D9D9"/>
            <w:vAlign w:val="center"/>
            <w:hideMark/>
          </w:tcPr>
          <w:p w:rsidRPr="00B12187" w:rsidR="00B12187" w:rsidP="00B12187" w:rsidRDefault="00B12187" w14:paraId="2FD4E5C3" w14:textId="77777777">
            <w:pPr>
              <w:widowControl/>
              <w:jc w:val="center"/>
              <w:rPr>
                <w:rFonts w:ascii="Source Sans Pro" w:hAnsi="Source Sans Pro" w:cs="Calibri"/>
                <w:snapToGrid/>
                <w:color w:val="000000"/>
                <w:sz w:val="20"/>
              </w:rPr>
            </w:pPr>
            <w:r w:rsidRPr="00B12187">
              <w:rPr>
                <w:rFonts w:ascii="Source Sans Pro" w:hAnsi="Source Sans Pro" w:cs="Calibri"/>
                <w:snapToGrid/>
                <w:color w:val="000000"/>
                <w:sz w:val="20"/>
              </w:rPr>
              <w:t>Annual Burden (Hours) </w:t>
            </w:r>
          </w:p>
        </w:tc>
      </w:tr>
      <w:tr w:rsidRPr="00B12187" w:rsidR="00B12187" w:rsidTr="0034516E" w14:paraId="382B5026" w14:textId="77777777">
        <w:trPr>
          <w:trHeight w:val="552"/>
        </w:trPr>
        <w:tc>
          <w:tcPr>
            <w:tcW w:w="2420" w:type="dxa"/>
            <w:tcBorders>
              <w:top w:val="nil"/>
              <w:left w:val="single" w:color="auto" w:sz="4" w:space="0"/>
              <w:bottom w:val="single" w:color="auto" w:sz="4" w:space="0"/>
              <w:right w:val="single" w:color="auto" w:sz="4" w:space="0"/>
            </w:tcBorders>
            <w:shd w:val="clear" w:color="auto" w:fill="auto"/>
            <w:vAlign w:val="center"/>
            <w:hideMark/>
          </w:tcPr>
          <w:p w:rsidRPr="00B12187" w:rsidR="00B12187" w:rsidP="00B12187" w:rsidRDefault="00B12187" w14:paraId="49B3F12A" w14:textId="77777777">
            <w:pPr>
              <w:widowControl/>
              <w:rPr>
                <w:rFonts w:ascii="Source Sans Pro" w:hAnsi="Source Sans Pro" w:cs="Calibri"/>
                <w:snapToGrid/>
                <w:color w:val="000000"/>
                <w:sz w:val="20"/>
              </w:rPr>
            </w:pPr>
            <w:r w:rsidRPr="00B12187">
              <w:rPr>
                <w:rFonts w:ascii="Source Sans Pro" w:hAnsi="Source Sans Pro" w:cs="Calibri"/>
                <w:snapToGrid/>
                <w:color w:val="000000"/>
                <w:sz w:val="20"/>
              </w:rPr>
              <w:t>Notice of Branch Closure</w:t>
            </w:r>
          </w:p>
        </w:tc>
        <w:tc>
          <w:tcPr>
            <w:tcW w:w="1500" w:type="dxa"/>
            <w:tcBorders>
              <w:top w:val="nil"/>
              <w:left w:val="nil"/>
              <w:bottom w:val="single" w:color="auto" w:sz="4" w:space="0"/>
              <w:right w:val="single" w:color="auto" w:sz="4" w:space="0"/>
            </w:tcBorders>
            <w:shd w:val="clear" w:color="auto" w:fill="auto"/>
            <w:vAlign w:val="center"/>
            <w:hideMark/>
          </w:tcPr>
          <w:p w:rsidRPr="00B12187" w:rsidR="00B12187" w:rsidP="00B12187" w:rsidRDefault="00B12187" w14:paraId="1737BB8A" w14:textId="77777777">
            <w:pPr>
              <w:widowControl/>
              <w:jc w:val="center"/>
              <w:rPr>
                <w:rFonts w:ascii="Source Sans Pro" w:hAnsi="Source Sans Pro" w:cs="Calibri"/>
                <w:snapToGrid/>
                <w:color w:val="000000"/>
                <w:sz w:val="20"/>
              </w:rPr>
            </w:pPr>
            <w:r w:rsidRPr="00B12187">
              <w:rPr>
                <w:rFonts w:ascii="Source Sans Pro" w:hAnsi="Source Sans Pro" w:cs="Calibri"/>
                <w:snapToGrid/>
                <w:color w:val="000000"/>
                <w:sz w:val="20"/>
              </w:rPr>
              <w:t>Reporting (Mandatory)</w:t>
            </w:r>
          </w:p>
        </w:tc>
        <w:tc>
          <w:tcPr>
            <w:tcW w:w="960" w:type="dxa"/>
            <w:tcBorders>
              <w:top w:val="nil"/>
              <w:left w:val="nil"/>
              <w:bottom w:val="single" w:color="auto" w:sz="4" w:space="0"/>
              <w:right w:val="single" w:color="auto" w:sz="4" w:space="0"/>
            </w:tcBorders>
            <w:shd w:val="clear" w:color="auto" w:fill="auto"/>
            <w:vAlign w:val="center"/>
            <w:hideMark/>
          </w:tcPr>
          <w:p w:rsidRPr="00B12187" w:rsidR="00B12187" w:rsidP="00B12187" w:rsidRDefault="00B12187" w14:paraId="50226A75" w14:textId="77777777">
            <w:pPr>
              <w:widowControl/>
              <w:jc w:val="center"/>
              <w:rPr>
                <w:rFonts w:ascii="Source Sans Pro" w:hAnsi="Source Sans Pro" w:cs="Calibri"/>
                <w:snapToGrid/>
                <w:color w:val="000000"/>
                <w:sz w:val="20"/>
              </w:rPr>
            </w:pPr>
            <w:r w:rsidRPr="00B12187">
              <w:rPr>
                <w:rFonts w:ascii="Source Sans Pro" w:hAnsi="Source Sans Pro" w:cs="Calibri"/>
                <w:snapToGrid/>
                <w:color w:val="000000"/>
                <w:sz w:val="20"/>
              </w:rPr>
              <w:t>On occasion </w:t>
            </w:r>
          </w:p>
        </w:tc>
        <w:tc>
          <w:tcPr>
            <w:tcW w:w="1180" w:type="dxa"/>
            <w:tcBorders>
              <w:top w:val="nil"/>
              <w:left w:val="nil"/>
              <w:bottom w:val="single" w:color="auto" w:sz="4" w:space="0"/>
              <w:right w:val="single" w:color="auto" w:sz="4" w:space="0"/>
            </w:tcBorders>
            <w:shd w:val="clear" w:color="auto" w:fill="auto"/>
            <w:vAlign w:val="center"/>
            <w:hideMark/>
          </w:tcPr>
          <w:p w:rsidRPr="00B12187" w:rsidR="00B12187" w:rsidP="00B12187" w:rsidRDefault="00B12187" w14:paraId="535AF5BA" w14:textId="77777777">
            <w:pPr>
              <w:widowControl/>
              <w:jc w:val="center"/>
              <w:rPr>
                <w:rFonts w:ascii="Source Sans Pro" w:hAnsi="Source Sans Pro" w:cs="Calibri"/>
                <w:snapToGrid/>
                <w:color w:val="000000"/>
                <w:sz w:val="20"/>
              </w:rPr>
            </w:pPr>
            <w:r w:rsidRPr="00B12187">
              <w:rPr>
                <w:rFonts w:ascii="Source Sans Pro" w:hAnsi="Source Sans Pro" w:cs="Calibri"/>
                <w:snapToGrid/>
                <w:color w:val="000000"/>
                <w:sz w:val="20"/>
              </w:rPr>
              <w:t>178</w:t>
            </w:r>
          </w:p>
        </w:tc>
        <w:tc>
          <w:tcPr>
            <w:tcW w:w="1380" w:type="dxa"/>
            <w:tcBorders>
              <w:top w:val="nil"/>
              <w:left w:val="nil"/>
              <w:bottom w:val="single" w:color="auto" w:sz="4" w:space="0"/>
              <w:right w:val="single" w:color="auto" w:sz="4" w:space="0"/>
            </w:tcBorders>
            <w:shd w:val="clear" w:color="auto" w:fill="auto"/>
            <w:vAlign w:val="center"/>
            <w:hideMark/>
          </w:tcPr>
          <w:p w:rsidRPr="00B12187" w:rsidR="00B12187" w:rsidP="00B12187" w:rsidRDefault="00B12187" w14:paraId="6391B7A3" w14:textId="77777777">
            <w:pPr>
              <w:widowControl/>
              <w:jc w:val="center"/>
              <w:rPr>
                <w:rFonts w:ascii="Source Sans Pro" w:hAnsi="Source Sans Pro" w:cs="Calibri"/>
                <w:snapToGrid/>
                <w:color w:val="000000"/>
                <w:sz w:val="20"/>
              </w:rPr>
            </w:pPr>
            <w:r w:rsidRPr="00B12187">
              <w:rPr>
                <w:rFonts w:ascii="Source Sans Pro" w:hAnsi="Source Sans Pro" w:cs="Calibri"/>
                <w:snapToGrid/>
                <w:color w:val="000000"/>
                <w:sz w:val="20"/>
              </w:rPr>
              <w:t>4.388</w:t>
            </w:r>
          </w:p>
        </w:tc>
        <w:tc>
          <w:tcPr>
            <w:tcW w:w="960" w:type="dxa"/>
            <w:tcBorders>
              <w:top w:val="nil"/>
              <w:left w:val="nil"/>
              <w:bottom w:val="single" w:color="auto" w:sz="4" w:space="0"/>
              <w:right w:val="single" w:color="auto" w:sz="4" w:space="0"/>
            </w:tcBorders>
            <w:shd w:val="clear" w:color="auto" w:fill="auto"/>
            <w:vAlign w:val="center"/>
            <w:hideMark/>
          </w:tcPr>
          <w:p w:rsidRPr="00B12187" w:rsidR="00B12187" w:rsidP="00B12187" w:rsidRDefault="00B12187" w14:paraId="683EC499" w14:textId="77777777">
            <w:pPr>
              <w:widowControl/>
              <w:jc w:val="center"/>
              <w:rPr>
                <w:rFonts w:ascii="Source Sans Pro" w:hAnsi="Source Sans Pro" w:cs="Calibri"/>
                <w:snapToGrid/>
                <w:color w:val="000000"/>
                <w:sz w:val="20"/>
              </w:rPr>
            </w:pPr>
            <w:r w:rsidRPr="00B12187">
              <w:rPr>
                <w:rFonts w:ascii="Source Sans Pro" w:hAnsi="Source Sans Pro" w:cs="Calibri"/>
                <w:snapToGrid/>
                <w:color w:val="000000"/>
                <w:sz w:val="20"/>
              </w:rPr>
              <w:t>2</w:t>
            </w:r>
          </w:p>
        </w:tc>
        <w:tc>
          <w:tcPr>
            <w:tcW w:w="1420" w:type="dxa"/>
            <w:tcBorders>
              <w:top w:val="nil"/>
              <w:left w:val="nil"/>
              <w:bottom w:val="single" w:color="auto" w:sz="4" w:space="0"/>
              <w:right w:val="single" w:color="auto" w:sz="4" w:space="0"/>
            </w:tcBorders>
            <w:shd w:val="clear" w:color="auto" w:fill="auto"/>
            <w:vAlign w:val="center"/>
            <w:hideMark/>
          </w:tcPr>
          <w:p w:rsidRPr="00B12187" w:rsidR="00B12187" w:rsidP="00B12187" w:rsidRDefault="00B12187" w14:paraId="4B09205C" w14:textId="77777777">
            <w:pPr>
              <w:widowControl/>
              <w:jc w:val="center"/>
              <w:rPr>
                <w:rFonts w:ascii="Source Sans Pro" w:hAnsi="Source Sans Pro" w:cs="Calibri"/>
                <w:snapToGrid/>
                <w:color w:val="000000"/>
                <w:sz w:val="20"/>
              </w:rPr>
            </w:pPr>
            <w:r w:rsidRPr="00B12187">
              <w:rPr>
                <w:rFonts w:ascii="Source Sans Pro" w:hAnsi="Source Sans Pro" w:cs="Calibri"/>
                <w:snapToGrid/>
                <w:color w:val="000000"/>
                <w:sz w:val="20"/>
              </w:rPr>
              <w:t>1,562</w:t>
            </w:r>
          </w:p>
        </w:tc>
      </w:tr>
      <w:tr w:rsidRPr="00B12187" w:rsidR="00B12187" w:rsidTr="0034516E" w14:paraId="6EBFF8EE" w14:textId="77777777">
        <w:trPr>
          <w:trHeight w:val="552"/>
        </w:trPr>
        <w:tc>
          <w:tcPr>
            <w:tcW w:w="2420" w:type="dxa"/>
            <w:tcBorders>
              <w:top w:val="nil"/>
              <w:left w:val="single" w:color="auto" w:sz="4" w:space="0"/>
              <w:bottom w:val="single" w:color="auto" w:sz="4" w:space="0"/>
              <w:right w:val="single" w:color="auto" w:sz="4" w:space="0"/>
            </w:tcBorders>
            <w:shd w:val="clear" w:color="auto" w:fill="auto"/>
            <w:vAlign w:val="center"/>
            <w:hideMark/>
          </w:tcPr>
          <w:p w:rsidRPr="00B12187" w:rsidR="00B12187" w:rsidP="00B12187" w:rsidRDefault="00B12187" w14:paraId="70AE9CC4" w14:textId="77777777">
            <w:pPr>
              <w:widowControl/>
              <w:rPr>
                <w:rFonts w:ascii="Source Sans Pro" w:hAnsi="Source Sans Pro" w:cs="Calibri"/>
                <w:snapToGrid/>
                <w:sz w:val="20"/>
              </w:rPr>
            </w:pPr>
            <w:r w:rsidRPr="00B12187">
              <w:rPr>
                <w:rFonts w:ascii="Source Sans Pro" w:hAnsi="Source Sans Pro" w:cs="Calibri"/>
                <w:snapToGrid/>
                <w:sz w:val="20"/>
              </w:rPr>
              <w:t>Adoption of Branch Closure Policy</w:t>
            </w:r>
          </w:p>
        </w:tc>
        <w:tc>
          <w:tcPr>
            <w:tcW w:w="1500" w:type="dxa"/>
            <w:tcBorders>
              <w:top w:val="nil"/>
              <w:left w:val="nil"/>
              <w:bottom w:val="single" w:color="auto" w:sz="4" w:space="0"/>
              <w:right w:val="single" w:color="auto" w:sz="4" w:space="0"/>
            </w:tcBorders>
            <w:shd w:val="clear" w:color="auto" w:fill="auto"/>
            <w:vAlign w:val="center"/>
            <w:hideMark/>
          </w:tcPr>
          <w:p w:rsidRPr="00B12187" w:rsidR="00B12187" w:rsidP="00B12187" w:rsidRDefault="00B12187" w14:paraId="75C0F8AC" w14:textId="77777777">
            <w:pPr>
              <w:widowControl/>
              <w:jc w:val="center"/>
              <w:rPr>
                <w:rFonts w:ascii="Source Sans Pro" w:hAnsi="Source Sans Pro" w:cs="Calibri"/>
                <w:snapToGrid/>
                <w:color w:val="000000"/>
                <w:sz w:val="20"/>
              </w:rPr>
            </w:pPr>
            <w:r w:rsidRPr="00B12187">
              <w:rPr>
                <w:rFonts w:ascii="Source Sans Pro" w:hAnsi="Source Sans Pro" w:cs="Calibri"/>
                <w:snapToGrid/>
                <w:color w:val="000000"/>
                <w:sz w:val="20"/>
              </w:rPr>
              <w:t>Recordkeeping (Mandatory)</w:t>
            </w:r>
          </w:p>
        </w:tc>
        <w:tc>
          <w:tcPr>
            <w:tcW w:w="960" w:type="dxa"/>
            <w:tcBorders>
              <w:top w:val="nil"/>
              <w:left w:val="nil"/>
              <w:bottom w:val="single" w:color="auto" w:sz="4" w:space="0"/>
              <w:right w:val="single" w:color="auto" w:sz="4" w:space="0"/>
            </w:tcBorders>
            <w:shd w:val="clear" w:color="auto" w:fill="auto"/>
            <w:vAlign w:val="center"/>
            <w:hideMark/>
          </w:tcPr>
          <w:p w:rsidRPr="00B12187" w:rsidR="00B12187" w:rsidP="00B12187" w:rsidRDefault="00B12187" w14:paraId="0710C6DD" w14:textId="77777777">
            <w:pPr>
              <w:widowControl/>
              <w:jc w:val="center"/>
              <w:rPr>
                <w:rFonts w:ascii="Source Sans Pro" w:hAnsi="Source Sans Pro" w:cs="Calibri"/>
                <w:snapToGrid/>
                <w:color w:val="000000"/>
                <w:sz w:val="20"/>
              </w:rPr>
            </w:pPr>
            <w:r w:rsidRPr="00B12187">
              <w:rPr>
                <w:rFonts w:ascii="Source Sans Pro" w:hAnsi="Source Sans Pro" w:cs="Calibri"/>
                <w:snapToGrid/>
                <w:color w:val="000000"/>
                <w:sz w:val="20"/>
              </w:rPr>
              <w:t>On occasion </w:t>
            </w:r>
          </w:p>
        </w:tc>
        <w:tc>
          <w:tcPr>
            <w:tcW w:w="1180" w:type="dxa"/>
            <w:tcBorders>
              <w:top w:val="nil"/>
              <w:left w:val="nil"/>
              <w:bottom w:val="single" w:color="auto" w:sz="4" w:space="0"/>
              <w:right w:val="single" w:color="auto" w:sz="4" w:space="0"/>
            </w:tcBorders>
            <w:shd w:val="clear" w:color="auto" w:fill="auto"/>
            <w:vAlign w:val="center"/>
            <w:hideMark/>
          </w:tcPr>
          <w:p w:rsidRPr="00B12187" w:rsidR="00B12187" w:rsidP="00B12187" w:rsidRDefault="00B12187" w14:paraId="29A9C0D0" w14:textId="77777777">
            <w:pPr>
              <w:widowControl/>
              <w:jc w:val="center"/>
              <w:rPr>
                <w:rFonts w:ascii="Source Sans Pro" w:hAnsi="Source Sans Pro" w:cs="Calibri"/>
                <w:snapToGrid/>
                <w:color w:val="000000"/>
                <w:sz w:val="20"/>
              </w:rPr>
            </w:pPr>
            <w:r w:rsidRPr="00B12187">
              <w:rPr>
                <w:rFonts w:ascii="Source Sans Pro" w:hAnsi="Source Sans Pro" w:cs="Calibri"/>
                <w:snapToGrid/>
                <w:color w:val="000000"/>
                <w:sz w:val="20"/>
              </w:rPr>
              <w:t>22</w:t>
            </w:r>
          </w:p>
        </w:tc>
        <w:tc>
          <w:tcPr>
            <w:tcW w:w="1380" w:type="dxa"/>
            <w:tcBorders>
              <w:top w:val="nil"/>
              <w:left w:val="nil"/>
              <w:bottom w:val="single" w:color="auto" w:sz="4" w:space="0"/>
              <w:right w:val="single" w:color="auto" w:sz="4" w:space="0"/>
            </w:tcBorders>
            <w:shd w:val="clear" w:color="auto" w:fill="auto"/>
            <w:vAlign w:val="center"/>
            <w:hideMark/>
          </w:tcPr>
          <w:p w:rsidRPr="00B12187" w:rsidR="00B12187" w:rsidP="00B12187" w:rsidRDefault="00B12187" w14:paraId="7056ABB3" w14:textId="77777777">
            <w:pPr>
              <w:widowControl/>
              <w:jc w:val="center"/>
              <w:rPr>
                <w:rFonts w:ascii="Source Sans Pro" w:hAnsi="Source Sans Pro" w:cs="Calibri"/>
                <w:snapToGrid/>
                <w:color w:val="000000"/>
                <w:sz w:val="20"/>
              </w:rPr>
            </w:pPr>
            <w:r w:rsidRPr="00B12187">
              <w:rPr>
                <w:rFonts w:ascii="Source Sans Pro" w:hAnsi="Source Sans Pro" w:cs="Calibri"/>
                <w:snapToGrid/>
                <w:color w:val="000000"/>
                <w:sz w:val="20"/>
              </w:rPr>
              <w:t>1.000</w:t>
            </w:r>
          </w:p>
        </w:tc>
        <w:tc>
          <w:tcPr>
            <w:tcW w:w="960" w:type="dxa"/>
            <w:tcBorders>
              <w:top w:val="nil"/>
              <w:left w:val="nil"/>
              <w:bottom w:val="single" w:color="auto" w:sz="4" w:space="0"/>
              <w:right w:val="single" w:color="auto" w:sz="4" w:space="0"/>
            </w:tcBorders>
            <w:shd w:val="clear" w:color="auto" w:fill="auto"/>
            <w:vAlign w:val="center"/>
            <w:hideMark/>
          </w:tcPr>
          <w:p w:rsidRPr="00B12187" w:rsidR="00B12187" w:rsidP="00B12187" w:rsidRDefault="00B12187" w14:paraId="4805DE73" w14:textId="77777777">
            <w:pPr>
              <w:widowControl/>
              <w:jc w:val="center"/>
              <w:rPr>
                <w:rFonts w:ascii="Source Sans Pro" w:hAnsi="Source Sans Pro" w:cs="Calibri"/>
                <w:snapToGrid/>
                <w:color w:val="000000"/>
                <w:sz w:val="20"/>
              </w:rPr>
            </w:pPr>
            <w:r w:rsidRPr="00B12187">
              <w:rPr>
                <w:rFonts w:ascii="Source Sans Pro" w:hAnsi="Source Sans Pro" w:cs="Calibri"/>
                <w:snapToGrid/>
                <w:color w:val="000000"/>
                <w:sz w:val="20"/>
              </w:rPr>
              <w:t>8</w:t>
            </w:r>
          </w:p>
        </w:tc>
        <w:tc>
          <w:tcPr>
            <w:tcW w:w="1420" w:type="dxa"/>
            <w:tcBorders>
              <w:top w:val="nil"/>
              <w:left w:val="nil"/>
              <w:bottom w:val="single" w:color="auto" w:sz="4" w:space="0"/>
              <w:right w:val="single" w:color="auto" w:sz="4" w:space="0"/>
            </w:tcBorders>
            <w:shd w:val="clear" w:color="auto" w:fill="auto"/>
            <w:vAlign w:val="center"/>
            <w:hideMark/>
          </w:tcPr>
          <w:p w:rsidRPr="00B12187" w:rsidR="00B12187" w:rsidP="00B12187" w:rsidRDefault="00B12187" w14:paraId="2433B553" w14:textId="77777777">
            <w:pPr>
              <w:widowControl/>
              <w:jc w:val="center"/>
              <w:rPr>
                <w:rFonts w:ascii="Source Sans Pro" w:hAnsi="Source Sans Pro" w:cs="Calibri"/>
                <w:snapToGrid/>
                <w:color w:val="000000"/>
                <w:sz w:val="20"/>
              </w:rPr>
            </w:pPr>
            <w:r w:rsidRPr="00B12187">
              <w:rPr>
                <w:rFonts w:ascii="Source Sans Pro" w:hAnsi="Source Sans Pro" w:cs="Calibri"/>
                <w:snapToGrid/>
                <w:color w:val="000000"/>
                <w:sz w:val="20"/>
              </w:rPr>
              <w:t>176</w:t>
            </w:r>
          </w:p>
        </w:tc>
      </w:tr>
      <w:tr w:rsidRPr="00B12187" w:rsidR="00B12187" w:rsidTr="0034516E" w14:paraId="65094190" w14:textId="77777777">
        <w:trPr>
          <w:trHeight w:val="288"/>
        </w:trPr>
        <w:tc>
          <w:tcPr>
            <w:tcW w:w="8400"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B12187" w:rsidR="00B12187" w:rsidP="00B12187" w:rsidRDefault="00B12187" w14:paraId="55BDC31D" w14:textId="77777777">
            <w:pPr>
              <w:widowControl/>
              <w:jc w:val="right"/>
              <w:rPr>
                <w:rFonts w:ascii="Source Sans Pro" w:hAnsi="Source Sans Pro" w:cs="Calibri"/>
                <w:snapToGrid/>
                <w:color w:val="000000"/>
                <w:sz w:val="20"/>
              </w:rPr>
            </w:pPr>
            <w:r w:rsidRPr="00B12187">
              <w:rPr>
                <w:rFonts w:ascii="Source Sans Pro" w:hAnsi="Source Sans Pro" w:cs="Calibri"/>
                <w:snapToGrid/>
                <w:color w:val="000000"/>
                <w:sz w:val="20"/>
              </w:rPr>
              <w:t>Total Annual Burden (Hours): </w:t>
            </w:r>
          </w:p>
        </w:tc>
        <w:tc>
          <w:tcPr>
            <w:tcW w:w="1420" w:type="dxa"/>
            <w:tcBorders>
              <w:top w:val="nil"/>
              <w:left w:val="nil"/>
              <w:bottom w:val="single" w:color="auto" w:sz="4" w:space="0"/>
              <w:right w:val="single" w:color="auto" w:sz="4" w:space="0"/>
            </w:tcBorders>
            <w:shd w:val="clear" w:color="auto" w:fill="auto"/>
            <w:vAlign w:val="center"/>
            <w:hideMark/>
          </w:tcPr>
          <w:p w:rsidRPr="00B12187" w:rsidR="00B12187" w:rsidP="00B12187" w:rsidRDefault="00B12187" w14:paraId="6BF304BA" w14:textId="77777777">
            <w:pPr>
              <w:widowControl/>
              <w:jc w:val="center"/>
              <w:rPr>
                <w:rFonts w:ascii="Source Sans Pro" w:hAnsi="Source Sans Pro" w:cs="Calibri"/>
                <w:snapToGrid/>
                <w:color w:val="000000"/>
                <w:sz w:val="20"/>
              </w:rPr>
            </w:pPr>
            <w:r w:rsidRPr="00B12187">
              <w:rPr>
                <w:rFonts w:ascii="Source Sans Pro" w:hAnsi="Source Sans Pro" w:cs="Calibri"/>
                <w:snapToGrid/>
                <w:color w:val="000000"/>
                <w:sz w:val="20"/>
              </w:rPr>
              <w:t>1,738</w:t>
            </w:r>
          </w:p>
        </w:tc>
      </w:tr>
      <w:tr w:rsidRPr="00B12187" w:rsidR="00B12187" w:rsidTr="0034516E" w14:paraId="3EE3FDE7" w14:textId="77777777">
        <w:trPr>
          <w:trHeight w:val="288"/>
        </w:trPr>
        <w:tc>
          <w:tcPr>
            <w:tcW w:w="9820" w:type="dxa"/>
            <w:gridSpan w:val="7"/>
            <w:tcBorders>
              <w:top w:val="single" w:color="auto" w:sz="4" w:space="0"/>
              <w:left w:val="single" w:color="auto" w:sz="4" w:space="0"/>
              <w:bottom w:val="single" w:color="auto" w:sz="4" w:space="0"/>
              <w:right w:val="single" w:color="auto" w:sz="4" w:space="0"/>
            </w:tcBorders>
            <w:shd w:val="clear" w:color="auto" w:fill="auto"/>
            <w:vAlign w:val="center"/>
            <w:hideMark/>
          </w:tcPr>
          <w:p w:rsidRPr="00B12187" w:rsidR="00B12187" w:rsidP="00B12187" w:rsidRDefault="00B12187" w14:paraId="2F252407" w14:textId="77777777">
            <w:pPr>
              <w:widowControl/>
              <w:rPr>
                <w:rFonts w:ascii="Source Sans Pro" w:hAnsi="Source Sans Pro" w:cs="Calibri"/>
                <w:snapToGrid/>
                <w:color w:val="000000"/>
                <w:sz w:val="20"/>
              </w:rPr>
            </w:pPr>
            <w:r w:rsidRPr="00B12187">
              <w:rPr>
                <w:rFonts w:ascii="Source Sans Pro" w:hAnsi="Source Sans Pro" w:cs="Calibri"/>
                <w:snapToGrid/>
                <w:color w:val="000000"/>
                <w:sz w:val="20"/>
              </w:rPr>
              <w:t>Source: FDIC. </w:t>
            </w:r>
          </w:p>
        </w:tc>
      </w:tr>
    </w:tbl>
    <w:p w:rsidR="00B12187" w:rsidRDefault="00B12187" w14:paraId="4B906D32" w14:textId="77777777">
      <w:pPr>
        <w:pStyle w:val="EndnoteText"/>
        <w:tabs>
          <w:tab w:val="left" w:pos="2280"/>
          <w:tab w:val="left" w:pos="3720"/>
          <w:tab w:val="left" w:pos="5160"/>
          <w:tab w:val="left" w:pos="6600"/>
          <w:tab w:val="left" w:pos="8040"/>
        </w:tabs>
        <w:suppressAutoHyphens/>
        <w:rPr>
          <w:rFonts w:ascii="Times New Roman" w:hAnsi="Times New Roman"/>
          <w:highlight w:val="yellow"/>
        </w:rPr>
      </w:pPr>
    </w:p>
    <w:p w:rsidRPr="00C90302" w:rsidR="00C90302" w:rsidP="00C90302" w:rsidRDefault="00C90302" w14:paraId="7EB9EEAD" w14:textId="77777777">
      <w:pPr>
        <w:tabs>
          <w:tab w:val="left" w:pos="-1440"/>
        </w:tabs>
        <w:spacing w:line="360" w:lineRule="auto"/>
        <w:ind w:left="1440"/>
        <w:contextualSpacing/>
        <w:rPr>
          <w:rFonts w:ascii="Times New Roman" w:hAnsi="Times New Roman"/>
        </w:rPr>
      </w:pPr>
      <w:r w:rsidRPr="00C90302">
        <w:rPr>
          <w:rFonts w:ascii="Times New Roman" w:hAnsi="Times New Roman"/>
        </w:rPr>
        <w:t xml:space="preserve">Total estimated annual burden:  </w:t>
      </w:r>
      <w:r>
        <w:rPr>
          <w:rFonts w:ascii="Times New Roman" w:hAnsi="Times New Roman"/>
        </w:rPr>
        <w:t>1,738</w:t>
      </w:r>
      <w:r w:rsidRPr="00C90302">
        <w:rPr>
          <w:rFonts w:ascii="Times New Roman" w:hAnsi="Times New Roman"/>
        </w:rPr>
        <w:t xml:space="preserve"> hours</w:t>
      </w:r>
    </w:p>
    <w:p w:rsidRPr="00C90302" w:rsidR="00C90302" w:rsidP="00C90302" w:rsidRDefault="00C90302" w14:paraId="3E06690B" w14:textId="77777777">
      <w:pPr>
        <w:tabs>
          <w:tab w:val="left" w:pos="-1440"/>
        </w:tabs>
        <w:spacing w:line="360" w:lineRule="auto"/>
        <w:ind w:left="1440"/>
        <w:contextualSpacing/>
        <w:rPr>
          <w:rFonts w:ascii="Times New Roman" w:hAnsi="Times New Roman"/>
        </w:rPr>
      </w:pPr>
      <w:r w:rsidRPr="00C90302">
        <w:rPr>
          <w:rFonts w:ascii="Times New Roman" w:hAnsi="Times New Roman"/>
        </w:rPr>
        <w:t xml:space="preserve">The total estimated annual cost for </w:t>
      </w:r>
      <w:r>
        <w:rPr>
          <w:rFonts w:ascii="Times New Roman" w:hAnsi="Times New Roman"/>
        </w:rPr>
        <w:t>Notice of Branch Closure</w:t>
      </w:r>
      <w:r w:rsidRPr="00C90302">
        <w:rPr>
          <w:rFonts w:ascii="Times New Roman" w:hAnsi="Times New Roman"/>
        </w:rPr>
        <w:t xml:space="preserve"> is:</w:t>
      </w:r>
    </w:p>
    <w:p w:rsidRPr="00C90302" w:rsidR="00C90302" w:rsidP="00C90302" w:rsidRDefault="00C90302" w14:paraId="16F8B120" w14:textId="77777777">
      <w:pPr>
        <w:tabs>
          <w:tab w:val="left" w:pos="-1440"/>
        </w:tabs>
        <w:spacing w:line="360" w:lineRule="auto"/>
        <w:ind w:left="1440"/>
        <w:contextualSpacing/>
        <w:rPr>
          <w:rFonts w:ascii="Times New Roman" w:hAnsi="Times New Roman"/>
        </w:rPr>
      </w:pPr>
      <w:r w:rsidRPr="00C90302">
        <w:rPr>
          <w:rFonts w:ascii="Times New Roman" w:hAnsi="Times New Roman"/>
        </w:rPr>
        <w:t>1,</w:t>
      </w:r>
      <w:r>
        <w:rPr>
          <w:rFonts w:ascii="Times New Roman" w:hAnsi="Times New Roman"/>
        </w:rPr>
        <w:t>562</w:t>
      </w:r>
      <w:r w:rsidRPr="00C90302">
        <w:rPr>
          <w:rFonts w:ascii="Times New Roman" w:hAnsi="Times New Roman"/>
        </w:rPr>
        <w:t xml:space="preserve"> hours x $</w:t>
      </w:r>
      <w:r>
        <w:rPr>
          <w:rFonts w:ascii="Times New Roman" w:hAnsi="Times New Roman"/>
        </w:rPr>
        <w:t>49.21</w:t>
      </w:r>
      <w:r w:rsidRPr="00C90302">
        <w:rPr>
          <w:rFonts w:ascii="Times New Roman" w:hAnsi="Times New Roman"/>
        </w:rPr>
        <w:t xml:space="preserve"> = $</w:t>
      </w:r>
      <w:r>
        <w:rPr>
          <w:rFonts w:ascii="Times New Roman" w:hAnsi="Times New Roman"/>
        </w:rPr>
        <w:t>76,866.02</w:t>
      </w:r>
    </w:p>
    <w:p w:rsidRPr="00C90302" w:rsidR="00C90302" w:rsidP="00C90302" w:rsidRDefault="00C90302" w14:paraId="5DAFE234" w14:textId="77777777">
      <w:pPr>
        <w:tabs>
          <w:tab w:val="left" w:pos="-1440"/>
        </w:tabs>
        <w:spacing w:line="360" w:lineRule="auto"/>
        <w:ind w:left="1440"/>
        <w:contextualSpacing/>
        <w:rPr>
          <w:rFonts w:ascii="Times New Roman" w:hAnsi="Times New Roman"/>
        </w:rPr>
      </w:pPr>
      <w:r w:rsidRPr="00C90302">
        <w:rPr>
          <w:rFonts w:ascii="Times New Roman" w:hAnsi="Times New Roman"/>
        </w:rPr>
        <w:t xml:space="preserve">The total estimated annual cost for </w:t>
      </w:r>
      <w:r>
        <w:rPr>
          <w:rFonts w:ascii="Times New Roman" w:hAnsi="Times New Roman"/>
        </w:rPr>
        <w:t>Adoption of Branch Closure Police</w:t>
      </w:r>
      <w:r w:rsidRPr="00C90302">
        <w:rPr>
          <w:rFonts w:ascii="Times New Roman" w:hAnsi="Times New Roman"/>
        </w:rPr>
        <w:t xml:space="preserve"> is:</w:t>
      </w:r>
    </w:p>
    <w:p w:rsidRPr="00C90302" w:rsidR="00C90302" w:rsidP="00C90302" w:rsidRDefault="00C90302" w14:paraId="3F85CCF7" w14:textId="77777777">
      <w:pPr>
        <w:tabs>
          <w:tab w:val="left" w:pos="-1440"/>
        </w:tabs>
        <w:spacing w:line="360" w:lineRule="auto"/>
        <w:ind w:left="1440"/>
        <w:contextualSpacing/>
        <w:rPr>
          <w:rFonts w:ascii="Times New Roman" w:hAnsi="Times New Roman"/>
        </w:rPr>
      </w:pPr>
      <w:r>
        <w:rPr>
          <w:rFonts w:ascii="Times New Roman" w:hAnsi="Times New Roman"/>
        </w:rPr>
        <w:t>176</w:t>
      </w:r>
      <w:r w:rsidRPr="00C90302">
        <w:rPr>
          <w:rFonts w:ascii="Times New Roman" w:hAnsi="Times New Roman"/>
        </w:rPr>
        <w:t xml:space="preserve"> hours x $</w:t>
      </w:r>
      <w:r>
        <w:rPr>
          <w:rFonts w:ascii="Times New Roman" w:hAnsi="Times New Roman"/>
        </w:rPr>
        <w:t>78.54</w:t>
      </w:r>
      <w:r w:rsidRPr="00C90302">
        <w:rPr>
          <w:rFonts w:ascii="Times New Roman" w:hAnsi="Times New Roman"/>
        </w:rPr>
        <w:t xml:space="preserve"> = $</w:t>
      </w:r>
      <w:r>
        <w:rPr>
          <w:rFonts w:ascii="Times New Roman" w:hAnsi="Times New Roman"/>
        </w:rPr>
        <w:t>13,823.04</w:t>
      </w:r>
    </w:p>
    <w:p w:rsidRPr="00C90302" w:rsidR="00C90302" w:rsidP="00C90302" w:rsidRDefault="00C90302" w14:paraId="0B150509" w14:textId="77777777">
      <w:pPr>
        <w:tabs>
          <w:tab w:val="left" w:pos="-1440"/>
        </w:tabs>
        <w:spacing w:line="360" w:lineRule="auto"/>
        <w:ind w:left="1440"/>
        <w:contextualSpacing/>
        <w:rPr>
          <w:rFonts w:ascii="Times New Roman" w:hAnsi="Times New Roman"/>
          <w:b/>
        </w:rPr>
      </w:pPr>
      <w:r w:rsidRPr="00C90302">
        <w:rPr>
          <w:rFonts w:ascii="Times New Roman" w:hAnsi="Times New Roman"/>
          <w:b/>
        </w:rPr>
        <w:t>The combined total burden cost is:</w:t>
      </w:r>
    </w:p>
    <w:p w:rsidRPr="00C90302" w:rsidR="00C90302" w:rsidP="00C90302" w:rsidRDefault="00C90302" w14:paraId="406EF3ED" w14:textId="77777777">
      <w:pPr>
        <w:tabs>
          <w:tab w:val="left" w:pos="-1440"/>
        </w:tabs>
        <w:spacing w:line="360" w:lineRule="auto"/>
        <w:ind w:left="1440"/>
        <w:contextualSpacing/>
        <w:rPr>
          <w:rFonts w:ascii="Times New Roman" w:hAnsi="Times New Roman"/>
          <w:b/>
        </w:rPr>
      </w:pPr>
      <w:r w:rsidRPr="00C90302">
        <w:rPr>
          <w:rFonts w:ascii="Times New Roman" w:hAnsi="Times New Roman"/>
        </w:rPr>
        <w:t>$</w:t>
      </w:r>
      <w:r w:rsidRPr="009A2D93">
        <w:rPr>
          <w:rFonts w:ascii="Times New Roman" w:hAnsi="Times New Roman"/>
        </w:rPr>
        <w:t>76,866.02</w:t>
      </w:r>
      <w:r w:rsidRPr="00C90302">
        <w:rPr>
          <w:rFonts w:ascii="Times New Roman" w:hAnsi="Times New Roman"/>
        </w:rPr>
        <w:t xml:space="preserve"> + $</w:t>
      </w:r>
      <w:r w:rsidRPr="009A2D93">
        <w:rPr>
          <w:rFonts w:ascii="Times New Roman" w:hAnsi="Times New Roman"/>
        </w:rPr>
        <w:t>13,823.04</w:t>
      </w:r>
      <w:r w:rsidRPr="00C90302">
        <w:rPr>
          <w:rFonts w:ascii="Times New Roman" w:hAnsi="Times New Roman"/>
        </w:rPr>
        <w:t xml:space="preserve"> =</w:t>
      </w:r>
      <w:r w:rsidRPr="00C90302">
        <w:rPr>
          <w:rFonts w:ascii="Times New Roman" w:hAnsi="Times New Roman"/>
          <w:b/>
        </w:rPr>
        <w:t xml:space="preserve"> $</w:t>
      </w:r>
      <w:r w:rsidRPr="009A2D93">
        <w:rPr>
          <w:rFonts w:ascii="Times New Roman" w:hAnsi="Times New Roman"/>
          <w:b/>
        </w:rPr>
        <w:t>90,689.06</w:t>
      </w:r>
    </w:p>
    <w:p w:rsidRPr="00E47080" w:rsidR="00B12187" w:rsidRDefault="00B12187" w14:paraId="7B9093C6" w14:textId="77777777">
      <w:pPr>
        <w:pStyle w:val="EndnoteText"/>
        <w:tabs>
          <w:tab w:val="left" w:pos="2280"/>
          <w:tab w:val="left" w:pos="3720"/>
          <w:tab w:val="left" w:pos="5160"/>
          <w:tab w:val="left" w:pos="6600"/>
          <w:tab w:val="left" w:pos="8040"/>
        </w:tabs>
        <w:suppressAutoHyphens/>
        <w:rPr>
          <w:rFonts w:ascii="Times New Roman" w:hAnsi="Times New Roman"/>
          <w:highlight w:val="yellow"/>
        </w:rPr>
      </w:pPr>
    </w:p>
    <w:tbl>
      <w:tblPr>
        <w:tblW w:w="9350" w:type="dxa"/>
        <w:tblLook w:val="04A0" w:firstRow="1" w:lastRow="0" w:firstColumn="1" w:lastColumn="0" w:noHBand="0" w:noVBand="1"/>
      </w:tblPr>
      <w:tblGrid>
        <w:gridCol w:w="2707"/>
        <w:gridCol w:w="1997"/>
        <w:gridCol w:w="1779"/>
        <w:gridCol w:w="2867"/>
      </w:tblGrid>
      <w:tr w:rsidRPr="00B12187" w:rsidR="00B12187" w:rsidTr="0034516E" w14:paraId="3E3E846D" w14:textId="77777777">
        <w:trPr>
          <w:trHeight w:val="492"/>
        </w:trPr>
        <w:tc>
          <w:tcPr>
            <w:tcW w:w="9350" w:type="dxa"/>
            <w:gridSpan w:val="4"/>
            <w:tcBorders>
              <w:top w:val="single" w:color="auto" w:sz="4" w:space="0"/>
              <w:left w:val="single" w:color="auto" w:sz="4" w:space="0"/>
              <w:bottom w:val="single" w:color="auto" w:sz="4" w:space="0"/>
              <w:right w:val="single" w:color="000000" w:sz="4" w:space="0"/>
            </w:tcBorders>
            <w:shd w:val="clear" w:color="auto" w:fill="auto"/>
            <w:vAlign w:val="center"/>
            <w:hideMark/>
          </w:tcPr>
          <w:p w:rsidRPr="00B12187" w:rsidR="00B12187" w:rsidP="00B12187" w:rsidRDefault="00B12187" w14:paraId="74821A79" w14:textId="77777777">
            <w:pPr>
              <w:suppressAutoHyphens/>
              <w:autoSpaceDE w:val="0"/>
              <w:autoSpaceDN w:val="0"/>
              <w:spacing w:after="240" w:line="260" w:lineRule="exact"/>
              <w:ind w:right="-86"/>
              <w:jc w:val="center"/>
              <w:rPr>
                <w:rFonts w:ascii="Source Sans Pro" w:hAnsi="Source Sans Pro" w:cs="Calibri"/>
                <w:b/>
                <w:bCs/>
                <w:snapToGrid/>
                <w:color w:val="000000"/>
                <w:sz w:val="20"/>
              </w:rPr>
            </w:pPr>
            <w:r w:rsidRPr="00B12187">
              <w:rPr>
                <w:rFonts w:ascii="Source Sans Pro" w:hAnsi="Source Sans Pro" w:cs="Calibri"/>
                <w:b/>
                <w:bCs/>
                <w:snapToGrid/>
                <w:color w:val="000000"/>
                <w:sz w:val="20"/>
              </w:rPr>
              <w:t xml:space="preserve">Summary of Hourly Burden Cost Estimate for the Notice of Branch Closure Component </w:t>
            </w:r>
          </w:p>
        </w:tc>
      </w:tr>
      <w:tr w:rsidRPr="00B12187" w:rsidR="00B12187" w:rsidTr="0034516E" w14:paraId="31B52FFB" w14:textId="77777777">
        <w:trPr>
          <w:trHeight w:val="1392"/>
        </w:trPr>
        <w:tc>
          <w:tcPr>
            <w:tcW w:w="2707" w:type="dxa"/>
            <w:tcBorders>
              <w:top w:val="nil"/>
              <w:left w:val="single" w:color="auto" w:sz="8" w:space="0"/>
              <w:bottom w:val="single" w:color="auto" w:sz="8" w:space="0"/>
              <w:right w:val="single" w:color="auto" w:sz="4" w:space="0"/>
            </w:tcBorders>
            <w:shd w:val="clear" w:color="auto" w:fill="auto"/>
            <w:vAlign w:val="center"/>
            <w:hideMark/>
          </w:tcPr>
          <w:p w:rsidRPr="00B12187" w:rsidR="00B12187" w:rsidP="00B12187" w:rsidRDefault="00B12187" w14:paraId="7F6B15CC" w14:textId="77777777">
            <w:pPr>
              <w:widowControl/>
              <w:jc w:val="center"/>
              <w:rPr>
                <w:rFonts w:ascii="Source Sans Pro" w:hAnsi="Source Sans Pro" w:cs="Calibri"/>
                <w:snapToGrid/>
                <w:color w:val="000000"/>
                <w:sz w:val="20"/>
              </w:rPr>
            </w:pPr>
            <w:r w:rsidRPr="00B12187">
              <w:rPr>
                <w:rFonts w:ascii="Source Sans Pro" w:hAnsi="Source Sans Pro" w:cs="Calibri"/>
                <w:snapToGrid/>
                <w:color w:val="000000"/>
                <w:sz w:val="20"/>
              </w:rPr>
              <w:t>Estimated Category of Personnel Responsible for Complying with the PRA Burden</w:t>
            </w:r>
          </w:p>
        </w:tc>
        <w:tc>
          <w:tcPr>
            <w:tcW w:w="1997" w:type="dxa"/>
            <w:tcBorders>
              <w:top w:val="nil"/>
              <w:left w:val="nil"/>
              <w:bottom w:val="single" w:color="auto" w:sz="8" w:space="0"/>
              <w:right w:val="single" w:color="auto" w:sz="4" w:space="0"/>
            </w:tcBorders>
            <w:shd w:val="clear" w:color="auto" w:fill="auto"/>
            <w:vAlign w:val="center"/>
            <w:hideMark/>
          </w:tcPr>
          <w:p w:rsidRPr="00B12187" w:rsidR="00B12187" w:rsidP="00B12187" w:rsidRDefault="00B12187" w14:paraId="4A3028E5" w14:textId="77777777">
            <w:pPr>
              <w:widowControl/>
              <w:jc w:val="center"/>
              <w:rPr>
                <w:rFonts w:ascii="Source Sans Pro" w:hAnsi="Source Sans Pro" w:cs="Calibri"/>
                <w:snapToGrid/>
                <w:color w:val="000000"/>
                <w:sz w:val="20"/>
              </w:rPr>
            </w:pPr>
            <w:r w:rsidRPr="00B12187">
              <w:rPr>
                <w:rFonts w:ascii="Source Sans Pro" w:hAnsi="Source Sans Pro" w:cs="Calibri"/>
                <w:snapToGrid/>
                <w:color w:val="000000"/>
                <w:sz w:val="20"/>
              </w:rPr>
              <w:t>Total Estimated Hourly Compensation</w:t>
            </w:r>
          </w:p>
        </w:tc>
        <w:tc>
          <w:tcPr>
            <w:tcW w:w="1779" w:type="dxa"/>
            <w:tcBorders>
              <w:top w:val="nil"/>
              <w:left w:val="nil"/>
              <w:bottom w:val="single" w:color="auto" w:sz="8" w:space="0"/>
              <w:right w:val="single" w:color="auto" w:sz="4" w:space="0"/>
            </w:tcBorders>
            <w:shd w:val="clear" w:color="auto" w:fill="auto"/>
            <w:vAlign w:val="center"/>
            <w:hideMark/>
          </w:tcPr>
          <w:p w:rsidRPr="00B12187" w:rsidR="00B12187" w:rsidP="00B12187" w:rsidRDefault="00B12187" w14:paraId="349DC7B6" w14:textId="77777777">
            <w:pPr>
              <w:widowControl/>
              <w:jc w:val="center"/>
              <w:rPr>
                <w:rFonts w:ascii="Source Sans Pro" w:hAnsi="Source Sans Pro" w:cs="Calibri"/>
                <w:snapToGrid/>
                <w:color w:val="000000"/>
                <w:sz w:val="20"/>
              </w:rPr>
            </w:pPr>
            <w:r w:rsidRPr="00B12187">
              <w:rPr>
                <w:rFonts w:ascii="Source Sans Pro" w:hAnsi="Source Sans Pro" w:cs="Calibri"/>
                <w:snapToGrid/>
                <w:color w:val="000000"/>
                <w:sz w:val="20"/>
              </w:rPr>
              <w:t>Estimated Weights</w:t>
            </w:r>
          </w:p>
        </w:tc>
        <w:tc>
          <w:tcPr>
            <w:tcW w:w="2867" w:type="dxa"/>
            <w:tcBorders>
              <w:top w:val="nil"/>
              <w:left w:val="nil"/>
              <w:bottom w:val="single" w:color="auto" w:sz="8" w:space="0"/>
              <w:right w:val="single" w:color="auto" w:sz="8" w:space="0"/>
            </w:tcBorders>
            <w:shd w:val="clear" w:color="auto" w:fill="auto"/>
            <w:vAlign w:val="center"/>
            <w:hideMark/>
          </w:tcPr>
          <w:p w:rsidRPr="00B12187" w:rsidR="00B12187" w:rsidP="00B12187" w:rsidRDefault="00B12187" w14:paraId="240367E3" w14:textId="77777777">
            <w:pPr>
              <w:widowControl/>
              <w:jc w:val="center"/>
              <w:rPr>
                <w:rFonts w:ascii="Source Sans Pro" w:hAnsi="Source Sans Pro" w:cs="Calibri"/>
                <w:snapToGrid/>
                <w:color w:val="000000"/>
                <w:sz w:val="20"/>
              </w:rPr>
            </w:pPr>
            <w:r w:rsidRPr="00B12187">
              <w:rPr>
                <w:rFonts w:ascii="Source Sans Pro" w:hAnsi="Source Sans Pro" w:cs="Calibri"/>
                <w:snapToGrid/>
                <w:color w:val="000000"/>
                <w:sz w:val="20"/>
              </w:rPr>
              <w:t>Estimated Total Weighted Labor Cost Component</w:t>
            </w:r>
          </w:p>
        </w:tc>
      </w:tr>
      <w:tr w:rsidRPr="00B12187" w:rsidR="00B12187" w:rsidTr="0034516E" w14:paraId="0E05C3D8" w14:textId="77777777">
        <w:trPr>
          <w:trHeight w:val="552"/>
        </w:trPr>
        <w:tc>
          <w:tcPr>
            <w:tcW w:w="2707" w:type="dxa"/>
            <w:tcBorders>
              <w:top w:val="nil"/>
              <w:left w:val="single" w:color="auto" w:sz="8" w:space="0"/>
              <w:bottom w:val="single" w:color="auto" w:sz="4" w:space="0"/>
              <w:right w:val="single" w:color="auto" w:sz="4" w:space="0"/>
            </w:tcBorders>
            <w:shd w:val="clear" w:color="auto" w:fill="auto"/>
            <w:vAlign w:val="center"/>
            <w:hideMark/>
          </w:tcPr>
          <w:p w:rsidRPr="00B12187" w:rsidR="00B12187" w:rsidP="00B12187" w:rsidRDefault="00B12187" w14:paraId="0EFE72B9" w14:textId="77777777">
            <w:pPr>
              <w:widowControl/>
              <w:rPr>
                <w:rFonts w:ascii="Source Sans Pro" w:hAnsi="Source Sans Pro" w:cs="Calibri"/>
                <w:snapToGrid/>
                <w:color w:val="000000"/>
                <w:sz w:val="20"/>
              </w:rPr>
            </w:pPr>
            <w:r w:rsidRPr="00B12187">
              <w:rPr>
                <w:rFonts w:ascii="Source Sans Pro" w:hAnsi="Source Sans Pro" w:cs="Calibri"/>
                <w:snapToGrid/>
                <w:color w:val="000000"/>
                <w:sz w:val="20"/>
              </w:rPr>
              <w:t>Executives and Managers*</w:t>
            </w:r>
          </w:p>
        </w:tc>
        <w:tc>
          <w:tcPr>
            <w:tcW w:w="1997" w:type="dxa"/>
            <w:tcBorders>
              <w:top w:val="nil"/>
              <w:left w:val="single" w:color="auto" w:sz="4" w:space="0"/>
              <w:bottom w:val="single" w:color="auto" w:sz="4" w:space="0"/>
              <w:right w:val="single" w:color="auto" w:sz="4" w:space="0"/>
            </w:tcBorders>
            <w:shd w:val="clear" w:color="auto" w:fill="auto"/>
            <w:vAlign w:val="center"/>
            <w:hideMark/>
          </w:tcPr>
          <w:p w:rsidRPr="00B12187" w:rsidR="00B12187" w:rsidP="00B12187" w:rsidRDefault="00B12187" w14:paraId="5283E212" w14:textId="77777777">
            <w:pPr>
              <w:widowControl/>
              <w:jc w:val="right"/>
              <w:rPr>
                <w:rFonts w:ascii="Source Sans Pro" w:hAnsi="Source Sans Pro" w:cs="Calibri"/>
                <w:snapToGrid/>
                <w:color w:val="000000"/>
                <w:sz w:val="20"/>
              </w:rPr>
            </w:pPr>
            <w:r w:rsidRPr="00B12187">
              <w:rPr>
                <w:rFonts w:ascii="Source Sans Pro" w:hAnsi="Source Sans Pro" w:cs="Calibri"/>
                <w:snapToGrid/>
                <w:color w:val="000000"/>
                <w:sz w:val="20"/>
              </w:rPr>
              <w:t>$123.30</w:t>
            </w:r>
          </w:p>
        </w:tc>
        <w:tc>
          <w:tcPr>
            <w:tcW w:w="1779" w:type="dxa"/>
            <w:tcBorders>
              <w:top w:val="nil"/>
              <w:left w:val="nil"/>
              <w:bottom w:val="single" w:color="auto" w:sz="4" w:space="0"/>
              <w:right w:val="single" w:color="auto" w:sz="4" w:space="0"/>
            </w:tcBorders>
            <w:shd w:val="clear" w:color="auto" w:fill="auto"/>
            <w:vAlign w:val="center"/>
            <w:hideMark/>
          </w:tcPr>
          <w:p w:rsidRPr="00B12187" w:rsidR="00B12187" w:rsidP="00B12187" w:rsidRDefault="00B12187" w14:paraId="2884B597" w14:textId="77777777">
            <w:pPr>
              <w:widowControl/>
              <w:jc w:val="right"/>
              <w:rPr>
                <w:rFonts w:ascii="Source Sans Pro" w:hAnsi="Source Sans Pro" w:cs="Calibri"/>
                <w:snapToGrid/>
                <w:color w:val="000000"/>
                <w:sz w:val="20"/>
              </w:rPr>
            </w:pPr>
            <w:r w:rsidRPr="00B12187">
              <w:rPr>
                <w:rFonts w:ascii="Source Sans Pro" w:hAnsi="Source Sans Pro" w:cs="Calibri"/>
                <w:snapToGrid/>
                <w:color w:val="000000"/>
                <w:sz w:val="20"/>
              </w:rPr>
              <w:t>10%</w:t>
            </w:r>
          </w:p>
        </w:tc>
        <w:tc>
          <w:tcPr>
            <w:tcW w:w="2867" w:type="dxa"/>
            <w:tcBorders>
              <w:top w:val="nil"/>
              <w:left w:val="single" w:color="auto" w:sz="4" w:space="0"/>
              <w:bottom w:val="single" w:color="auto" w:sz="4" w:space="0"/>
              <w:right w:val="single" w:color="auto" w:sz="8" w:space="0"/>
            </w:tcBorders>
            <w:shd w:val="clear" w:color="auto" w:fill="auto"/>
            <w:vAlign w:val="center"/>
            <w:hideMark/>
          </w:tcPr>
          <w:p w:rsidRPr="00B12187" w:rsidR="00B12187" w:rsidP="00B12187" w:rsidRDefault="00B12187" w14:paraId="06372EA9" w14:textId="77777777">
            <w:pPr>
              <w:widowControl/>
              <w:jc w:val="right"/>
              <w:rPr>
                <w:rFonts w:ascii="Source Sans Pro" w:hAnsi="Source Sans Pro" w:cs="Calibri"/>
                <w:snapToGrid/>
                <w:color w:val="000000"/>
                <w:sz w:val="20"/>
              </w:rPr>
            </w:pPr>
            <w:r w:rsidRPr="00B12187">
              <w:rPr>
                <w:rFonts w:ascii="Source Sans Pro" w:hAnsi="Source Sans Pro" w:cs="Calibri"/>
                <w:snapToGrid/>
                <w:color w:val="000000"/>
                <w:sz w:val="20"/>
              </w:rPr>
              <w:t>$12.33</w:t>
            </w:r>
          </w:p>
        </w:tc>
      </w:tr>
      <w:tr w:rsidRPr="00B12187" w:rsidR="00B12187" w:rsidTr="0034516E" w14:paraId="5B17E1C0" w14:textId="77777777">
        <w:trPr>
          <w:trHeight w:val="288"/>
        </w:trPr>
        <w:tc>
          <w:tcPr>
            <w:tcW w:w="2707" w:type="dxa"/>
            <w:tcBorders>
              <w:top w:val="nil"/>
              <w:left w:val="single" w:color="auto" w:sz="8" w:space="0"/>
              <w:bottom w:val="single" w:color="auto" w:sz="4" w:space="0"/>
              <w:right w:val="single" w:color="auto" w:sz="4" w:space="0"/>
            </w:tcBorders>
            <w:shd w:val="clear" w:color="auto" w:fill="auto"/>
            <w:vAlign w:val="center"/>
            <w:hideMark/>
          </w:tcPr>
          <w:p w:rsidRPr="00B12187" w:rsidR="00B12187" w:rsidP="00B12187" w:rsidRDefault="00B12187" w14:paraId="0E36DCA9" w14:textId="77777777">
            <w:pPr>
              <w:widowControl/>
              <w:rPr>
                <w:rFonts w:ascii="Source Sans Pro" w:hAnsi="Source Sans Pro" w:cs="Calibri"/>
                <w:snapToGrid/>
                <w:color w:val="000000"/>
                <w:sz w:val="20"/>
              </w:rPr>
            </w:pPr>
            <w:r w:rsidRPr="00B12187">
              <w:rPr>
                <w:rFonts w:ascii="Source Sans Pro" w:hAnsi="Source Sans Pro" w:cs="Calibri"/>
                <w:snapToGrid/>
                <w:color w:val="000000"/>
                <w:sz w:val="20"/>
              </w:rPr>
              <w:t>Lawyers**</w:t>
            </w:r>
          </w:p>
        </w:tc>
        <w:tc>
          <w:tcPr>
            <w:tcW w:w="1997" w:type="dxa"/>
            <w:tcBorders>
              <w:top w:val="nil"/>
              <w:left w:val="single" w:color="auto" w:sz="4" w:space="0"/>
              <w:bottom w:val="single" w:color="auto" w:sz="4" w:space="0"/>
              <w:right w:val="single" w:color="auto" w:sz="4" w:space="0"/>
            </w:tcBorders>
            <w:shd w:val="clear" w:color="auto" w:fill="auto"/>
            <w:vAlign w:val="center"/>
            <w:hideMark/>
          </w:tcPr>
          <w:p w:rsidRPr="00B12187" w:rsidR="00B12187" w:rsidP="00B12187" w:rsidRDefault="00B12187" w14:paraId="69BBF2CB" w14:textId="77777777">
            <w:pPr>
              <w:widowControl/>
              <w:jc w:val="right"/>
              <w:rPr>
                <w:rFonts w:ascii="Source Sans Pro" w:hAnsi="Source Sans Pro" w:cs="Calibri"/>
                <w:snapToGrid/>
                <w:color w:val="000000"/>
                <w:sz w:val="20"/>
              </w:rPr>
            </w:pPr>
            <w:r w:rsidRPr="00B12187">
              <w:rPr>
                <w:rFonts w:ascii="Source Sans Pro" w:hAnsi="Source Sans Pro" w:cs="Calibri"/>
                <w:snapToGrid/>
                <w:color w:val="000000"/>
                <w:sz w:val="20"/>
              </w:rPr>
              <w:t>$151.44</w:t>
            </w:r>
          </w:p>
        </w:tc>
        <w:tc>
          <w:tcPr>
            <w:tcW w:w="1779" w:type="dxa"/>
            <w:tcBorders>
              <w:top w:val="nil"/>
              <w:left w:val="nil"/>
              <w:bottom w:val="single" w:color="auto" w:sz="4" w:space="0"/>
              <w:right w:val="single" w:color="auto" w:sz="4" w:space="0"/>
            </w:tcBorders>
            <w:shd w:val="clear" w:color="auto" w:fill="auto"/>
            <w:vAlign w:val="center"/>
            <w:hideMark/>
          </w:tcPr>
          <w:p w:rsidRPr="00B12187" w:rsidR="00B12187" w:rsidP="00B12187" w:rsidRDefault="00B12187" w14:paraId="6A5E46D0" w14:textId="77777777">
            <w:pPr>
              <w:widowControl/>
              <w:jc w:val="right"/>
              <w:rPr>
                <w:rFonts w:ascii="Source Sans Pro" w:hAnsi="Source Sans Pro" w:cs="Calibri"/>
                <w:snapToGrid/>
                <w:color w:val="000000"/>
                <w:sz w:val="20"/>
              </w:rPr>
            </w:pPr>
            <w:r w:rsidRPr="00B12187">
              <w:rPr>
                <w:rFonts w:ascii="Source Sans Pro" w:hAnsi="Source Sans Pro" w:cs="Calibri"/>
                <w:snapToGrid/>
                <w:color w:val="000000"/>
                <w:sz w:val="20"/>
              </w:rPr>
              <w:t>0%</w:t>
            </w:r>
          </w:p>
        </w:tc>
        <w:tc>
          <w:tcPr>
            <w:tcW w:w="2867" w:type="dxa"/>
            <w:tcBorders>
              <w:top w:val="nil"/>
              <w:left w:val="single" w:color="auto" w:sz="4" w:space="0"/>
              <w:bottom w:val="single" w:color="auto" w:sz="4" w:space="0"/>
              <w:right w:val="single" w:color="auto" w:sz="8" w:space="0"/>
            </w:tcBorders>
            <w:shd w:val="clear" w:color="auto" w:fill="auto"/>
            <w:vAlign w:val="center"/>
            <w:hideMark/>
          </w:tcPr>
          <w:p w:rsidRPr="00B12187" w:rsidR="00B12187" w:rsidP="00B12187" w:rsidRDefault="00B12187" w14:paraId="3DCF7713" w14:textId="77777777">
            <w:pPr>
              <w:widowControl/>
              <w:jc w:val="right"/>
              <w:rPr>
                <w:rFonts w:ascii="Source Sans Pro" w:hAnsi="Source Sans Pro" w:cs="Calibri"/>
                <w:snapToGrid/>
                <w:color w:val="000000"/>
                <w:sz w:val="20"/>
              </w:rPr>
            </w:pPr>
            <w:r w:rsidRPr="00B12187">
              <w:rPr>
                <w:rFonts w:ascii="Source Sans Pro" w:hAnsi="Source Sans Pro" w:cs="Calibri"/>
                <w:snapToGrid/>
                <w:color w:val="000000"/>
                <w:sz w:val="20"/>
              </w:rPr>
              <w:t>$0.00</w:t>
            </w:r>
          </w:p>
        </w:tc>
      </w:tr>
      <w:tr w:rsidRPr="00B12187" w:rsidR="00B12187" w:rsidTr="0034516E" w14:paraId="5A54C4DF" w14:textId="77777777">
        <w:trPr>
          <w:trHeight w:val="288"/>
        </w:trPr>
        <w:tc>
          <w:tcPr>
            <w:tcW w:w="2707" w:type="dxa"/>
            <w:tcBorders>
              <w:top w:val="nil"/>
              <w:left w:val="single" w:color="auto" w:sz="8" w:space="0"/>
              <w:bottom w:val="single" w:color="auto" w:sz="4" w:space="0"/>
              <w:right w:val="single" w:color="auto" w:sz="4" w:space="0"/>
            </w:tcBorders>
            <w:shd w:val="clear" w:color="auto" w:fill="auto"/>
            <w:vAlign w:val="center"/>
            <w:hideMark/>
          </w:tcPr>
          <w:p w:rsidRPr="00B12187" w:rsidR="00B12187" w:rsidP="00B12187" w:rsidRDefault="00B12187" w14:paraId="3E3C7863" w14:textId="77777777">
            <w:pPr>
              <w:widowControl/>
              <w:rPr>
                <w:rFonts w:ascii="Source Sans Pro" w:hAnsi="Source Sans Pro" w:cs="Calibri"/>
                <w:snapToGrid/>
                <w:color w:val="000000"/>
                <w:sz w:val="20"/>
              </w:rPr>
            </w:pPr>
            <w:r w:rsidRPr="00B12187">
              <w:rPr>
                <w:rFonts w:ascii="Source Sans Pro" w:hAnsi="Source Sans Pro" w:cs="Calibri"/>
                <w:snapToGrid/>
                <w:color w:val="000000"/>
                <w:sz w:val="20"/>
              </w:rPr>
              <w:t>Compliance Officer***</w:t>
            </w:r>
          </w:p>
        </w:tc>
        <w:tc>
          <w:tcPr>
            <w:tcW w:w="1997" w:type="dxa"/>
            <w:tcBorders>
              <w:top w:val="nil"/>
              <w:left w:val="single" w:color="auto" w:sz="4" w:space="0"/>
              <w:bottom w:val="single" w:color="auto" w:sz="4" w:space="0"/>
              <w:right w:val="single" w:color="auto" w:sz="4" w:space="0"/>
            </w:tcBorders>
            <w:shd w:val="clear" w:color="auto" w:fill="auto"/>
            <w:vAlign w:val="center"/>
            <w:hideMark/>
          </w:tcPr>
          <w:p w:rsidRPr="00B12187" w:rsidR="00B12187" w:rsidP="00B12187" w:rsidRDefault="00B12187" w14:paraId="30E34E8C" w14:textId="77777777">
            <w:pPr>
              <w:widowControl/>
              <w:jc w:val="right"/>
              <w:rPr>
                <w:rFonts w:ascii="Source Sans Pro" w:hAnsi="Source Sans Pro" w:cs="Calibri"/>
                <w:snapToGrid/>
                <w:color w:val="000000"/>
                <w:sz w:val="20"/>
              </w:rPr>
            </w:pPr>
            <w:r w:rsidRPr="00B12187">
              <w:rPr>
                <w:rFonts w:ascii="Source Sans Pro" w:hAnsi="Source Sans Pro" w:cs="Calibri"/>
                <w:snapToGrid/>
                <w:color w:val="000000"/>
                <w:sz w:val="20"/>
              </w:rPr>
              <w:t>$67.35</w:t>
            </w:r>
          </w:p>
        </w:tc>
        <w:tc>
          <w:tcPr>
            <w:tcW w:w="1779" w:type="dxa"/>
            <w:tcBorders>
              <w:top w:val="nil"/>
              <w:left w:val="nil"/>
              <w:bottom w:val="single" w:color="auto" w:sz="4" w:space="0"/>
              <w:right w:val="single" w:color="auto" w:sz="4" w:space="0"/>
            </w:tcBorders>
            <w:shd w:val="clear" w:color="auto" w:fill="auto"/>
            <w:vAlign w:val="center"/>
            <w:hideMark/>
          </w:tcPr>
          <w:p w:rsidRPr="00B12187" w:rsidR="00B12187" w:rsidP="00B12187" w:rsidRDefault="00B12187" w14:paraId="1B492FDF" w14:textId="77777777">
            <w:pPr>
              <w:widowControl/>
              <w:jc w:val="right"/>
              <w:rPr>
                <w:rFonts w:ascii="Source Sans Pro" w:hAnsi="Source Sans Pro" w:cs="Calibri"/>
                <w:snapToGrid/>
                <w:color w:val="000000"/>
                <w:sz w:val="20"/>
              </w:rPr>
            </w:pPr>
            <w:r w:rsidRPr="00B12187">
              <w:rPr>
                <w:rFonts w:ascii="Source Sans Pro" w:hAnsi="Source Sans Pro" w:cs="Calibri"/>
                <w:snapToGrid/>
                <w:color w:val="000000"/>
                <w:sz w:val="20"/>
              </w:rPr>
              <w:t>20%</w:t>
            </w:r>
          </w:p>
        </w:tc>
        <w:tc>
          <w:tcPr>
            <w:tcW w:w="2867" w:type="dxa"/>
            <w:tcBorders>
              <w:top w:val="nil"/>
              <w:left w:val="single" w:color="auto" w:sz="4" w:space="0"/>
              <w:bottom w:val="single" w:color="auto" w:sz="4" w:space="0"/>
              <w:right w:val="single" w:color="auto" w:sz="8" w:space="0"/>
            </w:tcBorders>
            <w:shd w:val="clear" w:color="auto" w:fill="auto"/>
            <w:vAlign w:val="center"/>
            <w:hideMark/>
          </w:tcPr>
          <w:p w:rsidRPr="00B12187" w:rsidR="00B12187" w:rsidP="00B12187" w:rsidRDefault="00B12187" w14:paraId="61BE3DC6" w14:textId="77777777">
            <w:pPr>
              <w:widowControl/>
              <w:jc w:val="right"/>
              <w:rPr>
                <w:rFonts w:ascii="Source Sans Pro" w:hAnsi="Source Sans Pro" w:cs="Calibri"/>
                <w:snapToGrid/>
                <w:color w:val="000000"/>
                <w:sz w:val="20"/>
              </w:rPr>
            </w:pPr>
            <w:r w:rsidRPr="00B12187">
              <w:rPr>
                <w:rFonts w:ascii="Source Sans Pro" w:hAnsi="Source Sans Pro" w:cs="Calibri"/>
                <w:snapToGrid/>
                <w:color w:val="000000"/>
                <w:sz w:val="20"/>
              </w:rPr>
              <w:t>$13.47</w:t>
            </w:r>
          </w:p>
        </w:tc>
      </w:tr>
      <w:tr w:rsidRPr="00B12187" w:rsidR="00B12187" w:rsidTr="0034516E" w14:paraId="6C90C2E4" w14:textId="77777777">
        <w:trPr>
          <w:trHeight w:val="288"/>
        </w:trPr>
        <w:tc>
          <w:tcPr>
            <w:tcW w:w="2707" w:type="dxa"/>
            <w:tcBorders>
              <w:top w:val="nil"/>
              <w:left w:val="single" w:color="auto" w:sz="8" w:space="0"/>
              <w:bottom w:val="single" w:color="auto" w:sz="4" w:space="0"/>
              <w:right w:val="single" w:color="auto" w:sz="4" w:space="0"/>
            </w:tcBorders>
            <w:shd w:val="clear" w:color="auto" w:fill="auto"/>
            <w:vAlign w:val="center"/>
            <w:hideMark/>
          </w:tcPr>
          <w:p w:rsidRPr="00B12187" w:rsidR="00B12187" w:rsidP="00B12187" w:rsidRDefault="00B12187" w14:paraId="01118717" w14:textId="77777777">
            <w:pPr>
              <w:widowControl/>
              <w:rPr>
                <w:rFonts w:ascii="Source Sans Pro" w:hAnsi="Source Sans Pro" w:cs="Calibri"/>
                <w:snapToGrid/>
                <w:color w:val="000000"/>
                <w:sz w:val="20"/>
              </w:rPr>
            </w:pPr>
            <w:r w:rsidRPr="00B12187">
              <w:rPr>
                <w:rFonts w:ascii="Source Sans Pro" w:hAnsi="Source Sans Pro" w:cs="Calibri"/>
                <w:snapToGrid/>
                <w:color w:val="000000"/>
                <w:sz w:val="20"/>
              </w:rPr>
              <w:t>IT Specialists†</w:t>
            </w:r>
          </w:p>
        </w:tc>
        <w:tc>
          <w:tcPr>
            <w:tcW w:w="1997" w:type="dxa"/>
            <w:tcBorders>
              <w:top w:val="nil"/>
              <w:left w:val="single" w:color="auto" w:sz="4" w:space="0"/>
              <w:bottom w:val="single" w:color="auto" w:sz="4" w:space="0"/>
              <w:right w:val="single" w:color="auto" w:sz="4" w:space="0"/>
            </w:tcBorders>
            <w:shd w:val="clear" w:color="auto" w:fill="auto"/>
            <w:vAlign w:val="center"/>
            <w:hideMark/>
          </w:tcPr>
          <w:p w:rsidRPr="00B12187" w:rsidR="00B12187" w:rsidP="00B12187" w:rsidRDefault="00B12187" w14:paraId="18783C4C" w14:textId="77777777">
            <w:pPr>
              <w:widowControl/>
              <w:jc w:val="right"/>
              <w:rPr>
                <w:rFonts w:ascii="Source Sans Pro" w:hAnsi="Source Sans Pro" w:cs="Calibri"/>
                <w:snapToGrid/>
                <w:color w:val="000000"/>
                <w:sz w:val="20"/>
              </w:rPr>
            </w:pPr>
            <w:r w:rsidRPr="00B12187">
              <w:rPr>
                <w:rFonts w:ascii="Source Sans Pro" w:hAnsi="Source Sans Pro" w:cs="Calibri"/>
                <w:snapToGrid/>
                <w:color w:val="000000"/>
                <w:sz w:val="20"/>
              </w:rPr>
              <w:t>$92.30</w:t>
            </w:r>
          </w:p>
        </w:tc>
        <w:tc>
          <w:tcPr>
            <w:tcW w:w="1779" w:type="dxa"/>
            <w:tcBorders>
              <w:top w:val="nil"/>
              <w:left w:val="nil"/>
              <w:bottom w:val="single" w:color="auto" w:sz="4" w:space="0"/>
              <w:right w:val="single" w:color="auto" w:sz="4" w:space="0"/>
            </w:tcBorders>
            <w:shd w:val="clear" w:color="auto" w:fill="auto"/>
            <w:vAlign w:val="center"/>
            <w:hideMark/>
          </w:tcPr>
          <w:p w:rsidRPr="00B12187" w:rsidR="00B12187" w:rsidP="00B12187" w:rsidRDefault="00B12187" w14:paraId="57ADF944" w14:textId="77777777">
            <w:pPr>
              <w:widowControl/>
              <w:jc w:val="right"/>
              <w:rPr>
                <w:rFonts w:ascii="Source Sans Pro" w:hAnsi="Source Sans Pro" w:cs="Calibri"/>
                <w:snapToGrid/>
                <w:color w:val="000000"/>
                <w:sz w:val="20"/>
              </w:rPr>
            </w:pPr>
            <w:r w:rsidRPr="00B12187">
              <w:rPr>
                <w:rFonts w:ascii="Source Sans Pro" w:hAnsi="Source Sans Pro" w:cs="Calibri"/>
                <w:snapToGrid/>
                <w:color w:val="000000"/>
                <w:sz w:val="20"/>
              </w:rPr>
              <w:t>0%</w:t>
            </w:r>
          </w:p>
        </w:tc>
        <w:tc>
          <w:tcPr>
            <w:tcW w:w="2867" w:type="dxa"/>
            <w:tcBorders>
              <w:top w:val="nil"/>
              <w:left w:val="single" w:color="auto" w:sz="4" w:space="0"/>
              <w:bottom w:val="single" w:color="auto" w:sz="4" w:space="0"/>
              <w:right w:val="single" w:color="auto" w:sz="8" w:space="0"/>
            </w:tcBorders>
            <w:shd w:val="clear" w:color="auto" w:fill="auto"/>
            <w:vAlign w:val="center"/>
            <w:hideMark/>
          </w:tcPr>
          <w:p w:rsidRPr="00B12187" w:rsidR="00B12187" w:rsidP="00B12187" w:rsidRDefault="00B12187" w14:paraId="484079E3" w14:textId="77777777">
            <w:pPr>
              <w:widowControl/>
              <w:jc w:val="right"/>
              <w:rPr>
                <w:rFonts w:ascii="Source Sans Pro" w:hAnsi="Source Sans Pro" w:cs="Calibri"/>
                <w:snapToGrid/>
                <w:color w:val="000000"/>
                <w:sz w:val="20"/>
              </w:rPr>
            </w:pPr>
            <w:r w:rsidRPr="00B12187">
              <w:rPr>
                <w:rFonts w:ascii="Source Sans Pro" w:hAnsi="Source Sans Pro" w:cs="Calibri"/>
                <w:snapToGrid/>
                <w:color w:val="000000"/>
                <w:sz w:val="20"/>
              </w:rPr>
              <w:t>$0.00</w:t>
            </w:r>
          </w:p>
        </w:tc>
      </w:tr>
      <w:tr w:rsidRPr="00B12187" w:rsidR="00B12187" w:rsidTr="0034516E" w14:paraId="3B71EFE9" w14:textId="77777777">
        <w:trPr>
          <w:trHeight w:val="288"/>
        </w:trPr>
        <w:tc>
          <w:tcPr>
            <w:tcW w:w="2707" w:type="dxa"/>
            <w:tcBorders>
              <w:top w:val="nil"/>
              <w:left w:val="single" w:color="auto" w:sz="8" w:space="0"/>
              <w:bottom w:val="single" w:color="auto" w:sz="4" w:space="0"/>
              <w:right w:val="single" w:color="auto" w:sz="4" w:space="0"/>
            </w:tcBorders>
            <w:shd w:val="clear" w:color="auto" w:fill="auto"/>
            <w:vAlign w:val="center"/>
            <w:hideMark/>
          </w:tcPr>
          <w:p w:rsidRPr="00B12187" w:rsidR="00B12187" w:rsidP="00B12187" w:rsidRDefault="00B12187" w14:paraId="0891A555" w14:textId="77777777">
            <w:pPr>
              <w:widowControl/>
              <w:rPr>
                <w:rFonts w:ascii="Source Sans Pro" w:hAnsi="Source Sans Pro" w:cs="Calibri"/>
                <w:snapToGrid/>
                <w:color w:val="000000"/>
                <w:sz w:val="20"/>
              </w:rPr>
            </w:pPr>
            <w:r w:rsidRPr="00B12187">
              <w:rPr>
                <w:rFonts w:ascii="Source Sans Pro" w:hAnsi="Source Sans Pro" w:cs="Calibri"/>
                <w:snapToGrid/>
                <w:color w:val="000000"/>
                <w:sz w:val="20"/>
              </w:rPr>
              <w:t>Financial Analysts††</w:t>
            </w:r>
          </w:p>
        </w:tc>
        <w:tc>
          <w:tcPr>
            <w:tcW w:w="1997" w:type="dxa"/>
            <w:tcBorders>
              <w:top w:val="nil"/>
              <w:left w:val="single" w:color="auto" w:sz="4" w:space="0"/>
              <w:bottom w:val="single" w:color="auto" w:sz="4" w:space="0"/>
              <w:right w:val="single" w:color="auto" w:sz="4" w:space="0"/>
            </w:tcBorders>
            <w:shd w:val="clear" w:color="auto" w:fill="auto"/>
            <w:vAlign w:val="center"/>
            <w:hideMark/>
          </w:tcPr>
          <w:p w:rsidRPr="00B12187" w:rsidR="00B12187" w:rsidP="00B12187" w:rsidRDefault="00B12187" w14:paraId="56807522" w14:textId="77777777">
            <w:pPr>
              <w:widowControl/>
              <w:jc w:val="right"/>
              <w:rPr>
                <w:rFonts w:ascii="Source Sans Pro" w:hAnsi="Source Sans Pro" w:cs="Calibri"/>
                <w:snapToGrid/>
                <w:color w:val="000000"/>
                <w:sz w:val="20"/>
              </w:rPr>
            </w:pPr>
            <w:r w:rsidRPr="00B12187">
              <w:rPr>
                <w:rFonts w:ascii="Source Sans Pro" w:hAnsi="Source Sans Pro" w:cs="Calibri"/>
                <w:snapToGrid/>
                <w:color w:val="000000"/>
                <w:sz w:val="20"/>
              </w:rPr>
              <w:t>$79.40</w:t>
            </w:r>
          </w:p>
        </w:tc>
        <w:tc>
          <w:tcPr>
            <w:tcW w:w="1779" w:type="dxa"/>
            <w:tcBorders>
              <w:top w:val="nil"/>
              <w:left w:val="nil"/>
              <w:bottom w:val="single" w:color="auto" w:sz="4" w:space="0"/>
              <w:right w:val="single" w:color="auto" w:sz="4" w:space="0"/>
            </w:tcBorders>
            <w:shd w:val="clear" w:color="auto" w:fill="auto"/>
            <w:vAlign w:val="center"/>
            <w:hideMark/>
          </w:tcPr>
          <w:p w:rsidRPr="00B12187" w:rsidR="00B12187" w:rsidP="00B12187" w:rsidRDefault="00B12187" w14:paraId="191A8F97" w14:textId="77777777">
            <w:pPr>
              <w:widowControl/>
              <w:jc w:val="right"/>
              <w:rPr>
                <w:rFonts w:ascii="Source Sans Pro" w:hAnsi="Source Sans Pro" w:cs="Calibri"/>
                <w:snapToGrid/>
                <w:color w:val="000000"/>
                <w:sz w:val="20"/>
              </w:rPr>
            </w:pPr>
            <w:r w:rsidRPr="00B12187">
              <w:rPr>
                <w:rFonts w:ascii="Source Sans Pro" w:hAnsi="Source Sans Pro" w:cs="Calibri"/>
                <w:snapToGrid/>
                <w:color w:val="000000"/>
                <w:sz w:val="20"/>
              </w:rPr>
              <w:t>0%</w:t>
            </w:r>
          </w:p>
        </w:tc>
        <w:tc>
          <w:tcPr>
            <w:tcW w:w="2867" w:type="dxa"/>
            <w:tcBorders>
              <w:top w:val="nil"/>
              <w:left w:val="single" w:color="auto" w:sz="4" w:space="0"/>
              <w:bottom w:val="single" w:color="auto" w:sz="4" w:space="0"/>
              <w:right w:val="single" w:color="auto" w:sz="8" w:space="0"/>
            </w:tcBorders>
            <w:shd w:val="clear" w:color="auto" w:fill="auto"/>
            <w:vAlign w:val="center"/>
            <w:hideMark/>
          </w:tcPr>
          <w:p w:rsidRPr="00B12187" w:rsidR="00B12187" w:rsidP="00B12187" w:rsidRDefault="00B12187" w14:paraId="2B035F76" w14:textId="77777777">
            <w:pPr>
              <w:widowControl/>
              <w:jc w:val="right"/>
              <w:rPr>
                <w:rFonts w:ascii="Source Sans Pro" w:hAnsi="Source Sans Pro" w:cs="Calibri"/>
                <w:snapToGrid/>
                <w:color w:val="000000"/>
                <w:sz w:val="20"/>
              </w:rPr>
            </w:pPr>
            <w:r w:rsidRPr="00B12187">
              <w:rPr>
                <w:rFonts w:ascii="Source Sans Pro" w:hAnsi="Source Sans Pro" w:cs="Calibri"/>
                <w:snapToGrid/>
                <w:color w:val="000000"/>
                <w:sz w:val="20"/>
              </w:rPr>
              <w:t>$0.00</w:t>
            </w:r>
          </w:p>
        </w:tc>
      </w:tr>
      <w:tr w:rsidRPr="00B12187" w:rsidR="00B12187" w:rsidTr="0034516E" w14:paraId="245CC149" w14:textId="77777777">
        <w:trPr>
          <w:trHeight w:val="300"/>
        </w:trPr>
        <w:tc>
          <w:tcPr>
            <w:tcW w:w="2707" w:type="dxa"/>
            <w:tcBorders>
              <w:top w:val="single" w:color="auto" w:sz="4" w:space="0"/>
              <w:left w:val="single" w:color="auto" w:sz="8" w:space="0"/>
              <w:bottom w:val="nil"/>
              <w:right w:val="single" w:color="auto" w:sz="4" w:space="0"/>
            </w:tcBorders>
            <w:shd w:val="clear" w:color="auto" w:fill="auto"/>
            <w:vAlign w:val="center"/>
            <w:hideMark/>
          </w:tcPr>
          <w:p w:rsidRPr="00B12187" w:rsidR="00B12187" w:rsidP="00B12187" w:rsidRDefault="00B12187" w14:paraId="1D0D8068" w14:textId="77777777">
            <w:pPr>
              <w:widowControl/>
              <w:rPr>
                <w:rFonts w:ascii="Source Sans Pro" w:hAnsi="Source Sans Pro" w:cs="Calibri"/>
                <w:snapToGrid/>
                <w:color w:val="000000"/>
                <w:sz w:val="20"/>
              </w:rPr>
            </w:pPr>
            <w:r w:rsidRPr="00B12187">
              <w:rPr>
                <w:rFonts w:ascii="Source Sans Pro" w:hAnsi="Source Sans Pro" w:cs="Calibri"/>
                <w:snapToGrid/>
                <w:color w:val="000000"/>
                <w:sz w:val="20"/>
              </w:rPr>
              <w:t>Clerical‡</w:t>
            </w:r>
          </w:p>
        </w:tc>
        <w:tc>
          <w:tcPr>
            <w:tcW w:w="1997" w:type="dxa"/>
            <w:tcBorders>
              <w:top w:val="nil"/>
              <w:left w:val="nil"/>
              <w:bottom w:val="nil"/>
              <w:right w:val="single" w:color="auto" w:sz="4" w:space="0"/>
            </w:tcBorders>
            <w:shd w:val="clear" w:color="auto" w:fill="auto"/>
            <w:vAlign w:val="center"/>
            <w:hideMark/>
          </w:tcPr>
          <w:p w:rsidRPr="00B12187" w:rsidR="00B12187" w:rsidP="00B12187" w:rsidRDefault="00B12187" w14:paraId="2A03E98E" w14:textId="77777777">
            <w:pPr>
              <w:widowControl/>
              <w:jc w:val="right"/>
              <w:rPr>
                <w:rFonts w:ascii="Source Sans Pro" w:hAnsi="Source Sans Pro" w:cs="Calibri"/>
                <w:snapToGrid/>
                <w:color w:val="000000"/>
                <w:sz w:val="20"/>
              </w:rPr>
            </w:pPr>
            <w:r w:rsidRPr="00B12187">
              <w:rPr>
                <w:rFonts w:ascii="Source Sans Pro" w:hAnsi="Source Sans Pro" w:cs="Calibri"/>
                <w:snapToGrid/>
                <w:color w:val="000000"/>
                <w:sz w:val="20"/>
              </w:rPr>
              <w:t>$33.44</w:t>
            </w:r>
          </w:p>
        </w:tc>
        <w:tc>
          <w:tcPr>
            <w:tcW w:w="1779" w:type="dxa"/>
            <w:tcBorders>
              <w:top w:val="nil"/>
              <w:left w:val="nil"/>
              <w:bottom w:val="nil"/>
              <w:right w:val="single" w:color="auto" w:sz="4" w:space="0"/>
            </w:tcBorders>
            <w:shd w:val="clear" w:color="auto" w:fill="auto"/>
            <w:vAlign w:val="center"/>
            <w:hideMark/>
          </w:tcPr>
          <w:p w:rsidRPr="00B12187" w:rsidR="00B12187" w:rsidP="00B12187" w:rsidRDefault="00B12187" w14:paraId="7323A2E8" w14:textId="77777777">
            <w:pPr>
              <w:widowControl/>
              <w:jc w:val="right"/>
              <w:rPr>
                <w:rFonts w:ascii="Source Sans Pro" w:hAnsi="Source Sans Pro" w:cs="Calibri"/>
                <w:snapToGrid/>
                <w:color w:val="000000"/>
                <w:sz w:val="20"/>
              </w:rPr>
            </w:pPr>
            <w:r w:rsidRPr="00B12187">
              <w:rPr>
                <w:rFonts w:ascii="Source Sans Pro" w:hAnsi="Source Sans Pro" w:cs="Calibri"/>
                <w:snapToGrid/>
                <w:color w:val="000000"/>
                <w:sz w:val="20"/>
              </w:rPr>
              <w:t>70%</w:t>
            </w:r>
          </w:p>
        </w:tc>
        <w:tc>
          <w:tcPr>
            <w:tcW w:w="2867" w:type="dxa"/>
            <w:tcBorders>
              <w:top w:val="nil"/>
              <w:left w:val="single" w:color="auto" w:sz="4" w:space="0"/>
              <w:bottom w:val="single" w:color="auto" w:sz="4" w:space="0"/>
              <w:right w:val="single" w:color="auto" w:sz="8" w:space="0"/>
            </w:tcBorders>
            <w:shd w:val="clear" w:color="auto" w:fill="auto"/>
            <w:vAlign w:val="center"/>
            <w:hideMark/>
          </w:tcPr>
          <w:p w:rsidRPr="00B12187" w:rsidR="00B12187" w:rsidP="00B12187" w:rsidRDefault="00B12187" w14:paraId="392D9292" w14:textId="77777777">
            <w:pPr>
              <w:widowControl/>
              <w:jc w:val="right"/>
              <w:rPr>
                <w:rFonts w:ascii="Source Sans Pro" w:hAnsi="Source Sans Pro" w:cs="Calibri"/>
                <w:snapToGrid/>
                <w:color w:val="000000"/>
                <w:sz w:val="20"/>
              </w:rPr>
            </w:pPr>
            <w:r w:rsidRPr="00B12187">
              <w:rPr>
                <w:rFonts w:ascii="Source Sans Pro" w:hAnsi="Source Sans Pro" w:cs="Calibri"/>
                <w:snapToGrid/>
                <w:color w:val="000000"/>
                <w:sz w:val="20"/>
              </w:rPr>
              <w:t>$23.41</w:t>
            </w:r>
          </w:p>
        </w:tc>
      </w:tr>
      <w:tr w:rsidRPr="00B12187" w:rsidR="00B12187" w:rsidTr="0034516E" w14:paraId="0694E9CD" w14:textId="77777777">
        <w:trPr>
          <w:trHeight w:val="1116"/>
        </w:trPr>
        <w:tc>
          <w:tcPr>
            <w:tcW w:w="2707"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B12187" w:rsidR="00B12187" w:rsidP="00B12187" w:rsidRDefault="00B12187" w14:paraId="156FC39F" w14:textId="77777777">
            <w:pPr>
              <w:widowControl/>
              <w:rPr>
                <w:rFonts w:ascii="Source Sans Pro" w:hAnsi="Source Sans Pro" w:cs="Calibri"/>
                <w:snapToGrid/>
                <w:color w:val="000000"/>
                <w:sz w:val="20"/>
              </w:rPr>
            </w:pPr>
            <w:r w:rsidRPr="00B12187">
              <w:rPr>
                <w:rFonts w:ascii="Source Sans Pro" w:hAnsi="Source Sans Pro" w:cs="Calibri"/>
                <w:snapToGrid/>
                <w:color w:val="000000"/>
                <w:sz w:val="20"/>
              </w:rPr>
              <w:lastRenderedPageBreak/>
              <w:t>Total Estimated Weighted Average Hourly Compensation Rate</w:t>
            </w:r>
          </w:p>
        </w:tc>
        <w:tc>
          <w:tcPr>
            <w:tcW w:w="1997" w:type="dxa"/>
            <w:tcBorders>
              <w:top w:val="single" w:color="auto" w:sz="8" w:space="0"/>
              <w:left w:val="nil"/>
              <w:bottom w:val="single" w:color="auto" w:sz="8" w:space="0"/>
              <w:right w:val="single" w:color="auto" w:sz="4" w:space="0"/>
            </w:tcBorders>
            <w:shd w:val="clear" w:color="auto" w:fill="auto"/>
            <w:vAlign w:val="center"/>
            <w:hideMark/>
          </w:tcPr>
          <w:p w:rsidRPr="00B12187" w:rsidR="00B12187" w:rsidP="00B12187" w:rsidRDefault="00B12187" w14:paraId="7BB063C7" w14:textId="77777777">
            <w:pPr>
              <w:widowControl/>
              <w:rPr>
                <w:rFonts w:ascii="Source Sans Pro" w:hAnsi="Source Sans Pro" w:cs="Calibri"/>
                <w:snapToGrid/>
                <w:color w:val="000000"/>
                <w:sz w:val="20"/>
              </w:rPr>
            </w:pPr>
            <w:r w:rsidRPr="00B12187">
              <w:rPr>
                <w:rFonts w:ascii="Source Sans Pro" w:hAnsi="Source Sans Pro" w:cs="Calibri"/>
                <w:snapToGrid/>
                <w:color w:val="000000"/>
                <w:sz w:val="20"/>
              </w:rPr>
              <w:t> </w:t>
            </w:r>
          </w:p>
        </w:tc>
        <w:tc>
          <w:tcPr>
            <w:tcW w:w="1779" w:type="dxa"/>
            <w:tcBorders>
              <w:top w:val="single" w:color="auto" w:sz="8" w:space="0"/>
              <w:left w:val="nil"/>
              <w:bottom w:val="single" w:color="auto" w:sz="8" w:space="0"/>
              <w:right w:val="single" w:color="auto" w:sz="4" w:space="0"/>
            </w:tcBorders>
            <w:shd w:val="clear" w:color="auto" w:fill="auto"/>
            <w:vAlign w:val="center"/>
            <w:hideMark/>
          </w:tcPr>
          <w:p w:rsidRPr="00B12187" w:rsidR="00B12187" w:rsidP="00B12187" w:rsidRDefault="00B12187" w14:paraId="38F0D243" w14:textId="77777777">
            <w:pPr>
              <w:widowControl/>
              <w:jc w:val="right"/>
              <w:rPr>
                <w:rFonts w:ascii="Source Sans Pro" w:hAnsi="Source Sans Pro" w:cs="Calibri"/>
                <w:snapToGrid/>
                <w:color w:val="000000"/>
                <w:sz w:val="20"/>
              </w:rPr>
            </w:pPr>
            <w:r w:rsidRPr="00B12187">
              <w:rPr>
                <w:rFonts w:ascii="Source Sans Pro" w:hAnsi="Source Sans Pro" w:cs="Calibri"/>
                <w:snapToGrid/>
                <w:color w:val="000000"/>
                <w:sz w:val="20"/>
              </w:rPr>
              <w:t>100%</w:t>
            </w:r>
          </w:p>
        </w:tc>
        <w:tc>
          <w:tcPr>
            <w:tcW w:w="2867" w:type="dxa"/>
            <w:tcBorders>
              <w:top w:val="single" w:color="auto" w:sz="8" w:space="0"/>
              <w:left w:val="nil"/>
              <w:bottom w:val="single" w:color="auto" w:sz="8" w:space="0"/>
              <w:right w:val="single" w:color="auto" w:sz="8" w:space="0"/>
            </w:tcBorders>
            <w:shd w:val="clear" w:color="auto" w:fill="auto"/>
            <w:vAlign w:val="center"/>
            <w:hideMark/>
          </w:tcPr>
          <w:p w:rsidRPr="00B12187" w:rsidR="00B12187" w:rsidP="00B12187" w:rsidRDefault="00B12187" w14:paraId="09BF2FAE" w14:textId="77777777">
            <w:pPr>
              <w:widowControl/>
              <w:jc w:val="right"/>
              <w:rPr>
                <w:rFonts w:ascii="Source Sans Pro" w:hAnsi="Source Sans Pro" w:cs="Calibri"/>
                <w:snapToGrid/>
                <w:color w:val="000000"/>
                <w:sz w:val="20"/>
              </w:rPr>
            </w:pPr>
            <w:r w:rsidRPr="00B12187">
              <w:rPr>
                <w:rFonts w:ascii="Source Sans Pro" w:hAnsi="Source Sans Pro" w:cs="Calibri"/>
                <w:snapToGrid/>
                <w:color w:val="000000"/>
                <w:sz w:val="20"/>
              </w:rPr>
              <w:t>$49.21</w:t>
            </w:r>
          </w:p>
        </w:tc>
      </w:tr>
      <w:tr w:rsidRPr="00B12187" w:rsidR="00B12187" w:rsidTr="0034516E" w14:paraId="5CDD568D" w14:textId="77777777">
        <w:trPr>
          <w:trHeight w:val="288"/>
        </w:trPr>
        <w:tc>
          <w:tcPr>
            <w:tcW w:w="9350" w:type="dxa"/>
            <w:gridSpan w:val="4"/>
            <w:tcBorders>
              <w:top w:val="nil"/>
              <w:left w:val="nil"/>
              <w:bottom w:val="nil"/>
              <w:right w:val="nil"/>
            </w:tcBorders>
            <w:shd w:val="clear" w:color="auto" w:fill="auto"/>
            <w:hideMark/>
          </w:tcPr>
          <w:p w:rsidRPr="00B12187" w:rsidR="00B12187" w:rsidP="00B12187" w:rsidRDefault="00B12187" w14:paraId="19DA0ACF" w14:textId="77777777">
            <w:pPr>
              <w:widowControl/>
              <w:rPr>
                <w:rFonts w:ascii="Source Sans Pro" w:hAnsi="Source Sans Pro" w:cs="Calibri"/>
                <w:snapToGrid/>
                <w:color w:val="000000"/>
                <w:sz w:val="20"/>
              </w:rPr>
            </w:pPr>
            <w:r w:rsidRPr="00B12187">
              <w:rPr>
                <w:rFonts w:ascii="Source Sans Pro" w:hAnsi="Source Sans Pro" w:cs="Calibri"/>
                <w:snapToGrid/>
                <w:color w:val="000000"/>
                <w:sz w:val="20"/>
              </w:rPr>
              <w:t>Source: Bureau of Labor Statistics: "National Industry-Specific Occupational Employment and Wage Estimates: Industry: Credit Intermediation and Related Activities (5221 And 5223 only)" (May 2019), Employer Cost of Employee Compensation (December 2020), Consumer Price Index (December 2020).</w:t>
            </w:r>
          </w:p>
        </w:tc>
      </w:tr>
      <w:tr w:rsidRPr="00B12187" w:rsidR="00B12187" w:rsidTr="0034516E" w14:paraId="0284B7B9" w14:textId="77777777">
        <w:trPr>
          <w:trHeight w:val="288"/>
        </w:trPr>
        <w:tc>
          <w:tcPr>
            <w:tcW w:w="9350" w:type="dxa"/>
            <w:gridSpan w:val="4"/>
            <w:tcBorders>
              <w:top w:val="nil"/>
              <w:left w:val="nil"/>
              <w:bottom w:val="nil"/>
              <w:right w:val="nil"/>
            </w:tcBorders>
            <w:shd w:val="clear" w:color="auto" w:fill="auto"/>
            <w:hideMark/>
          </w:tcPr>
          <w:p w:rsidRPr="00B12187" w:rsidR="00B12187" w:rsidP="00B12187" w:rsidRDefault="00B12187" w14:paraId="324E57A2" w14:textId="77777777">
            <w:pPr>
              <w:widowControl/>
              <w:rPr>
                <w:rFonts w:ascii="Source Sans Pro" w:hAnsi="Source Sans Pro" w:cs="Calibri"/>
                <w:snapToGrid/>
                <w:color w:val="000000"/>
                <w:sz w:val="20"/>
              </w:rPr>
            </w:pPr>
            <w:r w:rsidRPr="00B12187">
              <w:rPr>
                <w:rFonts w:ascii="Source Sans Pro" w:hAnsi="Source Sans Pro" w:cs="Calibri"/>
                <w:snapToGrid/>
                <w:color w:val="000000"/>
                <w:sz w:val="20"/>
              </w:rPr>
              <w:t>Note: The 75th percentile wage information reported by the BLS in the Specific Occupational Employment and Wage Estimates does not include health benefits and other non-monetary benefits. According to the December 2020 Employer Cost of Employee Compensation data compensation rates for health and other benefits are 34 percent of total compensation. Additionally, the wage has been adjusted for inflation according BLS data on the Consumer Price Index for Urban Consumers (CPI-U) so that it is contemporaneous with the non-wage compensation statistic. The inflation rate was 1.71 percent between May 2019 and December 2020.</w:t>
            </w:r>
          </w:p>
        </w:tc>
      </w:tr>
      <w:tr w:rsidRPr="00B12187" w:rsidR="00B12187" w:rsidTr="0034516E" w14:paraId="7818ABA4" w14:textId="77777777">
        <w:trPr>
          <w:trHeight w:val="288"/>
        </w:trPr>
        <w:tc>
          <w:tcPr>
            <w:tcW w:w="9350" w:type="dxa"/>
            <w:gridSpan w:val="4"/>
            <w:tcBorders>
              <w:top w:val="nil"/>
              <w:left w:val="nil"/>
              <w:bottom w:val="nil"/>
              <w:right w:val="nil"/>
            </w:tcBorders>
            <w:shd w:val="clear" w:color="auto" w:fill="auto"/>
            <w:noWrap/>
            <w:vAlign w:val="bottom"/>
            <w:hideMark/>
          </w:tcPr>
          <w:p w:rsidRPr="00B12187" w:rsidR="00B12187" w:rsidP="00B12187" w:rsidRDefault="00B12187" w14:paraId="3888EDD4" w14:textId="77777777">
            <w:pPr>
              <w:widowControl/>
              <w:rPr>
                <w:rFonts w:ascii="Source Sans Pro" w:hAnsi="Source Sans Pro" w:cs="Calibri"/>
                <w:snapToGrid/>
                <w:color w:val="000000"/>
                <w:sz w:val="20"/>
              </w:rPr>
            </w:pPr>
            <w:r w:rsidRPr="00B12187">
              <w:rPr>
                <w:rFonts w:ascii="Source Sans Pro" w:hAnsi="Source Sans Pro" w:cs="Calibri"/>
                <w:snapToGrid/>
                <w:color w:val="000000"/>
                <w:sz w:val="20"/>
              </w:rPr>
              <w:t>*     Occupation (SOC Code): Management Occupations (110000)</w:t>
            </w:r>
          </w:p>
        </w:tc>
      </w:tr>
      <w:tr w:rsidRPr="00B12187" w:rsidR="00B12187" w:rsidTr="0034516E" w14:paraId="20FBA318" w14:textId="77777777">
        <w:trPr>
          <w:trHeight w:val="288"/>
        </w:trPr>
        <w:tc>
          <w:tcPr>
            <w:tcW w:w="9350" w:type="dxa"/>
            <w:gridSpan w:val="4"/>
            <w:tcBorders>
              <w:top w:val="nil"/>
              <w:left w:val="nil"/>
              <w:bottom w:val="nil"/>
              <w:right w:val="nil"/>
            </w:tcBorders>
            <w:shd w:val="clear" w:color="auto" w:fill="auto"/>
            <w:vAlign w:val="bottom"/>
            <w:hideMark/>
          </w:tcPr>
          <w:p w:rsidRPr="00B12187" w:rsidR="00B12187" w:rsidP="00B12187" w:rsidRDefault="00B12187" w14:paraId="657DAA50" w14:textId="77777777">
            <w:pPr>
              <w:widowControl/>
              <w:rPr>
                <w:rFonts w:ascii="Source Sans Pro" w:hAnsi="Source Sans Pro" w:cs="Calibri"/>
                <w:snapToGrid/>
                <w:color w:val="000000"/>
                <w:sz w:val="20"/>
              </w:rPr>
            </w:pPr>
            <w:r w:rsidRPr="00B12187">
              <w:rPr>
                <w:rFonts w:ascii="Source Sans Pro" w:hAnsi="Source Sans Pro" w:cs="Calibri"/>
                <w:snapToGrid/>
                <w:color w:val="000000"/>
                <w:sz w:val="20"/>
              </w:rPr>
              <w:t>**   Occupation (SOC Code): Legal Occupations (230000)</w:t>
            </w:r>
          </w:p>
        </w:tc>
      </w:tr>
      <w:tr w:rsidRPr="00B12187" w:rsidR="00B12187" w:rsidTr="0034516E" w14:paraId="28036660" w14:textId="77777777">
        <w:trPr>
          <w:trHeight w:val="288"/>
        </w:trPr>
        <w:tc>
          <w:tcPr>
            <w:tcW w:w="9350" w:type="dxa"/>
            <w:gridSpan w:val="4"/>
            <w:tcBorders>
              <w:top w:val="nil"/>
              <w:left w:val="nil"/>
              <w:bottom w:val="nil"/>
              <w:right w:val="nil"/>
            </w:tcBorders>
            <w:shd w:val="clear" w:color="auto" w:fill="auto"/>
            <w:noWrap/>
            <w:vAlign w:val="bottom"/>
            <w:hideMark/>
          </w:tcPr>
          <w:p w:rsidRPr="00B12187" w:rsidR="00B12187" w:rsidP="00B12187" w:rsidRDefault="00B12187" w14:paraId="70AC9600" w14:textId="77777777">
            <w:pPr>
              <w:widowControl/>
              <w:rPr>
                <w:rFonts w:ascii="Source Sans Pro" w:hAnsi="Source Sans Pro" w:cs="Calibri"/>
                <w:snapToGrid/>
                <w:color w:val="000000"/>
                <w:sz w:val="20"/>
              </w:rPr>
            </w:pPr>
            <w:r w:rsidRPr="00B12187">
              <w:rPr>
                <w:rFonts w:ascii="Source Sans Pro" w:hAnsi="Source Sans Pro" w:cs="Calibri"/>
                <w:snapToGrid/>
                <w:color w:val="000000"/>
                <w:sz w:val="20"/>
              </w:rPr>
              <w:t>*** Occupation (SOC Code): Compliance Officers (131040)</w:t>
            </w:r>
          </w:p>
        </w:tc>
      </w:tr>
      <w:tr w:rsidRPr="00B12187" w:rsidR="00B12187" w:rsidTr="0034516E" w14:paraId="06165E58" w14:textId="77777777">
        <w:trPr>
          <w:trHeight w:val="288"/>
        </w:trPr>
        <w:tc>
          <w:tcPr>
            <w:tcW w:w="9350" w:type="dxa"/>
            <w:gridSpan w:val="4"/>
            <w:tcBorders>
              <w:top w:val="nil"/>
              <w:left w:val="nil"/>
              <w:bottom w:val="nil"/>
              <w:right w:val="nil"/>
            </w:tcBorders>
            <w:shd w:val="clear" w:color="auto" w:fill="auto"/>
            <w:noWrap/>
            <w:vAlign w:val="bottom"/>
            <w:hideMark/>
          </w:tcPr>
          <w:p w:rsidRPr="00B12187" w:rsidR="00B12187" w:rsidP="00B12187" w:rsidRDefault="00B12187" w14:paraId="257B4BC4" w14:textId="77777777">
            <w:pPr>
              <w:widowControl/>
              <w:rPr>
                <w:rFonts w:ascii="Source Sans Pro" w:hAnsi="Source Sans Pro" w:cs="Calibri"/>
                <w:snapToGrid/>
                <w:color w:val="000000"/>
                <w:sz w:val="20"/>
              </w:rPr>
            </w:pPr>
            <w:r w:rsidRPr="00B12187">
              <w:rPr>
                <w:rFonts w:ascii="Source Sans Pro" w:hAnsi="Source Sans Pro" w:cs="Calibri"/>
                <w:snapToGrid/>
                <w:color w:val="000000"/>
                <w:sz w:val="20"/>
              </w:rPr>
              <w:t>†     Occupation (SOC Code): Computer and Mathematical Occupations (150000)</w:t>
            </w:r>
          </w:p>
        </w:tc>
      </w:tr>
      <w:tr w:rsidRPr="00B12187" w:rsidR="00B12187" w:rsidTr="0034516E" w14:paraId="3AF60C04" w14:textId="77777777">
        <w:trPr>
          <w:trHeight w:val="288"/>
        </w:trPr>
        <w:tc>
          <w:tcPr>
            <w:tcW w:w="9350" w:type="dxa"/>
            <w:gridSpan w:val="4"/>
            <w:tcBorders>
              <w:top w:val="nil"/>
              <w:left w:val="nil"/>
              <w:bottom w:val="nil"/>
              <w:right w:val="nil"/>
            </w:tcBorders>
            <w:shd w:val="clear" w:color="auto" w:fill="auto"/>
            <w:noWrap/>
            <w:vAlign w:val="bottom"/>
            <w:hideMark/>
          </w:tcPr>
          <w:p w:rsidRPr="00B12187" w:rsidR="00B12187" w:rsidP="00B12187" w:rsidRDefault="00B12187" w14:paraId="232E1C07" w14:textId="77777777">
            <w:pPr>
              <w:widowControl/>
              <w:rPr>
                <w:rFonts w:ascii="Source Sans Pro" w:hAnsi="Source Sans Pro" w:cs="Calibri"/>
                <w:snapToGrid/>
                <w:color w:val="000000"/>
                <w:sz w:val="20"/>
              </w:rPr>
            </w:pPr>
            <w:r w:rsidRPr="00B12187">
              <w:rPr>
                <w:rFonts w:ascii="Source Sans Pro" w:hAnsi="Source Sans Pro" w:cs="Calibri"/>
                <w:snapToGrid/>
                <w:color w:val="000000"/>
                <w:sz w:val="20"/>
              </w:rPr>
              <w:t>††   Occupation (SOC Code): Financial and Investment Analysts, Financial Risk Specialists, and Financial Specialists, All Other (132098)</w:t>
            </w:r>
          </w:p>
        </w:tc>
      </w:tr>
      <w:tr w:rsidRPr="00B12187" w:rsidR="00B12187" w:rsidTr="0034516E" w14:paraId="50582D1D" w14:textId="77777777">
        <w:trPr>
          <w:trHeight w:val="288"/>
        </w:trPr>
        <w:tc>
          <w:tcPr>
            <w:tcW w:w="9350" w:type="dxa"/>
            <w:gridSpan w:val="4"/>
            <w:tcBorders>
              <w:top w:val="nil"/>
              <w:left w:val="nil"/>
              <w:bottom w:val="nil"/>
              <w:right w:val="nil"/>
            </w:tcBorders>
            <w:shd w:val="clear" w:color="auto" w:fill="auto"/>
            <w:noWrap/>
            <w:vAlign w:val="bottom"/>
            <w:hideMark/>
          </w:tcPr>
          <w:p w:rsidRPr="00B12187" w:rsidR="00B12187" w:rsidP="00B12187" w:rsidRDefault="00B12187" w14:paraId="0C37B645" w14:textId="77777777">
            <w:pPr>
              <w:widowControl/>
              <w:rPr>
                <w:rFonts w:ascii="Source Sans Pro" w:hAnsi="Source Sans Pro" w:cs="Calibri"/>
                <w:snapToGrid/>
                <w:color w:val="000000"/>
                <w:sz w:val="20"/>
              </w:rPr>
            </w:pPr>
            <w:r w:rsidRPr="00B12187">
              <w:rPr>
                <w:rFonts w:ascii="Source Sans Pro" w:hAnsi="Source Sans Pro" w:cs="Calibri"/>
                <w:snapToGrid/>
                <w:color w:val="000000"/>
                <w:sz w:val="20"/>
              </w:rPr>
              <w:t>‡    Occupation (SOC Code): Office and Administrative Support Occupations (430000)</w:t>
            </w:r>
          </w:p>
        </w:tc>
      </w:tr>
    </w:tbl>
    <w:p w:rsidRPr="00E47080" w:rsidR="00366534" w:rsidRDefault="00366534" w14:paraId="61C78647" w14:textId="77777777">
      <w:pPr>
        <w:tabs>
          <w:tab w:val="left" w:pos="480"/>
          <w:tab w:val="left" w:pos="1080"/>
          <w:tab w:val="left" w:pos="1680"/>
        </w:tabs>
        <w:suppressAutoHyphens/>
        <w:rPr>
          <w:rFonts w:ascii="Times New Roman" w:hAnsi="Times New Roman"/>
          <w:highlight w:val="yellow"/>
        </w:rPr>
      </w:pPr>
    </w:p>
    <w:tbl>
      <w:tblPr>
        <w:tblW w:w="9350" w:type="dxa"/>
        <w:tblLook w:val="04A0" w:firstRow="1" w:lastRow="0" w:firstColumn="1" w:lastColumn="0" w:noHBand="0" w:noVBand="1"/>
      </w:tblPr>
      <w:tblGrid>
        <w:gridCol w:w="2822"/>
        <w:gridCol w:w="1983"/>
        <w:gridCol w:w="1766"/>
        <w:gridCol w:w="2779"/>
      </w:tblGrid>
      <w:tr w:rsidRPr="009A2D93" w:rsidR="009A2D93" w:rsidTr="0034516E" w14:paraId="7F52BAAE" w14:textId="77777777">
        <w:trPr>
          <w:trHeight w:val="492"/>
        </w:trPr>
        <w:tc>
          <w:tcPr>
            <w:tcW w:w="9350" w:type="dxa"/>
            <w:gridSpan w:val="4"/>
            <w:tcBorders>
              <w:top w:val="single" w:color="auto" w:sz="4" w:space="0"/>
              <w:left w:val="single" w:color="auto" w:sz="4" w:space="0"/>
              <w:bottom w:val="single" w:color="auto" w:sz="4" w:space="0"/>
              <w:right w:val="single" w:color="000000" w:sz="4" w:space="0"/>
            </w:tcBorders>
            <w:shd w:val="clear" w:color="auto" w:fill="auto"/>
            <w:vAlign w:val="center"/>
            <w:hideMark/>
          </w:tcPr>
          <w:p w:rsidRPr="009A2D93" w:rsidR="009A2D93" w:rsidP="009A2D93" w:rsidRDefault="009A2D93" w14:paraId="3E773C57" w14:textId="77777777">
            <w:pPr>
              <w:suppressAutoHyphens/>
              <w:autoSpaceDE w:val="0"/>
              <w:autoSpaceDN w:val="0"/>
              <w:spacing w:after="240" w:line="260" w:lineRule="exact"/>
              <w:ind w:right="-86"/>
              <w:jc w:val="center"/>
              <w:rPr>
                <w:rFonts w:ascii="Source Sans Pro" w:hAnsi="Source Sans Pro" w:cs="Calibri"/>
                <w:b/>
                <w:bCs/>
                <w:snapToGrid/>
                <w:color w:val="000000"/>
                <w:sz w:val="20"/>
              </w:rPr>
            </w:pPr>
            <w:r w:rsidRPr="009A2D93">
              <w:rPr>
                <w:rFonts w:ascii="Source Sans Pro" w:hAnsi="Source Sans Pro" w:cs="Calibri"/>
                <w:b/>
                <w:bCs/>
                <w:snapToGrid/>
                <w:color w:val="000000"/>
                <w:sz w:val="20"/>
              </w:rPr>
              <w:t xml:space="preserve">Summary of Hourly Burden Cost Estimate for the Branch Closure Policy Adoption Component </w:t>
            </w:r>
          </w:p>
        </w:tc>
      </w:tr>
      <w:tr w:rsidRPr="009A2D93" w:rsidR="009A2D93" w:rsidTr="0034516E" w14:paraId="13274D83" w14:textId="77777777">
        <w:trPr>
          <w:trHeight w:val="1392"/>
        </w:trPr>
        <w:tc>
          <w:tcPr>
            <w:tcW w:w="2822" w:type="dxa"/>
            <w:tcBorders>
              <w:top w:val="nil"/>
              <w:left w:val="single" w:color="auto" w:sz="8" w:space="0"/>
              <w:bottom w:val="single" w:color="auto" w:sz="8" w:space="0"/>
              <w:right w:val="single" w:color="auto" w:sz="4" w:space="0"/>
            </w:tcBorders>
            <w:shd w:val="clear" w:color="auto" w:fill="auto"/>
            <w:vAlign w:val="center"/>
            <w:hideMark/>
          </w:tcPr>
          <w:p w:rsidRPr="009A2D93" w:rsidR="009A2D93" w:rsidP="009A2D93" w:rsidRDefault="009A2D93" w14:paraId="23D0A6B0" w14:textId="77777777">
            <w:pPr>
              <w:widowControl/>
              <w:jc w:val="center"/>
              <w:rPr>
                <w:rFonts w:ascii="Source Sans Pro" w:hAnsi="Source Sans Pro" w:cs="Calibri"/>
                <w:snapToGrid/>
                <w:color w:val="000000"/>
                <w:sz w:val="20"/>
              </w:rPr>
            </w:pPr>
            <w:r w:rsidRPr="009A2D93">
              <w:rPr>
                <w:rFonts w:ascii="Source Sans Pro" w:hAnsi="Source Sans Pro" w:cs="Calibri"/>
                <w:snapToGrid/>
                <w:color w:val="000000"/>
                <w:sz w:val="20"/>
              </w:rPr>
              <w:t>Estimated Category of Personnel Responsible for Complying with the PRA Burden</w:t>
            </w:r>
          </w:p>
        </w:tc>
        <w:tc>
          <w:tcPr>
            <w:tcW w:w="1983" w:type="dxa"/>
            <w:tcBorders>
              <w:top w:val="nil"/>
              <w:left w:val="nil"/>
              <w:bottom w:val="single" w:color="auto" w:sz="8" w:space="0"/>
              <w:right w:val="single" w:color="auto" w:sz="4" w:space="0"/>
            </w:tcBorders>
            <w:shd w:val="clear" w:color="auto" w:fill="auto"/>
            <w:vAlign w:val="center"/>
            <w:hideMark/>
          </w:tcPr>
          <w:p w:rsidRPr="009A2D93" w:rsidR="009A2D93" w:rsidP="009A2D93" w:rsidRDefault="009A2D93" w14:paraId="169782FC" w14:textId="77777777">
            <w:pPr>
              <w:widowControl/>
              <w:jc w:val="center"/>
              <w:rPr>
                <w:rFonts w:ascii="Source Sans Pro" w:hAnsi="Source Sans Pro" w:cs="Calibri"/>
                <w:snapToGrid/>
                <w:color w:val="000000"/>
                <w:sz w:val="20"/>
              </w:rPr>
            </w:pPr>
            <w:r w:rsidRPr="009A2D93">
              <w:rPr>
                <w:rFonts w:ascii="Source Sans Pro" w:hAnsi="Source Sans Pro" w:cs="Calibri"/>
                <w:snapToGrid/>
                <w:color w:val="000000"/>
                <w:sz w:val="20"/>
              </w:rPr>
              <w:t>Total Estimated Hourly Compensation</w:t>
            </w:r>
          </w:p>
        </w:tc>
        <w:tc>
          <w:tcPr>
            <w:tcW w:w="1766" w:type="dxa"/>
            <w:tcBorders>
              <w:top w:val="nil"/>
              <w:left w:val="nil"/>
              <w:bottom w:val="single" w:color="auto" w:sz="8" w:space="0"/>
              <w:right w:val="single" w:color="auto" w:sz="4" w:space="0"/>
            </w:tcBorders>
            <w:shd w:val="clear" w:color="auto" w:fill="auto"/>
            <w:vAlign w:val="center"/>
            <w:hideMark/>
          </w:tcPr>
          <w:p w:rsidRPr="009A2D93" w:rsidR="009A2D93" w:rsidP="009A2D93" w:rsidRDefault="009A2D93" w14:paraId="4D88B73E" w14:textId="77777777">
            <w:pPr>
              <w:widowControl/>
              <w:jc w:val="center"/>
              <w:rPr>
                <w:rFonts w:ascii="Source Sans Pro" w:hAnsi="Source Sans Pro" w:cs="Calibri"/>
                <w:snapToGrid/>
                <w:color w:val="000000"/>
                <w:sz w:val="20"/>
              </w:rPr>
            </w:pPr>
            <w:r w:rsidRPr="009A2D93">
              <w:rPr>
                <w:rFonts w:ascii="Source Sans Pro" w:hAnsi="Source Sans Pro" w:cs="Calibri"/>
                <w:snapToGrid/>
                <w:color w:val="000000"/>
                <w:sz w:val="20"/>
              </w:rPr>
              <w:t>Estimated Weights</w:t>
            </w:r>
          </w:p>
        </w:tc>
        <w:tc>
          <w:tcPr>
            <w:tcW w:w="2779" w:type="dxa"/>
            <w:tcBorders>
              <w:top w:val="nil"/>
              <w:left w:val="nil"/>
              <w:bottom w:val="single" w:color="auto" w:sz="8" w:space="0"/>
              <w:right w:val="single" w:color="auto" w:sz="8" w:space="0"/>
            </w:tcBorders>
            <w:shd w:val="clear" w:color="auto" w:fill="auto"/>
            <w:vAlign w:val="center"/>
            <w:hideMark/>
          </w:tcPr>
          <w:p w:rsidRPr="009A2D93" w:rsidR="009A2D93" w:rsidP="009A2D93" w:rsidRDefault="009A2D93" w14:paraId="10EA9A1F" w14:textId="77777777">
            <w:pPr>
              <w:widowControl/>
              <w:jc w:val="center"/>
              <w:rPr>
                <w:rFonts w:ascii="Source Sans Pro" w:hAnsi="Source Sans Pro" w:cs="Calibri"/>
                <w:snapToGrid/>
                <w:color w:val="000000"/>
                <w:sz w:val="20"/>
              </w:rPr>
            </w:pPr>
            <w:r w:rsidRPr="009A2D93">
              <w:rPr>
                <w:rFonts w:ascii="Source Sans Pro" w:hAnsi="Source Sans Pro" w:cs="Calibri"/>
                <w:snapToGrid/>
                <w:color w:val="000000"/>
                <w:sz w:val="20"/>
              </w:rPr>
              <w:t>Estimated Total Weighted Labor Cost Component</w:t>
            </w:r>
          </w:p>
        </w:tc>
      </w:tr>
      <w:tr w:rsidRPr="009A2D93" w:rsidR="009A2D93" w:rsidTr="0034516E" w14:paraId="33DC9D84" w14:textId="77777777">
        <w:trPr>
          <w:trHeight w:val="552"/>
        </w:trPr>
        <w:tc>
          <w:tcPr>
            <w:tcW w:w="2822" w:type="dxa"/>
            <w:tcBorders>
              <w:top w:val="nil"/>
              <w:left w:val="single" w:color="auto" w:sz="8" w:space="0"/>
              <w:bottom w:val="single" w:color="auto" w:sz="4" w:space="0"/>
              <w:right w:val="single" w:color="auto" w:sz="4" w:space="0"/>
            </w:tcBorders>
            <w:shd w:val="clear" w:color="auto" w:fill="auto"/>
            <w:vAlign w:val="center"/>
            <w:hideMark/>
          </w:tcPr>
          <w:p w:rsidRPr="009A2D93" w:rsidR="009A2D93" w:rsidP="009A2D93" w:rsidRDefault="009A2D93" w14:paraId="65D5618C" w14:textId="77777777">
            <w:pPr>
              <w:widowControl/>
              <w:rPr>
                <w:rFonts w:ascii="Source Sans Pro" w:hAnsi="Source Sans Pro" w:cs="Calibri"/>
                <w:snapToGrid/>
                <w:color w:val="000000"/>
                <w:sz w:val="20"/>
              </w:rPr>
            </w:pPr>
            <w:r w:rsidRPr="009A2D93">
              <w:rPr>
                <w:rFonts w:ascii="Source Sans Pro" w:hAnsi="Source Sans Pro" w:cs="Calibri"/>
                <w:snapToGrid/>
                <w:color w:val="000000"/>
                <w:sz w:val="20"/>
              </w:rPr>
              <w:t>Executives and Managers*</w:t>
            </w:r>
          </w:p>
        </w:tc>
        <w:tc>
          <w:tcPr>
            <w:tcW w:w="1983" w:type="dxa"/>
            <w:tcBorders>
              <w:top w:val="nil"/>
              <w:left w:val="single" w:color="auto" w:sz="4" w:space="0"/>
              <w:bottom w:val="single" w:color="auto" w:sz="4" w:space="0"/>
              <w:right w:val="single" w:color="auto" w:sz="4" w:space="0"/>
            </w:tcBorders>
            <w:shd w:val="clear" w:color="auto" w:fill="auto"/>
            <w:vAlign w:val="center"/>
            <w:hideMark/>
          </w:tcPr>
          <w:p w:rsidRPr="009A2D93" w:rsidR="009A2D93" w:rsidP="009A2D93" w:rsidRDefault="009A2D93" w14:paraId="460C1239" w14:textId="77777777">
            <w:pPr>
              <w:widowControl/>
              <w:jc w:val="right"/>
              <w:rPr>
                <w:rFonts w:ascii="Source Sans Pro" w:hAnsi="Source Sans Pro" w:cs="Calibri"/>
                <w:snapToGrid/>
                <w:color w:val="000000"/>
                <w:sz w:val="20"/>
              </w:rPr>
            </w:pPr>
            <w:r w:rsidRPr="009A2D93">
              <w:rPr>
                <w:rFonts w:ascii="Source Sans Pro" w:hAnsi="Source Sans Pro" w:cs="Calibri"/>
                <w:snapToGrid/>
                <w:color w:val="000000"/>
                <w:sz w:val="20"/>
              </w:rPr>
              <w:t>$123.30</w:t>
            </w:r>
          </w:p>
        </w:tc>
        <w:tc>
          <w:tcPr>
            <w:tcW w:w="1766" w:type="dxa"/>
            <w:tcBorders>
              <w:top w:val="nil"/>
              <w:left w:val="nil"/>
              <w:bottom w:val="single" w:color="auto" w:sz="4" w:space="0"/>
              <w:right w:val="single" w:color="auto" w:sz="4" w:space="0"/>
            </w:tcBorders>
            <w:shd w:val="clear" w:color="auto" w:fill="auto"/>
            <w:vAlign w:val="center"/>
            <w:hideMark/>
          </w:tcPr>
          <w:p w:rsidRPr="009A2D93" w:rsidR="009A2D93" w:rsidP="009A2D93" w:rsidRDefault="009A2D93" w14:paraId="5823F0CB" w14:textId="77777777">
            <w:pPr>
              <w:widowControl/>
              <w:jc w:val="right"/>
              <w:rPr>
                <w:rFonts w:ascii="Source Sans Pro" w:hAnsi="Source Sans Pro" w:cs="Calibri"/>
                <w:snapToGrid/>
                <w:color w:val="000000"/>
                <w:sz w:val="20"/>
              </w:rPr>
            </w:pPr>
            <w:r w:rsidRPr="009A2D93">
              <w:rPr>
                <w:rFonts w:ascii="Source Sans Pro" w:hAnsi="Source Sans Pro" w:cs="Calibri"/>
                <w:snapToGrid/>
                <w:color w:val="000000"/>
                <w:sz w:val="20"/>
              </w:rPr>
              <w:t>20%</w:t>
            </w:r>
          </w:p>
        </w:tc>
        <w:tc>
          <w:tcPr>
            <w:tcW w:w="2779" w:type="dxa"/>
            <w:tcBorders>
              <w:top w:val="nil"/>
              <w:left w:val="single" w:color="auto" w:sz="4" w:space="0"/>
              <w:bottom w:val="single" w:color="auto" w:sz="4" w:space="0"/>
              <w:right w:val="single" w:color="auto" w:sz="8" w:space="0"/>
            </w:tcBorders>
            <w:shd w:val="clear" w:color="auto" w:fill="auto"/>
            <w:vAlign w:val="center"/>
            <w:hideMark/>
          </w:tcPr>
          <w:p w:rsidRPr="009A2D93" w:rsidR="009A2D93" w:rsidP="009A2D93" w:rsidRDefault="009A2D93" w14:paraId="75D97EA6" w14:textId="77777777">
            <w:pPr>
              <w:widowControl/>
              <w:jc w:val="right"/>
              <w:rPr>
                <w:rFonts w:ascii="Source Sans Pro" w:hAnsi="Source Sans Pro" w:cs="Calibri"/>
                <w:snapToGrid/>
                <w:color w:val="000000"/>
                <w:sz w:val="20"/>
              </w:rPr>
            </w:pPr>
            <w:r w:rsidRPr="009A2D93">
              <w:rPr>
                <w:rFonts w:ascii="Source Sans Pro" w:hAnsi="Source Sans Pro" w:cs="Calibri"/>
                <w:snapToGrid/>
                <w:color w:val="000000"/>
                <w:sz w:val="20"/>
              </w:rPr>
              <w:t>$24.66</w:t>
            </w:r>
          </w:p>
        </w:tc>
      </w:tr>
      <w:tr w:rsidRPr="009A2D93" w:rsidR="009A2D93" w:rsidTr="0034516E" w14:paraId="2FF70DF4" w14:textId="77777777">
        <w:trPr>
          <w:trHeight w:val="288"/>
        </w:trPr>
        <w:tc>
          <w:tcPr>
            <w:tcW w:w="2822" w:type="dxa"/>
            <w:tcBorders>
              <w:top w:val="nil"/>
              <w:left w:val="single" w:color="auto" w:sz="8" w:space="0"/>
              <w:bottom w:val="single" w:color="auto" w:sz="4" w:space="0"/>
              <w:right w:val="single" w:color="auto" w:sz="4" w:space="0"/>
            </w:tcBorders>
            <w:shd w:val="clear" w:color="auto" w:fill="auto"/>
            <w:vAlign w:val="center"/>
            <w:hideMark/>
          </w:tcPr>
          <w:p w:rsidRPr="009A2D93" w:rsidR="009A2D93" w:rsidP="009A2D93" w:rsidRDefault="009A2D93" w14:paraId="3193AA7E" w14:textId="77777777">
            <w:pPr>
              <w:widowControl/>
              <w:rPr>
                <w:rFonts w:ascii="Source Sans Pro" w:hAnsi="Source Sans Pro" w:cs="Calibri"/>
                <w:snapToGrid/>
                <w:color w:val="000000"/>
                <w:sz w:val="20"/>
              </w:rPr>
            </w:pPr>
            <w:r w:rsidRPr="009A2D93">
              <w:rPr>
                <w:rFonts w:ascii="Source Sans Pro" w:hAnsi="Source Sans Pro" w:cs="Calibri"/>
                <w:snapToGrid/>
                <w:color w:val="000000"/>
                <w:sz w:val="20"/>
              </w:rPr>
              <w:t>Lawyers**</w:t>
            </w:r>
          </w:p>
        </w:tc>
        <w:tc>
          <w:tcPr>
            <w:tcW w:w="1983" w:type="dxa"/>
            <w:tcBorders>
              <w:top w:val="nil"/>
              <w:left w:val="single" w:color="auto" w:sz="4" w:space="0"/>
              <w:bottom w:val="single" w:color="auto" w:sz="4" w:space="0"/>
              <w:right w:val="single" w:color="auto" w:sz="4" w:space="0"/>
            </w:tcBorders>
            <w:shd w:val="clear" w:color="auto" w:fill="auto"/>
            <w:vAlign w:val="center"/>
            <w:hideMark/>
          </w:tcPr>
          <w:p w:rsidRPr="009A2D93" w:rsidR="009A2D93" w:rsidP="009A2D93" w:rsidRDefault="009A2D93" w14:paraId="09007FF0" w14:textId="77777777">
            <w:pPr>
              <w:widowControl/>
              <w:jc w:val="right"/>
              <w:rPr>
                <w:rFonts w:ascii="Source Sans Pro" w:hAnsi="Source Sans Pro" w:cs="Calibri"/>
                <w:snapToGrid/>
                <w:color w:val="000000"/>
                <w:sz w:val="20"/>
              </w:rPr>
            </w:pPr>
            <w:r w:rsidRPr="009A2D93">
              <w:rPr>
                <w:rFonts w:ascii="Source Sans Pro" w:hAnsi="Source Sans Pro" w:cs="Calibri"/>
                <w:snapToGrid/>
                <w:color w:val="000000"/>
                <w:sz w:val="20"/>
              </w:rPr>
              <w:t>$151.44</w:t>
            </w:r>
          </w:p>
        </w:tc>
        <w:tc>
          <w:tcPr>
            <w:tcW w:w="1766" w:type="dxa"/>
            <w:tcBorders>
              <w:top w:val="nil"/>
              <w:left w:val="nil"/>
              <w:bottom w:val="single" w:color="auto" w:sz="4" w:space="0"/>
              <w:right w:val="single" w:color="auto" w:sz="4" w:space="0"/>
            </w:tcBorders>
            <w:shd w:val="clear" w:color="auto" w:fill="auto"/>
            <w:vAlign w:val="center"/>
            <w:hideMark/>
          </w:tcPr>
          <w:p w:rsidRPr="009A2D93" w:rsidR="009A2D93" w:rsidP="009A2D93" w:rsidRDefault="009A2D93" w14:paraId="7338DDB2" w14:textId="77777777">
            <w:pPr>
              <w:widowControl/>
              <w:jc w:val="right"/>
              <w:rPr>
                <w:rFonts w:ascii="Source Sans Pro" w:hAnsi="Source Sans Pro" w:cs="Calibri"/>
                <w:snapToGrid/>
                <w:color w:val="000000"/>
                <w:sz w:val="20"/>
              </w:rPr>
            </w:pPr>
            <w:r w:rsidRPr="009A2D93">
              <w:rPr>
                <w:rFonts w:ascii="Source Sans Pro" w:hAnsi="Source Sans Pro" w:cs="Calibri"/>
                <w:snapToGrid/>
                <w:color w:val="000000"/>
                <w:sz w:val="20"/>
              </w:rPr>
              <w:t>0%</w:t>
            </w:r>
          </w:p>
        </w:tc>
        <w:tc>
          <w:tcPr>
            <w:tcW w:w="2779" w:type="dxa"/>
            <w:tcBorders>
              <w:top w:val="nil"/>
              <w:left w:val="single" w:color="auto" w:sz="4" w:space="0"/>
              <w:bottom w:val="single" w:color="auto" w:sz="4" w:space="0"/>
              <w:right w:val="single" w:color="auto" w:sz="8" w:space="0"/>
            </w:tcBorders>
            <w:shd w:val="clear" w:color="auto" w:fill="auto"/>
            <w:vAlign w:val="center"/>
            <w:hideMark/>
          </w:tcPr>
          <w:p w:rsidRPr="009A2D93" w:rsidR="009A2D93" w:rsidP="009A2D93" w:rsidRDefault="009A2D93" w14:paraId="679DE8C0" w14:textId="77777777">
            <w:pPr>
              <w:widowControl/>
              <w:jc w:val="right"/>
              <w:rPr>
                <w:rFonts w:ascii="Source Sans Pro" w:hAnsi="Source Sans Pro" w:cs="Calibri"/>
                <w:snapToGrid/>
                <w:color w:val="000000"/>
                <w:sz w:val="20"/>
              </w:rPr>
            </w:pPr>
            <w:r w:rsidRPr="009A2D93">
              <w:rPr>
                <w:rFonts w:ascii="Source Sans Pro" w:hAnsi="Source Sans Pro" w:cs="Calibri"/>
                <w:snapToGrid/>
                <w:color w:val="000000"/>
                <w:sz w:val="20"/>
              </w:rPr>
              <w:t>$0.00</w:t>
            </w:r>
          </w:p>
        </w:tc>
      </w:tr>
      <w:tr w:rsidRPr="009A2D93" w:rsidR="009A2D93" w:rsidTr="0034516E" w14:paraId="232B0FE6" w14:textId="77777777">
        <w:trPr>
          <w:trHeight w:val="288"/>
        </w:trPr>
        <w:tc>
          <w:tcPr>
            <w:tcW w:w="2822" w:type="dxa"/>
            <w:tcBorders>
              <w:top w:val="nil"/>
              <w:left w:val="single" w:color="auto" w:sz="8" w:space="0"/>
              <w:bottom w:val="single" w:color="auto" w:sz="4" w:space="0"/>
              <w:right w:val="single" w:color="auto" w:sz="4" w:space="0"/>
            </w:tcBorders>
            <w:shd w:val="clear" w:color="auto" w:fill="auto"/>
            <w:vAlign w:val="center"/>
            <w:hideMark/>
          </w:tcPr>
          <w:p w:rsidRPr="009A2D93" w:rsidR="009A2D93" w:rsidP="009A2D93" w:rsidRDefault="009A2D93" w14:paraId="33DF1B50" w14:textId="77777777">
            <w:pPr>
              <w:widowControl/>
              <w:rPr>
                <w:rFonts w:ascii="Source Sans Pro" w:hAnsi="Source Sans Pro" w:cs="Calibri"/>
                <w:snapToGrid/>
                <w:color w:val="000000"/>
                <w:sz w:val="20"/>
              </w:rPr>
            </w:pPr>
            <w:r w:rsidRPr="009A2D93">
              <w:rPr>
                <w:rFonts w:ascii="Source Sans Pro" w:hAnsi="Source Sans Pro" w:cs="Calibri"/>
                <w:snapToGrid/>
                <w:color w:val="000000"/>
                <w:sz w:val="20"/>
              </w:rPr>
              <w:t>Compliance Officer***</w:t>
            </w:r>
          </w:p>
        </w:tc>
        <w:tc>
          <w:tcPr>
            <w:tcW w:w="1983" w:type="dxa"/>
            <w:tcBorders>
              <w:top w:val="nil"/>
              <w:left w:val="single" w:color="auto" w:sz="4" w:space="0"/>
              <w:bottom w:val="single" w:color="auto" w:sz="4" w:space="0"/>
              <w:right w:val="single" w:color="auto" w:sz="4" w:space="0"/>
            </w:tcBorders>
            <w:shd w:val="clear" w:color="auto" w:fill="auto"/>
            <w:vAlign w:val="center"/>
            <w:hideMark/>
          </w:tcPr>
          <w:p w:rsidRPr="009A2D93" w:rsidR="009A2D93" w:rsidP="009A2D93" w:rsidRDefault="009A2D93" w14:paraId="1127A575" w14:textId="77777777">
            <w:pPr>
              <w:widowControl/>
              <w:jc w:val="right"/>
              <w:rPr>
                <w:rFonts w:ascii="Source Sans Pro" w:hAnsi="Source Sans Pro" w:cs="Calibri"/>
                <w:snapToGrid/>
                <w:color w:val="000000"/>
                <w:sz w:val="20"/>
              </w:rPr>
            </w:pPr>
            <w:r w:rsidRPr="009A2D93">
              <w:rPr>
                <w:rFonts w:ascii="Source Sans Pro" w:hAnsi="Source Sans Pro" w:cs="Calibri"/>
                <w:snapToGrid/>
                <w:color w:val="000000"/>
                <w:sz w:val="20"/>
              </w:rPr>
              <w:t>$67.35</w:t>
            </w:r>
          </w:p>
        </w:tc>
        <w:tc>
          <w:tcPr>
            <w:tcW w:w="1766" w:type="dxa"/>
            <w:tcBorders>
              <w:top w:val="nil"/>
              <w:left w:val="nil"/>
              <w:bottom w:val="single" w:color="auto" w:sz="4" w:space="0"/>
              <w:right w:val="single" w:color="auto" w:sz="4" w:space="0"/>
            </w:tcBorders>
            <w:shd w:val="clear" w:color="auto" w:fill="auto"/>
            <w:vAlign w:val="center"/>
            <w:hideMark/>
          </w:tcPr>
          <w:p w:rsidRPr="009A2D93" w:rsidR="009A2D93" w:rsidP="009A2D93" w:rsidRDefault="009A2D93" w14:paraId="3903215E" w14:textId="77777777">
            <w:pPr>
              <w:widowControl/>
              <w:jc w:val="right"/>
              <w:rPr>
                <w:rFonts w:ascii="Source Sans Pro" w:hAnsi="Source Sans Pro" w:cs="Calibri"/>
                <w:snapToGrid/>
                <w:color w:val="000000"/>
                <w:sz w:val="20"/>
              </w:rPr>
            </w:pPr>
            <w:r w:rsidRPr="009A2D93">
              <w:rPr>
                <w:rFonts w:ascii="Source Sans Pro" w:hAnsi="Source Sans Pro" w:cs="Calibri"/>
                <w:snapToGrid/>
                <w:color w:val="000000"/>
                <w:sz w:val="20"/>
              </w:rPr>
              <w:t>80%</w:t>
            </w:r>
          </w:p>
        </w:tc>
        <w:tc>
          <w:tcPr>
            <w:tcW w:w="2779" w:type="dxa"/>
            <w:tcBorders>
              <w:top w:val="nil"/>
              <w:left w:val="single" w:color="auto" w:sz="4" w:space="0"/>
              <w:bottom w:val="single" w:color="auto" w:sz="4" w:space="0"/>
              <w:right w:val="single" w:color="auto" w:sz="8" w:space="0"/>
            </w:tcBorders>
            <w:shd w:val="clear" w:color="auto" w:fill="auto"/>
            <w:vAlign w:val="center"/>
            <w:hideMark/>
          </w:tcPr>
          <w:p w:rsidRPr="009A2D93" w:rsidR="009A2D93" w:rsidP="009A2D93" w:rsidRDefault="009A2D93" w14:paraId="4823DEE7" w14:textId="77777777">
            <w:pPr>
              <w:widowControl/>
              <w:jc w:val="right"/>
              <w:rPr>
                <w:rFonts w:ascii="Source Sans Pro" w:hAnsi="Source Sans Pro" w:cs="Calibri"/>
                <w:snapToGrid/>
                <w:color w:val="000000"/>
                <w:sz w:val="20"/>
              </w:rPr>
            </w:pPr>
            <w:r w:rsidRPr="009A2D93">
              <w:rPr>
                <w:rFonts w:ascii="Source Sans Pro" w:hAnsi="Source Sans Pro" w:cs="Calibri"/>
                <w:snapToGrid/>
                <w:color w:val="000000"/>
                <w:sz w:val="20"/>
              </w:rPr>
              <w:t>$53.88</w:t>
            </w:r>
          </w:p>
        </w:tc>
      </w:tr>
      <w:tr w:rsidRPr="009A2D93" w:rsidR="009A2D93" w:rsidTr="0034516E" w14:paraId="4016A011" w14:textId="77777777">
        <w:trPr>
          <w:trHeight w:val="288"/>
        </w:trPr>
        <w:tc>
          <w:tcPr>
            <w:tcW w:w="2822" w:type="dxa"/>
            <w:tcBorders>
              <w:top w:val="nil"/>
              <w:left w:val="single" w:color="auto" w:sz="8" w:space="0"/>
              <w:bottom w:val="single" w:color="auto" w:sz="4" w:space="0"/>
              <w:right w:val="single" w:color="auto" w:sz="4" w:space="0"/>
            </w:tcBorders>
            <w:shd w:val="clear" w:color="auto" w:fill="auto"/>
            <w:vAlign w:val="center"/>
            <w:hideMark/>
          </w:tcPr>
          <w:p w:rsidRPr="009A2D93" w:rsidR="009A2D93" w:rsidP="009A2D93" w:rsidRDefault="009A2D93" w14:paraId="460DA513" w14:textId="77777777">
            <w:pPr>
              <w:widowControl/>
              <w:rPr>
                <w:rFonts w:ascii="Source Sans Pro" w:hAnsi="Source Sans Pro" w:cs="Calibri"/>
                <w:snapToGrid/>
                <w:color w:val="000000"/>
                <w:sz w:val="20"/>
              </w:rPr>
            </w:pPr>
            <w:r w:rsidRPr="009A2D93">
              <w:rPr>
                <w:rFonts w:ascii="Source Sans Pro" w:hAnsi="Source Sans Pro" w:cs="Calibri"/>
                <w:snapToGrid/>
                <w:color w:val="000000"/>
                <w:sz w:val="20"/>
              </w:rPr>
              <w:t>IT Specialists†</w:t>
            </w:r>
          </w:p>
        </w:tc>
        <w:tc>
          <w:tcPr>
            <w:tcW w:w="1983" w:type="dxa"/>
            <w:tcBorders>
              <w:top w:val="nil"/>
              <w:left w:val="single" w:color="auto" w:sz="4" w:space="0"/>
              <w:bottom w:val="single" w:color="auto" w:sz="4" w:space="0"/>
              <w:right w:val="single" w:color="auto" w:sz="4" w:space="0"/>
            </w:tcBorders>
            <w:shd w:val="clear" w:color="auto" w:fill="auto"/>
            <w:vAlign w:val="center"/>
            <w:hideMark/>
          </w:tcPr>
          <w:p w:rsidRPr="009A2D93" w:rsidR="009A2D93" w:rsidP="009A2D93" w:rsidRDefault="009A2D93" w14:paraId="14829E6D" w14:textId="77777777">
            <w:pPr>
              <w:widowControl/>
              <w:jc w:val="right"/>
              <w:rPr>
                <w:rFonts w:ascii="Source Sans Pro" w:hAnsi="Source Sans Pro" w:cs="Calibri"/>
                <w:snapToGrid/>
                <w:color w:val="000000"/>
                <w:sz w:val="20"/>
              </w:rPr>
            </w:pPr>
            <w:r w:rsidRPr="009A2D93">
              <w:rPr>
                <w:rFonts w:ascii="Source Sans Pro" w:hAnsi="Source Sans Pro" w:cs="Calibri"/>
                <w:snapToGrid/>
                <w:color w:val="000000"/>
                <w:sz w:val="20"/>
              </w:rPr>
              <w:t>$92.30</w:t>
            </w:r>
          </w:p>
        </w:tc>
        <w:tc>
          <w:tcPr>
            <w:tcW w:w="1766" w:type="dxa"/>
            <w:tcBorders>
              <w:top w:val="nil"/>
              <w:left w:val="nil"/>
              <w:bottom w:val="single" w:color="auto" w:sz="4" w:space="0"/>
              <w:right w:val="single" w:color="auto" w:sz="4" w:space="0"/>
            </w:tcBorders>
            <w:shd w:val="clear" w:color="auto" w:fill="auto"/>
            <w:vAlign w:val="center"/>
            <w:hideMark/>
          </w:tcPr>
          <w:p w:rsidRPr="009A2D93" w:rsidR="009A2D93" w:rsidP="009A2D93" w:rsidRDefault="009A2D93" w14:paraId="72046AE0" w14:textId="77777777">
            <w:pPr>
              <w:widowControl/>
              <w:jc w:val="right"/>
              <w:rPr>
                <w:rFonts w:ascii="Source Sans Pro" w:hAnsi="Source Sans Pro" w:cs="Calibri"/>
                <w:snapToGrid/>
                <w:color w:val="000000"/>
                <w:sz w:val="20"/>
              </w:rPr>
            </w:pPr>
            <w:r w:rsidRPr="009A2D93">
              <w:rPr>
                <w:rFonts w:ascii="Source Sans Pro" w:hAnsi="Source Sans Pro" w:cs="Calibri"/>
                <w:snapToGrid/>
                <w:color w:val="000000"/>
                <w:sz w:val="20"/>
              </w:rPr>
              <w:t>0%</w:t>
            </w:r>
          </w:p>
        </w:tc>
        <w:tc>
          <w:tcPr>
            <w:tcW w:w="2779" w:type="dxa"/>
            <w:tcBorders>
              <w:top w:val="nil"/>
              <w:left w:val="single" w:color="auto" w:sz="4" w:space="0"/>
              <w:bottom w:val="single" w:color="auto" w:sz="4" w:space="0"/>
              <w:right w:val="single" w:color="auto" w:sz="8" w:space="0"/>
            </w:tcBorders>
            <w:shd w:val="clear" w:color="auto" w:fill="auto"/>
            <w:vAlign w:val="center"/>
            <w:hideMark/>
          </w:tcPr>
          <w:p w:rsidRPr="009A2D93" w:rsidR="009A2D93" w:rsidP="009A2D93" w:rsidRDefault="009A2D93" w14:paraId="2E8504D1" w14:textId="77777777">
            <w:pPr>
              <w:widowControl/>
              <w:jc w:val="right"/>
              <w:rPr>
                <w:rFonts w:ascii="Source Sans Pro" w:hAnsi="Source Sans Pro" w:cs="Calibri"/>
                <w:snapToGrid/>
                <w:color w:val="000000"/>
                <w:sz w:val="20"/>
              </w:rPr>
            </w:pPr>
            <w:r w:rsidRPr="009A2D93">
              <w:rPr>
                <w:rFonts w:ascii="Source Sans Pro" w:hAnsi="Source Sans Pro" w:cs="Calibri"/>
                <w:snapToGrid/>
                <w:color w:val="000000"/>
                <w:sz w:val="20"/>
              </w:rPr>
              <w:t>$0.00</w:t>
            </w:r>
          </w:p>
        </w:tc>
      </w:tr>
      <w:tr w:rsidRPr="009A2D93" w:rsidR="009A2D93" w:rsidTr="0034516E" w14:paraId="4C72D915" w14:textId="77777777">
        <w:trPr>
          <w:trHeight w:val="288"/>
        </w:trPr>
        <w:tc>
          <w:tcPr>
            <w:tcW w:w="2822" w:type="dxa"/>
            <w:tcBorders>
              <w:top w:val="nil"/>
              <w:left w:val="single" w:color="auto" w:sz="8" w:space="0"/>
              <w:bottom w:val="single" w:color="auto" w:sz="4" w:space="0"/>
              <w:right w:val="single" w:color="auto" w:sz="4" w:space="0"/>
            </w:tcBorders>
            <w:shd w:val="clear" w:color="auto" w:fill="auto"/>
            <w:vAlign w:val="center"/>
            <w:hideMark/>
          </w:tcPr>
          <w:p w:rsidRPr="009A2D93" w:rsidR="009A2D93" w:rsidP="009A2D93" w:rsidRDefault="009A2D93" w14:paraId="3F07735C" w14:textId="77777777">
            <w:pPr>
              <w:widowControl/>
              <w:rPr>
                <w:rFonts w:ascii="Source Sans Pro" w:hAnsi="Source Sans Pro" w:cs="Calibri"/>
                <w:snapToGrid/>
                <w:color w:val="000000"/>
                <w:sz w:val="20"/>
              </w:rPr>
            </w:pPr>
            <w:r w:rsidRPr="009A2D93">
              <w:rPr>
                <w:rFonts w:ascii="Source Sans Pro" w:hAnsi="Source Sans Pro" w:cs="Calibri"/>
                <w:snapToGrid/>
                <w:color w:val="000000"/>
                <w:sz w:val="20"/>
              </w:rPr>
              <w:t>Financial Analysts††</w:t>
            </w:r>
          </w:p>
        </w:tc>
        <w:tc>
          <w:tcPr>
            <w:tcW w:w="1983" w:type="dxa"/>
            <w:tcBorders>
              <w:top w:val="nil"/>
              <w:left w:val="single" w:color="auto" w:sz="4" w:space="0"/>
              <w:bottom w:val="single" w:color="auto" w:sz="4" w:space="0"/>
              <w:right w:val="single" w:color="auto" w:sz="4" w:space="0"/>
            </w:tcBorders>
            <w:shd w:val="clear" w:color="auto" w:fill="auto"/>
            <w:vAlign w:val="center"/>
            <w:hideMark/>
          </w:tcPr>
          <w:p w:rsidRPr="009A2D93" w:rsidR="009A2D93" w:rsidP="009A2D93" w:rsidRDefault="009A2D93" w14:paraId="1BE15954" w14:textId="77777777">
            <w:pPr>
              <w:widowControl/>
              <w:jc w:val="right"/>
              <w:rPr>
                <w:rFonts w:ascii="Source Sans Pro" w:hAnsi="Source Sans Pro" w:cs="Calibri"/>
                <w:snapToGrid/>
                <w:color w:val="000000"/>
                <w:sz w:val="20"/>
              </w:rPr>
            </w:pPr>
            <w:r w:rsidRPr="009A2D93">
              <w:rPr>
                <w:rFonts w:ascii="Source Sans Pro" w:hAnsi="Source Sans Pro" w:cs="Calibri"/>
                <w:snapToGrid/>
                <w:color w:val="000000"/>
                <w:sz w:val="20"/>
              </w:rPr>
              <w:t>$79.40</w:t>
            </w:r>
          </w:p>
        </w:tc>
        <w:tc>
          <w:tcPr>
            <w:tcW w:w="1766" w:type="dxa"/>
            <w:tcBorders>
              <w:top w:val="nil"/>
              <w:left w:val="nil"/>
              <w:bottom w:val="single" w:color="auto" w:sz="4" w:space="0"/>
              <w:right w:val="single" w:color="auto" w:sz="4" w:space="0"/>
            </w:tcBorders>
            <w:shd w:val="clear" w:color="auto" w:fill="auto"/>
            <w:vAlign w:val="center"/>
            <w:hideMark/>
          </w:tcPr>
          <w:p w:rsidRPr="009A2D93" w:rsidR="009A2D93" w:rsidP="009A2D93" w:rsidRDefault="009A2D93" w14:paraId="2F2CBB3E" w14:textId="77777777">
            <w:pPr>
              <w:widowControl/>
              <w:jc w:val="right"/>
              <w:rPr>
                <w:rFonts w:ascii="Source Sans Pro" w:hAnsi="Source Sans Pro" w:cs="Calibri"/>
                <w:snapToGrid/>
                <w:color w:val="000000"/>
                <w:sz w:val="20"/>
              </w:rPr>
            </w:pPr>
            <w:r w:rsidRPr="009A2D93">
              <w:rPr>
                <w:rFonts w:ascii="Source Sans Pro" w:hAnsi="Source Sans Pro" w:cs="Calibri"/>
                <w:snapToGrid/>
                <w:color w:val="000000"/>
                <w:sz w:val="20"/>
              </w:rPr>
              <w:t>0%</w:t>
            </w:r>
          </w:p>
        </w:tc>
        <w:tc>
          <w:tcPr>
            <w:tcW w:w="2779" w:type="dxa"/>
            <w:tcBorders>
              <w:top w:val="nil"/>
              <w:left w:val="single" w:color="auto" w:sz="4" w:space="0"/>
              <w:bottom w:val="single" w:color="auto" w:sz="4" w:space="0"/>
              <w:right w:val="single" w:color="auto" w:sz="8" w:space="0"/>
            </w:tcBorders>
            <w:shd w:val="clear" w:color="auto" w:fill="auto"/>
            <w:vAlign w:val="center"/>
            <w:hideMark/>
          </w:tcPr>
          <w:p w:rsidRPr="009A2D93" w:rsidR="009A2D93" w:rsidP="009A2D93" w:rsidRDefault="009A2D93" w14:paraId="6217F730" w14:textId="77777777">
            <w:pPr>
              <w:widowControl/>
              <w:jc w:val="right"/>
              <w:rPr>
                <w:rFonts w:ascii="Source Sans Pro" w:hAnsi="Source Sans Pro" w:cs="Calibri"/>
                <w:snapToGrid/>
                <w:color w:val="000000"/>
                <w:sz w:val="20"/>
              </w:rPr>
            </w:pPr>
            <w:r w:rsidRPr="009A2D93">
              <w:rPr>
                <w:rFonts w:ascii="Source Sans Pro" w:hAnsi="Source Sans Pro" w:cs="Calibri"/>
                <w:snapToGrid/>
                <w:color w:val="000000"/>
                <w:sz w:val="20"/>
              </w:rPr>
              <w:t>$0.00</w:t>
            </w:r>
          </w:p>
        </w:tc>
      </w:tr>
      <w:tr w:rsidRPr="009A2D93" w:rsidR="009A2D93" w:rsidTr="0034516E" w14:paraId="34BF4267" w14:textId="77777777">
        <w:trPr>
          <w:trHeight w:val="300"/>
        </w:trPr>
        <w:tc>
          <w:tcPr>
            <w:tcW w:w="2822" w:type="dxa"/>
            <w:tcBorders>
              <w:top w:val="single" w:color="auto" w:sz="4" w:space="0"/>
              <w:left w:val="single" w:color="auto" w:sz="8" w:space="0"/>
              <w:bottom w:val="nil"/>
              <w:right w:val="single" w:color="auto" w:sz="4" w:space="0"/>
            </w:tcBorders>
            <w:shd w:val="clear" w:color="auto" w:fill="auto"/>
            <w:vAlign w:val="center"/>
            <w:hideMark/>
          </w:tcPr>
          <w:p w:rsidRPr="009A2D93" w:rsidR="009A2D93" w:rsidP="009A2D93" w:rsidRDefault="009A2D93" w14:paraId="6CFEE300" w14:textId="77777777">
            <w:pPr>
              <w:widowControl/>
              <w:rPr>
                <w:rFonts w:ascii="Source Sans Pro" w:hAnsi="Source Sans Pro" w:cs="Calibri"/>
                <w:snapToGrid/>
                <w:color w:val="000000"/>
                <w:sz w:val="20"/>
              </w:rPr>
            </w:pPr>
            <w:r w:rsidRPr="009A2D93">
              <w:rPr>
                <w:rFonts w:ascii="Source Sans Pro" w:hAnsi="Source Sans Pro" w:cs="Calibri"/>
                <w:snapToGrid/>
                <w:color w:val="000000"/>
                <w:sz w:val="20"/>
              </w:rPr>
              <w:t>Clerical‡</w:t>
            </w:r>
          </w:p>
        </w:tc>
        <w:tc>
          <w:tcPr>
            <w:tcW w:w="1983" w:type="dxa"/>
            <w:tcBorders>
              <w:top w:val="nil"/>
              <w:left w:val="nil"/>
              <w:bottom w:val="nil"/>
              <w:right w:val="single" w:color="auto" w:sz="4" w:space="0"/>
            </w:tcBorders>
            <w:shd w:val="clear" w:color="auto" w:fill="auto"/>
            <w:vAlign w:val="center"/>
            <w:hideMark/>
          </w:tcPr>
          <w:p w:rsidRPr="009A2D93" w:rsidR="009A2D93" w:rsidP="009A2D93" w:rsidRDefault="009A2D93" w14:paraId="0957782E" w14:textId="77777777">
            <w:pPr>
              <w:widowControl/>
              <w:jc w:val="right"/>
              <w:rPr>
                <w:rFonts w:ascii="Source Sans Pro" w:hAnsi="Source Sans Pro" w:cs="Calibri"/>
                <w:snapToGrid/>
                <w:color w:val="000000"/>
                <w:sz w:val="20"/>
              </w:rPr>
            </w:pPr>
            <w:r w:rsidRPr="009A2D93">
              <w:rPr>
                <w:rFonts w:ascii="Source Sans Pro" w:hAnsi="Source Sans Pro" w:cs="Calibri"/>
                <w:snapToGrid/>
                <w:color w:val="000000"/>
                <w:sz w:val="20"/>
              </w:rPr>
              <w:t>$33.44</w:t>
            </w:r>
          </w:p>
        </w:tc>
        <w:tc>
          <w:tcPr>
            <w:tcW w:w="1766" w:type="dxa"/>
            <w:tcBorders>
              <w:top w:val="nil"/>
              <w:left w:val="nil"/>
              <w:bottom w:val="nil"/>
              <w:right w:val="single" w:color="auto" w:sz="4" w:space="0"/>
            </w:tcBorders>
            <w:shd w:val="clear" w:color="auto" w:fill="auto"/>
            <w:vAlign w:val="center"/>
            <w:hideMark/>
          </w:tcPr>
          <w:p w:rsidRPr="009A2D93" w:rsidR="009A2D93" w:rsidP="009A2D93" w:rsidRDefault="009A2D93" w14:paraId="7BAA35E1" w14:textId="77777777">
            <w:pPr>
              <w:widowControl/>
              <w:jc w:val="right"/>
              <w:rPr>
                <w:rFonts w:ascii="Source Sans Pro" w:hAnsi="Source Sans Pro" w:cs="Calibri"/>
                <w:snapToGrid/>
                <w:color w:val="000000"/>
                <w:sz w:val="20"/>
              </w:rPr>
            </w:pPr>
            <w:r w:rsidRPr="009A2D93">
              <w:rPr>
                <w:rFonts w:ascii="Source Sans Pro" w:hAnsi="Source Sans Pro" w:cs="Calibri"/>
                <w:snapToGrid/>
                <w:color w:val="000000"/>
                <w:sz w:val="20"/>
              </w:rPr>
              <w:t>0%</w:t>
            </w:r>
          </w:p>
        </w:tc>
        <w:tc>
          <w:tcPr>
            <w:tcW w:w="2779" w:type="dxa"/>
            <w:tcBorders>
              <w:top w:val="nil"/>
              <w:left w:val="single" w:color="auto" w:sz="4" w:space="0"/>
              <w:bottom w:val="single" w:color="auto" w:sz="4" w:space="0"/>
              <w:right w:val="single" w:color="auto" w:sz="8" w:space="0"/>
            </w:tcBorders>
            <w:shd w:val="clear" w:color="auto" w:fill="auto"/>
            <w:vAlign w:val="center"/>
            <w:hideMark/>
          </w:tcPr>
          <w:p w:rsidRPr="009A2D93" w:rsidR="009A2D93" w:rsidP="009A2D93" w:rsidRDefault="009A2D93" w14:paraId="4BE1E948" w14:textId="77777777">
            <w:pPr>
              <w:widowControl/>
              <w:jc w:val="right"/>
              <w:rPr>
                <w:rFonts w:ascii="Source Sans Pro" w:hAnsi="Source Sans Pro" w:cs="Calibri"/>
                <w:snapToGrid/>
                <w:color w:val="000000"/>
                <w:sz w:val="20"/>
              </w:rPr>
            </w:pPr>
            <w:r w:rsidRPr="009A2D93">
              <w:rPr>
                <w:rFonts w:ascii="Source Sans Pro" w:hAnsi="Source Sans Pro" w:cs="Calibri"/>
                <w:snapToGrid/>
                <w:color w:val="000000"/>
                <w:sz w:val="20"/>
              </w:rPr>
              <w:t>$0.00</w:t>
            </w:r>
          </w:p>
        </w:tc>
      </w:tr>
      <w:tr w:rsidRPr="009A2D93" w:rsidR="009A2D93" w:rsidTr="0034516E" w14:paraId="2538E451" w14:textId="77777777">
        <w:trPr>
          <w:trHeight w:val="1116"/>
        </w:trPr>
        <w:tc>
          <w:tcPr>
            <w:tcW w:w="2822"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9A2D93" w:rsidR="009A2D93" w:rsidP="009A2D93" w:rsidRDefault="009A2D93" w14:paraId="28633BB1" w14:textId="77777777">
            <w:pPr>
              <w:widowControl/>
              <w:rPr>
                <w:rFonts w:ascii="Source Sans Pro" w:hAnsi="Source Sans Pro" w:cs="Calibri"/>
                <w:snapToGrid/>
                <w:color w:val="000000"/>
                <w:sz w:val="20"/>
              </w:rPr>
            </w:pPr>
            <w:r w:rsidRPr="009A2D93">
              <w:rPr>
                <w:rFonts w:ascii="Source Sans Pro" w:hAnsi="Source Sans Pro" w:cs="Calibri"/>
                <w:snapToGrid/>
                <w:color w:val="000000"/>
                <w:sz w:val="20"/>
              </w:rPr>
              <w:t>Total Estimated Weighted Average Hourly Compensation Rate</w:t>
            </w:r>
          </w:p>
        </w:tc>
        <w:tc>
          <w:tcPr>
            <w:tcW w:w="1983" w:type="dxa"/>
            <w:tcBorders>
              <w:top w:val="single" w:color="auto" w:sz="8" w:space="0"/>
              <w:left w:val="nil"/>
              <w:bottom w:val="single" w:color="auto" w:sz="8" w:space="0"/>
              <w:right w:val="single" w:color="auto" w:sz="4" w:space="0"/>
            </w:tcBorders>
            <w:shd w:val="clear" w:color="auto" w:fill="auto"/>
            <w:vAlign w:val="center"/>
            <w:hideMark/>
          </w:tcPr>
          <w:p w:rsidRPr="009A2D93" w:rsidR="009A2D93" w:rsidP="009A2D93" w:rsidRDefault="009A2D93" w14:paraId="01F5B9B7" w14:textId="77777777">
            <w:pPr>
              <w:widowControl/>
              <w:rPr>
                <w:rFonts w:ascii="Source Sans Pro" w:hAnsi="Source Sans Pro" w:cs="Calibri"/>
                <w:snapToGrid/>
                <w:color w:val="000000"/>
                <w:sz w:val="20"/>
              </w:rPr>
            </w:pPr>
            <w:r w:rsidRPr="009A2D93">
              <w:rPr>
                <w:rFonts w:ascii="Source Sans Pro" w:hAnsi="Source Sans Pro" w:cs="Calibri"/>
                <w:snapToGrid/>
                <w:color w:val="000000"/>
                <w:sz w:val="20"/>
              </w:rPr>
              <w:t> </w:t>
            </w:r>
          </w:p>
        </w:tc>
        <w:tc>
          <w:tcPr>
            <w:tcW w:w="1766" w:type="dxa"/>
            <w:tcBorders>
              <w:top w:val="single" w:color="auto" w:sz="8" w:space="0"/>
              <w:left w:val="nil"/>
              <w:bottom w:val="single" w:color="auto" w:sz="8" w:space="0"/>
              <w:right w:val="single" w:color="auto" w:sz="4" w:space="0"/>
            </w:tcBorders>
            <w:shd w:val="clear" w:color="auto" w:fill="auto"/>
            <w:vAlign w:val="center"/>
            <w:hideMark/>
          </w:tcPr>
          <w:p w:rsidRPr="009A2D93" w:rsidR="009A2D93" w:rsidP="009A2D93" w:rsidRDefault="009A2D93" w14:paraId="4AE24EBD" w14:textId="77777777">
            <w:pPr>
              <w:widowControl/>
              <w:jc w:val="right"/>
              <w:rPr>
                <w:rFonts w:ascii="Source Sans Pro" w:hAnsi="Source Sans Pro" w:cs="Calibri"/>
                <w:snapToGrid/>
                <w:color w:val="000000"/>
                <w:sz w:val="20"/>
              </w:rPr>
            </w:pPr>
            <w:r w:rsidRPr="009A2D93">
              <w:rPr>
                <w:rFonts w:ascii="Source Sans Pro" w:hAnsi="Source Sans Pro" w:cs="Calibri"/>
                <w:snapToGrid/>
                <w:color w:val="000000"/>
                <w:sz w:val="20"/>
              </w:rPr>
              <w:t>100%</w:t>
            </w:r>
          </w:p>
        </w:tc>
        <w:tc>
          <w:tcPr>
            <w:tcW w:w="2779" w:type="dxa"/>
            <w:tcBorders>
              <w:top w:val="single" w:color="auto" w:sz="8" w:space="0"/>
              <w:left w:val="nil"/>
              <w:bottom w:val="single" w:color="auto" w:sz="8" w:space="0"/>
              <w:right w:val="single" w:color="auto" w:sz="8" w:space="0"/>
            </w:tcBorders>
            <w:shd w:val="clear" w:color="auto" w:fill="auto"/>
            <w:vAlign w:val="center"/>
            <w:hideMark/>
          </w:tcPr>
          <w:p w:rsidRPr="009A2D93" w:rsidR="009A2D93" w:rsidP="009A2D93" w:rsidRDefault="009A2D93" w14:paraId="66F37769" w14:textId="77777777">
            <w:pPr>
              <w:widowControl/>
              <w:jc w:val="right"/>
              <w:rPr>
                <w:rFonts w:ascii="Source Sans Pro" w:hAnsi="Source Sans Pro" w:cs="Calibri"/>
                <w:snapToGrid/>
                <w:color w:val="000000"/>
                <w:sz w:val="20"/>
              </w:rPr>
            </w:pPr>
            <w:r w:rsidRPr="009A2D93">
              <w:rPr>
                <w:rFonts w:ascii="Source Sans Pro" w:hAnsi="Source Sans Pro" w:cs="Calibri"/>
                <w:snapToGrid/>
                <w:color w:val="000000"/>
                <w:sz w:val="20"/>
              </w:rPr>
              <w:t>$78.54</w:t>
            </w:r>
          </w:p>
        </w:tc>
      </w:tr>
      <w:tr w:rsidRPr="009A2D93" w:rsidR="009A2D93" w:rsidTr="0034516E" w14:paraId="7CB56685" w14:textId="77777777">
        <w:trPr>
          <w:trHeight w:val="288"/>
        </w:trPr>
        <w:tc>
          <w:tcPr>
            <w:tcW w:w="9350" w:type="dxa"/>
            <w:gridSpan w:val="4"/>
            <w:tcBorders>
              <w:top w:val="nil"/>
              <w:left w:val="nil"/>
              <w:bottom w:val="nil"/>
              <w:right w:val="nil"/>
            </w:tcBorders>
            <w:shd w:val="clear" w:color="auto" w:fill="auto"/>
            <w:hideMark/>
          </w:tcPr>
          <w:p w:rsidRPr="009A2D93" w:rsidR="009A2D93" w:rsidP="009A2D93" w:rsidRDefault="009A2D93" w14:paraId="129BC3DB" w14:textId="77777777">
            <w:pPr>
              <w:widowControl/>
              <w:rPr>
                <w:rFonts w:ascii="Source Sans Pro" w:hAnsi="Source Sans Pro" w:cs="Calibri"/>
                <w:snapToGrid/>
                <w:color w:val="000000"/>
                <w:sz w:val="20"/>
              </w:rPr>
            </w:pPr>
            <w:r w:rsidRPr="009A2D93">
              <w:rPr>
                <w:rFonts w:ascii="Source Sans Pro" w:hAnsi="Source Sans Pro" w:cs="Calibri"/>
                <w:snapToGrid/>
                <w:color w:val="000000"/>
                <w:sz w:val="20"/>
              </w:rPr>
              <w:t>Source: Bureau of Labor Statistics: "National Industry-Specific Occupational Employment and Wage Estimates: Industry: Credit Intermediation and Related Activities (5221 And 5223 only)" (May 2019), Employer Cost of Employee Compensation (December 2020), Consumer Price Index (December 2020).</w:t>
            </w:r>
          </w:p>
        </w:tc>
      </w:tr>
      <w:tr w:rsidRPr="009A2D93" w:rsidR="009A2D93" w:rsidTr="0034516E" w14:paraId="4B655DC8" w14:textId="77777777">
        <w:trPr>
          <w:trHeight w:val="288"/>
        </w:trPr>
        <w:tc>
          <w:tcPr>
            <w:tcW w:w="9350" w:type="dxa"/>
            <w:gridSpan w:val="4"/>
            <w:tcBorders>
              <w:top w:val="nil"/>
              <w:left w:val="nil"/>
              <w:bottom w:val="nil"/>
              <w:right w:val="nil"/>
            </w:tcBorders>
            <w:shd w:val="clear" w:color="auto" w:fill="auto"/>
            <w:hideMark/>
          </w:tcPr>
          <w:p w:rsidRPr="009A2D93" w:rsidR="009A2D93" w:rsidP="009A2D93" w:rsidRDefault="009A2D93" w14:paraId="562B04D6" w14:textId="77777777">
            <w:pPr>
              <w:widowControl/>
              <w:rPr>
                <w:rFonts w:ascii="Source Sans Pro" w:hAnsi="Source Sans Pro" w:cs="Calibri"/>
                <w:snapToGrid/>
                <w:color w:val="000000"/>
                <w:sz w:val="20"/>
              </w:rPr>
            </w:pPr>
            <w:r w:rsidRPr="009A2D93">
              <w:rPr>
                <w:rFonts w:ascii="Source Sans Pro" w:hAnsi="Source Sans Pro" w:cs="Calibri"/>
                <w:snapToGrid/>
                <w:color w:val="000000"/>
                <w:sz w:val="20"/>
              </w:rPr>
              <w:t xml:space="preserve">Note: The 75th percentile wage information reported by the BLS in the Specific Occupational Employment and Wage Estimates does not include health benefits and other non-monetary benefits. According to the December 2020 Employer Cost of Employee Compensation data compensation rates for health and other benefits are 34 percent of total compensation. Additionally, the wage has been adjusted for inflation </w:t>
            </w:r>
            <w:r w:rsidRPr="009A2D93">
              <w:rPr>
                <w:rFonts w:ascii="Source Sans Pro" w:hAnsi="Source Sans Pro" w:cs="Calibri"/>
                <w:snapToGrid/>
                <w:color w:val="000000"/>
                <w:sz w:val="20"/>
              </w:rPr>
              <w:lastRenderedPageBreak/>
              <w:t>according BLS data on the Consumer Price Index for Urban Consumers (CPI-U) so that it is contemporaneous with the non-wage compensation statistic. The inflation rate was 1.71 percent between May 2019 and December 2020.</w:t>
            </w:r>
          </w:p>
        </w:tc>
      </w:tr>
      <w:tr w:rsidRPr="009A2D93" w:rsidR="009A2D93" w:rsidTr="0034516E" w14:paraId="428EAC7D" w14:textId="77777777">
        <w:trPr>
          <w:trHeight w:val="288"/>
        </w:trPr>
        <w:tc>
          <w:tcPr>
            <w:tcW w:w="9350" w:type="dxa"/>
            <w:gridSpan w:val="4"/>
            <w:tcBorders>
              <w:top w:val="nil"/>
              <w:left w:val="nil"/>
              <w:bottom w:val="nil"/>
              <w:right w:val="nil"/>
            </w:tcBorders>
            <w:shd w:val="clear" w:color="auto" w:fill="auto"/>
            <w:noWrap/>
            <w:vAlign w:val="bottom"/>
            <w:hideMark/>
          </w:tcPr>
          <w:p w:rsidRPr="009A2D93" w:rsidR="009A2D93" w:rsidP="009A2D93" w:rsidRDefault="009A2D93" w14:paraId="0ACBABE8" w14:textId="77777777">
            <w:pPr>
              <w:widowControl/>
              <w:rPr>
                <w:rFonts w:ascii="Source Sans Pro" w:hAnsi="Source Sans Pro" w:cs="Calibri"/>
                <w:snapToGrid/>
                <w:color w:val="000000"/>
                <w:sz w:val="20"/>
              </w:rPr>
            </w:pPr>
            <w:r w:rsidRPr="009A2D93">
              <w:rPr>
                <w:rFonts w:ascii="Source Sans Pro" w:hAnsi="Source Sans Pro" w:cs="Calibri"/>
                <w:snapToGrid/>
                <w:color w:val="000000"/>
                <w:sz w:val="20"/>
              </w:rPr>
              <w:lastRenderedPageBreak/>
              <w:t>*     Occupation (SOC Code): Management Occupations (110000)</w:t>
            </w:r>
          </w:p>
        </w:tc>
      </w:tr>
      <w:tr w:rsidRPr="009A2D93" w:rsidR="009A2D93" w:rsidTr="0034516E" w14:paraId="0D98197D" w14:textId="77777777">
        <w:trPr>
          <w:trHeight w:val="288"/>
        </w:trPr>
        <w:tc>
          <w:tcPr>
            <w:tcW w:w="9350" w:type="dxa"/>
            <w:gridSpan w:val="4"/>
            <w:tcBorders>
              <w:top w:val="nil"/>
              <w:left w:val="nil"/>
              <w:bottom w:val="nil"/>
              <w:right w:val="nil"/>
            </w:tcBorders>
            <w:shd w:val="clear" w:color="auto" w:fill="auto"/>
            <w:vAlign w:val="bottom"/>
            <w:hideMark/>
          </w:tcPr>
          <w:p w:rsidRPr="009A2D93" w:rsidR="009A2D93" w:rsidP="009A2D93" w:rsidRDefault="009A2D93" w14:paraId="767BFCA4" w14:textId="77777777">
            <w:pPr>
              <w:widowControl/>
              <w:rPr>
                <w:rFonts w:ascii="Source Sans Pro" w:hAnsi="Source Sans Pro" w:cs="Calibri"/>
                <w:snapToGrid/>
                <w:color w:val="000000"/>
                <w:sz w:val="20"/>
              </w:rPr>
            </w:pPr>
            <w:r w:rsidRPr="009A2D93">
              <w:rPr>
                <w:rFonts w:ascii="Source Sans Pro" w:hAnsi="Source Sans Pro" w:cs="Calibri"/>
                <w:snapToGrid/>
                <w:color w:val="000000"/>
                <w:sz w:val="20"/>
              </w:rPr>
              <w:t>**   Occupation (SOC Code): Legal Occupations (230000)</w:t>
            </w:r>
          </w:p>
        </w:tc>
      </w:tr>
      <w:tr w:rsidRPr="009A2D93" w:rsidR="009A2D93" w:rsidTr="0034516E" w14:paraId="40DC49F6" w14:textId="77777777">
        <w:trPr>
          <w:trHeight w:val="288"/>
        </w:trPr>
        <w:tc>
          <w:tcPr>
            <w:tcW w:w="9350" w:type="dxa"/>
            <w:gridSpan w:val="4"/>
            <w:tcBorders>
              <w:top w:val="nil"/>
              <w:left w:val="nil"/>
              <w:bottom w:val="nil"/>
              <w:right w:val="nil"/>
            </w:tcBorders>
            <w:shd w:val="clear" w:color="auto" w:fill="auto"/>
            <w:noWrap/>
            <w:vAlign w:val="bottom"/>
            <w:hideMark/>
          </w:tcPr>
          <w:p w:rsidRPr="009A2D93" w:rsidR="009A2D93" w:rsidP="009A2D93" w:rsidRDefault="009A2D93" w14:paraId="1F169845" w14:textId="77777777">
            <w:pPr>
              <w:widowControl/>
              <w:rPr>
                <w:rFonts w:ascii="Source Sans Pro" w:hAnsi="Source Sans Pro" w:cs="Calibri"/>
                <w:snapToGrid/>
                <w:color w:val="000000"/>
                <w:sz w:val="20"/>
              </w:rPr>
            </w:pPr>
            <w:r w:rsidRPr="009A2D93">
              <w:rPr>
                <w:rFonts w:ascii="Source Sans Pro" w:hAnsi="Source Sans Pro" w:cs="Calibri"/>
                <w:snapToGrid/>
                <w:color w:val="000000"/>
                <w:sz w:val="20"/>
              </w:rPr>
              <w:t>*** Occupation (SOC Code): Compliance Officers (131040)</w:t>
            </w:r>
          </w:p>
        </w:tc>
      </w:tr>
      <w:tr w:rsidRPr="009A2D93" w:rsidR="009A2D93" w:rsidTr="0034516E" w14:paraId="61D55E2F" w14:textId="77777777">
        <w:trPr>
          <w:trHeight w:val="288"/>
        </w:trPr>
        <w:tc>
          <w:tcPr>
            <w:tcW w:w="9350" w:type="dxa"/>
            <w:gridSpan w:val="4"/>
            <w:tcBorders>
              <w:top w:val="nil"/>
              <w:left w:val="nil"/>
              <w:bottom w:val="nil"/>
              <w:right w:val="nil"/>
            </w:tcBorders>
            <w:shd w:val="clear" w:color="auto" w:fill="auto"/>
            <w:noWrap/>
            <w:vAlign w:val="bottom"/>
            <w:hideMark/>
          </w:tcPr>
          <w:p w:rsidRPr="009A2D93" w:rsidR="009A2D93" w:rsidP="009A2D93" w:rsidRDefault="009A2D93" w14:paraId="5E0E335D" w14:textId="77777777">
            <w:pPr>
              <w:widowControl/>
              <w:rPr>
                <w:rFonts w:ascii="Source Sans Pro" w:hAnsi="Source Sans Pro" w:cs="Calibri"/>
                <w:snapToGrid/>
                <w:color w:val="000000"/>
                <w:sz w:val="20"/>
              </w:rPr>
            </w:pPr>
            <w:r w:rsidRPr="009A2D93">
              <w:rPr>
                <w:rFonts w:ascii="Source Sans Pro" w:hAnsi="Source Sans Pro" w:cs="Calibri"/>
                <w:snapToGrid/>
                <w:color w:val="000000"/>
                <w:sz w:val="20"/>
              </w:rPr>
              <w:t>†     Occupation (SOC Code): Computer and Mathematical Occupations (150000)</w:t>
            </w:r>
          </w:p>
        </w:tc>
      </w:tr>
      <w:tr w:rsidRPr="009A2D93" w:rsidR="009A2D93" w:rsidTr="0034516E" w14:paraId="61FFD8B5" w14:textId="77777777">
        <w:trPr>
          <w:trHeight w:val="288"/>
        </w:trPr>
        <w:tc>
          <w:tcPr>
            <w:tcW w:w="9350" w:type="dxa"/>
            <w:gridSpan w:val="4"/>
            <w:tcBorders>
              <w:top w:val="nil"/>
              <w:left w:val="nil"/>
              <w:bottom w:val="nil"/>
              <w:right w:val="nil"/>
            </w:tcBorders>
            <w:shd w:val="clear" w:color="auto" w:fill="auto"/>
            <w:noWrap/>
            <w:vAlign w:val="bottom"/>
            <w:hideMark/>
          </w:tcPr>
          <w:p w:rsidRPr="009A2D93" w:rsidR="009A2D93" w:rsidP="009A2D93" w:rsidRDefault="009A2D93" w14:paraId="518B2463" w14:textId="77777777">
            <w:pPr>
              <w:widowControl/>
              <w:rPr>
                <w:rFonts w:ascii="Source Sans Pro" w:hAnsi="Source Sans Pro" w:cs="Calibri"/>
                <w:snapToGrid/>
                <w:color w:val="000000"/>
                <w:sz w:val="20"/>
              </w:rPr>
            </w:pPr>
            <w:r w:rsidRPr="009A2D93">
              <w:rPr>
                <w:rFonts w:ascii="Source Sans Pro" w:hAnsi="Source Sans Pro" w:cs="Calibri"/>
                <w:snapToGrid/>
                <w:color w:val="000000"/>
                <w:sz w:val="20"/>
              </w:rPr>
              <w:t>††   Occupation (SOC Code): Financial and Investment Analysts, Financial Risk Specialists, and Financial Specialists, All Other (132098)</w:t>
            </w:r>
          </w:p>
        </w:tc>
      </w:tr>
      <w:tr w:rsidRPr="009A2D93" w:rsidR="009A2D93" w:rsidTr="0034516E" w14:paraId="66A3C71C" w14:textId="77777777">
        <w:trPr>
          <w:trHeight w:val="288"/>
        </w:trPr>
        <w:tc>
          <w:tcPr>
            <w:tcW w:w="9350" w:type="dxa"/>
            <w:gridSpan w:val="4"/>
            <w:tcBorders>
              <w:top w:val="nil"/>
              <w:left w:val="nil"/>
              <w:bottom w:val="nil"/>
              <w:right w:val="nil"/>
            </w:tcBorders>
            <w:shd w:val="clear" w:color="auto" w:fill="auto"/>
            <w:noWrap/>
            <w:vAlign w:val="bottom"/>
            <w:hideMark/>
          </w:tcPr>
          <w:p w:rsidRPr="009A2D93" w:rsidR="009A2D93" w:rsidP="009A2D93" w:rsidRDefault="009A2D93" w14:paraId="2F29836D" w14:textId="77777777">
            <w:pPr>
              <w:widowControl/>
              <w:rPr>
                <w:rFonts w:ascii="Source Sans Pro" w:hAnsi="Source Sans Pro" w:cs="Calibri"/>
                <w:snapToGrid/>
                <w:color w:val="000000"/>
                <w:sz w:val="20"/>
              </w:rPr>
            </w:pPr>
            <w:r w:rsidRPr="009A2D93">
              <w:rPr>
                <w:rFonts w:ascii="Source Sans Pro" w:hAnsi="Source Sans Pro" w:cs="Calibri"/>
                <w:snapToGrid/>
                <w:color w:val="000000"/>
                <w:sz w:val="20"/>
              </w:rPr>
              <w:t>‡    Occupation (SOC Code): Office and Administrative Support Occupations (430000)</w:t>
            </w:r>
          </w:p>
        </w:tc>
      </w:tr>
    </w:tbl>
    <w:p w:rsidR="00B12187" w:rsidRDefault="00B12187" w14:paraId="341A6732" w14:textId="77777777">
      <w:pPr>
        <w:tabs>
          <w:tab w:val="left" w:pos="480"/>
          <w:tab w:val="left" w:pos="1080"/>
          <w:tab w:val="left" w:pos="1680"/>
        </w:tabs>
        <w:suppressAutoHyphens/>
        <w:ind w:left="1080"/>
        <w:rPr>
          <w:rFonts w:ascii="Times New Roman" w:hAnsi="Times New Roman"/>
        </w:rPr>
      </w:pPr>
    </w:p>
    <w:p w:rsidR="00A10641" w:rsidRDefault="00366534" w14:paraId="73F5C3D3" w14:textId="77777777">
      <w:pPr>
        <w:numPr>
          <w:ilvl w:val="0"/>
          <w:numId w:val="2"/>
        </w:numPr>
        <w:tabs>
          <w:tab w:val="left" w:pos="480"/>
          <w:tab w:val="left" w:pos="1680"/>
        </w:tabs>
        <w:suppressAutoHyphens/>
        <w:rPr>
          <w:rFonts w:ascii="Times New Roman" w:hAnsi="Times New Roman"/>
        </w:rPr>
      </w:pPr>
      <w:r w:rsidRPr="00366534">
        <w:rPr>
          <w:rFonts w:ascii="Times New Roman" w:hAnsi="Times New Roman"/>
          <w:u w:val="single"/>
        </w:rPr>
        <w:t>Estimate of start-up cost to respondents:</w:t>
      </w:r>
    </w:p>
    <w:p w:rsidR="00A10641" w:rsidRDefault="00A10641" w14:paraId="36666D9D" w14:textId="77777777">
      <w:pPr>
        <w:tabs>
          <w:tab w:val="left" w:pos="480"/>
          <w:tab w:val="left" w:pos="1080"/>
          <w:tab w:val="left" w:pos="1680"/>
        </w:tabs>
        <w:suppressAutoHyphens/>
        <w:rPr>
          <w:rFonts w:ascii="Times New Roman" w:hAnsi="Times New Roman"/>
        </w:rPr>
      </w:pPr>
    </w:p>
    <w:p w:rsidRPr="00366534" w:rsidR="00366534" w:rsidP="00366534" w:rsidRDefault="00366534" w14:paraId="1287F289" w14:textId="77777777">
      <w:pPr>
        <w:tabs>
          <w:tab w:val="left" w:pos="480"/>
          <w:tab w:val="left" w:pos="1080"/>
          <w:tab w:val="left" w:pos="1680"/>
        </w:tabs>
        <w:suppressAutoHyphens/>
        <w:ind w:left="1080"/>
        <w:rPr>
          <w:rFonts w:ascii="Times New Roman" w:hAnsi="Times New Roman"/>
        </w:rPr>
      </w:pPr>
      <w:r w:rsidRPr="00366534">
        <w:rPr>
          <w:rFonts w:ascii="Times New Roman" w:hAnsi="Times New Roman"/>
        </w:rPr>
        <w:t xml:space="preserve">There are no anticipated capital, start-up, or operating costs. </w:t>
      </w:r>
    </w:p>
    <w:p w:rsidR="00A10641" w:rsidRDefault="00A10641" w14:paraId="047024BA" w14:textId="77777777">
      <w:pPr>
        <w:tabs>
          <w:tab w:val="left" w:pos="480"/>
          <w:tab w:val="left" w:pos="1080"/>
          <w:tab w:val="left" w:pos="1680"/>
        </w:tabs>
        <w:suppressAutoHyphens/>
        <w:rPr>
          <w:rFonts w:ascii="Times New Roman" w:hAnsi="Times New Roman"/>
        </w:rPr>
      </w:pPr>
    </w:p>
    <w:p w:rsidRPr="00366534" w:rsidR="00A10641" w:rsidP="00366534" w:rsidRDefault="00366534" w14:paraId="5D3D9476" w14:textId="77777777">
      <w:pPr>
        <w:widowControl/>
        <w:numPr>
          <w:ilvl w:val="0"/>
          <w:numId w:val="6"/>
        </w:numPr>
        <w:tabs>
          <w:tab w:val="clear" w:pos="1290"/>
          <w:tab w:val="left" w:pos="432"/>
          <w:tab w:val="num" w:pos="1080"/>
          <w:tab w:val="left" w:pos="1728"/>
          <w:tab w:val="left" w:pos="4176"/>
        </w:tabs>
        <w:rPr>
          <w:rFonts w:ascii="Times New Roman" w:hAnsi="Times New Roman"/>
          <w:color w:val="000000"/>
        </w:rPr>
      </w:pPr>
      <w:r w:rsidRPr="00243153">
        <w:rPr>
          <w:rFonts w:ascii="Times New Roman" w:hAnsi="Times New Roman"/>
          <w:color w:val="000000"/>
          <w:u w:val="single"/>
        </w:rPr>
        <w:t xml:space="preserve">Estimates of </w:t>
      </w:r>
      <w:r>
        <w:rPr>
          <w:rFonts w:ascii="Times New Roman" w:hAnsi="Times New Roman"/>
          <w:color w:val="000000"/>
          <w:u w:val="single"/>
        </w:rPr>
        <w:t>a</w:t>
      </w:r>
      <w:r w:rsidRPr="00243153">
        <w:rPr>
          <w:rFonts w:ascii="Times New Roman" w:hAnsi="Times New Roman"/>
          <w:color w:val="000000"/>
          <w:u w:val="single"/>
        </w:rPr>
        <w:t xml:space="preserve">nnualized </w:t>
      </w:r>
      <w:r>
        <w:rPr>
          <w:rFonts w:ascii="Times New Roman" w:hAnsi="Times New Roman"/>
          <w:color w:val="000000"/>
          <w:u w:val="single"/>
        </w:rPr>
        <w:t>c</w:t>
      </w:r>
      <w:r w:rsidRPr="00243153">
        <w:rPr>
          <w:rFonts w:ascii="Times New Roman" w:hAnsi="Times New Roman"/>
          <w:color w:val="000000"/>
          <w:u w:val="single"/>
        </w:rPr>
        <w:t xml:space="preserve">ost to the </w:t>
      </w:r>
      <w:r>
        <w:rPr>
          <w:rFonts w:ascii="Times New Roman" w:hAnsi="Times New Roman"/>
          <w:color w:val="000000"/>
          <w:u w:val="single"/>
        </w:rPr>
        <w:t>f</w:t>
      </w:r>
      <w:r w:rsidRPr="00243153">
        <w:rPr>
          <w:rFonts w:ascii="Times New Roman" w:hAnsi="Times New Roman"/>
          <w:color w:val="000000"/>
          <w:u w:val="single"/>
        </w:rPr>
        <w:t xml:space="preserve">ederal </w:t>
      </w:r>
      <w:r w:rsidRPr="00366534">
        <w:rPr>
          <w:rFonts w:ascii="Times New Roman" w:hAnsi="Times New Roman"/>
          <w:color w:val="000000"/>
          <w:u w:val="single"/>
        </w:rPr>
        <w:t>government:</w:t>
      </w:r>
    </w:p>
    <w:p w:rsidR="00A10641" w:rsidRDefault="00A10641" w14:paraId="1E75691B" w14:textId="77777777">
      <w:pPr>
        <w:tabs>
          <w:tab w:val="left" w:pos="480"/>
          <w:tab w:val="left" w:pos="1080"/>
          <w:tab w:val="left" w:pos="1680"/>
        </w:tabs>
        <w:suppressAutoHyphens/>
        <w:rPr>
          <w:rFonts w:ascii="Times New Roman" w:hAnsi="Times New Roman"/>
        </w:rPr>
      </w:pPr>
    </w:p>
    <w:p w:rsidR="00A10641" w:rsidRDefault="00CE5C66" w14:paraId="194DFC6A" w14:textId="77777777">
      <w:pPr>
        <w:tabs>
          <w:tab w:val="left" w:pos="480"/>
          <w:tab w:val="left" w:pos="1080"/>
          <w:tab w:val="left" w:pos="1680"/>
        </w:tabs>
        <w:suppressAutoHyphens/>
        <w:rPr>
          <w:rFonts w:ascii="Times New Roman" w:hAnsi="Times New Roman"/>
        </w:rPr>
      </w:pPr>
      <w:r>
        <w:rPr>
          <w:rFonts w:ascii="Times New Roman" w:hAnsi="Times New Roman"/>
        </w:rPr>
        <w:tab/>
      </w:r>
      <w:r>
        <w:rPr>
          <w:rFonts w:ascii="Times New Roman" w:hAnsi="Times New Roman"/>
        </w:rPr>
        <w:tab/>
      </w:r>
      <w:r w:rsidR="00B32BB8">
        <w:rPr>
          <w:rFonts w:ascii="Times New Roman" w:hAnsi="Times New Roman"/>
        </w:rPr>
        <w:t>None.</w:t>
      </w:r>
      <w:r w:rsidR="00A10641">
        <w:rPr>
          <w:rFonts w:ascii="Times New Roman" w:hAnsi="Times New Roman"/>
        </w:rPr>
        <w:tab/>
      </w:r>
    </w:p>
    <w:p w:rsidR="00A10641" w:rsidRDefault="00A10641" w14:paraId="5FD92C8C" w14:textId="77777777">
      <w:pPr>
        <w:tabs>
          <w:tab w:val="left" w:pos="480"/>
          <w:tab w:val="left" w:pos="1080"/>
          <w:tab w:val="left" w:pos="1680"/>
        </w:tabs>
        <w:suppressAutoHyphens/>
        <w:rPr>
          <w:rFonts w:ascii="Times New Roman" w:hAnsi="Times New Roman"/>
        </w:rPr>
      </w:pPr>
    </w:p>
    <w:p w:rsidR="00A10641" w:rsidRDefault="00A10641" w14:paraId="298EDFFC" w14:textId="77777777">
      <w:pPr>
        <w:tabs>
          <w:tab w:val="left" w:pos="480"/>
          <w:tab w:val="left" w:pos="1080"/>
          <w:tab w:val="left" w:pos="1680"/>
        </w:tabs>
        <w:suppressAutoHyphens/>
        <w:ind w:left="480"/>
        <w:rPr>
          <w:rFonts w:ascii="Times New Roman" w:hAnsi="Times New Roman"/>
        </w:rPr>
      </w:pPr>
      <w:r>
        <w:rPr>
          <w:rFonts w:ascii="Times New Roman" w:hAnsi="Times New Roman"/>
        </w:rPr>
        <w:t>15.</w:t>
      </w:r>
      <w:r>
        <w:rPr>
          <w:rFonts w:ascii="Times New Roman" w:hAnsi="Times New Roman"/>
        </w:rPr>
        <w:tab/>
      </w:r>
      <w:r w:rsidRPr="00366534" w:rsidR="00366534">
        <w:rPr>
          <w:rFonts w:ascii="Times New Roman" w:hAnsi="Times New Roman"/>
          <w:u w:val="single"/>
        </w:rPr>
        <w:t>Analysis of change in burden:</w:t>
      </w:r>
    </w:p>
    <w:p w:rsidR="00A10641" w:rsidRDefault="00A10641" w14:paraId="69339A51" w14:textId="77777777">
      <w:pPr>
        <w:tabs>
          <w:tab w:val="left" w:pos="480"/>
          <w:tab w:val="left" w:pos="1080"/>
          <w:tab w:val="left" w:pos="1680"/>
        </w:tabs>
        <w:suppressAutoHyphens/>
        <w:ind w:left="480"/>
        <w:rPr>
          <w:rFonts w:ascii="Times New Roman" w:hAnsi="Times New Roman"/>
        </w:rPr>
      </w:pPr>
    </w:p>
    <w:p w:rsidR="00F52BA7" w:rsidP="00DB15CE" w:rsidRDefault="00F52BA7" w14:paraId="7BB3F21C" w14:textId="2AC5F324">
      <w:pPr>
        <w:pStyle w:val="FootnoteText"/>
        <w:rPr>
          <w:rFonts w:ascii="Times New Roman" w:hAnsi="Times New Roman"/>
          <w:lang w:bidi="en-US"/>
        </w:rPr>
      </w:pPr>
      <w:bookmarkStart w:name="_GoBack" w:id="0"/>
      <w:bookmarkEnd w:id="0"/>
      <w:r w:rsidRPr="00F52BA7">
        <w:rPr>
          <w:rFonts w:ascii="Times New Roman" w:hAnsi="Times New Roman"/>
          <w:lang w:bidi="en-US"/>
        </w:rPr>
        <w:t>The previous estimate of branch closures was made by counting only the closures of branches with the service type descriptions, “Full Service – Brick and Mortar Office,”</w:t>
      </w:r>
      <w:r w:rsidRPr="00F52BA7" w:rsidDel="0006421D">
        <w:rPr>
          <w:rFonts w:ascii="Times New Roman" w:hAnsi="Times New Roman"/>
          <w:lang w:bidi="en-US"/>
        </w:rPr>
        <w:t xml:space="preserve"> </w:t>
      </w:r>
      <w:r w:rsidRPr="00F52BA7">
        <w:rPr>
          <w:rFonts w:ascii="Times New Roman" w:hAnsi="Times New Roman"/>
          <w:lang w:bidi="en-US"/>
        </w:rPr>
        <w:t>or “Full Service – Retail Office.”</w:t>
      </w:r>
      <w:r w:rsidRPr="00F52BA7">
        <w:rPr>
          <w:rFonts w:ascii="Times New Roman" w:hAnsi="Times New Roman"/>
          <w:vertAlign w:val="superscript"/>
          <w:lang w:bidi="en-US"/>
        </w:rPr>
        <w:footnoteReference w:id="1"/>
      </w:r>
      <w:r w:rsidRPr="00F52BA7">
        <w:rPr>
          <w:rFonts w:ascii="Times New Roman" w:hAnsi="Times New Roman"/>
          <w:lang w:bidi="en-US"/>
        </w:rPr>
        <w:t xml:space="preserve"> The current estimate includes the closure of any branch included in the Summary of Deposits survey of branch office deposits,</w:t>
      </w:r>
      <w:r w:rsidRPr="00F52BA7">
        <w:rPr>
          <w:rFonts w:ascii="Times New Roman" w:hAnsi="Times New Roman"/>
          <w:vertAlign w:val="superscript"/>
          <w:lang w:bidi="en-US"/>
        </w:rPr>
        <w:footnoteReference w:id="2"/>
      </w:r>
      <w:r>
        <w:rPr>
          <w:rFonts w:ascii="Times New Roman" w:hAnsi="Times New Roman"/>
          <w:lang w:bidi="en-US"/>
        </w:rPr>
        <w:t xml:space="preserve"> and </w:t>
      </w:r>
      <w:r w:rsidRPr="00F52BA7">
        <w:rPr>
          <w:rFonts w:ascii="Times New Roman" w:hAnsi="Times New Roman"/>
          <w:lang w:bidi="en-US"/>
        </w:rPr>
        <w:t>branches with service type descriptions of either, “Limited Service – Messenger Office,” or “Limited Service – Retail Office.” Of the 2,540 branches closed between 2015 and 2017, 294 are included in the current estimate that were not included in the previous estimate because the previous estimate did not account for closures of other types of branches. In addition</w:t>
      </w:r>
      <w:r w:rsidR="00C71BC7">
        <w:rPr>
          <w:rFonts w:ascii="Times New Roman" w:hAnsi="Times New Roman"/>
          <w:lang w:bidi="en-US"/>
        </w:rPr>
        <w:t xml:space="preserve">, </w:t>
      </w:r>
      <w:r w:rsidRPr="00F52BA7">
        <w:rPr>
          <w:rFonts w:ascii="Times New Roman" w:hAnsi="Times New Roman"/>
          <w:lang w:bidi="en-US"/>
        </w:rPr>
        <w:t>of the 2,540 branch closures occurring between 2015 and 2017, 498 were not considered as part of the previous estimate because the branches closed had a service type not among the two listed above, or the closure had not yet been processed into the structure system of record. Setting those 498</w:t>
      </w:r>
      <w:r w:rsidR="00C71BC7">
        <w:rPr>
          <w:rFonts w:ascii="Times New Roman" w:hAnsi="Times New Roman"/>
          <w:lang w:bidi="en-US"/>
        </w:rPr>
        <w:t xml:space="preserve"> </w:t>
      </w:r>
      <w:r w:rsidRPr="00F52BA7">
        <w:rPr>
          <w:rFonts w:ascii="Times New Roman" w:hAnsi="Times New Roman"/>
          <w:lang w:bidi="en-US"/>
        </w:rPr>
        <w:t>closures aside leaves a total of 2,042 branches closed between 2015 and 2017, which is nearly identical to the estimate (2,049) used in the previous IC renewal</w:t>
      </w:r>
      <w:r w:rsidR="00C71BC7">
        <w:rPr>
          <w:rFonts w:ascii="Times New Roman" w:hAnsi="Times New Roman"/>
          <w:lang w:bidi="en-US"/>
        </w:rPr>
        <w:t>.</w:t>
      </w:r>
    </w:p>
    <w:p w:rsidRPr="00F52BA7" w:rsidR="00C71BC7" w:rsidP="00DB15CE" w:rsidRDefault="00C71BC7" w14:paraId="415C1076" w14:textId="77777777">
      <w:pPr>
        <w:pStyle w:val="FootnoteText"/>
        <w:rPr>
          <w:rFonts w:ascii="Times New Roman" w:hAnsi="Times New Roman"/>
          <w:lang w:bidi="en-US"/>
        </w:rPr>
      </w:pPr>
    </w:p>
    <w:p w:rsidRPr="00F52BA7" w:rsidR="00F52BA7" w:rsidP="00DB15CE" w:rsidRDefault="00F52BA7" w14:paraId="03F0551D" w14:textId="77777777">
      <w:pPr>
        <w:pStyle w:val="FootnoteText"/>
        <w:rPr>
          <w:rFonts w:ascii="Times New Roman" w:hAnsi="Times New Roman"/>
          <w:lang w:bidi="en-US"/>
        </w:rPr>
      </w:pPr>
      <w:r w:rsidRPr="00F52BA7">
        <w:rPr>
          <w:rFonts w:ascii="Times New Roman" w:hAnsi="Times New Roman"/>
          <w:lang w:bidi="en-US"/>
        </w:rPr>
        <w:t xml:space="preserve">If the revised count of 2,540 branch closures between 2015 and 2017 </w:t>
      </w:r>
      <w:r w:rsidR="00C71BC7">
        <w:rPr>
          <w:rFonts w:ascii="Times New Roman" w:hAnsi="Times New Roman"/>
          <w:lang w:bidi="en-US"/>
        </w:rPr>
        <w:t xml:space="preserve">had been used </w:t>
      </w:r>
      <w:r w:rsidRPr="00F52BA7">
        <w:rPr>
          <w:rFonts w:ascii="Times New Roman" w:hAnsi="Times New Roman"/>
          <w:lang w:bidi="en-US"/>
        </w:rPr>
        <w:t xml:space="preserve">in the </w:t>
      </w:r>
      <w:r w:rsidR="00C71BC7">
        <w:rPr>
          <w:rFonts w:ascii="Times New Roman" w:hAnsi="Times New Roman"/>
          <w:lang w:bidi="en-US"/>
        </w:rPr>
        <w:t xml:space="preserve">previous IC renewal, FDIC </w:t>
      </w:r>
      <w:r w:rsidRPr="00F52BA7">
        <w:rPr>
          <w:rFonts w:ascii="Times New Roman" w:hAnsi="Times New Roman"/>
          <w:lang w:bidi="en-US"/>
        </w:rPr>
        <w:t xml:space="preserve">would have estimated 847 responses per year to the Branch Closure Notice component. Thus, the new estimate of 781 responses per year represents a decline of 66 responses per year. </w:t>
      </w:r>
    </w:p>
    <w:p w:rsidR="00A10641" w:rsidP="00F856B0" w:rsidRDefault="00A10641" w14:paraId="35FDEFA2" w14:textId="77777777">
      <w:pPr>
        <w:tabs>
          <w:tab w:val="left" w:pos="480"/>
          <w:tab w:val="left" w:pos="1080"/>
          <w:tab w:val="left" w:pos="1680"/>
        </w:tabs>
        <w:suppressAutoHyphens/>
        <w:ind w:left="960"/>
        <w:rPr>
          <w:rFonts w:ascii="Times New Roman" w:hAnsi="Times New Roman"/>
        </w:rPr>
      </w:pPr>
    </w:p>
    <w:p w:rsidR="00F856B0" w:rsidP="00F856B0" w:rsidRDefault="00F856B0" w14:paraId="69DEF93C" w14:textId="77777777">
      <w:pPr>
        <w:tabs>
          <w:tab w:val="left" w:pos="480"/>
          <w:tab w:val="left" w:pos="1080"/>
          <w:tab w:val="left" w:pos="1680"/>
        </w:tabs>
        <w:suppressAutoHyphens/>
        <w:ind w:left="960"/>
        <w:rPr>
          <w:rFonts w:ascii="Times New Roman" w:hAnsi="Times New Roman"/>
        </w:rPr>
      </w:pPr>
    </w:p>
    <w:p w:rsidR="00A10641" w:rsidP="00366534" w:rsidRDefault="00A10641" w14:paraId="2A0C5567" w14:textId="77777777">
      <w:pPr>
        <w:tabs>
          <w:tab w:val="left" w:pos="480"/>
          <w:tab w:val="left" w:pos="990"/>
          <w:tab w:val="left" w:pos="1680"/>
        </w:tabs>
        <w:suppressAutoHyphens/>
        <w:ind w:left="960" w:hanging="480"/>
        <w:rPr>
          <w:rFonts w:ascii="Times New Roman" w:hAnsi="Times New Roman"/>
          <w:u w:val="single"/>
        </w:rPr>
      </w:pPr>
      <w:r>
        <w:rPr>
          <w:rFonts w:ascii="Times New Roman" w:hAnsi="Times New Roman"/>
        </w:rPr>
        <w:t>16.</w:t>
      </w:r>
      <w:r>
        <w:rPr>
          <w:rFonts w:ascii="Times New Roman" w:hAnsi="Times New Roman"/>
        </w:rPr>
        <w:tab/>
      </w:r>
      <w:r w:rsidRPr="00366534" w:rsidR="00366534">
        <w:rPr>
          <w:rFonts w:ascii="Times New Roman" w:hAnsi="Times New Roman"/>
          <w:u w:val="single"/>
        </w:rPr>
        <w:t>Information regarding collections whose results are planned to be published for statistical use:</w:t>
      </w:r>
    </w:p>
    <w:p w:rsidR="00A10641" w:rsidRDefault="00A10641" w14:paraId="36352BC2" w14:textId="77777777">
      <w:pPr>
        <w:tabs>
          <w:tab w:val="left" w:pos="480"/>
          <w:tab w:val="left" w:pos="1080"/>
          <w:tab w:val="left" w:pos="1680"/>
        </w:tabs>
        <w:suppressAutoHyphens/>
        <w:ind w:left="480"/>
        <w:jc w:val="both"/>
        <w:rPr>
          <w:rFonts w:ascii="Times New Roman" w:hAnsi="Times New Roman"/>
        </w:rPr>
      </w:pPr>
    </w:p>
    <w:p w:rsidR="00A10641" w:rsidRDefault="00A10641" w14:paraId="30DC7510" w14:textId="77777777">
      <w:pPr>
        <w:tabs>
          <w:tab w:val="left" w:pos="480"/>
          <w:tab w:val="left" w:pos="1080"/>
          <w:tab w:val="left" w:pos="1680"/>
        </w:tabs>
        <w:suppressAutoHyphens/>
        <w:ind w:left="960"/>
        <w:jc w:val="both"/>
        <w:rPr>
          <w:rFonts w:ascii="Times New Roman" w:hAnsi="Times New Roman"/>
        </w:rPr>
      </w:pPr>
      <w:r>
        <w:rPr>
          <w:rFonts w:ascii="Times New Roman" w:hAnsi="Times New Roman"/>
        </w:rPr>
        <w:t>Collections of information under the interagency statement are not published.</w:t>
      </w:r>
    </w:p>
    <w:p w:rsidR="00A10641" w:rsidRDefault="00A10641" w14:paraId="1483BA83" w14:textId="77777777">
      <w:pPr>
        <w:tabs>
          <w:tab w:val="left" w:pos="480"/>
          <w:tab w:val="left" w:pos="1080"/>
          <w:tab w:val="left" w:pos="1680"/>
        </w:tabs>
        <w:suppressAutoHyphens/>
        <w:ind w:left="1560" w:hanging="480"/>
        <w:rPr>
          <w:rFonts w:ascii="Times New Roman" w:hAnsi="Times New Roman"/>
        </w:rPr>
      </w:pPr>
    </w:p>
    <w:p w:rsidR="00A10641" w:rsidRDefault="00366534" w14:paraId="1C96E2F2" w14:textId="77777777">
      <w:pPr>
        <w:numPr>
          <w:ilvl w:val="0"/>
          <w:numId w:val="3"/>
        </w:numPr>
        <w:tabs>
          <w:tab w:val="clear" w:pos="1080"/>
          <w:tab w:val="num" w:pos="960"/>
          <w:tab w:val="left" w:pos="1680"/>
        </w:tabs>
        <w:suppressAutoHyphens/>
        <w:ind w:left="960"/>
        <w:rPr>
          <w:rFonts w:ascii="Times New Roman" w:hAnsi="Times New Roman"/>
          <w:u w:val="single"/>
        </w:rPr>
      </w:pPr>
      <w:r w:rsidRPr="00366534">
        <w:rPr>
          <w:rFonts w:ascii="Times New Roman" w:hAnsi="Times New Roman"/>
          <w:u w:val="single"/>
        </w:rPr>
        <w:t>Exceptions to expiration date display</w:t>
      </w:r>
      <w:r>
        <w:rPr>
          <w:rFonts w:ascii="Times New Roman" w:hAnsi="Times New Roman"/>
          <w:u w:val="single"/>
        </w:rPr>
        <w:t>:</w:t>
      </w:r>
    </w:p>
    <w:p w:rsidR="00A10641" w:rsidRDefault="00A10641" w14:paraId="638D2FF5" w14:textId="77777777">
      <w:pPr>
        <w:tabs>
          <w:tab w:val="left" w:pos="480"/>
          <w:tab w:val="left" w:pos="1080"/>
          <w:tab w:val="left" w:pos="1680"/>
        </w:tabs>
        <w:suppressAutoHyphens/>
        <w:rPr>
          <w:rFonts w:ascii="Times New Roman" w:hAnsi="Times New Roman"/>
          <w:u w:val="single"/>
        </w:rPr>
      </w:pPr>
    </w:p>
    <w:p w:rsidR="00A10641" w:rsidRDefault="00E53557" w14:paraId="3A75C63C" w14:textId="41C87118">
      <w:pPr>
        <w:tabs>
          <w:tab w:val="left" w:pos="480"/>
          <w:tab w:val="left" w:pos="1080"/>
          <w:tab w:val="left" w:pos="1680"/>
        </w:tabs>
        <w:suppressAutoHyphens/>
        <w:ind w:left="960"/>
        <w:rPr>
          <w:rFonts w:ascii="Times New Roman" w:hAnsi="Times New Roman"/>
        </w:rPr>
      </w:pPr>
      <w:r>
        <w:rPr>
          <w:rFonts w:ascii="Times New Roman" w:hAnsi="Times New Roman"/>
        </w:rPr>
        <w:t>None</w:t>
      </w:r>
      <w:r w:rsidR="00A10641">
        <w:rPr>
          <w:rFonts w:ascii="Times New Roman" w:hAnsi="Times New Roman"/>
        </w:rPr>
        <w:t>.</w:t>
      </w:r>
    </w:p>
    <w:p w:rsidR="00366534" w:rsidP="00366534" w:rsidRDefault="00366534" w14:paraId="5342CBC7" w14:textId="77777777">
      <w:pPr>
        <w:tabs>
          <w:tab w:val="left" w:pos="480"/>
          <w:tab w:val="left" w:pos="1080"/>
          <w:tab w:val="left" w:pos="1680"/>
        </w:tabs>
        <w:suppressAutoHyphens/>
        <w:rPr>
          <w:rFonts w:ascii="Times New Roman" w:hAnsi="Times New Roman"/>
        </w:rPr>
      </w:pPr>
    </w:p>
    <w:p w:rsidRPr="00366534" w:rsidR="00A10641" w:rsidP="00366534" w:rsidRDefault="00584FC9" w14:paraId="44908548" w14:textId="77777777">
      <w:pPr>
        <w:pStyle w:val="ListParagraph"/>
        <w:numPr>
          <w:ilvl w:val="0"/>
          <w:numId w:val="5"/>
        </w:numPr>
        <w:tabs>
          <w:tab w:val="left" w:pos="480"/>
          <w:tab w:val="left" w:pos="1080"/>
          <w:tab w:val="left" w:pos="1680"/>
        </w:tabs>
        <w:suppressAutoHyphens/>
        <w:ind w:hanging="1755"/>
        <w:rPr>
          <w:rFonts w:ascii="Times New Roman" w:hAnsi="Times New Roman"/>
        </w:rPr>
      </w:pPr>
      <w:r>
        <w:rPr>
          <w:rFonts w:ascii="Times New Roman" w:hAnsi="Times New Roman"/>
          <w:u w:val="single"/>
        </w:rPr>
        <w:t>Exceptions to c</w:t>
      </w:r>
      <w:r w:rsidRPr="00366534" w:rsidR="00A10641">
        <w:rPr>
          <w:rFonts w:ascii="Times New Roman" w:hAnsi="Times New Roman"/>
          <w:u w:val="single"/>
        </w:rPr>
        <w:t>ertification</w:t>
      </w:r>
      <w:r>
        <w:rPr>
          <w:rFonts w:ascii="Times New Roman" w:hAnsi="Times New Roman"/>
          <w:u w:val="single"/>
        </w:rPr>
        <w:t>:</w:t>
      </w:r>
    </w:p>
    <w:p w:rsidR="00A10641" w:rsidRDefault="00A10641" w14:paraId="7755FBE3" w14:textId="77777777">
      <w:pPr>
        <w:tabs>
          <w:tab w:val="left" w:pos="480"/>
          <w:tab w:val="left" w:pos="1080"/>
          <w:tab w:val="left" w:pos="1680"/>
        </w:tabs>
        <w:suppressAutoHyphens/>
        <w:rPr>
          <w:rFonts w:ascii="Times New Roman" w:hAnsi="Times New Roman"/>
        </w:rPr>
      </w:pPr>
    </w:p>
    <w:p w:rsidR="00A10641" w:rsidRDefault="001F0880" w14:paraId="38AD2069" w14:textId="77777777">
      <w:pPr>
        <w:tabs>
          <w:tab w:val="left" w:pos="480"/>
          <w:tab w:val="left" w:pos="1080"/>
          <w:tab w:val="left" w:pos="1680"/>
        </w:tabs>
        <w:suppressAutoHyphens/>
        <w:rPr>
          <w:rFonts w:ascii="Times New Roman" w:hAnsi="Times New Roman"/>
        </w:rPr>
      </w:pPr>
      <w:r>
        <w:rPr>
          <w:rFonts w:ascii="Times New Roman" w:hAnsi="Times New Roman"/>
        </w:rPr>
        <w:tab/>
      </w:r>
      <w:r>
        <w:rPr>
          <w:rFonts w:ascii="Times New Roman" w:hAnsi="Times New Roman"/>
        </w:rPr>
        <w:tab/>
      </w:r>
      <w:r w:rsidR="00A10641">
        <w:rPr>
          <w:rFonts w:ascii="Times New Roman" w:hAnsi="Times New Roman"/>
        </w:rPr>
        <w:t>None.</w:t>
      </w:r>
      <w:r w:rsidR="00A10641">
        <w:rPr>
          <w:rFonts w:ascii="Times New Roman" w:hAnsi="Times New Roman"/>
        </w:rPr>
        <w:tab/>
      </w:r>
    </w:p>
    <w:p w:rsidR="00A10641" w:rsidRDefault="00A10641" w14:paraId="64C13A2D" w14:textId="77777777">
      <w:pPr>
        <w:tabs>
          <w:tab w:val="left" w:pos="480"/>
          <w:tab w:val="left" w:pos="1080"/>
          <w:tab w:val="left" w:pos="1680"/>
        </w:tabs>
        <w:suppressAutoHyphens/>
        <w:ind w:left="1080"/>
        <w:rPr>
          <w:rFonts w:ascii="Times New Roman" w:hAnsi="Times New Roman"/>
        </w:rPr>
      </w:pPr>
    </w:p>
    <w:p w:rsidR="00A10641" w:rsidRDefault="00A10641" w14:paraId="63E1CEF9" w14:textId="77777777">
      <w:pPr>
        <w:tabs>
          <w:tab w:val="left" w:pos="480"/>
          <w:tab w:val="left" w:pos="1080"/>
          <w:tab w:val="left" w:pos="1680"/>
        </w:tabs>
        <w:suppressAutoHyphens/>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STATISTICAL METHODS</w:t>
      </w:r>
    </w:p>
    <w:p w:rsidR="00A10641" w:rsidRDefault="00A10641" w14:paraId="68CE259C" w14:textId="77777777">
      <w:pPr>
        <w:tabs>
          <w:tab w:val="left" w:pos="480"/>
          <w:tab w:val="left" w:pos="1080"/>
          <w:tab w:val="left" w:pos="1680"/>
        </w:tabs>
        <w:suppressAutoHyphens/>
        <w:rPr>
          <w:rFonts w:ascii="Times New Roman" w:hAnsi="Times New Roman"/>
        </w:rPr>
      </w:pPr>
    </w:p>
    <w:p w:rsidR="00A10641" w:rsidRDefault="00A10641" w14:paraId="4785B4E0" w14:textId="77777777">
      <w:pPr>
        <w:tabs>
          <w:tab w:val="left" w:pos="480"/>
          <w:tab w:val="left" w:pos="1080"/>
          <w:tab w:val="left" w:pos="1680"/>
        </w:tabs>
        <w:suppressAutoHyphens/>
        <w:ind w:left="480" w:hanging="480"/>
        <w:rPr>
          <w:rFonts w:ascii="Times New Roman" w:hAnsi="Times New Roman"/>
        </w:rPr>
      </w:pPr>
      <w:r>
        <w:rPr>
          <w:rFonts w:ascii="Times New Roman" w:hAnsi="Times New Roman"/>
        </w:rPr>
        <w:tab/>
        <w:t>Statistical methods are not employed in this collection.</w:t>
      </w:r>
    </w:p>
    <w:p w:rsidR="00A10641" w:rsidRDefault="00A10641" w14:paraId="6F78E218" w14:textId="77777777">
      <w:pPr>
        <w:tabs>
          <w:tab w:val="left" w:pos="480"/>
          <w:tab w:val="left" w:pos="1080"/>
          <w:tab w:val="left" w:pos="1680"/>
        </w:tabs>
        <w:suppressAutoHyphens/>
        <w:rPr>
          <w:rFonts w:ascii="Times New Roman" w:hAnsi="Times New Roman"/>
        </w:rPr>
      </w:pPr>
    </w:p>
    <w:p w:rsidR="00A10641" w:rsidRDefault="00A10641" w14:paraId="0B86A211" w14:textId="77777777">
      <w:pPr>
        <w:tabs>
          <w:tab w:val="left" w:pos="480"/>
          <w:tab w:val="left" w:pos="1080"/>
          <w:tab w:val="left" w:pos="1680"/>
        </w:tabs>
        <w:suppressAutoHyphens/>
        <w:rPr>
          <w:rFonts w:ascii="Times New Roman" w:hAnsi="Times New Roman"/>
        </w:rPr>
      </w:pPr>
    </w:p>
    <w:p w:rsidR="00A10641" w:rsidRDefault="00A10641" w14:paraId="470416A7" w14:textId="77777777">
      <w:pPr>
        <w:tabs>
          <w:tab w:val="left" w:pos="480"/>
          <w:tab w:val="left" w:pos="1080"/>
          <w:tab w:val="left" w:pos="1680"/>
        </w:tabs>
        <w:suppressAutoHyphens/>
        <w:rPr>
          <w:rFonts w:ascii="Times New Roman" w:hAnsi="Times New Roman"/>
        </w:rPr>
      </w:pPr>
    </w:p>
    <w:p w:rsidR="00A10641" w:rsidRDefault="00A10641" w14:paraId="02E5F284" w14:textId="77777777">
      <w:pPr>
        <w:tabs>
          <w:tab w:val="left" w:pos="480"/>
          <w:tab w:val="left" w:pos="1080"/>
          <w:tab w:val="left" w:pos="1680"/>
        </w:tabs>
        <w:suppressAutoHyphens/>
        <w:rPr>
          <w:rFonts w:ascii="Times New Roman" w:hAnsi="Times New Roman"/>
        </w:rPr>
      </w:pPr>
    </w:p>
    <w:p w:rsidR="00A10641" w:rsidRDefault="00A10641" w14:paraId="4A95705E" w14:textId="77777777">
      <w:pPr>
        <w:tabs>
          <w:tab w:val="left" w:pos="480"/>
          <w:tab w:val="left" w:pos="1080"/>
          <w:tab w:val="left" w:pos="1680"/>
        </w:tabs>
        <w:suppressAutoHyphens/>
        <w:rPr>
          <w:rFonts w:ascii="Times New Roman" w:hAnsi="Times New Roman"/>
        </w:rPr>
      </w:pPr>
    </w:p>
    <w:sectPr w:rsidR="00A10641">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595B0" w14:textId="77777777" w:rsidR="0004585D" w:rsidRDefault="0004585D">
      <w:pPr>
        <w:spacing w:line="20" w:lineRule="exact"/>
      </w:pPr>
    </w:p>
  </w:endnote>
  <w:endnote w:type="continuationSeparator" w:id="0">
    <w:p w14:paraId="72009D5A" w14:textId="77777777" w:rsidR="0004585D" w:rsidRDefault="0004585D">
      <w:r>
        <w:t xml:space="preserve"> </w:t>
      </w:r>
    </w:p>
  </w:endnote>
  <w:endnote w:type="continuationNotice" w:id="1">
    <w:p w14:paraId="7784495F" w14:textId="77777777" w:rsidR="0004585D" w:rsidRDefault="0004585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B85EF" w14:textId="77777777" w:rsidR="003772DE" w:rsidRDefault="003772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EE1ECE" w14:textId="77777777" w:rsidR="003772DE" w:rsidRDefault="00377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1A612" w14:textId="2045B3FF" w:rsidR="003772DE" w:rsidRDefault="003772DE">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B15CE">
      <w:rPr>
        <w:rStyle w:val="PageNumber"/>
        <w:rFonts w:ascii="Times New Roman" w:hAnsi="Times New Roman"/>
        <w:noProof/>
      </w:rPr>
      <w:t>6</w:t>
    </w:r>
    <w:r>
      <w:rPr>
        <w:rStyle w:val="PageNumber"/>
        <w:rFonts w:ascii="Times New Roman" w:hAnsi="Times New Roman"/>
      </w:rPr>
      <w:fldChar w:fldCharType="end"/>
    </w:r>
  </w:p>
  <w:p w14:paraId="085CE506" w14:textId="77777777" w:rsidR="003772DE" w:rsidRDefault="003772DE">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9F53C" w14:textId="77777777" w:rsidR="003772DE" w:rsidRDefault="00377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1C2BB" w14:textId="77777777" w:rsidR="0004585D" w:rsidRDefault="0004585D">
      <w:r>
        <w:separator/>
      </w:r>
    </w:p>
  </w:footnote>
  <w:footnote w:type="continuationSeparator" w:id="0">
    <w:p w14:paraId="03FA89F5" w14:textId="77777777" w:rsidR="0004585D" w:rsidRDefault="0004585D">
      <w:r>
        <w:continuationSeparator/>
      </w:r>
    </w:p>
  </w:footnote>
  <w:footnote w:id="1">
    <w:p w14:paraId="17111918" w14:textId="77777777" w:rsidR="00F52BA7" w:rsidRPr="00DB15CE" w:rsidRDefault="00F52BA7" w:rsidP="00F52BA7">
      <w:pPr>
        <w:pStyle w:val="FootnoteText"/>
        <w:rPr>
          <w:rFonts w:ascii="Times New Roman" w:hAnsi="Times New Roman"/>
          <w:sz w:val="20"/>
        </w:rPr>
      </w:pPr>
      <w:r w:rsidRPr="00DB15CE">
        <w:rPr>
          <w:rStyle w:val="FootnoteReference"/>
          <w:rFonts w:ascii="Times New Roman" w:hAnsi="Times New Roman"/>
          <w:sz w:val="20"/>
        </w:rPr>
        <w:footnoteRef/>
      </w:r>
      <w:r w:rsidRPr="00DB15CE">
        <w:rPr>
          <w:rFonts w:ascii="Times New Roman" w:hAnsi="Times New Roman"/>
          <w:sz w:val="20"/>
        </w:rPr>
        <w:t xml:space="preserve"> The text of 12 U.S.C. 1831r-1 does not provide a definition of “branch,” and reads, in part, “An insured depository institution which proposes to close any branch shall submit a notice of the proposed closing to the appropriate Federal banking agency not later than the first day of the 90-day period ending on the date proposed for the closing.” To estimate the number of such notices, I assume the closure of any branch other than those explicitly excluded from the Summary of Deposits branch office survey is covered by the statute. I also include branches closed that have service type descriptions of either, “Limited Service – Messenger Office,” or “Limited Service – Retail Office,” or that have an unknown or missing service type description.</w:t>
      </w:r>
    </w:p>
  </w:footnote>
  <w:footnote w:id="2">
    <w:p w14:paraId="05FC64DF" w14:textId="77777777" w:rsidR="00F52BA7" w:rsidRPr="00DB15CE" w:rsidRDefault="00F52BA7" w:rsidP="00F52BA7">
      <w:pPr>
        <w:pStyle w:val="FootnoteText"/>
        <w:rPr>
          <w:rFonts w:ascii="Times New Roman" w:hAnsi="Times New Roman"/>
          <w:sz w:val="20"/>
        </w:rPr>
      </w:pPr>
      <w:r w:rsidRPr="00DB15CE">
        <w:rPr>
          <w:rStyle w:val="FootnoteReference"/>
          <w:rFonts w:ascii="Times New Roman" w:hAnsi="Times New Roman"/>
          <w:sz w:val="20"/>
        </w:rPr>
        <w:footnoteRef/>
      </w:r>
      <w:r w:rsidRPr="00DB15CE">
        <w:rPr>
          <w:rFonts w:ascii="Times New Roman" w:hAnsi="Times New Roman"/>
          <w:sz w:val="20"/>
        </w:rPr>
        <w:t xml:space="preserve"> Available at </w:t>
      </w:r>
      <w:hyperlink r:id="rId1" w:history="1">
        <w:r w:rsidRPr="00DB15CE">
          <w:rPr>
            <w:rStyle w:val="Hyperlink"/>
            <w:rFonts w:ascii="Times New Roman" w:hAnsi="Times New Roman"/>
            <w:sz w:val="20"/>
          </w:rPr>
          <w:t>https://www.fdic.gov/regulations/resources/call/sod.html</w:t>
        </w:r>
      </w:hyperlink>
      <w:r w:rsidRPr="00DB15CE">
        <w:rPr>
          <w:rFonts w:ascii="Times New Roman" w:hAnsi="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6E953" w14:textId="77777777" w:rsidR="003772DE" w:rsidRDefault="00377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45C4A" w14:textId="77777777" w:rsidR="003772DE" w:rsidRDefault="003772DE">
    <w:pPr>
      <w:spacing w:after="38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35C81" w14:textId="77777777" w:rsidR="003772DE" w:rsidRDefault="00377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3C54"/>
    <w:multiLevelType w:val="singleLevel"/>
    <w:tmpl w:val="4F782F56"/>
    <w:lvl w:ilvl="0">
      <w:start w:val="13"/>
      <w:numFmt w:val="decimal"/>
      <w:lvlText w:val="%1."/>
      <w:lvlJc w:val="left"/>
      <w:pPr>
        <w:tabs>
          <w:tab w:val="num" w:pos="1080"/>
        </w:tabs>
        <w:ind w:left="1080" w:hanging="600"/>
      </w:pPr>
      <w:rPr>
        <w:rFonts w:hint="default"/>
      </w:rPr>
    </w:lvl>
  </w:abstractNum>
  <w:abstractNum w:abstractNumId="1" w15:restartNumberingAfterBreak="0">
    <w:nsid w:val="0B0A3E59"/>
    <w:multiLevelType w:val="singleLevel"/>
    <w:tmpl w:val="2EDE856C"/>
    <w:lvl w:ilvl="0">
      <w:start w:val="9"/>
      <w:numFmt w:val="decimal"/>
      <w:lvlText w:val="%1."/>
      <w:lvlJc w:val="left"/>
      <w:pPr>
        <w:tabs>
          <w:tab w:val="num" w:pos="1440"/>
        </w:tabs>
        <w:ind w:left="1440" w:hanging="660"/>
      </w:pPr>
      <w:rPr>
        <w:rFonts w:hint="default"/>
      </w:rPr>
    </w:lvl>
  </w:abstractNum>
  <w:abstractNum w:abstractNumId="2" w15:restartNumberingAfterBreak="0">
    <w:nsid w:val="27BD2C1B"/>
    <w:multiLevelType w:val="multilevel"/>
    <w:tmpl w:val="B5004CAC"/>
    <w:lvl w:ilvl="0">
      <w:start w:val="9"/>
      <w:numFmt w:val="decimal"/>
      <w:lvlText w:val="%1."/>
      <w:lvlJc w:val="left"/>
      <w:pPr>
        <w:tabs>
          <w:tab w:val="num" w:pos="2295"/>
        </w:tabs>
        <w:ind w:left="2295" w:hanging="855"/>
      </w:pPr>
      <w:rPr>
        <w:rFonts w:hint="default"/>
      </w:rPr>
    </w:lvl>
    <w:lvl w:ilvl="1">
      <w:start w:val="1"/>
      <w:numFmt w:val="lowerLetter"/>
      <w:lvlText w:val="%2."/>
      <w:lvlJc w:val="left"/>
      <w:pPr>
        <w:ind w:left="2805" w:hanging="360"/>
      </w:pPr>
      <w:rPr>
        <w:rFonts w:hint="default"/>
      </w:rPr>
    </w:lvl>
    <w:lvl w:ilvl="2">
      <w:start w:val="1"/>
      <w:numFmt w:val="lowerRoman"/>
      <w:lvlText w:val="%3."/>
      <w:lvlJc w:val="right"/>
      <w:pPr>
        <w:ind w:left="3525" w:hanging="180"/>
      </w:pPr>
      <w:rPr>
        <w:rFonts w:hint="default"/>
      </w:rPr>
    </w:lvl>
    <w:lvl w:ilvl="3">
      <w:start w:val="1"/>
      <w:numFmt w:val="decimal"/>
      <w:lvlText w:val="%4."/>
      <w:lvlJc w:val="left"/>
      <w:pPr>
        <w:ind w:left="4245" w:hanging="360"/>
      </w:pPr>
      <w:rPr>
        <w:rFonts w:hint="default"/>
      </w:rPr>
    </w:lvl>
    <w:lvl w:ilvl="4">
      <w:start w:val="1"/>
      <w:numFmt w:val="lowerLetter"/>
      <w:lvlText w:val="%5."/>
      <w:lvlJc w:val="left"/>
      <w:pPr>
        <w:ind w:left="4965" w:hanging="360"/>
      </w:pPr>
      <w:rPr>
        <w:rFonts w:hint="default"/>
      </w:rPr>
    </w:lvl>
    <w:lvl w:ilvl="5">
      <w:start w:val="1"/>
      <w:numFmt w:val="lowerRoman"/>
      <w:lvlText w:val="%6."/>
      <w:lvlJc w:val="right"/>
      <w:pPr>
        <w:ind w:left="5685" w:hanging="180"/>
      </w:pPr>
      <w:rPr>
        <w:rFonts w:hint="default"/>
      </w:rPr>
    </w:lvl>
    <w:lvl w:ilvl="6">
      <w:start w:val="1"/>
      <w:numFmt w:val="decimal"/>
      <w:lvlText w:val="%7."/>
      <w:lvlJc w:val="left"/>
      <w:pPr>
        <w:ind w:left="6405" w:hanging="360"/>
      </w:pPr>
      <w:rPr>
        <w:rFonts w:hint="default"/>
      </w:rPr>
    </w:lvl>
    <w:lvl w:ilvl="7">
      <w:start w:val="1"/>
      <w:numFmt w:val="lowerLetter"/>
      <w:lvlText w:val="%8."/>
      <w:lvlJc w:val="left"/>
      <w:pPr>
        <w:ind w:left="7125" w:hanging="360"/>
      </w:pPr>
      <w:rPr>
        <w:rFonts w:hint="default"/>
      </w:rPr>
    </w:lvl>
    <w:lvl w:ilvl="8">
      <w:start w:val="1"/>
      <w:numFmt w:val="lowerRoman"/>
      <w:lvlText w:val="%9."/>
      <w:lvlJc w:val="right"/>
      <w:pPr>
        <w:ind w:left="7845" w:hanging="180"/>
      </w:pPr>
      <w:rPr>
        <w:rFonts w:hint="default"/>
      </w:rPr>
    </w:lvl>
  </w:abstractNum>
  <w:abstractNum w:abstractNumId="3" w15:restartNumberingAfterBreak="0">
    <w:nsid w:val="2BD12CC3"/>
    <w:multiLevelType w:val="singleLevel"/>
    <w:tmpl w:val="E4A63036"/>
    <w:lvl w:ilvl="0">
      <w:start w:val="17"/>
      <w:numFmt w:val="decimal"/>
      <w:lvlText w:val="%1."/>
      <w:lvlJc w:val="left"/>
      <w:pPr>
        <w:tabs>
          <w:tab w:val="num" w:pos="1080"/>
        </w:tabs>
        <w:ind w:left="1080" w:hanging="480"/>
      </w:pPr>
      <w:rPr>
        <w:rFonts w:hint="default"/>
        <w:u w:val="none"/>
      </w:rPr>
    </w:lvl>
  </w:abstractNum>
  <w:abstractNum w:abstractNumId="4" w15:restartNumberingAfterBreak="0">
    <w:nsid w:val="32854B65"/>
    <w:multiLevelType w:val="singleLevel"/>
    <w:tmpl w:val="575E362A"/>
    <w:lvl w:ilvl="0">
      <w:start w:val="14"/>
      <w:numFmt w:val="decimal"/>
      <w:lvlText w:val="%1."/>
      <w:lvlJc w:val="left"/>
      <w:pPr>
        <w:tabs>
          <w:tab w:val="num" w:pos="1290"/>
        </w:tabs>
        <w:ind w:left="1290" w:hanging="855"/>
      </w:pPr>
      <w:rPr>
        <w:rFonts w:hint="default"/>
      </w:rPr>
    </w:lvl>
  </w:abstractNum>
  <w:abstractNum w:abstractNumId="5" w15:restartNumberingAfterBreak="0">
    <w:nsid w:val="778D34FB"/>
    <w:multiLevelType w:val="singleLevel"/>
    <w:tmpl w:val="77628284"/>
    <w:lvl w:ilvl="0">
      <w:start w:val="2"/>
      <w:numFmt w:val="decimal"/>
      <w:lvlText w:val="%1."/>
      <w:lvlJc w:val="left"/>
      <w:pPr>
        <w:tabs>
          <w:tab w:val="num" w:pos="480"/>
        </w:tabs>
        <w:ind w:left="480" w:hanging="480"/>
      </w:pPr>
      <w:rPr>
        <w:rFonts w:hint="default"/>
      </w:r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6B0"/>
    <w:rsid w:val="00016F47"/>
    <w:rsid w:val="0004585D"/>
    <w:rsid w:val="0010443B"/>
    <w:rsid w:val="001A0299"/>
    <w:rsid w:val="001F0880"/>
    <w:rsid w:val="002E2F49"/>
    <w:rsid w:val="00366534"/>
    <w:rsid w:val="003772DE"/>
    <w:rsid w:val="003E7A05"/>
    <w:rsid w:val="00472470"/>
    <w:rsid w:val="005323ED"/>
    <w:rsid w:val="00533183"/>
    <w:rsid w:val="005751B7"/>
    <w:rsid w:val="00584FC9"/>
    <w:rsid w:val="005D7C4F"/>
    <w:rsid w:val="005E1A91"/>
    <w:rsid w:val="00821F26"/>
    <w:rsid w:val="008C4AFC"/>
    <w:rsid w:val="008C6BF8"/>
    <w:rsid w:val="008D55B7"/>
    <w:rsid w:val="009A2D93"/>
    <w:rsid w:val="00A10641"/>
    <w:rsid w:val="00A3164F"/>
    <w:rsid w:val="00A37A17"/>
    <w:rsid w:val="00A70D79"/>
    <w:rsid w:val="00AF65B5"/>
    <w:rsid w:val="00B12187"/>
    <w:rsid w:val="00B32BB8"/>
    <w:rsid w:val="00C56C82"/>
    <w:rsid w:val="00C71BC7"/>
    <w:rsid w:val="00C90302"/>
    <w:rsid w:val="00CB0D1A"/>
    <w:rsid w:val="00CB27AA"/>
    <w:rsid w:val="00CB70C1"/>
    <w:rsid w:val="00CE5C66"/>
    <w:rsid w:val="00D22383"/>
    <w:rsid w:val="00D73AB8"/>
    <w:rsid w:val="00DB15CE"/>
    <w:rsid w:val="00DE18CF"/>
    <w:rsid w:val="00E47080"/>
    <w:rsid w:val="00E53557"/>
    <w:rsid w:val="00E61526"/>
    <w:rsid w:val="00EF07D1"/>
    <w:rsid w:val="00F009E6"/>
    <w:rsid w:val="00F52BA7"/>
    <w:rsid w:val="00F856B0"/>
    <w:rsid w:val="00FB0701"/>
    <w:rsid w:val="00FB0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2C2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uiPriority w:val="99"/>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CB70C1"/>
    <w:rPr>
      <w:rFonts w:ascii="Tahoma" w:hAnsi="Tahoma" w:cs="Tahoma"/>
      <w:sz w:val="16"/>
      <w:szCs w:val="16"/>
    </w:rPr>
  </w:style>
  <w:style w:type="character" w:customStyle="1" w:styleId="BalloonTextChar">
    <w:name w:val="Balloon Text Char"/>
    <w:link w:val="BalloonText"/>
    <w:rsid w:val="00CB70C1"/>
    <w:rPr>
      <w:rFonts w:ascii="Tahoma" w:hAnsi="Tahoma" w:cs="Tahoma"/>
      <w:snapToGrid w:val="0"/>
      <w:sz w:val="16"/>
      <w:szCs w:val="16"/>
    </w:rPr>
  </w:style>
  <w:style w:type="paragraph" w:styleId="ListParagraph">
    <w:name w:val="List Paragraph"/>
    <w:basedOn w:val="Normal"/>
    <w:uiPriority w:val="34"/>
    <w:qFormat/>
    <w:rsid w:val="00366534"/>
    <w:pPr>
      <w:ind w:left="720"/>
      <w:contextualSpacing/>
    </w:pPr>
  </w:style>
  <w:style w:type="character" w:styleId="CommentReference">
    <w:name w:val="annotation reference"/>
    <w:basedOn w:val="DefaultParagraphFont"/>
    <w:semiHidden/>
    <w:unhideWhenUsed/>
    <w:rsid w:val="00F52BA7"/>
    <w:rPr>
      <w:sz w:val="16"/>
      <w:szCs w:val="16"/>
    </w:rPr>
  </w:style>
  <w:style w:type="paragraph" w:styleId="CommentText">
    <w:name w:val="annotation text"/>
    <w:basedOn w:val="Normal"/>
    <w:link w:val="CommentTextChar"/>
    <w:semiHidden/>
    <w:unhideWhenUsed/>
    <w:rsid w:val="00F52BA7"/>
    <w:rPr>
      <w:sz w:val="20"/>
    </w:rPr>
  </w:style>
  <w:style w:type="character" w:customStyle="1" w:styleId="CommentTextChar">
    <w:name w:val="Comment Text Char"/>
    <w:basedOn w:val="DefaultParagraphFont"/>
    <w:link w:val="CommentText"/>
    <w:semiHidden/>
    <w:rsid w:val="00F52BA7"/>
    <w:rPr>
      <w:rFonts w:ascii="Courier New" w:hAnsi="Courier New"/>
      <w:snapToGrid w:val="0"/>
    </w:rPr>
  </w:style>
  <w:style w:type="paragraph" w:styleId="CommentSubject">
    <w:name w:val="annotation subject"/>
    <w:basedOn w:val="CommentText"/>
    <w:next w:val="CommentText"/>
    <w:link w:val="CommentSubjectChar"/>
    <w:semiHidden/>
    <w:unhideWhenUsed/>
    <w:rsid w:val="00F52BA7"/>
    <w:rPr>
      <w:b/>
      <w:bCs/>
    </w:rPr>
  </w:style>
  <w:style w:type="character" w:customStyle="1" w:styleId="CommentSubjectChar">
    <w:name w:val="Comment Subject Char"/>
    <w:basedOn w:val="CommentTextChar"/>
    <w:link w:val="CommentSubject"/>
    <w:semiHidden/>
    <w:rsid w:val="00F52BA7"/>
    <w:rPr>
      <w:rFonts w:ascii="Courier New" w:hAnsi="Courier New"/>
      <w:b/>
      <w:bCs/>
      <w:snapToGrid w:val="0"/>
    </w:rPr>
  </w:style>
  <w:style w:type="character" w:styleId="Hyperlink">
    <w:name w:val="Hyperlink"/>
    <w:basedOn w:val="DefaultParagraphFont"/>
    <w:uiPriority w:val="99"/>
    <w:unhideWhenUsed/>
    <w:rsid w:val="00F52B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dic.gov/regulations/resources/call/so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E2AC1-0F1A-4DEE-B40A-8C7CF12A4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1518</Words>
  <Characters>8996</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2021-09-21T15:12:00Z</dcterms:created>
  <dcterms:modified xsi:type="dcterms:W3CDTF">2021-09-21T15:12:00Z</dcterms:modified>
</cp:coreProperties>
</file>