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665B" w:rsidR="00F5665B" w:rsidP="00F5665B" w:rsidRDefault="00F5665B" w14:paraId="1FD266A1" w14:textId="18362895">
      <w:pPr>
        <w:tabs>
          <w:tab w:val="center" w:pos="4320"/>
          <w:tab w:val="right" w:pos="9360"/>
        </w:tabs>
        <w:rPr>
          <w:b/>
          <w:sz w:val="22"/>
          <w:szCs w:val="22"/>
        </w:rPr>
      </w:pPr>
      <w:r w:rsidRPr="00F5665B">
        <w:rPr>
          <w:b/>
          <w:sz w:val="22"/>
          <w:szCs w:val="22"/>
        </w:rPr>
        <w:t xml:space="preserve">3060-XXXX </w:t>
      </w:r>
      <w:r w:rsidRPr="00F5665B">
        <w:rPr>
          <w:b/>
          <w:sz w:val="22"/>
          <w:szCs w:val="22"/>
        </w:rPr>
        <w:tab/>
      </w:r>
      <w:r w:rsidRPr="00F5665B">
        <w:rPr>
          <w:b/>
          <w:sz w:val="22"/>
          <w:szCs w:val="22"/>
        </w:rPr>
        <w:tab/>
      </w:r>
      <w:r w:rsidR="00990CF2">
        <w:rPr>
          <w:b/>
          <w:sz w:val="22"/>
          <w:szCs w:val="22"/>
        </w:rPr>
        <w:t xml:space="preserve"> July </w:t>
      </w:r>
      <w:r w:rsidRPr="00F5665B">
        <w:rPr>
          <w:b/>
          <w:sz w:val="22"/>
          <w:szCs w:val="22"/>
        </w:rPr>
        <w:t>2020</w:t>
      </w:r>
    </w:p>
    <w:p w:rsidR="00F5665B" w:rsidP="00A226B8" w:rsidRDefault="00F5665B" w14:paraId="674C3537" w14:textId="53C35DE0">
      <w:pPr>
        <w:tabs>
          <w:tab w:val="left" w:pos="4320"/>
          <w:tab w:val="right" w:pos="8640"/>
        </w:tabs>
        <w:rPr>
          <w:b/>
          <w:sz w:val="22"/>
          <w:szCs w:val="22"/>
        </w:rPr>
      </w:pPr>
      <w:r w:rsidRPr="00F5665B">
        <w:rPr>
          <w:b/>
          <w:sz w:val="22"/>
          <w:szCs w:val="22"/>
        </w:rPr>
        <w:t>3.7 GHz</w:t>
      </w:r>
      <w:r w:rsidR="00A9328E">
        <w:rPr>
          <w:b/>
          <w:sz w:val="22"/>
          <w:szCs w:val="22"/>
        </w:rPr>
        <w:t xml:space="preserve"> Band Relocation Payment Clearinghouse</w:t>
      </w:r>
      <w:r w:rsidR="00A226B8">
        <w:rPr>
          <w:b/>
          <w:sz w:val="22"/>
          <w:szCs w:val="22"/>
        </w:rPr>
        <w:t>;</w:t>
      </w:r>
    </w:p>
    <w:p w:rsidR="00A226B8" w:rsidP="00A226B8" w:rsidRDefault="00A226B8" w14:paraId="08F52D19" w14:textId="4DBFB467">
      <w:pPr>
        <w:tabs>
          <w:tab w:val="left" w:pos="4320"/>
          <w:tab w:val="right" w:pos="8640"/>
        </w:tabs>
        <w:rPr>
          <w:b/>
          <w:sz w:val="22"/>
          <w:szCs w:val="22"/>
        </w:rPr>
      </w:pPr>
      <w:r>
        <w:rPr>
          <w:b/>
          <w:sz w:val="22"/>
          <w:szCs w:val="22"/>
        </w:rPr>
        <w:t>3.7 GHz Band Relocation Coordinator; 3.7 GHz</w:t>
      </w:r>
    </w:p>
    <w:p w:rsidR="00A226B8" w:rsidP="00A226B8" w:rsidRDefault="00A226B8" w14:paraId="4E78AEAE" w14:textId="5AAE807F">
      <w:pPr>
        <w:tabs>
          <w:tab w:val="left" w:pos="4320"/>
          <w:tab w:val="right" w:pos="8640"/>
        </w:tabs>
        <w:rPr>
          <w:b/>
          <w:sz w:val="22"/>
          <w:szCs w:val="22"/>
        </w:rPr>
      </w:pPr>
      <w:r>
        <w:rPr>
          <w:b/>
          <w:sz w:val="22"/>
          <w:szCs w:val="22"/>
        </w:rPr>
        <w:t>Band Space Station Operators</w:t>
      </w:r>
    </w:p>
    <w:p w:rsidRPr="00A226B8" w:rsidR="00A226B8" w:rsidP="00A226B8" w:rsidRDefault="00A226B8" w14:paraId="01CEDB73" w14:textId="77777777">
      <w:pPr>
        <w:tabs>
          <w:tab w:val="left" w:pos="4320"/>
          <w:tab w:val="right" w:pos="8640"/>
        </w:tabs>
        <w:rPr>
          <w:b/>
          <w:sz w:val="22"/>
          <w:szCs w:val="22"/>
        </w:rPr>
      </w:pPr>
    </w:p>
    <w:p w:rsidRPr="00F5665B" w:rsidR="00F5665B" w:rsidP="00F5665B" w:rsidRDefault="00F5665B" w14:paraId="71A26C13" w14:textId="77777777">
      <w:pPr>
        <w:jc w:val="center"/>
        <w:rPr>
          <w:sz w:val="22"/>
          <w:szCs w:val="22"/>
          <w:u w:val="single"/>
        </w:rPr>
      </w:pPr>
      <w:r w:rsidRPr="00F5665B">
        <w:rPr>
          <w:sz w:val="22"/>
          <w:szCs w:val="22"/>
          <w:u w:val="single"/>
        </w:rPr>
        <w:t>SUPPORTING STATEMENT</w:t>
      </w:r>
    </w:p>
    <w:p w:rsidRPr="00F5665B" w:rsidR="00F5665B" w:rsidP="00F5665B" w:rsidRDefault="00F5665B" w14:paraId="7F1900B8" w14:textId="77777777">
      <w:pPr>
        <w:rPr>
          <w:sz w:val="22"/>
          <w:szCs w:val="22"/>
          <w:u w:val="single"/>
        </w:rPr>
      </w:pPr>
    </w:p>
    <w:p w:rsidRPr="005643FC" w:rsidR="00B242BA" w:rsidP="00B242BA" w:rsidRDefault="00F5665B" w14:paraId="7D3DA1BB" w14:textId="0996CAB2">
      <w:pPr>
        <w:rPr>
          <w:sz w:val="22"/>
          <w:szCs w:val="22"/>
        </w:rPr>
      </w:pPr>
      <w:r w:rsidRPr="00F5665B">
        <w:rPr>
          <w:i/>
          <w:sz w:val="22"/>
          <w:szCs w:val="22"/>
        </w:rPr>
        <w:t>New Collection Titled</w:t>
      </w:r>
      <w:r w:rsidRPr="00F5665B">
        <w:rPr>
          <w:sz w:val="22"/>
          <w:szCs w:val="22"/>
        </w:rPr>
        <w:t xml:space="preserve">: 3.7 GHz Band </w:t>
      </w:r>
      <w:r w:rsidR="00B242BA">
        <w:rPr>
          <w:sz w:val="22"/>
          <w:szCs w:val="22"/>
        </w:rPr>
        <w:t>Relocation Payment Clearinghouse</w:t>
      </w:r>
      <w:r w:rsidR="00A060E8">
        <w:rPr>
          <w:sz w:val="22"/>
          <w:szCs w:val="22"/>
        </w:rPr>
        <w:t xml:space="preserve">; </w:t>
      </w:r>
      <w:r w:rsidR="00A226B8">
        <w:rPr>
          <w:sz w:val="22"/>
          <w:szCs w:val="22"/>
        </w:rPr>
        <w:t xml:space="preserve">3.7 GHz Band Relocation Coordinator; 3.7 GHz </w:t>
      </w:r>
      <w:r w:rsidR="00DA2F75">
        <w:rPr>
          <w:sz w:val="22"/>
          <w:szCs w:val="22"/>
        </w:rPr>
        <w:t xml:space="preserve">Band </w:t>
      </w:r>
      <w:r w:rsidR="00A226B8">
        <w:rPr>
          <w:sz w:val="22"/>
          <w:szCs w:val="22"/>
        </w:rPr>
        <w:t>Space Station Operators</w:t>
      </w:r>
    </w:p>
    <w:p w:rsidRPr="006253AA" w:rsidR="00B242BA" w:rsidP="00B242BA" w:rsidRDefault="00B242BA" w14:paraId="40726BC2" w14:textId="77777777">
      <w:pPr>
        <w:rPr>
          <w:b/>
          <w:sz w:val="22"/>
          <w:szCs w:val="22"/>
        </w:rPr>
      </w:pPr>
    </w:p>
    <w:p w:rsidRPr="00C20204" w:rsidR="00B242BA" w:rsidP="00B242BA" w:rsidRDefault="00B242BA" w14:paraId="009CCFD1" w14:textId="77777777">
      <w:pPr>
        <w:pStyle w:val="Heading1"/>
        <w:rPr>
          <w:bCs w:val="0"/>
          <w:sz w:val="22"/>
          <w:szCs w:val="22"/>
          <w:u w:val="none"/>
        </w:rPr>
      </w:pPr>
      <w:r w:rsidRPr="00C20204">
        <w:rPr>
          <w:bCs w:val="0"/>
          <w:sz w:val="22"/>
          <w:szCs w:val="22"/>
        </w:rPr>
        <w:t>Justification</w:t>
      </w:r>
      <w:r w:rsidRPr="00C20204">
        <w:rPr>
          <w:bCs w:val="0"/>
          <w:sz w:val="22"/>
          <w:szCs w:val="22"/>
          <w:u w:val="none"/>
        </w:rPr>
        <w:t>:</w:t>
      </w:r>
    </w:p>
    <w:p w:rsidRPr="00C20204" w:rsidR="00B242BA" w:rsidP="00B242BA" w:rsidRDefault="00B242BA" w14:paraId="1ADD2C57" w14:textId="77777777">
      <w:pPr>
        <w:rPr>
          <w:b/>
          <w:sz w:val="22"/>
          <w:szCs w:val="22"/>
        </w:rPr>
      </w:pPr>
    </w:p>
    <w:p w:rsidR="000835F4" w:rsidP="00B242BA" w:rsidRDefault="00B242BA" w14:paraId="31FACDEA" w14:textId="65B8F7C8">
      <w:pPr>
        <w:tabs>
          <w:tab w:val="left" w:pos="360"/>
        </w:tabs>
        <w:rPr>
          <w:sz w:val="22"/>
          <w:szCs w:val="22"/>
        </w:rPr>
      </w:pPr>
      <w:r w:rsidRPr="00C20204">
        <w:rPr>
          <w:iCs/>
          <w:sz w:val="22"/>
          <w:szCs w:val="22"/>
        </w:rPr>
        <w:t>1.</w:t>
      </w:r>
      <w:r w:rsidRPr="00C20204">
        <w:rPr>
          <w:iCs/>
          <w:sz w:val="22"/>
          <w:szCs w:val="22"/>
        </w:rPr>
        <w:tab/>
      </w:r>
      <w:r w:rsidRPr="00C20204">
        <w:rPr>
          <w:b/>
          <w:bCs/>
          <w:i/>
          <w:iCs/>
          <w:sz w:val="22"/>
          <w:szCs w:val="22"/>
        </w:rPr>
        <w:t>Circumstances that make this collection necessary</w:t>
      </w:r>
      <w:r w:rsidRPr="00C20204">
        <w:rPr>
          <w:i/>
          <w:iCs/>
          <w:sz w:val="22"/>
          <w:szCs w:val="22"/>
        </w:rPr>
        <w:t>.</w:t>
      </w:r>
      <w:r w:rsidRPr="00C20204">
        <w:rPr>
          <w:sz w:val="22"/>
          <w:szCs w:val="22"/>
        </w:rPr>
        <w:t xml:space="preserve">  </w:t>
      </w:r>
      <w:r w:rsidRPr="00C20204" w:rsidR="00990CF2">
        <w:rPr>
          <w:sz w:val="22"/>
          <w:szCs w:val="22"/>
        </w:rPr>
        <w:t>The Commission seeks approval for this new information collection from the Office of Management and Budget (OMB) for a three-year time period.</w:t>
      </w:r>
    </w:p>
    <w:p w:rsidR="000835F4" w:rsidP="00B242BA" w:rsidRDefault="000835F4" w14:paraId="7DBA53D9" w14:textId="77777777">
      <w:pPr>
        <w:tabs>
          <w:tab w:val="left" w:pos="360"/>
        </w:tabs>
        <w:rPr>
          <w:sz w:val="22"/>
          <w:szCs w:val="22"/>
        </w:rPr>
      </w:pPr>
    </w:p>
    <w:p w:rsidR="004B5495" w:rsidP="00033F93" w:rsidRDefault="00823A26" w14:paraId="137AA461" w14:textId="1AF7D116">
      <w:pPr>
        <w:tabs>
          <w:tab w:val="left" w:pos="360"/>
        </w:tabs>
        <w:rPr>
          <w:sz w:val="22"/>
          <w:szCs w:val="22"/>
        </w:rPr>
      </w:pPr>
      <w:r>
        <w:rPr>
          <w:sz w:val="22"/>
          <w:szCs w:val="22"/>
        </w:rPr>
        <w:t xml:space="preserve">Under this new information collection, the Commission will collect information that will be used to ensure that </w:t>
      </w:r>
      <w:r w:rsidR="00790DD9">
        <w:rPr>
          <w:sz w:val="22"/>
          <w:szCs w:val="22"/>
        </w:rPr>
        <w:t>3.7-4.2 GHz band stakeholders</w:t>
      </w:r>
      <w:r>
        <w:rPr>
          <w:sz w:val="22"/>
          <w:szCs w:val="22"/>
        </w:rPr>
        <w:t xml:space="preserve"> adopt practices and standards in their operations to ensure an effective</w:t>
      </w:r>
      <w:r w:rsidR="00E6402C">
        <w:rPr>
          <w:sz w:val="22"/>
          <w:szCs w:val="22"/>
        </w:rPr>
        <w:t xml:space="preserve">, </w:t>
      </w:r>
      <w:r>
        <w:rPr>
          <w:sz w:val="22"/>
          <w:szCs w:val="22"/>
        </w:rPr>
        <w:t>efficient</w:t>
      </w:r>
      <w:r w:rsidR="00E6402C">
        <w:rPr>
          <w:sz w:val="22"/>
          <w:szCs w:val="22"/>
        </w:rPr>
        <w:t>, and streamlined</w:t>
      </w:r>
      <w:r>
        <w:rPr>
          <w:sz w:val="22"/>
          <w:szCs w:val="22"/>
        </w:rPr>
        <w:t xml:space="preserve"> </w:t>
      </w:r>
      <w:r w:rsidR="00B13DD7">
        <w:rPr>
          <w:sz w:val="22"/>
          <w:szCs w:val="22"/>
        </w:rPr>
        <w:t>transition</w:t>
      </w:r>
      <w:r>
        <w:rPr>
          <w:sz w:val="22"/>
          <w:szCs w:val="22"/>
        </w:rPr>
        <w:t xml:space="preserve">.  </w:t>
      </w:r>
      <w:r w:rsidR="00851B2C">
        <w:rPr>
          <w:sz w:val="22"/>
          <w:szCs w:val="22"/>
        </w:rPr>
        <w:t>S</w:t>
      </w:r>
      <w:r w:rsidR="00066E47">
        <w:rPr>
          <w:sz w:val="22"/>
          <w:szCs w:val="22"/>
        </w:rPr>
        <w:t xml:space="preserve">tatus reports and other information </w:t>
      </w:r>
      <w:r w:rsidR="008807B5">
        <w:rPr>
          <w:sz w:val="22"/>
          <w:szCs w:val="22"/>
        </w:rPr>
        <w:t>required</w:t>
      </w:r>
      <w:r w:rsidR="00066E47">
        <w:rPr>
          <w:sz w:val="22"/>
          <w:szCs w:val="22"/>
        </w:rPr>
        <w:t xml:space="preserve"> in this </w:t>
      </w:r>
      <w:r w:rsidR="00B13DD7">
        <w:rPr>
          <w:sz w:val="22"/>
          <w:szCs w:val="22"/>
        </w:rPr>
        <w:t>collection wil</w:t>
      </w:r>
      <w:r w:rsidR="009D4B51">
        <w:rPr>
          <w:sz w:val="22"/>
          <w:szCs w:val="22"/>
        </w:rPr>
        <w:t xml:space="preserve">l be used to ensure that the process of clearing the lower portion of the band </w:t>
      </w:r>
      <w:r w:rsidR="00DB0CF1">
        <w:rPr>
          <w:sz w:val="22"/>
          <w:szCs w:val="22"/>
        </w:rPr>
        <w:t xml:space="preserve">is </w:t>
      </w:r>
      <w:r w:rsidR="00B20378">
        <w:rPr>
          <w:sz w:val="22"/>
          <w:szCs w:val="22"/>
        </w:rPr>
        <w:t>efficient and timely</w:t>
      </w:r>
      <w:r w:rsidR="00DC4B6C">
        <w:rPr>
          <w:sz w:val="22"/>
          <w:szCs w:val="22"/>
        </w:rPr>
        <w:t xml:space="preserve">, so that the spectrum can be auctioned for flexible-use service licenses and </w:t>
      </w:r>
      <w:r w:rsidR="00545630">
        <w:rPr>
          <w:sz w:val="22"/>
          <w:szCs w:val="22"/>
        </w:rPr>
        <w:t>deployed</w:t>
      </w:r>
      <w:r w:rsidR="00DC4B6C">
        <w:rPr>
          <w:sz w:val="22"/>
          <w:szCs w:val="22"/>
        </w:rPr>
        <w:t xml:space="preserve"> for </w:t>
      </w:r>
      <w:r w:rsidR="009E5736">
        <w:rPr>
          <w:sz w:val="22"/>
          <w:szCs w:val="22"/>
        </w:rPr>
        <w:t>next-generation wireless services, including 5G</w:t>
      </w:r>
      <w:r w:rsidR="00D60A04">
        <w:rPr>
          <w:sz w:val="22"/>
          <w:szCs w:val="22"/>
        </w:rPr>
        <w:t>, as quickly as possible</w:t>
      </w:r>
      <w:r w:rsidR="009E5736">
        <w:rPr>
          <w:sz w:val="22"/>
          <w:szCs w:val="22"/>
        </w:rPr>
        <w:t>.</w:t>
      </w:r>
      <w:r w:rsidR="009E4E7E">
        <w:rPr>
          <w:sz w:val="22"/>
          <w:szCs w:val="22"/>
        </w:rPr>
        <w:t xml:space="preserve">  </w:t>
      </w:r>
      <w:r w:rsidR="00C909E4">
        <w:rPr>
          <w:sz w:val="22"/>
          <w:szCs w:val="22"/>
        </w:rPr>
        <w:t>The collection is also necessary for the Commission to satisfy its oversight responsibilities and/or agency specific/government-wide reporting obligations.</w:t>
      </w:r>
    </w:p>
    <w:p w:rsidR="004B5495" w:rsidP="00033F93" w:rsidRDefault="004B5495" w14:paraId="328FFFED" w14:textId="77777777">
      <w:pPr>
        <w:tabs>
          <w:tab w:val="left" w:pos="360"/>
        </w:tabs>
        <w:rPr>
          <w:sz w:val="22"/>
          <w:szCs w:val="22"/>
        </w:rPr>
      </w:pPr>
    </w:p>
    <w:p w:rsidR="00552B2E" w:rsidP="00033F93" w:rsidRDefault="00033F93" w14:paraId="608D236D" w14:textId="51FB92A2">
      <w:pPr>
        <w:tabs>
          <w:tab w:val="left" w:pos="360"/>
        </w:tabs>
        <w:rPr>
          <w:sz w:val="22"/>
          <w:szCs w:val="22"/>
        </w:rPr>
      </w:pPr>
      <w:r>
        <w:rPr>
          <w:sz w:val="22"/>
          <w:szCs w:val="22"/>
        </w:rPr>
        <w:t>On February 28, 2020, in furtherance of the goal of releasing more mid-band spectrum into the market to support and enabl</w:t>
      </w:r>
      <w:r w:rsidR="00DE7C1A">
        <w:rPr>
          <w:sz w:val="22"/>
          <w:szCs w:val="22"/>
        </w:rPr>
        <w:t>ing</w:t>
      </w:r>
      <w:r>
        <w:rPr>
          <w:sz w:val="22"/>
          <w:szCs w:val="22"/>
        </w:rPr>
        <w:t xml:space="preserve"> next-generation wireless networks, the Commission adopted a Report and </w:t>
      </w:r>
      <w:r w:rsidR="00823A26">
        <w:rPr>
          <w:sz w:val="22"/>
          <w:szCs w:val="22"/>
        </w:rPr>
        <w:t>O</w:t>
      </w:r>
      <w:r>
        <w:rPr>
          <w:sz w:val="22"/>
          <w:szCs w:val="22"/>
        </w:rPr>
        <w:t>rder, FCC 20-22, (</w:t>
      </w:r>
      <w:r>
        <w:rPr>
          <w:i/>
          <w:sz w:val="22"/>
          <w:szCs w:val="22"/>
        </w:rPr>
        <w:t>3.7 GHz Report and Order)</w:t>
      </w:r>
      <w:r>
        <w:rPr>
          <w:sz w:val="22"/>
          <w:szCs w:val="22"/>
        </w:rPr>
        <w:t>, in which it reformed the use of the 3.7-4.2 GHz band, also known as the C-</w:t>
      </w:r>
      <w:r w:rsidR="00DE7C1A">
        <w:rPr>
          <w:sz w:val="22"/>
          <w:szCs w:val="22"/>
        </w:rPr>
        <w:t>b</w:t>
      </w:r>
      <w:r>
        <w:rPr>
          <w:sz w:val="22"/>
          <w:szCs w:val="22"/>
        </w:rPr>
        <w:t>and.</w:t>
      </w:r>
      <w:r w:rsidRPr="006253AA">
        <w:rPr>
          <w:rStyle w:val="FootnoteReference"/>
          <w:szCs w:val="22"/>
        </w:rPr>
        <w:footnoteReference w:id="2"/>
      </w:r>
      <w:r>
        <w:rPr>
          <w:sz w:val="22"/>
          <w:szCs w:val="22"/>
        </w:rPr>
        <w:t xml:space="preserve">  </w:t>
      </w:r>
      <w:r w:rsidR="002639BD">
        <w:rPr>
          <w:sz w:val="22"/>
          <w:szCs w:val="22"/>
        </w:rPr>
        <w:t>Currently, t</w:t>
      </w:r>
      <w:r>
        <w:rPr>
          <w:sz w:val="22"/>
          <w:szCs w:val="22"/>
        </w:rPr>
        <w:t>he 3.7-4.2 GHz band is allocated in the United States exclusively for non-Federal use on a primary basis for Fixed Satellite Service (FSS) and Fixed Service.  Domestically, space station operators use the 3.7-4.2 GHz band to provide downlink signals of various bandwidths to licensed transmit-receive, registered receive-only, and unregistered receive-only earth stations throughout the United States.</w:t>
      </w:r>
    </w:p>
    <w:p w:rsidR="00552B2E" w:rsidP="00033F93" w:rsidRDefault="00552B2E" w14:paraId="2195035C" w14:textId="77777777">
      <w:pPr>
        <w:tabs>
          <w:tab w:val="left" w:pos="360"/>
        </w:tabs>
        <w:rPr>
          <w:sz w:val="22"/>
          <w:szCs w:val="22"/>
        </w:rPr>
      </w:pPr>
    </w:p>
    <w:p w:rsidR="00217566" w:rsidP="00033F93" w:rsidRDefault="00033F93" w14:paraId="0219A3A2" w14:textId="682226C0">
      <w:pPr>
        <w:tabs>
          <w:tab w:val="left" w:pos="360"/>
        </w:tabs>
        <w:rPr>
          <w:sz w:val="22"/>
          <w:szCs w:val="22"/>
          <w:highlight w:val="yellow"/>
        </w:rPr>
      </w:pPr>
      <w:r>
        <w:rPr>
          <w:sz w:val="22"/>
          <w:szCs w:val="22"/>
        </w:rPr>
        <w:t xml:space="preserve">The </w:t>
      </w:r>
      <w:r>
        <w:rPr>
          <w:i/>
          <w:sz w:val="22"/>
          <w:szCs w:val="22"/>
        </w:rPr>
        <w:t>3.7 GHz Report and Order</w:t>
      </w:r>
      <w:r>
        <w:rPr>
          <w:sz w:val="22"/>
          <w:szCs w:val="22"/>
        </w:rPr>
        <w:t xml:space="preserve"> calls for the relocation of existing FSS operations in the band into the upper 200 megahertz of the band (4.0-4.2 GHz) and making the lower 280 megahertz (3.7-3.98 GHz) available for flexible use throughout the contiguous United States through a Commission-administered public auction of overlay licenses that is scheduled to occur later this year.</w:t>
      </w:r>
      <w:r w:rsidRPr="006253AA">
        <w:rPr>
          <w:rStyle w:val="FootnoteReference"/>
          <w:szCs w:val="22"/>
        </w:rPr>
        <w:footnoteReference w:id="3"/>
      </w:r>
      <w:r w:rsidR="00C122A6">
        <w:rPr>
          <w:sz w:val="22"/>
          <w:szCs w:val="22"/>
        </w:rPr>
        <w:t xml:space="preserve">  The Commission adopted a robust transition schedule to achieve a </w:t>
      </w:r>
      <w:r w:rsidR="00D62EFC">
        <w:rPr>
          <w:sz w:val="22"/>
          <w:szCs w:val="22"/>
        </w:rPr>
        <w:t>prompt</w:t>
      </w:r>
      <w:r w:rsidR="00C122A6">
        <w:rPr>
          <w:sz w:val="22"/>
          <w:szCs w:val="22"/>
        </w:rPr>
        <w:t xml:space="preserve"> relocation of FSS operations</w:t>
      </w:r>
      <w:r w:rsidR="00473D13">
        <w:rPr>
          <w:sz w:val="22"/>
          <w:szCs w:val="22"/>
        </w:rPr>
        <w:t xml:space="preserve"> so that a</w:t>
      </w:r>
      <w:r w:rsidR="00C122A6">
        <w:rPr>
          <w:sz w:val="22"/>
          <w:szCs w:val="22"/>
        </w:rPr>
        <w:t xml:space="preserve"> significant amount of spectrum </w:t>
      </w:r>
      <w:r w:rsidR="00473D13">
        <w:rPr>
          <w:sz w:val="22"/>
          <w:szCs w:val="22"/>
        </w:rPr>
        <w:t>could be</w:t>
      </w:r>
      <w:r w:rsidR="00C122A6">
        <w:rPr>
          <w:sz w:val="22"/>
          <w:szCs w:val="22"/>
        </w:rPr>
        <w:t xml:space="preserve"> made available quickly for next-generation wireless deployments</w:t>
      </w:r>
      <w:r w:rsidR="00DD0B58">
        <w:rPr>
          <w:sz w:val="22"/>
          <w:szCs w:val="22"/>
        </w:rPr>
        <w:t>.  At the same time, the Commission sought to ensure the</w:t>
      </w:r>
      <w:r w:rsidR="00C122A6">
        <w:rPr>
          <w:sz w:val="22"/>
          <w:szCs w:val="22"/>
        </w:rPr>
        <w:t xml:space="preserve"> effective accommodation of relocated incumbent users.</w:t>
      </w:r>
      <w:r w:rsidR="00455CAD">
        <w:rPr>
          <w:sz w:val="22"/>
          <w:szCs w:val="22"/>
        </w:rPr>
        <w:t xml:space="preserve">  </w:t>
      </w:r>
      <w:r w:rsidR="00C30022">
        <w:rPr>
          <w:sz w:val="22"/>
          <w:szCs w:val="22"/>
        </w:rPr>
        <w:t xml:space="preserve">To facilitate </w:t>
      </w:r>
      <w:r w:rsidR="008539E1">
        <w:rPr>
          <w:sz w:val="22"/>
          <w:szCs w:val="22"/>
        </w:rPr>
        <w:t>an efficient</w:t>
      </w:r>
      <w:r w:rsidR="00C30022">
        <w:rPr>
          <w:sz w:val="22"/>
          <w:szCs w:val="22"/>
        </w:rPr>
        <w:t xml:space="preserve"> transition, t</w:t>
      </w:r>
      <w:r w:rsidR="00455CAD">
        <w:rPr>
          <w:sz w:val="22"/>
          <w:szCs w:val="22"/>
        </w:rPr>
        <w:t>he Commission adopted a process for fully reimbursing existing operators for the costs of this relocation and for offering accelerated rel</w:t>
      </w:r>
      <w:r w:rsidR="00016C80">
        <w:rPr>
          <w:sz w:val="22"/>
          <w:szCs w:val="22"/>
        </w:rPr>
        <w:t>ocation</w:t>
      </w:r>
      <w:r w:rsidR="00455CAD">
        <w:rPr>
          <w:sz w:val="22"/>
          <w:szCs w:val="22"/>
        </w:rPr>
        <w:t xml:space="preserve"> </w:t>
      </w:r>
      <w:r w:rsidRPr="002C275E" w:rsidR="00455CAD">
        <w:rPr>
          <w:sz w:val="22"/>
          <w:szCs w:val="22"/>
        </w:rPr>
        <w:t xml:space="preserve">payments to encourage a </w:t>
      </w:r>
      <w:r w:rsidR="00B463F5">
        <w:rPr>
          <w:sz w:val="22"/>
          <w:szCs w:val="22"/>
        </w:rPr>
        <w:t>timely transition</w:t>
      </w:r>
      <w:r w:rsidRPr="002C275E" w:rsidR="00365276">
        <w:rPr>
          <w:sz w:val="22"/>
          <w:szCs w:val="22"/>
        </w:rPr>
        <w:t xml:space="preserve">.  </w:t>
      </w:r>
      <w:r w:rsidR="00AE2EDE">
        <w:rPr>
          <w:sz w:val="22"/>
          <w:szCs w:val="22"/>
        </w:rPr>
        <w:t>F</w:t>
      </w:r>
      <w:r w:rsidRPr="002C275E" w:rsidR="00365276">
        <w:rPr>
          <w:sz w:val="22"/>
          <w:szCs w:val="22"/>
        </w:rPr>
        <w:t xml:space="preserve">lexible-use licensees will be required to reimburse eligible space station operators for their actual relocation costs associated with clearing the lower 300 megahertz of the band while ensuring continued operations for their customers.  The </w:t>
      </w:r>
      <w:r w:rsidR="000267F1">
        <w:rPr>
          <w:i/>
          <w:iCs/>
          <w:sz w:val="22"/>
          <w:szCs w:val="22"/>
        </w:rPr>
        <w:t xml:space="preserve">3.7 GHZ </w:t>
      </w:r>
      <w:r w:rsidRPr="002C275E" w:rsidR="00365276">
        <w:rPr>
          <w:i/>
          <w:sz w:val="22"/>
          <w:szCs w:val="22"/>
        </w:rPr>
        <w:t>Report and Order</w:t>
      </w:r>
      <w:r w:rsidRPr="002C275E" w:rsidR="00365276">
        <w:rPr>
          <w:sz w:val="22"/>
          <w:szCs w:val="22"/>
        </w:rPr>
        <w:t xml:space="preserve"> establishes a Relocation </w:t>
      </w:r>
      <w:r w:rsidRPr="002C275E" w:rsidR="00365276">
        <w:rPr>
          <w:sz w:val="22"/>
          <w:szCs w:val="22"/>
        </w:rPr>
        <w:lastRenderedPageBreak/>
        <w:t xml:space="preserve">Payment Clearinghouse to oversee </w:t>
      </w:r>
      <w:r w:rsidRPr="002C275E" w:rsidR="00335CE5">
        <w:rPr>
          <w:sz w:val="22"/>
          <w:szCs w:val="22"/>
        </w:rPr>
        <w:t xml:space="preserve">the cost-related aspects of the transition and </w:t>
      </w:r>
      <w:r w:rsidR="008C0820">
        <w:rPr>
          <w:sz w:val="22"/>
          <w:szCs w:val="22"/>
        </w:rPr>
        <w:t>establishes</w:t>
      </w:r>
      <w:r w:rsidRPr="002C275E" w:rsidR="00335CE5">
        <w:rPr>
          <w:sz w:val="22"/>
          <w:szCs w:val="22"/>
        </w:rPr>
        <w:t xml:space="preserve"> a Relocation Coordinator to </w:t>
      </w:r>
      <w:r w:rsidRPr="009B0C8D" w:rsidR="00736FCA">
        <w:rPr>
          <w:sz w:val="22"/>
          <w:szCs w:val="22"/>
        </w:rPr>
        <w:t>establish a timeline and take actions necessary to migrate and filter incumbent earth stations to ensure continued, uninterrupted service during and following the transition</w:t>
      </w:r>
      <w:r w:rsidRPr="00736FCA" w:rsidR="00335CE5">
        <w:rPr>
          <w:sz w:val="22"/>
          <w:szCs w:val="22"/>
        </w:rPr>
        <w:t>.</w:t>
      </w:r>
    </w:p>
    <w:p w:rsidR="00993745" w:rsidP="00033F93" w:rsidRDefault="00993745" w14:paraId="6B0E0604" w14:textId="1409AA10">
      <w:pPr>
        <w:tabs>
          <w:tab w:val="left" w:pos="360"/>
        </w:tabs>
        <w:rPr>
          <w:sz w:val="22"/>
          <w:szCs w:val="22"/>
        </w:rPr>
      </w:pPr>
    </w:p>
    <w:p w:rsidRPr="00E736CB" w:rsidR="00993745" w:rsidP="00033F93" w:rsidRDefault="00993745" w14:paraId="51CDDCC9" w14:textId="066A7199">
      <w:pPr>
        <w:tabs>
          <w:tab w:val="left" w:pos="360"/>
        </w:tabs>
        <w:rPr>
          <w:sz w:val="22"/>
          <w:szCs w:val="22"/>
        </w:rPr>
      </w:pPr>
      <w:r>
        <w:rPr>
          <w:sz w:val="22"/>
          <w:szCs w:val="22"/>
        </w:rPr>
        <w:t xml:space="preserve">The Commission concluded in the </w:t>
      </w:r>
      <w:r>
        <w:rPr>
          <w:i/>
          <w:sz w:val="22"/>
          <w:szCs w:val="22"/>
        </w:rPr>
        <w:t>3.7 GHz Report and Order</w:t>
      </w:r>
      <w:r>
        <w:rPr>
          <w:sz w:val="22"/>
          <w:szCs w:val="22"/>
        </w:rPr>
        <w:t xml:space="preserve"> that a</w:t>
      </w:r>
      <w:r w:rsidR="00880754">
        <w:rPr>
          <w:sz w:val="22"/>
          <w:szCs w:val="22"/>
        </w:rPr>
        <w:t xml:space="preserve"> </w:t>
      </w:r>
      <w:r>
        <w:rPr>
          <w:sz w:val="22"/>
          <w:szCs w:val="22"/>
        </w:rPr>
        <w:t>Relocation Payment Clearinghouse and Relocation Coordinato</w:t>
      </w:r>
      <w:r w:rsidR="00E22D4D">
        <w:rPr>
          <w:sz w:val="22"/>
          <w:szCs w:val="22"/>
        </w:rPr>
        <w:t xml:space="preserve">r are </w:t>
      </w:r>
      <w:r w:rsidR="00E736CB">
        <w:rPr>
          <w:sz w:val="22"/>
          <w:szCs w:val="22"/>
        </w:rPr>
        <w:t>critical</w:t>
      </w:r>
      <w:r w:rsidR="00880754">
        <w:rPr>
          <w:sz w:val="22"/>
          <w:szCs w:val="22"/>
        </w:rPr>
        <w:t xml:space="preserve"> </w:t>
      </w:r>
      <w:r w:rsidR="00E736CB">
        <w:rPr>
          <w:sz w:val="22"/>
          <w:szCs w:val="22"/>
        </w:rPr>
        <w:t>to</w:t>
      </w:r>
      <w:r w:rsidR="00880754">
        <w:rPr>
          <w:sz w:val="22"/>
          <w:szCs w:val="22"/>
        </w:rPr>
        <w:t xml:space="preserve"> ensuring that the </w:t>
      </w:r>
      <w:r w:rsidR="00E736CB">
        <w:rPr>
          <w:sz w:val="22"/>
          <w:szCs w:val="22"/>
        </w:rPr>
        <w:t>reconfiguration</w:t>
      </w:r>
      <w:r w:rsidR="00880754">
        <w:rPr>
          <w:sz w:val="22"/>
          <w:szCs w:val="22"/>
        </w:rPr>
        <w:t xml:space="preserve"> is administered in a fair, transparent </w:t>
      </w:r>
      <w:r w:rsidR="00E736CB">
        <w:rPr>
          <w:sz w:val="22"/>
          <w:szCs w:val="22"/>
        </w:rPr>
        <w:t xml:space="preserve">manner and that </w:t>
      </w:r>
      <w:r w:rsidR="00FD34CB">
        <w:rPr>
          <w:sz w:val="22"/>
          <w:szCs w:val="22"/>
        </w:rPr>
        <w:t>the transition occurs as expeditiously as possible</w:t>
      </w:r>
      <w:r w:rsidR="00E736CB">
        <w:rPr>
          <w:sz w:val="22"/>
          <w:szCs w:val="22"/>
        </w:rPr>
        <w:t xml:space="preserve">.  To </w:t>
      </w:r>
      <w:r w:rsidR="00E8261F">
        <w:rPr>
          <w:sz w:val="22"/>
          <w:szCs w:val="22"/>
        </w:rPr>
        <w:t>accomplish these goals</w:t>
      </w:r>
      <w:r w:rsidR="006322FC">
        <w:rPr>
          <w:sz w:val="22"/>
          <w:szCs w:val="22"/>
        </w:rPr>
        <w:t xml:space="preserve"> most effectively</w:t>
      </w:r>
      <w:r w:rsidR="00E736CB">
        <w:rPr>
          <w:sz w:val="22"/>
          <w:szCs w:val="22"/>
        </w:rPr>
        <w:t>, the Commission is seeking approval for a new information collection to collect</w:t>
      </w:r>
      <w:r w:rsidR="006C1412">
        <w:rPr>
          <w:sz w:val="22"/>
          <w:szCs w:val="22"/>
        </w:rPr>
        <w:t xml:space="preserve"> information </w:t>
      </w:r>
      <w:r w:rsidR="00E736CB">
        <w:rPr>
          <w:sz w:val="22"/>
          <w:szCs w:val="22"/>
        </w:rPr>
        <w:t xml:space="preserve">from the Relocation Payment Clearinghouse, </w:t>
      </w:r>
      <w:r w:rsidR="0035167A">
        <w:rPr>
          <w:sz w:val="22"/>
          <w:szCs w:val="22"/>
        </w:rPr>
        <w:t xml:space="preserve">the </w:t>
      </w:r>
      <w:r w:rsidR="00E736CB">
        <w:rPr>
          <w:sz w:val="22"/>
          <w:szCs w:val="22"/>
        </w:rPr>
        <w:t>Relocation Coordinator, and incumbent space station operators</w:t>
      </w:r>
      <w:r w:rsidR="0035167A">
        <w:rPr>
          <w:sz w:val="22"/>
          <w:szCs w:val="22"/>
        </w:rPr>
        <w:t xml:space="preserve"> and allow the Relocation Payment Clearinghouse and Relocation Coordinator to collection information, as described below</w:t>
      </w:r>
      <w:r w:rsidR="00E736CB">
        <w:rPr>
          <w:sz w:val="22"/>
          <w:szCs w:val="22"/>
        </w:rPr>
        <w:t>:</w:t>
      </w:r>
    </w:p>
    <w:p w:rsidR="00153CC4" w:rsidP="00033F93" w:rsidRDefault="00153CC4" w14:paraId="73A7B272" w14:textId="77777777">
      <w:pPr>
        <w:tabs>
          <w:tab w:val="left" w:pos="360"/>
        </w:tabs>
        <w:rPr>
          <w:sz w:val="22"/>
          <w:szCs w:val="22"/>
        </w:rPr>
      </w:pPr>
    </w:p>
    <w:p w:rsidR="00A60A03" w:rsidP="00A60A03" w:rsidRDefault="00A60A03" w14:paraId="7606D69E" w14:textId="77777777">
      <w:pPr>
        <w:tabs>
          <w:tab w:val="left" w:pos="360"/>
        </w:tabs>
        <w:rPr>
          <w:sz w:val="22"/>
          <w:szCs w:val="22"/>
        </w:rPr>
      </w:pPr>
      <w:r w:rsidRPr="00512D56">
        <w:rPr>
          <w:i/>
          <w:sz w:val="22"/>
          <w:szCs w:val="22"/>
          <w:u w:val="single"/>
        </w:rPr>
        <w:t>Relocation Payment Clearinghouse</w:t>
      </w:r>
    </w:p>
    <w:p w:rsidR="00A60A03" w:rsidP="00A60A03" w:rsidRDefault="00A60A03" w14:paraId="7F6454D2" w14:textId="529A967B">
      <w:pPr>
        <w:tabs>
          <w:tab w:val="left" w:pos="360"/>
        </w:tabs>
        <w:rPr>
          <w:sz w:val="22"/>
          <w:szCs w:val="22"/>
        </w:rPr>
      </w:pPr>
    </w:p>
    <w:p w:rsidR="009B552B" w:rsidP="00A60A03" w:rsidRDefault="004926C6" w14:paraId="01CC2E7D" w14:textId="0EB7D369">
      <w:pPr>
        <w:tabs>
          <w:tab w:val="left" w:pos="360"/>
        </w:tabs>
        <w:rPr>
          <w:sz w:val="22"/>
          <w:szCs w:val="22"/>
        </w:rPr>
      </w:pPr>
      <w:bookmarkStart w:name="OLE_LINK3" w:id="0"/>
      <w:bookmarkStart w:name="OLE_LINK4" w:id="1"/>
      <w:r>
        <w:rPr>
          <w:sz w:val="22"/>
          <w:szCs w:val="22"/>
        </w:rPr>
        <w:t xml:space="preserve">The Commission concluded in the </w:t>
      </w:r>
      <w:r>
        <w:rPr>
          <w:i/>
          <w:sz w:val="22"/>
          <w:szCs w:val="22"/>
        </w:rPr>
        <w:t>3.7 GHz Report and Order</w:t>
      </w:r>
      <w:r>
        <w:rPr>
          <w:sz w:val="22"/>
          <w:szCs w:val="22"/>
        </w:rPr>
        <w:t xml:space="preserve"> that an independent Relocation Payment Clearinghouse is necessary to administer the cost-related aspects of the transition in a fair, transparent manner, pursuant to Commission rules and oversight, to mitigate financial disputes among stakeholders, and to collect and distribute payments in a timely manner.  </w:t>
      </w:r>
      <w:r w:rsidR="00C16A07">
        <w:rPr>
          <w:sz w:val="22"/>
          <w:szCs w:val="22"/>
        </w:rPr>
        <w:t>T</w:t>
      </w:r>
      <w:r>
        <w:rPr>
          <w:sz w:val="22"/>
          <w:szCs w:val="22"/>
        </w:rPr>
        <w:t>he Relocation Payment Clearinghouse will be responsible for collecting and distributing relocation and accelerated relocation payments, auditing incoming and outgoing invoices, mitigating cost disputes among parties, and generally acting as a clearinghouse.</w:t>
      </w:r>
      <w:r w:rsidR="009B552B">
        <w:rPr>
          <w:sz w:val="22"/>
          <w:szCs w:val="22"/>
        </w:rPr>
        <w:t xml:space="preserve">  </w:t>
      </w:r>
      <w:r>
        <w:rPr>
          <w:sz w:val="22"/>
          <w:szCs w:val="22"/>
        </w:rPr>
        <w:t xml:space="preserve">To that end, the </w:t>
      </w:r>
      <w:r>
        <w:rPr>
          <w:i/>
          <w:sz w:val="22"/>
          <w:szCs w:val="22"/>
        </w:rPr>
        <w:t>3.7 GHz Report and Order</w:t>
      </w:r>
      <w:r>
        <w:rPr>
          <w:sz w:val="22"/>
          <w:szCs w:val="22"/>
        </w:rPr>
        <w:t xml:space="preserve"> calls for the Relocation Payment Clearinghouse</w:t>
      </w:r>
      <w:r w:rsidR="009B552B">
        <w:rPr>
          <w:sz w:val="22"/>
          <w:szCs w:val="22"/>
        </w:rPr>
        <w:t xml:space="preserve"> to create and submit the following information:</w:t>
      </w:r>
    </w:p>
    <w:bookmarkEnd w:id="0"/>
    <w:bookmarkEnd w:id="1"/>
    <w:p w:rsidR="009B552B" w:rsidP="00A60A03" w:rsidRDefault="009B552B" w14:paraId="17A17C3F" w14:textId="77777777">
      <w:pPr>
        <w:tabs>
          <w:tab w:val="left" w:pos="360"/>
        </w:tabs>
        <w:rPr>
          <w:sz w:val="22"/>
          <w:szCs w:val="22"/>
        </w:rPr>
      </w:pPr>
    </w:p>
    <w:p w:rsidR="009B552B" w:rsidP="009B552B" w:rsidRDefault="009B552B" w14:paraId="76682AB4" w14:textId="53D7255F">
      <w:pPr>
        <w:pStyle w:val="ListParagraph"/>
        <w:numPr>
          <w:ilvl w:val="0"/>
          <w:numId w:val="2"/>
        </w:numPr>
        <w:tabs>
          <w:tab w:val="left" w:pos="360"/>
        </w:tabs>
        <w:rPr>
          <w:sz w:val="22"/>
          <w:szCs w:val="22"/>
        </w:rPr>
      </w:pPr>
      <w:r>
        <w:rPr>
          <w:sz w:val="22"/>
          <w:szCs w:val="22"/>
        </w:rPr>
        <w:t>written procedures for its operations, using the Government Accountability Office’s Green Book to serve as a guide in satisfying such requirements;</w:t>
      </w:r>
    </w:p>
    <w:p w:rsidR="009B552B" w:rsidP="009B552B" w:rsidRDefault="009B552B" w14:paraId="7FC180C1" w14:textId="77777777">
      <w:pPr>
        <w:pStyle w:val="ListParagraph"/>
        <w:tabs>
          <w:tab w:val="left" w:pos="360"/>
        </w:tabs>
        <w:ind w:left="360"/>
        <w:rPr>
          <w:sz w:val="22"/>
          <w:szCs w:val="22"/>
        </w:rPr>
      </w:pPr>
    </w:p>
    <w:p w:rsidR="009B552B" w:rsidP="009B552B" w:rsidRDefault="009B552B" w14:paraId="59C774C2" w14:textId="755615E9">
      <w:pPr>
        <w:pStyle w:val="ListParagraph"/>
        <w:numPr>
          <w:ilvl w:val="0"/>
          <w:numId w:val="2"/>
        </w:numPr>
        <w:tabs>
          <w:tab w:val="left" w:pos="360"/>
        </w:tabs>
        <w:rPr>
          <w:sz w:val="22"/>
          <w:szCs w:val="22"/>
        </w:rPr>
      </w:pPr>
      <w:r>
        <w:rPr>
          <w:sz w:val="22"/>
          <w:szCs w:val="22"/>
        </w:rPr>
        <w:t>quarterly reports that detail the status of reimbursement funds available for clearing obligations, the relocation and accelerated relocation payments issued, the amounts collected from overlay licensees, and any certifications filed by incumbents</w:t>
      </w:r>
      <w:r w:rsidR="000D1039">
        <w:rPr>
          <w:sz w:val="22"/>
          <w:szCs w:val="22"/>
        </w:rPr>
        <w:t>;</w:t>
      </w:r>
      <w:r w:rsidR="00651D69">
        <w:rPr>
          <w:rStyle w:val="FootnoteReference"/>
          <w:szCs w:val="22"/>
        </w:rPr>
        <w:footnoteReference w:id="4"/>
      </w:r>
    </w:p>
    <w:p w:rsidRPr="009B552B" w:rsidR="009B552B" w:rsidP="009B552B" w:rsidRDefault="009B552B" w14:paraId="77B902D8" w14:textId="77777777">
      <w:pPr>
        <w:pStyle w:val="ListParagraph"/>
        <w:rPr>
          <w:sz w:val="22"/>
          <w:szCs w:val="22"/>
        </w:rPr>
      </w:pPr>
    </w:p>
    <w:p w:rsidR="00D07DED" w:rsidP="009B552B" w:rsidRDefault="00D07DED" w14:paraId="7373F9A7" w14:textId="137631BF">
      <w:pPr>
        <w:pStyle w:val="ListParagraph"/>
        <w:numPr>
          <w:ilvl w:val="0"/>
          <w:numId w:val="2"/>
        </w:numPr>
        <w:tabs>
          <w:tab w:val="left" w:pos="360"/>
        </w:tabs>
        <w:rPr>
          <w:sz w:val="22"/>
          <w:szCs w:val="22"/>
        </w:rPr>
      </w:pPr>
      <w:r>
        <w:rPr>
          <w:sz w:val="22"/>
          <w:szCs w:val="22"/>
        </w:rPr>
        <w:t>30 days’ notice to 3.7 GHz Service licensees to provide licensees with of the additional pro</w:t>
      </w:r>
      <w:r w:rsidR="00AE0F52">
        <w:rPr>
          <w:sz w:val="22"/>
          <w:szCs w:val="22"/>
        </w:rPr>
        <w:t>-</w:t>
      </w:r>
      <w:r>
        <w:rPr>
          <w:sz w:val="22"/>
          <w:szCs w:val="22"/>
        </w:rPr>
        <w:t>rata shares they must contribute;</w:t>
      </w:r>
    </w:p>
    <w:p w:rsidRPr="00D07DED" w:rsidR="00D07DED" w:rsidP="00D07DED" w:rsidRDefault="00D07DED" w14:paraId="433D6A13" w14:textId="77777777">
      <w:pPr>
        <w:pStyle w:val="ListParagraph"/>
        <w:rPr>
          <w:sz w:val="22"/>
          <w:szCs w:val="22"/>
        </w:rPr>
      </w:pPr>
    </w:p>
    <w:p w:rsidR="00D07DED" w:rsidP="009B552B" w:rsidRDefault="00D07DED" w14:paraId="62E95AB1" w14:textId="0EB08464">
      <w:pPr>
        <w:pStyle w:val="ListParagraph"/>
        <w:numPr>
          <w:ilvl w:val="0"/>
          <w:numId w:val="2"/>
        </w:numPr>
        <w:tabs>
          <w:tab w:val="left" w:pos="360"/>
        </w:tabs>
        <w:rPr>
          <w:sz w:val="22"/>
          <w:szCs w:val="22"/>
        </w:rPr>
      </w:pPr>
      <w:r>
        <w:rPr>
          <w:sz w:val="22"/>
          <w:szCs w:val="22"/>
        </w:rPr>
        <w:t>an estimate</w:t>
      </w:r>
      <w:r w:rsidR="003257EE">
        <w:rPr>
          <w:sz w:val="22"/>
          <w:szCs w:val="22"/>
        </w:rPr>
        <w:t xml:space="preserve"> of the amounts that</w:t>
      </w:r>
      <w:r>
        <w:rPr>
          <w:sz w:val="22"/>
          <w:szCs w:val="22"/>
        </w:rPr>
        <w:t xml:space="preserve"> the overlay licensees owe every six months;</w:t>
      </w:r>
    </w:p>
    <w:p w:rsidRPr="00D07DED" w:rsidR="00D07DED" w:rsidP="00D07DED" w:rsidRDefault="00D07DED" w14:paraId="2D491CA2" w14:textId="77777777">
      <w:pPr>
        <w:pStyle w:val="ListParagraph"/>
        <w:rPr>
          <w:sz w:val="22"/>
          <w:szCs w:val="22"/>
        </w:rPr>
      </w:pPr>
    </w:p>
    <w:p w:rsidR="006408B1" w:rsidP="006408B1" w:rsidRDefault="000B1379" w14:paraId="0B215DAA" w14:textId="237AF62D">
      <w:pPr>
        <w:pStyle w:val="ListParagraph"/>
        <w:numPr>
          <w:ilvl w:val="0"/>
          <w:numId w:val="2"/>
        </w:numPr>
        <w:tabs>
          <w:tab w:val="left" w:pos="360"/>
        </w:tabs>
        <w:rPr>
          <w:sz w:val="22"/>
          <w:szCs w:val="22"/>
        </w:rPr>
      </w:pPr>
      <w:r>
        <w:rPr>
          <w:sz w:val="22"/>
          <w:szCs w:val="22"/>
        </w:rPr>
        <w:t>request</w:t>
      </w:r>
      <w:r w:rsidR="00383861">
        <w:rPr>
          <w:sz w:val="22"/>
          <w:szCs w:val="22"/>
        </w:rPr>
        <w:t>s</w:t>
      </w:r>
      <w:r>
        <w:rPr>
          <w:sz w:val="22"/>
          <w:szCs w:val="22"/>
        </w:rPr>
        <w:t xml:space="preserve"> for additional documentation from a party seeking reimbursement of compensable relocation costs to determine whether they are reasonable and to ensure they comply with the requirements adopted in section 27.1416(a) of the Commission’s rule</w:t>
      </w:r>
      <w:r w:rsidR="006408B1">
        <w:rPr>
          <w:sz w:val="22"/>
          <w:szCs w:val="22"/>
        </w:rPr>
        <w:t>s;</w:t>
      </w:r>
    </w:p>
    <w:p w:rsidRPr="009821C0" w:rsidR="009821C0" w:rsidP="009821C0" w:rsidRDefault="009821C0" w14:paraId="2EC94F5F" w14:textId="77777777">
      <w:pPr>
        <w:pStyle w:val="ListParagraph"/>
        <w:rPr>
          <w:sz w:val="22"/>
          <w:szCs w:val="22"/>
        </w:rPr>
      </w:pPr>
    </w:p>
    <w:p w:rsidR="009821C0" w:rsidP="006408B1" w:rsidRDefault="009821C0" w14:paraId="51F13D4B" w14:textId="292BF6C7">
      <w:pPr>
        <w:pStyle w:val="ListParagraph"/>
        <w:numPr>
          <w:ilvl w:val="0"/>
          <w:numId w:val="2"/>
        </w:numPr>
        <w:tabs>
          <w:tab w:val="left" w:pos="360"/>
        </w:tabs>
        <w:rPr>
          <w:sz w:val="22"/>
          <w:szCs w:val="22"/>
        </w:rPr>
      </w:pPr>
      <w:r>
        <w:rPr>
          <w:sz w:val="22"/>
          <w:szCs w:val="22"/>
        </w:rPr>
        <w:t>notice to a party seeking reimbursement that the amount sought for reimbursement is unreasonable, and notice of the amount it deems eligible for reimbursement;</w:t>
      </w:r>
    </w:p>
    <w:p w:rsidRPr="006408B1" w:rsidR="006408B1" w:rsidP="006408B1" w:rsidRDefault="006408B1" w14:paraId="4ABC751E" w14:textId="77777777">
      <w:pPr>
        <w:pStyle w:val="ListParagraph"/>
        <w:rPr>
          <w:sz w:val="22"/>
          <w:szCs w:val="22"/>
        </w:rPr>
      </w:pPr>
    </w:p>
    <w:p w:rsidR="00CB5A55" w:rsidP="00263FE6" w:rsidRDefault="00FC780C" w14:paraId="794E7F82" w14:textId="57BFDDBA">
      <w:pPr>
        <w:pStyle w:val="ListParagraph"/>
        <w:numPr>
          <w:ilvl w:val="0"/>
          <w:numId w:val="2"/>
        </w:numPr>
        <w:tabs>
          <w:tab w:val="left" w:pos="360"/>
        </w:tabs>
        <w:rPr>
          <w:sz w:val="22"/>
          <w:szCs w:val="22"/>
        </w:rPr>
      </w:pPr>
      <w:r>
        <w:rPr>
          <w:sz w:val="22"/>
          <w:szCs w:val="22"/>
        </w:rPr>
        <w:lastRenderedPageBreak/>
        <w:t>following a determination of the reimbursable amount,</w:t>
      </w:r>
      <w:r w:rsidRPr="00CB5A55" w:rsidR="00CB5A55">
        <w:rPr>
          <w:sz w:val="22"/>
          <w:szCs w:val="22"/>
        </w:rPr>
        <w:t xml:space="preserve"> </w:t>
      </w:r>
      <w:r w:rsidR="00CB5A55">
        <w:rPr>
          <w:sz w:val="22"/>
          <w:szCs w:val="22"/>
        </w:rPr>
        <w:t>invoices of approved claims,</w:t>
      </w:r>
      <w:r>
        <w:rPr>
          <w:sz w:val="22"/>
          <w:szCs w:val="22"/>
        </w:rPr>
        <w:t xml:space="preserve"> </w:t>
      </w:r>
      <w:r w:rsidR="006408B1">
        <w:rPr>
          <w:sz w:val="22"/>
          <w:szCs w:val="22"/>
        </w:rPr>
        <w:t>which it shall issue to each licensee indicating the amount to be paid</w:t>
      </w:r>
      <w:r w:rsidR="00B5498A">
        <w:rPr>
          <w:sz w:val="22"/>
          <w:szCs w:val="22"/>
        </w:rPr>
        <w:t>;</w:t>
      </w:r>
      <w:r w:rsidR="00734FBF">
        <w:rPr>
          <w:rStyle w:val="FootnoteReference"/>
          <w:szCs w:val="22"/>
        </w:rPr>
        <w:footnoteReference w:id="5"/>
      </w:r>
    </w:p>
    <w:p w:rsidRPr="00B5498A" w:rsidR="00B5498A" w:rsidP="00B5498A" w:rsidRDefault="00B5498A" w14:paraId="752C6F23" w14:textId="77777777">
      <w:pPr>
        <w:pStyle w:val="ListParagraph"/>
        <w:rPr>
          <w:sz w:val="22"/>
          <w:szCs w:val="22"/>
        </w:rPr>
      </w:pPr>
    </w:p>
    <w:p w:rsidR="00D91A7E" w:rsidP="00263FE6" w:rsidRDefault="00527E16" w14:paraId="7E04C8CD" w14:textId="6A08FFB2">
      <w:pPr>
        <w:pStyle w:val="ListParagraph"/>
        <w:numPr>
          <w:ilvl w:val="0"/>
          <w:numId w:val="2"/>
        </w:numPr>
        <w:tabs>
          <w:tab w:val="left" w:pos="360"/>
        </w:tabs>
        <w:rPr>
          <w:sz w:val="22"/>
          <w:szCs w:val="22"/>
        </w:rPr>
      </w:pPr>
      <w:r>
        <w:rPr>
          <w:sz w:val="22"/>
          <w:szCs w:val="22"/>
        </w:rPr>
        <w:t xml:space="preserve">the entire record on any disputed records submitted to the Chief of the </w:t>
      </w:r>
      <w:r w:rsidR="00F02272">
        <w:rPr>
          <w:sz w:val="22"/>
          <w:szCs w:val="22"/>
        </w:rPr>
        <w:t xml:space="preserve">[Wireless Telecommunications] </w:t>
      </w:r>
      <w:r>
        <w:rPr>
          <w:sz w:val="22"/>
          <w:szCs w:val="22"/>
        </w:rPr>
        <w:t>Bureau, when referring an unresolved matter;</w:t>
      </w:r>
      <w:r w:rsidR="00B332E7">
        <w:rPr>
          <w:sz w:val="22"/>
          <w:szCs w:val="22"/>
        </w:rPr>
        <w:t xml:space="preserve"> and</w:t>
      </w:r>
    </w:p>
    <w:p w:rsidRPr="00D91A7E" w:rsidR="00D91A7E" w:rsidP="00D91A7E" w:rsidRDefault="00D91A7E" w14:paraId="189855E3" w14:textId="77777777">
      <w:pPr>
        <w:pStyle w:val="ListParagraph"/>
        <w:rPr>
          <w:sz w:val="22"/>
          <w:szCs w:val="22"/>
        </w:rPr>
      </w:pPr>
    </w:p>
    <w:p w:rsidR="00B5498A" w:rsidP="00263FE6" w:rsidRDefault="00D91A7E" w14:paraId="719ED3B3" w14:textId="0F018895">
      <w:pPr>
        <w:pStyle w:val="ListParagraph"/>
        <w:numPr>
          <w:ilvl w:val="0"/>
          <w:numId w:val="2"/>
        </w:numPr>
        <w:tabs>
          <w:tab w:val="left" w:pos="360"/>
        </w:tabs>
        <w:rPr>
          <w:sz w:val="22"/>
          <w:szCs w:val="22"/>
        </w:rPr>
      </w:pPr>
      <w:r>
        <w:rPr>
          <w:sz w:val="22"/>
          <w:szCs w:val="22"/>
        </w:rPr>
        <w:t>prompt notice to 3.7 GHz Service licensees following submission of the Certification of Accelerated Relocations as set forth in section 27.1412(g)</w:t>
      </w:r>
      <w:r w:rsidR="00B332E7">
        <w:rPr>
          <w:sz w:val="22"/>
          <w:szCs w:val="22"/>
        </w:rPr>
        <w:t>.</w:t>
      </w:r>
    </w:p>
    <w:p w:rsidR="009B552B" w:rsidP="00A60A03" w:rsidRDefault="009B552B" w14:paraId="188E7659" w14:textId="77777777">
      <w:pPr>
        <w:tabs>
          <w:tab w:val="left" w:pos="360"/>
        </w:tabs>
        <w:rPr>
          <w:sz w:val="22"/>
          <w:szCs w:val="22"/>
        </w:rPr>
      </w:pPr>
    </w:p>
    <w:p w:rsidRPr="00E10914" w:rsidR="00DD4655" w:rsidP="00E10914" w:rsidRDefault="00D07DED" w14:paraId="0C9D0013" w14:textId="7C7AC29D">
      <w:pPr>
        <w:tabs>
          <w:tab w:val="left" w:pos="360"/>
        </w:tabs>
        <w:rPr>
          <w:sz w:val="22"/>
          <w:szCs w:val="22"/>
        </w:rPr>
      </w:pPr>
      <w:r>
        <w:rPr>
          <w:sz w:val="22"/>
          <w:szCs w:val="22"/>
        </w:rPr>
        <w:t xml:space="preserve">The </w:t>
      </w:r>
      <w:r w:rsidRPr="00E52178" w:rsidR="00E52178">
        <w:rPr>
          <w:sz w:val="22"/>
          <w:szCs w:val="22"/>
        </w:rPr>
        <w:t>Relocation Payment Clearinghouse</w:t>
      </w:r>
      <w:r w:rsidRPr="00E52178" w:rsidR="00E52178">
        <w:rPr>
          <w:i/>
          <w:sz w:val="22"/>
          <w:szCs w:val="22"/>
        </w:rPr>
        <w:t xml:space="preserve"> </w:t>
      </w:r>
      <w:r w:rsidR="00154F69">
        <w:rPr>
          <w:sz w:val="22"/>
          <w:szCs w:val="22"/>
        </w:rPr>
        <w:t xml:space="preserve">will </w:t>
      </w:r>
      <w:r>
        <w:rPr>
          <w:sz w:val="22"/>
          <w:szCs w:val="22"/>
        </w:rPr>
        <w:t>also</w:t>
      </w:r>
      <w:r w:rsidR="000B1379">
        <w:rPr>
          <w:sz w:val="22"/>
          <w:szCs w:val="22"/>
        </w:rPr>
        <w:t xml:space="preserve"> </w:t>
      </w:r>
      <w:r w:rsidR="00154F69">
        <w:rPr>
          <w:sz w:val="22"/>
          <w:szCs w:val="22"/>
        </w:rPr>
        <w:t>collect the following information from</w:t>
      </w:r>
      <w:r w:rsidR="00DD4655">
        <w:rPr>
          <w:sz w:val="22"/>
          <w:szCs w:val="22"/>
        </w:rPr>
        <w:t xml:space="preserve"> parties seeking reimbursement of compensable costs</w:t>
      </w:r>
      <w:r w:rsidR="00154F69">
        <w:rPr>
          <w:sz w:val="22"/>
          <w:szCs w:val="22"/>
        </w:rPr>
        <w:t xml:space="preserve">, as required by the </w:t>
      </w:r>
      <w:r w:rsidRPr="00154F69" w:rsidR="00154F69">
        <w:rPr>
          <w:i/>
          <w:sz w:val="22"/>
          <w:szCs w:val="22"/>
        </w:rPr>
        <w:t>3.7 GHz Report and Order</w:t>
      </w:r>
      <w:r w:rsidR="00ED26D8">
        <w:rPr>
          <w:sz w:val="22"/>
          <w:szCs w:val="22"/>
        </w:rPr>
        <w:t xml:space="preserve">: </w:t>
      </w:r>
      <w:r w:rsidRPr="00FC7821" w:rsidR="000B1379">
        <w:rPr>
          <w:sz w:val="22"/>
          <w:szCs w:val="22"/>
        </w:rPr>
        <w:t>documentation of actual expenses</w:t>
      </w:r>
      <w:r w:rsidR="00ED26D8">
        <w:rPr>
          <w:sz w:val="22"/>
          <w:szCs w:val="22"/>
        </w:rPr>
        <w:t>,</w:t>
      </w:r>
      <w:r w:rsidR="001B0F0A">
        <w:rPr>
          <w:sz w:val="22"/>
          <w:szCs w:val="22"/>
        </w:rPr>
        <w:t xml:space="preserve"> and </w:t>
      </w:r>
      <w:r w:rsidRPr="00FC7821" w:rsidR="00B52AB5">
        <w:rPr>
          <w:sz w:val="22"/>
          <w:szCs w:val="22"/>
        </w:rPr>
        <w:t>an objection by parties disputing a cost estimate, cost invoice, or payment or cost-sharing obligation</w:t>
      </w:r>
      <w:r w:rsidR="00FC7821">
        <w:rPr>
          <w:sz w:val="22"/>
          <w:szCs w:val="22"/>
        </w:rPr>
        <w:t>.</w:t>
      </w:r>
      <w:r w:rsidR="00446E27">
        <w:rPr>
          <w:sz w:val="22"/>
          <w:szCs w:val="22"/>
        </w:rPr>
        <w:t xml:space="preserve">  </w:t>
      </w:r>
      <w:r w:rsidR="00065F34">
        <w:rPr>
          <w:sz w:val="22"/>
          <w:szCs w:val="22"/>
        </w:rPr>
        <w:t>The</w:t>
      </w:r>
      <w:r w:rsidRPr="00E10914" w:rsidR="00B52AB5">
        <w:rPr>
          <w:sz w:val="22"/>
          <w:szCs w:val="22"/>
        </w:rPr>
        <w:t xml:space="preserve"> Relocation Payment Clearinghouse</w:t>
      </w:r>
      <w:r w:rsidR="00065F34">
        <w:rPr>
          <w:sz w:val="22"/>
          <w:szCs w:val="22"/>
        </w:rPr>
        <w:t xml:space="preserve"> will</w:t>
      </w:r>
      <w:r w:rsidRPr="00E10914" w:rsidR="00E71408">
        <w:rPr>
          <w:sz w:val="22"/>
          <w:szCs w:val="22"/>
        </w:rPr>
        <w:t xml:space="preserve"> collect payments from overlay licensees</w:t>
      </w:r>
      <w:r w:rsidR="00853D81">
        <w:rPr>
          <w:sz w:val="22"/>
          <w:szCs w:val="22"/>
        </w:rPr>
        <w:t xml:space="preserve"> </w:t>
      </w:r>
      <w:r w:rsidR="0012750C">
        <w:rPr>
          <w:sz w:val="22"/>
          <w:szCs w:val="22"/>
        </w:rPr>
        <w:t>to</w:t>
      </w:r>
      <w:r w:rsidR="00853D81">
        <w:rPr>
          <w:sz w:val="22"/>
          <w:szCs w:val="22"/>
        </w:rPr>
        <w:t xml:space="preserve"> reimburse incumbents</w:t>
      </w:r>
      <w:r w:rsidR="00384810">
        <w:rPr>
          <w:sz w:val="22"/>
          <w:szCs w:val="22"/>
        </w:rPr>
        <w:t xml:space="preserve"> and will notify overlay licensees when </w:t>
      </w:r>
      <w:r w:rsidR="005D174A">
        <w:rPr>
          <w:sz w:val="22"/>
          <w:szCs w:val="22"/>
        </w:rPr>
        <w:t>incumbents file a Certification of Accelerated Relocation</w:t>
      </w:r>
      <w:r w:rsidR="00853D81">
        <w:rPr>
          <w:sz w:val="22"/>
          <w:szCs w:val="22"/>
        </w:rPr>
        <w:t xml:space="preserve">. </w:t>
      </w:r>
      <w:r w:rsidR="00FB0295">
        <w:rPr>
          <w:sz w:val="22"/>
          <w:szCs w:val="22"/>
        </w:rPr>
        <w:t xml:space="preserve"> </w:t>
      </w:r>
      <w:r w:rsidR="0012750C">
        <w:rPr>
          <w:sz w:val="22"/>
          <w:szCs w:val="22"/>
        </w:rPr>
        <w:t xml:space="preserve">The Relocation </w:t>
      </w:r>
      <w:r w:rsidR="00BE3C64">
        <w:rPr>
          <w:sz w:val="22"/>
          <w:szCs w:val="22"/>
        </w:rPr>
        <w:t>Payment Clearin</w:t>
      </w:r>
      <w:r w:rsidR="001A78E8">
        <w:rPr>
          <w:sz w:val="22"/>
          <w:szCs w:val="22"/>
        </w:rPr>
        <w:t>g</w:t>
      </w:r>
      <w:r w:rsidR="00BE3C64">
        <w:rPr>
          <w:sz w:val="22"/>
          <w:szCs w:val="22"/>
        </w:rPr>
        <w:t>house</w:t>
      </w:r>
      <w:r w:rsidR="0012750C">
        <w:rPr>
          <w:sz w:val="22"/>
          <w:szCs w:val="22"/>
        </w:rPr>
        <w:t xml:space="preserve"> must provide </w:t>
      </w:r>
      <w:r w:rsidRPr="00E10914" w:rsidR="00B52AB5">
        <w:rPr>
          <w:sz w:val="22"/>
          <w:szCs w:val="22"/>
        </w:rPr>
        <w:t>additional financial information as requested by the</w:t>
      </w:r>
      <w:r w:rsidR="00FC0680">
        <w:rPr>
          <w:sz w:val="22"/>
          <w:szCs w:val="22"/>
        </w:rPr>
        <w:t xml:space="preserve"> Wireless Telecommunications</w:t>
      </w:r>
      <w:r w:rsidRPr="00E10914" w:rsidR="00B52AB5">
        <w:rPr>
          <w:sz w:val="22"/>
          <w:szCs w:val="22"/>
        </w:rPr>
        <w:t xml:space="preserve"> Bureau</w:t>
      </w:r>
      <w:r w:rsidR="00866865">
        <w:rPr>
          <w:sz w:val="22"/>
          <w:szCs w:val="22"/>
        </w:rPr>
        <w:t xml:space="preserve"> (Bureau)</w:t>
      </w:r>
      <w:r w:rsidR="001A78E8">
        <w:rPr>
          <w:sz w:val="22"/>
          <w:szCs w:val="22"/>
        </w:rPr>
        <w:t xml:space="preserve"> and refer unresolved disputes to the Bureau</w:t>
      </w:r>
      <w:r w:rsidRPr="00E10914" w:rsidR="008E6EF1">
        <w:rPr>
          <w:sz w:val="22"/>
          <w:szCs w:val="22"/>
        </w:rPr>
        <w:t>.</w:t>
      </w:r>
      <w:r w:rsidR="00866865">
        <w:rPr>
          <w:sz w:val="22"/>
          <w:szCs w:val="22"/>
        </w:rPr>
        <w:t xml:space="preserve">  Finally, the Relocation Payment Clearinghouse must </w:t>
      </w:r>
      <w:r w:rsidR="00587E68">
        <w:rPr>
          <w:sz w:val="22"/>
          <w:szCs w:val="22"/>
        </w:rPr>
        <w:t xml:space="preserve">file a request with the Bureau </w:t>
      </w:r>
      <w:r w:rsidR="00BA47F0">
        <w:rPr>
          <w:sz w:val="22"/>
          <w:szCs w:val="22"/>
        </w:rPr>
        <w:t>to wind-down and suspend operations.</w:t>
      </w:r>
    </w:p>
    <w:p w:rsidR="000B1379" w:rsidP="00A60A03" w:rsidRDefault="000B1379" w14:paraId="134629DD" w14:textId="77777777">
      <w:pPr>
        <w:tabs>
          <w:tab w:val="left" w:pos="360"/>
        </w:tabs>
        <w:rPr>
          <w:sz w:val="22"/>
          <w:szCs w:val="22"/>
        </w:rPr>
      </w:pPr>
    </w:p>
    <w:p w:rsidR="008C6CBD" w:rsidP="00A60A03" w:rsidRDefault="008C6CBD" w14:paraId="6893CFDB" w14:textId="2BBCD2D7">
      <w:pPr>
        <w:tabs>
          <w:tab w:val="left" w:pos="360"/>
        </w:tabs>
        <w:rPr>
          <w:i/>
          <w:sz w:val="22"/>
          <w:szCs w:val="22"/>
          <w:u w:val="single"/>
        </w:rPr>
      </w:pPr>
      <w:r>
        <w:rPr>
          <w:i/>
          <w:sz w:val="22"/>
          <w:szCs w:val="22"/>
          <w:u w:val="single"/>
        </w:rPr>
        <w:t>Relocation Coordinator</w:t>
      </w:r>
    </w:p>
    <w:p w:rsidR="008C6CBD" w:rsidP="00A60A03" w:rsidRDefault="008C6CBD" w14:paraId="05F140AD" w14:textId="3875C17D">
      <w:pPr>
        <w:tabs>
          <w:tab w:val="left" w:pos="360"/>
        </w:tabs>
        <w:rPr>
          <w:sz w:val="22"/>
          <w:szCs w:val="22"/>
        </w:rPr>
      </w:pPr>
    </w:p>
    <w:p w:rsidR="00FF4F29" w:rsidP="00332747" w:rsidRDefault="004047C6" w14:paraId="30ECBBFF" w14:textId="77777777">
      <w:pPr>
        <w:tabs>
          <w:tab w:val="left" w:pos="360"/>
        </w:tabs>
        <w:rPr>
          <w:sz w:val="22"/>
          <w:szCs w:val="22"/>
        </w:rPr>
      </w:pPr>
      <w:r>
        <w:rPr>
          <w:sz w:val="22"/>
          <w:szCs w:val="22"/>
        </w:rPr>
        <w:t xml:space="preserve">The </w:t>
      </w:r>
      <w:r>
        <w:rPr>
          <w:i/>
          <w:sz w:val="22"/>
          <w:szCs w:val="22"/>
        </w:rPr>
        <w:t>3.7 GHz Report and Order</w:t>
      </w:r>
      <w:r>
        <w:rPr>
          <w:sz w:val="22"/>
          <w:szCs w:val="22"/>
        </w:rPr>
        <w:t xml:space="preserve"> </w:t>
      </w:r>
      <w:r w:rsidR="00D02E62">
        <w:rPr>
          <w:sz w:val="22"/>
          <w:szCs w:val="22"/>
        </w:rPr>
        <w:t>sets forth specific obligations, filing requirements, and deadlines for eligible space station operators that select to clear by the Accelerated Relocation Deadline</w:t>
      </w:r>
      <w:r w:rsidR="00641C2D">
        <w:rPr>
          <w:sz w:val="22"/>
          <w:szCs w:val="22"/>
        </w:rPr>
        <w:t>s</w:t>
      </w:r>
      <w:r w:rsidR="000E18FE">
        <w:rPr>
          <w:sz w:val="22"/>
          <w:szCs w:val="22"/>
        </w:rPr>
        <w:t>, and it adopts additional requirements for eligible space station operators that do not elect to clear by the Accelerated Relocation Deadlines in order to ensure that incumbent earth station operators, other C-band satellite customers, and prospective flexible-use licensees are adequately informed and accommodated throughout the transition.</w:t>
      </w:r>
    </w:p>
    <w:p w:rsidR="00FF4F29" w:rsidP="00332747" w:rsidRDefault="00FF4F29" w14:paraId="41DDAC53" w14:textId="77777777">
      <w:pPr>
        <w:tabs>
          <w:tab w:val="left" w:pos="360"/>
        </w:tabs>
        <w:rPr>
          <w:sz w:val="22"/>
          <w:szCs w:val="22"/>
        </w:rPr>
      </w:pPr>
    </w:p>
    <w:p w:rsidR="00FF4F29" w:rsidP="00332747" w:rsidRDefault="00FF4F29" w14:paraId="341FD741" w14:textId="77777777">
      <w:pPr>
        <w:tabs>
          <w:tab w:val="left" w:pos="360"/>
        </w:tabs>
        <w:rPr>
          <w:sz w:val="22"/>
          <w:szCs w:val="22"/>
        </w:rPr>
      </w:pPr>
      <w:r>
        <w:rPr>
          <w:sz w:val="22"/>
          <w:szCs w:val="22"/>
        </w:rPr>
        <w:t>The Commission found that making eligible space station operators individually responsible for all space station clearing obligations would promote an efficient and effective space station transition process.  Nevertheless, in light of the complicated interdependencies involves in transitioning earth station operations to the upper 200 megahertz of C-band spectrum, as well as the extensive number of registered incumbent earth stations, the Commission determined that a Relocation Coordinator is necessary to ensure that all incumbent space station operators relocate in a timely manner.</w:t>
      </w:r>
    </w:p>
    <w:p w:rsidR="00FF4F29" w:rsidP="00332747" w:rsidRDefault="00FF4F29" w14:paraId="219DBEAA" w14:textId="77777777">
      <w:pPr>
        <w:tabs>
          <w:tab w:val="left" w:pos="360"/>
        </w:tabs>
        <w:rPr>
          <w:sz w:val="22"/>
          <w:szCs w:val="22"/>
        </w:rPr>
      </w:pPr>
    </w:p>
    <w:p w:rsidR="000E18FE" w:rsidP="00332747" w:rsidRDefault="00EA6BDA" w14:paraId="2B309218" w14:textId="323DF142">
      <w:pPr>
        <w:tabs>
          <w:tab w:val="left" w:pos="360"/>
        </w:tabs>
        <w:rPr>
          <w:sz w:val="22"/>
          <w:szCs w:val="22"/>
        </w:rPr>
      </w:pPr>
      <w:r>
        <w:rPr>
          <w:sz w:val="22"/>
          <w:szCs w:val="22"/>
        </w:rPr>
        <w:t xml:space="preserve">The Relocation Coordinator will be </w:t>
      </w:r>
      <w:r w:rsidR="00FF4F29">
        <w:rPr>
          <w:sz w:val="22"/>
          <w:szCs w:val="22"/>
        </w:rPr>
        <w:t>responsible for performing</w:t>
      </w:r>
      <w:r>
        <w:rPr>
          <w:sz w:val="22"/>
          <w:szCs w:val="22"/>
        </w:rPr>
        <w:t xml:space="preserve"> several duties, which will include: (1) coordinating the schedule for clearing the band; (2) performing engineering analysis, as necessary, to determine necessary earth station migration actions; (3) assigning obligations, as necessary, </w:t>
      </w:r>
      <w:r w:rsidR="00FF4F29">
        <w:rPr>
          <w:sz w:val="22"/>
          <w:szCs w:val="22"/>
        </w:rPr>
        <w:t>for earth station migrations and filtering; (4) coordinating with overlay licensees throughout the transition process; (5) assessing the completion of the transition in each PEA and determining overlay licensees’ ability to commence operations; and (6) meditating scheduling disputes.</w:t>
      </w:r>
      <w:r w:rsidR="006C4DB4">
        <w:rPr>
          <w:sz w:val="22"/>
          <w:szCs w:val="22"/>
        </w:rPr>
        <w:t xml:space="preserve">  In </w:t>
      </w:r>
      <w:r w:rsidR="00FF4F29">
        <w:rPr>
          <w:sz w:val="22"/>
          <w:szCs w:val="22"/>
        </w:rPr>
        <w:t xml:space="preserve">short, the Relocation Coordinator may establish a timeline and take actions necessary to migrate and filter incumbent earth stations to ensure uninterrupted service during and following the transition.  </w:t>
      </w:r>
      <w:r w:rsidR="000E18FE">
        <w:rPr>
          <w:sz w:val="22"/>
          <w:szCs w:val="22"/>
        </w:rPr>
        <w:t xml:space="preserve">Accordingly, the </w:t>
      </w:r>
      <w:r w:rsidR="000E18FE">
        <w:rPr>
          <w:i/>
          <w:sz w:val="22"/>
          <w:szCs w:val="22"/>
        </w:rPr>
        <w:t>3.7 GHz Report and Order</w:t>
      </w:r>
      <w:r w:rsidR="000E18FE">
        <w:rPr>
          <w:sz w:val="22"/>
          <w:szCs w:val="22"/>
        </w:rPr>
        <w:t xml:space="preserve"> requires</w:t>
      </w:r>
      <w:r w:rsidR="00332747">
        <w:rPr>
          <w:sz w:val="22"/>
          <w:szCs w:val="22"/>
        </w:rPr>
        <w:t xml:space="preserve"> </w:t>
      </w:r>
      <w:r w:rsidR="00AA2826">
        <w:rPr>
          <w:sz w:val="22"/>
          <w:szCs w:val="22"/>
        </w:rPr>
        <w:t xml:space="preserve">that the Relocation Coordinator </w:t>
      </w:r>
      <w:r w:rsidR="00541154">
        <w:rPr>
          <w:sz w:val="22"/>
          <w:szCs w:val="22"/>
        </w:rPr>
        <w:t>create, collect, and/or provide</w:t>
      </w:r>
      <w:r w:rsidR="00AA2826">
        <w:rPr>
          <w:sz w:val="22"/>
          <w:szCs w:val="22"/>
        </w:rPr>
        <w:t xml:space="preserve"> the following</w:t>
      </w:r>
      <w:r w:rsidR="00332747">
        <w:rPr>
          <w:sz w:val="22"/>
          <w:szCs w:val="22"/>
        </w:rPr>
        <w:t>:</w:t>
      </w:r>
    </w:p>
    <w:p w:rsidRPr="004675CE" w:rsidR="004675CE" w:rsidP="004675CE" w:rsidRDefault="004675CE" w14:paraId="687A0CE0" w14:textId="4802B604">
      <w:pPr>
        <w:tabs>
          <w:tab w:val="left" w:pos="360"/>
        </w:tabs>
        <w:rPr>
          <w:sz w:val="22"/>
          <w:szCs w:val="22"/>
        </w:rPr>
      </w:pPr>
    </w:p>
    <w:p w:rsidR="00E0327A" w:rsidP="00C948DB" w:rsidRDefault="00A527BA" w14:paraId="30E55926" w14:textId="2D0A3A96">
      <w:pPr>
        <w:pStyle w:val="ListParagraph"/>
        <w:numPr>
          <w:ilvl w:val="0"/>
          <w:numId w:val="5"/>
        </w:numPr>
        <w:tabs>
          <w:tab w:val="left" w:pos="360"/>
        </w:tabs>
        <w:rPr>
          <w:sz w:val="22"/>
          <w:szCs w:val="22"/>
        </w:rPr>
      </w:pPr>
      <w:r>
        <w:rPr>
          <w:sz w:val="22"/>
          <w:szCs w:val="22"/>
        </w:rPr>
        <w:t>t</w:t>
      </w:r>
      <w:r w:rsidR="00C948DB">
        <w:rPr>
          <w:sz w:val="22"/>
          <w:szCs w:val="22"/>
        </w:rPr>
        <w:t xml:space="preserve">o the extent that incumbent earth stations are not accounted for in eligible space station operators’ Transition Plans, the Relocation Coordinator must prepare an Earth Station Transition Plan for such incumbent earth stations and </w:t>
      </w:r>
      <w:r w:rsidRPr="00D63C5D" w:rsidR="00C948DB">
        <w:rPr>
          <w:sz w:val="22"/>
          <w:szCs w:val="22"/>
        </w:rPr>
        <w:t>may require each associated space station operator to file the information needed for such a plan with the Relocation Coordinator</w:t>
      </w:r>
      <w:r w:rsidR="00C948DB">
        <w:rPr>
          <w:sz w:val="22"/>
          <w:szCs w:val="22"/>
        </w:rPr>
        <w:t>;</w:t>
      </w:r>
    </w:p>
    <w:p w:rsidR="00A527BA" w:rsidP="00A527BA" w:rsidRDefault="00A527BA" w14:paraId="0FDFF3A5" w14:textId="77777777">
      <w:pPr>
        <w:pStyle w:val="ListParagraph"/>
        <w:tabs>
          <w:tab w:val="left" w:pos="360"/>
        </w:tabs>
        <w:ind w:left="360"/>
        <w:rPr>
          <w:sz w:val="22"/>
          <w:szCs w:val="22"/>
        </w:rPr>
      </w:pPr>
    </w:p>
    <w:p w:rsidR="00C948DB" w:rsidP="00C948DB" w:rsidRDefault="003910B0" w14:paraId="554AFD2D" w14:textId="065B1274">
      <w:pPr>
        <w:pStyle w:val="ListParagraph"/>
        <w:numPr>
          <w:ilvl w:val="0"/>
          <w:numId w:val="5"/>
        </w:numPr>
        <w:tabs>
          <w:tab w:val="left" w:pos="360"/>
        </w:tabs>
        <w:rPr>
          <w:sz w:val="22"/>
          <w:szCs w:val="22"/>
        </w:rPr>
      </w:pPr>
      <w:r>
        <w:rPr>
          <w:sz w:val="22"/>
          <w:szCs w:val="22"/>
        </w:rPr>
        <w:t>description and recommendation of the respective responsibility of each party for earth station migration obligations in the Earth Station Transition Plan;</w:t>
      </w:r>
    </w:p>
    <w:p w:rsidRPr="003910B0" w:rsidR="003910B0" w:rsidP="003910B0" w:rsidRDefault="003910B0" w14:paraId="14A7BA50" w14:textId="77777777">
      <w:pPr>
        <w:pStyle w:val="ListParagraph"/>
        <w:rPr>
          <w:sz w:val="22"/>
          <w:szCs w:val="22"/>
        </w:rPr>
      </w:pPr>
    </w:p>
    <w:p w:rsidR="00C273A7" w:rsidP="00C948DB" w:rsidRDefault="009B3BBB" w14:paraId="5595E9ED" w14:textId="10428A0E">
      <w:pPr>
        <w:pStyle w:val="ListParagraph"/>
        <w:numPr>
          <w:ilvl w:val="0"/>
          <w:numId w:val="5"/>
        </w:numPr>
        <w:tabs>
          <w:tab w:val="left" w:pos="360"/>
        </w:tabs>
        <w:rPr>
          <w:sz w:val="22"/>
          <w:szCs w:val="22"/>
        </w:rPr>
      </w:pPr>
      <w:r>
        <w:rPr>
          <w:sz w:val="22"/>
          <w:szCs w:val="22"/>
        </w:rPr>
        <w:t xml:space="preserve">collection of </w:t>
      </w:r>
      <w:r w:rsidR="00C273A7">
        <w:rPr>
          <w:sz w:val="22"/>
          <w:szCs w:val="22"/>
        </w:rPr>
        <w:t xml:space="preserve">notices from earth station operators or other satellite customers of any disputes related to comparability of facilities, workmanship, or preservation of service during the transition, </w:t>
      </w:r>
      <w:r w:rsidR="007D37B1">
        <w:rPr>
          <w:sz w:val="22"/>
          <w:szCs w:val="22"/>
        </w:rPr>
        <w:t>which it shall</w:t>
      </w:r>
      <w:r w:rsidR="00C273A7">
        <w:rPr>
          <w:sz w:val="22"/>
          <w:szCs w:val="22"/>
        </w:rPr>
        <w:t xml:space="preserve"> notify </w:t>
      </w:r>
      <w:r w:rsidR="007D37B1">
        <w:rPr>
          <w:sz w:val="22"/>
          <w:szCs w:val="22"/>
        </w:rPr>
        <w:t xml:space="preserve">to </w:t>
      </w:r>
      <w:r w:rsidR="00C273A7">
        <w:rPr>
          <w:sz w:val="22"/>
          <w:szCs w:val="22"/>
        </w:rPr>
        <w:t>the Wireless Telecommunications Bureau and provide recommendation for resolution</w:t>
      </w:r>
      <w:r w:rsidR="00DC4856">
        <w:rPr>
          <w:sz w:val="22"/>
          <w:szCs w:val="22"/>
        </w:rPr>
        <w:t>;</w:t>
      </w:r>
    </w:p>
    <w:p w:rsidRPr="00DC4856" w:rsidR="00DC4856" w:rsidP="00DC4856" w:rsidRDefault="00DC4856" w14:paraId="1846AED0" w14:textId="77777777">
      <w:pPr>
        <w:pStyle w:val="ListParagraph"/>
        <w:rPr>
          <w:sz w:val="22"/>
          <w:szCs w:val="22"/>
        </w:rPr>
      </w:pPr>
    </w:p>
    <w:p w:rsidR="003459A2" w:rsidP="0033662F" w:rsidRDefault="00DC4856" w14:paraId="7123342E" w14:textId="77777777">
      <w:pPr>
        <w:pStyle w:val="ListParagraph"/>
        <w:numPr>
          <w:ilvl w:val="0"/>
          <w:numId w:val="5"/>
        </w:numPr>
        <w:tabs>
          <w:tab w:val="left" w:pos="360"/>
        </w:tabs>
        <w:rPr>
          <w:sz w:val="22"/>
          <w:szCs w:val="22"/>
        </w:rPr>
      </w:pPr>
      <w:r>
        <w:rPr>
          <w:sz w:val="22"/>
          <w:szCs w:val="22"/>
        </w:rPr>
        <w:t>status reports on the overall status of clearing efforts, on a quarterly basis, beginning December 31, 2020; and</w:t>
      </w:r>
    </w:p>
    <w:p w:rsidRPr="003459A2" w:rsidR="003459A2" w:rsidP="003459A2" w:rsidRDefault="003459A2" w14:paraId="6E95BEDF" w14:textId="77777777">
      <w:pPr>
        <w:pStyle w:val="ListParagraph"/>
        <w:rPr>
          <w:sz w:val="22"/>
          <w:szCs w:val="22"/>
        </w:rPr>
      </w:pPr>
    </w:p>
    <w:p w:rsidRPr="003459A2" w:rsidR="000E18FE" w:rsidP="0033662F" w:rsidRDefault="00D63C5D" w14:paraId="0CFD1FC3" w14:textId="1425B301">
      <w:pPr>
        <w:pStyle w:val="ListParagraph"/>
        <w:numPr>
          <w:ilvl w:val="0"/>
          <w:numId w:val="5"/>
        </w:numPr>
        <w:tabs>
          <w:tab w:val="left" w:pos="360"/>
        </w:tabs>
        <w:rPr>
          <w:sz w:val="22"/>
          <w:szCs w:val="22"/>
        </w:rPr>
      </w:pPr>
      <w:r w:rsidRPr="003459A2">
        <w:rPr>
          <w:sz w:val="22"/>
          <w:szCs w:val="22"/>
        </w:rPr>
        <w:t>any documentation requested by the Wireless Telecommunications Bureau, in connection with the Office of Managing Director, necessary to provide guidance or carry out oversight</w:t>
      </w:r>
      <w:r w:rsidRPr="003459A2" w:rsidR="00E452BB">
        <w:rPr>
          <w:sz w:val="22"/>
          <w:szCs w:val="22"/>
        </w:rPr>
        <w:t>.</w:t>
      </w:r>
    </w:p>
    <w:p w:rsidR="00C948DB" w:rsidP="000E18FE" w:rsidRDefault="00C948DB" w14:paraId="179FFD0B" w14:textId="77777777">
      <w:pPr>
        <w:tabs>
          <w:tab w:val="left" w:pos="360"/>
        </w:tabs>
        <w:rPr>
          <w:sz w:val="22"/>
          <w:szCs w:val="22"/>
        </w:rPr>
      </w:pPr>
    </w:p>
    <w:p w:rsidR="009E4B82" w:rsidP="00A60A03" w:rsidRDefault="001B4971" w14:paraId="7513357C" w14:textId="6469D9BD">
      <w:pPr>
        <w:tabs>
          <w:tab w:val="left" w:pos="360"/>
        </w:tabs>
        <w:rPr>
          <w:sz w:val="22"/>
          <w:szCs w:val="22"/>
        </w:rPr>
      </w:pPr>
      <w:r>
        <w:rPr>
          <w:sz w:val="22"/>
          <w:szCs w:val="22"/>
        </w:rPr>
        <w:t xml:space="preserve">If eligible space station operators elect accelerated relocation so that a supermajority (80%) of accelerated relocation payments are accepted (and thus accelerated relocation is triggered), a search committee of such operators shall select a Relocation Coordinator.  Specifically, each electing space station operator may select one representative for the search committee, and the committee shall work by consensus to the extent possible or by supermajority vote (representing 80% of electing </w:t>
      </w:r>
      <w:proofErr w:type="gramStart"/>
      <w:r>
        <w:rPr>
          <w:sz w:val="22"/>
          <w:szCs w:val="22"/>
        </w:rPr>
        <w:t>operators’</w:t>
      </w:r>
      <w:proofErr w:type="gramEnd"/>
      <w:r>
        <w:rPr>
          <w:sz w:val="22"/>
          <w:szCs w:val="22"/>
        </w:rPr>
        <w:t xml:space="preserve"> accelerated relocation payments) to the extent consensus cannot be reached.  In the event that the search committee fails to select a Relocation Coordinator and to notify the Commission by July 31, 2020, the search committee will be dissolved without further action by the Commission and the Commission will initiate a procurement of the Relocation Coordinator to facilitate the transition. </w:t>
      </w:r>
    </w:p>
    <w:p w:rsidRPr="00E5552C" w:rsidR="00E5552C" w:rsidP="00A60A03" w:rsidRDefault="00E5552C" w14:paraId="1AB0449E" w14:textId="77777777">
      <w:pPr>
        <w:tabs>
          <w:tab w:val="left" w:pos="360"/>
        </w:tabs>
        <w:rPr>
          <w:sz w:val="22"/>
          <w:szCs w:val="22"/>
        </w:rPr>
      </w:pPr>
    </w:p>
    <w:p w:rsidRPr="008C6CBD" w:rsidR="00433A1A" w:rsidP="00A60A03" w:rsidRDefault="00433A1A" w14:paraId="36F84AA8" w14:textId="43555AB2">
      <w:pPr>
        <w:tabs>
          <w:tab w:val="left" w:pos="360"/>
        </w:tabs>
        <w:rPr>
          <w:i/>
          <w:sz w:val="22"/>
          <w:szCs w:val="22"/>
          <w:u w:val="single"/>
        </w:rPr>
      </w:pPr>
      <w:r>
        <w:rPr>
          <w:i/>
          <w:sz w:val="22"/>
          <w:szCs w:val="22"/>
          <w:u w:val="single"/>
        </w:rPr>
        <w:t>Space Statio</w:t>
      </w:r>
      <w:r w:rsidR="00537442">
        <w:rPr>
          <w:i/>
          <w:sz w:val="22"/>
          <w:szCs w:val="22"/>
          <w:u w:val="single"/>
        </w:rPr>
        <w:t>n Operators</w:t>
      </w:r>
    </w:p>
    <w:p w:rsidR="00512D56" w:rsidP="00A60A03" w:rsidRDefault="00512D56" w14:paraId="4716EC02" w14:textId="77777777">
      <w:pPr>
        <w:tabs>
          <w:tab w:val="left" w:pos="360"/>
        </w:tabs>
        <w:rPr>
          <w:sz w:val="22"/>
          <w:szCs w:val="22"/>
        </w:rPr>
      </w:pPr>
    </w:p>
    <w:p w:rsidR="00512D56" w:rsidP="00E63278" w:rsidRDefault="00762DEB" w14:paraId="5568DBF9" w14:textId="03E1B08F">
      <w:pPr>
        <w:tabs>
          <w:tab w:val="left" w:pos="360"/>
        </w:tabs>
        <w:rPr>
          <w:sz w:val="22"/>
          <w:szCs w:val="22"/>
        </w:rPr>
      </w:pPr>
      <w:r>
        <w:rPr>
          <w:sz w:val="22"/>
          <w:szCs w:val="22"/>
        </w:rPr>
        <w:t>The</w:t>
      </w:r>
      <w:r w:rsidR="005F4152">
        <w:rPr>
          <w:sz w:val="22"/>
          <w:szCs w:val="22"/>
        </w:rPr>
        <w:t xml:space="preserve"> </w:t>
      </w:r>
      <w:r w:rsidR="005F4152">
        <w:rPr>
          <w:i/>
          <w:sz w:val="22"/>
          <w:szCs w:val="22"/>
        </w:rPr>
        <w:t>3.7 GHz Report and Order</w:t>
      </w:r>
      <w:r w:rsidRPr="005F4152" w:rsidR="005F4152">
        <w:rPr>
          <w:sz w:val="22"/>
          <w:szCs w:val="22"/>
        </w:rPr>
        <w:t xml:space="preserve"> </w:t>
      </w:r>
      <w:r w:rsidR="008E7748">
        <w:rPr>
          <w:sz w:val="22"/>
          <w:szCs w:val="22"/>
        </w:rPr>
        <w:t xml:space="preserve">establishes rules to </w:t>
      </w:r>
      <w:r w:rsidR="00900B7B">
        <w:rPr>
          <w:sz w:val="22"/>
          <w:szCs w:val="22"/>
        </w:rPr>
        <w:t>transition incumbent C-band users</w:t>
      </w:r>
      <w:r w:rsidR="008E7748">
        <w:rPr>
          <w:sz w:val="22"/>
          <w:szCs w:val="22"/>
        </w:rPr>
        <w:t xml:space="preserve"> out of the band made available for flexible-use and </w:t>
      </w:r>
      <w:r w:rsidR="00316C26">
        <w:rPr>
          <w:sz w:val="22"/>
          <w:szCs w:val="22"/>
        </w:rPr>
        <w:t>to</w:t>
      </w:r>
      <w:r w:rsidR="008E7748">
        <w:rPr>
          <w:sz w:val="22"/>
          <w:szCs w:val="22"/>
        </w:rPr>
        <w:t xml:space="preserve"> reimburs</w:t>
      </w:r>
      <w:r w:rsidR="00316C26">
        <w:rPr>
          <w:sz w:val="22"/>
          <w:szCs w:val="22"/>
        </w:rPr>
        <w:t xml:space="preserve">e incumbent space station operators </w:t>
      </w:r>
      <w:r w:rsidR="008E7748">
        <w:rPr>
          <w:sz w:val="22"/>
          <w:szCs w:val="22"/>
        </w:rPr>
        <w:t>for the costs of transitioning their service</w:t>
      </w:r>
      <w:r w:rsidR="00E63278">
        <w:rPr>
          <w:sz w:val="22"/>
          <w:szCs w:val="22"/>
        </w:rPr>
        <w:t xml:space="preserve">s.  </w:t>
      </w:r>
      <w:r w:rsidR="00EA7106">
        <w:rPr>
          <w:sz w:val="22"/>
          <w:szCs w:val="22"/>
        </w:rPr>
        <w:t xml:space="preserve">The Commission’s approach will permit all incumbents to maintain comparable service for existing customers and to obtain future customers in the upper part of the band, while making more efficient use of the band as a whole.  </w:t>
      </w:r>
      <w:r w:rsidR="0057696E">
        <w:rPr>
          <w:sz w:val="22"/>
          <w:szCs w:val="22"/>
        </w:rPr>
        <w:t>To this end, the Commission requires the following information</w:t>
      </w:r>
      <w:r w:rsidR="006F41D8">
        <w:rPr>
          <w:sz w:val="22"/>
          <w:szCs w:val="22"/>
        </w:rPr>
        <w:t xml:space="preserve"> </w:t>
      </w:r>
      <w:r w:rsidR="0057696E">
        <w:rPr>
          <w:sz w:val="22"/>
          <w:szCs w:val="22"/>
        </w:rPr>
        <w:t>fro</w:t>
      </w:r>
      <w:r w:rsidR="00A20DFF">
        <w:rPr>
          <w:sz w:val="22"/>
          <w:szCs w:val="22"/>
        </w:rPr>
        <w:t>m space station operators:</w:t>
      </w:r>
    </w:p>
    <w:p w:rsidR="00A20DFF" w:rsidP="00A60A03" w:rsidRDefault="00A20DFF" w14:paraId="04548E41" w14:textId="3AE201EB">
      <w:pPr>
        <w:tabs>
          <w:tab w:val="left" w:pos="360"/>
        </w:tabs>
        <w:rPr>
          <w:sz w:val="22"/>
          <w:szCs w:val="22"/>
        </w:rPr>
      </w:pPr>
    </w:p>
    <w:p w:rsidR="00A20DFF" w:rsidP="00A20DFF" w:rsidRDefault="00A20DFF" w14:paraId="494B2718" w14:textId="730D226B">
      <w:pPr>
        <w:pStyle w:val="ListParagraph"/>
        <w:numPr>
          <w:ilvl w:val="0"/>
          <w:numId w:val="6"/>
        </w:numPr>
        <w:tabs>
          <w:tab w:val="left" w:pos="360"/>
        </w:tabs>
        <w:rPr>
          <w:sz w:val="22"/>
          <w:szCs w:val="22"/>
        </w:rPr>
      </w:pPr>
      <w:r>
        <w:rPr>
          <w:sz w:val="22"/>
          <w:szCs w:val="22"/>
        </w:rPr>
        <w:t>status of its clearing efforts on a quarterly basis, beginning December 31, 2020;</w:t>
      </w:r>
      <w:r w:rsidR="00584F40">
        <w:rPr>
          <w:rStyle w:val="FootnoteReference"/>
          <w:szCs w:val="22"/>
        </w:rPr>
        <w:footnoteReference w:id="6"/>
      </w:r>
    </w:p>
    <w:p w:rsidR="00A20DFF" w:rsidP="00A20DFF" w:rsidRDefault="00A20DFF" w14:paraId="50A9FD83" w14:textId="77777777">
      <w:pPr>
        <w:pStyle w:val="ListParagraph"/>
        <w:tabs>
          <w:tab w:val="left" w:pos="360"/>
        </w:tabs>
        <w:ind w:left="360"/>
        <w:rPr>
          <w:sz w:val="22"/>
          <w:szCs w:val="22"/>
        </w:rPr>
      </w:pPr>
    </w:p>
    <w:p w:rsidR="00A20DFF" w:rsidP="00A20DFF" w:rsidRDefault="00A20DFF" w14:paraId="5A1B8F60" w14:textId="0A24D169">
      <w:pPr>
        <w:pStyle w:val="ListParagraph"/>
        <w:numPr>
          <w:ilvl w:val="0"/>
          <w:numId w:val="6"/>
        </w:numPr>
        <w:tabs>
          <w:tab w:val="left" w:pos="360"/>
        </w:tabs>
        <w:rPr>
          <w:sz w:val="22"/>
          <w:szCs w:val="22"/>
        </w:rPr>
      </w:pPr>
      <w:r>
        <w:rPr>
          <w:sz w:val="22"/>
          <w:szCs w:val="22"/>
        </w:rPr>
        <w:t>timely certification that it has completed the necessary clearing actions to satisfy each Accelerated Relocation Deadline.  The certification must be filed once the eligible space station operator completes its obligations but no later than the applicable Accelerated Relocation Deadline.  The Wireless Telecommunications Bureau will prescribe the form of such certification;</w:t>
      </w:r>
    </w:p>
    <w:p w:rsidRPr="00A20DFF" w:rsidR="00A20DFF" w:rsidP="00A20DFF" w:rsidRDefault="00A20DFF" w14:paraId="32F14AB7" w14:textId="77777777">
      <w:pPr>
        <w:pStyle w:val="ListParagraph"/>
        <w:rPr>
          <w:sz w:val="22"/>
          <w:szCs w:val="22"/>
        </w:rPr>
      </w:pPr>
    </w:p>
    <w:p w:rsidRPr="00A20DFF" w:rsidR="00A20DFF" w:rsidP="00A20DFF" w:rsidRDefault="00A20DFF" w14:paraId="3F2CC0E8" w14:textId="433D7DA2">
      <w:pPr>
        <w:pStyle w:val="ListParagraph"/>
        <w:numPr>
          <w:ilvl w:val="0"/>
          <w:numId w:val="6"/>
        </w:numPr>
        <w:tabs>
          <w:tab w:val="left" w:pos="360"/>
        </w:tabs>
        <w:rPr>
          <w:sz w:val="22"/>
          <w:szCs w:val="22"/>
        </w:rPr>
      </w:pPr>
      <w:r>
        <w:rPr>
          <w:sz w:val="22"/>
          <w:szCs w:val="22"/>
        </w:rPr>
        <w:t>notice of any incumbent earth station transition delays</w:t>
      </w:r>
      <w:r w:rsidR="003459A2">
        <w:rPr>
          <w:sz w:val="22"/>
          <w:szCs w:val="22"/>
        </w:rPr>
        <w:t>, which must be submitted</w:t>
      </w:r>
      <w:r>
        <w:rPr>
          <w:sz w:val="22"/>
          <w:szCs w:val="22"/>
        </w:rPr>
        <w:t xml:space="preserve"> to the Wireless Telecommunications Bureau within 7 days of discovering an inability to accomplish the assigned earth station transition task.  Such a request must include supporting documentation to allow for the resolution as soon as practicable and must be submitted before the Accelerated Relocation Deadlines.</w:t>
      </w:r>
    </w:p>
    <w:p w:rsidR="0057696E" w:rsidP="00A60A03" w:rsidRDefault="0057696E" w14:paraId="0D93543E" w14:textId="681393C1">
      <w:pPr>
        <w:tabs>
          <w:tab w:val="left" w:pos="360"/>
        </w:tabs>
        <w:rPr>
          <w:sz w:val="22"/>
          <w:szCs w:val="22"/>
        </w:rPr>
      </w:pPr>
    </w:p>
    <w:p w:rsidR="00D26BB4" w:rsidP="00D26BB4" w:rsidRDefault="00D26BB4" w14:paraId="68182C73" w14:textId="3423FA82">
      <w:pPr>
        <w:pStyle w:val="Default"/>
        <w:rPr>
          <w:sz w:val="22"/>
          <w:szCs w:val="22"/>
        </w:rPr>
      </w:pPr>
      <w:r w:rsidRPr="00B3318A">
        <w:rPr>
          <w:sz w:val="22"/>
          <w:szCs w:val="22"/>
        </w:rPr>
        <w:t>Statutory authority for this information collection is contained in</w:t>
      </w:r>
      <w:r w:rsidRPr="003B202F">
        <w:rPr>
          <w:sz w:val="22"/>
          <w:szCs w:val="22"/>
        </w:rPr>
        <w:t xml:space="preserve"> sections </w:t>
      </w:r>
      <w:r w:rsidRPr="00C568C8">
        <w:rPr>
          <w:sz w:val="22"/>
          <w:szCs w:val="22"/>
        </w:rPr>
        <w:t>1, 2, 4(i), 4(j), 5(c), 201, 302, 303, 304, 307(e), 309</w:t>
      </w:r>
      <w:r w:rsidR="00BA7A43">
        <w:rPr>
          <w:sz w:val="22"/>
          <w:szCs w:val="22"/>
        </w:rPr>
        <w:t>, 316</w:t>
      </w:r>
      <w:r>
        <w:rPr>
          <w:sz w:val="22"/>
          <w:szCs w:val="22"/>
        </w:rPr>
        <w:t xml:space="preserve"> </w:t>
      </w:r>
      <w:r w:rsidRPr="003B202F">
        <w:rPr>
          <w:sz w:val="22"/>
          <w:szCs w:val="22"/>
        </w:rPr>
        <w:t xml:space="preserve">of the Communications Act of 1934, </w:t>
      </w:r>
      <w:r>
        <w:rPr>
          <w:sz w:val="22"/>
          <w:szCs w:val="22"/>
        </w:rPr>
        <w:t>as amended, 47 U.S.C. §§ 151, 152, 154(i), 154(j), 155(c), 201, 302, 303, 304, 307(e), 309</w:t>
      </w:r>
      <w:r w:rsidR="00BA7A43">
        <w:rPr>
          <w:sz w:val="22"/>
          <w:szCs w:val="22"/>
        </w:rPr>
        <w:t>, 316</w:t>
      </w:r>
      <w:r>
        <w:rPr>
          <w:sz w:val="22"/>
          <w:szCs w:val="22"/>
        </w:rPr>
        <w:t>.</w:t>
      </w:r>
    </w:p>
    <w:p w:rsidR="00BE2ED4" w:rsidP="00033F93" w:rsidRDefault="00BE2ED4" w14:paraId="623F3179" w14:textId="37D89FA1">
      <w:pPr>
        <w:tabs>
          <w:tab w:val="left" w:pos="360"/>
        </w:tabs>
        <w:rPr>
          <w:sz w:val="22"/>
          <w:szCs w:val="22"/>
        </w:rPr>
      </w:pPr>
    </w:p>
    <w:p w:rsidR="00CD7956" w:rsidP="00033F93" w:rsidRDefault="00CD7956" w14:paraId="0C70C400" w14:textId="38389DA4">
      <w:pPr>
        <w:tabs>
          <w:tab w:val="left" w:pos="360"/>
        </w:tabs>
        <w:rPr>
          <w:sz w:val="22"/>
          <w:szCs w:val="22"/>
        </w:rPr>
      </w:pPr>
      <w:r w:rsidRPr="00C20204">
        <w:rPr>
          <w:sz w:val="22"/>
          <w:szCs w:val="22"/>
        </w:rPr>
        <w:t>This collection does not have any impacts under the Privacy Act.</w:t>
      </w:r>
    </w:p>
    <w:p w:rsidR="00CD7956" w:rsidP="00033F93" w:rsidRDefault="00CD7956" w14:paraId="6F046B2D" w14:textId="77777777">
      <w:pPr>
        <w:tabs>
          <w:tab w:val="left" w:pos="360"/>
        </w:tabs>
        <w:rPr>
          <w:sz w:val="22"/>
          <w:szCs w:val="22"/>
        </w:rPr>
      </w:pPr>
    </w:p>
    <w:p w:rsidR="00B77D6A" w:rsidP="00E9097C" w:rsidRDefault="00B77D6A" w14:paraId="2D59EAF7" w14:textId="3F4CFF7B">
      <w:pPr>
        <w:tabs>
          <w:tab w:val="left" w:pos="360"/>
        </w:tabs>
        <w:rPr>
          <w:sz w:val="22"/>
          <w:szCs w:val="22"/>
        </w:rPr>
      </w:pPr>
      <w:r w:rsidRPr="006253AA">
        <w:rPr>
          <w:sz w:val="22"/>
          <w:szCs w:val="22"/>
        </w:rPr>
        <w:t>2.</w:t>
      </w:r>
      <w:r w:rsidRPr="006253AA">
        <w:rPr>
          <w:sz w:val="22"/>
          <w:szCs w:val="22"/>
        </w:rPr>
        <w:tab/>
      </w:r>
      <w:r w:rsidRPr="00EA53DE">
        <w:rPr>
          <w:b/>
          <w:bCs/>
          <w:i/>
          <w:sz w:val="22"/>
          <w:szCs w:val="22"/>
        </w:rPr>
        <w:t>Use of Information</w:t>
      </w:r>
      <w:r w:rsidRPr="006253AA">
        <w:rPr>
          <w:i/>
          <w:sz w:val="22"/>
          <w:szCs w:val="22"/>
        </w:rPr>
        <w:t>.</w:t>
      </w:r>
      <w:r w:rsidRPr="006253AA">
        <w:rPr>
          <w:sz w:val="22"/>
          <w:szCs w:val="22"/>
        </w:rPr>
        <w:t xml:space="preserve">  The information that will be collected under this new information collection is designed to ensure that the framework adopted by the Commission in the </w:t>
      </w:r>
      <w:r w:rsidRPr="006253AA">
        <w:rPr>
          <w:i/>
          <w:iCs/>
          <w:sz w:val="22"/>
          <w:szCs w:val="22"/>
        </w:rPr>
        <w:t>3.7 GHz Report and Order</w:t>
      </w:r>
      <w:r w:rsidRPr="006253AA">
        <w:rPr>
          <w:sz w:val="22"/>
          <w:szCs w:val="22"/>
        </w:rPr>
        <w:t xml:space="preserve"> will occur in a</w:t>
      </w:r>
      <w:r w:rsidR="00DB179F">
        <w:rPr>
          <w:sz w:val="22"/>
          <w:szCs w:val="22"/>
        </w:rPr>
        <w:t xml:space="preserve">n </w:t>
      </w:r>
      <w:r w:rsidRPr="006253AA">
        <w:rPr>
          <w:sz w:val="22"/>
          <w:szCs w:val="22"/>
        </w:rPr>
        <w:t>efficient</w:t>
      </w:r>
      <w:r w:rsidR="00DB179F">
        <w:rPr>
          <w:sz w:val="22"/>
          <w:szCs w:val="22"/>
        </w:rPr>
        <w:t>, timely, and transparent</w:t>
      </w:r>
      <w:r w:rsidRPr="006253AA">
        <w:rPr>
          <w:sz w:val="22"/>
          <w:szCs w:val="22"/>
        </w:rPr>
        <w:t xml:space="preserve"> manner.  </w:t>
      </w:r>
      <w:r w:rsidR="0021565E">
        <w:rPr>
          <w:sz w:val="22"/>
          <w:szCs w:val="22"/>
        </w:rPr>
        <w:t xml:space="preserve">The information collection </w:t>
      </w:r>
      <w:r w:rsidR="00857954">
        <w:rPr>
          <w:sz w:val="22"/>
          <w:szCs w:val="22"/>
        </w:rPr>
        <w:t>will promote transparency and increase efficiency</w:t>
      </w:r>
      <w:r w:rsidR="0082015B">
        <w:rPr>
          <w:sz w:val="22"/>
          <w:szCs w:val="22"/>
        </w:rPr>
        <w:t xml:space="preserve"> by</w:t>
      </w:r>
      <w:r w:rsidR="0021565E">
        <w:rPr>
          <w:sz w:val="22"/>
          <w:szCs w:val="22"/>
        </w:rPr>
        <w:t xml:space="preserve"> ensuring that all relevant stakeholders have access to information regarding the necessary steps, costs, respect</w:t>
      </w:r>
      <w:r w:rsidR="00A02E82">
        <w:rPr>
          <w:sz w:val="22"/>
          <w:szCs w:val="22"/>
        </w:rPr>
        <w:t>iv</w:t>
      </w:r>
      <w:r w:rsidR="0082015B">
        <w:rPr>
          <w:sz w:val="22"/>
          <w:szCs w:val="22"/>
        </w:rPr>
        <w:t>e obligations of each party, and overall timeline for transitioning existing C-band services to the upper 200 megahertz of the band.</w:t>
      </w:r>
      <w:r w:rsidR="00EF4DE3">
        <w:rPr>
          <w:sz w:val="22"/>
          <w:szCs w:val="22"/>
        </w:rPr>
        <w:t xml:space="preserve">  </w:t>
      </w:r>
    </w:p>
    <w:p w:rsidR="00602EFD" w:rsidP="00B77D6A" w:rsidRDefault="00602EFD" w14:paraId="6D97D0CE" w14:textId="77777777">
      <w:pPr>
        <w:tabs>
          <w:tab w:val="left" w:pos="360"/>
        </w:tabs>
        <w:rPr>
          <w:sz w:val="22"/>
          <w:szCs w:val="22"/>
        </w:rPr>
      </w:pPr>
    </w:p>
    <w:p w:rsidR="004C766E" w:rsidP="00033F93" w:rsidRDefault="00602EFD" w14:paraId="50272C78" w14:textId="67248281">
      <w:pPr>
        <w:tabs>
          <w:tab w:val="left" w:pos="360"/>
        </w:tabs>
        <w:rPr>
          <w:sz w:val="22"/>
          <w:szCs w:val="22"/>
        </w:rPr>
      </w:pPr>
      <w:r>
        <w:rPr>
          <w:sz w:val="22"/>
          <w:szCs w:val="22"/>
        </w:rPr>
        <w:t>The information provided by the Relocation Payment Clearinghous</w:t>
      </w:r>
      <w:r w:rsidR="004E58F6">
        <w:rPr>
          <w:sz w:val="22"/>
          <w:szCs w:val="22"/>
        </w:rPr>
        <w:t xml:space="preserve">e will </w:t>
      </w:r>
      <w:r w:rsidR="00CF004E">
        <w:rPr>
          <w:sz w:val="22"/>
          <w:szCs w:val="22"/>
        </w:rPr>
        <w:t>facilitate</w:t>
      </w:r>
      <w:r w:rsidR="007D30B6">
        <w:rPr>
          <w:sz w:val="22"/>
          <w:szCs w:val="22"/>
        </w:rPr>
        <w:t xml:space="preserve"> a</w:t>
      </w:r>
      <w:r w:rsidR="007E23B2">
        <w:rPr>
          <w:sz w:val="22"/>
          <w:szCs w:val="22"/>
        </w:rPr>
        <w:t xml:space="preserve">n </w:t>
      </w:r>
      <w:r w:rsidR="0019492F">
        <w:rPr>
          <w:sz w:val="22"/>
          <w:szCs w:val="22"/>
        </w:rPr>
        <w:t>efficient</w:t>
      </w:r>
      <w:r w:rsidR="007D30B6">
        <w:rPr>
          <w:sz w:val="22"/>
          <w:szCs w:val="22"/>
        </w:rPr>
        <w:t xml:space="preserve"> transition with appropriate Commission oversight.  </w:t>
      </w:r>
      <w:r w:rsidR="00677659">
        <w:rPr>
          <w:sz w:val="22"/>
          <w:szCs w:val="22"/>
        </w:rPr>
        <w:t>Specifically, t</w:t>
      </w:r>
      <w:r w:rsidR="007D30B6">
        <w:rPr>
          <w:sz w:val="22"/>
          <w:szCs w:val="22"/>
        </w:rPr>
        <w:t xml:space="preserve">he information </w:t>
      </w:r>
      <w:r w:rsidR="00270885">
        <w:rPr>
          <w:sz w:val="22"/>
          <w:szCs w:val="22"/>
        </w:rPr>
        <w:t>provided</w:t>
      </w:r>
      <w:r w:rsidR="00A44AE8">
        <w:rPr>
          <w:sz w:val="22"/>
          <w:szCs w:val="22"/>
        </w:rPr>
        <w:t xml:space="preserve"> to and</w:t>
      </w:r>
      <w:r w:rsidR="00270885">
        <w:rPr>
          <w:sz w:val="22"/>
          <w:szCs w:val="22"/>
        </w:rPr>
        <w:t xml:space="preserve"> by the Relocation Payment Clearinghouse </w:t>
      </w:r>
      <w:r w:rsidR="007D30B6">
        <w:rPr>
          <w:sz w:val="22"/>
          <w:szCs w:val="22"/>
        </w:rPr>
        <w:t xml:space="preserve">will ensure that the cost-related aspects of the transition are administered in a fair, transparent manner.  </w:t>
      </w:r>
      <w:r w:rsidR="00677659">
        <w:rPr>
          <w:sz w:val="22"/>
          <w:szCs w:val="22"/>
        </w:rPr>
        <w:t>For instance, t</w:t>
      </w:r>
      <w:r w:rsidR="007D30B6">
        <w:rPr>
          <w:sz w:val="22"/>
          <w:szCs w:val="22"/>
        </w:rPr>
        <w:t xml:space="preserve">his information will facilitate the resolution of cost disputes among stakeholders and ensure that payments are collected and distributed in a timely manner.  The information </w:t>
      </w:r>
      <w:r w:rsidR="00677659">
        <w:rPr>
          <w:sz w:val="22"/>
          <w:szCs w:val="22"/>
        </w:rPr>
        <w:t>submitted</w:t>
      </w:r>
      <w:r w:rsidR="00A44AE8">
        <w:rPr>
          <w:sz w:val="22"/>
          <w:szCs w:val="22"/>
        </w:rPr>
        <w:t xml:space="preserve"> to and</w:t>
      </w:r>
      <w:r w:rsidR="00677659">
        <w:rPr>
          <w:sz w:val="22"/>
          <w:szCs w:val="22"/>
        </w:rPr>
        <w:t xml:space="preserve"> by the Relocation Coordinator will ensure that all incumbent space station operators are relocat</w:t>
      </w:r>
      <w:r w:rsidR="00FD1AE3">
        <w:rPr>
          <w:sz w:val="22"/>
          <w:szCs w:val="22"/>
        </w:rPr>
        <w:t>ing</w:t>
      </w:r>
      <w:r w:rsidR="00677659">
        <w:rPr>
          <w:sz w:val="22"/>
          <w:szCs w:val="22"/>
        </w:rPr>
        <w:t xml:space="preserve"> in a timely manner, which ensures that mid-band spectrum is made available for </w:t>
      </w:r>
      <w:r w:rsidR="00397D41">
        <w:rPr>
          <w:sz w:val="22"/>
          <w:szCs w:val="22"/>
        </w:rPr>
        <w:t>deploying</w:t>
      </w:r>
      <w:r w:rsidR="00677659">
        <w:rPr>
          <w:sz w:val="22"/>
          <w:szCs w:val="22"/>
        </w:rPr>
        <w:t xml:space="preserve"> next-generation services to the American public as quickly as possible.</w:t>
      </w:r>
      <w:r w:rsidR="005A2753">
        <w:rPr>
          <w:sz w:val="22"/>
          <w:szCs w:val="22"/>
        </w:rPr>
        <w:t xml:space="preserve">  This collection will </w:t>
      </w:r>
      <w:r w:rsidR="00D24F20">
        <w:rPr>
          <w:sz w:val="22"/>
          <w:szCs w:val="22"/>
        </w:rPr>
        <w:t>allow</w:t>
      </w:r>
      <w:r w:rsidR="005A2753">
        <w:rPr>
          <w:sz w:val="22"/>
          <w:szCs w:val="22"/>
        </w:rPr>
        <w:t xml:space="preserve"> incumbent earth station and space station operators </w:t>
      </w:r>
      <w:r w:rsidR="00D24F20">
        <w:rPr>
          <w:sz w:val="22"/>
          <w:szCs w:val="22"/>
        </w:rPr>
        <w:t xml:space="preserve">to </w:t>
      </w:r>
      <w:r w:rsidR="009B284D">
        <w:rPr>
          <w:sz w:val="22"/>
          <w:szCs w:val="22"/>
        </w:rPr>
        <w:t>evaluate the</w:t>
      </w:r>
      <w:r w:rsidR="005A2753">
        <w:rPr>
          <w:sz w:val="22"/>
          <w:szCs w:val="22"/>
        </w:rPr>
        <w:t xml:space="preserve"> necessary aspects and costs of the transition</w:t>
      </w:r>
      <w:r w:rsidR="0007524C">
        <w:rPr>
          <w:sz w:val="22"/>
          <w:szCs w:val="22"/>
        </w:rPr>
        <w:t xml:space="preserve"> </w:t>
      </w:r>
      <w:r w:rsidR="00902C10">
        <w:rPr>
          <w:sz w:val="22"/>
          <w:szCs w:val="22"/>
        </w:rPr>
        <w:t>to facilitate an efficient clearing process</w:t>
      </w:r>
      <w:r w:rsidR="003879E5">
        <w:rPr>
          <w:sz w:val="22"/>
          <w:szCs w:val="22"/>
        </w:rPr>
        <w:t xml:space="preserve">.  </w:t>
      </w:r>
      <w:r w:rsidR="00C20464">
        <w:rPr>
          <w:sz w:val="22"/>
          <w:szCs w:val="22"/>
        </w:rPr>
        <w:t>The</w:t>
      </w:r>
      <w:r w:rsidR="003879E5">
        <w:rPr>
          <w:sz w:val="22"/>
          <w:szCs w:val="22"/>
        </w:rPr>
        <w:t xml:space="preserve"> transition involves multiple stakeholders and diverse incumbents</w:t>
      </w:r>
      <w:r w:rsidR="0000534F">
        <w:rPr>
          <w:sz w:val="22"/>
          <w:szCs w:val="22"/>
        </w:rPr>
        <w:t>;</w:t>
      </w:r>
      <w:r w:rsidR="00E85097">
        <w:rPr>
          <w:sz w:val="22"/>
          <w:szCs w:val="22"/>
        </w:rPr>
        <w:t xml:space="preserve"> therefore, </w:t>
      </w:r>
      <w:r w:rsidR="003879E5">
        <w:rPr>
          <w:sz w:val="22"/>
          <w:szCs w:val="22"/>
        </w:rPr>
        <w:t xml:space="preserve">the information </w:t>
      </w:r>
      <w:r w:rsidR="00AB52E1">
        <w:rPr>
          <w:sz w:val="22"/>
          <w:szCs w:val="22"/>
        </w:rPr>
        <w:t>submitted by the incumbent earth stations and space station operators</w:t>
      </w:r>
      <w:r w:rsidR="003879E5">
        <w:rPr>
          <w:sz w:val="22"/>
          <w:szCs w:val="22"/>
        </w:rPr>
        <w:t xml:space="preserve"> is crucial to </w:t>
      </w:r>
      <w:r w:rsidR="00710338">
        <w:rPr>
          <w:sz w:val="22"/>
          <w:szCs w:val="22"/>
        </w:rPr>
        <w:t>streamlining</w:t>
      </w:r>
      <w:r w:rsidR="00C9305A">
        <w:rPr>
          <w:sz w:val="22"/>
          <w:szCs w:val="22"/>
        </w:rPr>
        <w:t xml:space="preserve"> the transition process</w:t>
      </w:r>
      <w:r w:rsidR="004E5D46">
        <w:rPr>
          <w:sz w:val="22"/>
          <w:szCs w:val="22"/>
        </w:rPr>
        <w:t xml:space="preserve"> and ensuring an </w:t>
      </w:r>
      <w:r w:rsidR="00C9305A">
        <w:rPr>
          <w:sz w:val="22"/>
          <w:szCs w:val="22"/>
        </w:rPr>
        <w:t>efficient administration of the transition by the Relocation Payment Clearingh</w:t>
      </w:r>
      <w:r w:rsidR="00544B8F">
        <w:rPr>
          <w:sz w:val="22"/>
          <w:szCs w:val="22"/>
        </w:rPr>
        <w:t>o</w:t>
      </w:r>
      <w:r w:rsidR="00C9305A">
        <w:rPr>
          <w:sz w:val="22"/>
          <w:szCs w:val="22"/>
        </w:rPr>
        <w:t>use and Relocation Coordinator.</w:t>
      </w:r>
    </w:p>
    <w:p w:rsidR="00E6182D" w:rsidP="00033F93" w:rsidRDefault="00E6182D" w14:paraId="5E0220CA" w14:textId="77777777">
      <w:pPr>
        <w:tabs>
          <w:tab w:val="left" w:pos="360"/>
        </w:tabs>
        <w:rPr>
          <w:sz w:val="22"/>
          <w:szCs w:val="22"/>
        </w:rPr>
      </w:pPr>
    </w:p>
    <w:p w:rsidR="004C766E" w:rsidP="004C766E" w:rsidRDefault="004C766E" w14:paraId="38E14D57" w14:textId="62B02FE4">
      <w:pPr>
        <w:tabs>
          <w:tab w:val="left" w:pos="360"/>
        </w:tabs>
        <w:rPr>
          <w:sz w:val="22"/>
          <w:szCs w:val="22"/>
        </w:rPr>
      </w:pPr>
      <w:r w:rsidRPr="00975A8D">
        <w:rPr>
          <w:sz w:val="22"/>
          <w:szCs w:val="22"/>
        </w:rPr>
        <w:t>3.</w:t>
      </w:r>
      <w:r w:rsidRPr="00975A8D">
        <w:rPr>
          <w:sz w:val="22"/>
          <w:szCs w:val="22"/>
        </w:rPr>
        <w:tab/>
      </w:r>
      <w:r w:rsidRPr="00EA53DE">
        <w:rPr>
          <w:b/>
          <w:bCs/>
          <w:i/>
          <w:sz w:val="22"/>
          <w:szCs w:val="22"/>
        </w:rPr>
        <w:t>Technological collection techniques</w:t>
      </w:r>
      <w:r w:rsidRPr="00975A8D">
        <w:rPr>
          <w:sz w:val="22"/>
          <w:szCs w:val="22"/>
        </w:rPr>
        <w:t>.  Entities required to submit information under this new</w:t>
      </w:r>
      <w:r w:rsidR="00975A8D">
        <w:rPr>
          <w:sz w:val="22"/>
          <w:szCs w:val="22"/>
        </w:rPr>
        <w:t xml:space="preserve"> </w:t>
      </w:r>
      <w:r w:rsidRPr="00975A8D">
        <w:rPr>
          <w:sz w:val="22"/>
          <w:szCs w:val="22"/>
        </w:rPr>
        <w:t>information collection will file the required information electronical</w:t>
      </w:r>
      <w:r w:rsidRPr="00975A8D" w:rsidR="003E6C57">
        <w:rPr>
          <w:sz w:val="22"/>
          <w:szCs w:val="22"/>
        </w:rPr>
        <w:t>ly using the Commission’s existing systems</w:t>
      </w:r>
      <w:r w:rsidRPr="00975A8D">
        <w:rPr>
          <w:sz w:val="22"/>
          <w:szCs w:val="22"/>
        </w:rPr>
        <w:t>.</w:t>
      </w:r>
      <w:r w:rsidRPr="00975A8D" w:rsidR="003E6C57">
        <w:rPr>
          <w:sz w:val="22"/>
          <w:szCs w:val="22"/>
        </w:rPr>
        <w:t xml:space="preserve">  This collection mechanism is being used to reduce the technological burden o</w:t>
      </w:r>
      <w:r w:rsidRPr="00975A8D" w:rsidR="005020FA">
        <w:rPr>
          <w:sz w:val="22"/>
          <w:szCs w:val="22"/>
        </w:rPr>
        <w:t>n the public and the Commission.</w:t>
      </w:r>
      <w:r w:rsidR="00E019A3">
        <w:rPr>
          <w:sz w:val="22"/>
          <w:szCs w:val="22"/>
        </w:rPr>
        <w:t xml:space="preserve">  </w:t>
      </w:r>
      <w:r w:rsidR="000127EB">
        <w:rPr>
          <w:sz w:val="22"/>
          <w:szCs w:val="22"/>
        </w:rPr>
        <w:t>Moreover,</w:t>
      </w:r>
      <w:r w:rsidR="00E019A3">
        <w:rPr>
          <w:sz w:val="22"/>
          <w:szCs w:val="22"/>
        </w:rPr>
        <w:t xml:space="preserve"> the Commission expects </w:t>
      </w:r>
      <w:r w:rsidR="00CA5D55">
        <w:rPr>
          <w:sz w:val="22"/>
          <w:szCs w:val="22"/>
        </w:rPr>
        <w:t>stakeholders involved in the transition to communicate and submit information through electronic mechanisms, as this is the most accurate and efficient means of relaying this information.</w:t>
      </w:r>
    </w:p>
    <w:p w:rsidR="00016F63" w:rsidP="004C766E" w:rsidRDefault="00016F63" w14:paraId="76D6D71B" w14:textId="2B070E23">
      <w:pPr>
        <w:tabs>
          <w:tab w:val="left" w:pos="360"/>
        </w:tabs>
        <w:rPr>
          <w:sz w:val="22"/>
          <w:szCs w:val="22"/>
        </w:rPr>
      </w:pPr>
    </w:p>
    <w:p w:rsidR="00016F63" w:rsidP="00016F63" w:rsidRDefault="00016F63" w14:paraId="48B61AC6" w14:textId="66B4C622">
      <w:pPr>
        <w:tabs>
          <w:tab w:val="left" w:pos="360"/>
        </w:tabs>
        <w:rPr>
          <w:sz w:val="22"/>
          <w:szCs w:val="22"/>
        </w:rPr>
      </w:pPr>
      <w:r>
        <w:rPr>
          <w:sz w:val="22"/>
          <w:szCs w:val="22"/>
        </w:rPr>
        <w:t>4.</w:t>
      </w:r>
      <w:r>
        <w:rPr>
          <w:sz w:val="22"/>
          <w:szCs w:val="22"/>
        </w:rPr>
        <w:tab/>
      </w:r>
      <w:r w:rsidRPr="00EA53DE" w:rsidR="00FC35C7">
        <w:rPr>
          <w:b/>
          <w:bCs/>
          <w:i/>
          <w:sz w:val="22"/>
          <w:szCs w:val="22"/>
        </w:rPr>
        <w:t>Efforts to identify duplication</w:t>
      </w:r>
      <w:r w:rsidR="00FC35C7">
        <w:rPr>
          <w:sz w:val="22"/>
          <w:szCs w:val="22"/>
        </w:rPr>
        <w:t>.  There will be no duplicative information collected.  This information collection is a new information collection to collect specifi</w:t>
      </w:r>
      <w:r w:rsidR="00153DB6">
        <w:rPr>
          <w:sz w:val="22"/>
          <w:szCs w:val="22"/>
        </w:rPr>
        <w:t xml:space="preserve">c information needed to implement the framework for reforming the 3.7-4.2 GHz band recently adopted by the Commission in the </w:t>
      </w:r>
      <w:r w:rsidR="00153DB6">
        <w:rPr>
          <w:i/>
          <w:sz w:val="22"/>
          <w:szCs w:val="22"/>
        </w:rPr>
        <w:t>3.7 GHz Report and Order</w:t>
      </w:r>
      <w:r w:rsidR="00153DB6">
        <w:rPr>
          <w:sz w:val="22"/>
          <w:szCs w:val="22"/>
        </w:rPr>
        <w:t>.  Thus, the information being collected under this collection is not already available.</w:t>
      </w:r>
    </w:p>
    <w:p w:rsidR="00153DB6" w:rsidP="00016F63" w:rsidRDefault="00153DB6" w14:paraId="4021E403" w14:textId="6F3522E0">
      <w:pPr>
        <w:tabs>
          <w:tab w:val="left" w:pos="360"/>
        </w:tabs>
        <w:rPr>
          <w:sz w:val="22"/>
          <w:szCs w:val="22"/>
        </w:rPr>
      </w:pPr>
    </w:p>
    <w:p w:rsidR="00424A16" w:rsidP="00A06118" w:rsidRDefault="00153DB6" w14:paraId="1E289926" w14:textId="77777777">
      <w:pPr>
        <w:tabs>
          <w:tab w:val="left" w:pos="360"/>
        </w:tabs>
        <w:rPr>
          <w:sz w:val="22"/>
          <w:szCs w:val="22"/>
        </w:rPr>
      </w:pPr>
      <w:r>
        <w:rPr>
          <w:sz w:val="22"/>
          <w:szCs w:val="22"/>
        </w:rPr>
        <w:t>5.</w:t>
      </w:r>
      <w:r>
        <w:rPr>
          <w:sz w:val="22"/>
          <w:szCs w:val="22"/>
        </w:rPr>
        <w:tab/>
      </w:r>
      <w:r w:rsidRPr="00EA53DE">
        <w:rPr>
          <w:b/>
          <w:bCs/>
          <w:i/>
          <w:sz w:val="22"/>
          <w:szCs w:val="22"/>
        </w:rPr>
        <w:t>Impact on small entities</w:t>
      </w:r>
      <w:r>
        <w:rPr>
          <w:sz w:val="22"/>
          <w:szCs w:val="22"/>
        </w:rPr>
        <w:t xml:space="preserve">.  In conformance with the Paperwork Reduction Act of 1995, the Commission has made an effort to minimize the burden on all respondents regardless of size by limiting the information collected under this collection to that which is necessary to obtain the information needed to implement the framework for reforming the 3.7-4.2 GHz band recently adopted by the Commission in the </w:t>
      </w:r>
      <w:r>
        <w:rPr>
          <w:i/>
          <w:sz w:val="22"/>
          <w:szCs w:val="22"/>
        </w:rPr>
        <w:t>3.7 GHz Report and Order</w:t>
      </w:r>
      <w:r>
        <w:rPr>
          <w:sz w:val="22"/>
          <w:szCs w:val="22"/>
        </w:rPr>
        <w:t>.</w:t>
      </w:r>
    </w:p>
    <w:p w:rsidR="00424A16" w:rsidP="00A06118" w:rsidRDefault="00424A16" w14:paraId="7C738CFA" w14:textId="77777777">
      <w:pPr>
        <w:tabs>
          <w:tab w:val="left" w:pos="360"/>
        </w:tabs>
        <w:rPr>
          <w:sz w:val="22"/>
          <w:szCs w:val="22"/>
        </w:rPr>
      </w:pPr>
    </w:p>
    <w:p w:rsidRPr="0027594A" w:rsidR="00153DB6" w:rsidP="00A06118" w:rsidRDefault="00424A16" w14:paraId="6487D8C5" w14:textId="1EFD706D">
      <w:pPr>
        <w:tabs>
          <w:tab w:val="left" w:pos="360"/>
        </w:tabs>
        <w:rPr>
          <w:sz w:val="22"/>
          <w:szCs w:val="22"/>
        </w:rPr>
      </w:pPr>
      <w:r>
        <w:rPr>
          <w:sz w:val="22"/>
          <w:szCs w:val="22"/>
        </w:rPr>
        <w:t>The Commission has taken several actions to minimize the burden on small businesses, organizations, or other small entities.  For instance, t</w:t>
      </w:r>
      <w:r w:rsidR="00A06118">
        <w:rPr>
          <w:sz w:val="22"/>
          <w:szCs w:val="22"/>
        </w:rPr>
        <w:t>o</w:t>
      </w:r>
      <w:r w:rsidR="00954411">
        <w:rPr>
          <w:sz w:val="22"/>
          <w:szCs w:val="22"/>
        </w:rPr>
        <w:t xml:space="preserve"> ensure that small entities and all eligible interests are included in the Transition Plans and compensated for the transition to the upper 200 megahertz of the band, the transition obligations the Commission adopt require </w:t>
      </w:r>
      <w:r w:rsidR="00DB3CB5">
        <w:rPr>
          <w:sz w:val="22"/>
          <w:szCs w:val="22"/>
        </w:rPr>
        <w:t>a showing that</w:t>
      </w:r>
      <w:r w:rsidR="00954411">
        <w:rPr>
          <w:sz w:val="22"/>
          <w:szCs w:val="22"/>
        </w:rPr>
        <w:t xml:space="preserve"> the space station transmissions and receiving earth station operations have been sufficiently cleared such that the new flexible-use licensee could begin operating without causing harmful interference to registered incumbent earth stations</w:t>
      </w:r>
      <w:r w:rsidR="000E41F5">
        <w:rPr>
          <w:sz w:val="22"/>
          <w:szCs w:val="22"/>
        </w:rPr>
        <w:t>.</w:t>
      </w:r>
      <w:r>
        <w:rPr>
          <w:sz w:val="22"/>
          <w:szCs w:val="22"/>
        </w:rPr>
        <w:t xml:space="preserve">  </w:t>
      </w:r>
      <w:r w:rsidR="00902476">
        <w:rPr>
          <w:sz w:val="22"/>
          <w:szCs w:val="22"/>
        </w:rPr>
        <w:t>In addition</w:t>
      </w:r>
      <w:r w:rsidR="000E41F5">
        <w:rPr>
          <w:sz w:val="22"/>
          <w:szCs w:val="22"/>
        </w:rPr>
        <w:t xml:space="preserve">, </w:t>
      </w:r>
      <w:r w:rsidR="00783D58">
        <w:rPr>
          <w:sz w:val="22"/>
          <w:szCs w:val="22"/>
        </w:rPr>
        <w:t xml:space="preserve">if a Small Satellite Operator satisfies the definition of eligible space station operators such that it has incumbent earth station customers that will need to be transitioned to the upper portion of the band, then it would be entitled to reimbursement of reasonable relocation costs and potential accelerated relocation payments.  This </w:t>
      </w:r>
      <w:r w:rsidR="009E3FBB">
        <w:rPr>
          <w:sz w:val="22"/>
          <w:szCs w:val="22"/>
        </w:rPr>
        <w:t>ensures</w:t>
      </w:r>
      <w:r w:rsidR="00783D58">
        <w:rPr>
          <w:sz w:val="22"/>
          <w:szCs w:val="22"/>
        </w:rPr>
        <w:t xml:space="preserve"> that any small space station operator incumbent affected by the transition will have an opportunity to participat</w:t>
      </w:r>
      <w:r w:rsidR="000E41F5">
        <w:rPr>
          <w:sz w:val="22"/>
          <w:szCs w:val="22"/>
        </w:rPr>
        <w:t xml:space="preserve">e.  </w:t>
      </w:r>
      <w:r w:rsidR="00906403">
        <w:rPr>
          <w:sz w:val="22"/>
          <w:szCs w:val="22"/>
        </w:rPr>
        <w:t xml:space="preserve">Moreover, </w:t>
      </w:r>
      <w:r w:rsidR="00DB378E">
        <w:rPr>
          <w:sz w:val="22"/>
          <w:szCs w:val="22"/>
        </w:rPr>
        <w:t>several</w:t>
      </w:r>
      <w:r w:rsidR="00906403">
        <w:rPr>
          <w:sz w:val="22"/>
          <w:szCs w:val="22"/>
        </w:rPr>
        <w:t xml:space="preserve"> rule changes adopted in the </w:t>
      </w:r>
      <w:r w:rsidR="00906403">
        <w:rPr>
          <w:i/>
          <w:sz w:val="22"/>
          <w:szCs w:val="22"/>
        </w:rPr>
        <w:t>Report and Order</w:t>
      </w:r>
      <w:r w:rsidR="00906403">
        <w:rPr>
          <w:sz w:val="22"/>
          <w:szCs w:val="22"/>
        </w:rPr>
        <w:t xml:space="preserve"> are consistent with and mirror existing requirements for other bands, which should minimize the economic impact for small entities </w:t>
      </w:r>
      <w:r w:rsidR="0027594A">
        <w:rPr>
          <w:sz w:val="22"/>
          <w:szCs w:val="22"/>
        </w:rPr>
        <w:t xml:space="preserve">who may already be familiar with such requirements and have the processes and procedures in place to facilitate compliance resulting in minimal incremental costs to comply with the </w:t>
      </w:r>
      <w:r w:rsidR="0027594A">
        <w:rPr>
          <w:i/>
          <w:sz w:val="22"/>
          <w:szCs w:val="22"/>
        </w:rPr>
        <w:t>Report and Order</w:t>
      </w:r>
      <w:r w:rsidR="0027594A">
        <w:rPr>
          <w:sz w:val="22"/>
          <w:szCs w:val="22"/>
        </w:rPr>
        <w:t>.</w:t>
      </w:r>
    </w:p>
    <w:p w:rsidR="009B688E" w:rsidP="00153DB6" w:rsidRDefault="009B688E" w14:paraId="73C53741" w14:textId="6FE5A854">
      <w:pPr>
        <w:tabs>
          <w:tab w:val="left" w:pos="360"/>
        </w:tabs>
        <w:rPr>
          <w:sz w:val="22"/>
          <w:szCs w:val="22"/>
        </w:rPr>
      </w:pPr>
    </w:p>
    <w:p w:rsidRPr="00900E52" w:rsidR="0032717C" w:rsidP="009B688E" w:rsidRDefault="009B688E" w14:paraId="1D0ADDFB" w14:textId="16C33F84">
      <w:pPr>
        <w:tabs>
          <w:tab w:val="left" w:pos="360"/>
        </w:tabs>
        <w:rPr>
          <w:sz w:val="22"/>
          <w:szCs w:val="22"/>
        </w:rPr>
      </w:pPr>
      <w:r>
        <w:rPr>
          <w:sz w:val="22"/>
          <w:szCs w:val="22"/>
        </w:rPr>
        <w:t>6.</w:t>
      </w:r>
      <w:r>
        <w:rPr>
          <w:sz w:val="22"/>
          <w:szCs w:val="22"/>
        </w:rPr>
        <w:tab/>
      </w:r>
      <w:r w:rsidRPr="00EA53DE">
        <w:rPr>
          <w:b/>
          <w:bCs/>
          <w:i/>
          <w:sz w:val="22"/>
          <w:szCs w:val="22"/>
        </w:rPr>
        <w:t>Consequences if information is not collected</w:t>
      </w:r>
      <w:r>
        <w:rPr>
          <w:sz w:val="22"/>
          <w:szCs w:val="22"/>
        </w:rPr>
        <w:t xml:space="preserve">.  This new information collection is critical </w:t>
      </w:r>
      <w:r w:rsidR="007D52FB">
        <w:rPr>
          <w:sz w:val="22"/>
          <w:szCs w:val="22"/>
        </w:rPr>
        <w:t xml:space="preserve">for </w:t>
      </w:r>
      <w:r w:rsidR="00C76006">
        <w:rPr>
          <w:sz w:val="22"/>
          <w:szCs w:val="22"/>
        </w:rPr>
        <w:t xml:space="preserve">the Commission to be able to clear a substantial amount of C-band spectrum in a </w:t>
      </w:r>
      <w:r w:rsidR="00EF123F">
        <w:rPr>
          <w:sz w:val="22"/>
          <w:szCs w:val="22"/>
        </w:rPr>
        <w:t>short</w:t>
      </w:r>
      <w:r w:rsidR="00C76006">
        <w:rPr>
          <w:sz w:val="22"/>
          <w:szCs w:val="22"/>
        </w:rPr>
        <w:t xml:space="preserve"> timeframe.  </w:t>
      </w:r>
      <w:r w:rsidR="00046D74">
        <w:rPr>
          <w:sz w:val="22"/>
          <w:szCs w:val="22"/>
        </w:rPr>
        <w:t xml:space="preserve">The information collected by </w:t>
      </w:r>
      <w:r w:rsidR="001E5C74">
        <w:rPr>
          <w:sz w:val="22"/>
          <w:szCs w:val="22"/>
        </w:rPr>
        <w:t xml:space="preserve">and from </w:t>
      </w:r>
      <w:r w:rsidR="00046D74">
        <w:rPr>
          <w:sz w:val="22"/>
          <w:szCs w:val="22"/>
        </w:rPr>
        <w:t xml:space="preserve">the Relocation </w:t>
      </w:r>
      <w:r w:rsidR="00D343D9">
        <w:rPr>
          <w:sz w:val="22"/>
          <w:szCs w:val="22"/>
        </w:rPr>
        <w:t xml:space="preserve">Payment Clearinghouse </w:t>
      </w:r>
      <w:r w:rsidR="00046D74">
        <w:rPr>
          <w:sz w:val="22"/>
          <w:szCs w:val="22"/>
        </w:rPr>
        <w:t>will be used to audit incoming and outgoing invoices to ensure a transparent transition process; to collect and distribute payments in a timely manner to promote an efficient clearing of the band; and to mitigate financial disputes among stakeholders to minimize the risks of delay.  The Commission will use the information collected</w:t>
      </w:r>
      <w:r w:rsidR="001E5C74">
        <w:rPr>
          <w:sz w:val="22"/>
          <w:szCs w:val="22"/>
        </w:rPr>
        <w:t xml:space="preserve"> by and</w:t>
      </w:r>
      <w:r w:rsidR="00046D74">
        <w:rPr>
          <w:sz w:val="22"/>
          <w:szCs w:val="22"/>
        </w:rPr>
        <w:t xml:space="preserve"> from the Relocation Coordinator to ensure that all incumbent space station operators are relocating in a timely manner.  Without this information, transition of this spectrum would be delayed longer than necessary and would have significant negative effects for the American consumer and American leadership in 5G.  Moreover, without this information, the Commission would be constrained in its ability to provide the oversight needed to facilitate a speedy, fair, and efficient transition process.  The information collected reduces the risk of delays </w:t>
      </w:r>
      <w:r w:rsidR="00780AD6">
        <w:rPr>
          <w:sz w:val="22"/>
          <w:szCs w:val="22"/>
        </w:rPr>
        <w:t>and</w:t>
      </w:r>
      <w:r w:rsidR="00046D74">
        <w:rPr>
          <w:sz w:val="22"/>
          <w:szCs w:val="22"/>
        </w:rPr>
        <w:t xml:space="preserve"> protracted cost disputes </w:t>
      </w:r>
      <w:r w:rsidR="005F35EF">
        <w:rPr>
          <w:sz w:val="22"/>
          <w:szCs w:val="22"/>
        </w:rPr>
        <w:t xml:space="preserve">by providing </w:t>
      </w:r>
      <w:r w:rsidR="008332D2">
        <w:rPr>
          <w:sz w:val="22"/>
          <w:szCs w:val="22"/>
        </w:rPr>
        <w:t>critical</w:t>
      </w:r>
      <w:r w:rsidR="005F35EF">
        <w:rPr>
          <w:sz w:val="22"/>
          <w:szCs w:val="22"/>
        </w:rPr>
        <w:t xml:space="preserve"> safeguard</w:t>
      </w:r>
      <w:r w:rsidR="00283A40">
        <w:rPr>
          <w:sz w:val="22"/>
          <w:szCs w:val="22"/>
        </w:rPr>
        <w:t>s and oversight.</w:t>
      </w:r>
      <w:r w:rsidR="00046D74">
        <w:rPr>
          <w:sz w:val="22"/>
          <w:szCs w:val="22"/>
        </w:rPr>
        <w:t xml:space="preserve"> </w:t>
      </w:r>
      <w:r w:rsidR="006308A9">
        <w:rPr>
          <w:sz w:val="22"/>
          <w:szCs w:val="22"/>
        </w:rPr>
        <w:t xml:space="preserve">  In addition, the Commission will use the information collected from space station operators to ensure that incumbents are prepared to </w:t>
      </w:r>
      <w:r w:rsidR="005121FF">
        <w:rPr>
          <w:sz w:val="22"/>
          <w:szCs w:val="22"/>
        </w:rPr>
        <w:t>transition</w:t>
      </w:r>
      <w:r w:rsidR="006308A9">
        <w:rPr>
          <w:sz w:val="22"/>
          <w:szCs w:val="22"/>
        </w:rPr>
        <w:t xml:space="preserve"> efficiently and expeditiously to th</w:t>
      </w:r>
      <w:r w:rsidR="00FA6B90">
        <w:rPr>
          <w:sz w:val="22"/>
          <w:szCs w:val="22"/>
        </w:rPr>
        <w:t>e</w:t>
      </w:r>
      <w:r w:rsidR="006308A9">
        <w:rPr>
          <w:sz w:val="22"/>
          <w:szCs w:val="22"/>
        </w:rPr>
        <w:t xml:space="preserve"> upper p</w:t>
      </w:r>
      <w:r w:rsidR="00FA6B90">
        <w:rPr>
          <w:sz w:val="22"/>
          <w:szCs w:val="22"/>
        </w:rPr>
        <w:t>o</w:t>
      </w:r>
      <w:r w:rsidR="006308A9">
        <w:rPr>
          <w:sz w:val="22"/>
          <w:szCs w:val="22"/>
        </w:rPr>
        <w:t xml:space="preserve">rtion of the 3.7-4.2 GHz band, and </w:t>
      </w:r>
      <w:r w:rsidR="00426DCC">
        <w:rPr>
          <w:sz w:val="22"/>
          <w:szCs w:val="22"/>
        </w:rPr>
        <w:t>that those</w:t>
      </w:r>
      <w:r w:rsidR="006308A9">
        <w:rPr>
          <w:sz w:val="22"/>
          <w:szCs w:val="22"/>
        </w:rPr>
        <w:t xml:space="preserve"> plans are implemented </w:t>
      </w:r>
      <w:r w:rsidR="00986B84">
        <w:rPr>
          <w:sz w:val="22"/>
          <w:szCs w:val="22"/>
        </w:rPr>
        <w:t>accordingly</w:t>
      </w:r>
      <w:r w:rsidR="00A750C7">
        <w:rPr>
          <w:sz w:val="22"/>
          <w:szCs w:val="22"/>
        </w:rPr>
        <w:t>.</w:t>
      </w:r>
      <w:r w:rsidR="0008713B">
        <w:rPr>
          <w:sz w:val="22"/>
          <w:szCs w:val="22"/>
        </w:rPr>
        <w:t xml:space="preserve">  Without this information, the</w:t>
      </w:r>
      <w:r w:rsidR="00900E52">
        <w:rPr>
          <w:sz w:val="22"/>
          <w:szCs w:val="22"/>
        </w:rPr>
        <w:t xml:space="preserve"> transition would be challenging to accomplish and take significantly longer than necessary, which would delay auction winning bidders from gaining access to their new overlay licenses and deploying services—resulting in a corresponding delay </w:t>
      </w:r>
      <w:r w:rsidR="00133AD7">
        <w:rPr>
          <w:sz w:val="22"/>
          <w:szCs w:val="22"/>
        </w:rPr>
        <w:t>in providing important next-generation communication services to</w:t>
      </w:r>
      <w:r w:rsidR="00900E52">
        <w:rPr>
          <w:sz w:val="22"/>
          <w:szCs w:val="22"/>
        </w:rPr>
        <w:t xml:space="preserve"> consumers and businesse</w:t>
      </w:r>
      <w:r w:rsidR="00133AD7">
        <w:rPr>
          <w:sz w:val="22"/>
          <w:szCs w:val="22"/>
        </w:rPr>
        <w:t>s.</w:t>
      </w:r>
    </w:p>
    <w:p w:rsidR="00DB4DA9" w:rsidP="009B688E" w:rsidRDefault="00DB4DA9" w14:paraId="128F9A97" w14:textId="2A2A491B">
      <w:pPr>
        <w:tabs>
          <w:tab w:val="left" w:pos="360"/>
        </w:tabs>
        <w:rPr>
          <w:sz w:val="22"/>
          <w:szCs w:val="22"/>
        </w:rPr>
      </w:pPr>
    </w:p>
    <w:p w:rsidR="00DB4DA9" w:rsidP="00DB4DA9" w:rsidRDefault="00DB4DA9" w14:paraId="334357C4" w14:textId="198A031E">
      <w:pPr>
        <w:tabs>
          <w:tab w:val="left" w:pos="360"/>
        </w:tabs>
        <w:rPr>
          <w:sz w:val="22"/>
          <w:szCs w:val="22"/>
        </w:rPr>
      </w:pPr>
      <w:r>
        <w:rPr>
          <w:sz w:val="22"/>
          <w:szCs w:val="22"/>
        </w:rPr>
        <w:t>7.</w:t>
      </w:r>
      <w:r>
        <w:rPr>
          <w:sz w:val="22"/>
          <w:szCs w:val="22"/>
        </w:rPr>
        <w:tab/>
      </w:r>
      <w:r w:rsidRPr="00EA53DE">
        <w:rPr>
          <w:b/>
          <w:bCs/>
          <w:i/>
          <w:sz w:val="22"/>
          <w:szCs w:val="22"/>
        </w:rPr>
        <w:t>Special circumstances</w:t>
      </w:r>
      <w:r>
        <w:rPr>
          <w:sz w:val="22"/>
          <w:szCs w:val="22"/>
        </w:rPr>
        <w:t>.  The new information collection does not have any of the characteristics that would require separate justification under 5 C.F.R § 1320.5(d)(2).</w:t>
      </w:r>
    </w:p>
    <w:p w:rsidR="00DB4DA9" w:rsidP="00DB4DA9" w:rsidRDefault="00DB4DA9" w14:paraId="5EA64507" w14:textId="2BB3010D">
      <w:pPr>
        <w:tabs>
          <w:tab w:val="left" w:pos="360"/>
        </w:tabs>
        <w:rPr>
          <w:sz w:val="22"/>
          <w:szCs w:val="22"/>
        </w:rPr>
      </w:pPr>
    </w:p>
    <w:p w:rsidR="00DB4DA9" w:rsidP="00DB4DA9" w:rsidRDefault="00DB4DA9" w14:paraId="0D3C0B98" w14:textId="64CAB1FC">
      <w:pPr>
        <w:tabs>
          <w:tab w:val="left" w:pos="360"/>
        </w:tabs>
        <w:rPr>
          <w:sz w:val="22"/>
          <w:szCs w:val="22"/>
        </w:rPr>
      </w:pPr>
      <w:r>
        <w:rPr>
          <w:sz w:val="22"/>
          <w:szCs w:val="22"/>
        </w:rPr>
        <w:t>8.</w:t>
      </w:r>
      <w:r>
        <w:rPr>
          <w:sz w:val="22"/>
          <w:szCs w:val="22"/>
        </w:rPr>
        <w:tab/>
      </w:r>
      <w:r w:rsidRPr="00EA53DE">
        <w:rPr>
          <w:b/>
          <w:bCs/>
          <w:i/>
          <w:sz w:val="22"/>
          <w:szCs w:val="22"/>
        </w:rPr>
        <w:t>Federal Register notice; efforts to consult persons outside the Commission</w:t>
      </w:r>
      <w:r w:rsidRPr="00EA53DE">
        <w:rPr>
          <w:b/>
          <w:bCs/>
          <w:sz w:val="22"/>
          <w:szCs w:val="22"/>
        </w:rPr>
        <w:t>.</w:t>
      </w:r>
      <w:r>
        <w:rPr>
          <w:sz w:val="22"/>
          <w:szCs w:val="22"/>
        </w:rPr>
        <w:t xml:space="preserve">  The Commission has me</w:t>
      </w:r>
      <w:r w:rsidR="009A48E2">
        <w:rPr>
          <w:sz w:val="22"/>
          <w:szCs w:val="22"/>
        </w:rPr>
        <w:t xml:space="preserve">t the notice requirements of 5 C.F.R. § 1320.8.  The public has been given the opportunity to comment via publication of the Notice in the Federal Register </w:t>
      </w:r>
      <w:r w:rsidRPr="005939F0" w:rsidR="009A48E2">
        <w:rPr>
          <w:sz w:val="22"/>
          <w:szCs w:val="22"/>
        </w:rPr>
        <w:t>on (</w:t>
      </w:r>
      <w:r w:rsidRPr="005939F0" w:rsidR="009A48E2">
        <w:rPr>
          <w:i/>
          <w:sz w:val="22"/>
          <w:szCs w:val="22"/>
        </w:rPr>
        <w:t>see</w:t>
      </w:r>
      <w:r w:rsidRPr="005939F0" w:rsidR="006809D6">
        <w:rPr>
          <w:sz w:val="22"/>
          <w:szCs w:val="22"/>
        </w:rPr>
        <w:t xml:space="preserve"> 85</w:t>
      </w:r>
      <w:r w:rsidRPr="005939F0" w:rsidR="009A48E2">
        <w:rPr>
          <w:sz w:val="22"/>
          <w:szCs w:val="22"/>
        </w:rPr>
        <w:t xml:space="preserve"> FR</w:t>
      </w:r>
      <w:r w:rsidR="00690D24">
        <w:rPr>
          <w:sz w:val="22"/>
          <w:szCs w:val="22"/>
        </w:rPr>
        <w:t xml:space="preserve"> 29717</w:t>
      </w:r>
      <w:r w:rsidRPr="005939F0" w:rsidR="009A48E2">
        <w:rPr>
          <w:sz w:val="22"/>
          <w:szCs w:val="22"/>
        </w:rPr>
        <w:t>) (</w:t>
      </w:r>
      <w:r w:rsidRPr="005939F0" w:rsidR="00C05F0C">
        <w:rPr>
          <w:sz w:val="22"/>
          <w:szCs w:val="22"/>
        </w:rPr>
        <w:t>May</w:t>
      </w:r>
      <w:r w:rsidR="00690D24">
        <w:rPr>
          <w:sz w:val="22"/>
          <w:szCs w:val="22"/>
        </w:rPr>
        <w:t xml:space="preserve"> 18</w:t>
      </w:r>
      <w:bookmarkStart w:name="_GoBack" w:id="2"/>
      <w:bookmarkEnd w:id="2"/>
      <w:r w:rsidRPr="005939F0" w:rsidR="009A48E2">
        <w:rPr>
          <w:sz w:val="22"/>
          <w:szCs w:val="22"/>
        </w:rPr>
        <w:t>, 2020).</w:t>
      </w:r>
      <w:r w:rsidR="00C05F0C">
        <w:rPr>
          <w:sz w:val="22"/>
          <w:szCs w:val="22"/>
        </w:rPr>
        <w:t xml:space="preserve"> </w:t>
      </w:r>
    </w:p>
    <w:p w:rsidR="007C3EB1" w:rsidP="00DB4DA9" w:rsidRDefault="007C3EB1" w14:paraId="3B99BD56" w14:textId="140150CE">
      <w:pPr>
        <w:tabs>
          <w:tab w:val="left" w:pos="360"/>
        </w:tabs>
        <w:rPr>
          <w:sz w:val="22"/>
          <w:szCs w:val="22"/>
        </w:rPr>
      </w:pPr>
    </w:p>
    <w:p w:rsidR="00697742" w:rsidP="00697742" w:rsidRDefault="00697742" w14:paraId="252C6666" w14:textId="73E445A6">
      <w:pPr>
        <w:tabs>
          <w:tab w:val="left" w:pos="360"/>
        </w:tabs>
        <w:rPr>
          <w:sz w:val="22"/>
          <w:szCs w:val="22"/>
        </w:rPr>
      </w:pPr>
      <w:r>
        <w:rPr>
          <w:sz w:val="22"/>
          <w:szCs w:val="22"/>
        </w:rPr>
        <w:t>9.</w:t>
      </w:r>
      <w:r>
        <w:rPr>
          <w:sz w:val="22"/>
          <w:szCs w:val="22"/>
        </w:rPr>
        <w:tab/>
      </w:r>
      <w:r w:rsidRPr="00EA53DE">
        <w:rPr>
          <w:b/>
          <w:bCs/>
          <w:i/>
          <w:sz w:val="22"/>
          <w:szCs w:val="22"/>
        </w:rPr>
        <w:t>Payments or gifts to respondents</w:t>
      </w:r>
      <w:r>
        <w:rPr>
          <w:sz w:val="22"/>
          <w:szCs w:val="22"/>
        </w:rPr>
        <w:t xml:space="preserve">.  </w:t>
      </w:r>
      <w:r w:rsidR="00E621A4">
        <w:rPr>
          <w:sz w:val="22"/>
          <w:szCs w:val="22"/>
        </w:rPr>
        <w:t>No payment or gift will be given to respondents.</w:t>
      </w:r>
    </w:p>
    <w:p w:rsidR="00697742" w:rsidP="00697742" w:rsidRDefault="00697742" w14:paraId="2DF1C8AA" w14:textId="77777777">
      <w:pPr>
        <w:tabs>
          <w:tab w:val="left" w:pos="360"/>
        </w:tabs>
        <w:rPr>
          <w:sz w:val="22"/>
          <w:szCs w:val="22"/>
        </w:rPr>
      </w:pPr>
    </w:p>
    <w:p w:rsidR="000D2C5E" w:rsidP="00697742" w:rsidRDefault="00697742" w14:paraId="0AA23EFB" w14:textId="1FC013B9">
      <w:pPr>
        <w:tabs>
          <w:tab w:val="left" w:pos="360"/>
        </w:tabs>
        <w:rPr>
          <w:sz w:val="22"/>
          <w:szCs w:val="22"/>
        </w:rPr>
      </w:pPr>
      <w:r>
        <w:rPr>
          <w:sz w:val="22"/>
          <w:szCs w:val="22"/>
        </w:rPr>
        <w:t>10.</w:t>
      </w:r>
      <w:r>
        <w:rPr>
          <w:sz w:val="22"/>
          <w:szCs w:val="22"/>
        </w:rPr>
        <w:tab/>
      </w:r>
      <w:r w:rsidRPr="00EA53DE">
        <w:rPr>
          <w:b/>
          <w:bCs/>
          <w:i/>
          <w:sz w:val="22"/>
          <w:szCs w:val="22"/>
        </w:rPr>
        <w:t>Assurance of confidentiality</w:t>
      </w:r>
      <w:r>
        <w:rPr>
          <w:sz w:val="22"/>
          <w:szCs w:val="22"/>
        </w:rPr>
        <w:t xml:space="preserve">.  The information collected under this collection will be made publicly available.  However, to the extent information submitted pursuant to this information collection is determined to be confidential, it will be protected by the Commission.  If a respondent seeks to have information collected pursuant to this information </w:t>
      </w:r>
      <w:r w:rsidR="000D2C5E">
        <w:rPr>
          <w:sz w:val="22"/>
          <w:szCs w:val="22"/>
        </w:rPr>
        <w:t xml:space="preserve">collection withheld from public inspection, the respondent may request confidential treatment pursuant to section 0.459 of the Commission’s rules for such information.  </w:t>
      </w:r>
      <w:r w:rsidR="000D2C5E">
        <w:rPr>
          <w:i/>
          <w:sz w:val="22"/>
          <w:szCs w:val="22"/>
        </w:rPr>
        <w:t xml:space="preserve">See </w:t>
      </w:r>
      <w:r w:rsidR="000D2C5E">
        <w:rPr>
          <w:sz w:val="22"/>
          <w:szCs w:val="22"/>
        </w:rPr>
        <w:t>47 C.F.R. § 0.459.</w:t>
      </w:r>
    </w:p>
    <w:p w:rsidR="00D87E04" w:rsidP="00697742" w:rsidRDefault="00D87E04" w14:paraId="26C15C9A" w14:textId="630A42DB">
      <w:pPr>
        <w:tabs>
          <w:tab w:val="left" w:pos="360"/>
        </w:tabs>
        <w:rPr>
          <w:sz w:val="22"/>
          <w:szCs w:val="22"/>
        </w:rPr>
      </w:pPr>
    </w:p>
    <w:p w:rsidR="00D87E04" w:rsidP="00D87E04" w:rsidRDefault="00D87E04" w14:paraId="1BB3AD45" w14:textId="42AFAB5A">
      <w:pPr>
        <w:tabs>
          <w:tab w:val="left" w:pos="360"/>
        </w:tabs>
        <w:rPr>
          <w:sz w:val="22"/>
          <w:szCs w:val="22"/>
        </w:rPr>
      </w:pPr>
      <w:r>
        <w:rPr>
          <w:sz w:val="22"/>
          <w:szCs w:val="22"/>
        </w:rPr>
        <w:t>11.</w:t>
      </w:r>
      <w:r>
        <w:rPr>
          <w:sz w:val="22"/>
          <w:szCs w:val="22"/>
        </w:rPr>
        <w:tab/>
      </w:r>
      <w:r w:rsidRPr="00EA53DE">
        <w:rPr>
          <w:b/>
          <w:bCs/>
          <w:i/>
          <w:sz w:val="22"/>
          <w:szCs w:val="22"/>
        </w:rPr>
        <w:t>Questions of a sensitive nature</w:t>
      </w:r>
      <w:r>
        <w:rPr>
          <w:sz w:val="22"/>
          <w:szCs w:val="22"/>
        </w:rPr>
        <w:t>.  The information collection requirements do not ask questions of a sensitive nature.</w:t>
      </w:r>
    </w:p>
    <w:p w:rsidR="00D87E04" w:rsidP="00D87E04" w:rsidRDefault="00D87E04" w14:paraId="684D778E" w14:textId="0113D97F">
      <w:pPr>
        <w:tabs>
          <w:tab w:val="left" w:pos="360"/>
        </w:tabs>
        <w:rPr>
          <w:sz w:val="22"/>
          <w:szCs w:val="22"/>
        </w:rPr>
      </w:pPr>
    </w:p>
    <w:p w:rsidR="00C05F0C" w:rsidP="00D87E04" w:rsidRDefault="00C05F0C" w14:paraId="718B9328" w14:textId="12996450">
      <w:pPr>
        <w:tabs>
          <w:tab w:val="left" w:pos="360"/>
        </w:tabs>
        <w:rPr>
          <w:sz w:val="22"/>
          <w:szCs w:val="22"/>
        </w:rPr>
      </w:pPr>
    </w:p>
    <w:p w:rsidR="00C05F0C" w:rsidP="00D87E04" w:rsidRDefault="00C05F0C" w14:paraId="21AA1CF8" w14:textId="77777777">
      <w:pPr>
        <w:tabs>
          <w:tab w:val="left" w:pos="360"/>
        </w:tabs>
        <w:rPr>
          <w:sz w:val="22"/>
          <w:szCs w:val="22"/>
        </w:rPr>
      </w:pPr>
    </w:p>
    <w:p w:rsidR="00EA5B80" w:rsidP="00D87E04" w:rsidRDefault="00D87E04" w14:paraId="1B5705D9" w14:textId="24BBFC97">
      <w:pPr>
        <w:tabs>
          <w:tab w:val="left" w:pos="360"/>
        </w:tabs>
        <w:rPr>
          <w:sz w:val="22"/>
          <w:szCs w:val="22"/>
        </w:rPr>
      </w:pPr>
      <w:r>
        <w:rPr>
          <w:sz w:val="22"/>
          <w:szCs w:val="22"/>
        </w:rPr>
        <w:t>12.</w:t>
      </w:r>
      <w:r>
        <w:rPr>
          <w:sz w:val="22"/>
          <w:szCs w:val="22"/>
        </w:rPr>
        <w:tab/>
      </w:r>
      <w:r w:rsidRPr="00EA53DE">
        <w:rPr>
          <w:b/>
          <w:bCs/>
          <w:i/>
          <w:sz w:val="22"/>
          <w:szCs w:val="22"/>
        </w:rPr>
        <w:t>Estimates of the hour burden of the collection to respondents</w:t>
      </w:r>
      <w:r>
        <w:rPr>
          <w:sz w:val="22"/>
          <w:szCs w:val="22"/>
        </w:rPr>
        <w:t>.</w:t>
      </w:r>
    </w:p>
    <w:p w:rsidR="00AB4EC6" w:rsidP="00AB4EC6" w:rsidRDefault="00AB4EC6" w14:paraId="73873894" w14:textId="25927C74">
      <w:pPr>
        <w:pStyle w:val="ListParagraph"/>
        <w:tabs>
          <w:tab w:val="left" w:pos="360"/>
        </w:tabs>
        <w:ind w:left="360"/>
        <w:rPr>
          <w:sz w:val="22"/>
          <w:szCs w:val="22"/>
        </w:rPr>
      </w:pPr>
    </w:p>
    <w:p w:rsidRPr="00C8761C" w:rsidR="00B608EF" w:rsidP="00B608EF" w:rsidRDefault="00B608EF" w14:paraId="15E956B0" w14:textId="06E1BDD5">
      <w:pPr>
        <w:pStyle w:val="ListParagraph"/>
        <w:numPr>
          <w:ilvl w:val="0"/>
          <w:numId w:val="13"/>
        </w:numPr>
        <w:tabs>
          <w:tab w:val="left" w:pos="360"/>
        </w:tabs>
        <w:rPr>
          <w:sz w:val="22"/>
          <w:szCs w:val="22"/>
          <w:u w:val="single"/>
        </w:rPr>
      </w:pPr>
      <w:r w:rsidRPr="008A02D5">
        <w:rPr>
          <w:b/>
          <w:bCs/>
          <w:sz w:val="22"/>
          <w:szCs w:val="22"/>
          <w:u w:val="single"/>
        </w:rPr>
        <w:t>Number of estimated annual respondents</w:t>
      </w:r>
      <w:r>
        <w:rPr>
          <w:sz w:val="22"/>
          <w:szCs w:val="22"/>
        </w:rPr>
        <w:t xml:space="preserve">: Approximately </w:t>
      </w:r>
      <w:r w:rsidRPr="008A02D5" w:rsidR="00AD4C67">
        <w:rPr>
          <w:b/>
          <w:bCs/>
          <w:sz w:val="22"/>
          <w:szCs w:val="22"/>
        </w:rPr>
        <w:t>3,0</w:t>
      </w:r>
      <w:r w:rsidRPr="008A02D5" w:rsidR="00031F00">
        <w:rPr>
          <w:b/>
          <w:bCs/>
          <w:sz w:val="22"/>
          <w:szCs w:val="22"/>
        </w:rPr>
        <w:t>07</w:t>
      </w:r>
      <w:r w:rsidRPr="008A02D5" w:rsidR="00EE4458">
        <w:rPr>
          <w:b/>
          <w:bCs/>
          <w:sz w:val="22"/>
          <w:szCs w:val="22"/>
        </w:rPr>
        <w:t xml:space="preserve"> </w:t>
      </w:r>
      <w:r w:rsidRPr="008A02D5">
        <w:rPr>
          <w:b/>
          <w:bCs/>
          <w:sz w:val="22"/>
          <w:szCs w:val="22"/>
        </w:rPr>
        <w:t>respondents</w:t>
      </w:r>
      <w:r>
        <w:rPr>
          <w:sz w:val="22"/>
          <w:szCs w:val="22"/>
        </w:rPr>
        <w:t>.</w:t>
      </w:r>
    </w:p>
    <w:p w:rsidRPr="00C8761C" w:rsidR="00C8761C" w:rsidP="00C8761C" w:rsidRDefault="00C8761C" w14:paraId="0A57B0D0" w14:textId="77777777">
      <w:pPr>
        <w:pStyle w:val="ListParagraph"/>
        <w:tabs>
          <w:tab w:val="left" w:pos="360"/>
        </w:tabs>
        <w:ind w:left="360"/>
        <w:rPr>
          <w:sz w:val="22"/>
          <w:szCs w:val="22"/>
          <w:u w:val="single"/>
        </w:rPr>
      </w:pPr>
    </w:p>
    <w:p w:rsidRPr="003A5A22" w:rsidR="00C8761C" w:rsidP="00B608EF" w:rsidRDefault="00C8761C" w14:paraId="0E5EE578" w14:textId="4BFE237B">
      <w:pPr>
        <w:pStyle w:val="ListParagraph"/>
        <w:numPr>
          <w:ilvl w:val="0"/>
          <w:numId w:val="13"/>
        </w:numPr>
        <w:tabs>
          <w:tab w:val="left" w:pos="360"/>
        </w:tabs>
        <w:rPr>
          <w:sz w:val="22"/>
          <w:szCs w:val="22"/>
          <w:u w:val="single"/>
        </w:rPr>
      </w:pPr>
      <w:r w:rsidRPr="008A02D5">
        <w:rPr>
          <w:b/>
          <w:bCs/>
          <w:sz w:val="22"/>
          <w:szCs w:val="22"/>
          <w:u w:val="single"/>
        </w:rPr>
        <w:t>Total number of annual responses</w:t>
      </w:r>
      <w:r>
        <w:rPr>
          <w:sz w:val="22"/>
          <w:szCs w:val="22"/>
        </w:rPr>
        <w:t xml:space="preserve">: </w:t>
      </w:r>
      <w:r w:rsidR="00C20204">
        <w:rPr>
          <w:b/>
          <w:bCs/>
          <w:sz w:val="22"/>
          <w:szCs w:val="22"/>
        </w:rPr>
        <w:t>9,362</w:t>
      </w:r>
      <w:r w:rsidRPr="008A02D5">
        <w:rPr>
          <w:b/>
          <w:bCs/>
          <w:sz w:val="22"/>
          <w:szCs w:val="22"/>
        </w:rPr>
        <w:t xml:space="preserve"> responses</w:t>
      </w:r>
      <w:r>
        <w:rPr>
          <w:sz w:val="22"/>
          <w:szCs w:val="22"/>
        </w:rPr>
        <w:t>.</w:t>
      </w:r>
    </w:p>
    <w:p w:rsidRPr="003A5A22" w:rsidR="003A5A22" w:rsidP="003A5A22" w:rsidRDefault="003A5A22" w14:paraId="5012AEFC" w14:textId="77777777">
      <w:pPr>
        <w:pStyle w:val="ListParagraph"/>
        <w:rPr>
          <w:sz w:val="22"/>
          <w:szCs w:val="22"/>
          <w:u w:val="single"/>
        </w:rPr>
      </w:pPr>
    </w:p>
    <w:p w:rsidRPr="004241EF" w:rsidR="003A5A22" w:rsidP="00FC3F10" w:rsidRDefault="003A5A22" w14:paraId="5CA564A3" w14:textId="786B633F">
      <w:pPr>
        <w:pStyle w:val="ListParagraph"/>
        <w:numPr>
          <w:ilvl w:val="0"/>
          <w:numId w:val="13"/>
        </w:numPr>
        <w:tabs>
          <w:tab w:val="left" w:pos="360"/>
        </w:tabs>
        <w:rPr>
          <w:sz w:val="22"/>
          <w:szCs w:val="22"/>
          <w:u w:val="single"/>
        </w:rPr>
      </w:pPr>
      <w:r w:rsidRPr="008A02D5">
        <w:rPr>
          <w:b/>
          <w:bCs/>
          <w:sz w:val="22"/>
          <w:szCs w:val="22"/>
          <w:u w:val="single"/>
        </w:rPr>
        <w:t>Frequency of response</w:t>
      </w:r>
      <w:r>
        <w:rPr>
          <w:sz w:val="22"/>
          <w:szCs w:val="22"/>
        </w:rPr>
        <w:t xml:space="preserve">: The frequency of responses </w:t>
      </w:r>
      <w:proofErr w:type="gramStart"/>
      <w:r>
        <w:rPr>
          <w:sz w:val="22"/>
          <w:szCs w:val="22"/>
        </w:rPr>
        <w:t>vary</w:t>
      </w:r>
      <w:proofErr w:type="gramEnd"/>
      <w:r>
        <w:rPr>
          <w:sz w:val="22"/>
          <w:szCs w:val="22"/>
        </w:rPr>
        <w:t xml:space="preserve"> depending on the information required.  Some responses require a one-time filing, including the Relocation Payment Clearinghouse’s written operational procedures</w:t>
      </w:r>
      <w:r w:rsidR="00656D33">
        <w:rPr>
          <w:sz w:val="22"/>
          <w:szCs w:val="22"/>
        </w:rPr>
        <w:t xml:space="preserve"> and request to wind-down</w:t>
      </w:r>
      <w:r w:rsidR="000267F1">
        <w:rPr>
          <w:sz w:val="22"/>
          <w:szCs w:val="22"/>
        </w:rPr>
        <w:t xml:space="preserve"> operations</w:t>
      </w:r>
      <w:r>
        <w:rPr>
          <w:sz w:val="22"/>
          <w:szCs w:val="22"/>
        </w:rPr>
        <w:t xml:space="preserve">.  </w:t>
      </w:r>
      <w:r w:rsidR="00FC3F10">
        <w:rPr>
          <w:sz w:val="22"/>
          <w:szCs w:val="22"/>
        </w:rPr>
        <w:t>Most</w:t>
      </w:r>
      <w:r w:rsidR="009459E4">
        <w:rPr>
          <w:sz w:val="22"/>
          <w:szCs w:val="22"/>
        </w:rPr>
        <w:t xml:space="preserve"> responses require regular filing</w:t>
      </w:r>
      <w:r w:rsidR="00F11487">
        <w:rPr>
          <w:sz w:val="22"/>
          <w:szCs w:val="22"/>
        </w:rPr>
        <w:t>s</w:t>
      </w:r>
      <w:r w:rsidR="009459E4">
        <w:rPr>
          <w:sz w:val="22"/>
          <w:szCs w:val="22"/>
        </w:rPr>
        <w:t xml:space="preserve">, </w:t>
      </w:r>
      <w:proofErr w:type="gramStart"/>
      <w:r w:rsidR="009459E4">
        <w:rPr>
          <w:sz w:val="22"/>
          <w:szCs w:val="22"/>
        </w:rPr>
        <w:t>including:</w:t>
      </w:r>
      <w:proofErr w:type="gramEnd"/>
      <w:r w:rsidR="009459E4">
        <w:rPr>
          <w:sz w:val="22"/>
          <w:szCs w:val="22"/>
        </w:rPr>
        <w:t xml:space="preserve"> annual filings of the Relocation Payment Clearinghouse’s audited statement of funds and information security audit</w:t>
      </w:r>
      <w:r w:rsidR="0027771E">
        <w:rPr>
          <w:sz w:val="22"/>
          <w:szCs w:val="22"/>
        </w:rPr>
        <w:t>,</w:t>
      </w:r>
      <w:r w:rsidR="009459E4">
        <w:rPr>
          <w:sz w:val="22"/>
          <w:szCs w:val="22"/>
        </w:rPr>
        <w:t xml:space="preserve"> the Relocation Payment Clearinghouse’s notice of pro-rata shares</w:t>
      </w:r>
      <w:r w:rsidR="000267F1">
        <w:rPr>
          <w:sz w:val="22"/>
          <w:szCs w:val="22"/>
        </w:rPr>
        <w:t xml:space="preserve"> to the wireless licensees</w:t>
      </w:r>
      <w:r w:rsidR="0027771E">
        <w:rPr>
          <w:sz w:val="22"/>
          <w:szCs w:val="22"/>
        </w:rPr>
        <w:t>,</w:t>
      </w:r>
      <w:r w:rsidR="009459E4">
        <w:rPr>
          <w:sz w:val="22"/>
          <w:szCs w:val="22"/>
        </w:rPr>
        <w:t xml:space="preserve"> </w:t>
      </w:r>
      <w:r w:rsidRPr="0027771E" w:rsidR="00727965">
        <w:rPr>
          <w:sz w:val="22"/>
          <w:szCs w:val="22"/>
        </w:rPr>
        <w:t xml:space="preserve">and </w:t>
      </w:r>
      <w:r w:rsidR="000267F1">
        <w:rPr>
          <w:sz w:val="22"/>
          <w:szCs w:val="22"/>
        </w:rPr>
        <w:t>the Relocation Payment Clearinghouse’s, Relocation Coordinator’s,</w:t>
      </w:r>
      <w:r w:rsidR="009459E4">
        <w:rPr>
          <w:sz w:val="22"/>
          <w:szCs w:val="22"/>
        </w:rPr>
        <w:t xml:space="preserve"> </w:t>
      </w:r>
      <w:r w:rsidR="000267F1">
        <w:rPr>
          <w:sz w:val="22"/>
          <w:szCs w:val="22"/>
        </w:rPr>
        <w:t xml:space="preserve">and eligible space station operators’ quarterly status </w:t>
      </w:r>
      <w:r w:rsidR="009459E4">
        <w:rPr>
          <w:sz w:val="22"/>
          <w:szCs w:val="22"/>
        </w:rPr>
        <w:t>reports</w:t>
      </w:r>
      <w:r w:rsidR="00FC3F10">
        <w:rPr>
          <w:sz w:val="22"/>
          <w:szCs w:val="22"/>
        </w:rPr>
        <w:t xml:space="preserve">.  </w:t>
      </w:r>
      <w:r w:rsidRPr="004241EF" w:rsidR="0053550C">
        <w:rPr>
          <w:sz w:val="22"/>
          <w:szCs w:val="22"/>
        </w:rPr>
        <w:t>Other responses</w:t>
      </w:r>
      <w:r w:rsidRPr="004241EF" w:rsidR="0096690B">
        <w:rPr>
          <w:sz w:val="22"/>
          <w:szCs w:val="22"/>
        </w:rPr>
        <w:t>, such as</w:t>
      </w:r>
      <w:r w:rsidRPr="004241EF" w:rsidR="000D33CD">
        <w:rPr>
          <w:sz w:val="22"/>
          <w:szCs w:val="22"/>
        </w:rPr>
        <w:t xml:space="preserve"> requests for reimbursement</w:t>
      </w:r>
      <w:r w:rsidR="000267F1">
        <w:rPr>
          <w:sz w:val="22"/>
          <w:szCs w:val="22"/>
        </w:rPr>
        <w:t xml:space="preserve">, responses to information requests by the Wireless Telecommunications Bureau, and Office of Managing Director, </w:t>
      </w:r>
      <w:r w:rsidRPr="004241EF" w:rsidR="000D33CD">
        <w:rPr>
          <w:sz w:val="22"/>
          <w:szCs w:val="22"/>
        </w:rPr>
        <w:t>and information related to unresolved disputes,</w:t>
      </w:r>
      <w:r w:rsidRPr="004241EF" w:rsidR="0053550C">
        <w:rPr>
          <w:sz w:val="22"/>
          <w:szCs w:val="22"/>
        </w:rPr>
        <w:t xml:space="preserve"> </w:t>
      </w:r>
      <w:r w:rsidRPr="004241EF" w:rsidR="00E86D6F">
        <w:rPr>
          <w:sz w:val="22"/>
          <w:szCs w:val="22"/>
        </w:rPr>
        <w:t>will vary</w:t>
      </w:r>
      <w:r w:rsidRPr="004241EF" w:rsidR="0096690B">
        <w:rPr>
          <w:sz w:val="22"/>
          <w:szCs w:val="22"/>
        </w:rPr>
        <w:t xml:space="preserve"> due to the differences in </w:t>
      </w:r>
      <w:r w:rsidRPr="004241EF" w:rsidR="0074341B">
        <w:rPr>
          <w:sz w:val="22"/>
          <w:szCs w:val="22"/>
        </w:rPr>
        <w:t>the complexity of relocation task, the size of the entity</w:t>
      </w:r>
      <w:r w:rsidRPr="004241EF" w:rsidR="000242BB">
        <w:rPr>
          <w:sz w:val="22"/>
          <w:szCs w:val="22"/>
        </w:rPr>
        <w:t xml:space="preserve">, </w:t>
      </w:r>
      <w:r w:rsidRPr="004241EF" w:rsidR="007E4A7A">
        <w:rPr>
          <w:sz w:val="22"/>
          <w:szCs w:val="22"/>
        </w:rPr>
        <w:t xml:space="preserve">and </w:t>
      </w:r>
      <w:r w:rsidRPr="004241EF" w:rsidR="000242BB">
        <w:rPr>
          <w:sz w:val="22"/>
          <w:szCs w:val="22"/>
        </w:rPr>
        <w:t>the nature of th</w:t>
      </w:r>
      <w:r w:rsidRPr="004241EF" w:rsidR="002F5F42">
        <w:rPr>
          <w:sz w:val="22"/>
          <w:szCs w:val="22"/>
        </w:rPr>
        <w:t>e dispute.</w:t>
      </w:r>
      <w:r w:rsidRPr="004241EF" w:rsidR="000242BB">
        <w:rPr>
          <w:sz w:val="22"/>
          <w:szCs w:val="22"/>
        </w:rPr>
        <w:t xml:space="preserve"> </w:t>
      </w:r>
      <w:r w:rsidRPr="004241EF" w:rsidR="0053550C">
        <w:rPr>
          <w:sz w:val="22"/>
          <w:szCs w:val="22"/>
        </w:rPr>
        <w:t xml:space="preserve">  </w:t>
      </w:r>
    </w:p>
    <w:p w:rsidRPr="00E17CD6" w:rsidR="00E17CD6" w:rsidP="00E17CD6" w:rsidRDefault="00E17CD6" w14:paraId="02304BA1" w14:textId="77777777">
      <w:pPr>
        <w:pStyle w:val="ListParagraph"/>
        <w:rPr>
          <w:sz w:val="22"/>
          <w:szCs w:val="22"/>
          <w:u w:val="single"/>
        </w:rPr>
      </w:pPr>
    </w:p>
    <w:p w:rsidRPr="002B7618" w:rsidR="002B7618" w:rsidP="002B7618" w:rsidRDefault="00E17CD6" w14:paraId="548D4CBB" w14:textId="10EDF685">
      <w:pPr>
        <w:pStyle w:val="ListParagraph"/>
        <w:numPr>
          <w:ilvl w:val="0"/>
          <w:numId w:val="13"/>
        </w:numPr>
        <w:tabs>
          <w:tab w:val="left" w:pos="360"/>
        </w:tabs>
        <w:rPr>
          <w:sz w:val="22"/>
          <w:szCs w:val="22"/>
          <w:u w:val="single"/>
        </w:rPr>
      </w:pPr>
      <w:r w:rsidRPr="008A02D5">
        <w:rPr>
          <w:b/>
          <w:bCs/>
          <w:sz w:val="22"/>
          <w:szCs w:val="22"/>
          <w:u w:val="single"/>
        </w:rPr>
        <w:t>Total estimated annual burden</w:t>
      </w:r>
      <w:r w:rsidRPr="008A02D5">
        <w:rPr>
          <w:b/>
          <w:bCs/>
          <w:sz w:val="22"/>
          <w:szCs w:val="22"/>
        </w:rPr>
        <w:t xml:space="preserve">: </w:t>
      </w:r>
      <w:r w:rsidRPr="008A02D5" w:rsidR="00646212">
        <w:rPr>
          <w:b/>
          <w:bCs/>
          <w:sz w:val="22"/>
          <w:szCs w:val="22"/>
        </w:rPr>
        <w:t>77,754</w:t>
      </w:r>
      <w:r w:rsidRPr="008A02D5" w:rsidR="00141C12">
        <w:rPr>
          <w:b/>
          <w:bCs/>
          <w:sz w:val="22"/>
          <w:szCs w:val="22"/>
        </w:rPr>
        <w:t xml:space="preserve"> </w:t>
      </w:r>
      <w:r w:rsidRPr="008A02D5">
        <w:rPr>
          <w:b/>
          <w:bCs/>
          <w:sz w:val="22"/>
          <w:szCs w:val="22"/>
        </w:rPr>
        <w:t>hours,</w:t>
      </w:r>
      <w:r>
        <w:rPr>
          <w:sz w:val="22"/>
          <w:szCs w:val="22"/>
        </w:rPr>
        <w:t xml:space="preserve"> calculated as follows:</w:t>
      </w:r>
    </w:p>
    <w:p w:rsidR="002B7618" w:rsidP="002B7618" w:rsidRDefault="002B7618" w14:paraId="0CB2A88B" w14:textId="04488C35">
      <w:pPr>
        <w:pStyle w:val="ListParagraph"/>
        <w:tabs>
          <w:tab w:val="left" w:pos="360"/>
        </w:tabs>
        <w:ind w:left="360"/>
        <w:rPr>
          <w:sz w:val="22"/>
          <w:szCs w:val="22"/>
          <w:u w:val="single"/>
        </w:rPr>
      </w:pPr>
    </w:p>
    <w:p w:rsidR="001F18C2" w:rsidP="001F18C2" w:rsidRDefault="001F18C2" w14:paraId="4095FB4B" w14:textId="77777777">
      <w:pPr>
        <w:pStyle w:val="ListParagraph"/>
        <w:tabs>
          <w:tab w:val="left" w:pos="360"/>
        </w:tabs>
        <w:ind w:left="360"/>
        <w:rPr>
          <w:i/>
          <w:sz w:val="22"/>
          <w:szCs w:val="22"/>
          <w:u w:val="single"/>
        </w:rPr>
      </w:pPr>
      <w:r>
        <w:rPr>
          <w:i/>
          <w:sz w:val="22"/>
          <w:szCs w:val="22"/>
          <w:u w:val="single"/>
        </w:rPr>
        <w:t>Relocation Payment Clearinghouse</w:t>
      </w:r>
    </w:p>
    <w:p w:rsidR="001F18C2" w:rsidP="001F18C2" w:rsidRDefault="001F18C2" w14:paraId="54D63D8B" w14:textId="77777777">
      <w:pPr>
        <w:pStyle w:val="ListParagraph"/>
        <w:tabs>
          <w:tab w:val="left" w:pos="360"/>
        </w:tabs>
        <w:ind w:left="360"/>
        <w:rPr>
          <w:i/>
          <w:sz w:val="22"/>
          <w:szCs w:val="22"/>
          <w:u w:val="single"/>
        </w:rPr>
      </w:pPr>
    </w:p>
    <w:p w:rsidRPr="00D01A0F" w:rsidR="001F18C2" w:rsidP="001F18C2" w:rsidRDefault="001F18C2" w14:paraId="3A03DA68" w14:textId="77777777">
      <w:pPr>
        <w:pStyle w:val="ListParagraph"/>
        <w:numPr>
          <w:ilvl w:val="0"/>
          <w:numId w:val="19"/>
        </w:numPr>
        <w:tabs>
          <w:tab w:val="left" w:pos="360"/>
        </w:tabs>
        <w:rPr>
          <w:i/>
          <w:sz w:val="22"/>
          <w:szCs w:val="22"/>
        </w:rPr>
      </w:pPr>
      <w:r w:rsidRPr="00D01A0F">
        <w:rPr>
          <w:i/>
          <w:sz w:val="22"/>
          <w:szCs w:val="22"/>
        </w:rPr>
        <w:t xml:space="preserve">The Relocation Payment Clearinghouse must create written procedures for its operations, using the Government Accountability Office’s Green Book to serve as a guide in satisfying such requirements.  (47 C.F.R. § 27.1414(b)(3)) </w:t>
      </w:r>
    </w:p>
    <w:p w:rsidR="001F18C2" w:rsidP="002B7618" w:rsidRDefault="001F18C2" w14:paraId="6E378812" w14:textId="02DFD35D">
      <w:pPr>
        <w:pStyle w:val="ListParagraph"/>
        <w:tabs>
          <w:tab w:val="left" w:pos="360"/>
        </w:tabs>
        <w:ind w:left="360"/>
        <w:rPr>
          <w:sz w:val="22"/>
          <w:szCs w:val="22"/>
          <w:u w:val="single"/>
        </w:rPr>
      </w:pPr>
    </w:p>
    <w:p w:rsidR="001F18C2" w:rsidP="001F18C2" w:rsidRDefault="00E521C7" w14:paraId="11487028" w14:textId="7BC3271F">
      <w:pPr>
        <w:pStyle w:val="ListParagraph"/>
        <w:tabs>
          <w:tab w:val="left" w:pos="360"/>
        </w:tabs>
        <w:rPr>
          <w:sz w:val="22"/>
          <w:szCs w:val="22"/>
        </w:rPr>
      </w:pPr>
      <w:r>
        <w:rPr>
          <w:sz w:val="22"/>
          <w:szCs w:val="22"/>
        </w:rPr>
        <w:t>32</w:t>
      </w:r>
      <w:r w:rsidR="001F18C2">
        <w:rPr>
          <w:sz w:val="22"/>
          <w:szCs w:val="22"/>
        </w:rPr>
        <w:t xml:space="preserve"> hours per respondent for 1 respondent </w:t>
      </w:r>
      <w:r w:rsidR="009C524D">
        <w:rPr>
          <w:sz w:val="22"/>
          <w:szCs w:val="22"/>
        </w:rPr>
        <w:t>filing once</w:t>
      </w:r>
      <w:r w:rsidR="001F18C2">
        <w:rPr>
          <w:sz w:val="22"/>
          <w:szCs w:val="22"/>
        </w:rPr>
        <w:t>.  Total estimated annual hours burden is calculated as follows:</w:t>
      </w:r>
    </w:p>
    <w:p w:rsidR="001F18C2" w:rsidP="001F18C2" w:rsidRDefault="001F18C2" w14:paraId="6EC35378" w14:textId="566607AC">
      <w:pPr>
        <w:pStyle w:val="ListParagraph"/>
        <w:tabs>
          <w:tab w:val="left" w:pos="360"/>
        </w:tabs>
        <w:rPr>
          <w:sz w:val="22"/>
          <w:szCs w:val="22"/>
        </w:rPr>
      </w:pPr>
    </w:p>
    <w:p w:rsidR="001F18C2" w:rsidP="001F18C2" w:rsidRDefault="00CA2AE1" w14:paraId="23412CAD" w14:textId="390B56ED">
      <w:pPr>
        <w:pStyle w:val="ListParagraph"/>
        <w:tabs>
          <w:tab w:val="left" w:pos="360"/>
        </w:tabs>
        <w:rPr>
          <w:b/>
          <w:sz w:val="22"/>
          <w:szCs w:val="22"/>
        </w:rPr>
      </w:pPr>
      <w:r>
        <w:rPr>
          <w:b/>
          <w:sz w:val="22"/>
          <w:szCs w:val="22"/>
        </w:rPr>
        <w:t xml:space="preserve">1 estimated response x </w:t>
      </w:r>
      <w:r w:rsidR="0069149A">
        <w:rPr>
          <w:b/>
          <w:sz w:val="22"/>
          <w:szCs w:val="22"/>
        </w:rPr>
        <w:t>32</w:t>
      </w:r>
      <w:r>
        <w:rPr>
          <w:b/>
          <w:sz w:val="22"/>
          <w:szCs w:val="22"/>
        </w:rPr>
        <w:t xml:space="preserve"> hours per response = </w:t>
      </w:r>
      <w:r w:rsidR="00E521C7">
        <w:rPr>
          <w:b/>
          <w:sz w:val="22"/>
          <w:szCs w:val="22"/>
        </w:rPr>
        <w:t>32</w:t>
      </w:r>
      <w:r>
        <w:rPr>
          <w:b/>
          <w:sz w:val="22"/>
          <w:szCs w:val="22"/>
        </w:rPr>
        <w:t xml:space="preserve"> total estimated burden hours.</w:t>
      </w:r>
    </w:p>
    <w:p w:rsidR="00CA2AE1" w:rsidP="001F18C2" w:rsidRDefault="00CA2AE1" w14:paraId="0FADCDEA" w14:textId="19C151A4">
      <w:pPr>
        <w:pStyle w:val="ListParagraph"/>
        <w:tabs>
          <w:tab w:val="left" w:pos="360"/>
        </w:tabs>
        <w:rPr>
          <w:b/>
          <w:sz w:val="22"/>
          <w:szCs w:val="22"/>
        </w:rPr>
      </w:pPr>
    </w:p>
    <w:p w:rsidRPr="00D01A0F" w:rsidR="00CA2AE1" w:rsidP="00CA2AE1" w:rsidRDefault="00CA2AE1" w14:paraId="3AC3E4EC" w14:textId="77777777">
      <w:pPr>
        <w:pStyle w:val="ListParagraph"/>
        <w:numPr>
          <w:ilvl w:val="0"/>
          <w:numId w:val="19"/>
        </w:numPr>
        <w:tabs>
          <w:tab w:val="left" w:pos="360"/>
        </w:tabs>
        <w:rPr>
          <w:i/>
          <w:sz w:val="22"/>
          <w:szCs w:val="22"/>
        </w:rPr>
      </w:pPr>
      <w:r w:rsidRPr="00D01A0F">
        <w:rPr>
          <w:i/>
          <w:sz w:val="22"/>
          <w:szCs w:val="22"/>
        </w:rPr>
        <w:t>The Relocation Payment Clearinghouse must provide quarterly reports detailing the status of reimbursement funds available for clearing obligations, the relocation and accelerated relocation payments issued, the amounts collected from overlay licensees, and any certifications filed by incumbents.  (47 C.F.R. § 27.1414(c)(1))</w:t>
      </w:r>
    </w:p>
    <w:p w:rsidR="00CA2AE1" w:rsidP="001F18C2" w:rsidRDefault="00CA2AE1" w14:paraId="2865CCEF" w14:textId="21680668">
      <w:pPr>
        <w:pStyle w:val="ListParagraph"/>
        <w:tabs>
          <w:tab w:val="left" w:pos="360"/>
        </w:tabs>
        <w:rPr>
          <w:b/>
          <w:sz w:val="22"/>
          <w:szCs w:val="22"/>
        </w:rPr>
      </w:pPr>
    </w:p>
    <w:p w:rsidR="00CA2AE1" w:rsidP="001F18C2" w:rsidRDefault="00E521C7" w14:paraId="2ECA7F6D" w14:textId="67FDB028">
      <w:pPr>
        <w:pStyle w:val="ListParagraph"/>
        <w:tabs>
          <w:tab w:val="left" w:pos="360"/>
        </w:tabs>
        <w:rPr>
          <w:sz w:val="22"/>
          <w:szCs w:val="22"/>
        </w:rPr>
      </w:pPr>
      <w:r>
        <w:rPr>
          <w:sz w:val="22"/>
          <w:szCs w:val="22"/>
        </w:rPr>
        <w:t>32</w:t>
      </w:r>
      <w:r w:rsidR="00CA2AE1">
        <w:rPr>
          <w:sz w:val="22"/>
          <w:szCs w:val="22"/>
        </w:rPr>
        <w:t xml:space="preserve"> hours per respondent for 1 respondent </w:t>
      </w:r>
      <w:r w:rsidR="00B02C55">
        <w:rPr>
          <w:sz w:val="22"/>
          <w:szCs w:val="22"/>
        </w:rPr>
        <w:t>filing 4 times per year.  Total estimated annual hours burden is calculated as follows:</w:t>
      </w:r>
    </w:p>
    <w:p w:rsidR="00B02C55" w:rsidP="001F18C2" w:rsidRDefault="00B02C55" w14:paraId="7944FCF4" w14:textId="061E26B2">
      <w:pPr>
        <w:pStyle w:val="ListParagraph"/>
        <w:tabs>
          <w:tab w:val="left" w:pos="360"/>
        </w:tabs>
        <w:rPr>
          <w:sz w:val="22"/>
          <w:szCs w:val="22"/>
        </w:rPr>
      </w:pPr>
    </w:p>
    <w:p w:rsidR="00B02C55" w:rsidP="001F18C2" w:rsidRDefault="00B02C55" w14:paraId="4DBF20F4" w14:textId="6A364302">
      <w:pPr>
        <w:pStyle w:val="ListParagraph"/>
        <w:tabs>
          <w:tab w:val="left" w:pos="360"/>
        </w:tabs>
        <w:rPr>
          <w:b/>
          <w:sz w:val="22"/>
          <w:szCs w:val="22"/>
        </w:rPr>
      </w:pPr>
      <w:r>
        <w:rPr>
          <w:b/>
          <w:sz w:val="22"/>
          <w:szCs w:val="22"/>
        </w:rPr>
        <w:t xml:space="preserve">4 estimated responses x </w:t>
      </w:r>
      <w:r w:rsidR="00E521C7">
        <w:rPr>
          <w:b/>
          <w:sz w:val="22"/>
          <w:szCs w:val="22"/>
        </w:rPr>
        <w:t>32</w:t>
      </w:r>
      <w:r>
        <w:rPr>
          <w:b/>
          <w:sz w:val="22"/>
          <w:szCs w:val="22"/>
        </w:rPr>
        <w:t xml:space="preserve"> hours per response = </w:t>
      </w:r>
      <w:r w:rsidR="00617041">
        <w:rPr>
          <w:b/>
          <w:sz w:val="22"/>
          <w:szCs w:val="22"/>
        </w:rPr>
        <w:t>128</w:t>
      </w:r>
      <w:r>
        <w:rPr>
          <w:b/>
          <w:sz w:val="22"/>
          <w:szCs w:val="22"/>
        </w:rPr>
        <w:t xml:space="preserve"> total estimated burden hours.</w:t>
      </w:r>
    </w:p>
    <w:p w:rsidR="00B02C55" w:rsidP="001F18C2" w:rsidRDefault="00B02C55" w14:paraId="55F97A49" w14:textId="110D561C">
      <w:pPr>
        <w:pStyle w:val="ListParagraph"/>
        <w:tabs>
          <w:tab w:val="left" w:pos="360"/>
        </w:tabs>
        <w:rPr>
          <w:b/>
          <w:sz w:val="22"/>
          <w:szCs w:val="22"/>
        </w:rPr>
      </w:pPr>
    </w:p>
    <w:p w:rsidRPr="00D01A0F" w:rsidR="00B02C55" w:rsidP="00B02C55" w:rsidRDefault="00B02C55" w14:paraId="29AB994F" w14:textId="77777777">
      <w:pPr>
        <w:pStyle w:val="ListParagraph"/>
        <w:numPr>
          <w:ilvl w:val="0"/>
          <w:numId w:val="19"/>
        </w:numPr>
        <w:tabs>
          <w:tab w:val="left" w:pos="360"/>
        </w:tabs>
        <w:rPr>
          <w:i/>
          <w:sz w:val="22"/>
          <w:szCs w:val="22"/>
        </w:rPr>
      </w:pPr>
      <w:r w:rsidRPr="00D01A0F">
        <w:rPr>
          <w:i/>
          <w:sz w:val="22"/>
          <w:szCs w:val="22"/>
        </w:rPr>
        <w:t>The Relocation Payment Clearinghouse shall provide to the Office of Managing Director and the Wireless Telecommunications Bureau, by March 1 of each year, an audited statement of funds expended to date, including salaries and expenses of the Clearinghouse.  (47 C.F.R § 27.1414(c)(2))</w:t>
      </w:r>
    </w:p>
    <w:p w:rsidR="00B02C55" w:rsidP="001F18C2" w:rsidRDefault="00B02C55" w14:paraId="47AD33D5" w14:textId="7759BD7A">
      <w:pPr>
        <w:pStyle w:val="ListParagraph"/>
        <w:tabs>
          <w:tab w:val="left" w:pos="360"/>
        </w:tabs>
        <w:rPr>
          <w:b/>
          <w:sz w:val="22"/>
          <w:szCs w:val="22"/>
        </w:rPr>
      </w:pPr>
    </w:p>
    <w:p w:rsidRPr="00B02C55" w:rsidR="00B02C55" w:rsidP="00B02C55" w:rsidRDefault="00617041" w14:paraId="55E8CFAC" w14:textId="2E9532C5">
      <w:pPr>
        <w:pStyle w:val="ListParagraph"/>
        <w:tabs>
          <w:tab w:val="left" w:pos="360"/>
        </w:tabs>
        <w:rPr>
          <w:sz w:val="22"/>
          <w:szCs w:val="22"/>
        </w:rPr>
      </w:pPr>
      <w:r>
        <w:rPr>
          <w:sz w:val="22"/>
          <w:szCs w:val="22"/>
        </w:rPr>
        <w:t>4</w:t>
      </w:r>
      <w:r w:rsidR="00B02C55">
        <w:rPr>
          <w:sz w:val="22"/>
          <w:szCs w:val="22"/>
        </w:rPr>
        <w:t>0 hours per respondent for 1 respondent filing once a year.  Total estimated annual hours burden is calculated as follows:</w:t>
      </w:r>
    </w:p>
    <w:p w:rsidR="00B02C55" w:rsidP="001F18C2" w:rsidRDefault="00B02C55" w14:paraId="48DDCB7E" w14:textId="77777777">
      <w:pPr>
        <w:pStyle w:val="ListParagraph"/>
        <w:tabs>
          <w:tab w:val="left" w:pos="360"/>
        </w:tabs>
        <w:rPr>
          <w:b/>
          <w:sz w:val="22"/>
          <w:szCs w:val="22"/>
        </w:rPr>
      </w:pPr>
    </w:p>
    <w:p w:rsidRPr="00B02C55" w:rsidR="001F18C2" w:rsidP="00B02C55" w:rsidRDefault="00B02C55" w14:paraId="153C4DEE" w14:textId="6192ED29">
      <w:pPr>
        <w:pStyle w:val="ListParagraph"/>
        <w:tabs>
          <w:tab w:val="left" w:pos="360"/>
        </w:tabs>
        <w:rPr>
          <w:b/>
          <w:sz w:val="22"/>
          <w:szCs w:val="22"/>
        </w:rPr>
      </w:pPr>
      <w:r>
        <w:rPr>
          <w:b/>
          <w:sz w:val="22"/>
          <w:szCs w:val="22"/>
        </w:rPr>
        <w:t xml:space="preserve">1 estimated response x </w:t>
      </w:r>
      <w:r w:rsidR="00617041">
        <w:rPr>
          <w:b/>
          <w:sz w:val="22"/>
          <w:szCs w:val="22"/>
        </w:rPr>
        <w:t>40</w:t>
      </w:r>
      <w:r>
        <w:rPr>
          <w:b/>
          <w:sz w:val="22"/>
          <w:szCs w:val="22"/>
        </w:rPr>
        <w:t xml:space="preserve"> hours per response = </w:t>
      </w:r>
      <w:r w:rsidR="000D2189">
        <w:rPr>
          <w:b/>
          <w:sz w:val="22"/>
          <w:szCs w:val="22"/>
        </w:rPr>
        <w:t>40</w:t>
      </w:r>
      <w:r>
        <w:rPr>
          <w:b/>
          <w:sz w:val="22"/>
          <w:szCs w:val="22"/>
        </w:rPr>
        <w:t xml:space="preserve"> total estimated burden hours.</w:t>
      </w:r>
    </w:p>
    <w:p w:rsidR="001F18C2" w:rsidP="002B7618" w:rsidRDefault="001F18C2" w14:paraId="0C67DC47" w14:textId="6C50AE9D">
      <w:pPr>
        <w:pStyle w:val="ListParagraph"/>
        <w:tabs>
          <w:tab w:val="left" w:pos="360"/>
        </w:tabs>
        <w:ind w:left="360"/>
        <w:rPr>
          <w:sz w:val="22"/>
          <w:szCs w:val="22"/>
          <w:u w:val="single"/>
        </w:rPr>
      </w:pPr>
    </w:p>
    <w:p w:rsidR="00B02C55" w:rsidP="00B02C55" w:rsidRDefault="00B02C55" w14:paraId="2D91E5E1" w14:textId="209EAFB3">
      <w:pPr>
        <w:pStyle w:val="ListParagraph"/>
        <w:numPr>
          <w:ilvl w:val="0"/>
          <w:numId w:val="19"/>
        </w:numPr>
        <w:tabs>
          <w:tab w:val="left" w:pos="360"/>
        </w:tabs>
        <w:rPr>
          <w:i/>
          <w:sz w:val="22"/>
          <w:szCs w:val="22"/>
        </w:rPr>
      </w:pPr>
      <w:r w:rsidRPr="00D01A0F">
        <w:rPr>
          <w:i/>
          <w:sz w:val="22"/>
          <w:szCs w:val="22"/>
        </w:rPr>
        <w:t>The Relocation Payment Clearinghouse shall provide information to the Wireless Telecommunications Bureau upon request</w:t>
      </w:r>
      <w:r>
        <w:rPr>
          <w:i/>
          <w:sz w:val="22"/>
          <w:szCs w:val="22"/>
        </w:rPr>
        <w:t>.</w:t>
      </w:r>
      <w:r w:rsidRPr="00D01A0F">
        <w:rPr>
          <w:i/>
          <w:sz w:val="22"/>
          <w:szCs w:val="22"/>
        </w:rPr>
        <w:t xml:space="preserve"> </w:t>
      </w:r>
      <w:r>
        <w:rPr>
          <w:i/>
          <w:sz w:val="22"/>
          <w:szCs w:val="22"/>
        </w:rPr>
        <w:t xml:space="preserve"> </w:t>
      </w:r>
      <w:r w:rsidRPr="00D01A0F">
        <w:rPr>
          <w:i/>
          <w:sz w:val="22"/>
          <w:szCs w:val="22"/>
        </w:rPr>
        <w:t>(47 C.F.R. § 27.1414(c)(3))</w:t>
      </w:r>
    </w:p>
    <w:p w:rsidR="00B02C55" w:rsidP="00B02C55" w:rsidRDefault="00B02C55" w14:paraId="02C73083" w14:textId="4E2A8637">
      <w:pPr>
        <w:pStyle w:val="ListParagraph"/>
        <w:tabs>
          <w:tab w:val="left" w:pos="360"/>
        </w:tabs>
        <w:rPr>
          <w:i/>
          <w:sz w:val="22"/>
          <w:szCs w:val="22"/>
        </w:rPr>
      </w:pPr>
    </w:p>
    <w:p w:rsidR="00B61E43" w:rsidP="00B02C55" w:rsidRDefault="00B61E43" w14:paraId="1A25D5F3" w14:textId="3B98583A">
      <w:pPr>
        <w:pStyle w:val="ListParagraph"/>
        <w:tabs>
          <w:tab w:val="left" w:pos="360"/>
        </w:tabs>
        <w:rPr>
          <w:sz w:val="22"/>
          <w:szCs w:val="22"/>
        </w:rPr>
      </w:pPr>
      <w:r>
        <w:rPr>
          <w:sz w:val="22"/>
          <w:szCs w:val="22"/>
        </w:rPr>
        <w:t>2 hours per respondent for 1 respondent filing 12 times per year.  Total estimated annual hours burden is calculated as follows:</w:t>
      </w:r>
    </w:p>
    <w:p w:rsidR="00B61E43" w:rsidP="00B02C55" w:rsidRDefault="00B61E43" w14:paraId="2A4CA0DE" w14:textId="77777777">
      <w:pPr>
        <w:pStyle w:val="ListParagraph"/>
        <w:tabs>
          <w:tab w:val="left" w:pos="360"/>
        </w:tabs>
        <w:rPr>
          <w:b/>
          <w:sz w:val="22"/>
          <w:szCs w:val="22"/>
        </w:rPr>
      </w:pPr>
    </w:p>
    <w:p w:rsidR="00B02C55" w:rsidP="00B02C55" w:rsidRDefault="00B02C55" w14:paraId="18D50830" w14:textId="388D92FC">
      <w:pPr>
        <w:pStyle w:val="ListParagraph"/>
        <w:tabs>
          <w:tab w:val="left" w:pos="360"/>
        </w:tabs>
        <w:rPr>
          <w:b/>
          <w:sz w:val="22"/>
          <w:szCs w:val="22"/>
        </w:rPr>
      </w:pPr>
      <w:r>
        <w:rPr>
          <w:b/>
          <w:sz w:val="22"/>
          <w:szCs w:val="22"/>
        </w:rPr>
        <w:t>12 estimated responses x 2 hours per response = 24 total estimated burden hours.</w:t>
      </w:r>
    </w:p>
    <w:p w:rsidR="00B02C55" w:rsidP="00B02C55" w:rsidRDefault="00B02C55" w14:paraId="78EB7B27" w14:textId="77777777">
      <w:pPr>
        <w:pStyle w:val="ListParagraph"/>
        <w:tabs>
          <w:tab w:val="left" w:pos="360"/>
        </w:tabs>
        <w:rPr>
          <w:b/>
          <w:sz w:val="22"/>
          <w:szCs w:val="22"/>
        </w:rPr>
      </w:pPr>
    </w:p>
    <w:p w:rsidRPr="00D01A0F" w:rsidR="00B02C55" w:rsidP="00B02C55" w:rsidRDefault="00B02C55" w14:paraId="1540CDBE" w14:textId="77777777">
      <w:pPr>
        <w:pStyle w:val="ListParagraph"/>
        <w:numPr>
          <w:ilvl w:val="0"/>
          <w:numId w:val="19"/>
        </w:numPr>
        <w:tabs>
          <w:tab w:val="left" w:pos="360"/>
        </w:tabs>
        <w:rPr>
          <w:i/>
          <w:sz w:val="22"/>
          <w:szCs w:val="22"/>
        </w:rPr>
      </w:pPr>
      <w:r w:rsidRPr="00D01A0F">
        <w:rPr>
          <w:i/>
          <w:sz w:val="22"/>
          <w:szCs w:val="22"/>
        </w:rPr>
        <w:t>The Relocation Payment Clearinghouse must hire a third-party firm to independently audit and verify, on an annual basis, the Relocation Payment Clearinghouse’s compliance with privacy and information security requirements and report the results to the Wireless Telecommunications Bureau.  (47 C.F.R. § 27.1414(b)(4)(iii))</w:t>
      </w:r>
    </w:p>
    <w:p w:rsidR="00B02C55" w:rsidP="00B02C55" w:rsidRDefault="00B02C55" w14:paraId="3ED98173" w14:textId="3148AA14">
      <w:pPr>
        <w:pStyle w:val="ListParagraph"/>
        <w:tabs>
          <w:tab w:val="left" w:pos="360"/>
        </w:tabs>
        <w:rPr>
          <w:b/>
          <w:sz w:val="22"/>
          <w:szCs w:val="22"/>
        </w:rPr>
      </w:pPr>
    </w:p>
    <w:p w:rsidR="00B61E43" w:rsidP="00B02C55" w:rsidRDefault="00B61E43" w14:paraId="4BB18334" w14:textId="39EB70E8">
      <w:pPr>
        <w:pStyle w:val="ListParagraph"/>
        <w:tabs>
          <w:tab w:val="left" w:pos="360"/>
        </w:tabs>
        <w:rPr>
          <w:sz w:val="22"/>
          <w:szCs w:val="22"/>
        </w:rPr>
      </w:pPr>
      <w:r>
        <w:rPr>
          <w:sz w:val="22"/>
          <w:szCs w:val="22"/>
        </w:rPr>
        <w:t>2 hours per respondent for 1 respondent filing once a year.  Total estimated annual hours burden is calculated as follows:</w:t>
      </w:r>
    </w:p>
    <w:p w:rsidR="00B61E43" w:rsidP="00B02C55" w:rsidRDefault="00B61E43" w14:paraId="0B72EB3C" w14:textId="0DF92192">
      <w:pPr>
        <w:pStyle w:val="ListParagraph"/>
        <w:tabs>
          <w:tab w:val="left" w:pos="360"/>
        </w:tabs>
        <w:rPr>
          <w:sz w:val="22"/>
          <w:szCs w:val="22"/>
        </w:rPr>
      </w:pPr>
    </w:p>
    <w:p w:rsidRPr="00B61E43" w:rsidR="00B61E43" w:rsidP="00B02C55" w:rsidRDefault="00B61E43" w14:paraId="298989F3" w14:textId="1C409E33">
      <w:pPr>
        <w:pStyle w:val="ListParagraph"/>
        <w:tabs>
          <w:tab w:val="left" w:pos="360"/>
        </w:tabs>
        <w:rPr>
          <w:b/>
          <w:sz w:val="22"/>
          <w:szCs w:val="22"/>
        </w:rPr>
      </w:pPr>
      <w:r>
        <w:rPr>
          <w:b/>
          <w:sz w:val="22"/>
          <w:szCs w:val="22"/>
        </w:rPr>
        <w:t>1 estimated response x 2 hours per response = 2 total estimated burden hours.</w:t>
      </w:r>
    </w:p>
    <w:p w:rsidRPr="00E7510C" w:rsidR="00B61E43" w:rsidP="00E7510C" w:rsidRDefault="00B61E43" w14:paraId="4ADC1B01" w14:textId="7904CD8D">
      <w:pPr>
        <w:tabs>
          <w:tab w:val="left" w:pos="360"/>
        </w:tabs>
        <w:rPr>
          <w:sz w:val="22"/>
          <w:szCs w:val="22"/>
        </w:rPr>
      </w:pPr>
    </w:p>
    <w:p w:rsidRPr="00D01A0F" w:rsidR="0026597D" w:rsidP="0026597D" w:rsidRDefault="0026597D" w14:paraId="6B694557" w14:textId="77777777">
      <w:pPr>
        <w:pStyle w:val="ListParagraph"/>
        <w:numPr>
          <w:ilvl w:val="0"/>
          <w:numId w:val="19"/>
        </w:numPr>
        <w:tabs>
          <w:tab w:val="left" w:pos="360"/>
        </w:tabs>
        <w:rPr>
          <w:i/>
          <w:sz w:val="22"/>
          <w:szCs w:val="22"/>
        </w:rPr>
      </w:pPr>
      <w:r w:rsidRPr="00D01A0F">
        <w:rPr>
          <w:i/>
          <w:sz w:val="22"/>
          <w:szCs w:val="22"/>
        </w:rPr>
        <w:t>The Relocation Payment Clearinghouse shall provide 3.7 GHz Service licensees with 30 days’ notice of the additional pro-rata shares the licensees must contribute (47 C.F.R. § 27.1417), and shall provide an estimate to the overlay licensees of the amounts they owe every six months (47 C.F.R § 27.1417).</w:t>
      </w:r>
    </w:p>
    <w:p w:rsidR="00B61E43" w:rsidP="00B02C55" w:rsidRDefault="00B61E43" w14:paraId="484E9268" w14:textId="66C60397">
      <w:pPr>
        <w:pStyle w:val="ListParagraph"/>
        <w:tabs>
          <w:tab w:val="left" w:pos="360"/>
        </w:tabs>
        <w:rPr>
          <w:sz w:val="22"/>
          <w:szCs w:val="22"/>
        </w:rPr>
      </w:pPr>
    </w:p>
    <w:p w:rsidR="0026597D" w:rsidP="00B02C55" w:rsidRDefault="007724D6" w14:paraId="55849E6E" w14:textId="288A1AC0">
      <w:pPr>
        <w:pStyle w:val="ListParagraph"/>
        <w:tabs>
          <w:tab w:val="left" w:pos="360"/>
        </w:tabs>
        <w:rPr>
          <w:sz w:val="22"/>
          <w:szCs w:val="22"/>
        </w:rPr>
      </w:pPr>
      <w:r>
        <w:rPr>
          <w:sz w:val="22"/>
          <w:szCs w:val="22"/>
        </w:rPr>
        <w:t xml:space="preserve">64 </w:t>
      </w:r>
      <w:r w:rsidR="0026597D">
        <w:rPr>
          <w:sz w:val="22"/>
          <w:szCs w:val="22"/>
        </w:rPr>
        <w:t xml:space="preserve">hours per respondent </w:t>
      </w:r>
      <w:r w:rsidR="004D33E4">
        <w:rPr>
          <w:sz w:val="22"/>
          <w:szCs w:val="22"/>
        </w:rPr>
        <w:t>for 1 respondent filing 490 estimated responses annually.  We estimate that 420 responses are required for the monthly notifications to the licensees, which reflects 35 licensees receiving notices 12 times per year.  We estimate that 70 responses are required for the bi-annual estimates to the overlay licenses, which reflects 35 licenses receiving a notice twice a year</w:t>
      </w:r>
      <w:r w:rsidR="00F01A8A">
        <w:rPr>
          <w:sz w:val="22"/>
          <w:szCs w:val="22"/>
        </w:rPr>
        <w:t>.  Total estimated annual hours burden is calculated as follows:</w:t>
      </w:r>
    </w:p>
    <w:p w:rsidR="00F01A8A" w:rsidP="00B02C55" w:rsidRDefault="00F01A8A" w14:paraId="148BA56A" w14:textId="4C558D64">
      <w:pPr>
        <w:pStyle w:val="ListParagraph"/>
        <w:tabs>
          <w:tab w:val="left" w:pos="360"/>
        </w:tabs>
        <w:rPr>
          <w:sz w:val="22"/>
          <w:szCs w:val="22"/>
        </w:rPr>
      </w:pPr>
    </w:p>
    <w:p w:rsidRPr="00F01A8A" w:rsidR="00F01A8A" w:rsidP="00B02C55" w:rsidRDefault="00CB519A" w14:paraId="091E082A" w14:textId="5D136068">
      <w:pPr>
        <w:pStyle w:val="ListParagraph"/>
        <w:tabs>
          <w:tab w:val="left" w:pos="360"/>
        </w:tabs>
        <w:rPr>
          <w:b/>
          <w:sz w:val="22"/>
          <w:szCs w:val="22"/>
        </w:rPr>
      </w:pPr>
      <w:r>
        <w:rPr>
          <w:b/>
          <w:sz w:val="22"/>
          <w:szCs w:val="22"/>
        </w:rPr>
        <w:t xml:space="preserve">490 </w:t>
      </w:r>
      <w:r w:rsidR="00F01A8A">
        <w:rPr>
          <w:b/>
          <w:sz w:val="22"/>
          <w:szCs w:val="22"/>
        </w:rPr>
        <w:t xml:space="preserve">estimated responses x </w:t>
      </w:r>
      <w:r w:rsidR="0084605D">
        <w:rPr>
          <w:b/>
          <w:sz w:val="22"/>
          <w:szCs w:val="22"/>
        </w:rPr>
        <w:t xml:space="preserve">64 </w:t>
      </w:r>
      <w:r w:rsidR="00F01A8A">
        <w:rPr>
          <w:b/>
          <w:sz w:val="22"/>
          <w:szCs w:val="22"/>
        </w:rPr>
        <w:t xml:space="preserve">hours per response = </w:t>
      </w:r>
      <w:r w:rsidR="0084605D">
        <w:rPr>
          <w:b/>
          <w:sz w:val="22"/>
          <w:szCs w:val="22"/>
        </w:rPr>
        <w:t>31,360</w:t>
      </w:r>
      <w:r w:rsidR="00F01A8A">
        <w:rPr>
          <w:b/>
          <w:sz w:val="22"/>
          <w:szCs w:val="22"/>
        </w:rPr>
        <w:t xml:space="preserve"> total estimated burden hours.</w:t>
      </w:r>
    </w:p>
    <w:p w:rsidRPr="00404991" w:rsidR="00B02C55" w:rsidP="00404991" w:rsidRDefault="00B02C55" w14:paraId="3C0B0474" w14:textId="677AF86E">
      <w:pPr>
        <w:pStyle w:val="ListParagraph"/>
        <w:tabs>
          <w:tab w:val="left" w:pos="360"/>
        </w:tabs>
        <w:rPr>
          <w:b/>
          <w:sz w:val="22"/>
          <w:szCs w:val="22"/>
        </w:rPr>
      </w:pPr>
      <w:r>
        <w:rPr>
          <w:b/>
          <w:sz w:val="22"/>
          <w:szCs w:val="22"/>
        </w:rPr>
        <w:t xml:space="preserve"> </w:t>
      </w:r>
    </w:p>
    <w:p w:rsidR="00F75B7E" w:rsidP="00404991" w:rsidRDefault="00404991" w14:paraId="36986DD2" w14:textId="57228CA3">
      <w:pPr>
        <w:pStyle w:val="ListParagraph"/>
        <w:numPr>
          <w:ilvl w:val="0"/>
          <w:numId w:val="19"/>
        </w:numPr>
        <w:tabs>
          <w:tab w:val="left" w:pos="360"/>
        </w:tabs>
        <w:rPr>
          <w:i/>
          <w:sz w:val="22"/>
          <w:szCs w:val="22"/>
        </w:rPr>
      </w:pPr>
      <w:r w:rsidRPr="00D01A0F">
        <w:rPr>
          <w:i/>
          <w:sz w:val="22"/>
          <w:szCs w:val="22"/>
        </w:rPr>
        <w:t>Parties receiving reimbursement of compensable relocation costs must document their actual expenses (47 C.F.R. § 27.1415).</w:t>
      </w:r>
    </w:p>
    <w:p w:rsidR="00F75B7E" w:rsidP="00F75B7E" w:rsidRDefault="00F75B7E" w14:paraId="637A2DD7" w14:textId="4236537E">
      <w:pPr>
        <w:pStyle w:val="ListParagraph"/>
        <w:tabs>
          <w:tab w:val="left" w:pos="360"/>
        </w:tabs>
        <w:rPr>
          <w:i/>
          <w:sz w:val="22"/>
          <w:szCs w:val="22"/>
        </w:rPr>
      </w:pPr>
    </w:p>
    <w:p w:rsidR="00F75B7E" w:rsidP="00F75B7E" w:rsidRDefault="0055197C" w14:paraId="392DEB01" w14:textId="78D4ED82">
      <w:pPr>
        <w:pStyle w:val="ListParagraph"/>
        <w:tabs>
          <w:tab w:val="left" w:pos="360"/>
        </w:tabs>
        <w:rPr>
          <w:sz w:val="22"/>
          <w:szCs w:val="22"/>
        </w:rPr>
      </w:pPr>
      <w:r>
        <w:rPr>
          <w:sz w:val="22"/>
          <w:szCs w:val="22"/>
        </w:rPr>
        <w:t xml:space="preserve">2 hours per respondent for </w:t>
      </w:r>
      <w:r w:rsidRPr="003C44F0" w:rsidR="00095019">
        <w:rPr>
          <w:sz w:val="22"/>
          <w:szCs w:val="22"/>
        </w:rPr>
        <w:t>3,005</w:t>
      </w:r>
      <w:r w:rsidRPr="003C44F0">
        <w:rPr>
          <w:sz w:val="22"/>
          <w:szCs w:val="22"/>
        </w:rPr>
        <w:t xml:space="preserve"> respondents</w:t>
      </w:r>
      <w:r w:rsidRPr="003C44F0" w:rsidR="00A93317">
        <w:rPr>
          <w:sz w:val="22"/>
          <w:szCs w:val="22"/>
        </w:rPr>
        <w:t xml:space="preserve">.  </w:t>
      </w:r>
      <w:r w:rsidRPr="003C44F0" w:rsidR="008035AB">
        <w:rPr>
          <w:sz w:val="22"/>
          <w:szCs w:val="22"/>
        </w:rPr>
        <w:t>3,000 e</w:t>
      </w:r>
      <w:r w:rsidRPr="003C44F0" w:rsidR="00A93317">
        <w:rPr>
          <w:sz w:val="22"/>
          <w:szCs w:val="22"/>
        </w:rPr>
        <w:t xml:space="preserve">arth station operators will file 1 time per year; </w:t>
      </w:r>
      <w:r w:rsidRPr="003C44F0" w:rsidR="008035AB">
        <w:rPr>
          <w:sz w:val="22"/>
          <w:szCs w:val="22"/>
        </w:rPr>
        <w:t xml:space="preserve">five </w:t>
      </w:r>
      <w:r w:rsidRPr="003C44F0" w:rsidR="00A93317">
        <w:rPr>
          <w:sz w:val="22"/>
          <w:szCs w:val="22"/>
        </w:rPr>
        <w:t xml:space="preserve">space station operators will file </w:t>
      </w:r>
      <w:r w:rsidRPr="003C44F0" w:rsidR="00DB6BEE">
        <w:rPr>
          <w:sz w:val="22"/>
          <w:szCs w:val="22"/>
        </w:rPr>
        <w:t>5</w:t>
      </w:r>
      <w:r w:rsidRPr="003C44F0" w:rsidR="00A93317">
        <w:rPr>
          <w:sz w:val="22"/>
          <w:szCs w:val="22"/>
        </w:rPr>
        <w:t>2</w:t>
      </w:r>
      <w:r w:rsidRPr="003C44F0" w:rsidR="00095019">
        <w:rPr>
          <w:sz w:val="22"/>
          <w:szCs w:val="22"/>
        </w:rPr>
        <w:t xml:space="preserve"> times per</w:t>
      </w:r>
      <w:r w:rsidR="00095019">
        <w:rPr>
          <w:sz w:val="22"/>
          <w:szCs w:val="22"/>
        </w:rPr>
        <w:t xml:space="preserve"> year.  Total estimated annual hours burden is calculated as follows</w:t>
      </w:r>
      <w:r w:rsidR="00350957">
        <w:rPr>
          <w:sz w:val="22"/>
          <w:szCs w:val="22"/>
        </w:rPr>
        <w:t>:</w:t>
      </w:r>
    </w:p>
    <w:p w:rsidRPr="00624099" w:rsidR="00350957" w:rsidP="00F75B7E" w:rsidRDefault="00350957" w14:paraId="59C36197" w14:textId="07B025CF">
      <w:pPr>
        <w:pStyle w:val="ListParagraph"/>
        <w:tabs>
          <w:tab w:val="left" w:pos="360"/>
        </w:tabs>
        <w:rPr>
          <w:sz w:val="22"/>
          <w:szCs w:val="22"/>
        </w:rPr>
      </w:pPr>
    </w:p>
    <w:p w:rsidRPr="00624099" w:rsidR="003C44F0" w:rsidP="003C44F0" w:rsidRDefault="003C44F0" w14:paraId="0BA73837" w14:textId="2B57A27A">
      <w:pPr>
        <w:pStyle w:val="ListParagraph"/>
        <w:tabs>
          <w:tab w:val="left" w:pos="360"/>
        </w:tabs>
        <w:rPr>
          <w:sz w:val="22"/>
          <w:szCs w:val="22"/>
        </w:rPr>
      </w:pPr>
      <w:r w:rsidRPr="00624099">
        <w:rPr>
          <w:sz w:val="22"/>
          <w:szCs w:val="22"/>
        </w:rPr>
        <w:t xml:space="preserve">3,000 estimated responses </w:t>
      </w:r>
      <w:r w:rsidR="007C2C9A">
        <w:rPr>
          <w:sz w:val="22"/>
          <w:szCs w:val="22"/>
        </w:rPr>
        <w:t>for</w:t>
      </w:r>
      <w:r w:rsidRPr="00624099">
        <w:rPr>
          <w:sz w:val="22"/>
          <w:szCs w:val="22"/>
        </w:rPr>
        <w:t xml:space="preserve"> 2 hours per response = </w:t>
      </w:r>
      <w:r w:rsidRPr="00624099" w:rsidR="00AE6C58">
        <w:rPr>
          <w:sz w:val="22"/>
          <w:szCs w:val="22"/>
        </w:rPr>
        <w:t>6,000 total estimated burden hours for earth station operators.</w:t>
      </w:r>
    </w:p>
    <w:p w:rsidRPr="00624099" w:rsidR="003C44F0" w:rsidP="00F75B7E" w:rsidRDefault="003C44F0" w14:paraId="70483D7E" w14:textId="77777777">
      <w:pPr>
        <w:pStyle w:val="ListParagraph"/>
        <w:tabs>
          <w:tab w:val="left" w:pos="360"/>
        </w:tabs>
        <w:rPr>
          <w:sz w:val="22"/>
          <w:szCs w:val="22"/>
        </w:rPr>
      </w:pPr>
    </w:p>
    <w:p w:rsidRPr="00624099" w:rsidR="009E302E" w:rsidP="003C44F0" w:rsidRDefault="008035AB" w14:paraId="79FF9105" w14:textId="7C7DE226">
      <w:pPr>
        <w:pStyle w:val="ListParagraph"/>
        <w:tabs>
          <w:tab w:val="left" w:pos="360"/>
        </w:tabs>
        <w:rPr>
          <w:sz w:val="22"/>
          <w:szCs w:val="22"/>
        </w:rPr>
      </w:pPr>
      <w:r w:rsidRPr="00624099">
        <w:rPr>
          <w:sz w:val="22"/>
          <w:szCs w:val="22"/>
        </w:rPr>
        <w:t xml:space="preserve">260 estimated responses </w:t>
      </w:r>
      <w:r w:rsidR="007C2C9A">
        <w:rPr>
          <w:sz w:val="22"/>
          <w:szCs w:val="22"/>
        </w:rPr>
        <w:t>for</w:t>
      </w:r>
      <w:r w:rsidRPr="00624099">
        <w:rPr>
          <w:sz w:val="22"/>
          <w:szCs w:val="22"/>
        </w:rPr>
        <w:t xml:space="preserve"> 2 hours per response = </w:t>
      </w:r>
      <w:r w:rsidRPr="00624099" w:rsidR="003C44F0">
        <w:rPr>
          <w:sz w:val="22"/>
          <w:szCs w:val="22"/>
        </w:rPr>
        <w:t>520 total estimated burden hours for space station operators.</w:t>
      </w:r>
    </w:p>
    <w:p w:rsidR="00956AE8" w:rsidP="003C44F0" w:rsidRDefault="00956AE8" w14:paraId="7896AB33" w14:textId="4732C441">
      <w:pPr>
        <w:pStyle w:val="ListParagraph"/>
        <w:tabs>
          <w:tab w:val="left" w:pos="360"/>
        </w:tabs>
        <w:rPr>
          <w:b/>
          <w:sz w:val="22"/>
          <w:szCs w:val="22"/>
        </w:rPr>
      </w:pPr>
    </w:p>
    <w:p w:rsidRPr="003C44F0" w:rsidR="00956AE8" w:rsidP="003C44F0" w:rsidRDefault="001756DA" w14:paraId="019FCDDB" w14:textId="5FC2B5AB">
      <w:pPr>
        <w:pStyle w:val="ListParagraph"/>
        <w:tabs>
          <w:tab w:val="left" w:pos="360"/>
        </w:tabs>
        <w:rPr>
          <w:b/>
          <w:sz w:val="22"/>
          <w:szCs w:val="22"/>
        </w:rPr>
      </w:pPr>
      <w:r>
        <w:rPr>
          <w:b/>
          <w:sz w:val="22"/>
          <w:szCs w:val="22"/>
        </w:rPr>
        <w:t>6</w:t>
      </w:r>
      <w:r w:rsidR="007E0880">
        <w:rPr>
          <w:b/>
          <w:sz w:val="22"/>
          <w:szCs w:val="22"/>
        </w:rPr>
        <w:t>,000</w:t>
      </w:r>
      <w:r w:rsidR="00956AE8">
        <w:rPr>
          <w:b/>
          <w:sz w:val="22"/>
          <w:szCs w:val="22"/>
        </w:rPr>
        <w:t xml:space="preserve"> total estimated burden hours for earth station operators + 520 total estimated burden hours for space station operators = </w:t>
      </w:r>
      <w:r>
        <w:rPr>
          <w:b/>
          <w:sz w:val="22"/>
          <w:szCs w:val="22"/>
        </w:rPr>
        <w:t>6</w:t>
      </w:r>
      <w:r w:rsidR="007E0880">
        <w:rPr>
          <w:b/>
          <w:sz w:val="22"/>
          <w:szCs w:val="22"/>
        </w:rPr>
        <w:t>,520</w:t>
      </w:r>
      <w:r w:rsidR="00956AE8">
        <w:rPr>
          <w:b/>
          <w:sz w:val="22"/>
          <w:szCs w:val="22"/>
        </w:rPr>
        <w:t xml:space="preserve"> total estimated burden hours.</w:t>
      </w:r>
    </w:p>
    <w:p w:rsidRPr="00C34BA1" w:rsidR="00F75B7E" w:rsidP="00C34BA1" w:rsidRDefault="00F75B7E" w14:paraId="7E1AB6E5" w14:textId="77777777">
      <w:pPr>
        <w:tabs>
          <w:tab w:val="left" w:pos="360"/>
        </w:tabs>
        <w:rPr>
          <w:i/>
          <w:sz w:val="22"/>
          <w:szCs w:val="22"/>
        </w:rPr>
      </w:pPr>
    </w:p>
    <w:p w:rsidRPr="007822C5" w:rsidR="00404991" w:rsidP="00404991" w:rsidRDefault="00404991" w14:paraId="6C5505BD" w14:textId="5A096C9B">
      <w:pPr>
        <w:pStyle w:val="ListParagraph"/>
        <w:numPr>
          <w:ilvl w:val="0"/>
          <w:numId w:val="19"/>
        </w:numPr>
        <w:tabs>
          <w:tab w:val="left" w:pos="360"/>
        </w:tabs>
        <w:rPr>
          <w:i/>
          <w:sz w:val="22"/>
          <w:szCs w:val="22"/>
        </w:rPr>
      </w:pPr>
      <w:r w:rsidRPr="00D01A0F">
        <w:rPr>
          <w:i/>
          <w:sz w:val="22"/>
          <w:szCs w:val="22"/>
        </w:rPr>
        <w:t>The Relocation Payment Clearinghouse, or a third-party on behalf of the Relocation Payment Clearinghouse, may conduct audits of entities that receive reimbursements (47 C.F.R. § 27.1415).  The Relocation Payment Clearinghouse shall review reimbursement requests to determine whether they are reasonable and to ensure they comply with the requirements adopted in this sub-part (47 C.F.R. § 27.1416(a))</w:t>
      </w:r>
      <w:r w:rsidRPr="00D01A0F">
        <w:rPr>
          <w:sz w:val="22"/>
          <w:szCs w:val="22"/>
        </w:rPr>
        <w:t>.</w:t>
      </w:r>
    </w:p>
    <w:p w:rsidR="007822C5" w:rsidP="007822C5" w:rsidRDefault="007822C5" w14:paraId="67B9F96C" w14:textId="40AFAC13">
      <w:pPr>
        <w:pStyle w:val="ListParagraph"/>
        <w:tabs>
          <w:tab w:val="left" w:pos="360"/>
        </w:tabs>
        <w:rPr>
          <w:i/>
          <w:sz w:val="22"/>
          <w:szCs w:val="22"/>
        </w:rPr>
      </w:pPr>
    </w:p>
    <w:p w:rsidR="00306F1D" w:rsidP="007822C5" w:rsidRDefault="007822C5" w14:paraId="2F299725" w14:textId="3F3531E0">
      <w:pPr>
        <w:pStyle w:val="ListParagraph"/>
        <w:tabs>
          <w:tab w:val="left" w:pos="360"/>
        </w:tabs>
        <w:rPr>
          <w:sz w:val="22"/>
          <w:szCs w:val="22"/>
        </w:rPr>
      </w:pPr>
      <w:r>
        <w:rPr>
          <w:sz w:val="22"/>
          <w:szCs w:val="22"/>
        </w:rPr>
        <w:t xml:space="preserve">2 hours per respondent for </w:t>
      </w:r>
      <w:r w:rsidR="00306F1D">
        <w:rPr>
          <w:sz w:val="22"/>
          <w:szCs w:val="22"/>
        </w:rPr>
        <w:t>1 respondent reviewing 3,260 estimated responses per year.  Total estimated annual hours burden is calculated as follows:</w:t>
      </w:r>
    </w:p>
    <w:p w:rsidR="00306F1D" w:rsidP="007822C5" w:rsidRDefault="00306F1D" w14:paraId="76C72D59" w14:textId="52239A67">
      <w:pPr>
        <w:pStyle w:val="ListParagraph"/>
        <w:tabs>
          <w:tab w:val="left" w:pos="360"/>
        </w:tabs>
        <w:rPr>
          <w:sz w:val="22"/>
          <w:szCs w:val="22"/>
        </w:rPr>
      </w:pPr>
    </w:p>
    <w:p w:rsidRPr="00646212" w:rsidR="00562D12" w:rsidP="00646212" w:rsidRDefault="00306F1D" w14:paraId="56FE02D0" w14:textId="131024A2">
      <w:pPr>
        <w:pStyle w:val="ListParagraph"/>
        <w:tabs>
          <w:tab w:val="left" w:pos="360"/>
        </w:tabs>
        <w:rPr>
          <w:b/>
          <w:sz w:val="22"/>
          <w:szCs w:val="22"/>
        </w:rPr>
      </w:pPr>
      <w:r w:rsidRPr="00306F1D">
        <w:rPr>
          <w:b/>
          <w:sz w:val="22"/>
          <w:szCs w:val="22"/>
        </w:rPr>
        <w:t xml:space="preserve">3,260 estimated responses x 2 hours per response = </w:t>
      </w:r>
      <w:r>
        <w:rPr>
          <w:b/>
          <w:sz w:val="22"/>
          <w:szCs w:val="22"/>
        </w:rPr>
        <w:t>6,520 total estimated burden hours.</w:t>
      </w:r>
    </w:p>
    <w:p w:rsidR="00BC68AC" w:rsidP="007822C5" w:rsidRDefault="00BC68AC" w14:paraId="6E9A7C56" w14:textId="37A0E09C">
      <w:pPr>
        <w:pStyle w:val="ListParagraph"/>
        <w:tabs>
          <w:tab w:val="left" w:pos="360"/>
        </w:tabs>
        <w:rPr>
          <w:b/>
          <w:sz w:val="22"/>
          <w:szCs w:val="22"/>
        </w:rPr>
      </w:pPr>
    </w:p>
    <w:p w:rsidRPr="00D01A0F" w:rsidR="00BC68AC" w:rsidP="00BC68AC" w:rsidRDefault="00BC68AC" w14:paraId="34217C13" w14:textId="77777777">
      <w:pPr>
        <w:pStyle w:val="ListParagraph"/>
        <w:numPr>
          <w:ilvl w:val="0"/>
          <w:numId w:val="19"/>
        </w:numPr>
        <w:tabs>
          <w:tab w:val="left" w:pos="360"/>
        </w:tabs>
        <w:rPr>
          <w:i/>
          <w:sz w:val="22"/>
          <w:szCs w:val="22"/>
        </w:rPr>
      </w:pPr>
      <w:r w:rsidRPr="00D01A0F">
        <w:rPr>
          <w:i/>
          <w:sz w:val="22"/>
          <w:szCs w:val="22"/>
        </w:rPr>
        <w:t>Following a determination of the reimbursable amount, the Relocation Payment Clearinghouse shall incorporate approved claims into invoices, which it shall issue to each licensee indicating the amount to be paid.  (47 C.F.R. § 27.1416(b))</w:t>
      </w:r>
    </w:p>
    <w:p w:rsidR="00BC68AC" w:rsidP="007822C5" w:rsidRDefault="00BC68AC" w14:paraId="31D593C5" w14:textId="5BB4B8FE">
      <w:pPr>
        <w:pStyle w:val="ListParagraph"/>
        <w:tabs>
          <w:tab w:val="left" w:pos="360"/>
        </w:tabs>
        <w:rPr>
          <w:b/>
          <w:sz w:val="22"/>
          <w:szCs w:val="22"/>
        </w:rPr>
      </w:pPr>
    </w:p>
    <w:p w:rsidR="00BC68AC" w:rsidP="007822C5" w:rsidRDefault="0027771E" w14:paraId="3F29D6A5" w14:textId="0ACE7B4A">
      <w:pPr>
        <w:pStyle w:val="ListParagraph"/>
        <w:tabs>
          <w:tab w:val="left" w:pos="360"/>
        </w:tabs>
        <w:rPr>
          <w:sz w:val="22"/>
          <w:szCs w:val="22"/>
        </w:rPr>
      </w:pPr>
      <w:r>
        <w:rPr>
          <w:sz w:val="22"/>
          <w:szCs w:val="22"/>
        </w:rPr>
        <w:t xml:space="preserve">We expect that the Relocation Payment Clearinghouse coordinator will send invoices to each licensee on a weekly basis and it will take </w:t>
      </w:r>
      <w:r w:rsidR="00BC68AC">
        <w:rPr>
          <w:sz w:val="22"/>
          <w:szCs w:val="22"/>
        </w:rPr>
        <w:t xml:space="preserve">16 hours per </w:t>
      </w:r>
      <w:r>
        <w:rPr>
          <w:sz w:val="22"/>
          <w:szCs w:val="22"/>
        </w:rPr>
        <w:t xml:space="preserve">response </w:t>
      </w:r>
      <w:r w:rsidR="006539D9">
        <w:rPr>
          <w:sz w:val="22"/>
          <w:szCs w:val="22"/>
        </w:rPr>
        <w:t xml:space="preserve">for </w:t>
      </w:r>
      <w:r w:rsidR="00BC68AC">
        <w:rPr>
          <w:sz w:val="22"/>
          <w:szCs w:val="22"/>
        </w:rPr>
        <w:t xml:space="preserve">1 respondent </w:t>
      </w:r>
      <w:r>
        <w:rPr>
          <w:sz w:val="22"/>
          <w:szCs w:val="22"/>
        </w:rPr>
        <w:t>sending an invoice to 35 licensees</w:t>
      </w:r>
      <w:r w:rsidR="00EF7E1F">
        <w:rPr>
          <w:sz w:val="22"/>
          <w:szCs w:val="22"/>
        </w:rPr>
        <w:t>.  Total estimated annual hours burden is calculated as follows:</w:t>
      </w:r>
    </w:p>
    <w:p w:rsidR="00EF7E1F" w:rsidP="007822C5" w:rsidRDefault="00EF7E1F" w14:paraId="40140B7D" w14:textId="45103459">
      <w:pPr>
        <w:pStyle w:val="ListParagraph"/>
        <w:tabs>
          <w:tab w:val="left" w:pos="360"/>
        </w:tabs>
        <w:rPr>
          <w:sz w:val="22"/>
          <w:szCs w:val="22"/>
        </w:rPr>
      </w:pPr>
    </w:p>
    <w:p w:rsidRPr="00EF7E1F" w:rsidR="00EF7E1F" w:rsidP="007822C5" w:rsidRDefault="0027771E" w14:paraId="19B51E5D" w14:textId="0E1D0827">
      <w:pPr>
        <w:pStyle w:val="ListParagraph"/>
        <w:tabs>
          <w:tab w:val="left" w:pos="360"/>
        </w:tabs>
        <w:rPr>
          <w:b/>
          <w:sz w:val="22"/>
          <w:szCs w:val="22"/>
        </w:rPr>
      </w:pPr>
      <w:r>
        <w:rPr>
          <w:b/>
          <w:sz w:val="22"/>
          <w:szCs w:val="22"/>
        </w:rPr>
        <w:t>1,820</w:t>
      </w:r>
      <w:r w:rsidR="00EF7E1F">
        <w:rPr>
          <w:b/>
          <w:sz w:val="22"/>
          <w:szCs w:val="22"/>
        </w:rPr>
        <w:t xml:space="preserve"> estimated responses</w:t>
      </w:r>
      <w:r>
        <w:rPr>
          <w:b/>
          <w:sz w:val="22"/>
          <w:szCs w:val="22"/>
        </w:rPr>
        <w:t xml:space="preserve"> (35 invoices</w:t>
      </w:r>
      <w:r w:rsidR="00EF7E1F">
        <w:rPr>
          <w:b/>
          <w:sz w:val="22"/>
          <w:szCs w:val="22"/>
        </w:rPr>
        <w:t xml:space="preserve"> x </w:t>
      </w:r>
      <w:r>
        <w:rPr>
          <w:b/>
          <w:sz w:val="22"/>
          <w:szCs w:val="22"/>
        </w:rPr>
        <w:t xml:space="preserve">52 times per year) x </w:t>
      </w:r>
      <w:r w:rsidR="00EF7E1F">
        <w:rPr>
          <w:b/>
          <w:sz w:val="22"/>
          <w:szCs w:val="22"/>
        </w:rPr>
        <w:t xml:space="preserve">16 hours per response = </w:t>
      </w:r>
      <w:r>
        <w:rPr>
          <w:b/>
          <w:sz w:val="22"/>
          <w:szCs w:val="22"/>
        </w:rPr>
        <w:t>29,120</w:t>
      </w:r>
      <w:r w:rsidR="00EF7E1F">
        <w:rPr>
          <w:b/>
          <w:sz w:val="22"/>
          <w:szCs w:val="22"/>
        </w:rPr>
        <w:t xml:space="preserve"> total estimated burden hours.</w:t>
      </w:r>
    </w:p>
    <w:p w:rsidR="00562D12" w:rsidP="007822C5" w:rsidRDefault="00562D12" w14:paraId="6768106E" w14:textId="1E6AC345">
      <w:pPr>
        <w:pStyle w:val="ListParagraph"/>
        <w:tabs>
          <w:tab w:val="left" w:pos="360"/>
        </w:tabs>
        <w:rPr>
          <w:b/>
          <w:sz w:val="22"/>
          <w:szCs w:val="22"/>
        </w:rPr>
      </w:pPr>
    </w:p>
    <w:p w:rsidRPr="00D01A0F" w:rsidR="00181DB0" w:rsidP="00181DB0" w:rsidRDefault="00181DB0" w14:paraId="7A63C3CB" w14:textId="77777777">
      <w:pPr>
        <w:pStyle w:val="ListParagraph"/>
        <w:numPr>
          <w:ilvl w:val="0"/>
          <w:numId w:val="19"/>
        </w:numPr>
        <w:tabs>
          <w:tab w:val="left" w:pos="360"/>
        </w:tabs>
        <w:rPr>
          <w:i/>
          <w:sz w:val="22"/>
          <w:szCs w:val="22"/>
        </w:rPr>
      </w:pPr>
      <w:r w:rsidRPr="00D01A0F">
        <w:rPr>
          <w:i/>
          <w:sz w:val="22"/>
          <w:szCs w:val="22"/>
        </w:rPr>
        <w:t>In the case that the Wireless Telecommunications Bureau selects the Relocation Coordinator, overlay licensees will, collectively, pay for the services of the Relocation Coordinator and staff.  The Relocation Coordinator shall submit its own reasonable costs to the Relocation Clearinghouse, who will then collect payments from overlay licensees.  (47 C.F.R. § 27.1413(a)(2))</w:t>
      </w:r>
    </w:p>
    <w:p w:rsidR="00EF7E1F" w:rsidP="007822C5" w:rsidRDefault="00EF7E1F" w14:paraId="00D1F900" w14:textId="71A08150">
      <w:pPr>
        <w:pStyle w:val="ListParagraph"/>
        <w:tabs>
          <w:tab w:val="left" w:pos="360"/>
        </w:tabs>
        <w:rPr>
          <w:sz w:val="22"/>
          <w:szCs w:val="22"/>
        </w:rPr>
      </w:pPr>
    </w:p>
    <w:p w:rsidR="00181DB0" w:rsidP="007822C5" w:rsidRDefault="00181DB0" w14:paraId="358DC19D" w14:textId="0143D5D4">
      <w:pPr>
        <w:pStyle w:val="ListParagraph"/>
        <w:tabs>
          <w:tab w:val="left" w:pos="360"/>
        </w:tabs>
        <w:rPr>
          <w:sz w:val="22"/>
          <w:szCs w:val="22"/>
        </w:rPr>
      </w:pPr>
      <w:r>
        <w:rPr>
          <w:sz w:val="22"/>
          <w:szCs w:val="22"/>
        </w:rPr>
        <w:t>2 hours per respondent</w:t>
      </w:r>
      <w:r w:rsidR="006539D9">
        <w:rPr>
          <w:sz w:val="22"/>
          <w:szCs w:val="22"/>
        </w:rPr>
        <w:t xml:space="preserve"> for</w:t>
      </w:r>
      <w:r>
        <w:rPr>
          <w:sz w:val="22"/>
          <w:szCs w:val="22"/>
        </w:rPr>
        <w:t xml:space="preserve"> 1 respondent filing 12 times per year.  Total estimated annual hours burden is calculated as follows:</w:t>
      </w:r>
    </w:p>
    <w:p w:rsidR="00181DB0" w:rsidP="007822C5" w:rsidRDefault="00181DB0" w14:paraId="79E15D62" w14:textId="55C88252">
      <w:pPr>
        <w:pStyle w:val="ListParagraph"/>
        <w:tabs>
          <w:tab w:val="left" w:pos="360"/>
        </w:tabs>
        <w:rPr>
          <w:sz w:val="22"/>
          <w:szCs w:val="22"/>
        </w:rPr>
      </w:pPr>
    </w:p>
    <w:p w:rsidR="00181DB0" w:rsidP="007822C5" w:rsidRDefault="00181DB0" w14:paraId="083C583D" w14:textId="2E2426EE">
      <w:pPr>
        <w:pStyle w:val="ListParagraph"/>
        <w:tabs>
          <w:tab w:val="left" w:pos="360"/>
        </w:tabs>
        <w:rPr>
          <w:b/>
          <w:sz w:val="22"/>
          <w:szCs w:val="22"/>
        </w:rPr>
      </w:pPr>
      <w:r>
        <w:rPr>
          <w:b/>
          <w:sz w:val="22"/>
          <w:szCs w:val="22"/>
        </w:rPr>
        <w:t>12 estimated responses x 2 hours per response = 24 total estimated burden hours.</w:t>
      </w:r>
    </w:p>
    <w:p w:rsidR="00181DB0" w:rsidP="007822C5" w:rsidRDefault="00181DB0" w14:paraId="3BF64FAE" w14:textId="735B8A2B">
      <w:pPr>
        <w:pStyle w:val="ListParagraph"/>
        <w:tabs>
          <w:tab w:val="left" w:pos="360"/>
        </w:tabs>
        <w:rPr>
          <w:b/>
          <w:sz w:val="22"/>
          <w:szCs w:val="22"/>
        </w:rPr>
      </w:pPr>
    </w:p>
    <w:p w:rsidRPr="00D01A0F" w:rsidR="00181DB0" w:rsidP="00181DB0" w:rsidRDefault="00181DB0" w14:paraId="7A88BC94" w14:textId="77777777">
      <w:pPr>
        <w:pStyle w:val="ListParagraph"/>
        <w:numPr>
          <w:ilvl w:val="0"/>
          <w:numId w:val="19"/>
        </w:numPr>
        <w:tabs>
          <w:tab w:val="left" w:pos="360"/>
        </w:tabs>
        <w:rPr>
          <w:i/>
          <w:sz w:val="22"/>
          <w:szCs w:val="22"/>
        </w:rPr>
      </w:pPr>
      <w:r w:rsidRPr="00D01A0F">
        <w:rPr>
          <w:i/>
          <w:sz w:val="22"/>
          <w:szCs w:val="22"/>
        </w:rPr>
        <w:t>The Relocation Payment Clearinghouse may mediate any disputes regarding cost estimates or payments that may arise in the course of band reconfiguration; or refer the disputant parties to alternative dispute resolution fora.  (47 C.F.R. § 27.1421).  Should any issues still remain unresolved, they may be referred to the Bureau within ten days of recommended decision or advice of the Relocation Payment Clearinghouse or other mediator and any decision of the Relocation Payment Clearinghouse can be appealed to the Chief of the Bureau.  (47 C.F.R. § 27.1421(c)).  When referring an unresolved matter, the Relocation Payment Clearinghouse shall forward the entire record of any disputed issues, including such dispositions thereof that the Relocation Payment Clearinghouse has considered.  (47 C.F.R. § 27.1421(c)(i)).</w:t>
      </w:r>
    </w:p>
    <w:p w:rsidR="00181DB0" w:rsidP="007822C5" w:rsidRDefault="00181DB0" w14:paraId="19D08A29" w14:textId="34131B04">
      <w:pPr>
        <w:pStyle w:val="ListParagraph"/>
        <w:tabs>
          <w:tab w:val="left" w:pos="360"/>
        </w:tabs>
        <w:rPr>
          <w:b/>
          <w:sz w:val="22"/>
          <w:szCs w:val="22"/>
        </w:rPr>
      </w:pPr>
    </w:p>
    <w:p w:rsidR="00181DB0" w:rsidP="007822C5" w:rsidRDefault="00181DB0" w14:paraId="5C004AD5" w14:textId="574322FB">
      <w:pPr>
        <w:pStyle w:val="ListParagraph"/>
        <w:tabs>
          <w:tab w:val="left" w:pos="360"/>
        </w:tabs>
        <w:rPr>
          <w:sz w:val="22"/>
          <w:szCs w:val="22"/>
        </w:rPr>
      </w:pPr>
      <w:r>
        <w:rPr>
          <w:sz w:val="22"/>
          <w:szCs w:val="22"/>
        </w:rPr>
        <w:t>8 hours per respondent fo</w:t>
      </w:r>
      <w:r w:rsidR="005F0B35">
        <w:rPr>
          <w:sz w:val="22"/>
          <w:szCs w:val="22"/>
        </w:rPr>
        <w:t>r 1 respondent filing 37 times per year.  Total estimated annual hours burden is calculated as follows:</w:t>
      </w:r>
    </w:p>
    <w:p w:rsidR="005F0B35" w:rsidP="007822C5" w:rsidRDefault="005F0B35" w14:paraId="45A1D691" w14:textId="6CB15B47">
      <w:pPr>
        <w:pStyle w:val="ListParagraph"/>
        <w:tabs>
          <w:tab w:val="left" w:pos="360"/>
        </w:tabs>
        <w:rPr>
          <w:sz w:val="22"/>
          <w:szCs w:val="22"/>
        </w:rPr>
      </w:pPr>
    </w:p>
    <w:p w:rsidR="005F0B35" w:rsidP="007822C5" w:rsidRDefault="005F0B35" w14:paraId="6B07B47E" w14:textId="4FB39C56">
      <w:pPr>
        <w:pStyle w:val="ListParagraph"/>
        <w:tabs>
          <w:tab w:val="left" w:pos="360"/>
        </w:tabs>
        <w:rPr>
          <w:b/>
          <w:sz w:val="22"/>
          <w:szCs w:val="22"/>
        </w:rPr>
      </w:pPr>
      <w:r>
        <w:rPr>
          <w:b/>
          <w:sz w:val="22"/>
          <w:szCs w:val="22"/>
        </w:rPr>
        <w:t>37 estimated responses x 8 hours per response = 296 total estimated burden hours.</w:t>
      </w:r>
    </w:p>
    <w:p w:rsidR="001A7ECD" w:rsidP="007822C5" w:rsidRDefault="001A7ECD" w14:paraId="38817AEA" w14:textId="5A553D85">
      <w:pPr>
        <w:pStyle w:val="ListParagraph"/>
        <w:tabs>
          <w:tab w:val="left" w:pos="360"/>
        </w:tabs>
        <w:rPr>
          <w:b/>
          <w:sz w:val="22"/>
          <w:szCs w:val="22"/>
        </w:rPr>
      </w:pPr>
    </w:p>
    <w:p w:rsidRPr="00D01A0F" w:rsidR="005C4D35" w:rsidP="005C4D35" w:rsidRDefault="005C4D35" w14:paraId="1D78757D" w14:textId="77777777">
      <w:pPr>
        <w:pStyle w:val="ListParagraph"/>
        <w:numPr>
          <w:ilvl w:val="0"/>
          <w:numId w:val="19"/>
        </w:numPr>
        <w:tabs>
          <w:tab w:val="left" w:pos="360"/>
        </w:tabs>
        <w:rPr>
          <w:i/>
          <w:sz w:val="22"/>
          <w:szCs w:val="22"/>
        </w:rPr>
      </w:pPr>
      <w:r w:rsidRPr="00D01A0F">
        <w:rPr>
          <w:i/>
          <w:sz w:val="22"/>
          <w:szCs w:val="22"/>
        </w:rPr>
        <w:t>Parties disputing costs must file an objection with the RPC (47 C.F.R. § 27.1421; para. 304)</w:t>
      </w:r>
    </w:p>
    <w:p w:rsidR="001A7ECD" w:rsidP="007822C5" w:rsidRDefault="001A7ECD" w14:paraId="13260158" w14:textId="68E65964">
      <w:pPr>
        <w:pStyle w:val="ListParagraph"/>
        <w:tabs>
          <w:tab w:val="left" w:pos="360"/>
        </w:tabs>
        <w:rPr>
          <w:b/>
          <w:sz w:val="22"/>
          <w:szCs w:val="22"/>
        </w:rPr>
      </w:pPr>
    </w:p>
    <w:p w:rsidR="005C4D35" w:rsidP="007822C5" w:rsidRDefault="005C4D35" w14:paraId="68003B93" w14:textId="5065B84F">
      <w:pPr>
        <w:pStyle w:val="ListParagraph"/>
        <w:tabs>
          <w:tab w:val="left" w:pos="360"/>
        </w:tabs>
        <w:rPr>
          <w:sz w:val="22"/>
          <w:szCs w:val="22"/>
        </w:rPr>
      </w:pPr>
      <w:r>
        <w:rPr>
          <w:sz w:val="22"/>
          <w:szCs w:val="22"/>
        </w:rPr>
        <w:t>8 hours per respondent for 37 respondents filing once a year</w:t>
      </w:r>
      <w:r w:rsidR="0090085B">
        <w:rPr>
          <w:sz w:val="22"/>
          <w:szCs w:val="22"/>
        </w:rPr>
        <w:t>.  Total estimated annual hours burden is calculated as follows:</w:t>
      </w:r>
    </w:p>
    <w:p w:rsidR="0090085B" w:rsidP="007822C5" w:rsidRDefault="0090085B" w14:paraId="0C98FDAF" w14:textId="164E385F">
      <w:pPr>
        <w:pStyle w:val="ListParagraph"/>
        <w:tabs>
          <w:tab w:val="left" w:pos="360"/>
        </w:tabs>
        <w:rPr>
          <w:sz w:val="22"/>
          <w:szCs w:val="22"/>
        </w:rPr>
      </w:pPr>
    </w:p>
    <w:p w:rsidR="0090085B" w:rsidP="007822C5" w:rsidRDefault="0090085B" w14:paraId="51D552B4" w14:textId="659F4752">
      <w:pPr>
        <w:pStyle w:val="ListParagraph"/>
        <w:tabs>
          <w:tab w:val="left" w:pos="360"/>
        </w:tabs>
        <w:rPr>
          <w:b/>
          <w:sz w:val="22"/>
          <w:szCs w:val="22"/>
        </w:rPr>
      </w:pPr>
      <w:r>
        <w:rPr>
          <w:b/>
          <w:sz w:val="22"/>
          <w:szCs w:val="22"/>
        </w:rPr>
        <w:t>37 estimated responses x 8 hours per response = 296 estimated burden hours.</w:t>
      </w:r>
    </w:p>
    <w:p w:rsidR="0090085B" w:rsidP="007822C5" w:rsidRDefault="0090085B" w14:paraId="2A7FF8E5" w14:textId="0A7C3672">
      <w:pPr>
        <w:pStyle w:val="ListParagraph"/>
        <w:tabs>
          <w:tab w:val="left" w:pos="360"/>
        </w:tabs>
        <w:rPr>
          <w:b/>
          <w:sz w:val="22"/>
          <w:szCs w:val="22"/>
        </w:rPr>
      </w:pPr>
    </w:p>
    <w:p w:rsidR="0090085B" w:rsidP="0090085B" w:rsidRDefault="0090085B" w14:paraId="1F54E204" w14:textId="00D6EB72">
      <w:pPr>
        <w:pStyle w:val="ListParagraph"/>
        <w:numPr>
          <w:ilvl w:val="0"/>
          <w:numId w:val="19"/>
        </w:numPr>
        <w:tabs>
          <w:tab w:val="left" w:pos="360"/>
        </w:tabs>
        <w:rPr>
          <w:i/>
          <w:sz w:val="22"/>
          <w:szCs w:val="22"/>
        </w:rPr>
      </w:pPr>
      <w:r w:rsidRPr="00D01A0F">
        <w:rPr>
          <w:i/>
          <w:sz w:val="22"/>
          <w:szCs w:val="22"/>
        </w:rPr>
        <w:t>The Relocation Payment Clearinghouse shall promptly notify 3.7 GHz band licensees following submission of the Certification of Accelerated Relocation (47 C.F.R § 27.1422(c))</w:t>
      </w:r>
    </w:p>
    <w:p w:rsidR="0090085B" w:rsidP="0090085B" w:rsidRDefault="0090085B" w14:paraId="5013165B" w14:textId="6C999FD1">
      <w:pPr>
        <w:pStyle w:val="ListParagraph"/>
        <w:tabs>
          <w:tab w:val="left" w:pos="360"/>
        </w:tabs>
        <w:rPr>
          <w:i/>
          <w:sz w:val="22"/>
          <w:szCs w:val="22"/>
        </w:rPr>
      </w:pPr>
    </w:p>
    <w:p w:rsidR="0090085B" w:rsidP="0090085B" w:rsidRDefault="0090085B" w14:paraId="5C9508C3" w14:textId="3213FACD">
      <w:pPr>
        <w:pStyle w:val="ListParagraph"/>
        <w:tabs>
          <w:tab w:val="left" w:pos="360"/>
        </w:tabs>
        <w:rPr>
          <w:sz w:val="22"/>
          <w:szCs w:val="22"/>
        </w:rPr>
      </w:pPr>
      <w:r>
        <w:rPr>
          <w:sz w:val="22"/>
          <w:szCs w:val="22"/>
        </w:rPr>
        <w:t xml:space="preserve">0.5 hours per respondent for 1 respondent filing </w:t>
      </w:r>
      <w:r w:rsidR="00BD1526">
        <w:rPr>
          <w:sz w:val="22"/>
          <w:szCs w:val="22"/>
        </w:rPr>
        <w:t xml:space="preserve">175 </w:t>
      </w:r>
      <w:r>
        <w:rPr>
          <w:sz w:val="22"/>
          <w:szCs w:val="22"/>
        </w:rPr>
        <w:t>times</w:t>
      </w:r>
      <w:r w:rsidR="00762EEB">
        <w:rPr>
          <w:sz w:val="22"/>
          <w:szCs w:val="22"/>
        </w:rPr>
        <w:t>.  W</w:t>
      </w:r>
      <w:r w:rsidR="0058242C">
        <w:rPr>
          <w:sz w:val="22"/>
          <w:szCs w:val="22"/>
        </w:rPr>
        <w:t xml:space="preserve">e anticipate that the RPC will be required to send </w:t>
      </w:r>
      <w:r w:rsidR="00135AF0">
        <w:rPr>
          <w:sz w:val="22"/>
          <w:szCs w:val="22"/>
        </w:rPr>
        <w:t xml:space="preserve">5 notifications of Certification of Accelerations to 35 licensees because there are approximately five eligible </w:t>
      </w:r>
      <w:r w:rsidR="008C7777">
        <w:rPr>
          <w:sz w:val="22"/>
          <w:szCs w:val="22"/>
        </w:rPr>
        <w:t>space</w:t>
      </w:r>
      <w:r w:rsidR="00135AF0">
        <w:rPr>
          <w:sz w:val="22"/>
          <w:szCs w:val="22"/>
        </w:rPr>
        <w:t xml:space="preserve"> station operators</w:t>
      </w:r>
      <w:r>
        <w:rPr>
          <w:sz w:val="22"/>
          <w:szCs w:val="22"/>
        </w:rPr>
        <w:t>.</w:t>
      </w:r>
      <w:r w:rsidR="0002552A">
        <w:rPr>
          <w:sz w:val="22"/>
          <w:szCs w:val="22"/>
        </w:rPr>
        <w:t xml:space="preserve">  Total estimated annual hours burden is calculated as follows:</w:t>
      </w:r>
    </w:p>
    <w:p w:rsidR="0002552A" w:rsidP="0090085B" w:rsidRDefault="0002552A" w14:paraId="33EE5C0A" w14:textId="5A4DB643">
      <w:pPr>
        <w:pStyle w:val="ListParagraph"/>
        <w:tabs>
          <w:tab w:val="left" w:pos="360"/>
        </w:tabs>
        <w:rPr>
          <w:sz w:val="22"/>
          <w:szCs w:val="22"/>
        </w:rPr>
      </w:pPr>
    </w:p>
    <w:p w:rsidR="0002552A" w:rsidP="0090085B" w:rsidRDefault="00DB3E4C" w14:paraId="7255FEE1" w14:textId="7C7542EC">
      <w:pPr>
        <w:pStyle w:val="ListParagraph"/>
        <w:tabs>
          <w:tab w:val="left" w:pos="360"/>
        </w:tabs>
        <w:rPr>
          <w:b/>
          <w:sz w:val="22"/>
          <w:szCs w:val="22"/>
        </w:rPr>
      </w:pPr>
      <w:r>
        <w:rPr>
          <w:b/>
          <w:sz w:val="22"/>
          <w:szCs w:val="22"/>
        </w:rPr>
        <w:t>175</w:t>
      </w:r>
      <w:r w:rsidR="0002552A">
        <w:rPr>
          <w:b/>
          <w:sz w:val="22"/>
          <w:szCs w:val="22"/>
        </w:rPr>
        <w:t xml:space="preserve"> estimated responses x 0.5 hours per response = </w:t>
      </w:r>
      <w:r w:rsidR="009B1F93">
        <w:rPr>
          <w:b/>
          <w:sz w:val="22"/>
          <w:szCs w:val="22"/>
        </w:rPr>
        <w:t>87.5</w:t>
      </w:r>
      <w:r w:rsidR="0002552A">
        <w:rPr>
          <w:b/>
          <w:sz w:val="22"/>
          <w:szCs w:val="22"/>
        </w:rPr>
        <w:t xml:space="preserve"> estimated burden hours.</w:t>
      </w:r>
    </w:p>
    <w:p w:rsidR="00C47F54" w:rsidP="0090085B" w:rsidRDefault="00C47F54" w14:paraId="125235EE" w14:textId="76EBB856">
      <w:pPr>
        <w:pStyle w:val="ListParagraph"/>
        <w:tabs>
          <w:tab w:val="left" w:pos="360"/>
        </w:tabs>
        <w:rPr>
          <w:b/>
          <w:sz w:val="22"/>
          <w:szCs w:val="22"/>
        </w:rPr>
      </w:pPr>
    </w:p>
    <w:p w:rsidR="00C47F54" w:rsidP="00C47F54" w:rsidRDefault="00C47F54" w14:paraId="0EE73C9E" w14:textId="77777777">
      <w:pPr>
        <w:pStyle w:val="ListParagraph"/>
        <w:tabs>
          <w:tab w:val="left" w:pos="360"/>
        </w:tabs>
        <w:ind w:left="360"/>
        <w:rPr>
          <w:i/>
          <w:sz w:val="22"/>
          <w:szCs w:val="22"/>
          <w:u w:val="single"/>
        </w:rPr>
      </w:pPr>
      <w:r>
        <w:rPr>
          <w:i/>
          <w:sz w:val="22"/>
          <w:szCs w:val="22"/>
          <w:u w:val="single"/>
        </w:rPr>
        <w:t>Relocation Coordinator</w:t>
      </w:r>
    </w:p>
    <w:p w:rsidR="00C47F54" w:rsidP="0090085B" w:rsidRDefault="00C47F54" w14:paraId="4C0BA304" w14:textId="7B598F01">
      <w:pPr>
        <w:pStyle w:val="ListParagraph"/>
        <w:tabs>
          <w:tab w:val="left" w:pos="360"/>
        </w:tabs>
        <w:rPr>
          <w:b/>
          <w:sz w:val="22"/>
          <w:szCs w:val="22"/>
        </w:rPr>
      </w:pPr>
    </w:p>
    <w:p w:rsidRPr="00D01A0F" w:rsidR="00C47F54" w:rsidP="00C47F54" w:rsidRDefault="00C47F54" w14:paraId="40847367" w14:textId="77777777">
      <w:pPr>
        <w:pStyle w:val="ListParagraph"/>
        <w:numPr>
          <w:ilvl w:val="0"/>
          <w:numId w:val="20"/>
        </w:numPr>
        <w:tabs>
          <w:tab w:val="left" w:pos="360"/>
        </w:tabs>
        <w:rPr>
          <w:sz w:val="22"/>
          <w:szCs w:val="22"/>
        </w:rPr>
      </w:pPr>
      <w:r w:rsidRPr="00D01A0F">
        <w:rPr>
          <w:i/>
          <w:sz w:val="22"/>
          <w:szCs w:val="22"/>
        </w:rPr>
        <w:t>To the extent that incumbent earth stations are not accounted for in eligible space station operators’ Transition Plans, the Relocation Coordinator must prepare an Earth Station Transition Plan for such incumbent earth stations (47 C.F.R. §§ 27.1412(d)(2); 27.1413(c)(3)); the Relocation Coordinator may require each associated space station operator to file the information needed for such a plan with the Relocation Coordinator (47 C.F.R. § 27.1413(c)(3)(i)); the Relocation Coordinator will describe and recommend the respective responsibility of each party for earth station migrations in the Earth Station Transition Plan (47 C.F.R. § 27.1414(c)(3)(ii))</w:t>
      </w:r>
      <w:r w:rsidRPr="00D01A0F">
        <w:rPr>
          <w:sz w:val="22"/>
          <w:szCs w:val="22"/>
        </w:rPr>
        <w:t>.</w:t>
      </w:r>
    </w:p>
    <w:p w:rsidR="00C47F54" w:rsidP="0090085B" w:rsidRDefault="00C47F54" w14:paraId="35D01B37" w14:textId="5865763B">
      <w:pPr>
        <w:pStyle w:val="ListParagraph"/>
        <w:tabs>
          <w:tab w:val="left" w:pos="360"/>
        </w:tabs>
        <w:rPr>
          <w:b/>
          <w:sz w:val="22"/>
          <w:szCs w:val="22"/>
        </w:rPr>
      </w:pPr>
    </w:p>
    <w:p w:rsidR="0069149A" w:rsidP="0090085B" w:rsidRDefault="001D382A" w14:paraId="47758B00" w14:textId="700EA089">
      <w:pPr>
        <w:pStyle w:val="ListParagraph"/>
        <w:tabs>
          <w:tab w:val="left" w:pos="360"/>
        </w:tabs>
        <w:rPr>
          <w:sz w:val="22"/>
          <w:szCs w:val="22"/>
        </w:rPr>
      </w:pPr>
      <w:r>
        <w:rPr>
          <w:sz w:val="22"/>
          <w:szCs w:val="22"/>
        </w:rPr>
        <w:t xml:space="preserve">600 hours per respondent </w:t>
      </w:r>
      <w:r w:rsidR="0034774B">
        <w:rPr>
          <w:sz w:val="22"/>
          <w:szCs w:val="22"/>
        </w:rPr>
        <w:t>for 1 respondent filing onc</w:t>
      </w:r>
      <w:r w:rsidR="00464483">
        <w:rPr>
          <w:sz w:val="22"/>
          <w:szCs w:val="22"/>
        </w:rPr>
        <w:t>e.  Total estimated annual hours burden is calculated as follows:</w:t>
      </w:r>
    </w:p>
    <w:p w:rsidR="00464483" w:rsidP="0090085B" w:rsidRDefault="00464483" w14:paraId="7C31A5DF" w14:textId="17B550D4">
      <w:pPr>
        <w:pStyle w:val="ListParagraph"/>
        <w:tabs>
          <w:tab w:val="left" w:pos="360"/>
        </w:tabs>
        <w:rPr>
          <w:sz w:val="22"/>
          <w:szCs w:val="22"/>
        </w:rPr>
      </w:pPr>
    </w:p>
    <w:p w:rsidR="00464483" w:rsidP="0090085B" w:rsidRDefault="00464483" w14:paraId="21EA8F63" w14:textId="5C27ACE2">
      <w:pPr>
        <w:pStyle w:val="ListParagraph"/>
        <w:tabs>
          <w:tab w:val="left" w:pos="360"/>
        </w:tabs>
        <w:rPr>
          <w:b/>
          <w:sz w:val="22"/>
          <w:szCs w:val="22"/>
        </w:rPr>
      </w:pPr>
      <w:r>
        <w:rPr>
          <w:b/>
          <w:sz w:val="22"/>
          <w:szCs w:val="22"/>
        </w:rPr>
        <w:t>1 estimated response x 600 hours per response = 600 estimated burden hours.</w:t>
      </w:r>
    </w:p>
    <w:p w:rsidR="00E24C1E" w:rsidP="0090085B" w:rsidRDefault="00E24C1E" w14:paraId="7920368F" w14:textId="63DA11B2">
      <w:pPr>
        <w:pStyle w:val="ListParagraph"/>
        <w:tabs>
          <w:tab w:val="left" w:pos="360"/>
        </w:tabs>
        <w:rPr>
          <w:b/>
          <w:sz w:val="22"/>
          <w:szCs w:val="22"/>
        </w:rPr>
      </w:pPr>
    </w:p>
    <w:p w:rsidRPr="00D01A0F" w:rsidR="00E24C1E" w:rsidP="00E24C1E" w:rsidRDefault="00E24C1E" w14:paraId="0CDAE76E" w14:textId="77777777">
      <w:pPr>
        <w:pStyle w:val="ListParagraph"/>
        <w:numPr>
          <w:ilvl w:val="0"/>
          <w:numId w:val="20"/>
        </w:numPr>
        <w:tabs>
          <w:tab w:val="left" w:pos="360"/>
        </w:tabs>
        <w:rPr>
          <w:sz w:val="22"/>
          <w:szCs w:val="22"/>
        </w:rPr>
      </w:pPr>
      <w:r w:rsidRPr="00D01A0F">
        <w:rPr>
          <w:i/>
          <w:sz w:val="22"/>
          <w:szCs w:val="22"/>
        </w:rPr>
        <w:t>The Relocation Coordinator will be responsible for receiving notice from earth station operators or other satellite customers of any disputes related to comparability of facilities, workmanship, or preservation of service during the transition and shall subsequently notify the Wireless Telecommunications Bureau of the dispute and provide recommendations for resolution.  (47 C.F.R. § 27.1414(c)(6))</w:t>
      </w:r>
    </w:p>
    <w:p w:rsidR="00E24C1E" w:rsidP="0090085B" w:rsidRDefault="00E24C1E" w14:paraId="3FE5BC58" w14:textId="3F279045">
      <w:pPr>
        <w:pStyle w:val="ListParagraph"/>
        <w:tabs>
          <w:tab w:val="left" w:pos="360"/>
        </w:tabs>
        <w:rPr>
          <w:b/>
          <w:sz w:val="22"/>
          <w:szCs w:val="22"/>
        </w:rPr>
      </w:pPr>
    </w:p>
    <w:p w:rsidR="00E24C1E" w:rsidP="0090085B" w:rsidRDefault="00E24C1E" w14:paraId="6BD6772A" w14:textId="10A25019">
      <w:pPr>
        <w:pStyle w:val="ListParagraph"/>
        <w:tabs>
          <w:tab w:val="left" w:pos="360"/>
        </w:tabs>
        <w:rPr>
          <w:sz w:val="22"/>
          <w:szCs w:val="22"/>
        </w:rPr>
      </w:pPr>
      <w:r>
        <w:rPr>
          <w:sz w:val="22"/>
          <w:szCs w:val="22"/>
        </w:rPr>
        <w:t>8 hours per respondent for 1 respondent filing 37 times per year.  Total estimated annual hours burden is calculated as follows:</w:t>
      </w:r>
    </w:p>
    <w:p w:rsidR="00E24C1E" w:rsidP="0090085B" w:rsidRDefault="00E24C1E" w14:paraId="3CAA85EA" w14:textId="74E040A4">
      <w:pPr>
        <w:pStyle w:val="ListParagraph"/>
        <w:tabs>
          <w:tab w:val="left" w:pos="360"/>
        </w:tabs>
        <w:rPr>
          <w:sz w:val="22"/>
          <w:szCs w:val="22"/>
        </w:rPr>
      </w:pPr>
    </w:p>
    <w:p w:rsidR="00E24C1E" w:rsidP="0090085B" w:rsidRDefault="00E24C1E" w14:paraId="5A1CBD3A" w14:textId="688CADF6">
      <w:pPr>
        <w:pStyle w:val="ListParagraph"/>
        <w:tabs>
          <w:tab w:val="left" w:pos="360"/>
        </w:tabs>
        <w:rPr>
          <w:b/>
          <w:sz w:val="22"/>
          <w:szCs w:val="22"/>
        </w:rPr>
      </w:pPr>
      <w:r>
        <w:rPr>
          <w:b/>
          <w:sz w:val="22"/>
          <w:szCs w:val="22"/>
        </w:rPr>
        <w:t>37 estimated responses x 8 hours per response = 296 estimated burden hours.</w:t>
      </w:r>
    </w:p>
    <w:p w:rsidR="00E24C1E" w:rsidP="0090085B" w:rsidRDefault="00E24C1E" w14:paraId="77FA9B25" w14:textId="641EC00B">
      <w:pPr>
        <w:pStyle w:val="ListParagraph"/>
        <w:tabs>
          <w:tab w:val="left" w:pos="360"/>
        </w:tabs>
        <w:rPr>
          <w:b/>
          <w:sz w:val="22"/>
          <w:szCs w:val="22"/>
        </w:rPr>
      </w:pPr>
    </w:p>
    <w:p w:rsidR="00E24C1E" w:rsidP="00E24C1E" w:rsidRDefault="00E24C1E" w14:paraId="69D11E44" w14:textId="4F77F33C">
      <w:pPr>
        <w:pStyle w:val="ListParagraph"/>
        <w:numPr>
          <w:ilvl w:val="0"/>
          <w:numId w:val="20"/>
        </w:numPr>
        <w:tabs>
          <w:tab w:val="left" w:pos="360"/>
        </w:tabs>
        <w:rPr>
          <w:i/>
          <w:sz w:val="22"/>
          <w:szCs w:val="22"/>
        </w:rPr>
      </w:pPr>
      <w:r w:rsidRPr="00D01A0F">
        <w:rPr>
          <w:i/>
          <w:sz w:val="22"/>
          <w:szCs w:val="22"/>
        </w:rPr>
        <w:t>On a quarterly basis, beginning December 31, 2020, the Relocation Coordinator must provide a report on the overall status of clearing efforts. (47 C.F.R. § 27.1412(d))</w:t>
      </w:r>
    </w:p>
    <w:p w:rsidR="00E24C1E" w:rsidP="00E24C1E" w:rsidRDefault="00E24C1E" w14:paraId="47BB2B00" w14:textId="714CDE63">
      <w:pPr>
        <w:pStyle w:val="ListParagraph"/>
        <w:tabs>
          <w:tab w:val="left" w:pos="360"/>
        </w:tabs>
        <w:rPr>
          <w:i/>
          <w:sz w:val="22"/>
          <w:szCs w:val="22"/>
        </w:rPr>
      </w:pPr>
    </w:p>
    <w:p w:rsidR="00E24C1E" w:rsidP="00E24C1E" w:rsidRDefault="00757837" w14:paraId="687F4216" w14:textId="70AD07B1">
      <w:pPr>
        <w:pStyle w:val="ListParagraph"/>
        <w:tabs>
          <w:tab w:val="left" w:pos="360"/>
        </w:tabs>
        <w:rPr>
          <w:sz w:val="22"/>
          <w:szCs w:val="22"/>
        </w:rPr>
      </w:pPr>
      <w:r>
        <w:rPr>
          <w:sz w:val="22"/>
          <w:szCs w:val="22"/>
        </w:rPr>
        <w:t>32</w:t>
      </w:r>
      <w:r w:rsidR="00E24C1E">
        <w:rPr>
          <w:sz w:val="22"/>
          <w:szCs w:val="22"/>
        </w:rPr>
        <w:t xml:space="preserve"> hours per response for 1 respondent filing 4 times per year.  Total estimated annual hours burden is calculated as follows:</w:t>
      </w:r>
    </w:p>
    <w:p w:rsidR="00E24C1E" w:rsidP="00E24C1E" w:rsidRDefault="00E24C1E" w14:paraId="16015F77" w14:textId="77777777">
      <w:pPr>
        <w:pStyle w:val="ListParagraph"/>
        <w:tabs>
          <w:tab w:val="left" w:pos="360"/>
        </w:tabs>
        <w:rPr>
          <w:sz w:val="22"/>
          <w:szCs w:val="22"/>
        </w:rPr>
      </w:pPr>
    </w:p>
    <w:p w:rsidR="00E24C1E" w:rsidP="00E24C1E" w:rsidRDefault="00E24C1E" w14:paraId="39ABC7A7" w14:textId="3206585E">
      <w:pPr>
        <w:pStyle w:val="ListParagraph"/>
        <w:tabs>
          <w:tab w:val="left" w:pos="360"/>
        </w:tabs>
        <w:rPr>
          <w:b/>
          <w:sz w:val="22"/>
          <w:szCs w:val="22"/>
        </w:rPr>
      </w:pPr>
      <w:r>
        <w:rPr>
          <w:b/>
          <w:sz w:val="22"/>
          <w:szCs w:val="22"/>
        </w:rPr>
        <w:t xml:space="preserve">4 estimated responses x </w:t>
      </w:r>
      <w:r w:rsidR="00A020A6">
        <w:rPr>
          <w:b/>
          <w:sz w:val="22"/>
          <w:szCs w:val="22"/>
        </w:rPr>
        <w:t xml:space="preserve">32 </w:t>
      </w:r>
      <w:r>
        <w:rPr>
          <w:b/>
          <w:sz w:val="22"/>
          <w:szCs w:val="22"/>
        </w:rPr>
        <w:t xml:space="preserve">hours per response = </w:t>
      </w:r>
      <w:r w:rsidR="00A020A6">
        <w:rPr>
          <w:b/>
          <w:sz w:val="22"/>
          <w:szCs w:val="22"/>
        </w:rPr>
        <w:t>128</w:t>
      </w:r>
      <w:r>
        <w:rPr>
          <w:b/>
          <w:sz w:val="22"/>
          <w:szCs w:val="22"/>
        </w:rPr>
        <w:t xml:space="preserve"> estimated burden hours.</w:t>
      </w:r>
    </w:p>
    <w:p w:rsidR="00E24C1E" w:rsidP="00E24C1E" w:rsidRDefault="00E24C1E" w14:paraId="269A122E" w14:textId="77777777">
      <w:pPr>
        <w:pStyle w:val="ListParagraph"/>
        <w:tabs>
          <w:tab w:val="left" w:pos="360"/>
        </w:tabs>
        <w:rPr>
          <w:b/>
          <w:sz w:val="22"/>
          <w:szCs w:val="22"/>
        </w:rPr>
      </w:pPr>
    </w:p>
    <w:p w:rsidR="00E24C1E" w:rsidP="00E24C1E" w:rsidRDefault="00E24C1E" w14:paraId="0A1B1D07" w14:textId="77777777">
      <w:pPr>
        <w:pStyle w:val="ListParagraph"/>
        <w:tabs>
          <w:tab w:val="left" w:pos="360"/>
        </w:tabs>
        <w:ind w:left="360"/>
        <w:rPr>
          <w:i/>
          <w:sz w:val="22"/>
          <w:szCs w:val="22"/>
          <w:u w:val="single"/>
        </w:rPr>
      </w:pPr>
      <w:r>
        <w:rPr>
          <w:i/>
          <w:sz w:val="22"/>
          <w:szCs w:val="22"/>
          <w:u w:val="single"/>
        </w:rPr>
        <w:t>Space Station Operators</w:t>
      </w:r>
    </w:p>
    <w:p w:rsidR="00E24C1E" w:rsidP="00E24C1E" w:rsidRDefault="00E24C1E" w14:paraId="2CFC7679" w14:textId="2179D15E">
      <w:pPr>
        <w:pStyle w:val="ListParagraph"/>
        <w:tabs>
          <w:tab w:val="left" w:pos="360"/>
        </w:tabs>
        <w:rPr>
          <w:sz w:val="22"/>
          <w:szCs w:val="22"/>
        </w:rPr>
      </w:pPr>
      <w:r>
        <w:rPr>
          <w:b/>
          <w:sz w:val="22"/>
          <w:szCs w:val="22"/>
        </w:rPr>
        <w:t xml:space="preserve"> </w:t>
      </w:r>
      <w:r>
        <w:rPr>
          <w:sz w:val="22"/>
          <w:szCs w:val="22"/>
        </w:rPr>
        <w:t xml:space="preserve"> </w:t>
      </w:r>
    </w:p>
    <w:p w:rsidRPr="00D01A0F" w:rsidR="00971980" w:rsidP="00971980" w:rsidRDefault="00971980" w14:paraId="187C1DB3" w14:textId="77777777">
      <w:pPr>
        <w:pStyle w:val="ListParagraph"/>
        <w:numPr>
          <w:ilvl w:val="0"/>
          <w:numId w:val="21"/>
        </w:numPr>
        <w:tabs>
          <w:tab w:val="left" w:pos="360"/>
        </w:tabs>
        <w:rPr>
          <w:i/>
          <w:sz w:val="22"/>
          <w:szCs w:val="22"/>
        </w:rPr>
      </w:pPr>
      <w:r w:rsidRPr="00D01A0F">
        <w:rPr>
          <w:i/>
          <w:sz w:val="22"/>
          <w:szCs w:val="22"/>
        </w:rPr>
        <w:t>On a quarterly basis, beginning December 31, 2020: Each eligible space station operator must provide a status report of its clearing efforts.  (47 C.F.R. § 27.1412(f))</w:t>
      </w:r>
    </w:p>
    <w:p w:rsidR="00971980" w:rsidP="00E24C1E" w:rsidRDefault="00971980" w14:paraId="5961D02C" w14:textId="3D3ADBE9">
      <w:pPr>
        <w:pStyle w:val="ListParagraph"/>
        <w:tabs>
          <w:tab w:val="left" w:pos="360"/>
        </w:tabs>
        <w:rPr>
          <w:sz w:val="22"/>
          <w:szCs w:val="22"/>
        </w:rPr>
      </w:pPr>
    </w:p>
    <w:p w:rsidR="00971980" w:rsidP="00E24C1E" w:rsidRDefault="00971980" w14:paraId="16134001" w14:textId="131CEF4C">
      <w:pPr>
        <w:pStyle w:val="ListParagraph"/>
        <w:tabs>
          <w:tab w:val="left" w:pos="360"/>
        </w:tabs>
        <w:rPr>
          <w:sz w:val="22"/>
          <w:szCs w:val="22"/>
        </w:rPr>
      </w:pPr>
      <w:r>
        <w:rPr>
          <w:sz w:val="22"/>
          <w:szCs w:val="22"/>
        </w:rPr>
        <w:t>32 hours per response for 5 respondents filing 4 times per year.  Total estimated annual hours burden is calculated as follows:</w:t>
      </w:r>
    </w:p>
    <w:p w:rsidR="00971980" w:rsidP="00E24C1E" w:rsidRDefault="00971980" w14:paraId="58150103" w14:textId="38D4B817">
      <w:pPr>
        <w:pStyle w:val="ListParagraph"/>
        <w:tabs>
          <w:tab w:val="left" w:pos="360"/>
        </w:tabs>
        <w:rPr>
          <w:sz w:val="22"/>
          <w:szCs w:val="22"/>
        </w:rPr>
      </w:pPr>
    </w:p>
    <w:p w:rsidR="00971980" w:rsidP="00E24C1E" w:rsidRDefault="00971980" w14:paraId="53A728B0" w14:textId="26D162F8">
      <w:pPr>
        <w:pStyle w:val="ListParagraph"/>
        <w:tabs>
          <w:tab w:val="left" w:pos="360"/>
        </w:tabs>
        <w:rPr>
          <w:b/>
          <w:sz w:val="22"/>
          <w:szCs w:val="22"/>
        </w:rPr>
      </w:pPr>
      <w:r>
        <w:rPr>
          <w:b/>
          <w:sz w:val="22"/>
          <w:szCs w:val="22"/>
        </w:rPr>
        <w:t>20 estimated responses x 32 hours per response = 640 estimated burden hours.</w:t>
      </w:r>
    </w:p>
    <w:p w:rsidRPr="004C4C47" w:rsidR="00971980" w:rsidP="004C4C47" w:rsidRDefault="00971980" w14:paraId="10265DDF" w14:textId="77777777">
      <w:pPr>
        <w:tabs>
          <w:tab w:val="left" w:pos="360"/>
        </w:tabs>
        <w:rPr>
          <w:b/>
          <w:sz w:val="22"/>
          <w:szCs w:val="22"/>
        </w:rPr>
      </w:pPr>
    </w:p>
    <w:p w:rsidRPr="004C4C47" w:rsidR="004C4C47" w:rsidP="004C4C47" w:rsidRDefault="004C4C47" w14:paraId="307A9ED4" w14:textId="613DC58C">
      <w:pPr>
        <w:pStyle w:val="ListParagraph"/>
        <w:numPr>
          <w:ilvl w:val="0"/>
          <w:numId w:val="21"/>
        </w:numPr>
        <w:tabs>
          <w:tab w:val="left" w:pos="360"/>
        </w:tabs>
        <w:rPr>
          <w:sz w:val="22"/>
          <w:szCs w:val="22"/>
        </w:rPr>
      </w:pPr>
      <w:r w:rsidRPr="00D01A0F">
        <w:rPr>
          <w:i/>
          <w:sz w:val="22"/>
          <w:szCs w:val="22"/>
        </w:rPr>
        <w:t>Each eligible space station operator must file a timely certification that it has completed the necessary clearing actions to satisfy each Accelerated Relocation Deadline.  The certification must be filed once the eligible space station operator completes its obligations but no later than the applicable Accelerated Relocation Deadline.  The Wireless Telecommunication Bureau will prescribe the form of such certification.  (47 C.F.R. § 27.1412(g))</w:t>
      </w:r>
    </w:p>
    <w:p w:rsidR="004C4C47" w:rsidP="004C4C47" w:rsidRDefault="004C4C47" w14:paraId="19D07DAE" w14:textId="7CA0510E">
      <w:pPr>
        <w:pStyle w:val="ListParagraph"/>
        <w:tabs>
          <w:tab w:val="left" w:pos="360"/>
        </w:tabs>
        <w:rPr>
          <w:sz w:val="22"/>
          <w:szCs w:val="22"/>
        </w:rPr>
      </w:pPr>
    </w:p>
    <w:p w:rsidR="004C4C47" w:rsidP="004C4C47" w:rsidRDefault="004C4C47" w14:paraId="2D5270C9" w14:textId="10036758">
      <w:pPr>
        <w:pStyle w:val="ListParagraph"/>
        <w:tabs>
          <w:tab w:val="left" w:pos="360"/>
        </w:tabs>
        <w:rPr>
          <w:sz w:val="22"/>
          <w:szCs w:val="22"/>
        </w:rPr>
      </w:pPr>
      <w:r>
        <w:rPr>
          <w:sz w:val="22"/>
          <w:szCs w:val="22"/>
        </w:rPr>
        <w:t>32 hours per response for 5 respondents filing once.  Total estimated annual hours burden is calculated as follows:</w:t>
      </w:r>
    </w:p>
    <w:p w:rsidR="004C4C47" w:rsidP="004C4C47" w:rsidRDefault="004C4C47" w14:paraId="6DA05423" w14:textId="3AC8B342">
      <w:pPr>
        <w:pStyle w:val="ListParagraph"/>
        <w:tabs>
          <w:tab w:val="left" w:pos="360"/>
        </w:tabs>
        <w:rPr>
          <w:sz w:val="22"/>
          <w:szCs w:val="22"/>
        </w:rPr>
      </w:pPr>
    </w:p>
    <w:p w:rsidR="004C4C47" w:rsidP="004C4C47" w:rsidRDefault="00BB4C92" w14:paraId="4091BE39" w14:textId="39FBE80F">
      <w:pPr>
        <w:pStyle w:val="ListParagraph"/>
        <w:tabs>
          <w:tab w:val="left" w:pos="360"/>
        </w:tabs>
        <w:rPr>
          <w:b/>
          <w:sz w:val="22"/>
          <w:szCs w:val="22"/>
        </w:rPr>
      </w:pPr>
      <w:r>
        <w:rPr>
          <w:b/>
          <w:sz w:val="22"/>
          <w:szCs w:val="22"/>
        </w:rPr>
        <w:t>5 estimated responses x 32 hours per response = 160 estimated burden hours.</w:t>
      </w:r>
    </w:p>
    <w:p w:rsidR="00995C35" w:rsidP="004C4C47" w:rsidRDefault="00995C35" w14:paraId="1002639D" w14:textId="46B4418C">
      <w:pPr>
        <w:pStyle w:val="ListParagraph"/>
        <w:tabs>
          <w:tab w:val="left" w:pos="360"/>
        </w:tabs>
        <w:rPr>
          <w:b/>
          <w:sz w:val="22"/>
          <w:szCs w:val="22"/>
        </w:rPr>
      </w:pPr>
    </w:p>
    <w:p w:rsidRPr="00D01A0F" w:rsidR="00995C35" w:rsidP="00995C35" w:rsidRDefault="00995C35" w14:paraId="1DB0789D" w14:textId="77777777">
      <w:pPr>
        <w:pStyle w:val="ListParagraph"/>
        <w:numPr>
          <w:ilvl w:val="0"/>
          <w:numId w:val="21"/>
        </w:numPr>
        <w:tabs>
          <w:tab w:val="left" w:pos="360"/>
        </w:tabs>
        <w:rPr>
          <w:i/>
          <w:sz w:val="22"/>
          <w:szCs w:val="22"/>
        </w:rPr>
      </w:pPr>
      <w:r w:rsidRPr="00D01A0F">
        <w:rPr>
          <w:i/>
          <w:sz w:val="22"/>
          <w:szCs w:val="22"/>
        </w:rPr>
        <w:t>An eligible space station operator must submit a notice of any incumbent earth station transition delays to the Wireless Telecommunications Bureau within 7 days of discovering an inability to accomplish the assigned earth station transition task.  Such a request must include supporting documentation to allow for resolution as soon as practicable and must be submitted before the Accelerated Relocation Deadlines.  (47 C.F.R. § 27.1412(b)(3)(i))</w:t>
      </w:r>
    </w:p>
    <w:p w:rsidRPr="00FF2103" w:rsidR="00995C35" w:rsidP="004C4C47" w:rsidRDefault="00995C35" w14:paraId="0C436497" w14:textId="20854F5A">
      <w:pPr>
        <w:pStyle w:val="ListParagraph"/>
        <w:tabs>
          <w:tab w:val="left" w:pos="360"/>
        </w:tabs>
        <w:rPr>
          <w:sz w:val="22"/>
          <w:szCs w:val="22"/>
        </w:rPr>
      </w:pPr>
    </w:p>
    <w:p w:rsidR="00FF2103" w:rsidP="004C4C47" w:rsidRDefault="00FF2103" w14:paraId="3541F4A1" w14:textId="4F8A127C">
      <w:pPr>
        <w:pStyle w:val="ListParagraph"/>
        <w:tabs>
          <w:tab w:val="left" w:pos="360"/>
        </w:tabs>
        <w:rPr>
          <w:sz w:val="22"/>
          <w:szCs w:val="22"/>
        </w:rPr>
      </w:pPr>
      <w:r w:rsidRPr="00FF2103">
        <w:rPr>
          <w:sz w:val="22"/>
          <w:szCs w:val="22"/>
        </w:rPr>
        <w:t>8 hours per response fo</w:t>
      </w:r>
      <w:r>
        <w:rPr>
          <w:sz w:val="22"/>
          <w:szCs w:val="22"/>
        </w:rPr>
        <w:t>r 5 respondents filing 37 times per year.  Total estimated annual hours burden is calculated as follows:</w:t>
      </w:r>
    </w:p>
    <w:p w:rsidR="00FF2103" w:rsidP="004C4C47" w:rsidRDefault="00FF2103" w14:paraId="22CB9B08" w14:textId="60EC40A8">
      <w:pPr>
        <w:pStyle w:val="ListParagraph"/>
        <w:tabs>
          <w:tab w:val="left" w:pos="360"/>
        </w:tabs>
        <w:rPr>
          <w:sz w:val="22"/>
          <w:szCs w:val="22"/>
        </w:rPr>
      </w:pPr>
    </w:p>
    <w:p w:rsidRPr="00D70119" w:rsidR="00B02C55" w:rsidP="00D70119" w:rsidRDefault="00634CAC" w14:paraId="6E47B66B" w14:textId="29E45856">
      <w:pPr>
        <w:pStyle w:val="ListParagraph"/>
        <w:tabs>
          <w:tab w:val="left" w:pos="360"/>
        </w:tabs>
        <w:rPr>
          <w:b/>
          <w:sz w:val="22"/>
          <w:szCs w:val="22"/>
        </w:rPr>
      </w:pPr>
      <w:r>
        <w:rPr>
          <w:b/>
          <w:sz w:val="22"/>
          <w:szCs w:val="22"/>
        </w:rPr>
        <w:t xml:space="preserve">185 estimated responses x 8 hours per response = </w:t>
      </w:r>
      <w:r w:rsidR="00B91C98">
        <w:rPr>
          <w:b/>
          <w:sz w:val="22"/>
          <w:szCs w:val="22"/>
        </w:rPr>
        <w:t>1,480 estimated burden hours.</w:t>
      </w:r>
    </w:p>
    <w:p w:rsidRPr="002B7618" w:rsidR="00B02C55" w:rsidP="002B7618" w:rsidRDefault="00B02C55" w14:paraId="115986CC" w14:textId="77777777">
      <w:pPr>
        <w:pStyle w:val="ListParagraph"/>
        <w:tabs>
          <w:tab w:val="left" w:pos="360"/>
        </w:tabs>
        <w:ind w:left="360"/>
        <w:rPr>
          <w:sz w:val="22"/>
          <w:szCs w:val="22"/>
          <w:u w:val="single"/>
        </w:rPr>
      </w:pPr>
    </w:p>
    <w:p w:rsidRPr="00EA53DE" w:rsidR="00796382" w:rsidP="002B7618" w:rsidRDefault="00796382" w14:paraId="16559D2C" w14:textId="3E49EB28">
      <w:pPr>
        <w:pStyle w:val="ListParagraph"/>
        <w:numPr>
          <w:ilvl w:val="0"/>
          <w:numId w:val="13"/>
        </w:numPr>
        <w:tabs>
          <w:tab w:val="left" w:pos="360"/>
        </w:tabs>
        <w:rPr>
          <w:rFonts w:ascii="Calibri" w:hAnsi="Calibri" w:cs="Calibri"/>
          <w:b/>
          <w:bCs/>
          <w:color w:val="000000"/>
          <w:sz w:val="22"/>
          <w:szCs w:val="22"/>
        </w:rPr>
      </w:pPr>
      <w:r w:rsidRPr="00EA53DE">
        <w:rPr>
          <w:b/>
          <w:bCs/>
          <w:sz w:val="22"/>
          <w:szCs w:val="22"/>
        </w:rPr>
        <w:t>Total estimate of annual in-house cost to respondents for the estimated hours burden</w:t>
      </w:r>
      <w:r w:rsidRPr="00EA53DE">
        <w:rPr>
          <w:sz w:val="22"/>
          <w:szCs w:val="22"/>
        </w:rPr>
        <w:t xml:space="preserve">: </w:t>
      </w:r>
      <w:r w:rsidRPr="00EA53DE" w:rsidR="000A6C45">
        <w:rPr>
          <w:b/>
          <w:bCs/>
          <w:sz w:val="22"/>
          <w:szCs w:val="22"/>
        </w:rPr>
        <w:t>$2,468,787.02</w:t>
      </w:r>
      <w:r w:rsidRPr="00EA53DE" w:rsidR="006D1BA4">
        <w:rPr>
          <w:sz w:val="22"/>
          <w:szCs w:val="22"/>
        </w:rPr>
        <w:t>.</w:t>
      </w:r>
    </w:p>
    <w:p w:rsidRPr="00796382" w:rsidR="00796382" w:rsidP="00796382" w:rsidRDefault="00796382" w14:paraId="4E4D5C35" w14:textId="77777777">
      <w:pPr>
        <w:pStyle w:val="ListParagraph"/>
        <w:rPr>
          <w:sz w:val="22"/>
          <w:szCs w:val="22"/>
          <w:u w:val="single"/>
        </w:rPr>
      </w:pPr>
    </w:p>
    <w:p w:rsidRPr="00B608EF" w:rsidR="00796382" w:rsidP="00B608EF" w:rsidRDefault="00796382" w14:paraId="2F9A5220" w14:textId="7A6C5D65">
      <w:pPr>
        <w:pStyle w:val="ListParagraph"/>
        <w:numPr>
          <w:ilvl w:val="0"/>
          <w:numId w:val="13"/>
        </w:numPr>
        <w:tabs>
          <w:tab w:val="left" w:pos="360"/>
        </w:tabs>
        <w:rPr>
          <w:sz w:val="22"/>
          <w:szCs w:val="22"/>
          <w:u w:val="single"/>
        </w:rPr>
      </w:pPr>
      <w:r w:rsidRPr="00EA53DE">
        <w:rPr>
          <w:b/>
          <w:bCs/>
          <w:sz w:val="22"/>
          <w:szCs w:val="22"/>
          <w:u w:val="single"/>
        </w:rPr>
        <w:t>Explanation of calculation of in-house costs to respondents for the estimated hours burden</w:t>
      </w:r>
      <w:r w:rsidRPr="00796382">
        <w:rPr>
          <w:sz w:val="22"/>
          <w:szCs w:val="22"/>
        </w:rPr>
        <w:t>:</w:t>
      </w:r>
    </w:p>
    <w:p w:rsidRPr="002A6A5E" w:rsidR="00796382" w:rsidP="002A6A5E" w:rsidRDefault="00796382" w14:paraId="5C5AF247" w14:textId="77777777">
      <w:pPr>
        <w:tabs>
          <w:tab w:val="left" w:pos="360"/>
        </w:tabs>
        <w:rPr>
          <w:i/>
          <w:sz w:val="22"/>
          <w:szCs w:val="22"/>
          <w:u w:val="single"/>
        </w:rPr>
      </w:pPr>
    </w:p>
    <w:p w:rsidR="00796382" w:rsidP="00796382" w:rsidRDefault="00796382" w14:paraId="280D7BA4" w14:textId="77777777">
      <w:pPr>
        <w:pStyle w:val="ListParagraph"/>
        <w:tabs>
          <w:tab w:val="left" w:pos="360"/>
        </w:tabs>
        <w:ind w:left="360"/>
        <w:rPr>
          <w:i/>
          <w:sz w:val="22"/>
          <w:szCs w:val="22"/>
          <w:u w:val="single"/>
        </w:rPr>
      </w:pPr>
      <w:r>
        <w:rPr>
          <w:i/>
          <w:sz w:val="22"/>
          <w:szCs w:val="22"/>
          <w:u w:val="single"/>
        </w:rPr>
        <w:t>Relocation Payment Clearinghouse</w:t>
      </w:r>
    </w:p>
    <w:p w:rsidR="00796382" w:rsidP="00796382" w:rsidRDefault="00796382" w14:paraId="284D00FF" w14:textId="77777777">
      <w:pPr>
        <w:pStyle w:val="ListParagraph"/>
        <w:tabs>
          <w:tab w:val="left" w:pos="360"/>
        </w:tabs>
        <w:ind w:left="360"/>
        <w:rPr>
          <w:i/>
          <w:sz w:val="22"/>
          <w:szCs w:val="22"/>
          <w:u w:val="single"/>
        </w:rPr>
      </w:pPr>
    </w:p>
    <w:p w:rsidRPr="00D01A0F" w:rsidR="00796382" w:rsidP="00EA1E9A" w:rsidRDefault="00796382" w14:paraId="2D2BF5E1" w14:textId="77777777">
      <w:pPr>
        <w:pStyle w:val="ListParagraph"/>
        <w:numPr>
          <w:ilvl w:val="0"/>
          <w:numId w:val="22"/>
        </w:numPr>
        <w:tabs>
          <w:tab w:val="left" w:pos="360"/>
        </w:tabs>
        <w:rPr>
          <w:i/>
          <w:sz w:val="22"/>
          <w:szCs w:val="22"/>
        </w:rPr>
      </w:pPr>
      <w:r w:rsidRPr="00D01A0F">
        <w:rPr>
          <w:i/>
          <w:sz w:val="22"/>
          <w:szCs w:val="22"/>
        </w:rPr>
        <w:t xml:space="preserve">The Relocation Payment Clearinghouse must create written procedures for its operations, using the Government Accountability Office’s Green Book to serve as a guide in satisfying such requirements.  (47 C.F.R. § 27.1414(b)(3)) </w:t>
      </w:r>
    </w:p>
    <w:p w:rsidR="00796382" w:rsidP="00796382" w:rsidRDefault="00796382" w14:paraId="0A8477E8" w14:textId="77777777">
      <w:pPr>
        <w:tabs>
          <w:tab w:val="left" w:pos="360"/>
        </w:tabs>
        <w:rPr>
          <w:i/>
          <w:sz w:val="22"/>
          <w:szCs w:val="22"/>
        </w:rPr>
      </w:pPr>
    </w:p>
    <w:p w:rsidR="00796382" w:rsidP="00796382" w:rsidRDefault="00796382" w14:paraId="16F8B77B" w14:textId="77777777">
      <w:pPr>
        <w:tabs>
          <w:tab w:val="left" w:pos="360"/>
        </w:tabs>
        <w:ind w:left="720"/>
        <w:rPr>
          <w:sz w:val="22"/>
          <w:szCs w:val="22"/>
        </w:rPr>
      </w:pPr>
      <w:r>
        <w:rPr>
          <w:sz w:val="22"/>
          <w:szCs w:val="22"/>
        </w:rPr>
        <w:t xml:space="preserve">The Commission estimates that it will take two in-house attorneys approximately 16 hours each to prepare </w:t>
      </w:r>
      <w:r w:rsidRPr="0042292D">
        <w:rPr>
          <w:sz w:val="22"/>
          <w:szCs w:val="22"/>
        </w:rPr>
        <w:t>the required information, with one of these attorneys at a rate equivalent to the hourly rate of a GS-15, Step 5 government staff member ($77.49/hour) and one at a rate equivalent to the hourly rate of a GS-12, Step 5 government staff member ($46.88/hour).</w:t>
      </w:r>
      <w:r>
        <w:rPr>
          <w:sz w:val="22"/>
          <w:szCs w:val="22"/>
        </w:rPr>
        <w:t xml:space="preserve">  We expect there will be a one-time filing of written procedures.  Therefore, the estimated annual in-house cost is as follows:</w:t>
      </w:r>
    </w:p>
    <w:p w:rsidR="00796382" w:rsidP="00796382" w:rsidRDefault="00796382" w14:paraId="5EA3A600" w14:textId="77777777">
      <w:pPr>
        <w:tabs>
          <w:tab w:val="left" w:pos="360"/>
        </w:tabs>
        <w:ind w:left="720"/>
        <w:rPr>
          <w:sz w:val="22"/>
          <w:szCs w:val="22"/>
        </w:rPr>
      </w:pPr>
    </w:p>
    <w:p w:rsidR="00796382" w:rsidP="00796382" w:rsidRDefault="00796382" w14:paraId="4724304E" w14:textId="77777777">
      <w:pPr>
        <w:tabs>
          <w:tab w:val="left" w:pos="360"/>
        </w:tabs>
        <w:ind w:left="720"/>
        <w:rPr>
          <w:sz w:val="22"/>
          <w:szCs w:val="22"/>
        </w:rPr>
      </w:pPr>
      <w:r>
        <w:rPr>
          <w:sz w:val="22"/>
          <w:szCs w:val="22"/>
        </w:rPr>
        <w:t>1 attorney at $77.49/hour x 16 hours per response x 1 estimated respondents/responses = $1,239.84</w:t>
      </w:r>
    </w:p>
    <w:p w:rsidR="00796382" w:rsidP="00796382" w:rsidRDefault="00796382" w14:paraId="525E062A" w14:textId="77777777">
      <w:pPr>
        <w:tabs>
          <w:tab w:val="left" w:pos="360"/>
        </w:tabs>
        <w:ind w:left="720"/>
        <w:rPr>
          <w:sz w:val="22"/>
          <w:szCs w:val="22"/>
        </w:rPr>
      </w:pPr>
    </w:p>
    <w:p w:rsidR="00796382" w:rsidP="00796382" w:rsidRDefault="00796382" w14:paraId="7C1F4D53" w14:textId="77777777">
      <w:pPr>
        <w:tabs>
          <w:tab w:val="left" w:pos="360"/>
        </w:tabs>
        <w:ind w:left="720"/>
        <w:rPr>
          <w:sz w:val="22"/>
          <w:szCs w:val="22"/>
        </w:rPr>
      </w:pPr>
      <w:r>
        <w:rPr>
          <w:sz w:val="22"/>
          <w:szCs w:val="22"/>
        </w:rPr>
        <w:t>1 attorney at $46.88/hour x 16 hours per response x 1 estimated respondents/responses = $750.08.</w:t>
      </w:r>
    </w:p>
    <w:p w:rsidR="00796382" w:rsidP="00796382" w:rsidRDefault="00796382" w14:paraId="57E661B6" w14:textId="77777777">
      <w:pPr>
        <w:tabs>
          <w:tab w:val="left" w:pos="360"/>
        </w:tabs>
        <w:ind w:left="720"/>
        <w:rPr>
          <w:sz w:val="22"/>
          <w:szCs w:val="22"/>
        </w:rPr>
      </w:pPr>
    </w:p>
    <w:p w:rsidRPr="00260385" w:rsidR="00796382" w:rsidP="00796382" w:rsidRDefault="00796382" w14:paraId="3C3F66FF" w14:textId="77777777">
      <w:pPr>
        <w:tabs>
          <w:tab w:val="left" w:pos="360"/>
        </w:tabs>
        <w:ind w:left="720"/>
        <w:rPr>
          <w:b/>
          <w:sz w:val="22"/>
          <w:szCs w:val="22"/>
        </w:rPr>
      </w:pPr>
      <w:r>
        <w:rPr>
          <w:b/>
          <w:sz w:val="22"/>
          <w:szCs w:val="22"/>
        </w:rPr>
        <w:t>Total In-House Cost for Written Operational Procedures:  $1,239.84 + $750.08 = $1,989.92.</w:t>
      </w:r>
    </w:p>
    <w:p w:rsidRPr="00DD48B5" w:rsidR="00796382" w:rsidP="00796382" w:rsidRDefault="00796382" w14:paraId="675F2358" w14:textId="77777777">
      <w:pPr>
        <w:tabs>
          <w:tab w:val="left" w:pos="360"/>
        </w:tabs>
        <w:rPr>
          <w:i/>
          <w:sz w:val="22"/>
          <w:szCs w:val="22"/>
        </w:rPr>
      </w:pPr>
    </w:p>
    <w:p w:rsidRPr="00D01A0F" w:rsidR="00796382" w:rsidP="00EA1E9A" w:rsidRDefault="00796382" w14:paraId="47DBD796" w14:textId="77777777">
      <w:pPr>
        <w:pStyle w:val="ListParagraph"/>
        <w:numPr>
          <w:ilvl w:val="0"/>
          <w:numId w:val="22"/>
        </w:numPr>
        <w:tabs>
          <w:tab w:val="left" w:pos="360"/>
        </w:tabs>
        <w:rPr>
          <w:i/>
          <w:sz w:val="22"/>
          <w:szCs w:val="22"/>
        </w:rPr>
      </w:pPr>
      <w:r w:rsidRPr="00D01A0F">
        <w:rPr>
          <w:i/>
          <w:sz w:val="22"/>
          <w:szCs w:val="22"/>
        </w:rPr>
        <w:t>The Relocation Payment Clearinghouse must provide quarterly reports detailing the status of reimbursement funds available for clearing obligations, the relocation and accelerated relocation payments issued, the amounts collected from overlay licensees, and any certifications filed by incumbents.  (47 C.F.R. § 27.1414(c)(1))</w:t>
      </w:r>
    </w:p>
    <w:p w:rsidR="00796382" w:rsidP="00796382" w:rsidRDefault="00796382" w14:paraId="57EA6F8E" w14:textId="77777777">
      <w:pPr>
        <w:tabs>
          <w:tab w:val="left" w:pos="360"/>
        </w:tabs>
        <w:rPr>
          <w:i/>
          <w:sz w:val="22"/>
          <w:szCs w:val="22"/>
        </w:rPr>
      </w:pPr>
    </w:p>
    <w:p w:rsidR="00796382" w:rsidP="00796382" w:rsidRDefault="00796382" w14:paraId="57C68129" w14:textId="77777777">
      <w:pPr>
        <w:tabs>
          <w:tab w:val="left" w:pos="360"/>
        </w:tabs>
        <w:ind w:left="720"/>
        <w:rPr>
          <w:sz w:val="22"/>
          <w:szCs w:val="22"/>
        </w:rPr>
      </w:pPr>
      <w:r>
        <w:rPr>
          <w:sz w:val="22"/>
          <w:szCs w:val="22"/>
        </w:rPr>
        <w:t xml:space="preserve">The Commission estimates that it will take two in-house attorneys approximately 16 hours each to </w:t>
      </w:r>
      <w:r w:rsidRPr="00930283">
        <w:rPr>
          <w:sz w:val="22"/>
          <w:szCs w:val="22"/>
        </w:rPr>
        <w:t>prepare the required information, with one of these attorneys at a rate equivalent to the hourly rate of a GS-15, Step 5 government staff member ($77.49/hour) and one at a rate equivalent to the hourly rate of a GS-12, Step 5 government staff member ($46.88/hour).</w:t>
      </w:r>
      <w:r>
        <w:rPr>
          <w:sz w:val="22"/>
          <w:szCs w:val="22"/>
        </w:rPr>
        <w:t xml:space="preserve">  This report will be submitted four times a year for three years.  Therefore, the estimated annual in-house cost is as follows:</w:t>
      </w:r>
    </w:p>
    <w:p w:rsidR="00796382" w:rsidP="00796382" w:rsidRDefault="00796382" w14:paraId="7555F548" w14:textId="77777777">
      <w:pPr>
        <w:tabs>
          <w:tab w:val="left" w:pos="360"/>
        </w:tabs>
        <w:ind w:left="720"/>
        <w:rPr>
          <w:sz w:val="22"/>
          <w:szCs w:val="22"/>
        </w:rPr>
      </w:pPr>
    </w:p>
    <w:p w:rsidR="00796382" w:rsidP="00796382" w:rsidRDefault="00796382" w14:paraId="7DAFC0DD" w14:textId="076FF308">
      <w:pPr>
        <w:tabs>
          <w:tab w:val="left" w:pos="360"/>
        </w:tabs>
        <w:ind w:left="720"/>
        <w:rPr>
          <w:sz w:val="22"/>
          <w:szCs w:val="22"/>
        </w:rPr>
      </w:pPr>
      <w:r>
        <w:rPr>
          <w:sz w:val="22"/>
          <w:szCs w:val="22"/>
        </w:rPr>
        <w:t xml:space="preserve">1 attorney at $77.49/hour x 16 hours per response x </w:t>
      </w:r>
      <w:r w:rsidR="00963D5E">
        <w:rPr>
          <w:sz w:val="22"/>
          <w:szCs w:val="22"/>
        </w:rPr>
        <w:t xml:space="preserve">4 </w:t>
      </w:r>
      <w:r>
        <w:rPr>
          <w:sz w:val="22"/>
          <w:szCs w:val="22"/>
        </w:rPr>
        <w:t>estimated respondents/responses = $</w:t>
      </w:r>
      <w:r w:rsidR="00963D5E">
        <w:rPr>
          <w:sz w:val="22"/>
          <w:szCs w:val="22"/>
        </w:rPr>
        <w:t>4,959.36</w:t>
      </w:r>
      <w:r>
        <w:rPr>
          <w:sz w:val="22"/>
          <w:szCs w:val="22"/>
        </w:rPr>
        <w:t>.</w:t>
      </w:r>
    </w:p>
    <w:p w:rsidR="00796382" w:rsidP="00796382" w:rsidRDefault="00796382" w14:paraId="5A86EC46" w14:textId="77777777">
      <w:pPr>
        <w:tabs>
          <w:tab w:val="left" w:pos="360"/>
        </w:tabs>
        <w:ind w:left="720"/>
        <w:rPr>
          <w:sz w:val="22"/>
          <w:szCs w:val="22"/>
        </w:rPr>
      </w:pPr>
    </w:p>
    <w:p w:rsidR="00796382" w:rsidP="00796382" w:rsidRDefault="00796382" w14:paraId="05231B5D" w14:textId="4C9B379D">
      <w:pPr>
        <w:tabs>
          <w:tab w:val="left" w:pos="360"/>
        </w:tabs>
        <w:ind w:left="720"/>
        <w:rPr>
          <w:sz w:val="22"/>
          <w:szCs w:val="22"/>
        </w:rPr>
      </w:pPr>
      <w:r>
        <w:rPr>
          <w:sz w:val="22"/>
          <w:szCs w:val="22"/>
        </w:rPr>
        <w:t xml:space="preserve">1 attorney at $46.88/hour x 16 hours per response x </w:t>
      </w:r>
      <w:r w:rsidR="00963D5E">
        <w:rPr>
          <w:sz w:val="22"/>
          <w:szCs w:val="22"/>
        </w:rPr>
        <w:t xml:space="preserve">4 </w:t>
      </w:r>
      <w:r>
        <w:rPr>
          <w:sz w:val="22"/>
          <w:szCs w:val="22"/>
        </w:rPr>
        <w:t>estimated respondents/responses = $</w:t>
      </w:r>
      <w:r w:rsidR="00182BA1">
        <w:rPr>
          <w:sz w:val="22"/>
          <w:szCs w:val="22"/>
        </w:rPr>
        <w:t>3,000.32</w:t>
      </w:r>
      <w:r>
        <w:rPr>
          <w:sz w:val="22"/>
          <w:szCs w:val="22"/>
        </w:rPr>
        <w:t>.</w:t>
      </w:r>
    </w:p>
    <w:p w:rsidR="00796382" w:rsidP="00796382" w:rsidRDefault="00796382" w14:paraId="2EDD81C6" w14:textId="77777777">
      <w:pPr>
        <w:tabs>
          <w:tab w:val="left" w:pos="360"/>
        </w:tabs>
        <w:ind w:left="720"/>
        <w:rPr>
          <w:sz w:val="22"/>
          <w:szCs w:val="22"/>
        </w:rPr>
      </w:pPr>
    </w:p>
    <w:p w:rsidRPr="00260385" w:rsidR="00796382" w:rsidP="00796382" w:rsidRDefault="00796382" w14:paraId="02C84B3F" w14:textId="0BA51488">
      <w:pPr>
        <w:tabs>
          <w:tab w:val="left" w:pos="360"/>
        </w:tabs>
        <w:ind w:left="720"/>
        <w:rPr>
          <w:b/>
          <w:sz w:val="22"/>
          <w:szCs w:val="22"/>
        </w:rPr>
      </w:pPr>
      <w:r>
        <w:rPr>
          <w:b/>
          <w:sz w:val="22"/>
          <w:szCs w:val="22"/>
        </w:rPr>
        <w:t>Total In-House Cost for Quarterly Progress Reports</w:t>
      </w:r>
      <w:r w:rsidRPr="003D05CB">
        <w:rPr>
          <w:b/>
          <w:sz w:val="22"/>
          <w:szCs w:val="22"/>
        </w:rPr>
        <w:t>:  $</w:t>
      </w:r>
      <w:r w:rsidR="007056F8">
        <w:rPr>
          <w:b/>
          <w:sz w:val="22"/>
          <w:szCs w:val="22"/>
        </w:rPr>
        <w:t>4,959.36</w:t>
      </w:r>
      <w:r w:rsidRPr="003D05CB">
        <w:rPr>
          <w:b/>
          <w:sz w:val="22"/>
          <w:szCs w:val="22"/>
        </w:rPr>
        <w:t xml:space="preserve"> + $</w:t>
      </w:r>
      <w:r w:rsidR="007056F8">
        <w:rPr>
          <w:b/>
          <w:sz w:val="22"/>
          <w:szCs w:val="22"/>
        </w:rPr>
        <w:t>3,000.32</w:t>
      </w:r>
      <w:r w:rsidRPr="003D05CB">
        <w:rPr>
          <w:b/>
          <w:sz w:val="22"/>
          <w:szCs w:val="22"/>
        </w:rPr>
        <w:t>= $</w:t>
      </w:r>
      <w:r w:rsidR="007056F8">
        <w:rPr>
          <w:b/>
          <w:sz w:val="22"/>
          <w:szCs w:val="22"/>
        </w:rPr>
        <w:t>7,959.68</w:t>
      </w:r>
      <w:r>
        <w:rPr>
          <w:b/>
          <w:sz w:val="22"/>
          <w:szCs w:val="22"/>
        </w:rPr>
        <w:t>.</w:t>
      </w:r>
    </w:p>
    <w:p w:rsidRPr="00260385" w:rsidR="00796382" w:rsidP="00796382" w:rsidRDefault="00796382" w14:paraId="58FB59D8" w14:textId="77777777">
      <w:pPr>
        <w:pStyle w:val="ListParagraph"/>
        <w:tabs>
          <w:tab w:val="left" w:pos="360"/>
        </w:tabs>
        <w:rPr>
          <w:i/>
          <w:sz w:val="22"/>
          <w:szCs w:val="22"/>
        </w:rPr>
      </w:pPr>
    </w:p>
    <w:p w:rsidRPr="00D01A0F" w:rsidR="00796382" w:rsidP="00EA1E9A" w:rsidRDefault="00796382" w14:paraId="3DB2A8E2" w14:textId="77777777">
      <w:pPr>
        <w:pStyle w:val="ListParagraph"/>
        <w:numPr>
          <w:ilvl w:val="0"/>
          <w:numId w:val="22"/>
        </w:numPr>
        <w:tabs>
          <w:tab w:val="left" w:pos="360"/>
        </w:tabs>
        <w:rPr>
          <w:i/>
          <w:sz w:val="22"/>
          <w:szCs w:val="22"/>
        </w:rPr>
      </w:pPr>
      <w:r w:rsidRPr="00D01A0F">
        <w:rPr>
          <w:i/>
          <w:sz w:val="22"/>
          <w:szCs w:val="22"/>
        </w:rPr>
        <w:t>The Relocation Payment Clearinghouse shall provide to the Office of Managing Director and the Wireless Telecommunications Bureau, by March 1 of each year, an audited statement of funds expended to date, including salaries and expenses of the Clearinghouse.  (47 C.F.R § 27.1414(c)(2))</w:t>
      </w:r>
    </w:p>
    <w:p w:rsidR="00796382" w:rsidP="00796382" w:rsidRDefault="00796382" w14:paraId="0A05C8C9" w14:textId="77777777">
      <w:pPr>
        <w:pStyle w:val="ListParagraph"/>
        <w:tabs>
          <w:tab w:val="left" w:pos="360"/>
        </w:tabs>
        <w:rPr>
          <w:i/>
          <w:sz w:val="22"/>
          <w:szCs w:val="22"/>
        </w:rPr>
      </w:pPr>
    </w:p>
    <w:p w:rsidR="00796382" w:rsidP="00796382" w:rsidRDefault="00796382" w14:paraId="1AF482F7" w14:textId="77777777">
      <w:pPr>
        <w:tabs>
          <w:tab w:val="left" w:pos="360"/>
        </w:tabs>
        <w:ind w:left="720"/>
        <w:rPr>
          <w:sz w:val="22"/>
          <w:szCs w:val="22"/>
        </w:rPr>
      </w:pPr>
      <w:r>
        <w:rPr>
          <w:sz w:val="22"/>
          <w:szCs w:val="22"/>
        </w:rPr>
        <w:t xml:space="preserve">The Commission estimates that it will take two in-house attorneys approximately 20 hours each to prepare the required information, with one of these attorneys </w:t>
      </w:r>
      <w:r w:rsidRPr="00930283">
        <w:rPr>
          <w:sz w:val="22"/>
          <w:szCs w:val="22"/>
        </w:rPr>
        <w:t>at a rate equivalent to the hourly rate of a GS-15, Step 5 government staff member ($77.49/hour) and one at a rate equivalent to the hourly rate of a GS-12, Step 5 government staff member ($46.88/hour).</w:t>
      </w:r>
      <w:r>
        <w:rPr>
          <w:sz w:val="22"/>
          <w:szCs w:val="22"/>
        </w:rPr>
        <w:t xml:space="preserve">  This report will be submitted </w:t>
      </w:r>
      <w:r w:rsidRPr="00C55776">
        <w:rPr>
          <w:sz w:val="22"/>
          <w:szCs w:val="22"/>
        </w:rPr>
        <w:t>once</w:t>
      </w:r>
      <w:r>
        <w:rPr>
          <w:sz w:val="22"/>
          <w:szCs w:val="22"/>
        </w:rPr>
        <w:t xml:space="preserve"> a year for three years.  Therefore, the estimated annual in-house cost is as follows:</w:t>
      </w:r>
    </w:p>
    <w:p w:rsidR="00796382" w:rsidP="00796382" w:rsidRDefault="00796382" w14:paraId="3150FD32" w14:textId="77777777">
      <w:pPr>
        <w:tabs>
          <w:tab w:val="left" w:pos="360"/>
        </w:tabs>
        <w:ind w:left="720"/>
        <w:rPr>
          <w:sz w:val="22"/>
          <w:szCs w:val="22"/>
        </w:rPr>
      </w:pPr>
    </w:p>
    <w:p w:rsidRPr="00D21FB3" w:rsidR="00796382" w:rsidP="00796382" w:rsidRDefault="00796382" w14:paraId="0B0E3B3D" w14:textId="086A520F">
      <w:pPr>
        <w:tabs>
          <w:tab w:val="left" w:pos="360"/>
        </w:tabs>
        <w:ind w:left="720"/>
        <w:rPr>
          <w:sz w:val="22"/>
          <w:szCs w:val="22"/>
        </w:rPr>
      </w:pPr>
      <w:r w:rsidRPr="00D21FB3">
        <w:rPr>
          <w:sz w:val="22"/>
          <w:szCs w:val="22"/>
        </w:rPr>
        <w:t xml:space="preserve">1 attorney at $77.49/hour x 20 hours per response x </w:t>
      </w:r>
      <w:r w:rsidR="00BD1477">
        <w:rPr>
          <w:sz w:val="22"/>
          <w:szCs w:val="22"/>
        </w:rPr>
        <w:t>1</w:t>
      </w:r>
      <w:r w:rsidRPr="00D21FB3" w:rsidR="00BD1477">
        <w:rPr>
          <w:sz w:val="22"/>
          <w:szCs w:val="22"/>
        </w:rPr>
        <w:t xml:space="preserve"> </w:t>
      </w:r>
      <w:r w:rsidRPr="00D21FB3">
        <w:rPr>
          <w:sz w:val="22"/>
          <w:szCs w:val="22"/>
        </w:rPr>
        <w:t>estimated respondent</w:t>
      </w:r>
      <w:r>
        <w:rPr>
          <w:sz w:val="22"/>
          <w:szCs w:val="22"/>
        </w:rPr>
        <w:t>s/responses</w:t>
      </w:r>
      <w:r w:rsidRPr="00D21FB3">
        <w:rPr>
          <w:sz w:val="22"/>
          <w:szCs w:val="22"/>
        </w:rPr>
        <w:t xml:space="preserve"> = $</w:t>
      </w:r>
      <w:r w:rsidR="003D50BB">
        <w:rPr>
          <w:sz w:val="22"/>
          <w:szCs w:val="22"/>
        </w:rPr>
        <w:t>1,549.80</w:t>
      </w:r>
      <w:r w:rsidRPr="00D21FB3">
        <w:rPr>
          <w:sz w:val="22"/>
          <w:szCs w:val="22"/>
        </w:rPr>
        <w:t>.</w:t>
      </w:r>
    </w:p>
    <w:p w:rsidRPr="00D21FB3" w:rsidR="00796382" w:rsidP="00796382" w:rsidRDefault="00796382" w14:paraId="3C033EFE" w14:textId="77777777">
      <w:pPr>
        <w:tabs>
          <w:tab w:val="left" w:pos="360"/>
        </w:tabs>
        <w:ind w:left="720"/>
        <w:rPr>
          <w:sz w:val="22"/>
          <w:szCs w:val="22"/>
        </w:rPr>
      </w:pPr>
    </w:p>
    <w:p w:rsidR="00796382" w:rsidP="00796382" w:rsidRDefault="00796382" w14:paraId="63947A13" w14:textId="08E167BC">
      <w:pPr>
        <w:tabs>
          <w:tab w:val="left" w:pos="360"/>
        </w:tabs>
        <w:ind w:left="720"/>
        <w:rPr>
          <w:sz w:val="22"/>
          <w:szCs w:val="22"/>
        </w:rPr>
      </w:pPr>
      <w:r w:rsidRPr="00D21FB3">
        <w:rPr>
          <w:sz w:val="22"/>
          <w:szCs w:val="22"/>
        </w:rPr>
        <w:t xml:space="preserve">1 attorney at $46.88/hour x 20 hours per response x </w:t>
      </w:r>
      <w:r w:rsidR="00BD1477">
        <w:rPr>
          <w:sz w:val="22"/>
          <w:szCs w:val="22"/>
        </w:rPr>
        <w:t>1</w:t>
      </w:r>
      <w:r w:rsidRPr="00D21FB3" w:rsidR="00BD1477">
        <w:rPr>
          <w:sz w:val="22"/>
          <w:szCs w:val="22"/>
        </w:rPr>
        <w:t xml:space="preserve"> </w:t>
      </w:r>
      <w:r w:rsidRPr="00D21FB3">
        <w:rPr>
          <w:sz w:val="22"/>
          <w:szCs w:val="22"/>
        </w:rPr>
        <w:t>estimated respondents</w:t>
      </w:r>
      <w:r>
        <w:rPr>
          <w:sz w:val="22"/>
          <w:szCs w:val="22"/>
        </w:rPr>
        <w:t>/responses</w:t>
      </w:r>
      <w:r w:rsidRPr="00D21FB3">
        <w:rPr>
          <w:sz w:val="22"/>
          <w:szCs w:val="22"/>
        </w:rPr>
        <w:t xml:space="preserve"> = $</w:t>
      </w:r>
      <w:r w:rsidR="005D0023">
        <w:rPr>
          <w:sz w:val="22"/>
          <w:szCs w:val="22"/>
        </w:rPr>
        <w:t>937.60</w:t>
      </w:r>
      <w:r w:rsidR="002A6A5E">
        <w:rPr>
          <w:sz w:val="22"/>
          <w:szCs w:val="22"/>
        </w:rPr>
        <w:t>.</w:t>
      </w:r>
    </w:p>
    <w:p w:rsidR="00796382" w:rsidP="00796382" w:rsidRDefault="00796382" w14:paraId="521C2902" w14:textId="77777777">
      <w:pPr>
        <w:tabs>
          <w:tab w:val="left" w:pos="360"/>
        </w:tabs>
        <w:ind w:left="720"/>
        <w:rPr>
          <w:sz w:val="22"/>
          <w:szCs w:val="22"/>
        </w:rPr>
      </w:pPr>
    </w:p>
    <w:p w:rsidRPr="00762BCD" w:rsidR="00796382" w:rsidP="00796382" w:rsidRDefault="00796382" w14:paraId="1D5E001B" w14:textId="428A66F8">
      <w:pPr>
        <w:tabs>
          <w:tab w:val="left" w:pos="360"/>
        </w:tabs>
        <w:ind w:left="720"/>
        <w:rPr>
          <w:b/>
          <w:sz w:val="22"/>
          <w:szCs w:val="22"/>
        </w:rPr>
      </w:pPr>
      <w:r>
        <w:rPr>
          <w:b/>
          <w:sz w:val="22"/>
          <w:szCs w:val="22"/>
        </w:rPr>
        <w:t>Total In-House Cost for Audited Statement of Funds:  $</w:t>
      </w:r>
      <w:r w:rsidR="00264E60">
        <w:rPr>
          <w:b/>
          <w:sz w:val="22"/>
          <w:szCs w:val="22"/>
        </w:rPr>
        <w:t>1,549.80</w:t>
      </w:r>
      <w:r w:rsidR="00745020">
        <w:rPr>
          <w:b/>
          <w:sz w:val="22"/>
          <w:szCs w:val="22"/>
        </w:rPr>
        <w:t xml:space="preserve"> </w:t>
      </w:r>
      <w:r>
        <w:rPr>
          <w:b/>
          <w:sz w:val="22"/>
          <w:szCs w:val="22"/>
        </w:rPr>
        <w:t>+ $</w:t>
      </w:r>
      <w:r w:rsidR="00264E60">
        <w:rPr>
          <w:b/>
          <w:sz w:val="22"/>
          <w:szCs w:val="22"/>
        </w:rPr>
        <w:t>937.60</w:t>
      </w:r>
      <w:r w:rsidR="00745020">
        <w:rPr>
          <w:b/>
          <w:sz w:val="22"/>
          <w:szCs w:val="22"/>
        </w:rPr>
        <w:t xml:space="preserve"> </w:t>
      </w:r>
      <w:r>
        <w:rPr>
          <w:b/>
          <w:sz w:val="22"/>
          <w:szCs w:val="22"/>
        </w:rPr>
        <w:t>= $</w:t>
      </w:r>
      <w:r w:rsidR="006F0203">
        <w:rPr>
          <w:b/>
          <w:sz w:val="22"/>
          <w:szCs w:val="22"/>
        </w:rPr>
        <w:t>2,487.40</w:t>
      </w:r>
      <w:r>
        <w:rPr>
          <w:b/>
          <w:sz w:val="22"/>
          <w:szCs w:val="22"/>
        </w:rPr>
        <w:t>.</w:t>
      </w:r>
    </w:p>
    <w:p w:rsidRPr="007950F6" w:rsidR="00796382" w:rsidP="00796382" w:rsidRDefault="00796382" w14:paraId="3A36BF23" w14:textId="77777777">
      <w:pPr>
        <w:pStyle w:val="ListParagraph"/>
        <w:rPr>
          <w:i/>
          <w:sz w:val="22"/>
          <w:szCs w:val="22"/>
        </w:rPr>
      </w:pPr>
    </w:p>
    <w:p w:rsidRPr="00D01A0F" w:rsidR="00796382" w:rsidP="00EA1E9A" w:rsidRDefault="00796382" w14:paraId="614F6573" w14:textId="77777777">
      <w:pPr>
        <w:pStyle w:val="ListParagraph"/>
        <w:numPr>
          <w:ilvl w:val="0"/>
          <w:numId w:val="22"/>
        </w:numPr>
        <w:tabs>
          <w:tab w:val="left" w:pos="360"/>
        </w:tabs>
        <w:rPr>
          <w:i/>
          <w:sz w:val="22"/>
          <w:szCs w:val="22"/>
        </w:rPr>
      </w:pPr>
      <w:r w:rsidRPr="00D01A0F">
        <w:rPr>
          <w:i/>
          <w:sz w:val="22"/>
          <w:szCs w:val="22"/>
        </w:rPr>
        <w:t>The Relocation Payment Clearinghouse shall provide information to the Wireless Telecommunications Bureau upon request (47 C.F.R. § 27.1414(c)(3))</w:t>
      </w:r>
    </w:p>
    <w:p w:rsidR="00796382" w:rsidP="00796382" w:rsidRDefault="00796382" w14:paraId="3DF3CE69" w14:textId="77777777">
      <w:pPr>
        <w:tabs>
          <w:tab w:val="left" w:pos="360"/>
        </w:tabs>
        <w:rPr>
          <w:i/>
          <w:sz w:val="22"/>
          <w:szCs w:val="22"/>
        </w:rPr>
      </w:pPr>
    </w:p>
    <w:p w:rsidR="00796382" w:rsidP="00796382" w:rsidRDefault="00796382" w14:paraId="4D425F9F" w14:textId="77777777">
      <w:pPr>
        <w:tabs>
          <w:tab w:val="left" w:pos="360"/>
        </w:tabs>
        <w:ind w:left="720"/>
        <w:rPr>
          <w:sz w:val="22"/>
          <w:szCs w:val="22"/>
        </w:rPr>
      </w:pPr>
      <w:r w:rsidRPr="006A2141">
        <w:rPr>
          <w:sz w:val="22"/>
          <w:szCs w:val="22"/>
        </w:rPr>
        <w:t xml:space="preserve">The </w:t>
      </w:r>
      <w:r>
        <w:rPr>
          <w:sz w:val="22"/>
          <w:szCs w:val="22"/>
        </w:rPr>
        <w:t>Commission estimates that it will take one in-house attorney at an hourly rate of a GS-15, Step 5 government staff member ($77.49/hour) approximately two hours to prepare the required information.  We estimate that Relocation Payment Clearinghouse will be required to provide information once a month for three years.  Therefore, the estimated annual in-house cost is as follows:</w:t>
      </w:r>
    </w:p>
    <w:p w:rsidR="00796382" w:rsidP="00796382" w:rsidRDefault="00796382" w14:paraId="065B2990" w14:textId="77777777">
      <w:pPr>
        <w:tabs>
          <w:tab w:val="left" w:pos="360"/>
        </w:tabs>
        <w:ind w:left="720"/>
        <w:rPr>
          <w:sz w:val="22"/>
          <w:szCs w:val="22"/>
        </w:rPr>
      </w:pPr>
    </w:p>
    <w:p w:rsidR="00796382" w:rsidP="00796382" w:rsidRDefault="00796382" w14:paraId="725621C5" w14:textId="6E8F31F3">
      <w:pPr>
        <w:tabs>
          <w:tab w:val="left" w:pos="360"/>
        </w:tabs>
        <w:ind w:left="720"/>
        <w:rPr>
          <w:sz w:val="22"/>
          <w:szCs w:val="22"/>
        </w:rPr>
      </w:pPr>
      <w:r>
        <w:rPr>
          <w:sz w:val="22"/>
          <w:szCs w:val="22"/>
        </w:rPr>
        <w:t xml:space="preserve">1 attorney at $77.49/hour x 2 hours per response x </w:t>
      </w:r>
      <w:r w:rsidR="009647D5">
        <w:rPr>
          <w:sz w:val="22"/>
          <w:szCs w:val="22"/>
        </w:rPr>
        <w:t xml:space="preserve">12 </w:t>
      </w:r>
      <w:r>
        <w:rPr>
          <w:sz w:val="22"/>
          <w:szCs w:val="22"/>
        </w:rPr>
        <w:t>estimated respondents/responses = $</w:t>
      </w:r>
      <w:r w:rsidR="00504913">
        <w:rPr>
          <w:sz w:val="22"/>
          <w:szCs w:val="22"/>
        </w:rPr>
        <w:t>1,859.76</w:t>
      </w:r>
      <w:r>
        <w:rPr>
          <w:sz w:val="22"/>
          <w:szCs w:val="22"/>
        </w:rPr>
        <w:t>.</w:t>
      </w:r>
    </w:p>
    <w:p w:rsidR="00796382" w:rsidP="00796382" w:rsidRDefault="00796382" w14:paraId="6D5A8610" w14:textId="77777777">
      <w:pPr>
        <w:tabs>
          <w:tab w:val="left" w:pos="360"/>
        </w:tabs>
        <w:ind w:left="720"/>
        <w:rPr>
          <w:sz w:val="22"/>
          <w:szCs w:val="22"/>
        </w:rPr>
      </w:pPr>
    </w:p>
    <w:p w:rsidRPr="00BF6145" w:rsidR="00796382" w:rsidP="00796382" w:rsidRDefault="00796382" w14:paraId="44D60B9F" w14:textId="067C389C">
      <w:pPr>
        <w:tabs>
          <w:tab w:val="left" w:pos="360"/>
        </w:tabs>
        <w:ind w:left="720"/>
        <w:rPr>
          <w:b/>
          <w:sz w:val="22"/>
          <w:szCs w:val="22"/>
        </w:rPr>
      </w:pPr>
      <w:r>
        <w:rPr>
          <w:b/>
          <w:sz w:val="22"/>
          <w:szCs w:val="22"/>
        </w:rPr>
        <w:t>Total In-House Cost for WTB-Requested Information:  $</w:t>
      </w:r>
      <w:r w:rsidR="00504913">
        <w:rPr>
          <w:b/>
          <w:sz w:val="22"/>
          <w:szCs w:val="22"/>
        </w:rPr>
        <w:t>1,859.76</w:t>
      </w:r>
      <w:r>
        <w:rPr>
          <w:b/>
          <w:sz w:val="22"/>
          <w:szCs w:val="22"/>
        </w:rPr>
        <w:t>.</w:t>
      </w:r>
    </w:p>
    <w:p w:rsidRPr="006673F0" w:rsidR="00796382" w:rsidP="00796382" w:rsidRDefault="00796382" w14:paraId="6288BDAF" w14:textId="77777777">
      <w:pPr>
        <w:tabs>
          <w:tab w:val="left" w:pos="360"/>
        </w:tabs>
        <w:rPr>
          <w:sz w:val="22"/>
          <w:szCs w:val="22"/>
        </w:rPr>
      </w:pPr>
    </w:p>
    <w:p w:rsidRPr="00D01A0F" w:rsidR="00796382" w:rsidP="00EA1E9A" w:rsidRDefault="00796382" w14:paraId="32E1C422" w14:textId="77777777">
      <w:pPr>
        <w:pStyle w:val="ListParagraph"/>
        <w:numPr>
          <w:ilvl w:val="0"/>
          <w:numId w:val="22"/>
        </w:numPr>
        <w:tabs>
          <w:tab w:val="left" w:pos="360"/>
        </w:tabs>
        <w:rPr>
          <w:i/>
          <w:sz w:val="22"/>
          <w:szCs w:val="22"/>
        </w:rPr>
      </w:pPr>
      <w:r w:rsidRPr="00D01A0F">
        <w:rPr>
          <w:i/>
          <w:sz w:val="22"/>
          <w:szCs w:val="22"/>
        </w:rPr>
        <w:t>The Relocation Payment Clearinghouse must hire a third-party firm to independently audit and verify, on an annual basis, the Relocation Payment Clearinghouse’s compliance with privacy and information security requirements and report the results to the Wireless Telecommunications Bureau.  (47 C.F.R. § 27.1414(b)(4)(iii))</w:t>
      </w:r>
    </w:p>
    <w:p w:rsidRPr="006673F0" w:rsidR="00796382" w:rsidP="00796382" w:rsidRDefault="00796382" w14:paraId="1A2E12DD" w14:textId="77777777">
      <w:pPr>
        <w:pStyle w:val="ListParagraph"/>
        <w:tabs>
          <w:tab w:val="left" w:pos="360"/>
        </w:tabs>
        <w:rPr>
          <w:i/>
          <w:sz w:val="22"/>
          <w:szCs w:val="22"/>
        </w:rPr>
      </w:pPr>
    </w:p>
    <w:p w:rsidR="00796382" w:rsidP="00796382" w:rsidRDefault="00796382" w14:paraId="749658D6" w14:textId="77777777">
      <w:pPr>
        <w:pStyle w:val="ListParagraph"/>
        <w:tabs>
          <w:tab w:val="left" w:pos="360"/>
        </w:tabs>
        <w:rPr>
          <w:sz w:val="22"/>
          <w:szCs w:val="22"/>
        </w:rPr>
      </w:pPr>
      <w:r>
        <w:rPr>
          <w:sz w:val="22"/>
          <w:szCs w:val="22"/>
        </w:rPr>
        <w:t>The Commission estimates that it will take one in-house attorney at an hourly rate of a GS-15, Step 5 government staff member ($77.49/hour) approximately two hours to prepare the required information.  This report will be submitted annually for three years.  Therefore, the estimated annual in-house cost is as follows:</w:t>
      </w:r>
    </w:p>
    <w:p w:rsidR="00796382" w:rsidP="00796382" w:rsidRDefault="00796382" w14:paraId="46DAFE8E" w14:textId="77777777">
      <w:pPr>
        <w:pStyle w:val="ListParagraph"/>
        <w:tabs>
          <w:tab w:val="left" w:pos="360"/>
        </w:tabs>
        <w:rPr>
          <w:sz w:val="22"/>
          <w:szCs w:val="22"/>
        </w:rPr>
      </w:pPr>
    </w:p>
    <w:p w:rsidR="00796382" w:rsidP="00796382" w:rsidRDefault="00796382" w14:paraId="5A646E51" w14:textId="643CDF8C">
      <w:pPr>
        <w:tabs>
          <w:tab w:val="left" w:pos="360"/>
        </w:tabs>
        <w:ind w:left="720"/>
        <w:rPr>
          <w:sz w:val="22"/>
          <w:szCs w:val="22"/>
        </w:rPr>
      </w:pPr>
      <w:r>
        <w:rPr>
          <w:sz w:val="22"/>
          <w:szCs w:val="22"/>
        </w:rPr>
        <w:t xml:space="preserve">1 attorney at $77.49/hour x 2 hours per response x </w:t>
      </w:r>
      <w:r w:rsidR="00EE1834">
        <w:rPr>
          <w:sz w:val="22"/>
          <w:szCs w:val="22"/>
        </w:rPr>
        <w:t>1</w:t>
      </w:r>
      <w:r>
        <w:rPr>
          <w:sz w:val="22"/>
          <w:szCs w:val="22"/>
        </w:rPr>
        <w:t xml:space="preserve"> estimated respondents/responses = $</w:t>
      </w:r>
      <w:r w:rsidR="00F71BC7">
        <w:rPr>
          <w:sz w:val="22"/>
          <w:szCs w:val="22"/>
        </w:rPr>
        <w:t>154.98</w:t>
      </w:r>
      <w:r>
        <w:rPr>
          <w:sz w:val="22"/>
          <w:szCs w:val="22"/>
        </w:rPr>
        <w:t>.</w:t>
      </w:r>
    </w:p>
    <w:p w:rsidR="00796382" w:rsidP="00796382" w:rsidRDefault="00796382" w14:paraId="59E9065F" w14:textId="77777777">
      <w:pPr>
        <w:tabs>
          <w:tab w:val="left" w:pos="360"/>
        </w:tabs>
        <w:rPr>
          <w:sz w:val="22"/>
          <w:szCs w:val="22"/>
        </w:rPr>
      </w:pPr>
    </w:p>
    <w:p w:rsidRPr="006E1892" w:rsidR="00796382" w:rsidP="00796382" w:rsidRDefault="00796382" w14:paraId="5BA64865" w14:textId="0E58EFD4">
      <w:pPr>
        <w:tabs>
          <w:tab w:val="left" w:pos="360"/>
        </w:tabs>
        <w:ind w:left="720"/>
        <w:rPr>
          <w:b/>
          <w:sz w:val="22"/>
          <w:szCs w:val="22"/>
        </w:rPr>
      </w:pPr>
      <w:r>
        <w:rPr>
          <w:b/>
          <w:sz w:val="22"/>
          <w:szCs w:val="22"/>
        </w:rPr>
        <w:t>Total In-House Cost for Information Security Reporting</w:t>
      </w:r>
      <w:r w:rsidRPr="003D05CB">
        <w:rPr>
          <w:b/>
          <w:sz w:val="22"/>
          <w:szCs w:val="22"/>
        </w:rPr>
        <w:t xml:space="preserve">:  </w:t>
      </w:r>
      <w:r>
        <w:rPr>
          <w:b/>
          <w:sz w:val="22"/>
          <w:szCs w:val="22"/>
        </w:rPr>
        <w:t>$</w:t>
      </w:r>
      <w:r w:rsidR="00CE1F00">
        <w:rPr>
          <w:b/>
          <w:sz w:val="22"/>
          <w:szCs w:val="22"/>
        </w:rPr>
        <w:t>154.98</w:t>
      </w:r>
      <w:r>
        <w:rPr>
          <w:b/>
          <w:sz w:val="22"/>
          <w:szCs w:val="22"/>
        </w:rPr>
        <w:t>.</w:t>
      </w:r>
    </w:p>
    <w:p w:rsidRPr="007950F6" w:rsidR="00796382" w:rsidP="00796382" w:rsidRDefault="00796382" w14:paraId="15343B63" w14:textId="77777777">
      <w:pPr>
        <w:pStyle w:val="ListParagraph"/>
        <w:rPr>
          <w:i/>
          <w:sz w:val="22"/>
          <w:szCs w:val="22"/>
        </w:rPr>
      </w:pPr>
    </w:p>
    <w:p w:rsidRPr="00D01A0F" w:rsidR="00796382" w:rsidP="00EA1E9A" w:rsidRDefault="00796382" w14:paraId="0FD6FFA3" w14:textId="77777777">
      <w:pPr>
        <w:pStyle w:val="ListParagraph"/>
        <w:numPr>
          <w:ilvl w:val="0"/>
          <w:numId w:val="22"/>
        </w:numPr>
        <w:tabs>
          <w:tab w:val="left" w:pos="360"/>
        </w:tabs>
        <w:rPr>
          <w:i/>
          <w:sz w:val="22"/>
          <w:szCs w:val="22"/>
        </w:rPr>
      </w:pPr>
      <w:r w:rsidRPr="00D01A0F">
        <w:rPr>
          <w:i/>
          <w:sz w:val="22"/>
          <w:szCs w:val="22"/>
        </w:rPr>
        <w:t>The Relocation Payment Clearinghouse shall provide 3.7 GHz Service licensees with 30 days’ notice of the additional pro-rata shares the licensees must contribute (47 C.F.R. § 27.1417), and shall provide an estimate to the overlay licensees of the amounts they owe every six months (47 C.F.R § 27.1417).</w:t>
      </w:r>
    </w:p>
    <w:p w:rsidR="00796382" w:rsidP="00796382" w:rsidRDefault="00796382" w14:paraId="4619CC4F" w14:textId="77777777">
      <w:pPr>
        <w:tabs>
          <w:tab w:val="left" w:pos="360"/>
        </w:tabs>
        <w:ind w:left="720"/>
        <w:rPr>
          <w:sz w:val="22"/>
          <w:szCs w:val="22"/>
        </w:rPr>
      </w:pPr>
    </w:p>
    <w:p w:rsidR="00796382" w:rsidP="00796382" w:rsidRDefault="00796382" w14:paraId="66BFC019" w14:textId="034D4199">
      <w:pPr>
        <w:tabs>
          <w:tab w:val="left" w:pos="360"/>
        </w:tabs>
        <w:ind w:left="720"/>
        <w:rPr>
          <w:sz w:val="22"/>
          <w:szCs w:val="22"/>
        </w:rPr>
      </w:pPr>
      <w:r>
        <w:rPr>
          <w:sz w:val="22"/>
          <w:szCs w:val="22"/>
        </w:rPr>
        <w:t xml:space="preserve">The </w:t>
      </w:r>
      <w:r w:rsidRPr="00453A56">
        <w:rPr>
          <w:sz w:val="22"/>
          <w:szCs w:val="22"/>
        </w:rPr>
        <w:t>Commission estimates that it will take two in-house attorneys 16 hours each to prepare the required information, with one of these attorneys at a rate equivalent to the hourly rate of a GS-15, Step 5 government staff member ($77.49/hour) and one at a rate equivalent to the hourly rate of a GS-12, Step 5 government staff member ($46.88</w:t>
      </w:r>
      <w:r>
        <w:rPr>
          <w:sz w:val="22"/>
          <w:szCs w:val="22"/>
        </w:rPr>
        <w:t xml:space="preserve">/hour).  </w:t>
      </w:r>
      <w:r w:rsidR="00952626">
        <w:rPr>
          <w:sz w:val="22"/>
          <w:szCs w:val="22"/>
        </w:rPr>
        <w:t>We estimate that the RPC will pr</w:t>
      </w:r>
      <w:r w:rsidR="0097583C">
        <w:rPr>
          <w:sz w:val="22"/>
          <w:szCs w:val="22"/>
        </w:rPr>
        <w:t>o</w:t>
      </w:r>
      <w:r w:rsidR="00952626">
        <w:rPr>
          <w:sz w:val="22"/>
          <w:szCs w:val="22"/>
        </w:rPr>
        <w:t xml:space="preserve">vide </w:t>
      </w:r>
      <w:r w:rsidR="0097583C">
        <w:rPr>
          <w:sz w:val="22"/>
          <w:szCs w:val="22"/>
        </w:rPr>
        <w:t>30 days’ notice of the additional pro-rata shares</w:t>
      </w:r>
      <w:r w:rsidR="00BC5B60">
        <w:rPr>
          <w:sz w:val="22"/>
          <w:szCs w:val="22"/>
        </w:rPr>
        <w:t xml:space="preserve"> that the approximately 35</w:t>
      </w:r>
      <w:r w:rsidR="0097583C">
        <w:rPr>
          <w:sz w:val="22"/>
          <w:szCs w:val="22"/>
        </w:rPr>
        <w:t xml:space="preserve"> </w:t>
      </w:r>
      <w:r w:rsidR="00B80E9C">
        <w:rPr>
          <w:sz w:val="22"/>
          <w:szCs w:val="22"/>
        </w:rPr>
        <w:t>licensees</w:t>
      </w:r>
      <w:r w:rsidR="0097583C">
        <w:rPr>
          <w:sz w:val="22"/>
          <w:szCs w:val="22"/>
        </w:rPr>
        <w:t xml:space="preserve"> must contribute once a month for three years</w:t>
      </w:r>
      <w:r w:rsidR="003940E5">
        <w:rPr>
          <w:sz w:val="22"/>
          <w:szCs w:val="22"/>
        </w:rPr>
        <w:t xml:space="preserve"> (420 </w:t>
      </w:r>
      <w:r w:rsidR="00BC5B60">
        <w:rPr>
          <w:sz w:val="22"/>
          <w:szCs w:val="22"/>
        </w:rPr>
        <w:t xml:space="preserve">estimated annual </w:t>
      </w:r>
      <w:r w:rsidR="003940E5">
        <w:rPr>
          <w:sz w:val="22"/>
          <w:szCs w:val="22"/>
        </w:rPr>
        <w:t>responses)</w:t>
      </w:r>
      <w:r w:rsidR="00E229DB">
        <w:rPr>
          <w:sz w:val="22"/>
          <w:szCs w:val="22"/>
        </w:rPr>
        <w:t>.  We estimate t</w:t>
      </w:r>
      <w:r w:rsidR="0097583C">
        <w:rPr>
          <w:sz w:val="22"/>
          <w:szCs w:val="22"/>
        </w:rPr>
        <w:t xml:space="preserve">hat the RPC will provide an estimate to </w:t>
      </w:r>
      <w:r w:rsidR="00E229DB">
        <w:rPr>
          <w:sz w:val="22"/>
          <w:szCs w:val="22"/>
        </w:rPr>
        <w:t xml:space="preserve">approximately 35 </w:t>
      </w:r>
      <w:r w:rsidR="0097583C">
        <w:rPr>
          <w:sz w:val="22"/>
          <w:szCs w:val="22"/>
        </w:rPr>
        <w:t>overlay licensees of the amounts they owe</w:t>
      </w:r>
      <w:r>
        <w:rPr>
          <w:sz w:val="22"/>
          <w:szCs w:val="22"/>
        </w:rPr>
        <w:t xml:space="preserve"> twice a year for three years</w:t>
      </w:r>
      <w:r w:rsidR="00E229DB">
        <w:rPr>
          <w:sz w:val="22"/>
          <w:szCs w:val="22"/>
        </w:rPr>
        <w:t xml:space="preserve"> (70 estimated annual responses)</w:t>
      </w:r>
      <w:r>
        <w:rPr>
          <w:sz w:val="22"/>
          <w:szCs w:val="22"/>
        </w:rPr>
        <w:t xml:space="preserve">.  We </w:t>
      </w:r>
      <w:r w:rsidR="00A15AF4">
        <w:rPr>
          <w:sz w:val="22"/>
          <w:szCs w:val="22"/>
        </w:rPr>
        <w:t xml:space="preserve">therefore </w:t>
      </w:r>
      <w:r>
        <w:rPr>
          <w:sz w:val="22"/>
          <w:szCs w:val="22"/>
        </w:rPr>
        <w:t xml:space="preserve">expect that there will be </w:t>
      </w:r>
      <w:r w:rsidR="00E229DB">
        <w:rPr>
          <w:sz w:val="22"/>
          <w:szCs w:val="22"/>
        </w:rPr>
        <w:t>420</w:t>
      </w:r>
      <w:r w:rsidRPr="0005483D" w:rsidR="003940E5">
        <w:rPr>
          <w:sz w:val="22"/>
          <w:szCs w:val="22"/>
        </w:rPr>
        <w:t xml:space="preserve"> </w:t>
      </w:r>
      <w:r w:rsidR="00FC24F1">
        <w:rPr>
          <w:sz w:val="22"/>
          <w:szCs w:val="22"/>
        </w:rPr>
        <w:t xml:space="preserve">estimated annual </w:t>
      </w:r>
      <w:r w:rsidRPr="0005483D">
        <w:rPr>
          <w:sz w:val="22"/>
          <w:szCs w:val="22"/>
        </w:rPr>
        <w:t xml:space="preserve">responses </w:t>
      </w:r>
      <w:r w:rsidR="00E229DB">
        <w:rPr>
          <w:sz w:val="22"/>
          <w:szCs w:val="22"/>
        </w:rPr>
        <w:t xml:space="preserve">for the pro-rata share notification, 70 </w:t>
      </w:r>
      <w:r w:rsidR="00771042">
        <w:rPr>
          <w:sz w:val="22"/>
          <w:szCs w:val="22"/>
        </w:rPr>
        <w:t xml:space="preserve">estimated annual </w:t>
      </w:r>
      <w:r w:rsidR="00E229DB">
        <w:rPr>
          <w:sz w:val="22"/>
          <w:szCs w:val="22"/>
        </w:rPr>
        <w:t xml:space="preserve">responses for the bi-annual estimates, </w:t>
      </w:r>
      <w:r w:rsidRPr="0005483D">
        <w:rPr>
          <w:sz w:val="22"/>
          <w:szCs w:val="22"/>
        </w:rPr>
        <w:t xml:space="preserve">and </w:t>
      </w:r>
      <w:r w:rsidR="009D3DC8">
        <w:rPr>
          <w:sz w:val="22"/>
          <w:szCs w:val="22"/>
        </w:rPr>
        <w:t>1</w:t>
      </w:r>
      <w:r w:rsidRPr="0005483D">
        <w:rPr>
          <w:sz w:val="22"/>
          <w:szCs w:val="22"/>
        </w:rPr>
        <w:t xml:space="preserve"> respondent</w:t>
      </w:r>
      <w:r>
        <w:rPr>
          <w:sz w:val="22"/>
          <w:szCs w:val="22"/>
        </w:rPr>
        <w:t>.  Therefore, the estimated annual in-house cost is as follows:</w:t>
      </w:r>
    </w:p>
    <w:p w:rsidR="00796382" w:rsidP="00796382" w:rsidRDefault="00796382" w14:paraId="65397145" w14:textId="77777777">
      <w:pPr>
        <w:tabs>
          <w:tab w:val="left" w:pos="360"/>
        </w:tabs>
        <w:ind w:left="720"/>
        <w:rPr>
          <w:sz w:val="22"/>
          <w:szCs w:val="22"/>
        </w:rPr>
      </w:pPr>
    </w:p>
    <w:p w:rsidR="004A4899" w:rsidP="00796382" w:rsidRDefault="004A4899" w14:paraId="67FB84FD" w14:textId="2968FF11">
      <w:pPr>
        <w:tabs>
          <w:tab w:val="left" w:pos="360"/>
        </w:tabs>
        <w:ind w:left="720"/>
        <w:rPr>
          <w:sz w:val="22"/>
          <w:szCs w:val="22"/>
        </w:rPr>
      </w:pPr>
      <w:r>
        <w:rPr>
          <w:sz w:val="22"/>
          <w:szCs w:val="22"/>
        </w:rPr>
        <w:t xml:space="preserve">1 attorney at $77.49/hour x 16 hours per response x </w:t>
      </w:r>
      <w:r w:rsidR="00AD21EE">
        <w:rPr>
          <w:sz w:val="22"/>
          <w:szCs w:val="22"/>
        </w:rPr>
        <w:t>420 estimated responses based on 35 licensees receiving notices 12 times per year x 1 estimated respondent = $520,732.80 for the monthly notifications to</w:t>
      </w:r>
      <w:r w:rsidR="00662C95">
        <w:rPr>
          <w:sz w:val="22"/>
          <w:szCs w:val="22"/>
        </w:rPr>
        <w:t xml:space="preserve"> the </w:t>
      </w:r>
      <w:r w:rsidR="00AD21EE">
        <w:rPr>
          <w:sz w:val="22"/>
          <w:szCs w:val="22"/>
        </w:rPr>
        <w:t>licensees.</w:t>
      </w:r>
    </w:p>
    <w:p w:rsidR="00AD21EE" w:rsidP="00796382" w:rsidRDefault="00AD21EE" w14:paraId="75CEA986" w14:textId="144A789C">
      <w:pPr>
        <w:tabs>
          <w:tab w:val="left" w:pos="360"/>
        </w:tabs>
        <w:ind w:left="720"/>
        <w:rPr>
          <w:sz w:val="22"/>
          <w:szCs w:val="22"/>
        </w:rPr>
      </w:pPr>
    </w:p>
    <w:p w:rsidR="00AD21EE" w:rsidP="00796382" w:rsidRDefault="00AD21EE" w14:paraId="0801C720" w14:textId="1AADC348">
      <w:pPr>
        <w:tabs>
          <w:tab w:val="left" w:pos="360"/>
        </w:tabs>
        <w:ind w:left="720"/>
        <w:rPr>
          <w:sz w:val="22"/>
          <w:szCs w:val="22"/>
        </w:rPr>
      </w:pPr>
      <w:r>
        <w:rPr>
          <w:sz w:val="22"/>
          <w:szCs w:val="22"/>
        </w:rPr>
        <w:t xml:space="preserve">1 attorney at $46.88/hour x 16 hours per response x 420 estimated responses x 1 estimated respondent = $315,033.60 for the monthly notifications to </w:t>
      </w:r>
      <w:r w:rsidR="000D32D3">
        <w:rPr>
          <w:sz w:val="22"/>
          <w:szCs w:val="22"/>
        </w:rPr>
        <w:t xml:space="preserve">the </w:t>
      </w:r>
      <w:r>
        <w:rPr>
          <w:sz w:val="22"/>
          <w:szCs w:val="22"/>
        </w:rPr>
        <w:t>licensees.</w:t>
      </w:r>
    </w:p>
    <w:p w:rsidR="004A4899" w:rsidP="00796382" w:rsidRDefault="004A4899" w14:paraId="57AEA495" w14:textId="77777777">
      <w:pPr>
        <w:tabs>
          <w:tab w:val="left" w:pos="360"/>
        </w:tabs>
        <w:ind w:left="720"/>
        <w:rPr>
          <w:sz w:val="22"/>
          <w:szCs w:val="22"/>
        </w:rPr>
      </w:pPr>
    </w:p>
    <w:p w:rsidR="00796382" w:rsidP="00796382" w:rsidRDefault="00796382" w14:paraId="67BB5D60" w14:textId="736C9874">
      <w:pPr>
        <w:tabs>
          <w:tab w:val="left" w:pos="360"/>
        </w:tabs>
        <w:ind w:left="720"/>
        <w:rPr>
          <w:sz w:val="22"/>
          <w:szCs w:val="22"/>
        </w:rPr>
      </w:pPr>
      <w:r>
        <w:rPr>
          <w:sz w:val="22"/>
          <w:szCs w:val="22"/>
        </w:rPr>
        <w:t xml:space="preserve">1 attorney at $77.49/hour x 16 hours per response x </w:t>
      </w:r>
      <w:r w:rsidR="001E2031">
        <w:rPr>
          <w:sz w:val="22"/>
          <w:szCs w:val="22"/>
        </w:rPr>
        <w:t xml:space="preserve">70 </w:t>
      </w:r>
      <w:r>
        <w:rPr>
          <w:sz w:val="22"/>
          <w:szCs w:val="22"/>
        </w:rPr>
        <w:t>estimated responses</w:t>
      </w:r>
      <w:r w:rsidR="003940E5">
        <w:rPr>
          <w:sz w:val="22"/>
          <w:szCs w:val="22"/>
        </w:rPr>
        <w:t xml:space="preserve"> based on 35 licensees receiving a notice twice a year</w:t>
      </w:r>
      <w:r>
        <w:rPr>
          <w:sz w:val="22"/>
          <w:szCs w:val="22"/>
        </w:rPr>
        <w:t xml:space="preserve"> x </w:t>
      </w:r>
      <w:r w:rsidR="009D3DC8">
        <w:rPr>
          <w:sz w:val="22"/>
          <w:szCs w:val="22"/>
        </w:rPr>
        <w:t>1</w:t>
      </w:r>
      <w:r>
        <w:rPr>
          <w:sz w:val="22"/>
          <w:szCs w:val="22"/>
        </w:rPr>
        <w:t xml:space="preserve"> estimated respondent = $</w:t>
      </w:r>
      <w:r w:rsidR="00A32D21">
        <w:rPr>
          <w:sz w:val="22"/>
          <w:szCs w:val="22"/>
        </w:rPr>
        <w:t>86,788.80</w:t>
      </w:r>
      <w:r w:rsidR="001E2031">
        <w:rPr>
          <w:sz w:val="22"/>
          <w:szCs w:val="22"/>
        </w:rPr>
        <w:t xml:space="preserve"> for the </w:t>
      </w:r>
      <w:r w:rsidR="00B5083D">
        <w:rPr>
          <w:sz w:val="22"/>
          <w:szCs w:val="22"/>
        </w:rPr>
        <w:t>bi-annual estimates to the overlay licensees</w:t>
      </w:r>
      <w:r>
        <w:rPr>
          <w:sz w:val="22"/>
          <w:szCs w:val="22"/>
        </w:rPr>
        <w:t>.</w:t>
      </w:r>
    </w:p>
    <w:p w:rsidR="00796382" w:rsidP="00796382" w:rsidRDefault="00796382" w14:paraId="19FA08A4" w14:textId="77777777">
      <w:pPr>
        <w:tabs>
          <w:tab w:val="left" w:pos="360"/>
        </w:tabs>
        <w:ind w:left="720"/>
        <w:rPr>
          <w:sz w:val="22"/>
          <w:szCs w:val="22"/>
        </w:rPr>
      </w:pPr>
    </w:p>
    <w:p w:rsidR="00796382" w:rsidP="00796382" w:rsidRDefault="00796382" w14:paraId="282A2A1C" w14:textId="3EDEF687">
      <w:pPr>
        <w:tabs>
          <w:tab w:val="left" w:pos="360"/>
        </w:tabs>
        <w:ind w:left="720"/>
        <w:rPr>
          <w:sz w:val="22"/>
          <w:szCs w:val="22"/>
        </w:rPr>
      </w:pPr>
      <w:r>
        <w:rPr>
          <w:sz w:val="22"/>
          <w:szCs w:val="22"/>
        </w:rPr>
        <w:t xml:space="preserve">1 attorney at $46.88/hour x 16 hours per response x </w:t>
      </w:r>
      <w:r w:rsidR="00AC6FC5">
        <w:rPr>
          <w:sz w:val="22"/>
          <w:szCs w:val="22"/>
        </w:rPr>
        <w:t xml:space="preserve">70 </w:t>
      </w:r>
      <w:r>
        <w:rPr>
          <w:sz w:val="22"/>
          <w:szCs w:val="22"/>
        </w:rPr>
        <w:t xml:space="preserve">estimated responses x </w:t>
      </w:r>
      <w:r w:rsidR="009D3DC8">
        <w:rPr>
          <w:sz w:val="22"/>
          <w:szCs w:val="22"/>
        </w:rPr>
        <w:t>1</w:t>
      </w:r>
      <w:r>
        <w:rPr>
          <w:sz w:val="22"/>
          <w:szCs w:val="22"/>
        </w:rPr>
        <w:t xml:space="preserve"> estimated respondent </w:t>
      </w:r>
      <w:r w:rsidRPr="00AA5369">
        <w:rPr>
          <w:sz w:val="22"/>
          <w:szCs w:val="22"/>
        </w:rPr>
        <w:t>= $</w:t>
      </w:r>
      <w:r w:rsidR="00CF602F">
        <w:rPr>
          <w:sz w:val="22"/>
          <w:szCs w:val="22"/>
        </w:rPr>
        <w:t>52,505.60</w:t>
      </w:r>
      <w:r w:rsidR="00DE01C9">
        <w:rPr>
          <w:sz w:val="22"/>
          <w:szCs w:val="22"/>
        </w:rPr>
        <w:t xml:space="preserve"> for </w:t>
      </w:r>
      <w:r w:rsidRPr="00250DE4" w:rsidR="00DE01C9">
        <w:rPr>
          <w:sz w:val="22"/>
          <w:szCs w:val="22"/>
        </w:rPr>
        <w:t>the bi-annual estimates</w:t>
      </w:r>
      <w:r w:rsidR="00DE01C9">
        <w:rPr>
          <w:sz w:val="22"/>
          <w:szCs w:val="22"/>
        </w:rPr>
        <w:t xml:space="preserve"> to the overlay licensees</w:t>
      </w:r>
      <w:r>
        <w:rPr>
          <w:sz w:val="22"/>
          <w:szCs w:val="22"/>
        </w:rPr>
        <w:t>.</w:t>
      </w:r>
      <w:r w:rsidR="00FC4ABC">
        <w:rPr>
          <w:sz w:val="22"/>
          <w:szCs w:val="22"/>
        </w:rPr>
        <w:t xml:space="preserve"> </w:t>
      </w:r>
    </w:p>
    <w:p w:rsidR="00796382" w:rsidP="00796382" w:rsidRDefault="00796382" w14:paraId="749E464A" w14:textId="77777777">
      <w:pPr>
        <w:tabs>
          <w:tab w:val="left" w:pos="360"/>
        </w:tabs>
        <w:ind w:left="720"/>
        <w:rPr>
          <w:sz w:val="22"/>
          <w:szCs w:val="22"/>
        </w:rPr>
      </w:pPr>
    </w:p>
    <w:p w:rsidRPr="00CA7F6D" w:rsidR="00796382" w:rsidP="00796382" w:rsidRDefault="00796382" w14:paraId="76FB8814" w14:textId="4DA4AD3D">
      <w:pPr>
        <w:tabs>
          <w:tab w:val="left" w:pos="360"/>
        </w:tabs>
        <w:ind w:left="720"/>
        <w:rPr>
          <w:b/>
          <w:sz w:val="22"/>
          <w:szCs w:val="22"/>
        </w:rPr>
      </w:pPr>
      <w:r>
        <w:rPr>
          <w:b/>
          <w:sz w:val="22"/>
          <w:szCs w:val="22"/>
        </w:rPr>
        <w:t>Total In-House Cost for Pro-Rata Share Notices</w:t>
      </w:r>
      <w:r w:rsidRPr="003D05CB">
        <w:rPr>
          <w:b/>
          <w:sz w:val="22"/>
          <w:szCs w:val="22"/>
        </w:rPr>
        <w:t xml:space="preserve">:  </w:t>
      </w:r>
      <w:r w:rsidR="004558DF">
        <w:rPr>
          <w:b/>
          <w:sz w:val="22"/>
          <w:szCs w:val="22"/>
        </w:rPr>
        <w:t>$</w:t>
      </w:r>
      <w:r w:rsidR="00CB318D">
        <w:rPr>
          <w:b/>
          <w:sz w:val="22"/>
          <w:szCs w:val="22"/>
        </w:rPr>
        <w:t xml:space="preserve">520,732.80 + $315,033.60 + $86,788.80 + $52,505.60 = </w:t>
      </w:r>
      <w:r w:rsidR="00786854">
        <w:rPr>
          <w:b/>
          <w:sz w:val="22"/>
          <w:szCs w:val="22"/>
        </w:rPr>
        <w:t>$975,060.80</w:t>
      </w:r>
      <w:r>
        <w:rPr>
          <w:b/>
          <w:sz w:val="22"/>
          <w:szCs w:val="22"/>
        </w:rPr>
        <w:t>.</w:t>
      </w:r>
    </w:p>
    <w:p w:rsidRPr="007950F6" w:rsidR="00796382" w:rsidP="00796382" w:rsidRDefault="00796382" w14:paraId="2AA06991" w14:textId="77777777">
      <w:pPr>
        <w:pStyle w:val="ListParagraph"/>
        <w:rPr>
          <w:i/>
          <w:sz w:val="22"/>
          <w:szCs w:val="22"/>
        </w:rPr>
      </w:pPr>
    </w:p>
    <w:p w:rsidR="00F75B7E" w:rsidP="00EA1E9A" w:rsidRDefault="00796382" w14:paraId="2E6F7DFA" w14:textId="4C9DF839">
      <w:pPr>
        <w:pStyle w:val="ListParagraph"/>
        <w:numPr>
          <w:ilvl w:val="0"/>
          <w:numId w:val="22"/>
        </w:numPr>
        <w:tabs>
          <w:tab w:val="left" w:pos="360"/>
        </w:tabs>
        <w:rPr>
          <w:i/>
          <w:sz w:val="22"/>
          <w:szCs w:val="22"/>
        </w:rPr>
      </w:pPr>
      <w:r w:rsidRPr="00D01A0F">
        <w:rPr>
          <w:i/>
          <w:sz w:val="22"/>
          <w:szCs w:val="22"/>
        </w:rPr>
        <w:t>Parties receiving reimbursement of compensable relocation costs must document their actual expenses (47 C.F.R. § 27.1415).</w:t>
      </w:r>
    </w:p>
    <w:p w:rsidR="00F75B7E" w:rsidP="00F75B7E" w:rsidRDefault="00F75B7E" w14:paraId="6348939F" w14:textId="171988DD">
      <w:pPr>
        <w:pStyle w:val="ListParagraph"/>
        <w:tabs>
          <w:tab w:val="left" w:pos="360"/>
        </w:tabs>
        <w:rPr>
          <w:i/>
          <w:sz w:val="22"/>
          <w:szCs w:val="22"/>
        </w:rPr>
      </w:pPr>
    </w:p>
    <w:p w:rsidR="00DF6590" w:rsidP="00DF6590" w:rsidRDefault="00DF6590" w14:paraId="0A15CDC8" w14:textId="42C81723">
      <w:pPr>
        <w:pStyle w:val="ListParagraph"/>
        <w:rPr>
          <w:sz w:val="22"/>
          <w:szCs w:val="22"/>
        </w:rPr>
      </w:pPr>
      <w:r>
        <w:rPr>
          <w:sz w:val="22"/>
          <w:szCs w:val="22"/>
        </w:rPr>
        <w:t xml:space="preserve">The Commission estimates that it will take one attorney at a rate equivalent to the hourly rate of a GS-15, Step 5 government staff member ($77.49/hour) approximately two hours to prepare the required information.  </w:t>
      </w:r>
      <w:r w:rsidRPr="003D3444">
        <w:rPr>
          <w:sz w:val="22"/>
          <w:szCs w:val="22"/>
        </w:rPr>
        <w:t>We expect that space station operators, as larger entities, will need to submit their costs and expenses on a weekly basis for three years.  We expect that earth station operators, as smaller entities, will likely only need to submit their costs on</w:t>
      </w:r>
      <w:r w:rsidR="000267F1">
        <w:rPr>
          <w:sz w:val="22"/>
          <w:szCs w:val="22"/>
        </w:rPr>
        <w:t>e time per year on average</w:t>
      </w:r>
      <w:r w:rsidRPr="003D3444">
        <w:rPr>
          <w:sz w:val="22"/>
          <w:szCs w:val="22"/>
        </w:rPr>
        <w:t xml:space="preserve">.  However, we recognize that there are is a range of earth station operators.  </w:t>
      </w:r>
      <w:r>
        <w:rPr>
          <w:sz w:val="22"/>
          <w:szCs w:val="22"/>
        </w:rPr>
        <w:t>While</w:t>
      </w:r>
      <w:r w:rsidRPr="003D3444">
        <w:rPr>
          <w:sz w:val="22"/>
          <w:szCs w:val="22"/>
        </w:rPr>
        <w:t xml:space="preserve"> some operators may only have a one-time submission, others may have a rolling transition and therefore may submit more than one submission.  The numbers provided herein reflect an average of these estimates and </w:t>
      </w:r>
      <w:r>
        <w:rPr>
          <w:sz w:val="22"/>
          <w:szCs w:val="22"/>
        </w:rPr>
        <w:t>are</w:t>
      </w:r>
      <w:r w:rsidRPr="003D3444">
        <w:rPr>
          <w:sz w:val="22"/>
          <w:szCs w:val="22"/>
        </w:rPr>
        <w:t xml:space="preserve"> inclusive of the time to respond to any additional information requested by the Relocation Payment Clearinghous</w:t>
      </w:r>
      <w:r>
        <w:rPr>
          <w:sz w:val="22"/>
          <w:szCs w:val="22"/>
        </w:rPr>
        <w:t>e.  Therefore, the estimated annual in-house cost is as follows:</w:t>
      </w:r>
    </w:p>
    <w:p w:rsidR="00464483" w:rsidP="00F75B7E" w:rsidRDefault="00464483" w14:paraId="1C5724A7" w14:textId="6E8A0545">
      <w:pPr>
        <w:pStyle w:val="ListParagraph"/>
        <w:tabs>
          <w:tab w:val="left" w:pos="360"/>
        </w:tabs>
        <w:rPr>
          <w:sz w:val="22"/>
          <w:szCs w:val="22"/>
        </w:rPr>
      </w:pPr>
    </w:p>
    <w:p w:rsidR="00DF6590" w:rsidP="00DF6590" w:rsidRDefault="00DF6590" w14:paraId="69813A74" w14:textId="51BD5871">
      <w:pPr>
        <w:pStyle w:val="ListParagraph"/>
        <w:rPr>
          <w:sz w:val="22"/>
          <w:szCs w:val="22"/>
        </w:rPr>
      </w:pPr>
      <w:r>
        <w:rPr>
          <w:sz w:val="22"/>
          <w:szCs w:val="22"/>
        </w:rPr>
        <w:t xml:space="preserve">1 attorney at $77.49 x 2 hours per response x </w:t>
      </w:r>
      <w:r w:rsidR="00EE18B1">
        <w:rPr>
          <w:sz w:val="22"/>
          <w:szCs w:val="22"/>
        </w:rPr>
        <w:t>5</w:t>
      </w:r>
      <w:r>
        <w:rPr>
          <w:sz w:val="22"/>
          <w:szCs w:val="22"/>
        </w:rPr>
        <w:t xml:space="preserve"> respondents x </w:t>
      </w:r>
      <w:r w:rsidR="00FA2C2F">
        <w:rPr>
          <w:sz w:val="22"/>
          <w:szCs w:val="22"/>
        </w:rPr>
        <w:t xml:space="preserve">52 </w:t>
      </w:r>
      <w:r>
        <w:rPr>
          <w:sz w:val="22"/>
          <w:szCs w:val="22"/>
        </w:rPr>
        <w:t>estimated responses = $</w:t>
      </w:r>
      <w:r w:rsidR="00FA2C2F">
        <w:rPr>
          <w:sz w:val="22"/>
          <w:szCs w:val="22"/>
        </w:rPr>
        <w:t>40,294.80</w:t>
      </w:r>
      <w:r>
        <w:rPr>
          <w:sz w:val="22"/>
          <w:szCs w:val="22"/>
        </w:rPr>
        <w:t xml:space="preserve"> for </w:t>
      </w:r>
      <w:r w:rsidR="00EE18B1">
        <w:rPr>
          <w:sz w:val="22"/>
          <w:szCs w:val="22"/>
        </w:rPr>
        <w:t>space</w:t>
      </w:r>
      <w:r>
        <w:rPr>
          <w:sz w:val="22"/>
          <w:szCs w:val="22"/>
        </w:rPr>
        <w:t xml:space="preserve"> station operators.</w:t>
      </w:r>
    </w:p>
    <w:p w:rsidR="00DF6590" w:rsidP="00DF6590" w:rsidRDefault="00DF6590" w14:paraId="1DAC6CC7" w14:textId="77777777">
      <w:pPr>
        <w:pStyle w:val="ListParagraph"/>
        <w:rPr>
          <w:sz w:val="22"/>
          <w:szCs w:val="22"/>
        </w:rPr>
      </w:pPr>
    </w:p>
    <w:p w:rsidR="00DF6590" w:rsidP="004D61AE" w:rsidRDefault="00DF6590" w14:paraId="1AE0D22E" w14:textId="469EBA7A">
      <w:pPr>
        <w:pStyle w:val="ListParagraph"/>
        <w:rPr>
          <w:sz w:val="22"/>
          <w:szCs w:val="22"/>
        </w:rPr>
      </w:pPr>
      <w:r>
        <w:rPr>
          <w:sz w:val="22"/>
          <w:szCs w:val="22"/>
        </w:rPr>
        <w:t xml:space="preserve">1 attorney at $77.49 x 2 hours per response x </w:t>
      </w:r>
      <w:r w:rsidR="00EE18B1">
        <w:rPr>
          <w:sz w:val="22"/>
          <w:szCs w:val="22"/>
        </w:rPr>
        <w:t xml:space="preserve">3,000 respondents x </w:t>
      </w:r>
      <w:r w:rsidR="00471CCB">
        <w:rPr>
          <w:sz w:val="22"/>
          <w:szCs w:val="22"/>
        </w:rPr>
        <w:t xml:space="preserve">1 </w:t>
      </w:r>
      <w:r>
        <w:rPr>
          <w:sz w:val="22"/>
          <w:szCs w:val="22"/>
        </w:rPr>
        <w:t xml:space="preserve">estimated </w:t>
      </w:r>
      <w:r w:rsidR="00EE18B1">
        <w:rPr>
          <w:sz w:val="22"/>
          <w:szCs w:val="22"/>
        </w:rPr>
        <w:t>responses</w:t>
      </w:r>
      <w:r>
        <w:rPr>
          <w:sz w:val="22"/>
          <w:szCs w:val="22"/>
        </w:rPr>
        <w:t xml:space="preserve"> = $</w:t>
      </w:r>
      <w:r w:rsidR="0061428B">
        <w:rPr>
          <w:sz w:val="22"/>
          <w:szCs w:val="22"/>
        </w:rPr>
        <w:t>464,940</w:t>
      </w:r>
      <w:r>
        <w:rPr>
          <w:sz w:val="22"/>
          <w:szCs w:val="22"/>
        </w:rPr>
        <w:t xml:space="preserve"> for </w:t>
      </w:r>
      <w:r w:rsidR="00EE18B1">
        <w:rPr>
          <w:sz w:val="22"/>
          <w:szCs w:val="22"/>
        </w:rPr>
        <w:t xml:space="preserve">earth </w:t>
      </w:r>
      <w:r>
        <w:rPr>
          <w:sz w:val="22"/>
          <w:szCs w:val="22"/>
        </w:rPr>
        <w:t>station operators.</w:t>
      </w:r>
    </w:p>
    <w:p w:rsidR="004D61AE" w:rsidP="004D61AE" w:rsidRDefault="004D61AE" w14:paraId="61E80D58" w14:textId="30C95A26">
      <w:pPr>
        <w:pStyle w:val="ListParagraph"/>
        <w:rPr>
          <w:sz w:val="22"/>
          <w:szCs w:val="22"/>
        </w:rPr>
      </w:pPr>
    </w:p>
    <w:p w:rsidRPr="00AA79FD" w:rsidR="004D61AE" w:rsidP="00AA79FD" w:rsidRDefault="004D61AE" w14:paraId="37942D76" w14:textId="418B3785">
      <w:pPr>
        <w:pStyle w:val="ListParagraph"/>
        <w:rPr>
          <w:b/>
          <w:sz w:val="22"/>
          <w:szCs w:val="22"/>
        </w:rPr>
      </w:pPr>
      <w:r>
        <w:rPr>
          <w:b/>
          <w:sz w:val="22"/>
          <w:szCs w:val="22"/>
        </w:rPr>
        <w:t>Total In-House Cost for Documentation of Expenses:  $</w:t>
      </w:r>
      <w:r w:rsidR="00073702">
        <w:rPr>
          <w:b/>
          <w:sz w:val="22"/>
          <w:szCs w:val="22"/>
        </w:rPr>
        <w:t>40,294.80 + $464,940 = $505,234.80.</w:t>
      </w:r>
    </w:p>
    <w:p w:rsidR="00DF6590" w:rsidP="00F75B7E" w:rsidRDefault="00DF6590" w14:paraId="1ED24BC8" w14:textId="77777777">
      <w:pPr>
        <w:pStyle w:val="ListParagraph"/>
        <w:tabs>
          <w:tab w:val="left" w:pos="360"/>
        </w:tabs>
        <w:rPr>
          <w:i/>
          <w:sz w:val="22"/>
          <w:szCs w:val="22"/>
        </w:rPr>
      </w:pPr>
    </w:p>
    <w:p w:rsidRPr="00D01A0F" w:rsidR="00796382" w:rsidP="00EA1E9A" w:rsidRDefault="00796382" w14:paraId="66FEB4B8" w14:textId="3EC88A54">
      <w:pPr>
        <w:pStyle w:val="ListParagraph"/>
        <w:numPr>
          <w:ilvl w:val="0"/>
          <w:numId w:val="22"/>
        </w:numPr>
        <w:tabs>
          <w:tab w:val="left" w:pos="360"/>
        </w:tabs>
        <w:rPr>
          <w:i/>
          <w:sz w:val="22"/>
          <w:szCs w:val="22"/>
        </w:rPr>
      </w:pPr>
      <w:r w:rsidRPr="00D01A0F">
        <w:rPr>
          <w:i/>
          <w:sz w:val="22"/>
          <w:szCs w:val="22"/>
        </w:rPr>
        <w:t>The Relocation Payment Clearinghouse, or a third-party on behalf of the Relocation Payment Clearinghouse, may conduct audits of entities that receive reimbursements (47 C.F.R. § 27.1415).  The Relocation Payment Clearinghouse shall review reimbursement requests to determine whether they are reasonable and to ensure they comply with the requirements adopted in this sub-part (47 C.F.R. § 27.1416(a))</w:t>
      </w:r>
      <w:r w:rsidRPr="00D01A0F">
        <w:rPr>
          <w:sz w:val="22"/>
          <w:szCs w:val="22"/>
        </w:rPr>
        <w:t>.</w:t>
      </w:r>
    </w:p>
    <w:p w:rsidRPr="00634CD9" w:rsidR="00796382" w:rsidP="00796382" w:rsidRDefault="00796382" w14:paraId="5467D6E7" w14:textId="77777777">
      <w:pPr>
        <w:ind w:left="360"/>
        <w:rPr>
          <w:i/>
          <w:sz w:val="22"/>
          <w:szCs w:val="22"/>
        </w:rPr>
      </w:pPr>
    </w:p>
    <w:p w:rsidR="00796382" w:rsidP="00796382" w:rsidRDefault="00796382" w14:paraId="2EAC3083" w14:textId="2793893C">
      <w:pPr>
        <w:pStyle w:val="ListParagraph"/>
        <w:rPr>
          <w:sz w:val="22"/>
          <w:szCs w:val="22"/>
        </w:rPr>
      </w:pPr>
      <w:r>
        <w:rPr>
          <w:sz w:val="22"/>
          <w:szCs w:val="22"/>
        </w:rPr>
        <w:t xml:space="preserve">The Commission estimates that it will take one attorney at a rate equivalent to the hourly rate of a GS-15, Step 5 government staff member ($77.49/hour) approximately two hours to prepare the required information.  </w:t>
      </w:r>
      <w:r w:rsidR="00140616">
        <w:rPr>
          <w:sz w:val="22"/>
          <w:szCs w:val="22"/>
        </w:rPr>
        <w:t xml:space="preserve">We expect </w:t>
      </w:r>
      <w:r w:rsidR="00A5496D">
        <w:rPr>
          <w:sz w:val="22"/>
          <w:szCs w:val="22"/>
        </w:rPr>
        <w:t xml:space="preserve">there will be approximately 3,052 reimbursement requests to review each year.  </w:t>
      </w:r>
      <w:r>
        <w:rPr>
          <w:sz w:val="22"/>
          <w:szCs w:val="22"/>
        </w:rPr>
        <w:t>Therefore, the estimated annual in-house cost is as follows:</w:t>
      </w:r>
    </w:p>
    <w:p w:rsidRPr="00DF6590" w:rsidR="00796382" w:rsidP="00DF6590" w:rsidRDefault="00796382" w14:paraId="0A29E629" w14:textId="77777777">
      <w:pPr>
        <w:rPr>
          <w:sz w:val="22"/>
          <w:szCs w:val="22"/>
        </w:rPr>
      </w:pPr>
    </w:p>
    <w:p w:rsidRPr="00096B54" w:rsidR="00796382" w:rsidP="00796382" w:rsidRDefault="00796382" w14:paraId="046F5D62" w14:textId="024BA06B">
      <w:pPr>
        <w:pStyle w:val="ListParagraph"/>
        <w:rPr>
          <w:sz w:val="22"/>
          <w:szCs w:val="22"/>
        </w:rPr>
      </w:pPr>
      <w:r w:rsidRPr="00096B54">
        <w:rPr>
          <w:sz w:val="22"/>
          <w:szCs w:val="22"/>
        </w:rPr>
        <w:t xml:space="preserve">1 attorney at $77.49 x 2 hours per response x </w:t>
      </w:r>
      <w:r w:rsidR="00947FE3">
        <w:rPr>
          <w:sz w:val="22"/>
          <w:szCs w:val="22"/>
        </w:rPr>
        <w:t xml:space="preserve">3,052 </w:t>
      </w:r>
      <w:r w:rsidRPr="00096B54">
        <w:rPr>
          <w:sz w:val="22"/>
          <w:szCs w:val="22"/>
        </w:rPr>
        <w:t>estimated respondents/responses = $</w:t>
      </w:r>
      <w:r w:rsidR="0031718E">
        <w:rPr>
          <w:sz w:val="22"/>
          <w:szCs w:val="22"/>
        </w:rPr>
        <w:t xml:space="preserve">472,998.96 </w:t>
      </w:r>
      <w:r w:rsidRPr="00096B54">
        <w:rPr>
          <w:sz w:val="22"/>
          <w:szCs w:val="22"/>
        </w:rPr>
        <w:t xml:space="preserve">for </w:t>
      </w:r>
      <w:r>
        <w:rPr>
          <w:sz w:val="22"/>
          <w:szCs w:val="22"/>
        </w:rPr>
        <w:t>the Relocation Coordinator</w:t>
      </w:r>
      <w:r w:rsidRPr="00096B54">
        <w:rPr>
          <w:sz w:val="22"/>
          <w:szCs w:val="22"/>
        </w:rPr>
        <w:t>.</w:t>
      </w:r>
    </w:p>
    <w:p w:rsidRPr="00BF22D9" w:rsidR="00796382" w:rsidP="00796382" w:rsidRDefault="00796382" w14:paraId="3F5E2BB4" w14:textId="77777777">
      <w:pPr>
        <w:rPr>
          <w:sz w:val="22"/>
          <w:szCs w:val="22"/>
        </w:rPr>
      </w:pPr>
    </w:p>
    <w:p w:rsidR="00796382" w:rsidP="00796382" w:rsidRDefault="00796382" w14:paraId="1ABF6D96" w14:textId="2A55D647">
      <w:pPr>
        <w:pStyle w:val="ListParagraph"/>
        <w:rPr>
          <w:b/>
          <w:sz w:val="22"/>
          <w:szCs w:val="22"/>
        </w:rPr>
      </w:pPr>
      <w:r>
        <w:rPr>
          <w:b/>
          <w:sz w:val="22"/>
          <w:szCs w:val="22"/>
        </w:rPr>
        <w:t xml:space="preserve">Total In-House Cost for </w:t>
      </w:r>
      <w:r w:rsidR="006B0ACA">
        <w:rPr>
          <w:b/>
          <w:sz w:val="22"/>
          <w:szCs w:val="22"/>
        </w:rPr>
        <w:t>Review of Reimbursement Costs</w:t>
      </w:r>
      <w:r>
        <w:rPr>
          <w:b/>
          <w:sz w:val="22"/>
          <w:szCs w:val="22"/>
        </w:rPr>
        <w:t>:  $</w:t>
      </w:r>
      <w:r w:rsidR="00CE413D">
        <w:rPr>
          <w:b/>
          <w:sz w:val="22"/>
          <w:szCs w:val="22"/>
        </w:rPr>
        <w:t>472,998.96</w:t>
      </w:r>
      <w:r w:rsidR="006B0ACA">
        <w:rPr>
          <w:b/>
          <w:sz w:val="22"/>
          <w:szCs w:val="22"/>
        </w:rPr>
        <w:t>.</w:t>
      </w:r>
    </w:p>
    <w:p w:rsidR="00796382" w:rsidP="00796382" w:rsidRDefault="00796382" w14:paraId="3CDBDB20" w14:textId="77777777"/>
    <w:p w:rsidRPr="00D01A0F" w:rsidR="00796382" w:rsidP="00EA1E9A" w:rsidRDefault="00796382" w14:paraId="597226FA" w14:textId="77777777">
      <w:pPr>
        <w:pStyle w:val="ListParagraph"/>
        <w:numPr>
          <w:ilvl w:val="0"/>
          <w:numId w:val="22"/>
        </w:numPr>
        <w:tabs>
          <w:tab w:val="left" w:pos="360"/>
        </w:tabs>
        <w:rPr>
          <w:i/>
          <w:sz w:val="22"/>
          <w:szCs w:val="22"/>
        </w:rPr>
      </w:pPr>
      <w:r w:rsidRPr="00D01A0F">
        <w:rPr>
          <w:i/>
          <w:sz w:val="22"/>
          <w:szCs w:val="22"/>
        </w:rPr>
        <w:t>Following a determination of the reimbursable amount, the Relocation Payment Clearinghouse shall incorporate approved claims into invoices, which it shall issue to each licensee indicating the amount to be paid.  (47 C.F.R. § 27.1416(b))</w:t>
      </w:r>
    </w:p>
    <w:p w:rsidRPr="003151AC" w:rsidR="00796382" w:rsidP="00796382" w:rsidRDefault="00796382" w14:paraId="0B4E222F" w14:textId="77777777">
      <w:pPr>
        <w:pStyle w:val="ListParagraph"/>
        <w:rPr>
          <w:i/>
          <w:sz w:val="22"/>
          <w:szCs w:val="22"/>
        </w:rPr>
      </w:pPr>
    </w:p>
    <w:p w:rsidRPr="008E3F04" w:rsidR="00796382" w:rsidP="00796382" w:rsidRDefault="00796382" w14:paraId="4F8224FD" w14:textId="7FA82935">
      <w:pPr>
        <w:pStyle w:val="ListParagraph"/>
        <w:tabs>
          <w:tab w:val="left" w:pos="360"/>
        </w:tabs>
        <w:rPr>
          <w:sz w:val="22"/>
          <w:szCs w:val="22"/>
        </w:rPr>
      </w:pPr>
      <w:r>
        <w:rPr>
          <w:sz w:val="22"/>
          <w:szCs w:val="22"/>
        </w:rPr>
        <w:t xml:space="preserve">The Commission estimates that it will take one in-house attorney at a rate equivalent to the hourly rate of a GS-12, Step 5 government staff member ($46.88/hour) 16 hours to prepare the required information.  We expect this report </w:t>
      </w:r>
      <w:r w:rsidRPr="008E3F04">
        <w:rPr>
          <w:sz w:val="22"/>
          <w:szCs w:val="22"/>
        </w:rPr>
        <w:t xml:space="preserve">to be submitted </w:t>
      </w:r>
      <w:r w:rsidR="00BE2A42">
        <w:rPr>
          <w:sz w:val="22"/>
          <w:szCs w:val="22"/>
        </w:rPr>
        <w:t>approximately 12 times per year by 35 respondents, reflecting the approximate number of licensees</w:t>
      </w:r>
      <w:r w:rsidRPr="008E3F04">
        <w:rPr>
          <w:sz w:val="22"/>
          <w:szCs w:val="22"/>
        </w:rPr>
        <w:t>.  Therefore, the estimated annual in-house cost is as follows:</w:t>
      </w:r>
    </w:p>
    <w:p w:rsidRPr="008E3F04" w:rsidR="00796382" w:rsidP="00796382" w:rsidRDefault="00796382" w14:paraId="4ED1D56D" w14:textId="77777777">
      <w:pPr>
        <w:pStyle w:val="ListParagraph"/>
        <w:tabs>
          <w:tab w:val="left" w:pos="360"/>
        </w:tabs>
        <w:rPr>
          <w:sz w:val="22"/>
          <w:szCs w:val="22"/>
        </w:rPr>
      </w:pPr>
    </w:p>
    <w:p w:rsidRPr="008E3F04" w:rsidR="00796382" w:rsidP="00796382" w:rsidRDefault="00796382" w14:paraId="62F5966E" w14:textId="78CF36A6">
      <w:pPr>
        <w:pStyle w:val="ListParagraph"/>
        <w:tabs>
          <w:tab w:val="left" w:pos="360"/>
        </w:tabs>
        <w:rPr>
          <w:sz w:val="22"/>
          <w:szCs w:val="22"/>
        </w:rPr>
      </w:pPr>
      <w:r w:rsidRPr="008E3F04">
        <w:rPr>
          <w:sz w:val="22"/>
          <w:szCs w:val="22"/>
        </w:rPr>
        <w:t xml:space="preserve">1 attorney at $46.88/hour x 16 hours per response x </w:t>
      </w:r>
      <w:r w:rsidR="00042966">
        <w:rPr>
          <w:sz w:val="22"/>
          <w:szCs w:val="22"/>
        </w:rPr>
        <w:t>35 estimated respondents x 12 estimated responses per year</w:t>
      </w:r>
      <w:r w:rsidRPr="008E3F04">
        <w:rPr>
          <w:sz w:val="22"/>
          <w:szCs w:val="22"/>
        </w:rPr>
        <w:t xml:space="preserve"> = $</w:t>
      </w:r>
      <w:r w:rsidR="009F1391">
        <w:rPr>
          <w:sz w:val="22"/>
          <w:szCs w:val="22"/>
        </w:rPr>
        <w:t>315,033.60</w:t>
      </w:r>
      <w:r w:rsidRPr="008E3F04">
        <w:rPr>
          <w:sz w:val="22"/>
          <w:szCs w:val="22"/>
        </w:rPr>
        <w:t>.</w:t>
      </w:r>
    </w:p>
    <w:p w:rsidRPr="008E3F04" w:rsidR="00796382" w:rsidP="00796382" w:rsidRDefault="00796382" w14:paraId="0298E004" w14:textId="77777777">
      <w:pPr>
        <w:pStyle w:val="ListParagraph"/>
        <w:tabs>
          <w:tab w:val="left" w:pos="360"/>
        </w:tabs>
        <w:rPr>
          <w:sz w:val="22"/>
          <w:szCs w:val="22"/>
        </w:rPr>
      </w:pPr>
    </w:p>
    <w:p w:rsidRPr="008147F1" w:rsidR="00796382" w:rsidP="00796382" w:rsidRDefault="00796382" w14:paraId="3DD6BC11" w14:textId="407086F9">
      <w:pPr>
        <w:pStyle w:val="ListParagraph"/>
        <w:tabs>
          <w:tab w:val="left" w:pos="360"/>
        </w:tabs>
        <w:rPr>
          <w:b/>
          <w:sz w:val="22"/>
          <w:szCs w:val="22"/>
        </w:rPr>
      </w:pPr>
      <w:r w:rsidRPr="008E3F04">
        <w:rPr>
          <w:b/>
          <w:sz w:val="22"/>
          <w:szCs w:val="22"/>
        </w:rPr>
        <w:t>Total In-House Cost for Invoices for Reimbursement:  $</w:t>
      </w:r>
      <w:r w:rsidR="00D163F8">
        <w:rPr>
          <w:b/>
          <w:sz w:val="22"/>
          <w:szCs w:val="22"/>
        </w:rPr>
        <w:t>315,033.60</w:t>
      </w:r>
      <w:r w:rsidRPr="008E3F04">
        <w:rPr>
          <w:b/>
          <w:sz w:val="22"/>
          <w:szCs w:val="22"/>
        </w:rPr>
        <w:t>.</w:t>
      </w:r>
    </w:p>
    <w:p w:rsidRPr="007950F6" w:rsidR="00796382" w:rsidP="00796382" w:rsidRDefault="00796382" w14:paraId="71F99E02" w14:textId="77777777">
      <w:pPr>
        <w:pStyle w:val="ListParagraph"/>
        <w:rPr>
          <w:i/>
          <w:sz w:val="22"/>
          <w:szCs w:val="22"/>
        </w:rPr>
      </w:pPr>
    </w:p>
    <w:p w:rsidRPr="00D01A0F" w:rsidR="00796382" w:rsidP="00EA1E9A" w:rsidRDefault="00796382" w14:paraId="102FAEA9" w14:textId="77777777">
      <w:pPr>
        <w:pStyle w:val="ListParagraph"/>
        <w:numPr>
          <w:ilvl w:val="0"/>
          <w:numId w:val="22"/>
        </w:numPr>
        <w:tabs>
          <w:tab w:val="left" w:pos="360"/>
        </w:tabs>
        <w:rPr>
          <w:i/>
          <w:sz w:val="22"/>
          <w:szCs w:val="22"/>
        </w:rPr>
      </w:pPr>
      <w:r w:rsidRPr="00D01A0F">
        <w:rPr>
          <w:i/>
          <w:sz w:val="22"/>
          <w:szCs w:val="22"/>
        </w:rPr>
        <w:t>In the case that the Wireless Telecommunications Bureau selects the Relocation Coordinator, overlay licensees will, collectively, pay for the services of the Relocation Coordinator and staff.  The Relocation Coordinator shall submit its own reasonable costs to the Relocation Clearinghouse, who will then collect payments from overlay licensees.  (47 C.F.R. § 27.1413(a)(2))</w:t>
      </w:r>
    </w:p>
    <w:p w:rsidR="00796382" w:rsidP="00796382" w:rsidRDefault="00796382" w14:paraId="104C4DA8" w14:textId="77777777">
      <w:pPr>
        <w:pStyle w:val="ListParagraph"/>
        <w:rPr>
          <w:i/>
          <w:sz w:val="22"/>
          <w:szCs w:val="22"/>
        </w:rPr>
      </w:pPr>
    </w:p>
    <w:p w:rsidR="00796382" w:rsidP="00796382" w:rsidRDefault="00796382" w14:paraId="5A4BEBB7" w14:textId="77777777">
      <w:pPr>
        <w:pStyle w:val="ListParagraph"/>
        <w:rPr>
          <w:sz w:val="22"/>
          <w:szCs w:val="22"/>
        </w:rPr>
      </w:pPr>
      <w:r>
        <w:rPr>
          <w:sz w:val="22"/>
          <w:szCs w:val="22"/>
        </w:rPr>
        <w:t>The Commission estimates that it will take one in-house attorney at a rate equivalent to the hourly rate of a GS-12, Step 5 government staff member ($46.88/hour) two hours prepare the required information.  This report will be submitted once a month for three years.  Therefore, the estimated annual in-house cost is as follows:</w:t>
      </w:r>
    </w:p>
    <w:p w:rsidR="00796382" w:rsidP="00796382" w:rsidRDefault="00796382" w14:paraId="2D9EA279" w14:textId="77777777">
      <w:pPr>
        <w:pStyle w:val="ListParagraph"/>
        <w:rPr>
          <w:sz w:val="22"/>
          <w:szCs w:val="22"/>
        </w:rPr>
      </w:pPr>
    </w:p>
    <w:p w:rsidR="00796382" w:rsidP="00796382" w:rsidRDefault="00796382" w14:paraId="39CBD160" w14:textId="15A09898">
      <w:pPr>
        <w:pStyle w:val="ListParagraph"/>
        <w:tabs>
          <w:tab w:val="left" w:pos="360"/>
        </w:tabs>
        <w:rPr>
          <w:sz w:val="22"/>
          <w:szCs w:val="22"/>
        </w:rPr>
      </w:pPr>
      <w:r>
        <w:rPr>
          <w:sz w:val="22"/>
          <w:szCs w:val="22"/>
        </w:rPr>
        <w:t xml:space="preserve">1 attorney at $46.88/hour x 2 hours per response x </w:t>
      </w:r>
      <w:r w:rsidR="00B2208A">
        <w:rPr>
          <w:sz w:val="22"/>
          <w:szCs w:val="22"/>
        </w:rPr>
        <w:t xml:space="preserve">12 </w:t>
      </w:r>
      <w:r>
        <w:rPr>
          <w:sz w:val="22"/>
          <w:szCs w:val="22"/>
        </w:rPr>
        <w:t xml:space="preserve">estimated respondents/responses = </w:t>
      </w:r>
      <w:r w:rsidRPr="00C657F8">
        <w:rPr>
          <w:sz w:val="22"/>
          <w:szCs w:val="22"/>
        </w:rPr>
        <w:t>$</w:t>
      </w:r>
      <w:r w:rsidR="0003011A">
        <w:rPr>
          <w:sz w:val="22"/>
          <w:szCs w:val="22"/>
        </w:rPr>
        <w:t>1,125.12</w:t>
      </w:r>
      <w:r w:rsidRPr="00DC294E">
        <w:rPr>
          <w:sz w:val="22"/>
          <w:szCs w:val="22"/>
        </w:rPr>
        <w:t>.</w:t>
      </w:r>
    </w:p>
    <w:p w:rsidR="00796382" w:rsidP="00796382" w:rsidRDefault="00796382" w14:paraId="5B2C2C69" w14:textId="77777777">
      <w:pPr>
        <w:pStyle w:val="ListParagraph"/>
        <w:tabs>
          <w:tab w:val="left" w:pos="360"/>
        </w:tabs>
        <w:rPr>
          <w:sz w:val="22"/>
          <w:szCs w:val="22"/>
          <w:highlight w:val="yellow"/>
        </w:rPr>
      </w:pPr>
    </w:p>
    <w:p w:rsidRPr="00DC294E" w:rsidR="00796382" w:rsidP="00796382" w:rsidRDefault="00796382" w14:paraId="48B09E7F" w14:textId="4D0AAB0D">
      <w:pPr>
        <w:pStyle w:val="ListParagraph"/>
        <w:tabs>
          <w:tab w:val="left" w:pos="360"/>
        </w:tabs>
        <w:rPr>
          <w:b/>
          <w:sz w:val="22"/>
          <w:szCs w:val="22"/>
          <w:highlight w:val="yellow"/>
        </w:rPr>
      </w:pPr>
      <w:r w:rsidRPr="00470056">
        <w:rPr>
          <w:b/>
          <w:sz w:val="22"/>
          <w:szCs w:val="22"/>
        </w:rPr>
        <w:t>Total In-House Cost for Reporting of Reasonable Costs:  $</w:t>
      </w:r>
      <w:r w:rsidR="00A316EA">
        <w:rPr>
          <w:b/>
          <w:sz w:val="22"/>
          <w:szCs w:val="22"/>
        </w:rPr>
        <w:t>1,125.12</w:t>
      </w:r>
      <w:r w:rsidRPr="00470056">
        <w:rPr>
          <w:b/>
          <w:sz w:val="22"/>
          <w:szCs w:val="22"/>
        </w:rPr>
        <w:t>.</w:t>
      </w:r>
    </w:p>
    <w:p w:rsidRPr="00AC63E2" w:rsidR="00796382" w:rsidP="00796382" w:rsidRDefault="00796382" w14:paraId="3ABD4C9F" w14:textId="77777777">
      <w:pPr>
        <w:rPr>
          <w:i/>
          <w:sz w:val="22"/>
          <w:szCs w:val="22"/>
        </w:rPr>
      </w:pPr>
    </w:p>
    <w:p w:rsidRPr="00D01A0F" w:rsidR="00796382" w:rsidP="00EA1E9A" w:rsidRDefault="00796382" w14:paraId="0B314B7A" w14:textId="77777777">
      <w:pPr>
        <w:pStyle w:val="ListParagraph"/>
        <w:numPr>
          <w:ilvl w:val="0"/>
          <w:numId w:val="22"/>
        </w:numPr>
        <w:tabs>
          <w:tab w:val="left" w:pos="360"/>
        </w:tabs>
        <w:rPr>
          <w:i/>
          <w:sz w:val="22"/>
          <w:szCs w:val="22"/>
        </w:rPr>
      </w:pPr>
      <w:r w:rsidRPr="00D01A0F">
        <w:rPr>
          <w:i/>
          <w:sz w:val="22"/>
          <w:szCs w:val="22"/>
        </w:rPr>
        <w:t>The Relocation Payment Clearinghouse may mediate any disputes regarding cost estimates or payments that may arise in the course of band reconfiguration; or refer the disputant parties to alternative dispute resolution fora.  (47 C.F.R. § 27.1421).  Should any issues still remain unresolved, they may be referred to the Bureau within ten days of recommended decision or advice of the Relocation Payment Clearinghouse or other mediator and any decision of the Relocation Payment Clearinghouse can be appealed to the Chief of the Bureau.  (47 C.F.R. § 27.1421(c)).  When referring an unresolved matter, the Relocation Payment Clearinghouse shall forward the entire record of any disputed issues, including such dispositions thereof that the Relocation Payment Clearinghouse has considered.  (47 C.F.R. § 27.1421(c)(i)).</w:t>
      </w:r>
    </w:p>
    <w:p w:rsidR="00796382" w:rsidP="00796382" w:rsidRDefault="00796382" w14:paraId="7D294761" w14:textId="77777777">
      <w:pPr>
        <w:pStyle w:val="ListParagraph"/>
        <w:tabs>
          <w:tab w:val="left" w:pos="360"/>
        </w:tabs>
        <w:rPr>
          <w:i/>
          <w:sz w:val="22"/>
          <w:szCs w:val="22"/>
        </w:rPr>
      </w:pPr>
    </w:p>
    <w:p w:rsidR="00796382" w:rsidP="00796382" w:rsidRDefault="00796382" w14:paraId="33A4600E" w14:textId="22818B1F">
      <w:pPr>
        <w:pStyle w:val="ListParagraph"/>
        <w:tabs>
          <w:tab w:val="left" w:pos="360"/>
        </w:tabs>
        <w:rPr>
          <w:sz w:val="22"/>
          <w:szCs w:val="22"/>
        </w:rPr>
      </w:pPr>
      <w:r>
        <w:rPr>
          <w:sz w:val="22"/>
          <w:szCs w:val="22"/>
        </w:rPr>
        <w:t xml:space="preserve">The Commission estimates that it will take one in-house attorney at a rate equivalent to the hourly rate of a GS-15, Step 5 government staff member ($77.49/hour) 8 hours to prepare the required information.  We expect </w:t>
      </w:r>
      <w:r w:rsidR="00964841">
        <w:rPr>
          <w:sz w:val="22"/>
          <w:szCs w:val="22"/>
        </w:rPr>
        <w:t>there will be</w:t>
      </w:r>
      <w:r>
        <w:rPr>
          <w:sz w:val="22"/>
          <w:szCs w:val="22"/>
        </w:rPr>
        <w:t xml:space="preserve"> approximately 37 disputes per year for three years.  Therefore, the estimated annual in-house cost is as follows:</w:t>
      </w:r>
    </w:p>
    <w:p w:rsidR="00796382" w:rsidP="00796382" w:rsidRDefault="00796382" w14:paraId="4405D0D4" w14:textId="77777777">
      <w:pPr>
        <w:pStyle w:val="ListParagraph"/>
        <w:tabs>
          <w:tab w:val="left" w:pos="360"/>
        </w:tabs>
        <w:rPr>
          <w:sz w:val="22"/>
          <w:szCs w:val="22"/>
        </w:rPr>
      </w:pPr>
    </w:p>
    <w:p w:rsidR="00796382" w:rsidP="00796382" w:rsidRDefault="00796382" w14:paraId="2E292364" w14:textId="034BD466">
      <w:pPr>
        <w:pStyle w:val="ListParagraph"/>
        <w:tabs>
          <w:tab w:val="left" w:pos="360"/>
        </w:tabs>
        <w:rPr>
          <w:sz w:val="22"/>
          <w:szCs w:val="22"/>
        </w:rPr>
      </w:pPr>
      <w:r>
        <w:rPr>
          <w:sz w:val="22"/>
          <w:szCs w:val="22"/>
        </w:rPr>
        <w:t xml:space="preserve">1 attorney at $77.49 x 8 hours per response x </w:t>
      </w:r>
      <w:r w:rsidR="00124666">
        <w:rPr>
          <w:sz w:val="22"/>
          <w:szCs w:val="22"/>
        </w:rPr>
        <w:t>37</w:t>
      </w:r>
      <w:r w:rsidRPr="00A6062D" w:rsidR="00124666">
        <w:rPr>
          <w:sz w:val="22"/>
          <w:szCs w:val="22"/>
        </w:rPr>
        <w:t xml:space="preserve"> </w:t>
      </w:r>
      <w:r w:rsidRPr="00A6062D">
        <w:rPr>
          <w:sz w:val="22"/>
          <w:szCs w:val="22"/>
        </w:rPr>
        <w:t>respondents/responses:  $</w:t>
      </w:r>
      <w:r w:rsidR="005B41A6">
        <w:rPr>
          <w:sz w:val="22"/>
          <w:szCs w:val="22"/>
        </w:rPr>
        <w:t>22,937.04</w:t>
      </w:r>
      <w:r w:rsidRPr="00A6062D">
        <w:rPr>
          <w:sz w:val="22"/>
          <w:szCs w:val="22"/>
        </w:rPr>
        <w:t>.</w:t>
      </w:r>
    </w:p>
    <w:p w:rsidR="00796382" w:rsidP="00796382" w:rsidRDefault="00796382" w14:paraId="7B3F8D04" w14:textId="77777777">
      <w:pPr>
        <w:pStyle w:val="ListParagraph"/>
        <w:tabs>
          <w:tab w:val="left" w:pos="360"/>
        </w:tabs>
        <w:rPr>
          <w:sz w:val="22"/>
          <w:szCs w:val="22"/>
        </w:rPr>
      </w:pPr>
    </w:p>
    <w:p w:rsidRPr="00D41F7B" w:rsidR="00796382" w:rsidP="00796382" w:rsidRDefault="00796382" w14:paraId="5011BC8D" w14:textId="0F200062">
      <w:pPr>
        <w:pStyle w:val="ListParagraph"/>
        <w:tabs>
          <w:tab w:val="left" w:pos="360"/>
        </w:tabs>
        <w:rPr>
          <w:b/>
          <w:sz w:val="22"/>
          <w:szCs w:val="22"/>
        </w:rPr>
      </w:pPr>
      <w:r>
        <w:rPr>
          <w:b/>
          <w:sz w:val="22"/>
          <w:szCs w:val="22"/>
        </w:rPr>
        <w:t>Total In-House Cost for Resolving Cost Disputes:  $</w:t>
      </w:r>
      <w:r w:rsidR="004C5AA2">
        <w:rPr>
          <w:b/>
          <w:sz w:val="22"/>
          <w:szCs w:val="22"/>
        </w:rPr>
        <w:t>22,937.04</w:t>
      </w:r>
      <w:r>
        <w:rPr>
          <w:b/>
          <w:sz w:val="22"/>
          <w:szCs w:val="22"/>
        </w:rPr>
        <w:t>.</w:t>
      </w:r>
    </w:p>
    <w:p w:rsidR="00796382" w:rsidP="00796382" w:rsidRDefault="00796382" w14:paraId="537B4EDA" w14:textId="77777777">
      <w:pPr>
        <w:pStyle w:val="ListParagraph"/>
        <w:tabs>
          <w:tab w:val="left" w:pos="360"/>
        </w:tabs>
        <w:rPr>
          <w:i/>
          <w:sz w:val="22"/>
          <w:szCs w:val="22"/>
        </w:rPr>
      </w:pPr>
    </w:p>
    <w:p w:rsidRPr="00D01A0F" w:rsidR="00796382" w:rsidP="00EA1E9A" w:rsidRDefault="00796382" w14:paraId="3C8CF509" w14:textId="77777777">
      <w:pPr>
        <w:pStyle w:val="ListParagraph"/>
        <w:numPr>
          <w:ilvl w:val="0"/>
          <w:numId w:val="22"/>
        </w:numPr>
        <w:tabs>
          <w:tab w:val="left" w:pos="360"/>
        </w:tabs>
        <w:rPr>
          <w:i/>
          <w:sz w:val="22"/>
          <w:szCs w:val="22"/>
        </w:rPr>
      </w:pPr>
      <w:r w:rsidRPr="00D01A0F">
        <w:rPr>
          <w:i/>
          <w:sz w:val="22"/>
          <w:szCs w:val="22"/>
        </w:rPr>
        <w:t>Parties disputing costs must file an objection with the RPC (47 C.F.R. § 27.1421; para. 304)</w:t>
      </w:r>
    </w:p>
    <w:p w:rsidR="00796382" w:rsidP="00796382" w:rsidRDefault="00796382" w14:paraId="06A12D12" w14:textId="77777777">
      <w:pPr>
        <w:pStyle w:val="ListParagraph"/>
        <w:tabs>
          <w:tab w:val="left" w:pos="360"/>
        </w:tabs>
        <w:rPr>
          <w:i/>
          <w:sz w:val="22"/>
          <w:szCs w:val="22"/>
        </w:rPr>
      </w:pPr>
    </w:p>
    <w:p w:rsidR="00796382" w:rsidP="00796382" w:rsidRDefault="00796382" w14:paraId="704AB3FF" w14:textId="42E2414C">
      <w:pPr>
        <w:pStyle w:val="ListParagraph"/>
        <w:tabs>
          <w:tab w:val="left" w:pos="360"/>
        </w:tabs>
        <w:rPr>
          <w:sz w:val="22"/>
          <w:szCs w:val="22"/>
        </w:rPr>
      </w:pPr>
      <w:r>
        <w:rPr>
          <w:sz w:val="22"/>
          <w:szCs w:val="22"/>
        </w:rPr>
        <w:t xml:space="preserve">The Commission estimates that it will take one in-house attorney at a rate equivalent to the hourly rate of a GS-12, Step 5 government staff member ($46.88/hour) 8 hours to prepare the required information.  We expect </w:t>
      </w:r>
      <w:r w:rsidR="00B5390D">
        <w:rPr>
          <w:sz w:val="22"/>
          <w:szCs w:val="22"/>
        </w:rPr>
        <w:t>there will be</w:t>
      </w:r>
      <w:r>
        <w:rPr>
          <w:sz w:val="22"/>
          <w:szCs w:val="22"/>
        </w:rPr>
        <w:t xml:space="preserve"> approximately 37 disputes per year for three years.  Therefore, the estimated annual in-house cost is as follows:</w:t>
      </w:r>
    </w:p>
    <w:p w:rsidR="00796382" w:rsidP="00796382" w:rsidRDefault="00796382" w14:paraId="7CE84122" w14:textId="77777777">
      <w:pPr>
        <w:pStyle w:val="ListParagraph"/>
        <w:tabs>
          <w:tab w:val="left" w:pos="360"/>
        </w:tabs>
        <w:rPr>
          <w:sz w:val="22"/>
          <w:szCs w:val="22"/>
        </w:rPr>
      </w:pPr>
    </w:p>
    <w:p w:rsidR="00796382" w:rsidP="00796382" w:rsidRDefault="00796382" w14:paraId="7517AD29" w14:textId="6F295625">
      <w:pPr>
        <w:pStyle w:val="ListParagraph"/>
        <w:tabs>
          <w:tab w:val="left" w:pos="360"/>
        </w:tabs>
        <w:rPr>
          <w:sz w:val="22"/>
          <w:szCs w:val="22"/>
        </w:rPr>
      </w:pPr>
      <w:r>
        <w:rPr>
          <w:sz w:val="22"/>
          <w:szCs w:val="22"/>
        </w:rPr>
        <w:t xml:space="preserve">1 attorney at $46.88/hour x 8 hours per response x </w:t>
      </w:r>
      <w:r w:rsidR="00511EAB">
        <w:rPr>
          <w:sz w:val="22"/>
          <w:szCs w:val="22"/>
        </w:rPr>
        <w:t xml:space="preserve">37 </w:t>
      </w:r>
      <w:r>
        <w:rPr>
          <w:sz w:val="22"/>
          <w:szCs w:val="22"/>
        </w:rPr>
        <w:t>estimated respondents/responses = $</w:t>
      </w:r>
      <w:r w:rsidR="007366CC">
        <w:rPr>
          <w:sz w:val="22"/>
          <w:szCs w:val="22"/>
        </w:rPr>
        <w:t>13,876.48</w:t>
      </w:r>
      <w:r>
        <w:rPr>
          <w:sz w:val="22"/>
          <w:szCs w:val="22"/>
        </w:rPr>
        <w:t>.</w:t>
      </w:r>
    </w:p>
    <w:p w:rsidR="00796382" w:rsidP="00796382" w:rsidRDefault="00796382" w14:paraId="285AE8D2" w14:textId="77777777">
      <w:pPr>
        <w:pStyle w:val="ListParagraph"/>
        <w:tabs>
          <w:tab w:val="left" w:pos="360"/>
        </w:tabs>
        <w:rPr>
          <w:sz w:val="22"/>
          <w:szCs w:val="22"/>
        </w:rPr>
      </w:pPr>
    </w:p>
    <w:p w:rsidRPr="00607B74" w:rsidR="00796382" w:rsidP="00796382" w:rsidRDefault="00796382" w14:paraId="42A27B8F" w14:textId="1FDAC36D">
      <w:pPr>
        <w:pStyle w:val="ListParagraph"/>
        <w:tabs>
          <w:tab w:val="left" w:pos="360"/>
        </w:tabs>
        <w:rPr>
          <w:b/>
          <w:sz w:val="22"/>
          <w:szCs w:val="22"/>
        </w:rPr>
      </w:pPr>
      <w:r>
        <w:rPr>
          <w:b/>
          <w:sz w:val="22"/>
          <w:szCs w:val="22"/>
        </w:rPr>
        <w:t>Total In-House Cost for Reporting Cost Disputes:  $</w:t>
      </w:r>
      <w:r w:rsidR="00FC5832">
        <w:rPr>
          <w:b/>
          <w:sz w:val="22"/>
          <w:szCs w:val="22"/>
        </w:rPr>
        <w:t>13,876.48</w:t>
      </w:r>
      <w:r>
        <w:rPr>
          <w:b/>
          <w:sz w:val="22"/>
          <w:szCs w:val="22"/>
        </w:rPr>
        <w:t>.</w:t>
      </w:r>
    </w:p>
    <w:p w:rsidRPr="005C73A8" w:rsidR="00796382" w:rsidP="00796382" w:rsidRDefault="00796382" w14:paraId="6E6AEA6C" w14:textId="77777777">
      <w:pPr>
        <w:rPr>
          <w:i/>
          <w:sz w:val="22"/>
          <w:szCs w:val="22"/>
        </w:rPr>
      </w:pPr>
    </w:p>
    <w:p w:rsidRPr="00D01A0F" w:rsidR="00796382" w:rsidP="00EA1E9A" w:rsidRDefault="00796382" w14:paraId="16B02A65" w14:textId="77777777">
      <w:pPr>
        <w:pStyle w:val="ListParagraph"/>
        <w:numPr>
          <w:ilvl w:val="0"/>
          <w:numId w:val="22"/>
        </w:numPr>
        <w:tabs>
          <w:tab w:val="left" w:pos="360"/>
        </w:tabs>
        <w:rPr>
          <w:i/>
          <w:sz w:val="22"/>
          <w:szCs w:val="22"/>
        </w:rPr>
      </w:pPr>
      <w:r w:rsidRPr="00D01A0F">
        <w:rPr>
          <w:i/>
          <w:sz w:val="22"/>
          <w:szCs w:val="22"/>
        </w:rPr>
        <w:t>The Relocation Payment Clearinghouse shall promptly notify 3.7 GHz band licensees following submission of the Certification of Accelerated Relocation (47 C.F.R § 27.1422(c))</w:t>
      </w:r>
    </w:p>
    <w:p w:rsidR="00796382" w:rsidP="00796382" w:rsidRDefault="00796382" w14:paraId="7F573396" w14:textId="77777777">
      <w:pPr>
        <w:pStyle w:val="ListParagraph"/>
        <w:tabs>
          <w:tab w:val="left" w:pos="360"/>
        </w:tabs>
        <w:rPr>
          <w:i/>
          <w:sz w:val="22"/>
          <w:szCs w:val="22"/>
        </w:rPr>
      </w:pPr>
    </w:p>
    <w:p w:rsidRPr="00A601E7" w:rsidR="00796382" w:rsidP="00796382" w:rsidRDefault="00796382" w14:paraId="4F630BF6" w14:textId="10A50C03">
      <w:pPr>
        <w:pStyle w:val="ListParagraph"/>
        <w:tabs>
          <w:tab w:val="left" w:pos="360"/>
        </w:tabs>
        <w:rPr>
          <w:sz w:val="22"/>
          <w:szCs w:val="22"/>
        </w:rPr>
      </w:pPr>
      <w:r>
        <w:rPr>
          <w:sz w:val="22"/>
          <w:szCs w:val="22"/>
        </w:rPr>
        <w:t xml:space="preserve">The Commission estimates that it will take one in-house attorney at a rate equivalent to the hourly rate of a GS-12, Step 5 government staff member ($46.88/hour) 0.5 hours to prepare the required information.  </w:t>
      </w:r>
      <w:r w:rsidR="009D2AFD">
        <w:rPr>
          <w:sz w:val="22"/>
          <w:szCs w:val="22"/>
        </w:rPr>
        <w:t>The Relocation Payment Clearinghouse</w:t>
      </w:r>
      <w:r>
        <w:rPr>
          <w:sz w:val="22"/>
          <w:szCs w:val="22"/>
        </w:rPr>
        <w:t xml:space="preserve"> will be expected to make a one-time </w:t>
      </w:r>
      <w:r w:rsidRPr="00A601E7">
        <w:rPr>
          <w:sz w:val="22"/>
          <w:szCs w:val="22"/>
        </w:rPr>
        <w:t>filing of this report to 35 respondents.  Therefore, the estimated annual in-house cost is as follows:</w:t>
      </w:r>
    </w:p>
    <w:p w:rsidRPr="00A601E7" w:rsidR="00796382" w:rsidP="00796382" w:rsidRDefault="00796382" w14:paraId="25CEA99F" w14:textId="77777777">
      <w:pPr>
        <w:pStyle w:val="ListParagraph"/>
        <w:tabs>
          <w:tab w:val="left" w:pos="360"/>
        </w:tabs>
        <w:rPr>
          <w:sz w:val="22"/>
          <w:szCs w:val="22"/>
        </w:rPr>
      </w:pPr>
    </w:p>
    <w:p w:rsidRPr="00A601E7" w:rsidR="00796382" w:rsidP="00796382" w:rsidRDefault="00796382" w14:paraId="044DF6A8" w14:textId="2EA16CE4">
      <w:pPr>
        <w:pStyle w:val="ListParagraph"/>
        <w:tabs>
          <w:tab w:val="left" w:pos="360"/>
        </w:tabs>
        <w:rPr>
          <w:sz w:val="22"/>
          <w:szCs w:val="22"/>
        </w:rPr>
      </w:pPr>
      <w:r w:rsidRPr="00A601E7">
        <w:rPr>
          <w:sz w:val="22"/>
          <w:szCs w:val="22"/>
        </w:rPr>
        <w:t>1 attorney at $46.88/hour x 0.5 hours per response x 35 estimated responses:  $</w:t>
      </w:r>
      <w:r w:rsidR="00135EAD">
        <w:rPr>
          <w:sz w:val="22"/>
          <w:szCs w:val="22"/>
        </w:rPr>
        <w:t>820.40</w:t>
      </w:r>
      <w:r w:rsidRPr="00A601E7">
        <w:rPr>
          <w:sz w:val="22"/>
          <w:szCs w:val="22"/>
        </w:rPr>
        <w:t>.</w:t>
      </w:r>
    </w:p>
    <w:p w:rsidRPr="00A601E7" w:rsidR="00796382" w:rsidP="00796382" w:rsidRDefault="00796382" w14:paraId="3DFC3FDB" w14:textId="77777777">
      <w:pPr>
        <w:pStyle w:val="ListParagraph"/>
        <w:tabs>
          <w:tab w:val="left" w:pos="360"/>
        </w:tabs>
        <w:rPr>
          <w:sz w:val="22"/>
          <w:szCs w:val="22"/>
        </w:rPr>
      </w:pPr>
    </w:p>
    <w:p w:rsidRPr="001538AD" w:rsidR="00796382" w:rsidP="00796382" w:rsidRDefault="00796382" w14:paraId="112A9093" w14:textId="4E01D990">
      <w:pPr>
        <w:pStyle w:val="ListParagraph"/>
        <w:tabs>
          <w:tab w:val="left" w:pos="360"/>
        </w:tabs>
        <w:rPr>
          <w:b/>
          <w:sz w:val="22"/>
          <w:szCs w:val="22"/>
        </w:rPr>
      </w:pPr>
      <w:r w:rsidRPr="00A601E7">
        <w:rPr>
          <w:b/>
          <w:sz w:val="22"/>
          <w:szCs w:val="22"/>
        </w:rPr>
        <w:t>Total In-House Cost for Notification of Submission of Certification:  $</w:t>
      </w:r>
      <w:r w:rsidR="00403EFA">
        <w:rPr>
          <w:b/>
          <w:sz w:val="22"/>
          <w:szCs w:val="22"/>
        </w:rPr>
        <w:t>820.40</w:t>
      </w:r>
      <w:r w:rsidRPr="00A601E7">
        <w:rPr>
          <w:b/>
          <w:sz w:val="22"/>
          <w:szCs w:val="22"/>
        </w:rPr>
        <w:t>.</w:t>
      </w:r>
    </w:p>
    <w:p w:rsidRPr="00834946" w:rsidR="00796382" w:rsidP="00796382" w:rsidRDefault="00796382" w14:paraId="28F90CFA" w14:textId="77777777">
      <w:pPr>
        <w:tabs>
          <w:tab w:val="left" w:pos="360"/>
        </w:tabs>
        <w:rPr>
          <w:i/>
          <w:sz w:val="22"/>
          <w:szCs w:val="22"/>
        </w:rPr>
      </w:pPr>
    </w:p>
    <w:p w:rsidR="00796382" w:rsidP="00796382" w:rsidRDefault="00796382" w14:paraId="7573A7C9" w14:textId="77777777">
      <w:pPr>
        <w:pStyle w:val="ListParagraph"/>
        <w:tabs>
          <w:tab w:val="left" w:pos="360"/>
        </w:tabs>
        <w:ind w:left="360"/>
        <w:rPr>
          <w:i/>
          <w:sz w:val="22"/>
          <w:szCs w:val="22"/>
          <w:u w:val="single"/>
        </w:rPr>
      </w:pPr>
      <w:r>
        <w:rPr>
          <w:i/>
          <w:sz w:val="22"/>
          <w:szCs w:val="22"/>
          <w:u w:val="single"/>
        </w:rPr>
        <w:t>Relocation Coordinator</w:t>
      </w:r>
    </w:p>
    <w:p w:rsidR="00796382" w:rsidP="00796382" w:rsidRDefault="00796382" w14:paraId="70F8C978" w14:textId="77777777">
      <w:pPr>
        <w:pStyle w:val="ListParagraph"/>
        <w:tabs>
          <w:tab w:val="left" w:pos="360"/>
        </w:tabs>
        <w:ind w:left="360"/>
        <w:rPr>
          <w:i/>
          <w:sz w:val="22"/>
          <w:szCs w:val="22"/>
          <w:u w:val="single"/>
        </w:rPr>
      </w:pPr>
    </w:p>
    <w:p w:rsidRPr="00D01A0F" w:rsidR="00796382" w:rsidP="008A02D5" w:rsidRDefault="00796382" w14:paraId="1355FFC0" w14:textId="77777777">
      <w:pPr>
        <w:pStyle w:val="ListParagraph"/>
        <w:numPr>
          <w:ilvl w:val="0"/>
          <w:numId w:val="24"/>
        </w:numPr>
        <w:tabs>
          <w:tab w:val="left" w:pos="360"/>
        </w:tabs>
        <w:rPr>
          <w:sz w:val="22"/>
          <w:szCs w:val="22"/>
        </w:rPr>
      </w:pPr>
      <w:r w:rsidRPr="00D01A0F">
        <w:rPr>
          <w:i/>
          <w:sz w:val="22"/>
          <w:szCs w:val="22"/>
        </w:rPr>
        <w:t>To the extent that incumbent earth stations are not accounted for in eligible space station operators’ Transition Plans, the Relocation Coordinator must prepare an Earth Station Transition Plan for such incumbent earth stations (47 C.F.R. §§ 27.1412(d)(2); 27.1413(c)(3)); the Relocation Coordinator may require each associated space station operator to file the information needed for such a plan with the Relocation Coordinator (47 C.F.R. § 27.1413(c)(3)(i)); the Relocation Coordinator will describe and recommend the respective responsibility of each party for earth station migrations in the Earth Station Transition Plan (47 C.F.R. § 27.1414(c)(3)(ii))</w:t>
      </w:r>
      <w:r w:rsidRPr="00D01A0F">
        <w:rPr>
          <w:sz w:val="22"/>
          <w:szCs w:val="22"/>
        </w:rPr>
        <w:t>.</w:t>
      </w:r>
    </w:p>
    <w:p w:rsidR="00796382" w:rsidP="00796382" w:rsidRDefault="00796382" w14:paraId="654125AA" w14:textId="77777777">
      <w:pPr>
        <w:pStyle w:val="ListParagraph"/>
        <w:tabs>
          <w:tab w:val="left" w:pos="360"/>
        </w:tabs>
        <w:rPr>
          <w:sz w:val="22"/>
          <w:szCs w:val="22"/>
        </w:rPr>
      </w:pPr>
    </w:p>
    <w:p w:rsidR="00796382" w:rsidP="00796382" w:rsidRDefault="00796382" w14:paraId="0F4EDE73" w14:textId="516663E8">
      <w:pPr>
        <w:pStyle w:val="ListParagraph"/>
        <w:tabs>
          <w:tab w:val="left" w:pos="360"/>
        </w:tabs>
        <w:rPr>
          <w:sz w:val="22"/>
          <w:szCs w:val="22"/>
        </w:rPr>
      </w:pPr>
      <w:r>
        <w:rPr>
          <w:sz w:val="22"/>
          <w:szCs w:val="22"/>
        </w:rPr>
        <w:t>The Commission estimates that it will take five in-house engineers approximately 120 hours each to prepare the required information, with two of those engineers at a rate equivalent to the hourly rate of a GS-15, Step 5 government staff member ($77.49/hour) and three at a rate equivalent to the hourly rate of a GS-11, Step 5 government staff member ($39.12/hour)</w:t>
      </w:r>
      <w:r w:rsidR="00863EBF">
        <w:rPr>
          <w:sz w:val="22"/>
          <w:szCs w:val="22"/>
        </w:rPr>
        <w:t xml:space="preserve">. </w:t>
      </w:r>
      <w:r>
        <w:rPr>
          <w:sz w:val="22"/>
          <w:szCs w:val="22"/>
        </w:rPr>
        <w:t xml:space="preserve"> Therefore, the</w:t>
      </w:r>
      <w:r w:rsidR="00863EBF">
        <w:rPr>
          <w:sz w:val="22"/>
          <w:szCs w:val="22"/>
        </w:rPr>
        <w:t xml:space="preserve"> </w:t>
      </w:r>
      <w:r>
        <w:rPr>
          <w:sz w:val="22"/>
          <w:szCs w:val="22"/>
        </w:rPr>
        <w:t>estimated annual in-house cost is as follows:</w:t>
      </w:r>
    </w:p>
    <w:p w:rsidR="00796382" w:rsidP="00796382" w:rsidRDefault="00796382" w14:paraId="5FB8A6A3" w14:textId="77777777">
      <w:pPr>
        <w:pStyle w:val="ListParagraph"/>
        <w:tabs>
          <w:tab w:val="left" w:pos="360"/>
        </w:tabs>
        <w:rPr>
          <w:sz w:val="22"/>
          <w:szCs w:val="22"/>
        </w:rPr>
      </w:pPr>
    </w:p>
    <w:p w:rsidR="00796382" w:rsidP="00796382" w:rsidRDefault="00796382" w14:paraId="49DD9248" w14:textId="77777777">
      <w:pPr>
        <w:pStyle w:val="ListParagraph"/>
        <w:tabs>
          <w:tab w:val="left" w:pos="360"/>
        </w:tabs>
        <w:rPr>
          <w:sz w:val="22"/>
          <w:szCs w:val="22"/>
        </w:rPr>
      </w:pPr>
      <w:r>
        <w:rPr>
          <w:sz w:val="22"/>
          <w:szCs w:val="22"/>
        </w:rPr>
        <w:t>2 engineers at $77.49/hour each x 120 hours per engineer per response x 1 respondents/responses = $18,597.60.</w:t>
      </w:r>
    </w:p>
    <w:p w:rsidR="00796382" w:rsidP="00796382" w:rsidRDefault="00796382" w14:paraId="5441B08B" w14:textId="77777777">
      <w:pPr>
        <w:pStyle w:val="ListParagraph"/>
        <w:tabs>
          <w:tab w:val="left" w:pos="360"/>
        </w:tabs>
        <w:rPr>
          <w:sz w:val="22"/>
          <w:szCs w:val="22"/>
        </w:rPr>
      </w:pPr>
    </w:p>
    <w:p w:rsidR="00796382" w:rsidP="00796382" w:rsidRDefault="00796382" w14:paraId="771E9CE9" w14:textId="78076E84">
      <w:pPr>
        <w:pStyle w:val="ListParagraph"/>
        <w:tabs>
          <w:tab w:val="left" w:pos="360"/>
        </w:tabs>
        <w:rPr>
          <w:sz w:val="22"/>
          <w:szCs w:val="22"/>
        </w:rPr>
      </w:pPr>
      <w:r>
        <w:rPr>
          <w:sz w:val="22"/>
          <w:szCs w:val="22"/>
        </w:rPr>
        <w:t>3 engineers at $</w:t>
      </w:r>
      <w:r w:rsidR="00FC4ABC">
        <w:rPr>
          <w:sz w:val="22"/>
          <w:szCs w:val="22"/>
        </w:rPr>
        <w:t>39.12</w:t>
      </w:r>
      <w:r>
        <w:rPr>
          <w:sz w:val="22"/>
          <w:szCs w:val="22"/>
        </w:rPr>
        <w:t>/hour each x 120 hours per engineer per response x 1 respondents/responses = $14,083.20.</w:t>
      </w:r>
    </w:p>
    <w:p w:rsidR="00FC4ABC" w:rsidP="00796382" w:rsidRDefault="00FC4ABC" w14:paraId="4620A09B" w14:textId="77777777">
      <w:pPr>
        <w:pStyle w:val="ListParagraph"/>
        <w:tabs>
          <w:tab w:val="left" w:pos="360"/>
        </w:tabs>
        <w:rPr>
          <w:sz w:val="22"/>
          <w:szCs w:val="22"/>
        </w:rPr>
      </w:pPr>
    </w:p>
    <w:p w:rsidRPr="00FF035B" w:rsidR="00796382" w:rsidP="00796382" w:rsidRDefault="00796382" w14:paraId="60874348" w14:textId="0CF027A3">
      <w:pPr>
        <w:pStyle w:val="ListParagraph"/>
        <w:tabs>
          <w:tab w:val="left" w:pos="360"/>
        </w:tabs>
        <w:rPr>
          <w:b/>
          <w:sz w:val="22"/>
          <w:szCs w:val="22"/>
        </w:rPr>
      </w:pPr>
      <w:r>
        <w:rPr>
          <w:b/>
          <w:sz w:val="22"/>
          <w:szCs w:val="22"/>
        </w:rPr>
        <w:t>Total In-House Cost for Transition Plans:  $18,597.60 + $14,083.20 =</w:t>
      </w:r>
      <w:r w:rsidR="0033110B">
        <w:rPr>
          <w:b/>
          <w:sz w:val="22"/>
          <w:szCs w:val="22"/>
        </w:rPr>
        <w:t xml:space="preserve"> </w:t>
      </w:r>
      <w:r w:rsidR="00DD41D1">
        <w:rPr>
          <w:b/>
          <w:sz w:val="22"/>
          <w:szCs w:val="22"/>
        </w:rPr>
        <w:t>$</w:t>
      </w:r>
      <w:r w:rsidR="0033110B">
        <w:rPr>
          <w:b/>
          <w:sz w:val="22"/>
          <w:szCs w:val="22"/>
        </w:rPr>
        <w:t>32,680.80.</w:t>
      </w:r>
    </w:p>
    <w:p w:rsidR="00796382" w:rsidP="00796382" w:rsidRDefault="00796382" w14:paraId="402CF933" w14:textId="77777777">
      <w:pPr>
        <w:pStyle w:val="ListParagraph"/>
        <w:tabs>
          <w:tab w:val="left" w:pos="360"/>
        </w:tabs>
        <w:rPr>
          <w:sz w:val="22"/>
          <w:szCs w:val="22"/>
        </w:rPr>
      </w:pPr>
    </w:p>
    <w:p w:rsidRPr="00D01A0F" w:rsidR="00796382" w:rsidP="008A02D5" w:rsidRDefault="00796382" w14:paraId="1860DD6A" w14:textId="77777777">
      <w:pPr>
        <w:pStyle w:val="ListParagraph"/>
        <w:numPr>
          <w:ilvl w:val="0"/>
          <w:numId w:val="24"/>
        </w:numPr>
        <w:tabs>
          <w:tab w:val="left" w:pos="360"/>
        </w:tabs>
        <w:rPr>
          <w:sz w:val="22"/>
          <w:szCs w:val="22"/>
        </w:rPr>
      </w:pPr>
      <w:r w:rsidRPr="00D01A0F">
        <w:rPr>
          <w:i/>
          <w:sz w:val="22"/>
          <w:szCs w:val="22"/>
        </w:rPr>
        <w:t>The Relocation Coordinator will be responsible for receiving notice from earth station operators or other satellite customers of any disputes related to comparability of facilities, workmanship, or preservation of service during the transition and shall subsequently notify the Wireless Telecommunications Bureau of the dispute and provide recommendations for resolution.  (47 C.F.R. § 27.1414(c)(6))</w:t>
      </w:r>
    </w:p>
    <w:p w:rsidR="00796382" w:rsidP="00796382" w:rsidRDefault="00796382" w14:paraId="571AF4B6" w14:textId="77777777">
      <w:pPr>
        <w:pStyle w:val="ListParagraph"/>
        <w:tabs>
          <w:tab w:val="left" w:pos="360"/>
        </w:tabs>
        <w:rPr>
          <w:sz w:val="22"/>
          <w:szCs w:val="22"/>
        </w:rPr>
      </w:pPr>
    </w:p>
    <w:p w:rsidR="00796382" w:rsidP="00796382" w:rsidRDefault="00796382" w14:paraId="402AD5B7" w14:textId="77777777">
      <w:pPr>
        <w:pStyle w:val="ListParagraph"/>
        <w:tabs>
          <w:tab w:val="left" w:pos="360"/>
        </w:tabs>
        <w:rPr>
          <w:sz w:val="22"/>
          <w:szCs w:val="22"/>
        </w:rPr>
      </w:pPr>
      <w:r>
        <w:rPr>
          <w:sz w:val="22"/>
          <w:szCs w:val="22"/>
        </w:rPr>
        <w:t xml:space="preserve">The Commission estimates that it will take one in-house attorney at a rate equivalent to the hourly rate of a GS-15, Step 5 government staff member ($77.49/hour) approximately 8 hours to prepare the required information.  We expect this report to be submitted </w:t>
      </w:r>
      <w:r w:rsidRPr="00956EF7">
        <w:rPr>
          <w:sz w:val="22"/>
          <w:szCs w:val="22"/>
        </w:rPr>
        <w:t>37</w:t>
      </w:r>
      <w:r>
        <w:rPr>
          <w:sz w:val="22"/>
          <w:szCs w:val="22"/>
        </w:rPr>
        <w:t xml:space="preserve"> times per year for three years.  Therefore, the estimated annual in-house cost is as follows:</w:t>
      </w:r>
    </w:p>
    <w:p w:rsidR="00796382" w:rsidP="00796382" w:rsidRDefault="00796382" w14:paraId="4655A107" w14:textId="77777777">
      <w:pPr>
        <w:pStyle w:val="ListParagraph"/>
        <w:tabs>
          <w:tab w:val="left" w:pos="360"/>
        </w:tabs>
        <w:rPr>
          <w:sz w:val="22"/>
          <w:szCs w:val="22"/>
        </w:rPr>
      </w:pPr>
    </w:p>
    <w:p w:rsidR="00796382" w:rsidP="00796382" w:rsidRDefault="00796382" w14:paraId="5E0F5153" w14:textId="403D12FE">
      <w:pPr>
        <w:pStyle w:val="ListParagraph"/>
        <w:tabs>
          <w:tab w:val="left" w:pos="360"/>
        </w:tabs>
        <w:rPr>
          <w:sz w:val="22"/>
          <w:szCs w:val="22"/>
        </w:rPr>
      </w:pPr>
      <w:r>
        <w:rPr>
          <w:sz w:val="22"/>
          <w:szCs w:val="22"/>
        </w:rPr>
        <w:t xml:space="preserve">1 attorney at $77.49/hour x 8 hours per response x </w:t>
      </w:r>
      <w:r w:rsidR="000532BD">
        <w:rPr>
          <w:sz w:val="22"/>
          <w:szCs w:val="22"/>
        </w:rPr>
        <w:t xml:space="preserve">37 </w:t>
      </w:r>
      <w:r>
        <w:rPr>
          <w:sz w:val="22"/>
          <w:szCs w:val="22"/>
        </w:rPr>
        <w:t>respondents/responses = $</w:t>
      </w:r>
      <w:r w:rsidR="00124A40">
        <w:rPr>
          <w:sz w:val="22"/>
          <w:szCs w:val="22"/>
        </w:rPr>
        <w:t>22,937.04</w:t>
      </w:r>
      <w:r>
        <w:rPr>
          <w:sz w:val="22"/>
          <w:szCs w:val="22"/>
        </w:rPr>
        <w:t>.</w:t>
      </w:r>
    </w:p>
    <w:p w:rsidR="00796382" w:rsidP="00796382" w:rsidRDefault="00796382" w14:paraId="0CAFB772" w14:textId="77777777">
      <w:pPr>
        <w:pStyle w:val="ListParagraph"/>
        <w:tabs>
          <w:tab w:val="left" w:pos="360"/>
        </w:tabs>
        <w:rPr>
          <w:sz w:val="22"/>
          <w:szCs w:val="22"/>
        </w:rPr>
      </w:pPr>
    </w:p>
    <w:p w:rsidRPr="00A82345" w:rsidR="00796382" w:rsidP="00796382" w:rsidRDefault="00796382" w14:paraId="4C1D3F2B" w14:textId="020E7DC8">
      <w:pPr>
        <w:pStyle w:val="ListParagraph"/>
        <w:tabs>
          <w:tab w:val="left" w:pos="360"/>
        </w:tabs>
        <w:rPr>
          <w:b/>
          <w:sz w:val="22"/>
          <w:szCs w:val="22"/>
        </w:rPr>
      </w:pPr>
      <w:r>
        <w:rPr>
          <w:b/>
          <w:sz w:val="22"/>
          <w:szCs w:val="22"/>
        </w:rPr>
        <w:t>Total In-House Cost for Notification of Disputes:  $</w:t>
      </w:r>
      <w:r w:rsidR="000C4667">
        <w:rPr>
          <w:b/>
          <w:sz w:val="22"/>
          <w:szCs w:val="22"/>
        </w:rPr>
        <w:t>22,937.04</w:t>
      </w:r>
      <w:r>
        <w:rPr>
          <w:b/>
          <w:sz w:val="22"/>
          <w:szCs w:val="22"/>
        </w:rPr>
        <w:t>.</w:t>
      </w:r>
    </w:p>
    <w:p w:rsidRPr="00854EF9" w:rsidR="00796382" w:rsidP="00796382" w:rsidRDefault="00796382" w14:paraId="190D3BA6" w14:textId="77777777">
      <w:pPr>
        <w:pStyle w:val="ListParagraph"/>
        <w:rPr>
          <w:sz w:val="22"/>
          <w:szCs w:val="22"/>
        </w:rPr>
      </w:pPr>
    </w:p>
    <w:p w:rsidRPr="00D01A0F" w:rsidR="00796382" w:rsidP="008A02D5" w:rsidRDefault="00796382" w14:paraId="2BB61FC7" w14:textId="77777777">
      <w:pPr>
        <w:pStyle w:val="ListParagraph"/>
        <w:numPr>
          <w:ilvl w:val="0"/>
          <w:numId w:val="24"/>
        </w:numPr>
        <w:tabs>
          <w:tab w:val="left" w:pos="360"/>
        </w:tabs>
        <w:rPr>
          <w:i/>
          <w:sz w:val="22"/>
          <w:szCs w:val="22"/>
        </w:rPr>
      </w:pPr>
      <w:r w:rsidRPr="00D01A0F">
        <w:rPr>
          <w:i/>
          <w:sz w:val="22"/>
          <w:szCs w:val="22"/>
        </w:rPr>
        <w:t>On a quarterly basis, beginning December 31, 2020, the Relocation Coordinator must provide a report on the overall status of clearing efforts. (47 C.F.R. § 27.1412(d))</w:t>
      </w:r>
    </w:p>
    <w:p w:rsidRPr="00B80527" w:rsidR="00796382" w:rsidP="00796382" w:rsidRDefault="00796382" w14:paraId="04EDF248" w14:textId="77777777">
      <w:pPr>
        <w:pStyle w:val="ListParagraph"/>
        <w:tabs>
          <w:tab w:val="left" w:pos="360"/>
        </w:tabs>
        <w:rPr>
          <w:i/>
          <w:sz w:val="22"/>
          <w:szCs w:val="22"/>
        </w:rPr>
      </w:pPr>
    </w:p>
    <w:p w:rsidR="00796382" w:rsidP="00796382" w:rsidRDefault="00796382" w14:paraId="37747798" w14:textId="77777777">
      <w:pPr>
        <w:pStyle w:val="ListParagraph"/>
        <w:tabs>
          <w:tab w:val="left" w:pos="360"/>
        </w:tabs>
        <w:rPr>
          <w:sz w:val="22"/>
          <w:szCs w:val="22"/>
        </w:rPr>
      </w:pPr>
      <w:r>
        <w:rPr>
          <w:sz w:val="22"/>
          <w:szCs w:val="22"/>
        </w:rPr>
        <w:t>The Commission estimates that it will take one in-house engineer at a rate equivalent to the hourly rate of a GS-15, Step 5 government staff member ($77.49/hour) approximately 24 hours to prepare the required information, and that it will take one in-house attorney at a rate equivalent to the hourly rate of a GS-15, Step 5 government staff member ($77.49/hour) approximately 8 hours to prepare the required information.  The report will be submitted on a quarterly basis, beginning December 31, 2020, for three years.  Therefore, the estimated annual in-house cost is as follows:</w:t>
      </w:r>
    </w:p>
    <w:p w:rsidR="00796382" w:rsidP="00796382" w:rsidRDefault="00796382" w14:paraId="0A1CC7FB" w14:textId="77777777">
      <w:pPr>
        <w:pStyle w:val="ListParagraph"/>
        <w:tabs>
          <w:tab w:val="left" w:pos="360"/>
        </w:tabs>
        <w:rPr>
          <w:sz w:val="22"/>
          <w:szCs w:val="22"/>
        </w:rPr>
      </w:pPr>
    </w:p>
    <w:p w:rsidR="00796382" w:rsidP="00796382" w:rsidRDefault="00796382" w14:paraId="0D309FC9" w14:textId="63057C8A">
      <w:pPr>
        <w:pStyle w:val="ListParagraph"/>
        <w:tabs>
          <w:tab w:val="left" w:pos="360"/>
        </w:tabs>
        <w:rPr>
          <w:sz w:val="22"/>
          <w:szCs w:val="22"/>
        </w:rPr>
      </w:pPr>
      <w:r>
        <w:rPr>
          <w:sz w:val="22"/>
          <w:szCs w:val="22"/>
        </w:rPr>
        <w:t xml:space="preserve">1 engineer at $77.49/hour x 24 hours per response x </w:t>
      </w:r>
      <w:r w:rsidR="005F520D">
        <w:rPr>
          <w:sz w:val="22"/>
          <w:szCs w:val="22"/>
        </w:rPr>
        <w:t xml:space="preserve">4 </w:t>
      </w:r>
      <w:r>
        <w:rPr>
          <w:sz w:val="22"/>
          <w:szCs w:val="22"/>
        </w:rPr>
        <w:t>respondents/responses = $</w:t>
      </w:r>
      <w:r w:rsidR="00B77A51">
        <w:rPr>
          <w:sz w:val="22"/>
          <w:szCs w:val="22"/>
        </w:rPr>
        <w:t>7,439.04.</w:t>
      </w:r>
    </w:p>
    <w:p w:rsidR="00796382" w:rsidP="00796382" w:rsidRDefault="00796382" w14:paraId="1D6E8CF5" w14:textId="77777777">
      <w:pPr>
        <w:pStyle w:val="ListParagraph"/>
        <w:tabs>
          <w:tab w:val="left" w:pos="360"/>
        </w:tabs>
        <w:rPr>
          <w:sz w:val="22"/>
          <w:szCs w:val="22"/>
        </w:rPr>
      </w:pPr>
    </w:p>
    <w:p w:rsidR="00796382" w:rsidP="00796382" w:rsidRDefault="00796382" w14:paraId="3522498D" w14:textId="09BC06D8">
      <w:pPr>
        <w:pStyle w:val="ListParagraph"/>
        <w:tabs>
          <w:tab w:val="left" w:pos="360"/>
        </w:tabs>
        <w:rPr>
          <w:sz w:val="22"/>
          <w:szCs w:val="22"/>
        </w:rPr>
      </w:pPr>
      <w:r>
        <w:rPr>
          <w:sz w:val="22"/>
          <w:szCs w:val="22"/>
        </w:rPr>
        <w:t xml:space="preserve">1 attorney at $77.49/hour x 8 hours per response x </w:t>
      </w:r>
      <w:r w:rsidR="005F520D">
        <w:rPr>
          <w:sz w:val="22"/>
          <w:szCs w:val="22"/>
        </w:rPr>
        <w:t xml:space="preserve">4 </w:t>
      </w:r>
      <w:r>
        <w:rPr>
          <w:sz w:val="22"/>
          <w:szCs w:val="22"/>
        </w:rPr>
        <w:t>respondents/responses = $</w:t>
      </w:r>
      <w:r w:rsidR="000F3C6E">
        <w:rPr>
          <w:sz w:val="22"/>
          <w:szCs w:val="22"/>
        </w:rPr>
        <w:t>2,479.68.</w:t>
      </w:r>
    </w:p>
    <w:p w:rsidR="00796382" w:rsidP="00796382" w:rsidRDefault="00796382" w14:paraId="7F6C890D" w14:textId="77777777">
      <w:pPr>
        <w:pStyle w:val="ListParagraph"/>
        <w:tabs>
          <w:tab w:val="left" w:pos="360"/>
        </w:tabs>
        <w:rPr>
          <w:sz w:val="22"/>
          <w:szCs w:val="22"/>
        </w:rPr>
      </w:pPr>
    </w:p>
    <w:p w:rsidRPr="00F56BFF" w:rsidR="00796382" w:rsidP="00796382" w:rsidRDefault="00796382" w14:paraId="01D2A7F8" w14:textId="602EA862">
      <w:pPr>
        <w:pStyle w:val="ListParagraph"/>
        <w:tabs>
          <w:tab w:val="left" w:pos="360"/>
        </w:tabs>
        <w:rPr>
          <w:b/>
          <w:sz w:val="22"/>
          <w:szCs w:val="22"/>
        </w:rPr>
      </w:pPr>
      <w:r>
        <w:rPr>
          <w:b/>
          <w:sz w:val="22"/>
          <w:szCs w:val="22"/>
        </w:rPr>
        <w:t>Total In-House Cost for Status of Clearing Efforts:  $</w:t>
      </w:r>
      <w:r w:rsidR="00F01039">
        <w:rPr>
          <w:b/>
          <w:sz w:val="22"/>
          <w:szCs w:val="22"/>
        </w:rPr>
        <w:t xml:space="preserve">7,439.04 + $2,479.68 = </w:t>
      </w:r>
      <w:r w:rsidR="00040CF1">
        <w:rPr>
          <w:b/>
          <w:sz w:val="22"/>
          <w:szCs w:val="22"/>
        </w:rPr>
        <w:t>$9,918.72.</w:t>
      </w:r>
    </w:p>
    <w:p w:rsidRPr="002601C0" w:rsidR="00796382" w:rsidP="00796382" w:rsidRDefault="00796382" w14:paraId="09828C78" w14:textId="77777777">
      <w:pPr>
        <w:tabs>
          <w:tab w:val="left" w:pos="360"/>
        </w:tabs>
        <w:rPr>
          <w:i/>
          <w:sz w:val="22"/>
          <w:szCs w:val="22"/>
          <w:u w:val="single"/>
        </w:rPr>
      </w:pPr>
    </w:p>
    <w:p w:rsidR="00796382" w:rsidP="00796382" w:rsidRDefault="00796382" w14:paraId="705393FC" w14:textId="77777777">
      <w:pPr>
        <w:pStyle w:val="ListParagraph"/>
        <w:tabs>
          <w:tab w:val="left" w:pos="360"/>
        </w:tabs>
        <w:ind w:left="360"/>
        <w:rPr>
          <w:i/>
          <w:sz w:val="22"/>
          <w:szCs w:val="22"/>
          <w:u w:val="single"/>
        </w:rPr>
      </w:pPr>
      <w:r>
        <w:rPr>
          <w:i/>
          <w:sz w:val="22"/>
          <w:szCs w:val="22"/>
          <w:u w:val="single"/>
        </w:rPr>
        <w:t>Space Station Operators</w:t>
      </w:r>
    </w:p>
    <w:p w:rsidR="00796382" w:rsidP="00796382" w:rsidRDefault="00796382" w14:paraId="51612AD0" w14:textId="77777777">
      <w:pPr>
        <w:pStyle w:val="ListParagraph"/>
        <w:tabs>
          <w:tab w:val="left" w:pos="360"/>
        </w:tabs>
        <w:ind w:left="360"/>
        <w:rPr>
          <w:i/>
          <w:sz w:val="22"/>
          <w:szCs w:val="22"/>
          <w:u w:val="single"/>
        </w:rPr>
      </w:pPr>
    </w:p>
    <w:p w:rsidRPr="00D01A0F" w:rsidR="00796382" w:rsidP="00570FA1" w:rsidRDefault="00796382" w14:paraId="17B45D6F" w14:textId="77777777">
      <w:pPr>
        <w:pStyle w:val="ListParagraph"/>
        <w:numPr>
          <w:ilvl w:val="0"/>
          <w:numId w:val="23"/>
        </w:numPr>
        <w:tabs>
          <w:tab w:val="left" w:pos="360"/>
        </w:tabs>
        <w:rPr>
          <w:i/>
          <w:sz w:val="22"/>
          <w:szCs w:val="22"/>
        </w:rPr>
      </w:pPr>
      <w:r w:rsidRPr="00D01A0F">
        <w:rPr>
          <w:i/>
          <w:sz w:val="22"/>
          <w:szCs w:val="22"/>
        </w:rPr>
        <w:t>On a quarterly basis, beginning December 31, 2020: Each eligible space station operator must provide a status report of its clearing efforts.  (47 C.F.R. § 27.1412(f))</w:t>
      </w:r>
    </w:p>
    <w:p w:rsidR="00796382" w:rsidP="00796382" w:rsidRDefault="00796382" w14:paraId="7D712611" w14:textId="77777777">
      <w:pPr>
        <w:pStyle w:val="ListParagraph"/>
        <w:tabs>
          <w:tab w:val="left" w:pos="360"/>
        </w:tabs>
        <w:rPr>
          <w:sz w:val="22"/>
          <w:szCs w:val="22"/>
        </w:rPr>
      </w:pPr>
    </w:p>
    <w:p w:rsidR="00796382" w:rsidP="00796382" w:rsidRDefault="00796382" w14:paraId="78CE4399" w14:textId="33EC0B73">
      <w:pPr>
        <w:pStyle w:val="ListParagraph"/>
        <w:tabs>
          <w:tab w:val="left" w:pos="360"/>
        </w:tabs>
        <w:rPr>
          <w:sz w:val="22"/>
          <w:szCs w:val="22"/>
        </w:rPr>
      </w:pPr>
      <w:r>
        <w:rPr>
          <w:sz w:val="22"/>
          <w:szCs w:val="22"/>
        </w:rPr>
        <w:t xml:space="preserve">The Commission estimates that it will take one in-house engineer at a rate equivalent to the hourly rate of a GS-15, Step 5 government staff member ($77.49/hour) approximately 24 hours to prepare the required information, and that it will take one in-house attorney at a rate equivalent to the hourly rate of a GS-15, Step 5 government staff member ($77.49/hour) approximately 8 hours to prepare the required information.  The report will be submitted </w:t>
      </w:r>
      <w:r w:rsidR="00971980">
        <w:rPr>
          <w:sz w:val="22"/>
          <w:szCs w:val="22"/>
        </w:rPr>
        <w:t xml:space="preserve">by approximately 5 eligible space station operators </w:t>
      </w:r>
      <w:r>
        <w:rPr>
          <w:sz w:val="22"/>
          <w:szCs w:val="22"/>
        </w:rPr>
        <w:t>on a quarterly basis, beginning December 31, 2020, for three years.  Therefore, the estimated annual in-house cost is as follows:</w:t>
      </w:r>
    </w:p>
    <w:p w:rsidR="00796382" w:rsidP="00796382" w:rsidRDefault="00796382" w14:paraId="1C04344D" w14:textId="77777777">
      <w:pPr>
        <w:pStyle w:val="ListParagraph"/>
        <w:tabs>
          <w:tab w:val="left" w:pos="360"/>
        </w:tabs>
        <w:rPr>
          <w:sz w:val="22"/>
          <w:szCs w:val="22"/>
        </w:rPr>
      </w:pPr>
    </w:p>
    <w:p w:rsidR="00796382" w:rsidP="00796382" w:rsidRDefault="00796382" w14:paraId="68574137" w14:textId="592CCD13">
      <w:pPr>
        <w:pStyle w:val="ListParagraph"/>
        <w:tabs>
          <w:tab w:val="left" w:pos="360"/>
        </w:tabs>
        <w:rPr>
          <w:sz w:val="22"/>
          <w:szCs w:val="22"/>
        </w:rPr>
      </w:pPr>
      <w:r>
        <w:rPr>
          <w:sz w:val="22"/>
          <w:szCs w:val="22"/>
        </w:rPr>
        <w:t xml:space="preserve">1 engineer at $77.49/hour x 24 hours per engineer x </w:t>
      </w:r>
      <w:r w:rsidR="00971980">
        <w:rPr>
          <w:sz w:val="22"/>
          <w:szCs w:val="22"/>
        </w:rPr>
        <w:t>5</w:t>
      </w:r>
      <w:r>
        <w:rPr>
          <w:sz w:val="22"/>
          <w:szCs w:val="22"/>
        </w:rPr>
        <w:t xml:space="preserve"> estimated respondents</w:t>
      </w:r>
      <w:r w:rsidR="00971980">
        <w:rPr>
          <w:sz w:val="22"/>
          <w:szCs w:val="22"/>
        </w:rPr>
        <w:t xml:space="preserve"> x </w:t>
      </w:r>
      <w:r w:rsidR="009D4ACF">
        <w:rPr>
          <w:sz w:val="22"/>
          <w:szCs w:val="22"/>
        </w:rPr>
        <w:t xml:space="preserve">4 </w:t>
      </w:r>
      <w:r w:rsidR="00971980">
        <w:rPr>
          <w:sz w:val="22"/>
          <w:szCs w:val="22"/>
        </w:rPr>
        <w:t xml:space="preserve">estimated </w:t>
      </w:r>
      <w:r>
        <w:rPr>
          <w:sz w:val="22"/>
          <w:szCs w:val="22"/>
        </w:rPr>
        <w:t>responses = $</w:t>
      </w:r>
      <w:r w:rsidR="00934417">
        <w:rPr>
          <w:sz w:val="22"/>
          <w:szCs w:val="22"/>
        </w:rPr>
        <w:t>37,195.20</w:t>
      </w:r>
      <w:r>
        <w:rPr>
          <w:sz w:val="22"/>
          <w:szCs w:val="22"/>
        </w:rPr>
        <w:t>.</w:t>
      </w:r>
    </w:p>
    <w:p w:rsidR="00796382" w:rsidP="00796382" w:rsidRDefault="00796382" w14:paraId="766DD39D" w14:textId="77777777">
      <w:pPr>
        <w:pStyle w:val="ListParagraph"/>
        <w:tabs>
          <w:tab w:val="left" w:pos="360"/>
        </w:tabs>
        <w:rPr>
          <w:sz w:val="22"/>
          <w:szCs w:val="22"/>
        </w:rPr>
      </w:pPr>
    </w:p>
    <w:p w:rsidR="00796382" w:rsidP="00796382" w:rsidRDefault="00796382" w14:paraId="6E5C18CE" w14:textId="5169CBB1">
      <w:pPr>
        <w:pStyle w:val="ListParagraph"/>
        <w:tabs>
          <w:tab w:val="left" w:pos="360"/>
        </w:tabs>
        <w:rPr>
          <w:sz w:val="22"/>
          <w:szCs w:val="22"/>
        </w:rPr>
      </w:pPr>
      <w:r>
        <w:rPr>
          <w:sz w:val="22"/>
          <w:szCs w:val="22"/>
        </w:rPr>
        <w:t xml:space="preserve">1 attorney at $77.49/hour x 8 hours per attorney x </w:t>
      </w:r>
      <w:r w:rsidR="00971980">
        <w:rPr>
          <w:sz w:val="22"/>
          <w:szCs w:val="22"/>
        </w:rPr>
        <w:t xml:space="preserve">5 estimated respondents x </w:t>
      </w:r>
      <w:r w:rsidR="009D4ACF">
        <w:rPr>
          <w:sz w:val="22"/>
          <w:szCs w:val="22"/>
        </w:rPr>
        <w:t xml:space="preserve">4 </w:t>
      </w:r>
      <w:r>
        <w:rPr>
          <w:sz w:val="22"/>
          <w:szCs w:val="22"/>
        </w:rPr>
        <w:t xml:space="preserve">estimated </w:t>
      </w:r>
      <w:r w:rsidR="00F97A72">
        <w:rPr>
          <w:sz w:val="22"/>
          <w:szCs w:val="22"/>
        </w:rPr>
        <w:t>responses</w:t>
      </w:r>
      <w:r>
        <w:rPr>
          <w:sz w:val="22"/>
          <w:szCs w:val="22"/>
        </w:rPr>
        <w:t xml:space="preserve"> = $</w:t>
      </w:r>
      <w:r w:rsidR="00934417">
        <w:rPr>
          <w:sz w:val="22"/>
          <w:szCs w:val="22"/>
        </w:rPr>
        <w:t>12,398.40</w:t>
      </w:r>
      <w:r w:rsidR="001D5E81">
        <w:rPr>
          <w:sz w:val="22"/>
          <w:szCs w:val="22"/>
        </w:rPr>
        <w:t>.</w:t>
      </w:r>
    </w:p>
    <w:p w:rsidR="00796382" w:rsidP="00796382" w:rsidRDefault="00796382" w14:paraId="5E3090E5" w14:textId="77777777">
      <w:pPr>
        <w:pStyle w:val="ListParagraph"/>
        <w:tabs>
          <w:tab w:val="left" w:pos="360"/>
        </w:tabs>
        <w:rPr>
          <w:sz w:val="22"/>
          <w:szCs w:val="22"/>
        </w:rPr>
      </w:pPr>
    </w:p>
    <w:p w:rsidRPr="00755B56" w:rsidR="00796382" w:rsidP="00796382" w:rsidRDefault="00796382" w14:paraId="083376FD" w14:textId="0509D1A3">
      <w:pPr>
        <w:pStyle w:val="ListParagraph"/>
        <w:tabs>
          <w:tab w:val="left" w:pos="360"/>
        </w:tabs>
        <w:rPr>
          <w:b/>
          <w:sz w:val="22"/>
          <w:szCs w:val="22"/>
        </w:rPr>
      </w:pPr>
      <w:r>
        <w:rPr>
          <w:b/>
          <w:sz w:val="22"/>
          <w:szCs w:val="22"/>
        </w:rPr>
        <w:t>Total In-House Cost for Status of Clearing Efforts:  $</w:t>
      </w:r>
      <w:r w:rsidR="00D019E3">
        <w:rPr>
          <w:b/>
          <w:sz w:val="22"/>
          <w:szCs w:val="22"/>
        </w:rPr>
        <w:t xml:space="preserve">37,195.20 + $12,398.40 = </w:t>
      </w:r>
      <w:r w:rsidR="00DF1E1E">
        <w:rPr>
          <w:b/>
          <w:sz w:val="22"/>
          <w:szCs w:val="22"/>
        </w:rPr>
        <w:t>$49,593.60</w:t>
      </w:r>
      <w:r w:rsidR="007164A9">
        <w:rPr>
          <w:b/>
          <w:sz w:val="22"/>
          <w:szCs w:val="22"/>
        </w:rPr>
        <w:t>.</w:t>
      </w:r>
    </w:p>
    <w:p w:rsidRPr="00854EF9" w:rsidR="00796382" w:rsidP="00796382" w:rsidRDefault="00796382" w14:paraId="39687A90" w14:textId="77777777">
      <w:pPr>
        <w:tabs>
          <w:tab w:val="left" w:pos="360"/>
        </w:tabs>
        <w:rPr>
          <w:sz w:val="22"/>
          <w:szCs w:val="22"/>
        </w:rPr>
      </w:pPr>
    </w:p>
    <w:p w:rsidRPr="00D01A0F" w:rsidR="00796382" w:rsidP="00570FA1" w:rsidRDefault="00796382" w14:paraId="7832B80E" w14:textId="77777777">
      <w:pPr>
        <w:pStyle w:val="ListParagraph"/>
        <w:numPr>
          <w:ilvl w:val="0"/>
          <w:numId w:val="23"/>
        </w:numPr>
        <w:tabs>
          <w:tab w:val="left" w:pos="360"/>
        </w:tabs>
        <w:rPr>
          <w:sz w:val="22"/>
          <w:szCs w:val="22"/>
        </w:rPr>
      </w:pPr>
      <w:r w:rsidRPr="00D01A0F">
        <w:rPr>
          <w:i/>
          <w:sz w:val="22"/>
          <w:szCs w:val="22"/>
        </w:rPr>
        <w:t>Each eligible space station operator must file a timely certification that it has completed the necessary clearing actions to satisfy each Accelerated Relocation Deadline.  The certification must be filed once the eligible space station operator completes its obligations but no later than the applicable Accelerated Relocation Deadline.  The Wireless Telecommunication Bureau will prescribe the form of such certification.  (47 C.F.R. § 27.1412(g))</w:t>
      </w:r>
    </w:p>
    <w:p w:rsidR="00796382" w:rsidP="00796382" w:rsidRDefault="00796382" w14:paraId="4CCBF7CE" w14:textId="77777777">
      <w:pPr>
        <w:pStyle w:val="ListParagraph"/>
        <w:tabs>
          <w:tab w:val="left" w:pos="360"/>
        </w:tabs>
        <w:rPr>
          <w:sz w:val="22"/>
          <w:szCs w:val="22"/>
        </w:rPr>
      </w:pPr>
    </w:p>
    <w:p w:rsidR="00796382" w:rsidP="00796382" w:rsidRDefault="00796382" w14:paraId="47EE8A74" w14:textId="77777777">
      <w:pPr>
        <w:pStyle w:val="ListParagraph"/>
        <w:tabs>
          <w:tab w:val="left" w:pos="360"/>
        </w:tabs>
        <w:rPr>
          <w:sz w:val="22"/>
          <w:szCs w:val="22"/>
        </w:rPr>
      </w:pPr>
      <w:r>
        <w:rPr>
          <w:sz w:val="22"/>
          <w:szCs w:val="22"/>
        </w:rPr>
        <w:t>The Commission estimates that it will take one in-house engineer at a rate equivalent to the hourly rate of a GS-15, Step 5 government staff member ($77.49/hour) approximately 24 hours to prepare the required information, and that it will take one in-house attorney at a rate equivalent to the hourly rate of a GS-15, Step 5 government staff member ($77.49/hour) approximately 8 hours to prepare the required information.  We expect this report will be a one-time filing.  Therefore, the estimated annual in-house cost is as follows:</w:t>
      </w:r>
    </w:p>
    <w:p w:rsidR="00796382" w:rsidP="00796382" w:rsidRDefault="00796382" w14:paraId="25425E35" w14:textId="77777777">
      <w:pPr>
        <w:pStyle w:val="ListParagraph"/>
        <w:tabs>
          <w:tab w:val="left" w:pos="360"/>
        </w:tabs>
        <w:rPr>
          <w:sz w:val="22"/>
          <w:szCs w:val="22"/>
        </w:rPr>
      </w:pPr>
    </w:p>
    <w:p w:rsidR="00796382" w:rsidP="00796382" w:rsidRDefault="00796382" w14:paraId="7E24D777" w14:textId="77777777">
      <w:pPr>
        <w:pStyle w:val="ListParagraph"/>
        <w:tabs>
          <w:tab w:val="left" w:pos="360"/>
        </w:tabs>
        <w:rPr>
          <w:sz w:val="22"/>
          <w:szCs w:val="22"/>
        </w:rPr>
      </w:pPr>
      <w:r>
        <w:rPr>
          <w:sz w:val="22"/>
          <w:szCs w:val="22"/>
        </w:rPr>
        <w:t>1 engineer at $77.49/hour x 24 hours per engineer x 5 estimated respondents/responses = $9,298.80.</w:t>
      </w:r>
    </w:p>
    <w:p w:rsidR="00796382" w:rsidP="00796382" w:rsidRDefault="00796382" w14:paraId="666AE39E" w14:textId="77777777">
      <w:pPr>
        <w:pStyle w:val="ListParagraph"/>
        <w:tabs>
          <w:tab w:val="left" w:pos="360"/>
        </w:tabs>
        <w:rPr>
          <w:sz w:val="22"/>
          <w:szCs w:val="22"/>
        </w:rPr>
      </w:pPr>
    </w:p>
    <w:p w:rsidR="00796382" w:rsidP="00796382" w:rsidRDefault="00796382" w14:paraId="2DAB1A1D" w14:textId="77777777">
      <w:pPr>
        <w:pStyle w:val="ListParagraph"/>
        <w:tabs>
          <w:tab w:val="left" w:pos="360"/>
        </w:tabs>
        <w:rPr>
          <w:sz w:val="22"/>
          <w:szCs w:val="22"/>
        </w:rPr>
      </w:pPr>
      <w:r>
        <w:rPr>
          <w:sz w:val="22"/>
          <w:szCs w:val="22"/>
        </w:rPr>
        <w:t>1 attorney at $77.49/hour x 8 hours per attorney x 5 estimated respondents/responses = $3,099.60.</w:t>
      </w:r>
    </w:p>
    <w:p w:rsidR="00796382" w:rsidP="00796382" w:rsidRDefault="00796382" w14:paraId="18158BBA" w14:textId="77777777">
      <w:pPr>
        <w:pStyle w:val="ListParagraph"/>
        <w:rPr>
          <w:sz w:val="22"/>
          <w:szCs w:val="22"/>
        </w:rPr>
      </w:pPr>
    </w:p>
    <w:p w:rsidRPr="001C0664" w:rsidR="00796382" w:rsidP="00796382" w:rsidRDefault="00796382" w14:paraId="0D9E1319" w14:textId="77777777">
      <w:pPr>
        <w:pStyle w:val="ListParagraph"/>
        <w:rPr>
          <w:sz w:val="22"/>
          <w:szCs w:val="22"/>
        </w:rPr>
      </w:pPr>
      <w:r>
        <w:rPr>
          <w:b/>
          <w:sz w:val="22"/>
          <w:szCs w:val="22"/>
        </w:rPr>
        <w:t>Total In-House Cost for Filing Certification of Accelerated Relocation:  $9,298.80 + $3,099.60 = $12,398.40.</w:t>
      </w:r>
    </w:p>
    <w:p w:rsidRPr="001C0664" w:rsidR="00796382" w:rsidP="00796382" w:rsidRDefault="00796382" w14:paraId="044F663A" w14:textId="77777777">
      <w:pPr>
        <w:pStyle w:val="ListParagraph"/>
        <w:rPr>
          <w:b/>
          <w:sz w:val="22"/>
          <w:szCs w:val="22"/>
        </w:rPr>
      </w:pPr>
    </w:p>
    <w:p w:rsidRPr="00D01A0F" w:rsidR="00796382" w:rsidP="00570FA1" w:rsidRDefault="00796382" w14:paraId="75115EC3" w14:textId="77777777">
      <w:pPr>
        <w:pStyle w:val="ListParagraph"/>
        <w:numPr>
          <w:ilvl w:val="0"/>
          <w:numId w:val="23"/>
        </w:numPr>
        <w:tabs>
          <w:tab w:val="left" w:pos="360"/>
        </w:tabs>
        <w:rPr>
          <w:i/>
          <w:sz w:val="22"/>
          <w:szCs w:val="22"/>
        </w:rPr>
      </w:pPr>
      <w:r w:rsidRPr="00D01A0F">
        <w:rPr>
          <w:i/>
          <w:sz w:val="22"/>
          <w:szCs w:val="22"/>
        </w:rPr>
        <w:t>An eligible space station operator must submit a notice of any incumbent earth station transition delays to the Wireless Telecommunications Bureau within 7 days of discovering an inability to accomplish the assigned earth station transition task.  Such a request must include supporting documentation to allow for resolution as soon as practicable and must be submitted before the Accelerated Relocation Deadlines.  (47 C.F.R. § 27.1412(b)(3)(i))</w:t>
      </w:r>
    </w:p>
    <w:p w:rsidR="00796382" w:rsidP="00796382" w:rsidRDefault="00796382" w14:paraId="366D58AD" w14:textId="77777777">
      <w:pPr>
        <w:pStyle w:val="ListParagraph"/>
        <w:tabs>
          <w:tab w:val="left" w:pos="360"/>
        </w:tabs>
        <w:rPr>
          <w:sz w:val="22"/>
          <w:szCs w:val="22"/>
        </w:rPr>
      </w:pPr>
    </w:p>
    <w:p w:rsidR="00796382" w:rsidP="00796382" w:rsidRDefault="00796382" w14:paraId="1BEFA5D0" w14:textId="77777777">
      <w:pPr>
        <w:pStyle w:val="ListParagraph"/>
        <w:tabs>
          <w:tab w:val="left" w:pos="360"/>
        </w:tabs>
        <w:rPr>
          <w:sz w:val="22"/>
          <w:szCs w:val="22"/>
        </w:rPr>
      </w:pPr>
      <w:r>
        <w:rPr>
          <w:sz w:val="22"/>
          <w:szCs w:val="22"/>
        </w:rPr>
        <w:t xml:space="preserve">The Commission estimates that it will take one in-house attorney at a rate equivalent to the hourly rate of a GS-13, Step 5 government staff member ($55.75/hour) approximately 4 hours to prepare the required information, and that it will take one in-house engineer at a rate equivalent to the hourly rate of a GS-15, Step 5 government staff member ($77.49/hour) approximately 4 hours to prepare the required information.  We expect this report to be submitted </w:t>
      </w:r>
      <w:r w:rsidRPr="007E33F0">
        <w:rPr>
          <w:sz w:val="22"/>
          <w:szCs w:val="22"/>
        </w:rPr>
        <w:t>37</w:t>
      </w:r>
      <w:r>
        <w:rPr>
          <w:sz w:val="22"/>
          <w:szCs w:val="22"/>
        </w:rPr>
        <w:t xml:space="preserve"> times per year.  Therefore, the estimated annual in-house cost is as follows:</w:t>
      </w:r>
    </w:p>
    <w:p w:rsidR="00796382" w:rsidP="00796382" w:rsidRDefault="00796382" w14:paraId="53B8E28B" w14:textId="77777777">
      <w:pPr>
        <w:pStyle w:val="ListParagraph"/>
        <w:tabs>
          <w:tab w:val="left" w:pos="360"/>
        </w:tabs>
        <w:rPr>
          <w:sz w:val="22"/>
          <w:szCs w:val="22"/>
        </w:rPr>
      </w:pPr>
    </w:p>
    <w:p w:rsidRPr="007F7EE8" w:rsidR="00796382" w:rsidP="00796382" w:rsidRDefault="00796382" w14:paraId="76D7E15C" w14:textId="1F90D804">
      <w:pPr>
        <w:pStyle w:val="ListParagraph"/>
        <w:tabs>
          <w:tab w:val="left" w:pos="360"/>
        </w:tabs>
        <w:rPr>
          <w:sz w:val="22"/>
          <w:szCs w:val="22"/>
        </w:rPr>
      </w:pPr>
      <w:r>
        <w:rPr>
          <w:sz w:val="22"/>
          <w:szCs w:val="22"/>
        </w:rPr>
        <w:t xml:space="preserve">1 attorney at $55.75/hour x 4 hours per response x </w:t>
      </w:r>
      <w:r w:rsidR="000F36FF">
        <w:rPr>
          <w:sz w:val="22"/>
          <w:szCs w:val="22"/>
        </w:rPr>
        <w:t>37</w:t>
      </w:r>
      <w:r w:rsidRPr="007F7EE8" w:rsidR="000F36FF">
        <w:rPr>
          <w:sz w:val="22"/>
          <w:szCs w:val="22"/>
        </w:rPr>
        <w:t xml:space="preserve"> </w:t>
      </w:r>
      <w:r w:rsidRPr="007F7EE8">
        <w:rPr>
          <w:sz w:val="22"/>
          <w:szCs w:val="22"/>
        </w:rPr>
        <w:t>estimated respondents/responses = $</w:t>
      </w:r>
      <w:r w:rsidR="008E2C5F">
        <w:rPr>
          <w:sz w:val="22"/>
          <w:szCs w:val="22"/>
        </w:rPr>
        <w:t>8,251</w:t>
      </w:r>
      <w:r w:rsidRPr="007F7EE8">
        <w:rPr>
          <w:sz w:val="22"/>
          <w:szCs w:val="22"/>
        </w:rPr>
        <w:t>.</w:t>
      </w:r>
    </w:p>
    <w:p w:rsidRPr="007F7EE8" w:rsidR="00796382" w:rsidP="00796382" w:rsidRDefault="00796382" w14:paraId="52ED71B8" w14:textId="77777777">
      <w:pPr>
        <w:pStyle w:val="ListParagraph"/>
        <w:tabs>
          <w:tab w:val="left" w:pos="360"/>
        </w:tabs>
        <w:rPr>
          <w:sz w:val="22"/>
          <w:szCs w:val="22"/>
        </w:rPr>
      </w:pPr>
    </w:p>
    <w:p w:rsidR="00796382" w:rsidP="00796382" w:rsidRDefault="00796382" w14:paraId="7A307DE0" w14:textId="2D40116B">
      <w:pPr>
        <w:pStyle w:val="ListParagraph"/>
        <w:tabs>
          <w:tab w:val="left" w:pos="360"/>
        </w:tabs>
        <w:rPr>
          <w:sz w:val="22"/>
          <w:szCs w:val="22"/>
        </w:rPr>
      </w:pPr>
      <w:r w:rsidRPr="007F7EE8">
        <w:rPr>
          <w:sz w:val="22"/>
          <w:szCs w:val="22"/>
        </w:rPr>
        <w:t xml:space="preserve">1 engineer at $77.49/hour x 4 hours per response x </w:t>
      </w:r>
      <w:r w:rsidR="000F36FF">
        <w:rPr>
          <w:sz w:val="22"/>
          <w:szCs w:val="22"/>
        </w:rPr>
        <w:t xml:space="preserve">37 </w:t>
      </w:r>
      <w:r>
        <w:rPr>
          <w:sz w:val="22"/>
          <w:szCs w:val="22"/>
        </w:rPr>
        <w:t>estimated respondents/responses = $</w:t>
      </w:r>
      <w:r w:rsidR="0042742E">
        <w:rPr>
          <w:sz w:val="22"/>
          <w:szCs w:val="22"/>
        </w:rPr>
        <w:t>11,468.52</w:t>
      </w:r>
      <w:r>
        <w:rPr>
          <w:sz w:val="22"/>
          <w:szCs w:val="22"/>
        </w:rPr>
        <w:t>.</w:t>
      </w:r>
    </w:p>
    <w:p w:rsidR="00796382" w:rsidP="00796382" w:rsidRDefault="00796382" w14:paraId="3159F901" w14:textId="77777777">
      <w:pPr>
        <w:pStyle w:val="ListParagraph"/>
        <w:tabs>
          <w:tab w:val="left" w:pos="360"/>
        </w:tabs>
        <w:rPr>
          <w:sz w:val="22"/>
          <w:szCs w:val="22"/>
        </w:rPr>
      </w:pPr>
    </w:p>
    <w:p w:rsidR="00796382" w:rsidP="001B044F" w:rsidRDefault="00796382" w14:paraId="05DA42D9" w14:textId="0DE90ED0">
      <w:pPr>
        <w:pStyle w:val="ListParagraph"/>
        <w:tabs>
          <w:tab w:val="left" w:pos="360"/>
        </w:tabs>
      </w:pPr>
      <w:r>
        <w:rPr>
          <w:b/>
          <w:sz w:val="22"/>
          <w:szCs w:val="22"/>
        </w:rPr>
        <w:t>Total In-House Cost for Notification of Delays:  $</w:t>
      </w:r>
      <w:r w:rsidR="00C55C4F">
        <w:rPr>
          <w:b/>
          <w:sz w:val="22"/>
          <w:szCs w:val="22"/>
        </w:rPr>
        <w:t>8,251 + $11,468.52 = $19,719.52</w:t>
      </w:r>
      <w:r>
        <w:rPr>
          <w:b/>
          <w:sz w:val="22"/>
          <w:szCs w:val="22"/>
        </w:rPr>
        <w:t>.</w:t>
      </w:r>
    </w:p>
    <w:p w:rsidR="00796382" w:rsidP="00D87E04" w:rsidRDefault="00796382" w14:paraId="105E68D2" w14:textId="77777777">
      <w:pPr>
        <w:tabs>
          <w:tab w:val="left" w:pos="360"/>
        </w:tabs>
        <w:rPr>
          <w:sz w:val="22"/>
          <w:szCs w:val="22"/>
        </w:rPr>
      </w:pPr>
    </w:p>
    <w:p w:rsidRPr="00003DFA" w:rsidR="00FF5DB9" w:rsidP="00FF5DB9" w:rsidRDefault="00632983" w14:paraId="6550D6AB" w14:textId="619A89E4">
      <w:pPr>
        <w:tabs>
          <w:tab w:val="left" w:pos="360"/>
        </w:tabs>
        <w:rPr>
          <w:sz w:val="22"/>
          <w:szCs w:val="22"/>
        </w:rPr>
      </w:pPr>
      <w:r w:rsidRPr="00590E86">
        <w:rPr>
          <w:sz w:val="22"/>
          <w:szCs w:val="22"/>
        </w:rPr>
        <w:t>13.</w:t>
      </w:r>
      <w:r w:rsidRPr="00590E86">
        <w:rPr>
          <w:sz w:val="22"/>
          <w:szCs w:val="22"/>
        </w:rPr>
        <w:tab/>
      </w:r>
      <w:r w:rsidRPr="00590E86">
        <w:rPr>
          <w:b/>
          <w:bCs/>
          <w:i/>
          <w:sz w:val="22"/>
          <w:szCs w:val="22"/>
        </w:rPr>
        <w:t>Estimates of the annual cost burden of the collection to respondents</w:t>
      </w:r>
      <w:r w:rsidRPr="00590E86">
        <w:rPr>
          <w:sz w:val="22"/>
          <w:szCs w:val="22"/>
        </w:rPr>
        <w:t>.</w:t>
      </w:r>
      <w:r w:rsidRPr="00590E86" w:rsidR="00007A98">
        <w:rPr>
          <w:sz w:val="22"/>
          <w:szCs w:val="22"/>
        </w:rPr>
        <w:t xml:space="preserve">  As explained in Item 1 above, the </w:t>
      </w:r>
      <w:r w:rsidRPr="00590E86" w:rsidR="00007A98">
        <w:rPr>
          <w:i/>
          <w:iCs/>
          <w:sz w:val="22"/>
          <w:szCs w:val="22"/>
        </w:rPr>
        <w:t xml:space="preserve">3.7 GHz </w:t>
      </w:r>
      <w:r w:rsidRPr="00590E86" w:rsidR="00007A98">
        <w:rPr>
          <w:i/>
          <w:sz w:val="22"/>
          <w:szCs w:val="22"/>
        </w:rPr>
        <w:t>Report and Order</w:t>
      </w:r>
      <w:r w:rsidRPr="00590E86" w:rsidR="00007A98">
        <w:rPr>
          <w:sz w:val="22"/>
          <w:szCs w:val="22"/>
        </w:rPr>
        <w:t xml:space="preserve"> established a Relocation Payment Clearinghouse to oversee the cost-related aspects of the transition and establishes a Relocation Coordinator to establish a timeline and take actions necessary to migrate and filter incumbent earth stations to ensure continued, uninterrupted service during and following the transition, and adopted specific duties and responsibilities for each entity.  As newly-created entities, the Relocation Payment Clearinghouse and Relocation Coordinator will each incur capital and start-up costs for establishing their respective organizational and operational structures and management and program processes, hiring staff, and acquiring the infrastructure (e.g., computers and other </w:t>
      </w:r>
      <w:r w:rsidRPr="00590E86" w:rsidR="00007A98">
        <w:rPr>
          <w:color w:val="000000"/>
          <w:sz w:val="22"/>
          <w:szCs w:val="22"/>
        </w:rPr>
        <w:t>equipment</w:t>
      </w:r>
      <w:r w:rsidRPr="00590E86" w:rsidR="00007A98">
        <w:rPr>
          <w:sz w:val="22"/>
          <w:szCs w:val="22"/>
        </w:rPr>
        <w:t xml:space="preserve">, software and program management tools, etc.) necessary to generate, maintain, and disclose or provide information required by the information collection in carrying out their duties in </w:t>
      </w:r>
      <w:r w:rsidRPr="00003DFA" w:rsidR="00007A98">
        <w:rPr>
          <w:sz w:val="22"/>
          <w:szCs w:val="22"/>
        </w:rPr>
        <w:t>support of the transition/relocation process.  The Relocation Payment Clearinghouse and Relocation Coordinator will also incur ongoing operation and maintenance costs associated with generating, maintaining, and disclosing or providing information required by the information collection in carrying out their duties until the transition/relocation process is completed.  We estimate that the Relocation Payment Clearinghouse and Relocation Coordinator will incur capital and start-up costs and operation and maintenance costs as follows under this information collection:</w:t>
      </w:r>
    </w:p>
    <w:p w:rsidRPr="00003DFA" w:rsidR="00FF5DB9" w:rsidP="00FF5DB9" w:rsidRDefault="00FF5DB9" w14:paraId="28305786" w14:textId="6A4CC8C0">
      <w:pPr>
        <w:rPr>
          <w:sz w:val="22"/>
          <w:szCs w:val="22"/>
        </w:rPr>
      </w:pPr>
      <w:r w:rsidRPr="00003DFA">
        <w:rPr>
          <w:sz w:val="22"/>
          <w:szCs w:val="22"/>
        </w:rPr>
        <w:br w:type="page"/>
      </w:r>
    </w:p>
    <w:tbl>
      <w:tblPr>
        <w:tblW w:w="9255"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ook w:val="04A0" w:firstRow="1" w:lastRow="0" w:firstColumn="1" w:lastColumn="0" w:noHBand="0" w:noVBand="1"/>
      </w:tblPr>
      <w:tblGrid>
        <w:gridCol w:w="5295"/>
        <w:gridCol w:w="2340"/>
        <w:gridCol w:w="1620"/>
      </w:tblGrid>
      <w:tr w:rsidRPr="00003DFA" w:rsidR="00007A98" w:rsidTr="005939F0" w14:paraId="7E9CCA22" w14:textId="77777777">
        <w:trPr>
          <w:trHeight w:val="315"/>
        </w:trPr>
        <w:tc>
          <w:tcPr>
            <w:tcW w:w="9255" w:type="dxa"/>
            <w:gridSpan w:val="3"/>
            <w:tcBorders>
              <w:right w:val="single" w:color="auto" w:sz="4" w:space="0"/>
            </w:tcBorders>
            <w:shd w:val="clear" w:color="000000" w:fill="auto"/>
            <w:noWrap/>
            <w:vAlign w:val="bottom"/>
          </w:tcPr>
          <w:p w:rsidRPr="00003DFA" w:rsidR="00007A98" w:rsidP="005939F0" w:rsidRDefault="00007A98" w14:paraId="22E6782B" w14:textId="77777777">
            <w:pPr>
              <w:jc w:val="center"/>
              <w:rPr>
                <w:b/>
                <w:bCs/>
                <w:sz w:val="22"/>
                <w:szCs w:val="22"/>
              </w:rPr>
            </w:pPr>
            <w:r w:rsidRPr="00003DFA">
              <w:rPr>
                <w:b/>
                <w:bCs/>
                <w:sz w:val="22"/>
                <w:szCs w:val="22"/>
              </w:rPr>
              <w:t>CAPITAL AND START-UP COSTS</w:t>
            </w:r>
          </w:p>
        </w:tc>
      </w:tr>
      <w:tr w:rsidRPr="00003DFA" w:rsidR="00007A98" w:rsidTr="005939F0" w14:paraId="17522177" w14:textId="77777777">
        <w:trPr>
          <w:trHeight w:val="315"/>
        </w:trPr>
        <w:tc>
          <w:tcPr>
            <w:tcW w:w="5295" w:type="dxa"/>
            <w:shd w:val="clear" w:color="000000" w:fill="auto"/>
            <w:noWrap/>
            <w:vAlign w:val="bottom"/>
            <w:hideMark/>
          </w:tcPr>
          <w:p w:rsidRPr="00003DFA" w:rsidR="00007A98" w:rsidP="005939F0" w:rsidRDefault="00007A98" w14:paraId="60036340" w14:textId="77777777">
            <w:pPr>
              <w:rPr>
                <w:sz w:val="22"/>
                <w:szCs w:val="22"/>
              </w:rPr>
            </w:pPr>
            <w:r w:rsidRPr="00003DFA">
              <w:rPr>
                <w:sz w:val="22"/>
                <w:szCs w:val="22"/>
              </w:rPr>
              <w:t> </w:t>
            </w:r>
          </w:p>
        </w:tc>
        <w:tc>
          <w:tcPr>
            <w:tcW w:w="2340" w:type="dxa"/>
            <w:tcBorders>
              <w:top w:val="single" w:color="auto" w:sz="4" w:space="0"/>
            </w:tcBorders>
            <w:shd w:val="clear" w:color="000000" w:fill="auto"/>
            <w:noWrap/>
            <w:vAlign w:val="bottom"/>
            <w:hideMark/>
          </w:tcPr>
          <w:p w:rsidRPr="00003DFA" w:rsidR="00007A98" w:rsidP="005939F0" w:rsidRDefault="00007A98" w14:paraId="7D03737A" w14:textId="77777777">
            <w:pPr>
              <w:jc w:val="center"/>
              <w:rPr>
                <w:b/>
                <w:bCs/>
                <w:sz w:val="22"/>
                <w:szCs w:val="22"/>
              </w:rPr>
            </w:pPr>
            <w:r w:rsidRPr="00003DFA">
              <w:rPr>
                <w:b/>
                <w:bCs/>
                <w:sz w:val="22"/>
                <w:szCs w:val="22"/>
              </w:rPr>
              <w:t>Total</w:t>
            </w:r>
          </w:p>
        </w:tc>
        <w:tc>
          <w:tcPr>
            <w:tcW w:w="1620" w:type="dxa"/>
            <w:tcBorders>
              <w:top w:val="single" w:color="auto" w:sz="4" w:space="0"/>
            </w:tcBorders>
            <w:shd w:val="clear" w:color="000000" w:fill="auto"/>
            <w:noWrap/>
            <w:vAlign w:val="bottom"/>
            <w:hideMark/>
          </w:tcPr>
          <w:p w:rsidRPr="00003DFA" w:rsidR="00007A98" w:rsidP="005939F0" w:rsidRDefault="00007A98" w14:paraId="0871F860" w14:textId="77777777">
            <w:pPr>
              <w:jc w:val="center"/>
              <w:rPr>
                <w:b/>
                <w:bCs/>
                <w:sz w:val="22"/>
                <w:szCs w:val="22"/>
              </w:rPr>
            </w:pPr>
            <w:r w:rsidRPr="00003DFA">
              <w:rPr>
                <w:b/>
                <w:bCs/>
                <w:sz w:val="22"/>
                <w:szCs w:val="22"/>
              </w:rPr>
              <w:t>Annualized (over 5 years)</w:t>
            </w:r>
            <w:r w:rsidRPr="00003DFA">
              <w:rPr>
                <w:rStyle w:val="FootnoteReference"/>
                <w:b/>
                <w:bCs/>
                <w:szCs w:val="22"/>
              </w:rPr>
              <w:footnoteReference w:id="7"/>
            </w:r>
          </w:p>
        </w:tc>
      </w:tr>
      <w:tr w:rsidRPr="00003DFA" w:rsidR="00007A98" w:rsidTr="005939F0" w14:paraId="2F41A8B5" w14:textId="77777777">
        <w:trPr>
          <w:trHeight w:val="300"/>
        </w:trPr>
        <w:tc>
          <w:tcPr>
            <w:tcW w:w="5295" w:type="dxa"/>
            <w:shd w:val="clear" w:color="000000" w:fill="auto"/>
            <w:noWrap/>
            <w:vAlign w:val="bottom"/>
            <w:hideMark/>
          </w:tcPr>
          <w:p w:rsidRPr="00003DFA" w:rsidR="00007A98" w:rsidP="005939F0" w:rsidRDefault="00007A98" w14:paraId="44DA9A9C" w14:textId="77777777">
            <w:pPr>
              <w:rPr>
                <w:sz w:val="22"/>
                <w:szCs w:val="22"/>
              </w:rPr>
            </w:pPr>
            <w:r w:rsidRPr="00003DFA">
              <w:rPr>
                <w:sz w:val="22"/>
                <w:szCs w:val="22"/>
              </w:rPr>
              <w:t>Relocation Coordinator start-up costs</w:t>
            </w:r>
          </w:p>
        </w:tc>
        <w:tc>
          <w:tcPr>
            <w:tcW w:w="2340" w:type="dxa"/>
            <w:shd w:val="clear" w:color="000000" w:fill="auto"/>
            <w:noWrap/>
            <w:vAlign w:val="bottom"/>
            <w:hideMark/>
          </w:tcPr>
          <w:p w:rsidRPr="00003DFA" w:rsidR="00007A98" w:rsidP="005939F0" w:rsidRDefault="00007A98" w14:paraId="116A3E59" w14:textId="77777777">
            <w:pPr>
              <w:jc w:val="center"/>
              <w:rPr>
                <w:sz w:val="22"/>
                <w:szCs w:val="22"/>
              </w:rPr>
            </w:pPr>
            <w:r w:rsidRPr="00003DFA">
              <w:rPr>
                <w:sz w:val="22"/>
                <w:szCs w:val="22"/>
              </w:rPr>
              <w:t>$2,544,880</w:t>
            </w:r>
          </w:p>
        </w:tc>
        <w:tc>
          <w:tcPr>
            <w:tcW w:w="1620" w:type="dxa"/>
            <w:shd w:val="clear" w:color="000000" w:fill="auto"/>
            <w:noWrap/>
            <w:vAlign w:val="bottom"/>
            <w:hideMark/>
          </w:tcPr>
          <w:p w:rsidRPr="00003DFA" w:rsidR="00007A98" w:rsidP="005939F0" w:rsidRDefault="00007A98" w14:paraId="33E6907C" w14:textId="77777777">
            <w:pPr>
              <w:jc w:val="center"/>
              <w:rPr>
                <w:sz w:val="22"/>
                <w:szCs w:val="22"/>
              </w:rPr>
            </w:pPr>
            <w:r w:rsidRPr="00003DFA">
              <w:rPr>
                <w:sz w:val="22"/>
                <w:szCs w:val="22"/>
              </w:rPr>
              <w:t>$508,976</w:t>
            </w:r>
          </w:p>
        </w:tc>
      </w:tr>
      <w:tr w:rsidRPr="00003DFA" w:rsidR="00007A98" w:rsidTr="005939F0" w14:paraId="14B575CD" w14:textId="77777777">
        <w:trPr>
          <w:trHeight w:val="300"/>
        </w:trPr>
        <w:tc>
          <w:tcPr>
            <w:tcW w:w="5295" w:type="dxa"/>
            <w:shd w:val="clear" w:color="000000" w:fill="auto"/>
            <w:noWrap/>
            <w:vAlign w:val="bottom"/>
            <w:hideMark/>
          </w:tcPr>
          <w:p w:rsidRPr="00003DFA" w:rsidR="00007A98" w:rsidP="005939F0" w:rsidRDefault="00007A98" w14:paraId="04F2026C" w14:textId="77777777">
            <w:pPr>
              <w:rPr>
                <w:sz w:val="22"/>
                <w:szCs w:val="22"/>
              </w:rPr>
            </w:pPr>
            <w:r w:rsidRPr="00003DFA">
              <w:rPr>
                <w:sz w:val="22"/>
                <w:szCs w:val="22"/>
              </w:rPr>
              <w:t>Relocation Payment Clearinghouse start-up costs</w:t>
            </w:r>
          </w:p>
        </w:tc>
        <w:tc>
          <w:tcPr>
            <w:tcW w:w="2340" w:type="dxa"/>
            <w:shd w:val="clear" w:color="000000" w:fill="auto"/>
            <w:noWrap/>
            <w:vAlign w:val="bottom"/>
            <w:hideMark/>
          </w:tcPr>
          <w:p w:rsidRPr="00003DFA" w:rsidR="00007A98" w:rsidP="005939F0" w:rsidRDefault="00007A98" w14:paraId="53539478" w14:textId="77777777">
            <w:pPr>
              <w:jc w:val="center"/>
              <w:rPr>
                <w:sz w:val="22"/>
                <w:szCs w:val="22"/>
              </w:rPr>
            </w:pPr>
            <w:r w:rsidRPr="00003DFA">
              <w:rPr>
                <w:sz w:val="22"/>
                <w:szCs w:val="22"/>
              </w:rPr>
              <w:t>$1,001,721</w:t>
            </w:r>
          </w:p>
        </w:tc>
        <w:tc>
          <w:tcPr>
            <w:tcW w:w="1620" w:type="dxa"/>
            <w:shd w:val="clear" w:color="000000" w:fill="auto"/>
            <w:noWrap/>
            <w:vAlign w:val="bottom"/>
            <w:hideMark/>
          </w:tcPr>
          <w:p w:rsidRPr="00003DFA" w:rsidR="00007A98" w:rsidP="005939F0" w:rsidRDefault="00007A98" w14:paraId="48739204" w14:textId="77777777">
            <w:pPr>
              <w:jc w:val="center"/>
              <w:rPr>
                <w:sz w:val="22"/>
                <w:szCs w:val="22"/>
              </w:rPr>
            </w:pPr>
            <w:r w:rsidRPr="00003DFA">
              <w:rPr>
                <w:sz w:val="22"/>
                <w:szCs w:val="22"/>
              </w:rPr>
              <w:t>$200,344</w:t>
            </w:r>
          </w:p>
        </w:tc>
      </w:tr>
      <w:tr w:rsidRPr="00003DFA" w:rsidR="00007A98" w:rsidTr="005939F0" w14:paraId="4DF4A507" w14:textId="77777777">
        <w:trPr>
          <w:trHeight w:val="315"/>
        </w:trPr>
        <w:tc>
          <w:tcPr>
            <w:tcW w:w="5295" w:type="dxa"/>
            <w:shd w:val="clear" w:color="000000" w:fill="auto"/>
            <w:noWrap/>
            <w:vAlign w:val="bottom"/>
            <w:hideMark/>
          </w:tcPr>
          <w:p w:rsidRPr="00003DFA" w:rsidR="00007A98" w:rsidP="005939F0" w:rsidRDefault="00007A98" w14:paraId="107504DB" w14:textId="77777777">
            <w:pPr>
              <w:rPr>
                <w:sz w:val="22"/>
                <w:szCs w:val="22"/>
              </w:rPr>
            </w:pPr>
            <w:r w:rsidRPr="00003DFA">
              <w:rPr>
                <w:sz w:val="22"/>
                <w:szCs w:val="22"/>
              </w:rPr>
              <w:t>Relocation Coordinator and Relocation Payment Clearinghouse combined overhead start-up costs</w:t>
            </w:r>
          </w:p>
        </w:tc>
        <w:tc>
          <w:tcPr>
            <w:tcW w:w="2340" w:type="dxa"/>
            <w:shd w:val="clear" w:color="000000" w:fill="auto"/>
            <w:noWrap/>
            <w:vAlign w:val="bottom"/>
            <w:hideMark/>
          </w:tcPr>
          <w:p w:rsidRPr="00003DFA" w:rsidR="00007A98" w:rsidP="005939F0" w:rsidRDefault="00007A98" w14:paraId="7447EEB1" w14:textId="77777777">
            <w:pPr>
              <w:jc w:val="center"/>
              <w:rPr>
                <w:sz w:val="22"/>
                <w:szCs w:val="22"/>
              </w:rPr>
            </w:pPr>
            <w:r w:rsidRPr="00003DFA">
              <w:rPr>
                <w:sz w:val="22"/>
                <w:szCs w:val="22"/>
              </w:rPr>
              <w:t>$2,019,126</w:t>
            </w:r>
          </w:p>
        </w:tc>
        <w:tc>
          <w:tcPr>
            <w:tcW w:w="1620" w:type="dxa"/>
            <w:shd w:val="clear" w:color="000000" w:fill="auto"/>
            <w:noWrap/>
            <w:vAlign w:val="bottom"/>
            <w:hideMark/>
          </w:tcPr>
          <w:p w:rsidRPr="00003DFA" w:rsidR="00007A98" w:rsidP="005939F0" w:rsidRDefault="00007A98" w14:paraId="069CF1CB" w14:textId="77777777">
            <w:pPr>
              <w:jc w:val="center"/>
              <w:rPr>
                <w:sz w:val="22"/>
                <w:szCs w:val="22"/>
              </w:rPr>
            </w:pPr>
            <w:r w:rsidRPr="00003DFA">
              <w:rPr>
                <w:sz w:val="22"/>
                <w:szCs w:val="22"/>
              </w:rPr>
              <w:t>$403,825</w:t>
            </w:r>
          </w:p>
        </w:tc>
      </w:tr>
    </w:tbl>
    <w:p w:rsidRPr="00003DFA" w:rsidR="00007A98" w:rsidP="00007A98" w:rsidRDefault="00007A98" w14:paraId="3D6BE4CB" w14:textId="77777777">
      <w:pPr>
        <w:rPr>
          <w:b/>
          <w:bCs/>
          <w:sz w:val="22"/>
          <w:szCs w:val="22"/>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310"/>
        <w:gridCol w:w="2340"/>
        <w:gridCol w:w="1620"/>
      </w:tblGrid>
      <w:tr w:rsidRPr="00003DFA" w:rsidR="00007A98" w:rsidTr="005939F0" w14:paraId="64DE0D3F" w14:textId="77777777">
        <w:trPr>
          <w:trHeight w:val="300"/>
        </w:trPr>
        <w:tc>
          <w:tcPr>
            <w:tcW w:w="9270" w:type="dxa"/>
            <w:gridSpan w:val="3"/>
            <w:shd w:val="clear" w:color="auto" w:fill="auto"/>
            <w:noWrap/>
            <w:tcMar>
              <w:top w:w="0" w:type="dxa"/>
              <w:left w:w="108" w:type="dxa"/>
              <w:bottom w:w="0" w:type="dxa"/>
              <w:right w:w="108" w:type="dxa"/>
            </w:tcMar>
            <w:vAlign w:val="bottom"/>
          </w:tcPr>
          <w:p w:rsidRPr="00003DFA" w:rsidR="00007A98" w:rsidP="005939F0" w:rsidRDefault="00007A98" w14:paraId="6F35251F" w14:textId="77777777">
            <w:pPr>
              <w:jc w:val="center"/>
              <w:rPr>
                <w:b/>
                <w:bCs/>
                <w:color w:val="000000"/>
                <w:sz w:val="22"/>
                <w:szCs w:val="22"/>
              </w:rPr>
            </w:pPr>
            <w:r w:rsidRPr="00003DFA">
              <w:rPr>
                <w:b/>
                <w:bCs/>
                <w:sz w:val="22"/>
                <w:szCs w:val="22"/>
              </w:rPr>
              <w:t>OPERATION AND MAINTENANCE (O&amp;M) COSTS</w:t>
            </w:r>
          </w:p>
        </w:tc>
      </w:tr>
      <w:tr w:rsidRPr="00003DFA" w:rsidR="00007A98" w:rsidTr="005939F0" w14:paraId="549E96DE" w14:textId="77777777">
        <w:trPr>
          <w:trHeight w:val="300"/>
        </w:trPr>
        <w:tc>
          <w:tcPr>
            <w:tcW w:w="5310" w:type="dxa"/>
            <w:shd w:val="clear" w:color="auto" w:fill="auto"/>
            <w:noWrap/>
            <w:tcMar>
              <w:top w:w="0" w:type="dxa"/>
              <w:left w:w="108" w:type="dxa"/>
              <w:bottom w:w="0" w:type="dxa"/>
              <w:right w:w="108" w:type="dxa"/>
            </w:tcMar>
            <w:vAlign w:val="bottom"/>
            <w:hideMark/>
          </w:tcPr>
          <w:p w:rsidRPr="00003DFA" w:rsidR="00007A98" w:rsidP="005939F0" w:rsidRDefault="00007A98" w14:paraId="35AF14CF" w14:textId="77777777">
            <w:pPr>
              <w:rPr>
                <w:b/>
                <w:bCs/>
                <w:color w:val="000000"/>
                <w:sz w:val="22"/>
                <w:szCs w:val="22"/>
              </w:rPr>
            </w:pPr>
            <w:r w:rsidRPr="00003DFA">
              <w:rPr>
                <w:b/>
                <w:bCs/>
                <w:color w:val="000000"/>
                <w:sz w:val="22"/>
                <w:szCs w:val="22"/>
              </w:rPr>
              <w:t> </w:t>
            </w:r>
          </w:p>
        </w:tc>
        <w:tc>
          <w:tcPr>
            <w:tcW w:w="2340" w:type="dxa"/>
            <w:shd w:val="clear" w:color="auto" w:fill="auto"/>
            <w:noWrap/>
            <w:tcMar>
              <w:top w:w="0" w:type="dxa"/>
              <w:left w:w="108" w:type="dxa"/>
              <w:bottom w:w="0" w:type="dxa"/>
              <w:right w:w="108" w:type="dxa"/>
            </w:tcMar>
            <w:vAlign w:val="bottom"/>
            <w:hideMark/>
          </w:tcPr>
          <w:p w:rsidRPr="00003DFA" w:rsidR="00007A98" w:rsidP="005939F0" w:rsidRDefault="00007A98" w14:paraId="18BE2AC2" w14:textId="77777777">
            <w:pPr>
              <w:jc w:val="center"/>
              <w:rPr>
                <w:b/>
                <w:bCs/>
                <w:color w:val="000000"/>
                <w:sz w:val="22"/>
                <w:szCs w:val="22"/>
              </w:rPr>
            </w:pPr>
            <w:r w:rsidRPr="00003DFA">
              <w:rPr>
                <w:b/>
                <w:bCs/>
                <w:color w:val="000000"/>
                <w:sz w:val="22"/>
                <w:szCs w:val="22"/>
              </w:rPr>
              <w:t>5-Year Total</w:t>
            </w:r>
          </w:p>
          <w:p w:rsidRPr="00003DFA" w:rsidR="00007A98" w:rsidP="005939F0" w:rsidRDefault="00007A98" w14:paraId="527B1AFC" w14:textId="77777777">
            <w:pPr>
              <w:jc w:val="center"/>
              <w:rPr>
                <w:b/>
                <w:bCs/>
                <w:color w:val="000000"/>
                <w:sz w:val="22"/>
                <w:szCs w:val="22"/>
              </w:rPr>
            </w:pPr>
            <w:r w:rsidRPr="00003DFA">
              <w:rPr>
                <w:b/>
                <w:bCs/>
                <w:color w:val="000000"/>
                <w:sz w:val="22"/>
                <w:szCs w:val="22"/>
              </w:rPr>
              <w:t>O&amp;M Costs</w:t>
            </w:r>
          </w:p>
        </w:tc>
        <w:tc>
          <w:tcPr>
            <w:tcW w:w="1620" w:type="dxa"/>
            <w:shd w:val="clear" w:color="auto" w:fill="auto"/>
            <w:noWrap/>
            <w:tcMar>
              <w:top w:w="0" w:type="dxa"/>
              <w:left w:w="108" w:type="dxa"/>
              <w:bottom w:w="0" w:type="dxa"/>
              <w:right w:w="108" w:type="dxa"/>
            </w:tcMar>
            <w:vAlign w:val="bottom"/>
            <w:hideMark/>
          </w:tcPr>
          <w:p w:rsidRPr="00003DFA" w:rsidR="00007A98" w:rsidP="005939F0" w:rsidRDefault="00007A98" w14:paraId="57C70C76" w14:textId="77777777">
            <w:pPr>
              <w:jc w:val="center"/>
              <w:rPr>
                <w:b/>
                <w:bCs/>
                <w:color w:val="000000"/>
                <w:sz w:val="22"/>
                <w:szCs w:val="22"/>
              </w:rPr>
            </w:pPr>
            <w:r w:rsidRPr="00003DFA">
              <w:rPr>
                <w:b/>
                <w:bCs/>
                <w:color w:val="000000"/>
                <w:sz w:val="22"/>
                <w:szCs w:val="22"/>
              </w:rPr>
              <w:t xml:space="preserve">Annualized </w:t>
            </w:r>
          </w:p>
          <w:p w:rsidRPr="00003DFA" w:rsidR="00007A98" w:rsidP="005939F0" w:rsidRDefault="00007A98" w14:paraId="0A35FFAF" w14:textId="77777777">
            <w:pPr>
              <w:jc w:val="center"/>
              <w:rPr>
                <w:b/>
                <w:bCs/>
                <w:color w:val="000000"/>
                <w:sz w:val="22"/>
                <w:szCs w:val="22"/>
              </w:rPr>
            </w:pPr>
            <w:r w:rsidRPr="00003DFA">
              <w:rPr>
                <w:b/>
                <w:bCs/>
                <w:sz w:val="22"/>
                <w:szCs w:val="22"/>
              </w:rPr>
              <w:t>(over 5 years)</w:t>
            </w:r>
          </w:p>
        </w:tc>
      </w:tr>
      <w:tr w:rsidRPr="00003DFA" w:rsidR="00007A98" w:rsidTr="005939F0" w14:paraId="1D09B2E4" w14:textId="77777777">
        <w:trPr>
          <w:trHeight w:val="288"/>
        </w:trPr>
        <w:tc>
          <w:tcPr>
            <w:tcW w:w="5310" w:type="dxa"/>
            <w:shd w:val="clear" w:color="auto" w:fill="auto"/>
            <w:noWrap/>
            <w:tcMar>
              <w:top w:w="0" w:type="dxa"/>
              <w:left w:w="108" w:type="dxa"/>
              <w:bottom w:w="0" w:type="dxa"/>
              <w:right w:w="108" w:type="dxa"/>
            </w:tcMar>
            <w:vAlign w:val="bottom"/>
            <w:hideMark/>
          </w:tcPr>
          <w:p w:rsidRPr="00003DFA" w:rsidR="00007A98" w:rsidP="005939F0" w:rsidRDefault="00007A98" w14:paraId="630EA8A0" w14:textId="77777777">
            <w:pPr>
              <w:rPr>
                <w:color w:val="000000"/>
                <w:sz w:val="22"/>
                <w:szCs w:val="22"/>
              </w:rPr>
            </w:pPr>
            <w:r w:rsidRPr="00003DFA">
              <w:rPr>
                <w:sz w:val="22"/>
                <w:szCs w:val="22"/>
              </w:rPr>
              <w:t>Relocation Coordinator O&amp;M costs</w:t>
            </w:r>
          </w:p>
        </w:tc>
        <w:tc>
          <w:tcPr>
            <w:tcW w:w="2340" w:type="dxa"/>
            <w:shd w:val="clear" w:color="auto" w:fill="auto"/>
            <w:noWrap/>
            <w:tcMar>
              <w:top w:w="0" w:type="dxa"/>
              <w:left w:w="108" w:type="dxa"/>
              <w:bottom w:w="0" w:type="dxa"/>
              <w:right w:w="108" w:type="dxa"/>
            </w:tcMar>
            <w:vAlign w:val="bottom"/>
            <w:hideMark/>
          </w:tcPr>
          <w:p w:rsidRPr="00003DFA" w:rsidR="00007A98" w:rsidP="005939F0" w:rsidRDefault="00007A98" w14:paraId="4467E422" w14:textId="77777777">
            <w:pPr>
              <w:jc w:val="center"/>
              <w:rPr>
                <w:color w:val="000000"/>
                <w:sz w:val="22"/>
                <w:szCs w:val="22"/>
              </w:rPr>
            </w:pPr>
            <w:r w:rsidRPr="00003DFA">
              <w:rPr>
                <w:color w:val="000000"/>
                <w:sz w:val="22"/>
                <w:szCs w:val="22"/>
              </w:rPr>
              <w:t>$23,071,980</w:t>
            </w:r>
          </w:p>
        </w:tc>
        <w:tc>
          <w:tcPr>
            <w:tcW w:w="1620" w:type="dxa"/>
            <w:shd w:val="clear" w:color="auto" w:fill="auto"/>
            <w:noWrap/>
            <w:tcMar>
              <w:top w:w="0" w:type="dxa"/>
              <w:left w:w="108" w:type="dxa"/>
              <w:bottom w:w="0" w:type="dxa"/>
              <w:right w:w="108" w:type="dxa"/>
            </w:tcMar>
            <w:vAlign w:val="bottom"/>
            <w:hideMark/>
          </w:tcPr>
          <w:p w:rsidRPr="00003DFA" w:rsidR="00007A98" w:rsidP="005939F0" w:rsidRDefault="00007A98" w14:paraId="60A7B64E" w14:textId="77777777">
            <w:pPr>
              <w:jc w:val="center"/>
              <w:rPr>
                <w:color w:val="000000"/>
                <w:sz w:val="22"/>
                <w:szCs w:val="22"/>
              </w:rPr>
            </w:pPr>
            <w:r w:rsidRPr="00003DFA">
              <w:rPr>
                <w:color w:val="000000"/>
                <w:sz w:val="22"/>
                <w:szCs w:val="22"/>
              </w:rPr>
              <w:t>$4,614,396</w:t>
            </w:r>
          </w:p>
        </w:tc>
      </w:tr>
      <w:tr w:rsidRPr="00003DFA" w:rsidR="00007A98" w:rsidTr="005939F0" w14:paraId="3FD90434" w14:textId="77777777">
        <w:trPr>
          <w:trHeight w:val="288"/>
        </w:trPr>
        <w:tc>
          <w:tcPr>
            <w:tcW w:w="5310" w:type="dxa"/>
            <w:shd w:val="clear" w:color="auto" w:fill="auto"/>
            <w:noWrap/>
            <w:tcMar>
              <w:top w:w="0" w:type="dxa"/>
              <w:left w:w="108" w:type="dxa"/>
              <w:bottom w:w="0" w:type="dxa"/>
              <w:right w:w="108" w:type="dxa"/>
            </w:tcMar>
            <w:vAlign w:val="bottom"/>
            <w:hideMark/>
          </w:tcPr>
          <w:p w:rsidRPr="00003DFA" w:rsidR="00007A98" w:rsidP="005939F0" w:rsidRDefault="00007A98" w14:paraId="1820A587" w14:textId="77777777">
            <w:pPr>
              <w:rPr>
                <w:color w:val="000000"/>
                <w:sz w:val="22"/>
                <w:szCs w:val="22"/>
              </w:rPr>
            </w:pPr>
            <w:r w:rsidRPr="00003DFA">
              <w:rPr>
                <w:sz w:val="22"/>
                <w:szCs w:val="22"/>
              </w:rPr>
              <w:t>Relocation Payment Clearinghouse O&amp;M costs</w:t>
            </w:r>
          </w:p>
        </w:tc>
        <w:tc>
          <w:tcPr>
            <w:tcW w:w="2340" w:type="dxa"/>
            <w:shd w:val="clear" w:color="auto" w:fill="auto"/>
            <w:noWrap/>
            <w:tcMar>
              <w:top w:w="0" w:type="dxa"/>
              <w:left w:w="108" w:type="dxa"/>
              <w:bottom w:w="0" w:type="dxa"/>
              <w:right w:w="108" w:type="dxa"/>
            </w:tcMar>
            <w:vAlign w:val="bottom"/>
            <w:hideMark/>
          </w:tcPr>
          <w:p w:rsidRPr="00003DFA" w:rsidR="00007A98" w:rsidP="005939F0" w:rsidRDefault="00007A98" w14:paraId="377AF792" w14:textId="77777777">
            <w:pPr>
              <w:jc w:val="center"/>
              <w:rPr>
                <w:color w:val="000000"/>
                <w:sz w:val="22"/>
                <w:szCs w:val="22"/>
              </w:rPr>
            </w:pPr>
            <w:r w:rsidRPr="00003DFA">
              <w:rPr>
                <w:color w:val="000000"/>
                <w:sz w:val="22"/>
                <w:szCs w:val="22"/>
              </w:rPr>
              <w:t>$14,861,467</w:t>
            </w:r>
          </w:p>
        </w:tc>
        <w:tc>
          <w:tcPr>
            <w:tcW w:w="1620" w:type="dxa"/>
            <w:shd w:val="clear" w:color="auto" w:fill="auto"/>
            <w:noWrap/>
            <w:tcMar>
              <w:top w:w="0" w:type="dxa"/>
              <w:left w:w="108" w:type="dxa"/>
              <w:bottom w:w="0" w:type="dxa"/>
              <w:right w:w="108" w:type="dxa"/>
            </w:tcMar>
            <w:vAlign w:val="bottom"/>
            <w:hideMark/>
          </w:tcPr>
          <w:p w:rsidRPr="00003DFA" w:rsidR="00007A98" w:rsidP="005939F0" w:rsidRDefault="00007A98" w14:paraId="0378797B" w14:textId="77777777">
            <w:pPr>
              <w:jc w:val="center"/>
              <w:rPr>
                <w:color w:val="000000"/>
                <w:sz w:val="22"/>
                <w:szCs w:val="22"/>
              </w:rPr>
            </w:pPr>
            <w:r w:rsidRPr="00003DFA">
              <w:rPr>
                <w:color w:val="000000"/>
                <w:sz w:val="22"/>
                <w:szCs w:val="22"/>
              </w:rPr>
              <w:t>$2,972,293</w:t>
            </w:r>
          </w:p>
        </w:tc>
      </w:tr>
      <w:tr w:rsidRPr="00003DFA" w:rsidR="00007A98" w:rsidTr="005939F0" w14:paraId="5D8CDDD0" w14:textId="77777777">
        <w:trPr>
          <w:trHeight w:val="300"/>
        </w:trPr>
        <w:tc>
          <w:tcPr>
            <w:tcW w:w="5310" w:type="dxa"/>
            <w:shd w:val="clear" w:color="auto" w:fill="auto"/>
            <w:noWrap/>
            <w:tcMar>
              <w:top w:w="0" w:type="dxa"/>
              <w:left w:w="108" w:type="dxa"/>
              <w:bottom w:w="0" w:type="dxa"/>
              <w:right w:w="108" w:type="dxa"/>
            </w:tcMar>
            <w:vAlign w:val="bottom"/>
            <w:hideMark/>
          </w:tcPr>
          <w:p w:rsidRPr="00003DFA" w:rsidR="00007A98" w:rsidP="005939F0" w:rsidRDefault="00007A98" w14:paraId="0383124A" w14:textId="77777777">
            <w:pPr>
              <w:rPr>
                <w:color w:val="000000"/>
                <w:sz w:val="22"/>
                <w:szCs w:val="22"/>
              </w:rPr>
            </w:pPr>
            <w:r w:rsidRPr="00003DFA">
              <w:rPr>
                <w:sz w:val="22"/>
                <w:szCs w:val="22"/>
              </w:rPr>
              <w:t xml:space="preserve">Relocation Coordinator and Relocation Payment Clearinghouse </w:t>
            </w:r>
            <w:proofErr w:type="gramStart"/>
            <w:r w:rsidRPr="00003DFA">
              <w:rPr>
                <w:sz w:val="22"/>
                <w:szCs w:val="22"/>
              </w:rPr>
              <w:t>combined</w:t>
            </w:r>
            <w:proofErr w:type="gramEnd"/>
            <w:r w:rsidRPr="00003DFA">
              <w:rPr>
                <w:sz w:val="22"/>
                <w:szCs w:val="22"/>
              </w:rPr>
              <w:t xml:space="preserve"> O&amp;M o</w:t>
            </w:r>
            <w:r w:rsidRPr="00003DFA">
              <w:rPr>
                <w:color w:val="000000"/>
                <w:sz w:val="22"/>
                <w:szCs w:val="22"/>
              </w:rPr>
              <w:t>verhead costs</w:t>
            </w:r>
          </w:p>
        </w:tc>
        <w:tc>
          <w:tcPr>
            <w:tcW w:w="2340" w:type="dxa"/>
            <w:shd w:val="clear" w:color="auto" w:fill="auto"/>
            <w:noWrap/>
            <w:tcMar>
              <w:top w:w="0" w:type="dxa"/>
              <w:left w:w="108" w:type="dxa"/>
              <w:bottom w:w="0" w:type="dxa"/>
              <w:right w:w="108" w:type="dxa"/>
            </w:tcMar>
            <w:vAlign w:val="bottom"/>
            <w:hideMark/>
          </w:tcPr>
          <w:p w:rsidRPr="00003DFA" w:rsidR="00007A98" w:rsidP="005939F0" w:rsidRDefault="00007A98" w14:paraId="56615ABA" w14:textId="77777777">
            <w:pPr>
              <w:jc w:val="center"/>
              <w:rPr>
                <w:color w:val="000000"/>
                <w:sz w:val="22"/>
                <w:szCs w:val="22"/>
              </w:rPr>
            </w:pPr>
            <w:r w:rsidRPr="00003DFA">
              <w:rPr>
                <w:color w:val="000000"/>
                <w:sz w:val="22"/>
                <w:szCs w:val="22"/>
              </w:rPr>
              <w:t>$8,857,596</w:t>
            </w:r>
          </w:p>
        </w:tc>
        <w:tc>
          <w:tcPr>
            <w:tcW w:w="1620" w:type="dxa"/>
            <w:shd w:val="clear" w:color="auto" w:fill="auto"/>
            <w:noWrap/>
            <w:tcMar>
              <w:top w:w="0" w:type="dxa"/>
              <w:left w:w="108" w:type="dxa"/>
              <w:bottom w:w="0" w:type="dxa"/>
              <w:right w:w="108" w:type="dxa"/>
            </w:tcMar>
            <w:vAlign w:val="bottom"/>
            <w:hideMark/>
          </w:tcPr>
          <w:p w:rsidRPr="00003DFA" w:rsidR="00007A98" w:rsidP="005939F0" w:rsidRDefault="00007A98" w14:paraId="6FE27419" w14:textId="77777777">
            <w:pPr>
              <w:jc w:val="center"/>
              <w:rPr>
                <w:color w:val="000000"/>
                <w:sz w:val="22"/>
                <w:szCs w:val="22"/>
              </w:rPr>
            </w:pPr>
            <w:r w:rsidRPr="00003DFA">
              <w:rPr>
                <w:color w:val="000000"/>
                <w:sz w:val="22"/>
                <w:szCs w:val="22"/>
              </w:rPr>
              <w:t>$1,771,519</w:t>
            </w:r>
          </w:p>
        </w:tc>
      </w:tr>
    </w:tbl>
    <w:p w:rsidRPr="00003DFA" w:rsidR="00007A98" w:rsidP="00007A98" w:rsidRDefault="00007A98" w14:paraId="002662C9" w14:textId="77777777">
      <w:pPr>
        <w:rPr>
          <w:b/>
          <w:bCs/>
          <w:sz w:val="22"/>
          <w:szCs w:val="22"/>
        </w:rPr>
      </w:pPr>
    </w:p>
    <w:p w:rsidRPr="00003DFA" w:rsidR="00007A98" w:rsidP="00007A98" w:rsidRDefault="00007A98" w14:paraId="5BA873E9" w14:textId="77777777">
      <w:pPr>
        <w:rPr>
          <w:bCs/>
          <w:sz w:val="22"/>
          <w:szCs w:val="22"/>
        </w:rPr>
      </w:pPr>
      <w:r w:rsidRPr="00003DFA">
        <w:rPr>
          <w:bCs/>
          <w:sz w:val="22"/>
          <w:szCs w:val="22"/>
        </w:rPr>
        <w:t>TOTAL ESTIMATED ANNUAL CAPITAL AND START-UP COSTS:  $1,113,145.</w:t>
      </w:r>
    </w:p>
    <w:p w:rsidRPr="00003DFA" w:rsidR="00007A98" w:rsidP="00007A98" w:rsidRDefault="00007A98" w14:paraId="6873A901" w14:textId="77777777">
      <w:pPr>
        <w:rPr>
          <w:bCs/>
          <w:sz w:val="22"/>
          <w:szCs w:val="22"/>
        </w:rPr>
      </w:pPr>
    </w:p>
    <w:p w:rsidRPr="00003DFA" w:rsidR="00007A98" w:rsidP="00007A98" w:rsidRDefault="00007A98" w14:paraId="38278127" w14:textId="77777777">
      <w:pPr>
        <w:ind w:right="-180"/>
        <w:rPr>
          <w:bCs/>
          <w:sz w:val="22"/>
          <w:szCs w:val="22"/>
        </w:rPr>
      </w:pPr>
      <w:r w:rsidRPr="00003DFA">
        <w:rPr>
          <w:bCs/>
          <w:sz w:val="22"/>
          <w:szCs w:val="22"/>
        </w:rPr>
        <w:t>TOTAL ESTIMATED ANNUAL OPERATION AND MAINTENACE (O&amp;M) COSTS:  $9,358,208.</w:t>
      </w:r>
    </w:p>
    <w:p w:rsidRPr="00003DFA" w:rsidR="00007A98" w:rsidP="00007A98" w:rsidRDefault="00007A98" w14:paraId="5E927D53" w14:textId="77777777">
      <w:pPr>
        <w:pStyle w:val="xxmsonormal"/>
        <w:rPr>
          <w:rFonts w:ascii="Times New Roman" w:hAnsi="Times New Roman" w:cs="Times New Roman"/>
          <w:color w:val="000000"/>
        </w:rPr>
      </w:pPr>
    </w:p>
    <w:p w:rsidRPr="00003DFA" w:rsidR="00007A98" w:rsidP="00007A98" w:rsidRDefault="00007A98" w14:paraId="34DEAFEC" w14:textId="77777777">
      <w:pPr>
        <w:pStyle w:val="xxmsonormal"/>
        <w:rPr>
          <w:rFonts w:ascii="Times New Roman" w:hAnsi="Times New Roman" w:cs="Times New Roman"/>
          <w:color w:val="000000"/>
        </w:rPr>
      </w:pPr>
      <w:r w:rsidRPr="00003DFA">
        <w:rPr>
          <w:rFonts w:ascii="Times New Roman" w:hAnsi="Times New Roman" w:cs="Times New Roman"/>
          <w:color w:val="000000"/>
        </w:rPr>
        <w:t>In addition, the Commission expects that the Relocation Payment Clearinghouse will require the assistance of a third-party firm to independently audit and verify, on an annual basis, the Relocation Payment Clearinghouse’s compliance with privacy and information security requirements, whose reports it will submit to the Wireless Telecommunications Bureau.  The Commission estimates that the Relocation Payment Clearinghouse will require 240</w:t>
      </w:r>
      <w:r w:rsidRPr="00003DFA">
        <w:rPr>
          <w:rFonts w:ascii="Times New Roman" w:hAnsi="Times New Roman" w:cs="Times New Roman"/>
          <w:color w:val="FF0000"/>
        </w:rPr>
        <w:t xml:space="preserve"> </w:t>
      </w:r>
      <w:r w:rsidRPr="00003DFA">
        <w:rPr>
          <w:rFonts w:ascii="Times New Roman" w:hAnsi="Times New Roman" w:cs="Times New Roman"/>
          <w:color w:val="000000"/>
        </w:rPr>
        <w:t xml:space="preserve">hours of time from an outside consulting firm </w:t>
      </w:r>
      <w:r w:rsidRPr="00003DFA">
        <w:rPr>
          <w:rFonts w:ascii="Times New Roman" w:hAnsi="Times New Roman" w:cs="Times New Roman"/>
        </w:rPr>
        <w:t>annually for this work,</w:t>
      </w:r>
      <w:r w:rsidRPr="00003DFA">
        <w:rPr>
          <w:rFonts w:ascii="Times New Roman" w:hAnsi="Times New Roman" w:cs="Times New Roman"/>
          <w:color w:val="FF0000"/>
        </w:rPr>
        <w:t xml:space="preserve"> </w:t>
      </w:r>
      <w:r w:rsidRPr="00003DFA">
        <w:rPr>
          <w:rFonts w:ascii="Times New Roman" w:hAnsi="Times New Roman" w:cs="Times New Roman"/>
          <w:color w:val="000000"/>
        </w:rPr>
        <w:t>at a rate of $325 per hour:</w:t>
      </w:r>
    </w:p>
    <w:p w:rsidRPr="00003DFA" w:rsidR="00007A98" w:rsidP="00007A98" w:rsidRDefault="00007A98" w14:paraId="5E0FB13F" w14:textId="77777777">
      <w:pPr>
        <w:pStyle w:val="xxmsonormal"/>
        <w:rPr>
          <w:rFonts w:ascii="Times New Roman" w:hAnsi="Times New Roman" w:cs="Times New Roman"/>
          <w:color w:val="000000"/>
        </w:rPr>
      </w:pPr>
    </w:p>
    <w:p w:rsidRPr="00003DFA" w:rsidR="00007A98" w:rsidP="00007A98" w:rsidRDefault="00007A98" w14:paraId="1B0FA6CA" w14:textId="77777777">
      <w:pPr>
        <w:pStyle w:val="xxmsonormal"/>
        <w:rPr>
          <w:rFonts w:ascii="Times New Roman" w:hAnsi="Times New Roman" w:cs="Times New Roman"/>
        </w:rPr>
      </w:pPr>
      <w:r w:rsidRPr="00003DFA">
        <w:rPr>
          <w:rFonts w:ascii="Times New Roman" w:hAnsi="Times New Roman" w:cs="Times New Roman"/>
        </w:rPr>
        <w:t>1 consultant at $325/hour x 240 hours per response x 3 estimated respondents/responses = $234,000.</w:t>
      </w:r>
    </w:p>
    <w:p w:rsidRPr="00003DFA" w:rsidR="00637B90" w:rsidP="00444F57" w:rsidRDefault="00444F57" w14:paraId="4F691532" w14:textId="7D765455">
      <w:pPr>
        <w:tabs>
          <w:tab w:val="left" w:pos="3965"/>
        </w:tabs>
        <w:rPr>
          <w:sz w:val="22"/>
          <w:szCs w:val="22"/>
        </w:rPr>
      </w:pPr>
      <w:r w:rsidRPr="00003DFA">
        <w:rPr>
          <w:sz w:val="22"/>
          <w:szCs w:val="22"/>
        </w:rPr>
        <w:tab/>
      </w:r>
    </w:p>
    <w:p w:rsidRPr="00003DFA" w:rsidR="004118EF" w:rsidP="00632983" w:rsidRDefault="00BC323C" w14:paraId="77EDB0BF" w14:textId="1A1311A1">
      <w:pPr>
        <w:tabs>
          <w:tab w:val="left" w:pos="360"/>
        </w:tabs>
        <w:rPr>
          <w:b/>
          <w:sz w:val="22"/>
          <w:szCs w:val="22"/>
        </w:rPr>
      </w:pPr>
      <w:r w:rsidRPr="00003DFA">
        <w:rPr>
          <w:b/>
          <w:sz w:val="22"/>
          <w:szCs w:val="22"/>
        </w:rPr>
        <w:t>Total Annual External Cost:  $</w:t>
      </w:r>
      <w:r w:rsidR="00607BB9">
        <w:rPr>
          <w:b/>
          <w:sz w:val="22"/>
          <w:szCs w:val="22"/>
        </w:rPr>
        <w:t>10,705,353</w:t>
      </w:r>
      <w:r w:rsidRPr="00003DFA">
        <w:rPr>
          <w:b/>
          <w:sz w:val="22"/>
          <w:szCs w:val="22"/>
        </w:rPr>
        <w:t>.</w:t>
      </w:r>
    </w:p>
    <w:p w:rsidR="00EA5B80" w:rsidP="00632983" w:rsidRDefault="00EA5B80" w14:paraId="03A96F91" w14:textId="77777777">
      <w:pPr>
        <w:tabs>
          <w:tab w:val="left" w:pos="360"/>
        </w:tabs>
        <w:rPr>
          <w:sz w:val="22"/>
          <w:szCs w:val="22"/>
        </w:rPr>
      </w:pPr>
    </w:p>
    <w:p w:rsidR="005E2162" w:rsidP="00632983" w:rsidRDefault="00632983" w14:paraId="662A5FA0" w14:textId="4EC3E343">
      <w:pPr>
        <w:tabs>
          <w:tab w:val="left" w:pos="360"/>
        </w:tabs>
        <w:rPr>
          <w:sz w:val="22"/>
          <w:szCs w:val="22"/>
        </w:rPr>
      </w:pPr>
      <w:r>
        <w:rPr>
          <w:sz w:val="22"/>
          <w:szCs w:val="22"/>
        </w:rPr>
        <w:t>14.</w:t>
      </w:r>
      <w:r>
        <w:rPr>
          <w:sz w:val="22"/>
          <w:szCs w:val="22"/>
        </w:rPr>
        <w:tab/>
      </w:r>
      <w:r w:rsidRPr="008854E4">
        <w:rPr>
          <w:i/>
          <w:sz w:val="22"/>
          <w:szCs w:val="22"/>
        </w:rPr>
        <w:t>Estimates of the annual cost burden to the Commission</w:t>
      </w:r>
      <w:r>
        <w:rPr>
          <w:sz w:val="22"/>
          <w:szCs w:val="22"/>
        </w:rPr>
        <w:t xml:space="preserve">.  The new information collection will be administered by Commission attorneys and engineers.  Based on its experience managing similar collections, the Commission estimates that its costs for administering this collection will be as follows, and does not envision other costs, e.g., personnel or other resources from other government agencies </w:t>
      </w:r>
      <w:r w:rsidR="00092CAE">
        <w:rPr>
          <w:sz w:val="22"/>
          <w:szCs w:val="22"/>
        </w:rPr>
        <w:t>o</w:t>
      </w:r>
      <w:r>
        <w:rPr>
          <w:sz w:val="22"/>
          <w:szCs w:val="22"/>
        </w:rPr>
        <w:t>r from the private sector:</w:t>
      </w:r>
    </w:p>
    <w:p w:rsidR="005E2162" w:rsidP="00632983" w:rsidRDefault="005E2162" w14:paraId="4FAAEF22" w14:textId="77777777">
      <w:pPr>
        <w:tabs>
          <w:tab w:val="left" w:pos="360"/>
        </w:tabs>
        <w:rPr>
          <w:i/>
          <w:sz w:val="22"/>
          <w:szCs w:val="22"/>
          <w:u w:val="single"/>
        </w:rPr>
      </w:pPr>
    </w:p>
    <w:p w:rsidR="00632983" w:rsidP="005E2162" w:rsidRDefault="00632983" w14:paraId="1F1F0A7D" w14:textId="2F36FF4E">
      <w:pPr>
        <w:tabs>
          <w:tab w:val="left" w:pos="360"/>
        </w:tabs>
        <w:ind w:left="360"/>
        <w:rPr>
          <w:i/>
          <w:sz w:val="22"/>
          <w:szCs w:val="22"/>
          <w:u w:val="single"/>
        </w:rPr>
      </w:pPr>
      <w:r w:rsidRPr="005E2162">
        <w:rPr>
          <w:i/>
          <w:sz w:val="22"/>
          <w:szCs w:val="22"/>
          <w:u w:val="single"/>
        </w:rPr>
        <w:t>Relocation Payment Clearinghouse</w:t>
      </w:r>
    </w:p>
    <w:p w:rsidR="008854E4" w:rsidP="005E2162" w:rsidRDefault="008854E4" w14:paraId="6BED1D70" w14:textId="028F442F">
      <w:pPr>
        <w:tabs>
          <w:tab w:val="left" w:pos="360"/>
        </w:tabs>
        <w:ind w:left="360"/>
        <w:rPr>
          <w:i/>
          <w:sz w:val="22"/>
          <w:szCs w:val="22"/>
          <w:u w:val="single"/>
        </w:rPr>
      </w:pPr>
    </w:p>
    <w:p w:rsidRPr="008854E4" w:rsidR="008854E4" w:rsidP="008854E4" w:rsidRDefault="00DA005C" w14:paraId="4D37612B" w14:textId="45B94450">
      <w:pPr>
        <w:pStyle w:val="ListParagraph"/>
        <w:numPr>
          <w:ilvl w:val="0"/>
          <w:numId w:val="14"/>
        </w:numPr>
        <w:tabs>
          <w:tab w:val="left" w:pos="360"/>
        </w:tabs>
        <w:rPr>
          <w:sz w:val="22"/>
          <w:szCs w:val="22"/>
        </w:rPr>
      </w:pPr>
      <w:r>
        <w:rPr>
          <w:i/>
          <w:sz w:val="22"/>
          <w:szCs w:val="22"/>
        </w:rPr>
        <w:t xml:space="preserve">The </w:t>
      </w:r>
      <w:r w:rsidR="0009321E">
        <w:rPr>
          <w:i/>
          <w:sz w:val="22"/>
          <w:szCs w:val="22"/>
        </w:rPr>
        <w:t>Commission</w:t>
      </w:r>
      <w:r>
        <w:rPr>
          <w:i/>
          <w:sz w:val="22"/>
          <w:szCs w:val="22"/>
        </w:rPr>
        <w:t xml:space="preserve"> will r</w:t>
      </w:r>
      <w:r w:rsidR="008854E4">
        <w:rPr>
          <w:i/>
          <w:sz w:val="22"/>
          <w:szCs w:val="22"/>
        </w:rPr>
        <w:t xml:space="preserve">eview </w:t>
      </w:r>
      <w:r>
        <w:rPr>
          <w:i/>
          <w:sz w:val="22"/>
          <w:szCs w:val="22"/>
        </w:rPr>
        <w:t>the</w:t>
      </w:r>
      <w:r w:rsidR="008854E4">
        <w:rPr>
          <w:i/>
          <w:sz w:val="22"/>
          <w:szCs w:val="22"/>
        </w:rPr>
        <w:t xml:space="preserve"> Relocation Payment Clearinghouse’s written procedures for its operations</w:t>
      </w:r>
      <w:r w:rsidR="006051C4">
        <w:rPr>
          <w:i/>
          <w:sz w:val="22"/>
          <w:szCs w:val="22"/>
        </w:rPr>
        <w:t>.</w:t>
      </w:r>
      <w:r w:rsidR="008854E4">
        <w:rPr>
          <w:i/>
          <w:sz w:val="22"/>
          <w:szCs w:val="22"/>
        </w:rPr>
        <w:t xml:space="preserve">  </w:t>
      </w:r>
      <w:r w:rsidR="000D6FA2">
        <w:rPr>
          <w:i/>
          <w:sz w:val="22"/>
          <w:szCs w:val="22"/>
        </w:rPr>
        <w:t>(47 C.F.R. § 27.1414(b)(3))</w:t>
      </w:r>
    </w:p>
    <w:p w:rsidR="008854E4" w:rsidP="008854E4" w:rsidRDefault="008854E4" w14:paraId="05A84AE2" w14:textId="244D60C6">
      <w:pPr>
        <w:pStyle w:val="ListParagraph"/>
        <w:tabs>
          <w:tab w:val="left" w:pos="360"/>
        </w:tabs>
        <w:rPr>
          <w:sz w:val="22"/>
          <w:szCs w:val="22"/>
        </w:rPr>
      </w:pPr>
    </w:p>
    <w:p w:rsidR="000D6FA2" w:rsidP="008854E4" w:rsidRDefault="008854E4" w14:paraId="2563714D" w14:textId="4FC71A0E">
      <w:pPr>
        <w:pStyle w:val="ListParagraph"/>
        <w:tabs>
          <w:tab w:val="left" w:pos="360"/>
        </w:tabs>
        <w:rPr>
          <w:sz w:val="22"/>
          <w:szCs w:val="22"/>
        </w:rPr>
      </w:pPr>
      <w:r>
        <w:rPr>
          <w:sz w:val="22"/>
          <w:szCs w:val="22"/>
        </w:rPr>
        <w:t>The Commission estimate</w:t>
      </w:r>
      <w:r w:rsidR="000D6FA2">
        <w:rPr>
          <w:sz w:val="22"/>
          <w:szCs w:val="22"/>
        </w:rPr>
        <w:t xml:space="preserve">s that it will take one Commission staff attorney at the GS-15, Step 5 level and one Commission staff attorney at the GS-12, Step 5 level approximately </w:t>
      </w:r>
      <w:r w:rsidR="00826689">
        <w:rPr>
          <w:sz w:val="22"/>
          <w:szCs w:val="22"/>
        </w:rPr>
        <w:t>4</w:t>
      </w:r>
      <w:r w:rsidR="000D6FA2">
        <w:rPr>
          <w:sz w:val="22"/>
          <w:szCs w:val="22"/>
        </w:rPr>
        <w:t xml:space="preserve"> hours each to review the Relocation Payment Clearinghouse’s written procedures for its operations.</w:t>
      </w:r>
    </w:p>
    <w:p w:rsidR="000D6FA2" w:rsidP="008854E4" w:rsidRDefault="000D6FA2" w14:paraId="25C1F2AB" w14:textId="77777777">
      <w:pPr>
        <w:pStyle w:val="ListParagraph"/>
        <w:tabs>
          <w:tab w:val="left" w:pos="360"/>
        </w:tabs>
        <w:rPr>
          <w:sz w:val="22"/>
          <w:szCs w:val="22"/>
        </w:rPr>
      </w:pPr>
    </w:p>
    <w:p w:rsidR="008854E4" w:rsidP="008854E4" w:rsidRDefault="000D6FA2" w14:paraId="478646E6" w14:textId="15EF1552">
      <w:pPr>
        <w:pStyle w:val="ListParagraph"/>
        <w:tabs>
          <w:tab w:val="left" w:pos="360"/>
        </w:tabs>
        <w:rPr>
          <w:b/>
          <w:sz w:val="22"/>
          <w:szCs w:val="22"/>
        </w:rPr>
      </w:pPr>
      <w:r>
        <w:rPr>
          <w:sz w:val="22"/>
          <w:szCs w:val="22"/>
        </w:rPr>
        <w:t xml:space="preserve">1 </w:t>
      </w:r>
      <w:r w:rsidR="00931D09">
        <w:rPr>
          <w:sz w:val="22"/>
          <w:szCs w:val="22"/>
        </w:rPr>
        <w:t>respondents/</w:t>
      </w:r>
      <w:r>
        <w:rPr>
          <w:sz w:val="22"/>
          <w:szCs w:val="22"/>
        </w:rPr>
        <w:t>response</w:t>
      </w:r>
      <w:r w:rsidR="00931D09">
        <w:rPr>
          <w:sz w:val="22"/>
          <w:szCs w:val="22"/>
        </w:rPr>
        <w:t>s</w:t>
      </w:r>
      <w:r>
        <w:rPr>
          <w:sz w:val="22"/>
          <w:szCs w:val="22"/>
        </w:rPr>
        <w:t xml:space="preserve"> x 4 hours x 77.49/hour (Attorney, GS-15, Step 5) = </w:t>
      </w:r>
      <w:r>
        <w:rPr>
          <w:b/>
          <w:sz w:val="22"/>
          <w:szCs w:val="22"/>
        </w:rPr>
        <w:t>$309.96.</w:t>
      </w:r>
    </w:p>
    <w:p w:rsidR="000D6FA2" w:rsidP="008854E4" w:rsidRDefault="000D6FA2" w14:paraId="7309DDA5" w14:textId="5C8908D7">
      <w:pPr>
        <w:pStyle w:val="ListParagraph"/>
        <w:tabs>
          <w:tab w:val="left" w:pos="360"/>
        </w:tabs>
        <w:rPr>
          <w:b/>
          <w:sz w:val="22"/>
          <w:szCs w:val="22"/>
        </w:rPr>
      </w:pPr>
    </w:p>
    <w:p w:rsidRPr="00E9118A" w:rsidR="000D6FA2" w:rsidP="00E9118A" w:rsidRDefault="000D6FA2" w14:paraId="39EBE4CC" w14:textId="32D38C21">
      <w:pPr>
        <w:pStyle w:val="ListParagraph"/>
        <w:tabs>
          <w:tab w:val="left" w:pos="360"/>
        </w:tabs>
        <w:rPr>
          <w:b/>
          <w:sz w:val="22"/>
          <w:szCs w:val="22"/>
        </w:rPr>
      </w:pPr>
      <w:r>
        <w:rPr>
          <w:sz w:val="22"/>
          <w:szCs w:val="22"/>
        </w:rPr>
        <w:t xml:space="preserve">1 </w:t>
      </w:r>
      <w:r w:rsidR="00931D09">
        <w:rPr>
          <w:sz w:val="22"/>
          <w:szCs w:val="22"/>
        </w:rPr>
        <w:t xml:space="preserve">respondents/responses </w:t>
      </w:r>
      <w:r>
        <w:rPr>
          <w:sz w:val="22"/>
          <w:szCs w:val="22"/>
        </w:rPr>
        <w:t xml:space="preserve">x 4 hours x 46.88/hour (Attorney, GS-12, Step 5) = </w:t>
      </w:r>
      <w:r>
        <w:rPr>
          <w:b/>
          <w:sz w:val="22"/>
          <w:szCs w:val="22"/>
        </w:rPr>
        <w:t>$187.52.</w:t>
      </w:r>
    </w:p>
    <w:p w:rsidRPr="008854E4" w:rsidR="000D6FA2" w:rsidP="008854E4" w:rsidRDefault="000D6FA2" w14:paraId="0CC37283" w14:textId="77777777">
      <w:pPr>
        <w:pStyle w:val="ListParagraph"/>
        <w:tabs>
          <w:tab w:val="left" w:pos="360"/>
        </w:tabs>
        <w:rPr>
          <w:sz w:val="22"/>
          <w:szCs w:val="22"/>
        </w:rPr>
      </w:pPr>
    </w:p>
    <w:p w:rsidRPr="000E47B2" w:rsidR="000E47B2" w:rsidP="000E47B2" w:rsidRDefault="00950C42" w14:paraId="49C6E86C" w14:textId="3E0BEF75">
      <w:pPr>
        <w:pStyle w:val="ListParagraph"/>
        <w:numPr>
          <w:ilvl w:val="0"/>
          <w:numId w:val="14"/>
        </w:numPr>
        <w:tabs>
          <w:tab w:val="left" w:pos="360"/>
        </w:tabs>
        <w:rPr>
          <w:sz w:val="22"/>
          <w:szCs w:val="22"/>
        </w:rPr>
      </w:pPr>
      <w:r>
        <w:rPr>
          <w:i/>
          <w:sz w:val="22"/>
          <w:szCs w:val="22"/>
        </w:rPr>
        <w:t xml:space="preserve">The </w:t>
      </w:r>
      <w:r w:rsidR="0009321E">
        <w:rPr>
          <w:i/>
          <w:sz w:val="22"/>
          <w:szCs w:val="22"/>
        </w:rPr>
        <w:t xml:space="preserve">Commission </w:t>
      </w:r>
      <w:r>
        <w:rPr>
          <w:i/>
          <w:sz w:val="22"/>
          <w:szCs w:val="22"/>
        </w:rPr>
        <w:t>will r</w:t>
      </w:r>
      <w:r w:rsidR="00560468">
        <w:rPr>
          <w:i/>
          <w:sz w:val="22"/>
          <w:szCs w:val="22"/>
        </w:rPr>
        <w:t xml:space="preserve">eview </w:t>
      </w:r>
      <w:r>
        <w:rPr>
          <w:i/>
          <w:sz w:val="22"/>
          <w:szCs w:val="22"/>
        </w:rPr>
        <w:t xml:space="preserve">the </w:t>
      </w:r>
      <w:r w:rsidR="00560468">
        <w:rPr>
          <w:i/>
          <w:sz w:val="22"/>
          <w:szCs w:val="22"/>
        </w:rPr>
        <w:t>Relocation Pa</w:t>
      </w:r>
      <w:r w:rsidR="00F33321">
        <w:rPr>
          <w:i/>
          <w:sz w:val="22"/>
          <w:szCs w:val="22"/>
        </w:rPr>
        <w:t xml:space="preserve">yment </w:t>
      </w:r>
      <w:r w:rsidR="000E47B2">
        <w:rPr>
          <w:i/>
          <w:sz w:val="22"/>
          <w:szCs w:val="22"/>
        </w:rPr>
        <w:t>Clearinghouse</w:t>
      </w:r>
      <w:r>
        <w:rPr>
          <w:i/>
          <w:sz w:val="22"/>
          <w:szCs w:val="22"/>
        </w:rPr>
        <w:t>’s q</w:t>
      </w:r>
      <w:r w:rsidR="000E47B2">
        <w:rPr>
          <w:i/>
          <w:sz w:val="22"/>
          <w:szCs w:val="22"/>
        </w:rPr>
        <w:t xml:space="preserve">uarterly </w:t>
      </w:r>
      <w:r>
        <w:rPr>
          <w:i/>
          <w:sz w:val="22"/>
          <w:szCs w:val="22"/>
        </w:rPr>
        <w:t>r</w:t>
      </w:r>
      <w:r w:rsidR="000E47B2">
        <w:rPr>
          <w:i/>
          <w:sz w:val="22"/>
          <w:szCs w:val="22"/>
        </w:rPr>
        <w:t>eports</w:t>
      </w:r>
      <w:r w:rsidR="006102B0">
        <w:rPr>
          <w:i/>
          <w:sz w:val="22"/>
          <w:szCs w:val="22"/>
        </w:rPr>
        <w:t>.</w:t>
      </w:r>
      <w:r w:rsidR="000E47B2">
        <w:rPr>
          <w:i/>
          <w:sz w:val="22"/>
          <w:szCs w:val="22"/>
        </w:rPr>
        <w:t xml:space="preserve"> </w:t>
      </w:r>
      <w:r w:rsidR="006102B0">
        <w:rPr>
          <w:i/>
          <w:sz w:val="22"/>
          <w:szCs w:val="22"/>
        </w:rPr>
        <w:t xml:space="preserve"> </w:t>
      </w:r>
      <w:r w:rsidR="000E47B2">
        <w:rPr>
          <w:i/>
          <w:sz w:val="22"/>
          <w:szCs w:val="22"/>
        </w:rPr>
        <w:t>(47 C.F.R. 27.1414(c)(1))</w:t>
      </w:r>
    </w:p>
    <w:p w:rsidR="000E47B2" w:rsidP="000E47B2" w:rsidRDefault="000E47B2" w14:paraId="5A780B1D" w14:textId="4A4F3412">
      <w:pPr>
        <w:pStyle w:val="ListParagraph"/>
        <w:tabs>
          <w:tab w:val="left" w:pos="360"/>
        </w:tabs>
        <w:rPr>
          <w:sz w:val="22"/>
          <w:szCs w:val="22"/>
        </w:rPr>
      </w:pPr>
    </w:p>
    <w:p w:rsidR="000E47B2" w:rsidP="000E47B2" w:rsidRDefault="000E47B2" w14:paraId="22E483D0" w14:textId="47CB1D5A">
      <w:pPr>
        <w:pStyle w:val="ListParagraph"/>
        <w:tabs>
          <w:tab w:val="left" w:pos="360"/>
        </w:tabs>
        <w:rPr>
          <w:sz w:val="22"/>
          <w:szCs w:val="22"/>
        </w:rPr>
      </w:pPr>
      <w:r>
        <w:rPr>
          <w:sz w:val="22"/>
          <w:szCs w:val="22"/>
        </w:rPr>
        <w:t xml:space="preserve">The Commission estimates that it will take one Commission staff attorney at the GS-15, Step 5 level and one Commission staff attorney at the GS-12, Step 5 level approximately </w:t>
      </w:r>
      <w:r w:rsidR="00826689">
        <w:rPr>
          <w:sz w:val="22"/>
          <w:szCs w:val="22"/>
        </w:rPr>
        <w:t>4</w:t>
      </w:r>
      <w:r>
        <w:rPr>
          <w:sz w:val="22"/>
          <w:szCs w:val="22"/>
        </w:rPr>
        <w:t xml:space="preserve"> hours each to review the Relocation Payment Clearinghouse’s </w:t>
      </w:r>
      <w:r w:rsidR="00EA1740">
        <w:rPr>
          <w:sz w:val="22"/>
          <w:szCs w:val="22"/>
        </w:rPr>
        <w:t>quarterly reports</w:t>
      </w:r>
      <w:r>
        <w:rPr>
          <w:sz w:val="22"/>
          <w:szCs w:val="22"/>
        </w:rPr>
        <w:t>.</w:t>
      </w:r>
    </w:p>
    <w:p w:rsidR="000E47B2" w:rsidP="000E47B2" w:rsidRDefault="000E47B2" w14:paraId="33A19702" w14:textId="77777777">
      <w:pPr>
        <w:pStyle w:val="ListParagraph"/>
        <w:tabs>
          <w:tab w:val="left" w:pos="360"/>
        </w:tabs>
        <w:rPr>
          <w:sz w:val="22"/>
          <w:szCs w:val="22"/>
        </w:rPr>
      </w:pPr>
    </w:p>
    <w:p w:rsidR="000E47B2" w:rsidP="000E47B2" w:rsidRDefault="002F7837" w14:paraId="592AF666" w14:textId="77565A5E">
      <w:pPr>
        <w:pStyle w:val="ListParagraph"/>
        <w:tabs>
          <w:tab w:val="left" w:pos="360"/>
        </w:tabs>
        <w:rPr>
          <w:b/>
          <w:sz w:val="22"/>
          <w:szCs w:val="22"/>
        </w:rPr>
      </w:pPr>
      <w:r>
        <w:rPr>
          <w:sz w:val="22"/>
          <w:szCs w:val="22"/>
        </w:rPr>
        <w:t xml:space="preserve">4 </w:t>
      </w:r>
      <w:r w:rsidR="00931D09">
        <w:rPr>
          <w:sz w:val="22"/>
          <w:szCs w:val="22"/>
        </w:rPr>
        <w:t xml:space="preserve">respondents/responses </w:t>
      </w:r>
      <w:r w:rsidR="000E47B2">
        <w:rPr>
          <w:sz w:val="22"/>
          <w:szCs w:val="22"/>
        </w:rPr>
        <w:t xml:space="preserve">x 4 hours x 77.49/hour (Attorney, GS-15, Step 5) = </w:t>
      </w:r>
      <w:r w:rsidR="000E47B2">
        <w:rPr>
          <w:b/>
          <w:sz w:val="22"/>
          <w:szCs w:val="22"/>
        </w:rPr>
        <w:t>$</w:t>
      </w:r>
      <w:r>
        <w:rPr>
          <w:b/>
          <w:sz w:val="22"/>
          <w:szCs w:val="22"/>
        </w:rPr>
        <w:t>1,239.84</w:t>
      </w:r>
      <w:r w:rsidR="00B50D0F">
        <w:rPr>
          <w:b/>
          <w:sz w:val="22"/>
          <w:szCs w:val="22"/>
        </w:rPr>
        <w:t>.</w:t>
      </w:r>
    </w:p>
    <w:p w:rsidR="000E47B2" w:rsidP="000E47B2" w:rsidRDefault="000E47B2" w14:paraId="603B9C9E" w14:textId="77777777">
      <w:pPr>
        <w:pStyle w:val="ListParagraph"/>
        <w:tabs>
          <w:tab w:val="left" w:pos="360"/>
        </w:tabs>
        <w:rPr>
          <w:b/>
          <w:sz w:val="22"/>
          <w:szCs w:val="22"/>
        </w:rPr>
      </w:pPr>
    </w:p>
    <w:p w:rsidRPr="00E9118A" w:rsidR="000E47B2" w:rsidP="000E47B2" w:rsidRDefault="002F7837" w14:paraId="69F43303" w14:textId="11B63EFB">
      <w:pPr>
        <w:pStyle w:val="ListParagraph"/>
        <w:tabs>
          <w:tab w:val="left" w:pos="360"/>
        </w:tabs>
        <w:rPr>
          <w:b/>
          <w:sz w:val="22"/>
          <w:szCs w:val="22"/>
        </w:rPr>
      </w:pPr>
      <w:r>
        <w:rPr>
          <w:sz w:val="22"/>
          <w:szCs w:val="22"/>
        </w:rPr>
        <w:t xml:space="preserve">4 </w:t>
      </w:r>
      <w:r w:rsidR="00931D09">
        <w:rPr>
          <w:sz w:val="22"/>
          <w:szCs w:val="22"/>
        </w:rPr>
        <w:t xml:space="preserve">respondents/responses </w:t>
      </w:r>
      <w:r w:rsidR="000E47B2">
        <w:rPr>
          <w:sz w:val="22"/>
          <w:szCs w:val="22"/>
        </w:rPr>
        <w:t xml:space="preserve">x 4 hours x 46.88/hour (Attorney, GS-12, Step 5) = </w:t>
      </w:r>
      <w:r w:rsidR="000E47B2">
        <w:rPr>
          <w:b/>
          <w:sz w:val="22"/>
          <w:szCs w:val="22"/>
        </w:rPr>
        <w:t>$</w:t>
      </w:r>
      <w:r w:rsidR="00536C7E">
        <w:rPr>
          <w:b/>
          <w:sz w:val="22"/>
          <w:szCs w:val="22"/>
        </w:rPr>
        <w:t>750.08</w:t>
      </w:r>
      <w:r w:rsidR="00B50D0F">
        <w:rPr>
          <w:b/>
          <w:sz w:val="22"/>
          <w:szCs w:val="22"/>
        </w:rPr>
        <w:t>.</w:t>
      </w:r>
    </w:p>
    <w:p w:rsidR="008854E4" w:rsidP="005E2162" w:rsidRDefault="008854E4" w14:paraId="51B8879A" w14:textId="6A647950">
      <w:pPr>
        <w:tabs>
          <w:tab w:val="left" w:pos="360"/>
        </w:tabs>
        <w:ind w:left="360"/>
        <w:rPr>
          <w:sz w:val="22"/>
          <w:szCs w:val="22"/>
        </w:rPr>
      </w:pPr>
    </w:p>
    <w:p w:rsidR="006A5B65" w:rsidP="006A5B65" w:rsidRDefault="00527FD3" w14:paraId="2B8EDD96" w14:textId="09E25386">
      <w:pPr>
        <w:pStyle w:val="ListParagraph"/>
        <w:numPr>
          <w:ilvl w:val="0"/>
          <w:numId w:val="14"/>
        </w:numPr>
        <w:tabs>
          <w:tab w:val="left" w:pos="360"/>
        </w:tabs>
        <w:rPr>
          <w:sz w:val="22"/>
          <w:szCs w:val="22"/>
        </w:rPr>
      </w:pPr>
      <w:r>
        <w:rPr>
          <w:i/>
          <w:sz w:val="22"/>
          <w:szCs w:val="22"/>
        </w:rPr>
        <w:t xml:space="preserve">The </w:t>
      </w:r>
      <w:r w:rsidR="0009321E">
        <w:rPr>
          <w:i/>
          <w:sz w:val="22"/>
          <w:szCs w:val="22"/>
        </w:rPr>
        <w:t xml:space="preserve">Commission </w:t>
      </w:r>
      <w:r>
        <w:rPr>
          <w:i/>
          <w:sz w:val="22"/>
          <w:szCs w:val="22"/>
        </w:rPr>
        <w:t>will r</w:t>
      </w:r>
      <w:r w:rsidR="006A5B65">
        <w:rPr>
          <w:i/>
          <w:sz w:val="22"/>
          <w:szCs w:val="22"/>
        </w:rPr>
        <w:t xml:space="preserve">eview </w:t>
      </w:r>
      <w:r>
        <w:rPr>
          <w:i/>
          <w:sz w:val="22"/>
          <w:szCs w:val="22"/>
        </w:rPr>
        <w:t>the</w:t>
      </w:r>
      <w:r w:rsidR="006A5B65">
        <w:rPr>
          <w:i/>
          <w:sz w:val="22"/>
          <w:szCs w:val="22"/>
        </w:rPr>
        <w:t xml:space="preserve"> Relocation Payment Clearinghouse</w:t>
      </w:r>
      <w:r>
        <w:rPr>
          <w:i/>
          <w:sz w:val="22"/>
          <w:szCs w:val="22"/>
        </w:rPr>
        <w:t>’s</w:t>
      </w:r>
      <w:r w:rsidR="006A5B65">
        <w:rPr>
          <w:i/>
          <w:sz w:val="22"/>
          <w:szCs w:val="22"/>
        </w:rPr>
        <w:t xml:space="preserve"> </w:t>
      </w:r>
      <w:r>
        <w:rPr>
          <w:i/>
          <w:sz w:val="22"/>
          <w:szCs w:val="22"/>
        </w:rPr>
        <w:t>audited</w:t>
      </w:r>
      <w:r w:rsidR="006A5B65">
        <w:rPr>
          <w:i/>
          <w:sz w:val="22"/>
          <w:szCs w:val="22"/>
        </w:rPr>
        <w:t xml:space="preserve"> </w:t>
      </w:r>
      <w:r>
        <w:rPr>
          <w:i/>
          <w:sz w:val="22"/>
          <w:szCs w:val="22"/>
        </w:rPr>
        <w:t>s</w:t>
      </w:r>
      <w:r w:rsidR="006A5B65">
        <w:rPr>
          <w:i/>
          <w:sz w:val="22"/>
          <w:szCs w:val="22"/>
        </w:rPr>
        <w:t xml:space="preserve">tatement of </w:t>
      </w:r>
      <w:r>
        <w:rPr>
          <w:i/>
          <w:sz w:val="22"/>
          <w:szCs w:val="22"/>
        </w:rPr>
        <w:t>f</w:t>
      </w:r>
      <w:r w:rsidR="006A5B65">
        <w:rPr>
          <w:i/>
          <w:sz w:val="22"/>
          <w:szCs w:val="22"/>
        </w:rPr>
        <w:t>unds</w:t>
      </w:r>
      <w:r>
        <w:rPr>
          <w:i/>
          <w:sz w:val="22"/>
          <w:szCs w:val="22"/>
        </w:rPr>
        <w:t>.</w:t>
      </w:r>
      <w:r w:rsidR="006A5B65">
        <w:rPr>
          <w:i/>
          <w:sz w:val="22"/>
          <w:szCs w:val="22"/>
        </w:rPr>
        <w:t xml:space="preserve"> </w:t>
      </w:r>
      <w:r>
        <w:rPr>
          <w:i/>
          <w:sz w:val="22"/>
          <w:szCs w:val="22"/>
        </w:rPr>
        <w:t xml:space="preserve"> </w:t>
      </w:r>
      <w:r w:rsidR="006A5B65">
        <w:rPr>
          <w:i/>
          <w:sz w:val="22"/>
          <w:szCs w:val="22"/>
        </w:rPr>
        <w:t>(47 C.F.R. § 27.1414(c)(2))</w:t>
      </w:r>
    </w:p>
    <w:p w:rsidR="006A5B65" w:rsidP="006A5B65" w:rsidRDefault="006A5B65" w14:paraId="2F5DC747" w14:textId="3BB2B42D">
      <w:pPr>
        <w:pStyle w:val="ListParagraph"/>
        <w:tabs>
          <w:tab w:val="left" w:pos="360"/>
        </w:tabs>
        <w:rPr>
          <w:sz w:val="22"/>
          <w:szCs w:val="22"/>
        </w:rPr>
      </w:pPr>
    </w:p>
    <w:p w:rsidR="006A3873" w:rsidP="006A3873" w:rsidRDefault="006A3873" w14:paraId="5CBF0078" w14:textId="7D2DEC8C">
      <w:pPr>
        <w:pStyle w:val="ListParagraph"/>
        <w:tabs>
          <w:tab w:val="left" w:pos="360"/>
        </w:tabs>
        <w:rPr>
          <w:sz w:val="22"/>
          <w:szCs w:val="22"/>
        </w:rPr>
      </w:pPr>
      <w:r>
        <w:rPr>
          <w:sz w:val="22"/>
          <w:szCs w:val="22"/>
        </w:rPr>
        <w:t xml:space="preserve">The Commission estimates that it will take one Commission staff attorney at the GS-15, Step 5 level and one Commission staff attorney at the GS-12, Step 5 level approximately </w:t>
      </w:r>
      <w:r w:rsidR="00826689">
        <w:rPr>
          <w:sz w:val="22"/>
          <w:szCs w:val="22"/>
        </w:rPr>
        <w:t>4</w:t>
      </w:r>
      <w:r>
        <w:rPr>
          <w:sz w:val="22"/>
          <w:szCs w:val="22"/>
        </w:rPr>
        <w:t xml:space="preserve"> hours each to review the Relocation Payment Clearinghouse’s </w:t>
      </w:r>
      <w:r w:rsidR="00EA1740">
        <w:rPr>
          <w:sz w:val="22"/>
          <w:szCs w:val="22"/>
        </w:rPr>
        <w:t>audited statement of funds</w:t>
      </w:r>
      <w:r>
        <w:rPr>
          <w:sz w:val="22"/>
          <w:szCs w:val="22"/>
        </w:rPr>
        <w:t>.</w:t>
      </w:r>
    </w:p>
    <w:p w:rsidR="006A3873" w:rsidP="006A3873" w:rsidRDefault="006A3873" w14:paraId="2681EA0A" w14:textId="77777777">
      <w:pPr>
        <w:pStyle w:val="ListParagraph"/>
        <w:tabs>
          <w:tab w:val="left" w:pos="360"/>
        </w:tabs>
        <w:rPr>
          <w:sz w:val="22"/>
          <w:szCs w:val="22"/>
        </w:rPr>
      </w:pPr>
    </w:p>
    <w:p w:rsidR="006A3873" w:rsidP="006A3873" w:rsidRDefault="008A5C9E" w14:paraId="60FC516E" w14:textId="2BA831DE">
      <w:pPr>
        <w:pStyle w:val="ListParagraph"/>
        <w:tabs>
          <w:tab w:val="left" w:pos="360"/>
        </w:tabs>
        <w:rPr>
          <w:b/>
          <w:sz w:val="22"/>
          <w:szCs w:val="22"/>
        </w:rPr>
      </w:pPr>
      <w:r>
        <w:rPr>
          <w:sz w:val="22"/>
          <w:szCs w:val="22"/>
        </w:rPr>
        <w:t xml:space="preserve">1 </w:t>
      </w:r>
      <w:r w:rsidR="00931D09">
        <w:rPr>
          <w:sz w:val="22"/>
          <w:szCs w:val="22"/>
        </w:rPr>
        <w:t xml:space="preserve">respondents/responses </w:t>
      </w:r>
      <w:r w:rsidR="006A3873">
        <w:rPr>
          <w:sz w:val="22"/>
          <w:szCs w:val="22"/>
        </w:rPr>
        <w:t xml:space="preserve">x 4 hours x 77.49/hour (Attorney, GS-15, Step 5) = </w:t>
      </w:r>
      <w:r w:rsidR="006A3873">
        <w:rPr>
          <w:b/>
          <w:sz w:val="22"/>
          <w:szCs w:val="22"/>
        </w:rPr>
        <w:t>$</w:t>
      </w:r>
      <w:r w:rsidR="000E39DE">
        <w:rPr>
          <w:b/>
          <w:sz w:val="22"/>
          <w:szCs w:val="22"/>
        </w:rPr>
        <w:t>309.96</w:t>
      </w:r>
      <w:r w:rsidR="006A3873">
        <w:rPr>
          <w:b/>
          <w:sz w:val="22"/>
          <w:szCs w:val="22"/>
        </w:rPr>
        <w:t>.</w:t>
      </w:r>
    </w:p>
    <w:p w:rsidR="006A3873" w:rsidP="006A3873" w:rsidRDefault="006A3873" w14:paraId="4ACCD3F5" w14:textId="77777777">
      <w:pPr>
        <w:pStyle w:val="ListParagraph"/>
        <w:tabs>
          <w:tab w:val="left" w:pos="360"/>
        </w:tabs>
        <w:rPr>
          <w:b/>
          <w:sz w:val="22"/>
          <w:szCs w:val="22"/>
        </w:rPr>
      </w:pPr>
    </w:p>
    <w:p w:rsidRPr="00E9118A" w:rsidR="006A3873" w:rsidP="006A3873" w:rsidRDefault="008A5C9E" w14:paraId="2EEC4688" w14:textId="53D81FDE">
      <w:pPr>
        <w:pStyle w:val="ListParagraph"/>
        <w:tabs>
          <w:tab w:val="left" w:pos="360"/>
        </w:tabs>
        <w:rPr>
          <w:b/>
          <w:sz w:val="22"/>
          <w:szCs w:val="22"/>
        </w:rPr>
      </w:pPr>
      <w:r>
        <w:rPr>
          <w:sz w:val="22"/>
          <w:szCs w:val="22"/>
        </w:rPr>
        <w:t xml:space="preserve">1 </w:t>
      </w:r>
      <w:r w:rsidR="00931D09">
        <w:rPr>
          <w:sz w:val="22"/>
          <w:szCs w:val="22"/>
        </w:rPr>
        <w:t xml:space="preserve">respondents/responses </w:t>
      </w:r>
      <w:r w:rsidR="006A3873">
        <w:rPr>
          <w:sz w:val="22"/>
          <w:szCs w:val="22"/>
        </w:rPr>
        <w:t xml:space="preserve">x 4 hours x 46.88/hour (Attorney, GS-12, Step 5) = </w:t>
      </w:r>
      <w:r w:rsidR="006A3873">
        <w:rPr>
          <w:b/>
          <w:sz w:val="22"/>
          <w:szCs w:val="22"/>
        </w:rPr>
        <w:t>$</w:t>
      </w:r>
      <w:r w:rsidR="000E39DE">
        <w:rPr>
          <w:b/>
          <w:sz w:val="22"/>
          <w:szCs w:val="22"/>
        </w:rPr>
        <w:t>187.52</w:t>
      </w:r>
      <w:r w:rsidR="007254B6">
        <w:rPr>
          <w:b/>
          <w:sz w:val="22"/>
          <w:szCs w:val="22"/>
        </w:rPr>
        <w:t>.</w:t>
      </w:r>
    </w:p>
    <w:p w:rsidR="006A5B65" w:rsidP="005E2162" w:rsidRDefault="006A5B65" w14:paraId="42BECE71" w14:textId="77BC38C0">
      <w:pPr>
        <w:tabs>
          <w:tab w:val="left" w:pos="360"/>
        </w:tabs>
        <w:ind w:left="360"/>
        <w:rPr>
          <w:sz w:val="22"/>
          <w:szCs w:val="22"/>
        </w:rPr>
      </w:pPr>
    </w:p>
    <w:p w:rsidRPr="00EA1740" w:rsidR="00EA1740" w:rsidP="00EA1740" w:rsidRDefault="0043528D" w14:paraId="0ADA072D" w14:textId="6E164675">
      <w:pPr>
        <w:pStyle w:val="ListParagraph"/>
        <w:numPr>
          <w:ilvl w:val="0"/>
          <w:numId w:val="14"/>
        </w:numPr>
        <w:tabs>
          <w:tab w:val="left" w:pos="360"/>
        </w:tabs>
        <w:rPr>
          <w:sz w:val="22"/>
          <w:szCs w:val="22"/>
        </w:rPr>
      </w:pPr>
      <w:r>
        <w:rPr>
          <w:i/>
          <w:sz w:val="22"/>
          <w:szCs w:val="22"/>
        </w:rPr>
        <w:t xml:space="preserve">The </w:t>
      </w:r>
      <w:r w:rsidR="0009321E">
        <w:rPr>
          <w:i/>
          <w:sz w:val="22"/>
          <w:szCs w:val="22"/>
        </w:rPr>
        <w:t xml:space="preserve">Commission </w:t>
      </w:r>
      <w:r>
        <w:rPr>
          <w:i/>
          <w:sz w:val="22"/>
          <w:szCs w:val="22"/>
        </w:rPr>
        <w:t>will r</w:t>
      </w:r>
      <w:r w:rsidR="00EA1740">
        <w:rPr>
          <w:i/>
          <w:sz w:val="22"/>
          <w:szCs w:val="22"/>
        </w:rPr>
        <w:t xml:space="preserve">eview </w:t>
      </w:r>
      <w:r>
        <w:rPr>
          <w:i/>
          <w:sz w:val="22"/>
          <w:szCs w:val="22"/>
        </w:rPr>
        <w:t xml:space="preserve">information provided by the </w:t>
      </w:r>
      <w:r w:rsidR="00EA1740">
        <w:rPr>
          <w:i/>
          <w:sz w:val="22"/>
          <w:szCs w:val="22"/>
        </w:rPr>
        <w:t xml:space="preserve">Relocation Payment Clearinghouse </w:t>
      </w:r>
      <w:r>
        <w:rPr>
          <w:i/>
          <w:sz w:val="22"/>
          <w:szCs w:val="22"/>
        </w:rPr>
        <w:t>upon the Commission’s request</w:t>
      </w:r>
      <w:r w:rsidR="00D21DAA">
        <w:rPr>
          <w:i/>
          <w:sz w:val="22"/>
          <w:szCs w:val="22"/>
        </w:rPr>
        <w:t>.</w:t>
      </w:r>
      <w:r w:rsidR="00EA1740">
        <w:rPr>
          <w:i/>
          <w:sz w:val="22"/>
          <w:szCs w:val="22"/>
        </w:rPr>
        <w:t xml:space="preserve"> </w:t>
      </w:r>
      <w:r w:rsidR="00D21DAA">
        <w:rPr>
          <w:i/>
          <w:sz w:val="22"/>
          <w:szCs w:val="22"/>
        </w:rPr>
        <w:t xml:space="preserve"> </w:t>
      </w:r>
      <w:r w:rsidR="00EA1740">
        <w:rPr>
          <w:i/>
          <w:sz w:val="22"/>
          <w:szCs w:val="22"/>
        </w:rPr>
        <w:t>(47 C.F.R. § 27.1414(c)(3))</w:t>
      </w:r>
    </w:p>
    <w:p w:rsidR="00EA1740" w:rsidP="00EA1740" w:rsidRDefault="00EA1740" w14:paraId="6D4BDAB0" w14:textId="12117B4A">
      <w:pPr>
        <w:pStyle w:val="ListParagraph"/>
        <w:tabs>
          <w:tab w:val="left" w:pos="360"/>
        </w:tabs>
        <w:rPr>
          <w:sz w:val="22"/>
          <w:szCs w:val="22"/>
        </w:rPr>
      </w:pPr>
    </w:p>
    <w:p w:rsidR="00EA1740" w:rsidP="00EA1740" w:rsidRDefault="00EA1740" w14:paraId="43B38858" w14:textId="70149DEC">
      <w:pPr>
        <w:pStyle w:val="ListParagraph"/>
        <w:tabs>
          <w:tab w:val="left" w:pos="360"/>
        </w:tabs>
        <w:rPr>
          <w:sz w:val="22"/>
          <w:szCs w:val="22"/>
        </w:rPr>
      </w:pPr>
      <w:r>
        <w:rPr>
          <w:sz w:val="22"/>
          <w:szCs w:val="22"/>
        </w:rPr>
        <w:t xml:space="preserve">The Commission estimates that it will take one Commission staff attorney at the GS-15, Step 5 level approximately </w:t>
      </w:r>
      <w:r w:rsidR="002B7D1E">
        <w:rPr>
          <w:sz w:val="22"/>
          <w:szCs w:val="22"/>
        </w:rPr>
        <w:t>two</w:t>
      </w:r>
      <w:r>
        <w:rPr>
          <w:sz w:val="22"/>
          <w:szCs w:val="22"/>
        </w:rPr>
        <w:t xml:space="preserve"> hours to review the </w:t>
      </w:r>
      <w:r w:rsidR="001D0CF0">
        <w:rPr>
          <w:sz w:val="22"/>
          <w:szCs w:val="22"/>
        </w:rPr>
        <w:t xml:space="preserve">information requested by the Wireless Telecommunications Bureau from the </w:t>
      </w:r>
      <w:r>
        <w:rPr>
          <w:sz w:val="22"/>
          <w:szCs w:val="22"/>
        </w:rPr>
        <w:t>Relocatio</w:t>
      </w:r>
      <w:r w:rsidR="001D0CF0">
        <w:rPr>
          <w:sz w:val="22"/>
          <w:szCs w:val="22"/>
        </w:rPr>
        <w:t>n Payment Clearinghouse.</w:t>
      </w:r>
    </w:p>
    <w:p w:rsidR="001D0CF0" w:rsidP="00EA1740" w:rsidRDefault="001D0CF0" w14:paraId="09B4D330" w14:textId="79168C49">
      <w:pPr>
        <w:pStyle w:val="ListParagraph"/>
        <w:tabs>
          <w:tab w:val="left" w:pos="360"/>
        </w:tabs>
        <w:rPr>
          <w:sz w:val="22"/>
          <w:szCs w:val="22"/>
        </w:rPr>
      </w:pPr>
    </w:p>
    <w:p w:rsidRPr="004A3A44" w:rsidR="001D0CF0" w:rsidP="00EA1740" w:rsidRDefault="00A868E0" w14:paraId="7110C108" w14:textId="5A5A6DE3">
      <w:pPr>
        <w:pStyle w:val="ListParagraph"/>
        <w:tabs>
          <w:tab w:val="left" w:pos="360"/>
        </w:tabs>
        <w:rPr>
          <w:b/>
          <w:sz w:val="22"/>
          <w:szCs w:val="22"/>
        </w:rPr>
      </w:pPr>
      <w:r>
        <w:rPr>
          <w:sz w:val="22"/>
          <w:szCs w:val="22"/>
        </w:rPr>
        <w:t xml:space="preserve">12 </w:t>
      </w:r>
      <w:r w:rsidR="00931D09">
        <w:rPr>
          <w:sz w:val="22"/>
          <w:szCs w:val="22"/>
        </w:rPr>
        <w:t xml:space="preserve">respondents/responses </w:t>
      </w:r>
      <w:r w:rsidR="004A3A44">
        <w:rPr>
          <w:sz w:val="22"/>
          <w:szCs w:val="22"/>
        </w:rPr>
        <w:t xml:space="preserve">x </w:t>
      </w:r>
      <w:r w:rsidR="00DF59DE">
        <w:rPr>
          <w:sz w:val="22"/>
          <w:szCs w:val="22"/>
        </w:rPr>
        <w:t>2</w:t>
      </w:r>
      <w:r w:rsidR="004A3A44">
        <w:rPr>
          <w:sz w:val="22"/>
          <w:szCs w:val="22"/>
        </w:rPr>
        <w:t xml:space="preserve"> hours x $77.49/hour (Attorney, GS-15, Step 5) = </w:t>
      </w:r>
      <w:r w:rsidR="004A3A44">
        <w:rPr>
          <w:b/>
          <w:sz w:val="22"/>
          <w:szCs w:val="22"/>
        </w:rPr>
        <w:t>$</w:t>
      </w:r>
      <w:r>
        <w:rPr>
          <w:b/>
          <w:sz w:val="22"/>
          <w:szCs w:val="22"/>
        </w:rPr>
        <w:t>1,859.76</w:t>
      </w:r>
      <w:r w:rsidR="00DF59DE">
        <w:rPr>
          <w:b/>
          <w:sz w:val="22"/>
          <w:szCs w:val="22"/>
        </w:rPr>
        <w:t>.</w:t>
      </w:r>
    </w:p>
    <w:p w:rsidRPr="00EA1740" w:rsidR="00EA1740" w:rsidP="00EA1740" w:rsidRDefault="00EA1740" w14:paraId="7CFE7C3D" w14:textId="77777777">
      <w:pPr>
        <w:pStyle w:val="ListParagraph"/>
        <w:tabs>
          <w:tab w:val="left" w:pos="360"/>
        </w:tabs>
        <w:rPr>
          <w:sz w:val="22"/>
          <w:szCs w:val="22"/>
        </w:rPr>
      </w:pPr>
    </w:p>
    <w:p w:rsidR="006B57EB" w:rsidP="006B57EB" w:rsidRDefault="005A71EB" w14:paraId="6D105217" w14:textId="22836267">
      <w:pPr>
        <w:pStyle w:val="ListParagraph"/>
        <w:numPr>
          <w:ilvl w:val="0"/>
          <w:numId w:val="14"/>
        </w:numPr>
        <w:tabs>
          <w:tab w:val="left" w:pos="360"/>
        </w:tabs>
        <w:rPr>
          <w:sz w:val="22"/>
          <w:szCs w:val="22"/>
        </w:rPr>
      </w:pPr>
      <w:r>
        <w:rPr>
          <w:i/>
          <w:sz w:val="22"/>
          <w:szCs w:val="22"/>
        </w:rPr>
        <w:t xml:space="preserve">The </w:t>
      </w:r>
      <w:r w:rsidR="0009321E">
        <w:rPr>
          <w:i/>
          <w:sz w:val="22"/>
          <w:szCs w:val="22"/>
        </w:rPr>
        <w:t xml:space="preserve">Commission </w:t>
      </w:r>
      <w:r>
        <w:rPr>
          <w:i/>
          <w:sz w:val="22"/>
          <w:szCs w:val="22"/>
        </w:rPr>
        <w:t>will r</w:t>
      </w:r>
      <w:r w:rsidR="006B57EB">
        <w:rPr>
          <w:i/>
          <w:sz w:val="22"/>
          <w:szCs w:val="22"/>
        </w:rPr>
        <w:t xml:space="preserve">eview </w:t>
      </w:r>
      <w:r>
        <w:rPr>
          <w:i/>
          <w:sz w:val="22"/>
          <w:szCs w:val="22"/>
        </w:rPr>
        <w:t xml:space="preserve">the </w:t>
      </w:r>
      <w:r w:rsidR="006B57EB">
        <w:rPr>
          <w:i/>
          <w:sz w:val="22"/>
          <w:szCs w:val="22"/>
        </w:rPr>
        <w:t>Relocation Payment Clearinghouse</w:t>
      </w:r>
      <w:r>
        <w:rPr>
          <w:i/>
          <w:sz w:val="22"/>
          <w:szCs w:val="22"/>
        </w:rPr>
        <w:t>’s</w:t>
      </w:r>
      <w:r w:rsidR="006B57EB">
        <w:rPr>
          <w:i/>
          <w:sz w:val="22"/>
          <w:szCs w:val="22"/>
        </w:rPr>
        <w:t xml:space="preserve"> </w:t>
      </w:r>
      <w:r>
        <w:rPr>
          <w:i/>
          <w:sz w:val="22"/>
          <w:szCs w:val="22"/>
        </w:rPr>
        <w:t>p</w:t>
      </w:r>
      <w:r w:rsidR="006B57EB">
        <w:rPr>
          <w:i/>
          <w:sz w:val="22"/>
          <w:szCs w:val="22"/>
        </w:rPr>
        <w:t xml:space="preserve">rivacy and </w:t>
      </w:r>
      <w:r>
        <w:rPr>
          <w:i/>
          <w:sz w:val="22"/>
          <w:szCs w:val="22"/>
        </w:rPr>
        <w:t>i</w:t>
      </w:r>
      <w:r w:rsidR="006B57EB">
        <w:rPr>
          <w:i/>
          <w:sz w:val="22"/>
          <w:szCs w:val="22"/>
        </w:rPr>
        <w:t xml:space="preserve">nformation </w:t>
      </w:r>
      <w:r>
        <w:rPr>
          <w:i/>
          <w:sz w:val="22"/>
          <w:szCs w:val="22"/>
        </w:rPr>
        <w:t>s</w:t>
      </w:r>
      <w:r w:rsidR="006B57EB">
        <w:rPr>
          <w:i/>
          <w:sz w:val="22"/>
          <w:szCs w:val="22"/>
        </w:rPr>
        <w:t xml:space="preserve">ecurity </w:t>
      </w:r>
      <w:r>
        <w:rPr>
          <w:i/>
          <w:sz w:val="22"/>
          <w:szCs w:val="22"/>
        </w:rPr>
        <w:t>a</w:t>
      </w:r>
      <w:r w:rsidR="006B57EB">
        <w:rPr>
          <w:i/>
          <w:sz w:val="22"/>
          <w:szCs w:val="22"/>
        </w:rPr>
        <w:t>udit</w:t>
      </w:r>
      <w:r w:rsidR="00016631">
        <w:rPr>
          <w:i/>
          <w:sz w:val="22"/>
          <w:szCs w:val="22"/>
        </w:rPr>
        <w:t>.</w:t>
      </w:r>
      <w:r w:rsidR="006B57EB">
        <w:rPr>
          <w:i/>
          <w:sz w:val="22"/>
          <w:szCs w:val="22"/>
        </w:rPr>
        <w:t xml:space="preserve"> </w:t>
      </w:r>
      <w:r w:rsidR="00016631">
        <w:rPr>
          <w:i/>
          <w:sz w:val="22"/>
          <w:szCs w:val="22"/>
        </w:rPr>
        <w:t xml:space="preserve"> </w:t>
      </w:r>
      <w:r w:rsidR="006B57EB">
        <w:rPr>
          <w:i/>
          <w:sz w:val="22"/>
          <w:szCs w:val="22"/>
        </w:rPr>
        <w:t>(47 C.F.R. § 27.1414(c)(2))</w:t>
      </w:r>
    </w:p>
    <w:p w:rsidR="006B57EB" w:rsidP="006B57EB" w:rsidRDefault="006B57EB" w14:paraId="262A3691" w14:textId="77777777">
      <w:pPr>
        <w:pStyle w:val="ListParagraph"/>
        <w:tabs>
          <w:tab w:val="left" w:pos="360"/>
        </w:tabs>
        <w:rPr>
          <w:sz w:val="22"/>
          <w:szCs w:val="22"/>
        </w:rPr>
      </w:pPr>
    </w:p>
    <w:p w:rsidR="006B57EB" w:rsidP="006B57EB" w:rsidRDefault="006B57EB" w14:paraId="3C7C160B" w14:textId="00916F71">
      <w:pPr>
        <w:pStyle w:val="ListParagraph"/>
        <w:tabs>
          <w:tab w:val="left" w:pos="360"/>
        </w:tabs>
        <w:rPr>
          <w:sz w:val="22"/>
          <w:szCs w:val="22"/>
        </w:rPr>
      </w:pPr>
      <w:r>
        <w:rPr>
          <w:sz w:val="22"/>
          <w:szCs w:val="22"/>
        </w:rPr>
        <w:t xml:space="preserve">The Commission estimates that it will take one Commission staff attorney at the GS-15, Step 5 level and one Commission staff attorney at the GS-12, Step 5 level approximately </w:t>
      </w:r>
      <w:r w:rsidR="00826689">
        <w:rPr>
          <w:sz w:val="22"/>
          <w:szCs w:val="22"/>
        </w:rPr>
        <w:t>4</w:t>
      </w:r>
      <w:r>
        <w:rPr>
          <w:sz w:val="22"/>
          <w:szCs w:val="22"/>
        </w:rPr>
        <w:t xml:space="preserve"> hours each to review the Relocation Payment Clearinghouse’s </w:t>
      </w:r>
      <w:r w:rsidR="00130C4D">
        <w:rPr>
          <w:sz w:val="22"/>
          <w:szCs w:val="22"/>
        </w:rPr>
        <w:t xml:space="preserve">privacy and information security </w:t>
      </w:r>
      <w:r w:rsidR="006123FF">
        <w:rPr>
          <w:sz w:val="22"/>
          <w:szCs w:val="22"/>
        </w:rPr>
        <w:t>audit</w:t>
      </w:r>
      <w:r>
        <w:rPr>
          <w:sz w:val="22"/>
          <w:szCs w:val="22"/>
        </w:rPr>
        <w:t>.</w:t>
      </w:r>
    </w:p>
    <w:p w:rsidR="006B57EB" w:rsidP="006B57EB" w:rsidRDefault="006B57EB" w14:paraId="7F6674C4" w14:textId="77777777">
      <w:pPr>
        <w:pStyle w:val="ListParagraph"/>
        <w:tabs>
          <w:tab w:val="left" w:pos="360"/>
        </w:tabs>
        <w:rPr>
          <w:sz w:val="22"/>
          <w:szCs w:val="22"/>
        </w:rPr>
      </w:pPr>
    </w:p>
    <w:p w:rsidR="006B57EB" w:rsidP="006B57EB" w:rsidRDefault="000F379E" w14:paraId="189A7C11" w14:textId="79D3173E">
      <w:pPr>
        <w:pStyle w:val="ListParagraph"/>
        <w:tabs>
          <w:tab w:val="left" w:pos="360"/>
        </w:tabs>
        <w:rPr>
          <w:b/>
          <w:sz w:val="22"/>
          <w:szCs w:val="22"/>
        </w:rPr>
      </w:pPr>
      <w:bookmarkStart w:name="OLE_LINK1" w:id="3"/>
      <w:bookmarkStart w:name="OLE_LINK2" w:id="4"/>
      <w:r>
        <w:rPr>
          <w:sz w:val="22"/>
          <w:szCs w:val="22"/>
        </w:rPr>
        <w:t xml:space="preserve">1 </w:t>
      </w:r>
      <w:r w:rsidR="00931D09">
        <w:rPr>
          <w:sz w:val="22"/>
          <w:szCs w:val="22"/>
        </w:rPr>
        <w:t xml:space="preserve">respondents/responses </w:t>
      </w:r>
      <w:r w:rsidR="006B57EB">
        <w:rPr>
          <w:sz w:val="22"/>
          <w:szCs w:val="22"/>
        </w:rPr>
        <w:t xml:space="preserve">x 4 hours x 77.49/hour (Attorney, GS-15, Step 5) = </w:t>
      </w:r>
      <w:r w:rsidR="006B57EB">
        <w:rPr>
          <w:b/>
          <w:sz w:val="22"/>
          <w:szCs w:val="22"/>
        </w:rPr>
        <w:t>$</w:t>
      </w:r>
      <w:r>
        <w:rPr>
          <w:b/>
          <w:sz w:val="22"/>
          <w:szCs w:val="22"/>
        </w:rPr>
        <w:t>309.96</w:t>
      </w:r>
      <w:r w:rsidR="006B57EB">
        <w:rPr>
          <w:b/>
          <w:sz w:val="22"/>
          <w:szCs w:val="22"/>
        </w:rPr>
        <w:t>.</w:t>
      </w:r>
    </w:p>
    <w:p w:rsidR="006B57EB" w:rsidP="006B57EB" w:rsidRDefault="006B57EB" w14:paraId="79964B33" w14:textId="77777777">
      <w:pPr>
        <w:pStyle w:val="ListParagraph"/>
        <w:tabs>
          <w:tab w:val="left" w:pos="360"/>
        </w:tabs>
        <w:rPr>
          <w:b/>
          <w:sz w:val="22"/>
          <w:szCs w:val="22"/>
        </w:rPr>
      </w:pPr>
    </w:p>
    <w:p w:rsidR="006B57EB" w:rsidP="006B57EB" w:rsidRDefault="000F379E" w14:paraId="15CFD81E" w14:textId="66C7FB67">
      <w:pPr>
        <w:pStyle w:val="ListParagraph"/>
        <w:tabs>
          <w:tab w:val="left" w:pos="360"/>
        </w:tabs>
        <w:rPr>
          <w:b/>
          <w:sz w:val="22"/>
          <w:szCs w:val="22"/>
        </w:rPr>
      </w:pPr>
      <w:r>
        <w:rPr>
          <w:sz w:val="22"/>
          <w:szCs w:val="22"/>
        </w:rPr>
        <w:t xml:space="preserve">1 </w:t>
      </w:r>
      <w:r w:rsidR="00931D09">
        <w:rPr>
          <w:sz w:val="22"/>
          <w:szCs w:val="22"/>
        </w:rPr>
        <w:t xml:space="preserve">respondents/responses </w:t>
      </w:r>
      <w:r w:rsidR="006B57EB">
        <w:rPr>
          <w:sz w:val="22"/>
          <w:szCs w:val="22"/>
        </w:rPr>
        <w:t xml:space="preserve">x 4 hours x 46.88/hour (Attorney, GS-12, Step 5) = </w:t>
      </w:r>
      <w:r w:rsidR="006B57EB">
        <w:rPr>
          <w:b/>
          <w:sz w:val="22"/>
          <w:szCs w:val="22"/>
        </w:rPr>
        <w:t>$</w:t>
      </w:r>
      <w:r>
        <w:rPr>
          <w:b/>
          <w:sz w:val="22"/>
          <w:szCs w:val="22"/>
        </w:rPr>
        <w:t>187.52</w:t>
      </w:r>
      <w:r w:rsidR="006B57EB">
        <w:rPr>
          <w:b/>
          <w:sz w:val="22"/>
          <w:szCs w:val="22"/>
        </w:rPr>
        <w:t>.</w:t>
      </w:r>
    </w:p>
    <w:bookmarkEnd w:id="3"/>
    <w:bookmarkEnd w:id="4"/>
    <w:p w:rsidRPr="00E9118A" w:rsidR="00A54F69" w:rsidP="006B57EB" w:rsidRDefault="00A54F69" w14:paraId="330DEE40" w14:textId="77777777">
      <w:pPr>
        <w:pStyle w:val="ListParagraph"/>
        <w:tabs>
          <w:tab w:val="left" w:pos="360"/>
        </w:tabs>
        <w:rPr>
          <w:b/>
          <w:sz w:val="22"/>
          <w:szCs w:val="22"/>
        </w:rPr>
      </w:pPr>
    </w:p>
    <w:p w:rsidRPr="00F876DA" w:rsidR="00EA1740" w:rsidP="00EA1740" w:rsidRDefault="00D155CF" w14:paraId="27059082" w14:textId="223DFAAC">
      <w:pPr>
        <w:pStyle w:val="ListParagraph"/>
        <w:numPr>
          <w:ilvl w:val="0"/>
          <w:numId w:val="14"/>
        </w:numPr>
        <w:tabs>
          <w:tab w:val="left" w:pos="360"/>
        </w:tabs>
        <w:rPr>
          <w:sz w:val="22"/>
          <w:szCs w:val="22"/>
        </w:rPr>
      </w:pPr>
      <w:r>
        <w:rPr>
          <w:i/>
          <w:sz w:val="22"/>
          <w:szCs w:val="22"/>
        </w:rPr>
        <w:t>The Commission will</w:t>
      </w:r>
      <w:r w:rsidR="003B224C">
        <w:rPr>
          <w:i/>
          <w:sz w:val="22"/>
          <w:szCs w:val="22"/>
        </w:rPr>
        <w:t xml:space="preserve"> review</w:t>
      </w:r>
      <w:r>
        <w:rPr>
          <w:i/>
          <w:sz w:val="22"/>
          <w:szCs w:val="22"/>
        </w:rPr>
        <w:t xml:space="preserve"> disputes regarding cost estimates or payments.</w:t>
      </w:r>
      <w:r w:rsidR="00F876DA">
        <w:rPr>
          <w:i/>
          <w:sz w:val="22"/>
          <w:szCs w:val="22"/>
        </w:rPr>
        <w:t xml:space="preserve"> </w:t>
      </w:r>
      <w:r>
        <w:rPr>
          <w:i/>
          <w:sz w:val="22"/>
          <w:szCs w:val="22"/>
        </w:rPr>
        <w:t xml:space="preserve"> </w:t>
      </w:r>
      <w:r w:rsidR="00F876DA">
        <w:rPr>
          <w:i/>
          <w:sz w:val="22"/>
          <w:szCs w:val="22"/>
        </w:rPr>
        <w:t>(47 C.F.R. § 27.1421(c))</w:t>
      </w:r>
    </w:p>
    <w:p w:rsidR="00F876DA" w:rsidP="00F876DA" w:rsidRDefault="00F876DA" w14:paraId="473B38E1" w14:textId="4601E7EE">
      <w:pPr>
        <w:pStyle w:val="ListParagraph"/>
        <w:tabs>
          <w:tab w:val="left" w:pos="360"/>
        </w:tabs>
        <w:rPr>
          <w:sz w:val="22"/>
          <w:szCs w:val="22"/>
        </w:rPr>
      </w:pPr>
    </w:p>
    <w:p w:rsidR="00F876DA" w:rsidP="00F876DA" w:rsidRDefault="00F876DA" w14:paraId="2E0218F5" w14:textId="73614BAB">
      <w:pPr>
        <w:pStyle w:val="ListParagraph"/>
        <w:tabs>
          <w:tab w:val="left" w:pos="360"/>
        </w:tabs>
        <w:rPr>
          <w:sz w:val="22"/>
          <w:szCs w:val="22"/>
        </w:rPr>
      </w:pPr>
      <w:r>
        <w:rPr>
          <w:sz w:val="22"/>
          <w:szCs w:val="22"/>
        </w:rPr>
        <w:t xml:space="preserve">The Commission estimates that it will take one Commission staff attorney at the GS-15, Step 5 level and one Commission staff attorney at the GS-12, Step 5 level approximately 24 hours each to </w:t>
      </w:r>
      <w:r w:rsidR="00D312FE">
        <w:rPr>
          <w:sz w:val="22"/>
          <w:szCs w:val="22"/>
        </w:rPr>
        <w:t>resolve disputes regarding cost estimates or payments</w:t>
      </w:r>
      <w:r>
        <w:rPr>
          <w:sz w:val="22"/>
          <w:szCs w:val="22"/>
        </w:rPr>
        <w:t>.</w:t>
      </w:r>
    </w:p>
    <w:p w:rsidR="00F876DA" w:rsidP="00F876DA" w:rsidRDefault="00F876DA" w14:paraId="0A739262" w14:textId="0EC36237">
      <w:pPr>
        <w:pStyle w:val="ListParagraph"/>
        <w:tabs>
          <w:tab w:val="left" w:pos="360"/>
        </w:tabs>
        <w:rPr>
          <w:sz w:val="22"/>
          <w:szCs w:val="22"/>
        </w:rPr>
      </w:pPr>
    </w:p>
    <w:p w:rsidRPr="008C3532" w:rsidR="00BC10E0" w:rsidP="00BC10E0" w:rsidRDefault="00B766CD" w14:paraId="2FFD255D" w14:textId="46918C2B">
      <w:pPr>
        <w:pStyle w:val="ListParagraph"/>
        <w:tabs>
          <w:tab w:val="left" w:pos="360"/>
        </w:tabs>
        <w:rPr>
          <w:b/>
          <w:sz w:val="22"/>
          <w:szCs w:val="22"/>
        </w:rPr>
      </w:pPr>
      <w:r>
        <w:rPr>
          <w:sz w:val="22"/>
          <w:szCs w:val="22"/>
        </w:rPr>
        <w:t>37</w:t>
      </w:r>
      <w:r w:rsidRPr="008C3532">
        <w:rPr>
          <w:sz w:val="22"/>
          <w:szCs w:val="22"/>
        </w:rPr>
        <w:t xml:space="preserve"> </w:t>
      </w:r>
      <w:r w:rsidRPr="008C3532" w:rsidR="00931D09">
        <w:rPr>
          <w:sz w:val="22"/>
          <w:szCs w:val="22"/>
        </w:rPr>
        <w:t xml:space="preserve">respondents/responses </w:t>
      </w:r>
      <w:r w:rsidRPr="008C3532" w:rsidR="00BC10E0">
        <w:rPr>
          <w:sz w:val="22"/>
          <w:szCs w:val="22"/>
        </w:rPr>
        <w:t xml:space="preserve">x 4 hours x 77.49/hour (Attorney, GS-15, Step 5) = </w:t>
      </w:r>
      <w:r w:rsidRPr="008C3532" w:rsidR="00BC10E0">
        <w:rPr>
          <w:b/>
          <w:sz w:val="22"/>
          <w:szCs w:val="22"/>
        </w:rPr>
        <w:t>$</w:t>
      </w:r>
      <w:r w:rsidR="00411F6B">
        <w:rPr>
          <w:b/>
          <w:sz w:val="22"/>
          <w:szCs w:val="22"/>
        </w:rPr>
        <w:t>11,468.52</w:t>
      </w:r>
      <w:r w:rsidRPr="008C3532" w:rsidR="00BC10E0">
        <w:rPr>
          <w:b/>
          <w:sz w:val="22"/>
          <w:szCs w:val="22"/>
        </w:rPr>
        <w:t>.</w:t>
      </w:r>
    </w:p>
    <w:p w:rsidRPr="008C3532" w:rsidR="00BC10E0" w:rsidP="00931D09" w:rsidRDefault="00BC10E0" w14:paraId="1D8F1B4E" w14:textId="77777777">
      <w:pPr>
        <w:pStyle w:val="ListParagraph"/>
        <w:tabs>
          <w:tab w:val="left" w:pos="360"/>
        </w:tabs>
        <w:ind w:firstLine="720"/>
        <w:rPr>
          <w:b/>
          <w:sz w:val="22"/>
          <w:szCs w:val="22"/>
        </w:rPr>
      </w:pPr>
    </w:p>
    <w:p w:rsidR="00BC10E0" w:rsidP="00BC10E0" w:rsidRDefault="00B766CD" w14:paraId="161753DC" w14:textId="6C30E0BC">
      <w:pPr>
        <w:pStyle w:val="ListParagraph"/>
        <w:tabs>
          <w:tab w:val="left" w:pos="360"/>
        </w:tabs>
        <w:rPr>
          <w:b/>
          <w:sz w:val="22"/>
          <w:szCs w:val="22"/>
        </w:rPr>
      </w:pPr>
      <w:r>
        <w:rPr>
          <w:sz w:val="22"/>
          <w:szCs w:val="22"/>
        </w:rPr>
        <w:t>37</w:t>
      </w:r>
      <w:r w:rsidRPr="008C3532">
        <w:rPr>
          <w:sz w:val="22"/>
          <w:szCs w:val="22"/>
        </w:rPr>
        <w:t xml:space="preserve"> </w:t>
      </w:r>
      <w:r w:rsidRPr="008C3532" w:rsidR="00931D09">
        <w:rPr>
          <w:sz w:val="22"/>
          <w:szCs w:val="22"/>
        </w:rPr>
        <w:t xml:space="preserve">respondents/responses </w:t>
      </w:r>
      <w:r w:rsidRPr="008C3532" w:rsidR="00BC10E0">
        <w:rPr>
          <w:sz w:val="22"/>
          <w:szCs w:val="22"/>
        </w:rPr>
        <w:t xml:space="preserve">x 4 hours x 46.88/hour (Attorney, GS-12, Step 5) = </w:t>
      </w:r>
      <w:r w:rsidRPr="008C3532" w:rsidR="00BC10E0">
        <w:rPr>
          <w:b/>
          <w:sz w:val="22"/>
          <w:szCs w:val="22"/>
        </w:rPr>
        <w:t>$</w:t>
      </w:r>
      <w:r w:rsidR="00637F54">
        <w:rPr>
          <w:b/>
          <w:sz w:val="22"/>
          <w:szCs w:val="22"/>
        </w:rPr>
        <w:t>6,938.24</w:t>
      </w:r>
      <w:r w:rsidRPr="008C3532" w:rsidR="00BC10E0">
        <w:rPr>
          <w:b/>
          <w:sz w:val="22"/>
          <w:szCs w:val="22"/>
        </w:rPr>
        <w:t>.</w:t>
      </w:r>
    </w:p>
    <w:p w:rsidR="00834946" w:rsidP="00BC10E0" w:rsidRDefault="00834946" w14:paraId="4AB0D844" w14:textId="7D658264">
      <w:pPr>
        <w:pStyle w:val="ListParagraph"/>
        <w:tabs>
          <w:tab w:val="left" w:pos="360"/>
        </w:tabs>
        <w:rPr>
          <w:b/>
          <w:sz w:val="22"/>
          <w:szCs w:val="22"/>
        </w:rPr>
      </w:pPr>
    </w:p>
    <w:p w:rsidRPr="009937F3" w:rsidR="00BB2E3B" w:rsidP="009937F3" w:rsidRDefault="00BB2E3B" w14:paraId="2DB114B5" w14:textId="4E49425B">
      <w:pPr>
        <w:pStyle w:val="ListParagraph"/>
        <w:numPr>
          <w:ilvl w:val="0"/>
          <w:numId w:val="14"/>
        </w:numPr>
        <w:tabs>
          <w:tab w:val="left" w:pos="360"/>
        </w:tabs>
        <w:rPr>
          <w:i/>
          <w:sz w:val="22"/>
          <w:szCs w:val="22"/>
        </w:rPr>
      </w:pPr>
      <w:r w:rsidRPr="009937F3">
        <w:rPr>
          <w:i/>
          <w:sz w:val="22"/>
          <w:szCs w:val="22"/>
        </w:rPr>
        <w:t>The Wireless Telecommunications Bureau shall issue a Public Notice upon receipt of a request of the Clearinghouse to wind down and suspend operations.  (Para. 278)</w:t>
      </w:r>
    </w:p>
    <w:p w:rsidR="00BB2E3B" w:rsidP="00BB2E3B" w:rsidRDefault="00BB2E3B" w14:paraId="7D743FFD" w14:textId="77777777">
      <w:pPr>
        <w:pStyle w:val="ListParagraph"/>
        <w:tabs>
          <w:tab w:val="left" w:pos="360"/>
        </w:tabs>
        <w:rPr>
          <w:i/>
          <w:sz w:val="22"/>
          <w:szCs w:val="22"/>
        </w:rPr>
      </w:pPr>
    </w:p>
    <w:p w:rsidRPr="002855C0" w:rsidR="00BB2E3B" w:rsidP="002855C0" w:rsidRDefault="00BB2E3B" w14:paraId="6FC7BDC0" w14:textId="41E76299">
      <w:pPr>
        <w:pStyle w:val="ListParagraph"/>
        <w:tabs>
          <w:tab w:val="left" w:pos="360"/>
        </w:tabs>
        <w:rPr>
          <w:sz w:val="22"/>
          <w:szCs w:val="22"/>
        </w:rPr>
      </w:pPr>
      <w:r>
        <w:rPr>
          <w:sz w:val="22"/>
          <w:szCs w:val="22"/>
        </w:rPr>
        <w:t xml:space="preserve">The Commission estimates that it will take </w:t>
      </w:r>
      <w:r w:rsidR="002855C0">
        <w:rPr>
          <w:sz w:val="22"/>
          <w:szCs w:val="22"/>
        </w:rPr>
        <w:t xml:space="preserve">one Commission staff attorney at the GS-15, Step 5 level approximately </w:t>
      </w:r>
      <w:r w:rsidRPr="002855C0">
        <w:rPr>
          <w:sz w:val="22"/>
          <w:szCs w:val="22"/>
        </w:rPr>
        <w:t xml:space="preserve">8 hours to </w:t>
      </w:r>
      <w:r w:rsidR="002855C0">
        <w:rPr>
          <w:sz w:val="22"/>
          <w:szCs w:val="22"/>
        </w:rPr>
        <w:t>issue a Public Notice upon receipt of a request of the Clearinghouse to wind down and suspend operations.</w:t>
      </w:r>
    </w:p>
    <w:p w:rsidR="00BB2E3B" w:rsidP="00BB2E3B" w:rsidRDefault="00BB2E3B" w14:paraId="5CC75DDE" w14:textId="77777777">
      <w:pPr>
        <w:pStyle w:val="ListParagraph"/>
        <w:tabs>
          <w:tab w:val="left" w:pos="360"/>
        </w:tabs>
        <w:rPr>
          <w:sz w:val="22"/>
          <w:szCs w:val="22"/>
        </w:rPr>
      </w:pPr>
    </w:p>
    <w:p w:rsidR="00BB2E3B" w:rsidP="00BB2E3B" w:rsidRDefault="000A63EC" w14:paraId="6768F5DF" w14:textId="20147E04">
      <w:pPr>
        <w:pStyle w:val="ListParagraph"/>
        <w:tabs>
          <w:tab w:val="left" w:pos="360"/>
        </w:tabs>
        <w:rPr>
          <w:sz w:val="22"/>
          <w:szCs w:val="22"/>
        </w:rPr>
      </w:pPr>
      <w:r>
        <w:rPr>
          <w:sz w:val="22"/>
          <w:szCs w:val="22"/>
        </w:rPr>
        <w:t>1 respondents/response</w:t>
      </w:r>
      <w:r w:rsidR="002C2EA1">
        <w:rPr>
          <w:sz w:val="22"/>
          <w:szCs w:val="22"/>
        </w:rPr>
        <w:t>s</w:t>
      </w:r>
      <w:r>
        <w:rPr>
          <w:sz w:val="22"/>
          <w:szCs w:val="22"/>
        </w:rPr>
        <w:t xml:space="preserve"> x </w:t>
      </w:r>
      <w:r w:rsidR="0093479D">
        <w:rPr>
          <w:sz w:val="22"/>
          <w:szCs w:val="22"/>
        </w:rPr>
        <w:t>9 hours x 77.49/hour (Attorney, GS-15, Step 5) =</w:t>
      </w:r>
      <w:r w:rsidR="00BB2E3B">
        <w:rPr>
          <w:sz w:val="22"/>
          <w:szCs w:val="22"/>
        </w:rPr>
        <w:t xml:space="preserve">  </w:t>
      </w:r>
      <w:r w:rsidRPr="0093479D" w:rsidR="00BB2E3B">
        <w:rPr>
          <w:b/>
          <w:sz w:val="22"/>
          <w:szCs w:val="22"/>
        </w:rPr>
        <w:t>$</w:t>
      </w:r>
      <w:r w:rsidR="00C3614E">
        <w:rPr>
          <w:b/>
          <w:sz w:val="22"/>
          <w:szCs w:val="22"/>
        </w:rPr>
        <w:t>697.41</w:t>
      </w:r>
      <w:r w:rsidR="00BB2E3B">
        <w:rPr>
          <w:sz w:val="22"/>
          <w:szCs w:val="22"/>
        </w:rPr>
        <w:t>.</w:t>
      </w:r>
    </w:p>
    <w:p w:rsidRPr="005E2162" w:rsidR="00632983" w:rsidP="0081607C" w:rsidRDefault="00632983" w14:paraId="65C7F2F6" w14:textId="42C0C000">
      <w:pPr>
        <w:tabs>
          <w:tab w:val="left" w:pos="360"/>
        </w:tabs>
        <w:rPr>
          <w:sz w:val="22"/>
          <w:szCs w:val="22"/>
        </w:rPr>
      </w:pPr>
    </w:p>
    <w:p w:rsidR="00632983" w:rsidP="005E2162" w:rsidRDefault="00632983" w14:paraId="7792AAC5" w14:textId="7DFE16DB">
      <w:pPr>
        <w:tabs>
          <w:tab w:val="left" w:pos="360"/>
        </w:tabs>
        <w:ind w:left="360"/>
        <w:rPr>
          <w:i/>
          <w:sz w:val="22"/>
          <w:szCs w:val="22"/>
          <w:u w:val="single"/>
        </w:rPr>
      </w:pPr>
      <w:r w:rsidRPr="005E2162">
        <w:rPr>
          <w:i/>
          <w:sz w:val="22"/>
          <w:szCs w:val="22"/>
          <w:u w:val="single"/>
        </w:rPr>
        <w:t>Relocation Coordinator</w:t>
      </w:r>
    </w:p>
    <w:p w:rsidR="0009321E" w:rsidP="005E2162" w:rsidRDefault="0009321E" w14:paraId="17BFD4B5" w14:textId="354FF50D">
      <w:pPr>
        <w:tabs>
          <w:tab w:val="left" w:pos="360"/>
        </w:tabs>
        <w:ind w:left="360"/>
        <w:rPr>
          <w:i/>
          <w:sz w:val="22"/>
          <w:szCs w:val="22"/>
          <w:u w:val="single"/>
        </w:rPr>
      </w:pPr>
    </w:p>
    <w:p w:rsidR="0009321E" w:rsidP="0009321E" w:rsidRDefault="002053E4" w14:paraId="5778D0A2" w14:textId="6E898415">
      <w:pPr>
        <w:pStyle w:val="ListParagraph"/>
        <w:numPr>
          <w:ilvl w:val="0"/>
          <w:numId w:val="15"/>
        </w:numPr>
        <w:tabs>
          <w:tab w:val="left" w:pos="360"/>
        </w:tabs>
        <w:rPr>
          <w:sz w:val="22"/>
          <w:szCs w:val="22"/>
        </w:rPr>
      </w:pPr>
      <w:r>
        <w:rPr>
          <w:i/>
          <w:sz w:val="22"/>
          <w:szCs w:val="22"/>
        </w:rPr>
        <w:t>The Commission will review the Relocation Coordinat</w:t>
      </w:r>
      <w:r w:rsidR="00130C4D">
        <w:rPr>
          <w:i/>
          <w:sz w:val="22"/>
          <w:szCs w:val="22"/>
        </w:rPr>
        <w:t>or’s Earth Station Transition Pla</w:t>
      </w:r>
      <w:r w:rsidR="00017F45">
        <w:rPr>
          <w:i/>
          <w:sz w:val="22"/>
          <w:szCs w:val="22"/>
        </w:rPr>
        <w:t>n, to the extent that incumbent earth stations are not accounted for in eligible space station operators’ Transition Plans</w:t>
      </w:r>
      <w:r w:rsidR="00A91E22">
        <w:rPr>
          <w:i/>
          <w:sz w:val="22"/>
          <w:szCs w:val="22"/>
        </w:rPr>
        <w:t xml:space="preserve">. </w:t>
      </w:r>
      <w:r w:rsidR="00017F45">
        <w:rPr>
          <w:i/>
          <w:sz w:val="22"/>
          <w:szCs w:val="22"/>
        </w:rPr>
        <w:t xml:space="preserve"> (47 C.F.R. §§ 27.1412(d)(2); 27.1413(c)(3))</w:t>
      </w:r>
    </w:p>
    <w:p w:rsidR="00017F45" w:rsidP="00017F45" w:rsidRDefault="00017F45" w14:paraId="063FCBB5" w14:textId="587698D2">
      <w:pPr>
        <w:pStyle w:val="ListParagraph"/>
        <w:tabs>
          <w:tab w:val="left" w:pos="360"/>
        </w:tabs>
        <w:rPr>
          <w:sz w:val="22"/>
          <w:szCs w:val="22"/>
        </w:rPr>
      </w:pPr>
    </w:p>
    <w:p w:rsidR="001554E3" w:rsidP="001554E3" w:rsidRDefault="001554E3" w14:paraId="74B6AE40" w14:textId="4A4E8D28">
      <w:pPr>
        <w:pStyle w:val="ListParagraph"/>
        <w:tabs>
          <w:tab w:val="left" w:pos="360"/>
        </w:tabs>
        <w:rPr>
          <w:sz w:val="22"/>
          <w:szCs w:val="22"/>
        </w:rPr>
      </w:pPr>
      <w:r>
        <w:rPr>
          <w:sz w:val="22"/>
          <w:szCs w:val="22"/>
        </w:rPr>
        <w:t xml:space="preserve">The Commission estimates that it will take one Commission staff attorney at the GS-15, Step 5 level and one Commission staff attorney at the GS-12, Step 5 level approximately 8 hours each to review the </w:t>
      </w:r>
      <w:r w:rsidR="00DC56B9">
        <w:rPr>
          <w:sz w:val="22"/>
          <w:szCs w:val="22"/>
        </w:rPr>
        <w:t>Relocation Coordinator’s Earth Station Transition Plan</w:t>
      </w:r>
      <w:r>
        <w:rPr>
          <w:sz w:val="22"/>
          <w:szCs w:val="22"/>
        </w:rPr>
        <w:t>.</w:t>
      </w:r>
    </w:p>
    <w:p w:rsidR="001554E3" w:rsidP="001554E3" w:rsidRDefault="001554E3" w14:paraId="1F47C955" w14:textId="77777777">
      <w:pPr>
        <w:pStyle w:val="ListParagraph"/>
        <w:tabs>
          <w:tab w:val="left" w:pos="360"/>
        </w:tabs>
        <w:rPr>
          <w:sz w:val="22"/>
          <w:szCs w:val="22"/>
        </w:rPr>
      </w:pPr>
    </w:p>
    <w:p w:rsidR="001554E3" w:rsidP="001554E3" w:rsidRDefault="001554E3" w14:paraId="200393ED" w14:textId="5FE162C0">
      <w:pPr>
        <w:pStyle w:val="ListParagraph"/>
        <w:tabs>
          <w:tab w:val="left" w:pos="360"/>
        </w:tabs>
        <w:rPr>
          <w:b/>
          <w:sz w:val="22"/>
          <w:szCs w:val="22"/>
        </w:rPr>
      </w:pPr>
      <w:r>
        <w:rPr>
          <w:sz w:val="22"/>
          <w:szCs w:val="22"/>
        </w:rPr>
        <w:t xml:space="preserve">1 </w:t>
      </w:r>
      <w:r w:rsidR="00931D09">
        <w:rPr>
          <w:sz w:val="22"/>
          <w:szCs w:val="22"/>
        </w:rPr>
        <w:t xml:space="preserve">respondents/responses </w:t>
      </w:r>
      <w:r>
        <w:rPr>
          <w:sz w:val="22"/>
          <w:szCs w:val="22"/>
        </w:rPr>
        <w:t xml:space="preserve">x </w:t>
      </w:r>
      <w:r w:rsidR="00E41AC9">
        <w:rPr>
          <w:sz w:val="22"/>
          <w:szCs w:val="22"/>
        </w:rPr>
        <w:t>8</w:t>
      </w:r>
      <w:r>
        <w:rPr>
          <w:sz w:val="22"/>
          <w:szCs w:val="22"/>
        </w:rPr>
        <w:t xml:space="preserve"> hours x 77.49/hour (Attorney, GS-15, Step 5) = </w:t>
      </w:r>
      <w:r>
        <w:rPr>
          <w:b/>
          <w:sz w:val="22"/>
          <w:szCs w:val="22"/>
        </w:rPr>
        <w:t>$</w:t>
      </w:r>
      <w:r w:rsidR="00B9627C">
        <w:rPr>
          <w:b/>
          <w:sz w:val="22"/>
          <w:szCs w:val="22"/>
        </w:rPr>
        <w:t>619.92.</w:t>
      </w:r>
    </w:p>
    <w:p w:rsidR="001554E3" w:rsidP="001554E3" w:rsidRDefault="001554E3" w14:paraId="444EC0F7" w14:textId="77777777">
      <w:pPr>
        <w:pStyle w:val="ListParagraph"/>
        <w:tabs>
          <w:tab w:val="left" w:pos="360"/>
        </w:tabs>
        <w:rPr>
          <w:b/>
          <w:sz w:val="22"/>
          <w:szCs w:val="22"/>
        </w:rPr>
      </w:pPr>
    </w:p>
    <w:p w:rsidR="00017F45" w:rsidP="00BB3CE0" w:rsidRDefault="001554E3" w14:paraId="58D1A7B9" w14:textId="19BA6188">
      <w:pPr>
        <w:pStyle w:val="ListParagraph"/>
        <w:tabs>
          <w:tab w:val="left" w:pos="360"/>
        </w:tabs>
        <w:rPr>
          <w:b/>
          <w:sz w:val="22"/>
          <w:szCs w:val="22"/>
        </w:rPr>
      </w:pPr>
      <w:r>
        <w:rPr>
          <w:sz w:val="22"/>
          <w:szCs w:val="22"/>
        </w:rPr>
        <w:t xml:space="preserve">1 </w:t>
      </w:r>
      <w:r w:rsidR="00931D09">
        <w:rPr>
          <w:sz w:val="22"/>
          <w:szCs w:val="22"/>
        </w:rPr>
        <w:t xml:space="preserve">respondents/responses </w:t>
      </w:r>
      <w:r>
        <w:rPr>
          <w:sz w:val="22"/>
          <w:szCs w:val="22"/>
        </w:rPr>
        <w:t xml:space="preserve">x </w:t>
      </w:r>
      <w:r w:rsidR="00E41AC9">
        <w:rPr>
          <w:sz w:val="22"/>
          <w:szCs w:val="22"/>
        </w:rPr>
        <w:t>8</w:t>
      </w:r>
      <w:r>
        <w:rPr>
          <w:sz w:val="22"/>
          <w:szCs w:val="22"/>
        </w:rPr>
        <w:t xml:space="preserve"> hours x 46.88/hour (Attorney, GS-12, Step 5) = </w:t>
      </w:r>
      <w:r>
        <w:rPr>
          <w:b/>
          <w:sz w:val="22"/>
          <w:szCs w:val="22"/>
        </w:rPr>
        <w:t>$</w:t>
      </w:r>
      <w:r w:rsidR="007004C0">
        <w:rPr>
          <w:b/>
          <w:sz w:val="22"/>
          <w:szCs w:val="22"/>
        </w:rPr>
        <w:t>375.04.</w:t>
      </w:r>
    </w:p>
    <w:p w:rsidRPr="003B224C" w:rsidR="003B224C" w:rsidP="003B224C" w:rsidRDefault="003B224C" w14:paraId="178E0735" w14:textId="47BCA1D5">
      <w:pPr>
        <w:tabs>
          <w:tab w:val="left" w:pos="360"/>
        </w:tabs>
        <w:rPr>
          <w:sz w:val="22"/>
          <w:szCs w:val="22"/>
        </w:rPr>
      </w:pPr>
    </w:p>
    <w:p w:rsidR="003B224C" w:rsidP="003B224C" w:rsidRDefault="003B224C" w14:paraId="2A994511" w14:textId="1DDF7734">
      <w:pPr>
        <w:pStyle w:val="ListParagraph"/>
        <w:numPr>
          <w:ilvl w:val="0"/>
          <w:numId w:val="15"/>
        </w:numPr>
        <w:tabs>
          <w:tab w:val="left" w:pos="360"/>
        </w:tabs>
        <w:rPr>
          <w:sz w:val="22"/>
          <w:szCs w:val="22"/>
        </w:rPr>
      </w:pPr>
      <w:r w:rsidRPr="003B224C">
        <w:rPr>
          <w:i/>
          <w:sz w:val="22"/>
          <w:szCs w:val="22"/>
        </w:rPr>
        <w:t>The Wireless Telecommunications Bureau wil</w:t>
      </w:r>
      <w:r>
        <w:rPr>
          <w:i/>
          <w:sz w:val="22"/>
          <w:szCs w:val="22"/>
        </w:rPr>
        <w:t xml:space="preserve">l </w:t>
      </w:r>
      <w:r w:rsidR="00E159CB">
        <w:rPr>
          <w:i/>
          <w:sz w:val="22"/>
          <w:szCs w:val="22"/>
        </w:rPr>
        <w:t>review notices of disputes related to comparability of facilities, workmanship, or preservation of service during the transition</w:t>
      </w:r>
      <w:r w:rsidR="008C0DAF">
        <w:rPr>
          <w:i/>
          <w:sz w:val="22"/>
          <w:szCs w:val="22"/>
        </w:rPr>
        <w:t>,</w:t>
      </w:r>
      <w:r w:rsidR="00E159CB">
        <w:rPr>
          <w:i/>
          <w:sz w:val="22"/>
          <w:szCs w:val="22"/>
        </w:rPr>
        <w:t xml:space="preserve"> filed on behalf of the Relocation Coordinator</w:t>
      </w:r>
      <w:r w:rsidR="00696778">
        <w:rPr>
          <w:i/>
          <w:sz w:val="22"/>
          <w:szCs w:val="22"/>
        </w:rPr>
        <w:t xml:space="preserve">. </w:t>
      </w:r>
      <w:r w:rsidR="00E159CB">
        <w:rPr>
          <w:i/>
          <w:sz w:val="22"/>
          <w:szCs w:val="22"/>
        </w:rPr>
        <w:t xml:space="preserve"> (47 C.F.R § 27.1414(c)(6))</w:t>
      </w:r>
    </w:p>
    <w:p w:rsidR="00E159CB" w:rsidP="00E159CB" w:rsidRDefault="00E159CB" w14:paraId="64FCCB3E" w14:textId="510DF040">
      <w:pPr>
        <w:pStyle w:val="ListParagraph"/>
        <w:tabs>
          <w:tab w:val="left" w:pos="360"/>
        </w:tabs>
        <w:rPr>
          <w:sz w:val="22"/>
          <w:szCs w:val="22"/>
        </w:rPr>
      </w:pPr>
    </w:p>
    <w:p w:rsidR="00045DA6" w:rsidP="00045DA6" w:rsidRDefault="00045DA6" w14:paraId="5EC5A95F" w14:textId="494DF0FE">
      <w:pPr>
        <w:pStyle w:val="ListParagraph"/>
        <w:tabs>
          <w:tab w:val="left" w:pos="360"/>
        </w:tabs>
        <w:rPr>
          <w:sz w:val="22"/>
          <w:szCs w:val="22"/>
        </w:rPr>
      </w:pPr>
      <w:r>
        <w:rPr>
          <w:sz w:val="22"/>
          <w:szCs w:val="22"/>
        </w:rPr>
        <w:t>The Commission estimates that it will take one Commission staff attorney at the GS-15, Step 5 level and one Commission staff attorney at the GS-12, Step 5 level approximately 24 hours each to review and resolve disput</w:t>
      </w:r>
      <w:r w:rsidR="009061EA">
        <w:rPr>
          <w:sz w:val="22"/>
          <w:szCs w:val="22"/>
        </w:rPr>
        <w:t>es related to comparability of facilities, workmanship, or preservation of service</w:t>
      </w:r>
      <w:r w:rsidR="00B45A82">
        <w:rPr>
          <w:sz w:val="22"/>
          <w:szCs w:val="22"/>
        </w:rPr>
        <w:t xml:space="preserve"> during the transition</w:t>
      </w:r>
      <w:r>
        <w:rPr>
          <w:sz w:val="22"/>
          <w:szCs w:val="22"/>
        </w:rPr>
        <w:t>.</w:t>
      </w:r>
    </w:p>
    <w:p w:rsidR="00045DA6" w:rsidP="00045DA6" w:rsidRDefault="00045DA6" w14:paraId="5FFF8923" w14:textId="77777777">
      <w:pPr>
        <w:pStyle w:val="ListParagraph"/>
        <w:tabs>
          <w:tab w:val="left" w:pos="360"/>
        </w:tabs>
        <w:rPr>
          <w:sz w:val="22"/>
          <w:szCs w:val="22"/>
        </w:rPr>
      </w:pPr>
    </w:p>
    <w:p w:rsidRPr="0004258C" w:rsidR="00045DA6" w:rsidP="00045DA6" w:rsidRDefault="00980FF3" w14:paraId="693CE592" w14:textId="3A12A237">
      <w:pPr>
        <w:pStyle w:val="ListParagraph"/>
        <w:tabs>
          <w:tab w:val="left" w:pos="360"/>
        </w:tabs>
        <w:rPr>
          <w:b/>
          <w:sz w:val="22"/>
          <w:szCs w:val="22"/>
        </w:rPr>
      </w:pPr>
      <w:r>
        <w:rPr>
          <w:sz w:val="22"/>
          <w:szCs w:val="22"/>
        </w:rPr>
        <w:t>37</w:t>
      </w:r>
      <w:r w:rsidRPr="0004258C">
        <w:rPr>
          <w:sz w:val="22"/>
          <w:szCs w:val="22"/>
        </w:rPr>
        <w:t xml:space="preserve"> </w:t>
      </w:r>
      <w:r w:rsidRPr="0004258C" w:rsidR="00931D09">
        <w:rPr>
          <w:sz w:val="22"/>
          <w:szCs w:val="22"/>
        </w:rPr>
        <w:t xml:space="preserve">respondents/responses </w:t>
      </w:r>
      <w:r w:rsidRPr="0004258C" w:rsidR="00045DA6">
        <w:rPr>
          <w:sz w:val="22"/>
          <w:szCs w:val="22"/>
        </w:rPr>
        <w:t xml:space="preserve">x 4 hours x 77.49/hour (Attorney, GS-15, Step 5) = </w:t>
      </w:r>
      <w:r w:rsidRPr="0004258C" w:rsidR="00045DA6">
        <w:rPr>
          <w:b/>
          <w:sz w:val="22"/>
          <w:szCs w:val="22"/>
        </w:rPr>
        <w:t>$</w:t>
      </w:r>
      <w:r>
        <w:rPr>
          <w:b/>
          <w:sz w:val="22"/>
          <w:szCs w:val="22"/>
        </w:rPr>
        <w:t>11,468.52</w:t>
      </w:r>
      <w:r w:rsidRPr="0004258C" w:rsidR="00045DA6">
        <w:rPr>
          <w:b/>
          <w:sz w:val="22"/>
          <w:szCs w:val="22"/>
        </w:rPr>
        <w:t>.</w:t>
      </w:r>
    </w:p>
    <w:p w:rsidRPr="0004258C" w:rsidR="00045DA6" w:rsidP="00045DA6" w:rsidRDefault="00045DA6" w14:paraId="603FF46B" w14:textId="77777777">
      <w:pPr>
        <w:pStyle w:val="ListParagraph"/>
        <w:tabs>
          <w:tab w:val="left" w:pos="360"/>
        </w:tabs>
        <w:rPr>
          <w:b/>
          <w:sz w:val="22"/>
          <w:szCs w:val="22"/>
        </w:rPr>
      </w:pPr>
    </w:p>
    <w:p w:rsidR="00045DA6" w:rsidP="00045DA6" w:rsidRDefault="00980FF3" w14:paraId="109099AC" w14:textId="4A7B0278">
      <w:pPr>
        <w:pStyle w:val="ListParagraph"/>
        <w:tabs>
          <w:tab w:val="left" w:pos="360"/>
        </w:tabs>
        <w:rPr>
          <w:b/>
          <w:sz w:val="22"/>
          <w:szCs w:val="22"/>
        </w:rPr>
      </w:pPr>
      <w:r>
        <w:rPr>
          <w:sz w:val="22"/>
          <w:szCs w:val="22"/>
        </w:rPr>
        <w:t>37</w:t>
      </w:r>
      <w:r w:rsidRPr="0004258C">
        <w:rPr>
          <w:sz w:val="22"/>
          <w:szCs w:val="22"/>
        </w:rPr>
        <w:t xml:space="preserve"> </w:t>
      </w:r>
      <w:r w:rsidRPr="0004258C" w:rsidR="00931D09">
        <w:rPr>
          <w:sz w:val="22"/>
          <w:szCs w:val="22"/>
        </w:rPr>
        <w:t xml:space="preserve">respondents/responses </w:t>
      </w:r>
      <w:r w:rsidRPr="0004258C" w:rsidR="00045DA6">
        <w:rPr>
          <w:sz w:val="22"/>
          <w:szCs w:val="22"/>
        </w:rPr>
        <w:t xml:space="preserve">x 4 hours x 46.88/hour (Attorney, GS-12, Step 5) = </w:t>
      </w:r>
      <w:r w:rsidRPr="0004258C" w:rsidR="00045DA6">
        <w:rPr>
          <w:b/>
          <w:sz w:val="22"/>
          <w:szCs w:val="22"/>
        </w:rPr>
        <w:t>$</w:t>
      </w:r>
      <w:r>
        <w:rPr>
          <w:b/>
          <w:sz w:val="22"/>
          <w:szCs w:val="22"/>
        </w:rPr>
        <w:t>6,938.24</w:t>
      </w:r>
      <w:r w:rsidRPr="0004258C" w:rsidR="00045DA6">
        <w:rPr>
          <w:b/>
          <w:sz w:val="22"/>
          <w:szCs w:val="22"/>
        </w:rPr>
        <w:t>.</w:t>
      </w:r>
    </w:p>
    <w:p w:rsidR="00696778" w:rsidP="00696778" w:rsidRDefault="00696778" w14:paraId="6D2D10A6" w14:textId="58966B7D">
      <w:pPr>
        <w:tabs>
          <w:tab w:val="left" w:pos="360"/>
        </w:tabs>
        <w:rPr>
          <w:b/>
          <w:sz w:val="22"/>
          <w:szCs w:val="22"/>
        </w:rPr>
      </w:pPr>
    </w:p>
    <w:p w:rsidRPr="00DC56B9" w:rsidR="00696778" w:rsidP="00696778" w:rsidRDefault="00696778" w14:paraId="1DA67E4B" w14:textId="36DE4E1E">
      <w:pPr>
        <w:pStyle w:val="ListParagraph"/>
        <w:numPr>
          <w:ilvl w:val="0"/>
          <w:numId w:val="15"/>
        </w:numPr>
        <w:tabs>
          <w:tab w:val="left" w:pos="360"/>
        </w:tabs>
        <w:rPr>
          <w:b/>
          <w:sz w:val="22"/>
          <w:szCs w:val="22"/>
        </w:rPr>
      </w:pPr>
      <w:r>
        <w:rPr>
          <w:i/>
          <w:sz w:val="22"/>
          <w:szCs w:val="22"/>
        </w:rPr>
        <w:t>The Commission will revi</w:t>
      </w:r>
      <w:r w:rsidR="00DC56B9">
        <w:rPr>
          <w:i/>
          <w:sz w:val="22"/>
          <w:szCs w:val="22"/>
        </w:rPr>
        <w:t>e</w:t>
      </w:r>
      <w:r>
        <w:rPr>
          <w:i/>
          <w:sz w:val="22"/>
          <w:szCs w:val="22"/>
        </w:rPr>
        <w:t xml:space="preserve">w the Relocation Coordinator’s quarterly reports on the overall status of clearing efforts.  (47 C.F.R. </w:t>
      </w:r>
      <w:r w:rsidR="00DC56B9">
        <w:rPr>
          <w:i/>
          <w:sz w:val="22"/>
          <w:szCs w:val="22"/>
        </w:rPr>
        <w:t>§ 27.1412(d))</w:t>
      </w:r>
    </w:p>
    <w:p w:rsidR="00632983" w:rsidP="005E2162" w:rsidRDefault="00632983" w14:paraId="3395520D" w14:textId="76A87416">
      <w:pPr>
        <w:tabs>
          <w:tab w:val="left" w:pos="360"/>
        </w:tabs>
        <w:ind w:left="360"/>
        <w:rPr>
          <w:i/>
          <w:sz w:val="22"/>
          <w:szCs w:val="22"/>
          <w:u w:val="single"/>
        </w:rPr>
      </w:pPr>
    </w:p>
    <w:p w:rsidR="00DC56B9" w:rsidP="00DC56B9" w:rsidRDefault="00DC56B9" w14:paraId="1DEFE360" w14:textId="71346674">
      <w:pPr>
        <w:pStyle w:val="ListParagraph"/>
        <w:tabs>
          <w:tab w:val="left" w:pos="360"/>
        </w:tabs>
        <w:rPr>
          <w:sz w:val="22"/>
          <w:szCs w:val="22"/>
        </w:rPr>
      </w:pPr>
      <w:r>
        <w:rPr>
          <w:sz w:val="22"/>
          <w:szCs w:val="22"/>
        </w:rPr>
        <w:t xml:space="preserve">The Commission estimates that it will take one Commission staff attorney at the GS-15, Step 5 level and one Commission staff attorney at the GS-12, Step 5 level approximately 4 hours each to review the </w:t>
      </w:r>
      <w:r w:rsidR="002F31B6">
        <w:rPr>
          <w:sz w:val="22"/>
          <w:szCs w:val="22"/>
        </w:rPr>
        <w:t>Relocation Coordinator’s</w:t>
      </w:r>
      <w:r>
        <w:rPr>
          <w:sz w:val="22"/>
          <w:szCs w:val="22"/>
        </w:rPr>
        <w:t xml:space="preserve"> quarterly reports.</w:t>
      </w:r>
    </w:p>
    <w:p w:rsidR="00DC56B9" w:rsidP="00DC56B9" w:rsidRDefault="00DC56B9" w14:paraId="16F29F90" w14:textId="77777777">
      <w:pPr>
        <w:pStyle w:val="ListParagraph"/>
        <w:tabs>
          <w:tab w:val="left" w:pos="360"/>
        </w:tabs>
        <w:rPr>
          <w:sz w:val="22"/>
          <w:szCs w:val="22"/>
        </w:rPr>
      </w:pPr>
    </w:p>
    <w:p w:rsidR="0088375C" w:rsidP="0088375C" w:rsidRDefault="00433694" w14:paraId="1CE83B82" w14:textId="55280286">
      <w:pPr>
        <w:pStyle w:val="ListParagraph"/>
        <w:tabs>
          <w:tab w:val="left" w:pos="360"/>
        </w:tabs>
        <w:rPr>
          <w:b/>
          <w:sz w:val="22"/>
          <w:szCs w:val="22"/>
        </w:rPr>
      </w:pPr>
      <w:r>
        <w:rPr>
          <w:sz w:val="22"/>
          <w:szCs w:val="22"/>
        </w:rPr>
        <w:t xml:space="preserve">4 </w:t>
      </w:r>
      <w:r w:rsidR="00931D09">
        <w:rPr>
          <w:sz w:val="22"/>
          <w:szCs w:val="22"/>
        </w:rPr>
        <w:t xml:space="preserve">respondents/responses </w:t>
      </w:r>
      <w:r w:rsidR="00DC56B9">
        <w:rPr>
          <w:sz w:val="22"/>
          <w:szCs w:val="22"/>
        </w:rPr>
        <w:t xml:space="preserve">x 4 hours x 77.49/hour (Attorney, GS-15, Step 5) = </w:t>
      </w:r>
      <w:r w:rsidR="00DC56B9">
        <w:rPr>
          <w:b/>
          <w:sz w:val="22"/>
          <w:szCs w:val="22"/>
        </w:rPr>
        <w:t>$</w:t>
      </w:r>
      <w:r w:rsidR="00530D7B">
        <w:rPr>
          <w:b/>
          <w:sz w:val="22"/>
          <w:szCs w:val="22"/>
        </w:rPr>
        <w:t>1,239.84</w:t>
      </w:r>
      <w:r w:rsidR="00DC56B9">
        <w:rPr>
          <w:b/>
          <w:sz w:val="22"/>
          <w:szCs w:val="22"/>
        </w:rPr>
        <w:t>.</w:t>
      </w:r>
    </w:p>
    <w:p w:rsidR="0088375C" w:rsidP="0088375C" w:rsidRDefault="0088375C" w14:paraId="67B73261" w14:textId="77777777">
      <w:pPr>
        <w:pStyle w:val="ListParagraph"/>
        <w:tabs>
          <w:tab w:val="left" w:pos="360"/>
        </w:tabs>
        <w:rPr>
          <w:sz w:val="22"/>
          <w:szCs w:val="22"/>
        </w:rPr>
      </w:pPr>
    </w:p>
    <w:p w:rsidRPr="0088375C" w:rsidR="00DC56B9" w:rsidP="0088375C" w:rsidRDefault="00433694" w14:paraId="21F66FA2" w14:textId="414E19F3">
      <w:pPr>
        <w:pStyle w:val="ListParagraph"/>
        <w:tabs>
          <w:tab w:val="left" w:pos="360"/>
        </w:tabs>
        <w:rPr>
          <w:b/>
          <w:sz w:val="22"/>
          <w:szCs w:val="22"/>
        </w:rPr>
      </w:pPr>
      <w:r>
        <w:rPr>
          <w:sz w:val="22"/>
          <w:szCs w:val="22"/>
        </w:rPr>
        <w:t xml:space="preserve">4 </w:t>
      </w:r>
      <w:r w:rsidR="00931D09">
        <w:rPr>
          <w:sz w:val="22"/>
          <w:szCs w:val="22"/>
        </w:rPr>
        <w:t xml:space="preserve">respondents/responses </w:t>
      </w:r>
      <w:r w:rsidRPr="0088375C" w:rsidR="00DC56B9">
        <w:rPr>
          <w:sz w:val="22"/>
          <w:szCs w:val="22"/>
        </w:rPr>
        <w:t xml:space="preserve">x 4 hours x 46.88/hour (Attorney, GS-12, Step 5) = </w:t>
      </w:r>
      <w:r w:rsidRPr="0088375C" w:rsidR="00DC56B9">
        <w:rPr>
          <w:b/>
          <w:sz w:val="22"/>
          <w:szCs w:val="22"/>
        </w:rPr>
        <w:t>$</w:t>
      </w:r>
      <w:r w:rsidR="00230047">
        <w:rPr>
          <w:b/>
          <w:sz w:val="22"/>
          <w:szCs w:val="22"/>
        </w:rPr>
        <w:t>750.08</w:t>
      </w:r>
      <w:r w:rsidRPr="0088375C" w:rsidR="00DC56B9">
        <w:rPr>
          <w:b/>
          <w:sz w:val="22"/>
          <w:szCs w:val="22"/>
        </w:rPr>
        <w:t>.</w:t>
      </w:r>
    </w:p>
    <w:p w:rsidR="00DC56B9" w:rsidP="005E2162" w:rsidRDefault="00DC56B9" w14:paraId="377A6EFF" w14:textId="75D5FD7A">
      <w:pPr>
        <w:tabs>
          <w:tab w:val="left" w:pos="360"/>
        </w:tabs>
        <w:ind w:left="360"/>
        <w:rPr>
          <w:i/>
          <w:sz w:val="22"/>
          <w:szCs w:val="22"/>
          <w:u w:val="single"/>
        </w:rPr>
      </w:pPr>
    </w:p>
    <w:p w:rsidRPr="009071B1" w:rsidR="009071B1" w:rsidP="009071B1" w:rsidRDefault="009071B1" w14:paraId="3369677C" w14:textId="2115D9CD">
      <w:pPr>
        <w:pStyle w:val="ListParagraph"/>
        <w:numPr>
          <w:ilvl w:val="0"/>
          <w:numId w:val="15"/>
        </w:numPr>
        <w:tabs>
          <w:tab w:val="left" w:pos="360"/>
        </w:tabs>
        <w:rPr>
          <w:i/>
          <w:sz w:val="22"/>
          <w:szCs w:val="22"/>
        </w:rPr>
      </w:pPr>
      <w:r w:rsidRPr="009071B1">
        <w:rPr>
          <w:i/>
          <w:sz w:val="22"/>
          <w:szCs w:val="22"/>
        </w:rPr>
        <w:t>The Wireless Telecommunications Bureau, in consultation with the Office of Managing Director, may request any documentation from the Relocation Coordinator necessary to provide guidance or carry out oversight.  (47 C.F.R. § 27.1412(h))</w:t>
      </w:r>
    </w:p>
    <w:p w:rsidR="009071B1" w:rsidP="009071B1" w:rsidRDefault="009071B1" w14:paraId="6DB3C7D3" w14:textId="77777777">
      <w:pPr>
        <w:pStyle w:val="ListParagraph"/>
        <w:tabs>
          <w:tab w:val="left" w:pos="360"/>
        </w:tabs>
        <w:rPr>
          <w:sz w:val="22"/>
          <w:szCs w:val="22"/>
        </w:rPr>
      </w:pPr>
    </w:p>
    <w:p w:rsidR="009071B1" w:rsidP="009071B1" w:rsidRDefault="009071B1" w14:paraId="2505EA4E" w14:textId="34A3A3D9">
      <w:pPr>
        <w:pStyle w:val="ListParagraph"/>
        <w:tabs>
          <w:tab w:val="left" w:pos="360"/>
        </w:tabs>
        <w:rPr>
          <w:sz w:val="22"/>
          <w:szCs w:val="22"/>
        </w:rPr>
      </w:pPr>
      <w:r>
        <w:rPr>
          <w:sz w:val="22"/>
          <w:szCs w:val="22"/>
        </w:rPr>
        <w:t xml:space="preserve">The Commission estimates that it will take </w:t>
      </w:r>
      <w:r w:rsidR="002601C0">
        <w:rPr>
          <w:sz w:val="22"/>
          <w:szCs w:val="22"/>
        </w:rPr>
        <w:t>one Commission staff</w:t>
      </w:r>
      <w:r>
        <w:rPr>
          <w:sz w:val="22"/>
          <w:szCs w:val="22"/>
        </w:rPr>
        <w:t xml:space="preserve"> attorney </w:t>
      </w:r>
      <w:r w:rsidR="002601C0">
        <w:rPr>
          <w:sz w:val="22"/>
          <w:szCs w:val="22"/>
        </w:rPr>
        <w:t>at the</w:t>
      </w:r>
      <w:r>
        <w:rPr>
          <w:sz w:val="22"/>
          <w:szCs w:val="22"/>
        </w:rPr>
        <w:t xml:space="preserve"> GS-15, Step 5 </w:t>
      </w:r>
      <w:r w:rsidR="002601C0">
        <w:rPr>
          <w:sz w:val="22"/>
          <w:szCs w:val="22"/>
        </w:rPr>
        <w:t>level</w:t>
      </w:r>
      <w:r>
        <w:rPr>
          <w:sz w:val="22"/>
          <w:szCs w:val="22"/>
        </w:rPr>
        <w:t xml:space="preserve"> approximately 2 hours to </w:t>
      </w:r>
      <w:r w:rsidR="0083619A">
        <w:rPr>
          <w:sz w:val="22"/>
          <w:szCs w:val="22"/>
        </w:rPr>
        <w:t>request information necessary to provide guidance or carry out oversight</w:t>
      </w:r>
      <w:r>
        <w:rPr>
          <w:sz w:val="22"/>
          <w:szCs w:val="22"/>
        </w:rPr>
        <w:t>.</w:t>
      </w:r>
    </w:p>
    <w:p w:rsidR="009071B1" w:rsidP="009071B1" w:rsidRDefault="009071B1" w14:paraId="6EFA8787" w14:textId="77777777">
      <w:pPr>
        <w:pStyle w:val="ListParagraph"/>
        <w:tabs>
          <w:tab w:val="left" w:pos="360"/>
        </w:tabs>
        <w:rPr>
          <w:sz w:val="22"/>
          <w:szCs w:val="22"/>
        </w:rPr>
      </w:pPr>
    </w:p>
    <w:p w:rsidR="009071B1" w:rsidP="009071B1" w:rsidRDefault="00E5092E" w14:paraId="1C2E340A" w14:textId="3908B993">
      <w:pPr>
        <w:pStyle w:val="ListParagraph"/>
        <w:tabs>
          <w:tab w:val="left" w:pos="360"/>
        </w:tabs>
        <w:rPr>
          <w:sz w:val="22"/>
          <w:szCs w:val="22"/>
        </w:rPr>
      </w:pPr>
      <w:r w:rsidRPr="004508DC">
        <w:rPr>
          <w:sz w:val="22"/>
          <w:szCs w:val="22"/>
        </w:rPr>
        <w:t>1</w:t>
      </w:r>
      <w:r>
        <w:rPr>
          <w:sz w:val="22"/>
          <w:szCs w:val="22"/>
        </w:rPr>
        <w:t xml:space="preserve"> </w:t>
      </w:r>
      <w:r w:rsidR="00931D09">
        <w:rPr>
          <w:sz w:val="22"/>
          <w:szCs w:val="22"/>
        </w:rPr>
        <w:t>respondents</w:t>
      </w:r>
      <w:r>
        <w:rPr>
          <w:sz w:val="22"/>
          <w:szCs w:val="22"/>
        </w:rPr>
        <w:t xml:space="preserve"> x </w:t>
      </w:r>
      <w:r w:rsidR="00775E7A">
        <w:rPr>
          <w:sz w:val="22"/>
          <w:szCs w:val="22"/>
        </w:rPr>
        <w:t xml:space="preserve">12 </w:t>
      </w:r>
      <w:r w:rsidR="00931D09">
        <w:rPr>
          <w:sz w:val="22"/>
          <w:szCs w:val="22"/>
        </w:rPr>
        <w:t>responses x</w:t>
      </w:r>
      <w:r w:rsidR="00E02624">
        <w:rPr>
          <w:sz w:val="22"/>
          <w:szCs w:val="22"/>
        </w:rPr>
        <w:t xml:space="preserve"> 2 hours x</w:t>
      </w:r>
      <w:r w:rsidR="00931D09">
        <w:rPr>
          <w:sz w:val="22"/>
          <w:szCs w:val="22"/>
        </w:rPr>
        <w:t xml:space="preserve"> </w:t>
      </w:r>
      <w:r w:rsidR="009071B1">
        <w:rPr>
          <w:sz w:val="22"/>
          <w:szCs w:val="22"/>
        </w:rPr>
        <w:t xml:space="preserve">$77.49/hour </w:t>
      </w:r>
      <w:r w:rsidR="00E02624">
        <w:rPr>
          <w:sz w:val="22"/>
          <w:szCs w:val="22"/>
        </w:rPr>
        <w:t>(Attorney, GS-15, Step 5)</w:t>
      </w:r>
      <w:r w:rsidR="009071B1">
        <w:rPr>
          <w:sz w:val="22"/>
          <w:szCs w:val="22"/>
        </w:rPr>
        <w:t xml:space="preserve"> = </w:t>
      </w:r>
      <w:r w:rsidRPr="0065447F" w:rsidR="009071B1">
        <w:rPr>
          <w:b/>
          <w:sz w:val="22"/>
          <w:szCs w:val="22"/>
        </w:rPr>
        <w:t>$</w:t>
      </w:r>
      <w:r w:rsidR="00775E7A">
        <w:rPr>
          <w:b/>
          <w:sz w:val="22"/>
          <w:szCs w:val="22"/>
        </w:rPr>
        <w:t>1,859.76</w:t>
      </w:r>
      <w:r w:rsidR="0065447F">
        <w:rPr>
          <w:b/>
          <w:sz w:val="22"/>
          <w:szCs w:val="22"/>
        </w:rPr>
        <w:t>.</w:t>
      </w:r>
    </w:p>
    <w:p w:rsidRPr="0088375C" w:rsidR="009071B1" w:rsidP="0088375C" w:rsidRDefault="009071B1" w14:paraId="4272B18F" w14:textId="77777777">
      <w:pPr>
        <w:rPr>
          <w:sz w:val="22"/>
          <w:szCs w:val="22"/>
        </w:rPr>
      </w:pPr>
    </w:p>
    <w:p w:rsidRPr="00050DD7" w:rsidR="002601C0" w:rsidP="00062810" w:rsidRDefault="002601C0" w14:paraId="0CEB4DCF" w14:textId="1071C130">
      <w:pPr>
        <w:pStyle w:val="ListParagraph"/>
        <w:numPr>
          <w:ilvl w:val="0"/>
          <w:numId w:val="15"/>
        </w:numPr>
        <w:tabs>
          <w:tab w:val="left" w:pos="360"/>
        </w:tabs>
        <w:rPr>
          <w:i/>
          <w:sz w:val="22"/>
          <w:szCs w:val="22"/>
        </w:rPr>
      </w:pPr>
      <w:r w:rsidRPr="00050DD7">
        <w:rPr>
          <w:i/>
          <w:sz w:val="22"/>
          <w:szCs w:val="22"/>
        </w:rPr>
        <w:t xml:space="preserve">In the event that the search committee fails to select a Relocation Coordinator and to notify the Commission by July 31, 2020, or in the case that at least 80% of accelerated relocation payments are not accepted (and thus accelerated relocation is not triggered), the committee will be dissolved and the Commission will </w:t>
      </w:r>
      <w:r w:rsidRPr="00162860">
        <w:rPr>
          <w:i/>
          <w:sz w:val="22"/>
          <w:szCs w:val="22"/>
        </w:rPr>
        <w:t>initiate a procurement of a Relocation Coordinator by seeking proposals (47 C.F.R. § 27.1413(a)(3)</w:t>
      </w:r>
      <w:r w:rsidRPr="00162860" w:rsidR="00792CA3">
        <w:rPr>
          <w:i/>
          <w:sz w:val="22"/>
          <w:szCs w:val="22"/>
        </w:rPr>
        <w:t>; 47 C.F.R. 27.1413(b)</w:t>
      </w:r>
      <w:r w:rsidRPr="00162860">
        <w:rPr>
          <w:i/>
          <w:sz w:val="22"/>
          <w:szCs w:val="22"/>
        </w:rPr>
        <w:t>)</w:t>
      </w:r>
    </w:p>
    <w:p w:rsidR="002601C0" w:rsidP="002601C0" w:rsidRDefault="002601C0" w14:paraId="3A14ADEE" w14:textId="77777777">
      <w:pPr>
        <w:pStyle w:val="ListParagraph"/>
        <w:tabs>
          <w:tab w:val="left" w:pos="360"/>
        </w:tabs>
        <w:rPr>
          <w:sz w:val="22"/>
          <w:szCs w:val="22"/>
        </w:rPr>
      </w:pPr>
    </w:p>
    <w:p w:rsidR="002601C0" w:rsidP="002601C0" w:rsidRDefault="002601C0" w14:paraId="466151FC" w14:textId="3F98F788">
      <w:pPr>
        <w:pStyle w:val="ListParagraph"/>
        <w:tabs>
          <w:tab w:val="left" w:pos="360"/>
        </w:tabs>
        <w:rPr>
          <w:sz w:val="22"/>
          <w:szCs w:val="22"/>
        </w:rPr>
      </w:pPr>
      <w:r>
        <w:rPr>
          <w:sz w:val="22"/>
          <w:szCs w:val="22"/>
        </w:rPr>
        <w:t xml:space="preserve">The Commission estimates that it will take five in-house engineers approximately 120 hours each to prepare the required information, with two of these engineers at </w:t>
      </w:r>
      <w:r w:rsidR="00C747C2">
        <w:rPr>
          <w:sz w:val="22"/>
          <w:szCs w:val="22"/>
        </w:rPr>
        <w:t>the</w:t>
      </w:r>
      <w:r>
        <w:rPr>
          <w:sz w:val="22"/>
          <w:szCs w:val="22"/>
        </w:rPr>
        <w:t xml:space="preserve"> GS-15, Step 5 </w:t>
      </w:r>
      <w:r w:rsidR="00C747C2">
        <w:rPr>
          <w:sz w:val="22"/>
          <w:szCs w:val="22"/>
        </w:rPr>
        <w:t>level</w:t>
      </w:r>
      <w:r>
        <w:rPr>
          <w:sz w:val="22"/>
          <w:szCs w:val="22"/>
        </w:rPr>
        <w:t xml:space="preserve"> and three a</w:t>
      </w:r>
      <w:r w:rsidR="001021F1">
        <w:rPr>
          <w:sz w:val="22"/>
          <w:szCs w:val="22"/>
        </w:rPr>
        <w:t>t</w:t>
      </w:r>
      <w:r w:rsidR="00C747C2">
        <w:rPr>
          <w:sz w:val="22"/>
          <w:szCs w:val="22"/>
        </w:rPr>
        <w:t xml:space="preserve"> the</w:t>
      </w:r>
      <w:r>
        <w:rPr>
          <w:sz w:val="22"/>
          <w:szCs w:val="22"/>
        </w:rPr>
        <w:t xml:space="preserve"> GS-11, Step 5 </w:t>
      </w:r>
      <w:r w:rsidR="00662D0E">
        <w:rPr>
          <w:sz w:val="22"/>
          <w:szCs w:val="22"/>
        </w:rPr>
        <w:t>level</w:t>
      </w:r>
      <w:r w:rsidR="00B30988">
        <w:rPr>
          <w:sz w:val="22"/>
          <w:szCs w:val="22"/>
        </w:rPr>
        <w:t xml:space="preserve"> to initiate a procurement of a Relocation Coordinator</w:t>
      </w:r>
      <w:r>
        <w:rPr>
          <w:sz w:val="22"/>
          <w:szCs w:val="22"/>
        </w:rPr>
        <w:t>.</w:t>
      </w:r>
    </w:p>
    <w:p w:rsidR="002601C0" w:rsidP="002601C0" w:rsidRDefault="002601C0" w14:paraId="1E93182D" w14:textId="77777777">
      <w:pPr>
        <w:pStyle w:val="ListParagraph"/>
        <w:tabs>
          <w:tab w:val="left" w:pos="360"/>
        </w:tabs>
        <w:rPr>
          <w:sz w:val="22"/>
          <w:szCs w:val="22"/>
        </w:rPr>
      </w:pPr>
    </w:p>
    <w:p w:rsidRPr="00044E7C" w:rsidR="002601C0" w:rsidP="002601C0" w:rsidRDefault="008F2E18" w14:paraId="0C1331D8" w14:textId="7F21B61D">
      <w:pPr>
        <w:pStyle w:val="ListParagraph"/>
        <w:tabs>
          <w:tab w:val="left" w:pos="360"/>
        </w:tabs>
        <w:rPr>
          <w:b/>
          <w:sz w:val="22"/>
          <w:szCs w:val="22"/>
        </w:rPr>
      </w:pPr>
      <w:r>
        <w:rPr>
          <w:sz w:val="22"/>
          <w:szCs w:val="22"/>
        </w:rPr>
        <w:t>2</w:t>
      </w:r>
      <w:r w:rsidR="00FD6AA1">
        <w:rPr>
          <w:sz w:val="22"/>
          <w:szCs w:val="22"/>
        </w:rPr>
        <w:t xml:space="preserve"> respondents/responses x </w:t>
      </w:r>
      <w:r w:rsidR="00894588">
        <w:rPr>
          <w:sz w:val="22"/>
          <w:szCs w:val="22"/>
        </w:rPr>
        <w:t xml:space="preserve">120 hours x </w:t>
      </w:r>
      <w:r w:rsidR="002601C0">
        <w:rPr>
          <w:sz w:val="22"/>
          <w:szCs w:val="22"/>
        </w:rPr>
        <w:t xml:space="preserve">$77.49/hour </w:t>
      </w:r>
      <w:r w:rsidR="00894588">
        <w:rPr>
          <w:sz w:val="22"/>
          <w:szCs w:val="22"/>
        </w:rPr>
        <w:t>(Engineer, GS-15, Step 5)</w:t>
      </w:r>
      <w:r w:rsidR="002601C0">
        <w:rPr>
          <w:sz w:val="22"/>
          <w:szCs w:val="22"/>
        </w:rPr>
        <w:t xml:space="preserve"> = </w:t>
      </w:r>
      <w:r w:rsidRPr="00044E7C" w:rsidR="002601C0">
        <w:rPr>
          <w:b/>
          <w:sz w:val="22"/>
          <w:szCs w:val="22"/>
        </w:rPr>
        <w:t>$</w:t>
      </w:r>
      <w:r w:rsidR="001B2B97">
        <w:rPr>
          <w:b/>
          <w:sz w:val="22"/>
          <w:szCs w:val="22"/>
        </w:rPr>
        <w:t>18,597.60</w:t>
      </w:r>
      <w:r w:rsidRPr="00044E7C" w:rsidR="002601C0">
        <w:rPr>
          <w:b/>
          <w:sz w:val="22"/>
          <w:szCs w:val="22"/>
        </w:rPr>
        <w:t>.</w:t>
      </w:r>
    </w:p>
    <w:p w:rsidR="002601C0" w:rsidP="002601C0" w:rsidRDefault="002601C0" w14:paraId="576BE77C" w14:textId="77777777">
      <w:pPr>
        <w:pStyle w:val="ListParagraph"/>
        <w:tabs>
          <w:tab w:val="left" w:pos="360"/>
        </w:tabs>
        <w:rPr>
          <w:sz w:val="22"/>
          <w:szCs w:val="22"/>
        </w:rPr>
      </w:pPr>
    </w:p>
    <w:p w:rsidR="002601C0" w:rsidP="000577E4" w:rsidRDefault="008F2E18" w14:paraId="49086A6B" w14:textId="17CA0289">
      <w:pPr>
        <w:pStyle w:val="ListParagraph"/>
        <w:tabs>
          <w:tab w:val="left" w:pos="360"/>
        </w:tabs>
        <w:rPr>
          <w:b/>
          <w:sz w:val="22"/>
          <w:szCs w:val="22"/>
        </w:rPr>
      </w:pPr>
      <w:r>
        <w:rPr>
          <w:sz w:val="22"/>
          <w:szCs w:val="22"/>
        </w:rPr>
        <w:t>3</w:t>
      </w:r>
      <w:r w:rsidR="00FD6AA1">
        <w:rPr>
          <w:sz w:val="22"/>
          <w:szCs w:val="22"/>
        </w:rPr>
        <w:t xml:space="preserve"> respondents/responses x </w:t>
      </w:r>
      <w:r w:rsidR="005251F2">
        <w:rPr>
          <w:sz w:val="22"/>
          <w:szCs w:val="22"/>
        </w:rPr>
        <w:t>120 hours x $39.12/hour (Engineer, GS-12, Step 5)</w:t>
      </w:r>
      <w:r w:rsidR="002601C0">
        <w:rPr>
          <w:sz w:val="22"/>
          <w:szCs w:val="22"/>
        </w:rPr>
        <w:t xml:space="preserve"> = </w:t>
      </w:r>
      <w:r w:rsidRPr="00044E7C" w:rsidR="002601C0">
        <w:rPr>
          <w:b/>
          <w:sz w:val="22"/>
          <w:szCs w:val="22"/>
        </w:rPr>
        <w:t>$14,083.20.</w:t>
      </w:r>
    </w:p>
    <w:p w:rsidR="00A7523F" w:rsidP="00A7523F" w:rsidRDefault="00A7523F" w14:paraId="34605CB6" w14:textId="548EE530">
      <w:pPr>
        <w:tabs>
          <w:tab w:val="left" w:pos="360"/>
        </w:tabs>
        <w:rPr>
          <w:sz w:val="22"/>
          <w:szCs w:val="22"/>
        </w:rPr>
      </w:pPr>
    </w:p>
    <w:p w:rsidRPr="00E27F4B" w:rsidR="00A7523F" w:rsidP="00E27F4B" w:rsidRDefault="00A7523F" w14:paraId="08FB5442" w14:textId="125CF347">
      <w:pPr>
        <w:tabs>
          <w:tab w:val="left" w:pos="360"/>
        </w:tabs>
        <w:ind w:firstLine="360"/>
        <w:rPr>
          <w:i/>
          <w:sz w:val="22"/>
          <w:szCs w:val="22"/>
          <w:u w:val="single"/>
        </w:rPr>
      </w:pPr>
      <w:r w:rsidRPr="00E27F4B">
        <w:rPr>
          <w:i/>
          <w:sz w:val="22"/>
          <w:szCs w:val="22"/>
          <w:u w:val="single"/>
        </w:rPr>
        <w:t>Space Station Operators</w:t>
      </w:r>
    </w:p>
    <w:p w:rsidRPr="000577E4" w:rsidR="000577E4" w:rsidP="000577E4" w:rsidRDefault="000577E4" w14:paraId="745C80C6" w14:textId="77777777">
      <w:pPr>
        <w:pStyle w:val="ListParagraph"/>
        <w:tabs>
          <w:tab w:val="left" w:pos="360"/>
        </w:tabs>
        <w:rPr>
          <w:sz w:val="22"/>
          <w:szCs w:val="22"/>
        </w:rPr>
      </w:pPr>
    </w:p>
    <w:p w:rsidRPr="000577E4" w:rsidR="000577E4" w:rsidP="0095444D" w:rsidRDefault="000577E4" w14:paraId="6578F8A3" w14:textId="63726FCA">
      <w:pPr>
        <w:pStyle w:val="ListParagraph"/>
        <w:numPr>
          <w:ilvl w:val="0"/>
          <w:numId w:val="17"/>
        </w:numPr>
        <w:tabs>
          <w:tab w:val="left" w:pos="360"/>
        </w:tabs>
        <w:rPr>
          <w:i/>
          <w:sz w:val="22"/>
          <w:szCs w:val="22"/>
          <w:u w:val="single"/>
        </w:rPr>
      </w:pPr>
      <w:r>
        <w:rPr>
          <w:i/>
          <w:sz w:val="22"/>
          <w:szCs w:val="22"/>
        </w:rPr>
        <w:t>The Wireless Telecommunications Bureau will prescribe the form of the certification filed by each eligible space station operator to establish that it has completed the necessary clearing actions to satisfy each Accelerated Relocation Deadline.</w:t>
      </w:r>
      <w:r w:rsidR="0090208E">
        <w:rPr>
          <w:i/>
          <w:sz w:val="22"/>
          <w:szCs w:val="22"/>
        </w:rPr>
        <w:t xml:space="preserve">  </w:t>
      </w:r>
      <w:r w:rsidRPr="00876579" w:rsidR="00DD38F4">
        <w:rPr>
          <w:i/>
          <w:sz w:val="22"/>
          <w:szCs w:val="22"/>
        </w:rPr>
        <w:t>(47 C.F.R. § 27.1412(g))</w:t>
      </w:r>
    </w:p>
    <w:p w:rsidR="000577E4" w:rsidP="000577E4" w:rsidRDefault="000577E4" w14:paraId="28C938D6" w14:textId="4A963B57">
      <w:pPr>
        <w:pStyle w:val="ListParagraph"/>
        <w:tabs>
          <w:tab w:val="left" w:pos="360"/>
        </w:tabs>
        <w:rPr>
          <w:i/>
          <w:sz w:val="22"/>
          <w:szCs w:val="22"/>
          <w:u w:val="single"/>
        </w:rPr>
      </w:pPr>
    </w:p>
    <w:p w:rsidRPr="000577E4" w:rsidR="000577E4" w:rsidP="000577E4" w:rsidRDefault="000577E4" w14:paraId="006F4B08" w14:textId="16C8BFE8">
      <w:pPr>
        <w:pStyle w:val="ListParagraph"/>
        <w:tabs>
          <w:tab w:val="left" w:pos="360"/>
        </w:tabs>
        <w:rPr>
          <w:sz w:val="22"/>
          <w:szCs w:val="22"/>
        </w:rPr>
      </w:pPr>
      <w:r w:rsidRPr="000577E4">
        <w:rPr>
          <w:sz w:val="22"/>
          <w:szCs w:val="22"/>
        </w:rPr>
        <w:t>Th</w:t>
      </w:r>
      <w:r w:rsidR="001021F1">
        <w:rPr>
          <w:sz w:val="22"/>
          <w:szCs w:val="22"/>
        </w:rPr>
        <w:t>e Commission estimates that it will take two attorneys approximately 8 hours each to prepare the required information, with one of these attorneys at the GS-15, Step 5 level and one at the GS-1</w:t>
      </w:r>
      <w:r w:rsidR="00CD6DD1">
        <w:rPr>
          <w:sz w:val="22"/>
          <w:szCs w:val="22"/>
        </w:rPr>
        <w:t>2, Step 5 level</w:t>
      </w:r>
      <w:r w:rsidR="00AD7B55">
        <w:rPr>
          <w:sz w:val="22"/>
          <w:szCs w:val="22"/>
        </w:rPr>
        <w:t xml:space="preserve"> to prescribe the form </w:t>
      </w:r>
      <w:r w:rsidR="00AB3A7B">
        <w:rPr>
          <w:sz w:val="22"/>
          <w:szCs w:val="22"/>
        </w:rPr>
        <w:t>of the</w:t>
      </w:r>
      <w:r w:rsidR="00AD7B55">
        <w:rPr>
          <w:sz w:val="22"/>
          <w:szCs w:val="22"/>
        </w:rPr>
        <w:t xml:space="preserve"> certification.</w:t>
      </w:r>
    </w:p>
    <w:p w:rsidRPr="000577E4" w:rsidR="009071B1" w:rsidP="000577E4" w:rsidRDefault="009071B1" w14:paraId="2D6A2A7B" w14:textId="4250A714">
      <w:pPr>
        <w:tabs>
          <w:tab w:val="left" w:pos="360"/>
        </w:tabs>
        <w:rPr>
          <w:i/>
          <w:sz w:val="22"/>
          <w:szCs w:val="22"/>
          <w:u w:val="single"/>
        </w:rPr>
      </w:pPr>
    </w:p>
    <w:p w:rsidR="000577E4" w:rsidP="000577E4" w:rsidRDefault="00D16375" w14:paraId="454142A9" w14:textId="09B8D429">
      <w:pPr>
        <w:pStyle w:val="ListParagraph"/>
        <w:tabs>
          <w:tab w:val="left" w:pos="360"/>
        </w:tabs>
        <w:rPr>
          <w:b/>
          <w:sz w:val="22"/>
          <w:szCs w:val="22"/>
        </w:rPr>
      </w:pPr>
      <w:r>
        <w:rPr>
          <w:sz w:val="22"/>
          <w:szCs w:val="22"/>
        </w:rPr>
        <w:t>1</w:t>
      </w:r>
      <w:r w:rsidR="000577E4">
        <w:rPr>
          <w:sz w:val="22"/>
          <w:szCs w:val="22"/>
        </w:rPr>
        <w:t xml:space="preserve"> </w:t>
      </w:r>
      <w:r w:rsidR="00F51C66">
        <w:rPr>
          <w:sz w:val="22"/>
          <w:szCs w:val="22"/>
        </w:rPr>
        <w:t xml:space="preserve">respondents/responses </w:t>
      </w:r>
      <w:r w:rsidR="000577E4">
        <w:rPr>
          <w:sz w:val="22"/>
          <w:szCs w:val="22"/>
        </w:rPr>
        <w:t xml:space="preserve">x </w:t>
      </w:r>
      <w:r w:rsidR="001021F1">
        <w:rPr>
          <w:sz w:val="22"/>
          <w:szCs w:val="22"/>
        </w:rPr>
        <w:t>8</w:t>
      </w:r>
      <w:r w:rsidR="000577E4">
        <w:rPr>
          <w:sz w:val="22"/>
          <w:szCs w:val="22"/>
        </w:rPr>
        <w:t xml:space="preserve"> hours x 77.49/hour (Attorney, GS-15, Step 5) = </w:t>
      </w:r>
      <w:r w:rsidR="000577E4">
        <w:rPr>
          <w:b/>
          <w:sz w:val="22"/>
          <w:szCs w:val="22"/>
        </w:rPr>
        <w:t>$</w:t>
      </w:r>
      <w:r w:rsidR="00B7467E">
        <w:rPr>
          <w:b/>
          <w:sz w:val="22"/>
          <w:szCs w:val="22"/>
        </w:rPr>
        <w:t>619.92.</w:t>
      </w:r>
    </w:p>
    <w:p w:rsidR="000577E4" w:rsidP="000577E4" w:rsidRDefault="000577E4" w14:paraId="73A737B7" w14:textId="77777777">
      <w:pPr>
        <w:pStyle w:val="ListParagraph"/>
        <w:tabs>
          <w:tab w:val="left" w:pos="360"/>
        </w:tabs>
        <w:rPr>
          <w:sz w:val="22"/>
          <w:szCs w:val="22"/>
        </w:rPr>
      </w:pPr>
    </w:p>
    <w:p w:rsidRPr="00133164" w:rsidR="006F433A" w:rsidP="00133164" w:rsidRDefault="000577E4" w14:paraId="7644E5DB" w14:textId="1F81D94A">
      <w:pPr>
        <w:pStyle w:val="ListParagraph"/>
        <w:tabs>
          <w:tab w:val="left" w:pos="360"/>
        </w:tabs>
        <w:rPr>
          <w:b/>
          <w:sz w:val="22"/>
          <w:szCs w:val="22"/>
        </w:rPr>
      </w:pPr>
      <w:r>
        <w:rPr>
          <w:sz w:val="22"/>
          <w:szCs w:val="22"/>
        </w:rPr>
        <w:t xml:space="preserve">1 </w:t>
      </w:r>
      <w:r w:rsidR="00F51C66">
        <w:rPr>
          <w:sz w:val="22"/>
          <w:szCs w:val="22"/>
        </w:rPr>
        <w:t xml:space="preserve">respondents/responses </w:t>
      </w:r>
      <w:r w:rsidRPr="0088375C">
        <w:rPr>
          <w:sz w:val="22"/>
          <w:szCs w:val="22"/>
        </w:rPr>
        <w:t xml:space="preserve">x </w:t>
      </w:r>
      <w:r w:rsidR="001021F1">
        <w:rPr>
          <w:sz w:val="22"/>
          <w:szCs w:val="22"/>
        </w:rPr>
        <w:t>8</w:t>
      </w:r>
      <w:r w:rsidRPr="0088375C">
        <w:rPr>
          <w:sz w:val="22"/>
          <w:szCs w:val="22"/>
        </w:rPr>
        <w:t xml:space="preserve"> hours x 46.88/hour (Attorney, GS-12, Step 5) = </w:t>
      </w:r>
      <w:r w:rsidRPr="0088375C">
        <w:rPr>
          <w:b/>
          <w:sz w:val="22"/>
          <w:szCs w:val="22"/>
        </w:rPr>
        <w:t>$</w:t>
      </w:r>
      <w:r w:rsidR="00133164">
        <w:rPr>
          <w:b/>
          <w:sz w:val="22"/>
          <w:szCs w:val="22"/>
        </w:rPr>
        <w:t>375.04</w:t>
      </w:r>
      <w:r w:rsidRPr="00133164">
        <w:rPr>
          <w:b/>
          <w:sz w:val="22"/>
          <w:szCs w:val="22"/>
        </w:rPr>
        <w:t>.</w:t>
      </w:r>
    </w:p>
    <w:p w:rsidRPr="005E2162" w:rsidR="00DC56B9" w:rsidP="005E2162" w:rsidRDefault="00DC56B9" w14:paraId="14B5CFC1" w14:textId="77777777">
      <w:pPr>
        <w:tabs>
          <w:tab w:val="left" w:pos="360"/>
        </w:tabs>
        <w:ind w:left="360"/>
        <w:rPr>
          <w:i/>
          <w:sz w:val="22"/>
          <w:szCs w:val="22"/>
          <w:u w:val="single"/>
        </w:rPr>
      </w:pPr>
    </w:p>
    <w:p w:rsidRPr="00CF58C5" w:rsidR="00CF58C5" w:rsidP="00CF58C5" w:rsidRDefault="00CF58C5" w14:paraId="724D838E" w14:textId="77777777">
      <w:pPr>
        <w:pStyle w:val="ListParagraph"/>
        <w:numPr>
          <w:ilvl w:val="0"/>
          <w:numId w:val="17"/>
        </w:numPr>
        <w:tabs>
          <w:tab w:val="left" w:pos="360"/>
        </w:tabs>
        <w:rPr>
          <w:sz w:val="22"/>
          <w:szCs w:val="22"/>
        </w:rPr>
      </w:pPr>
      <w:r>
        <w:rPr>
          <w:i/>
          <w:sz w:val="22"/>
          <w:szCs w:val="22"/>
        </w:rPr>
        <w:t>The Wireless Telecommunications Bureau will review notices of delays submitted by eligible earth station operators.  (47 C.F.R. § 27.1412(b)(3)(i))</w:t>
      </w:r>
    </w:p>
    <w:p w:rsidRPr="00A14708" w:rsidR="00A14708" w:rsidP="00A14708" w:rsidRDefault="00A14708" w14:paraId="40A71259" w14:textId="456FBBF1">
      <w:pPr>
        <w:tabs>
          <w:tab w:val="left" w:pos="360"/>
        </w:tabs>
        <w:rPr>
          <w:sz w:val="22"/>
          <w:szCs w:val="22"/>
        </w:rPr>
      </w:pPr>
    </w:p>
    <w:p w:rsidR="00A14708" w:rsidP="00A14708" w:rsidRDefault="00A14708" w14:paraId="47529C42" w14:textId="3BBD5375">
      <w:pPr>
        <w:pStyle w:val="ListParagraph"/>
        <w:tabs>
          <w:tab w:val="left" w:pos="360"/>
        </w:tabs>
        <w:rPr>
          <w:sz w:val="22"/>
          <w:szCs w:val="22"/>
        </w:rPr>
      </w:pPr>
      <w:r>
        <w:rPr>
          <w:sz w:val="22"/>
          <w:szCs w:val="22"/>
        </w:rPr>
        <w:t xml:space="preserve">The Commission estimates that it will take one Commission staff attorney at the GS-15, Step 5 level and one Commission staff attorney at the GS-12, Step 5 level approximately 4 hours each to review </w:t>
      </w:r>
      <w:r w:rsidR="002C24FA">
        <w:rPr>
          <w:sz w:val="22"/>
          <w:szCs w:val="22"/>
        </w:rPr>
        <w:t>notices of delays submitted by eligible earth station operators</w:t>
      </w:r>
      <w:r>
        <w:rPr>
          <w:sz w:val="22"/>
          <w:szCs w:val="22"/>
        </w:rPr>
        <w:t>.</w:t>
      </w:r>
    </w:p>
    <w:p w:rsidR="00A14708" w:rsidP="00A14708" w:rsidRDefault="00A14708" w14:paraId="4741719C" w14:textId="77777777">
      <w:pPr>
        <w:pStyle w:val="ListParagraph"/>
        <w:tabs>
          <w:tab w:val="left" w:pos="360"/>
        </w:tabs>
        <w:rPr>
          <w:sz w:val="22"/>
          <w:szCs w:val="22"/>
        </w:rPr>
      </w:pPr>
    </w:p>
    <w:p w:rsidR="00A14708" w:rsidP="00A14708" w:rsidRDefault="004F3A7D" w14:paraId="34B03B26" w14:textId="627F46BD">
      <w:pPr>
        <w:pStyle w:val="ListParagraph"/>
        <w:tabs>
          <w:tab w:val="left" w:pos="360"/>
        </w:tabs>
        <w:rPr>
          <w:b/>
          <w:sz w:val="22"/>
          <w:szCs w:val="22"/>
        </w:rPr>
      </w:pPr>
      <w:r>
        <w:rPr>
          <w:sz w:val="22"/>
          <w:szCs w:val="22"/>
        </w:rPr>
        <w:t xml:space="preserve">4 </w:t>
      </w:r>
      <w:r w:rsidR="00A14708">
        <w:rPr>
          <w:sz w:val="22"/>
          <w:szCs w:val="22"/>
        </w:rPr>
        <w:t xml:space="preserve">respondents/responses x 4 hours x 77.49/hour (Attorney, GS-15, Step 5) = </w:t>
      </w:r>
      <w:r w:rsidR="00A14708">
        <w:rPr>
          <w:b/>
          <w:sz w:val="22"/>
          <w:szCs w:val="22"/>
        </w:rPr>
        <w:t>$</w:t>
      </w:r>
      <w:r>
        <w:rPr>
          <w:b/>
          <w:sz w:val="22"/>
          <w:szCs w:val="22"/>
        </w:rPr>
        <w:t>1,239.84</w:t>
      </w:r>
      <w:r w:rsidR="00A14708">
        <w:rPr>
          <w:b/>
          <w:sz w:val="22"/>
          <w:szCs w:val="22"/>
        </w:rPr>
        <w:t>.</w:t>
      </w:r>
    </w:p>
    <w:p w:rsidR="00A14708" w:rsidP="00A14708" w:rsidRDefault="00A14708" w14:paraId="67D9F399" w14:textId="77777777">
      <w:pPr>
        <w:pStyle w:val="ListParagraph"/>
        <w:tabs>
          <w:tab w:val="left" w:pos="360"/>
        </w:tabs>
        <w:rPr>
          <w:sz w:val="22"/>
          <w:szCs w:val="22"/>
        </w:rPr>
      </w:pPr>
    </w:p>
    <w:p w:rsidR="00A14708" w:rsidP="00A14708" w:rsidRDefault="004F3A7D" w14:paraId="2F6329C5" w14:textId="1E91B725">
      <w:pPr>
        <w:pStyle w:val="ListParagraph"/>
        <w:tabs>
          <w:tab w:val="left" w:pos="360"/>
        </w:tabs>
        <w:rPr>
          <w:b/>
          <w:sz w:val="22"/>
          <w:szCs w:val="22"/>
        </w:rPr>
      </w:pPr>
      <w:r>
        <w:rPr>
          <w:sz w:val="22"/>
          <w:szCs w:val="22"/>
        </w:rPr>
        <w:t xml:space="preserve">4 </w:t>
      </w:r>
      <w:r w:rsidR="00A14708">
        <w:rPr>
          <w:sz w:val="22"/>
          <w:szCs w:val="22"/>
        </w:rPr>
        <w:t xml:space="preserve">respondents/responses </w:t>
      </w:r>
      <w:r w:rsidRPr="0088375C" w:rsidR="00A14708">
        <w:rPr>
          <w:sz w:val="22"/>
          <w:szCs w:val="22"/>
        </w:rPr>
        <w:t xml:space="preserve">x 4 hours x 46.88/hour (Attorney, GS-12, Step 5) = </w:t>
      </w:r>
      <w:r w:rsidRPr="0088375C" w:rsidR="00A14708">
        <w:rPr>
          <w:b/>
          <w:sz w:val="22"/>
          <w:szCs w:val="22"/>
        </w:rPr>
        <w:t>$</w:t>
      </w:r>
      <w:r w:rsidR="00CF48C3">
        <w:rPr>
          <w:b/>
          <w:sz w:val="22"/>
          <w:szCs w:val="22"/>
        </w:rPr>
        <w:t>750.08</w:t>
      </w:r>
      <w:r w:rsidR="00004551">
        <w:rPr>
          <w:b/>
          <w:sz w:val="22"/>
          <w:szCs w:val="22"/>
        </w:rPr>
        <w:t>.</w:t>
      </w:r>
    </w:p>
    <w:p w:rsidR="000A123C" w:rsidP="000A123C" w:rsidRDefault="000A123C" w14:paraId="115DCBF2" w14:textId="4B7E7FE0">
      <w:pPr>
        <w:tabs>
          <w:tab w:val="left" w:pos="360"/>
        </w:tabs>
        <w:rPr>
          <w:b/>
          <w:sz w:val="22"/>
          <w:szCs w:val="22"/>
        </w:rPr>
      </w:pPr>
    </w:p>
    <w:p w:rsidRPr="000A123C" w:rsidR="000A123C" w:rsidP="000A123C" w:rsidRDefault="000A123C" w14:paraId="4EFC8705" w14:textId="572BCE85">
      <w:pPr>
        <w:tabs>
          <w:tab w:val="left" w:pos="360"/>
        </w:tabs>
        <w:rPr>
          <w:b/>
          <w:sz w:val="22"/>
          <w:szCs w:val="22"/>
        </w:rPr>
      </w:pPr>
      <w:r>
        <w:rPr>
          <w:b/>
          <w:sz w:val="22"/>
          <w:szCs w:val="22"/>
        </w:rPr>
        <w:t>Total Estimated Annual Cost to the Federal Government:  $</w:t>
      </w:r>
      <w:r w:rsidR="0073264B">
        <w:rPr>
          <w:b/>
          <w:sz w:val="22"/>
          <w:szCs w:val="22"/>
        </w:rPr>
        <w:t>83,363.37</w:t>
      </w:r>
      <w:r>
        <w:rPr>
          <w:b/>
          <w:sz w:val="22"/>
          <w:szCs w:val="22"/>
        </w:rPr>
        <w:t>.</w:t>
      </w:r>
    </w:p>
    <w:p w:rsidR="00CF58C5" w:rsidP="00632983" w:rsidRDefault="00CF58C5" w14:paraId="74E1B6C3" w14:textId="77777777">
      <w:pPr>
        <w:tabs>
          <w:tab w:val="left" w:pos="360"/>
        </w:tabs>
        <w:rPr>
          <w:i/>
          <w:sz w:val="22"/>
          <w:szCs w:val="22"/>
          <w:u w:val="single"/>
        </w:rPr>
      </w:pPr>
    </w:p>
    <w:p w:rsidR="00632983" w:rsidP="00B16D9D" w:rsidRDefault="00B16D9D" w14:paraId="04D304B0" w14:textId="4D12443F">
      <w:pPr>
        <w:tabs>
          <w:tab w:val="left" w:pos="360"/>
        </w:tabs>
        <w:rPr>
          <w:sz w:val="22"/>
          <w:szCs w:val="22"/>
        </w:rPr>
      </w:pPr>
      <w:r>
        <w:rPr>
          <w:sz w:val="22"/>
          <w:szCs w:val="22"/>
        </w:rPr>
        <w:t>15.</w:t>
      </w:r>
      <w:r>
        <w:rPr>
          <w:sz w:val="22"/>
          <w:szCs w:val="22"/>
        </w:rPr>
        <w:tab/>
      </w:r>
      <w:r w:rsidRPr="00C87D32">
        <w:rPr>
          <w:i/>
          <w:sz w:val="22"/>
          <w:szCs w:val="22"/>
        </w:rPr>
        <w:t>Program changes or adjustment</w:t>
      </w:r>
      <w:r>
        <w:rPr>
          <w:sz w:val="22"/>
          <w:szCs w:val="22"/>
        </w:rPr>
        <w:t xml:space="preserve">.  </w:t>
      </w:r>
      <w:r w:rsidR="000A5B4D">
        <w:rPr>
          <w:sz w:val="22"/>
          <w:szCs w:val="22"/>
        </w:rPr>
        <w:t xml:space="preserve">This is a new information collection resulting in a program change increase of </w:t>
      </w:r>
      <w:r w:rsidR="00375256">
        <w:rPr>
          <w:sz w:val="22"/>
          <w:szCs w:val="22"/>
        </w:rPr>
        <w:t>3,007</w:t>
      </w:r>
      <w:r w:rsidR="000A5B4D">
        <w:rPr>
          <w:sz w:val="22"/>
          <w:szCs w:val="22"/>
        </w:rPr>
        <w:t xml:space="preserve"> respondents</w:t>
      </w:r>
      <w:r w:rsidRPr="00C20204" w:rsidR="000A5B4D">
        <w:rPr>
          <w:sz w:val="22"/>
          <w:szCs w:val="22"/>
        </w:rPr>
        <w:t xml:space="preserve">, </w:t>
      </w:r>
      <w:r w:rsidRPr="00C20204" w:rsidR="00C20204">
        <w:rPr>
          <w:sz w:val="22"/>
          <w:szCs w:val="22"/>
        </w:rPr>
        <w:t>9,362</w:t>
      </w:r>
      <w:r w:rsidRPr="00C20204" w:rsidR="000A5B4D">
        <w:rPr>
          <w:sz w:val="22"/>
          <w:szCs w:val="22"/>
        </w:rPr>
        <w:t xml:space="preserve"> responses, </w:t>
      </w:r>
      <w:r w:rsidRPr="00C20204" w:rsidR="00403159">
        <w:rPr>
          <w:sz w:val="22"/>
          <w:szCs w:val="22"/>
        </w:rPr>
        <w:t>77,754</w:t>
      </w:r>
      <w:r w:rsidRPr="00C20204" w:rsidR="000A5B4D">
        <w:rPr>
          <w:sz w:val="22"/>
          <w:szCs w:val="22"/>
        </w:rPr>
        <w:t xml:space="preserve"> total estimated burden hours, and </w:t>
      </w:r>
      <w:r w:rsidRPr="00C20204" w:rsidR="00403159">
        <w:rPr>
          <w:sz w:val="22"/>
          <w:szCs w:val="22"/>
        </w:rPr>
        <w:t>$</w:t>
      </w:r>
      <w:r w:rsidRPr="00C51AEC" w:rsidR="00C51AEC">
        <w:rPr>
          <w:sz w:val="22"/>
          <w:szCs w:val="22"/>
        </w:rPr>
        <w:t>10,705,353</w:t>
      </w:r>
      <w:r w:rsidR="00C51AEC">
        <w:rPr>
          <w:b/>
          <w:sz w:val="22"/>
          <w:szCs w:val="22"/>
        </w:rPr>
        <w:t xml:space="preserve"> </w:t>
      </w:r>
      <w:r w:rsidRPr="00C20204" w:rsidR="000A5B4D">
        <w:rPr>
          <w:sz w:val="22"/>
          <w:szCs w:val="22"/>
        </w:rPr>
        <w:t>in</w:t>
      </w:r>
      <w:r w:rsidR="000A5B4D">
        <w:rPr>
          <w:sz w:val="22"/>
          <w:szCs w:val="22"/>
        </w:rPr>
        <w:t xml:space="preserve"> total estimated burden cost.</w:t>
      </w:r>
    </w:p>
    <w:p w:rsidR="00B16D9D" w:rsidP="00B16D9D" w:rsidRDefault="00B16D9D" w14:paraId="71EEC000" w14:textId="6F48C2BF">
      <w:pPr>
        <w:tabs>
          <w:tab w:val="left" w:pos="360"/>
        </w:tabs>
        <w:rPr>
          <w:sz w:val="22"/>
          <w:szCs w:val="22"/>
        </w:rPr>
      </w:pPr>
    </w:p>
    <w:p w:rsidRPr="00B16D9D" w:rsidR="00B16D9D" w:rsidP="00B16D9D" w:rsidRDefault="00B16D9D" w14:paraId="5564183D" w14:textId="245492D4">
      <w:pPr>
        <w:tabs>
          <w:tab w:val="left" w:pos="360"/>
        </w:tabs>
        <w:rPr>
          <w:sz w:val="22"/>
          <w:szCs w:val="22"/>
        </w:rPr>
      </w:pPr>
      <w:r>
        <w:rPr>
          <w:sz w:val="22"/>
          <w:szCs w:val="22"/>
        </w:rPr>
        <w:t>16.</w:t>
      </w:r>
      <w:r>
        <w:rPr>
          <w:sz w:val="22"/>
          <w:szCs w:val="22"/>
        </w:rPr>
        <w:tab/>
      </w:r>
      <w:r>
        <w:rPr>
          <w:i/>
          <w:sz w:val="22"/>
          <w:szCs w:val="22"/>
        </w:rPr>
        <w:t>Collections of information whose results will be published</w:t>
      </w:r>
      <w:r>
        <w:rPr>
          <w:sz w:val="22"/>
          <w:szCs w:val="22"/>
        </w:rPr>
        <w:t>.  The information collection will not be published for statistical use.</w:t>
      </w:r>
    </w:p>
    <w:p w:rsidR="00B16D9D" w:rsidP="00B16D9D" w:rsidRDefault="00B16D9D" w14:paraId="06F9B1B7" w14:textId="3423804A">
      <w:pPr>
        <w:tabs>
          <w:tab w:val="left" w:pos="360"/>
        </w:tabs>
        <w:rPr>
          <w:sz w:val="22"/>
          <w:szCs w:val="22"/>
        </w:rPr>
      </w:pPr>
    </w:p>
    <w:p w:rsidR="00B16D9D" w:rsidP="00B16D9D" w:rsidRDefault="00B16D9D" w14:paraId="50FD634F" w14:textId="0CEEFEDC">
      <w:pPr>
        <w:tabs>
          <w:tab w:val="left" w:pos="360"/>
        </w:tabs>
        <w:rPr>
          <w:sz w:val="22"/>
          <w:szCs w:val="22"/>
        </w:rPr>
      </w:pPr>
      <w:r>
        <w:rPr>
          <w:sz w:val="22"/>
          <w:szCs w:val="22"/>
        </w:rPr>
        <w:t>17.</w:t>
      </w:r>
      <w:r>
        <w:rPr>
          <w:sz w:val="22"/>
          <w:szCs w:val="22"/>
        </w:rPr>
        <w:tab/>
      </w:r>
      <w:r>
        <w:rPr>
          <w:i/>
          <w:sz w:val="22"/>
          <w:szCs w:val="22"/>
        </w:rPr>
        <w:t>Display o</w:t>
      </w:r>
      <w:r w:rsidR="00CE24DC">
        <w:rPr>
          <w:i/>
          <w:sz w:val="22"/>
          <w:szCs w:val="22"/>
        </w:rPr>
        <w:t>f expiration date for OMB approval of information collectio</w:t>
      </w:r>
      <w:r w:rsidR="00526CD0">
        <w:rPr>
          <w:i/>
          <w:sz w:val="22"/>
          <w:szCs w:val="22"/>
        </w:rPr>
        <w:t>n</w:t>
      </w:r>
      <w:r w:rsidR="00526CD0">
        <w:rPr>
          <w:sz w:val="22"/>
          <w:szCs w:val="22"/>
        </w:rPr>
        <w:t xml:space="preserve">.  </w:t>
      </w:r>
      <w:r w:rsidRPr="008C1D09" w:rsidR="00526CD0">
        <w:rPr>
          <w:sz w:val="22"/>
          <w:szCs w:val="22"/>
        </w:rPr>
        <w:t>The Commission seeks an exemption from the requirement to display the OMB expiration date for this information collection.  The Commission publishes a list of all OMB-approved information collections and their corresponding expiration dates in 47 C.F.R. 0.408 of the Commission’s rules, 47 C.F.R. § 0.408,</w:t>
      </w:r>
      <w:r w:rsidRPr="008C1D09" w:rsidR="00CE24DC">
        <w:rPr>
          <w:sz w:val="22"/>
          <w:szCs w:val="22"/>
        </w:rPr>
        <w:t xml:space="preserve"> </w:t>
      </w:r>
      <w:r w:rsidRPr="008C1D09" w:rsidR="00526CD0">
        <w:rPr>
          <w:sz w:val="22"/>
          <w:szCs w:val="22"/>
        </w:rPr>
        <w:t>and will publish the OMB control number and OMB expiration date for this collection in the list contained in section 0.408 of its rules.</w:t>
      </w:r>
    </w:p>
    <w:p w:rsidR="00526CD0" w:rsidP="00B16D9D" w:rsidRDefault="00526CD0" w14:paraId="47B3E350" w14:textId="5B24400A">
      <w:pPr>
        <w:tabs>
          <w:tab w:val="left" w:pos="360"/>
        </w:tabs>
        <w:rPr>
          <w:sz w:val="22"/>
          <w:szCs w:val="22"/>
        </w:rPr>
      </w:pPr>
    </w:p>
    <w:p w:rsidR="00526CD0" w:rsidP="00526CD0" w:rsidRDefault="00526CD0" w14:paraId="18B9A085" w14:textId="597E1491">
      <w:pPr>
        <w:tabs>
          <w:tab w:val="left" w:pos="360"/>
        </w:tabs>
        <w:rPr>
          <w:sz w:val="22"/>
          <w:szCs w:val="22"/>
          <w:highlight w:val="yellow"/>
        </w:rPr>
      </w:pPr>
      <w:r>
        <w:rPr>
          <w:sz w:val="22"/>
          <w:szCs w:val="22"/>
        </w:rPr>
        <w:t>18.</w:t>
      </w:r>
      <w:r>
        <w:rPr>
          <w:sz w:val="22"/>
          <w:szCs w:val="22"/>
        </w:rPr>
        <w:tab/>
      </w:r>
      <w:r w:rsidRPr="00C87D32">
        <w:rPr>
          <w:i/>
          <w:sz w:val="22"/>
          <w:szCs w:val="22"/>
        </w:rPr>
        <w:t>Exception to certification statement for Paperwork Reduction Act submissions</w:t>
      </w:r>
      <w:r>
        <w:rPr>
          <w:sz w:val="22"/>
          <w:szCs w:val="22"/>
        </w:rPr>
        <w:t>.</w:t>
      </w:r>
      <w:r w:rsidR="00655969">
        <w:rPr>
          <w:sz w:val="22"/>
          <w:szCs w:val="22"/>
        </w:rPr>
        <w:t xml:space="preserve">  </w:t>
      </w:r>
      <w:r w:rsidR="00CB4E41">
        <w:rPr>
          <w:sz w:val="22"/>
          <w:szCs w:val="22"/>
        </w:rPr>
        <w:t>There are no exceptions to the certification statement.</w:t>
      </w:r>
    </w:p>
    <w:p w:rsidR="00A22893" w:rsidP="00526CD0" w:rsidRDefault="00A22893" w14:paraId="5FFDFB46" w14:textId="2D9D92DC">
      <w:pPr>
        <w:tabs>
          <w:tab w:val="left" w:pos="360"/>
        </w:tabs>
        <w:rPr>
          <w:sz w:val="22"/>
          <w:szCs w:val="22"/>
        </w:rPr>
      </w:pPr>
    </w:p>
    <w:p w:rsidRPr="006253AA" w:rsidR="00A22893" w:rsidP="00A22893" w:rsidRDefault="00A22893" w14:paraId="575467AE" w14:textId="77777777">
      <w:pPr>
        <w:pStyle w:val="Heading1"/>
        <w:rPr>
          <w:sz w:val="22"/>
          <w:szCs w:val="22"/>
        </w:rPr>
      </w:pPr>
      <w:r w:rsidRPr="006253AA">
        <w:rPr>
          <w:sz w:val="22"/>
          <w:szCs w:val="22"/>
        </w:rPr>
        <w:t>Collections of Information Employing Statistical Methods</w:t>
      </w:r>
      <w:r w:rsidRPr="006253AA">
        <w:rPr>
          <w:sz w:val="22"/>
          <w:szCs w:val="22"/>
          <w:u w:val="none"/>
        </w:rPr>
        <w:t>:</w:t>
      </w:r>
    </w:p>
    <w:p w:rsidRPr="006253AA" w:rsidR="00A22893" w:rsidP="00A22893" w:rsidRDefault="00A22893" w14:paraId="5C1A6503" w14:textId="77777777">
      <w:pPr>
        <w:rPr>
          <w:sz w:val="22"/>
          <w:szCs w:val="22"/>
        </w:rPr>
      </w:pPr>
    </w:p>
    <w:p w:rsidRPr="00526CD0" w:rsidR="00A22893" w:rsidP="00A22893" w:rsidRDefault="00A22893" w14:paraId="1117C104" w14:textId="11CDD72B">
      <w:pPr>
        <w:rPr>
          <w:sz w:val="22"/>
          <w:szCs w:val="22"/>
        </w:rPr>
      </w:pPr>
      <w:r w:rsidRPr="006253AA">
        <w:rPr>
          <w:sz w:val="22"/>
          <w:szCs w:val="22"/>
        </w:rPr>
        <w:t>The Commission does not anticipate that this new collection of information will employ statistical methods, and the use of such methods would not reduce the burden or improve accuracy of results.</w:t>
      </w:r>
    </w:p>
    <w:sectPr w:rsidRPr="00526CD0" w:rsidR="00A22893" w:rsidSect="00F5665B">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0F766" w14:textId="77777777" w:rsidR="005939F0" w:rsidRDefault="005939F0" w:rsidP="00F5665B">
      <w:r>
        <w:separator/>
      </w:r>
    </w:p>
  </w:endnote>
  <w:endnote w:type="continuationSeparator" w:id="0">
    <w:p w14:paraId="24BA9B92" w14:textId="77777777" w:rsidR="005939F0" w:rsidRDefault="005939F0" w:rsidP="00F5665B">
      <w:r>
        <w:continuationSeparator/>
      </w:r>
    </w:p>
  </w:endnote>
  <w:endnote w:type="continuationNotice" w:id="1">
    <w:p w14:paraId="5B35F29F" w14:textId="77777777" w:rsidR="005939F0" w:rsidRDefault="0059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0812864"/>
      <w:docPartObj>
        <w:docPartGallery w:val="Page Numbers (Bottom of Page)"/>
        <w:docPartUnique/>
      </w:docPartObj>
    </w:sdtPr>
    <w:sdtContent>
      <w:p w14:paraId="5E66E4FD" w14:textId="77777777" w:rsidR="005939F0" w:rsidRDefault="005939F0" w:rsidP="00F566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6B9C9F" w14:textId="77777777" w:rsidR="005939F0" w:rsidRDefault="0059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2"/>
        <w:szCs w:val="22"/>
      </w:rPr>
      <w:id w:val="-293134236"/>
      <w:docPartObj>
        <w:docPartGallery w:val="Page Numbers (Bottom of Page)"/>
        <w:docPartUnique/>
      </w:docPartObj>
    </w:sdtPr>
    <w:sdtContent>
      <w:p w14:paraId="1D785585" w14:textId="77777777" w:rsidR="005939F0" w:rsidRPr="00F5665B" w:rsidRDefault="005939F0" w:rsidP="00F5665B">
        <w:pPr>
          <w:pStyle w:val="Footer"/>
          <w:framePr w:wrap="none" w:vAnchor="text" w:hAnchor="margin" w:xAlign="center" w:y="1"/>
          <w:rPr>
            <w:rStyle w:val="PageNumber"/>
            <w:sz w:val="22"/>
            <w:szCs w:val="22"/>
          </w:rPr>
        </w:pPr>
        <w:r w:rsidRPr="00F5665B">
          <w:rPr>
            <w:rStyle w:val="PageNumber"/>
            <w:sz w:val="22"/>
            <w:szCs w:val="22"/>
          </w:rPr>
          <w:fldChar w:fldCharType="begin"/>
        </w:r>
        <w:r w:rsidRPr="00F5665B">
          <w:rPr>
            <w:rStyle w:val="PageNumber"/>
            <w:sz w:val="22"/>
            <w:szCs w:val="22"/>
          </w:rPr>
          <w:instrText xml:space="preserve"> PAGE </w:instrText>
        </w:r>
        <w:r w:rsidRPr="00F5665B">
          <w:rPr>
            <w:rStyle w:val="PageNumber"/>
            <w:sz w:val="22"/>
            <w:szCs w:val="22"/>
          </w:rPr>
          <w:fldChar w:fldCharType="separate"/>
        </w:r>
        <w:r w:rsidRPr="00F5665B">
          <w:rPr>
            <w:rStyle w:val="PageNumber"/>
            <w:noProof/>
            <w:sz w:val="22"/>
            <w:szCs w:val="22"/>
          </w:rPr>
          <w:t>1</w:t>
        </w:r>
        <w:r w:rsidRPr="00F5665B">
          <w:rPr>
            <w:rStyle w:val="PageNumber"/>
            <w:sz w:val="22"/>
            <w:szCs w:val="22"/>
          </w:rPr>
          <w:fldChar w:fldCharType="end"/>
        </w:r>
      </w:p>
    </w:sdtContent>
  </w:sdt>
  <w:p w14:paraId="2C758F88" w14:textId="77777777" w:rsidR="005939F0" w:rsidRDefault="0059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EBF4D" w14:textId="77777777" w:rsidR="005939F0" w:rsidRDefault="005939F0" w:rsidP="00F5665B">
      <w:r>
        <w:separator/>
      </w:r>
    </w:p>
  </w:footnote>
  <w:footnote w:type="continuationSeparator" w:id="0">
    <w:p w14:paraId="7AD5F2AE" w14:textId="77777777" w:rsidR="005939F0" w:rsidRDefault="005939F0" w:rsidP="00F5665B">
      <w:r>
        <w:continuationSeparator/>
      </w:r>
    </w:p>
  </w:footnote>
  <w:footnote w:type="continuationNotice" w:id="1">
    <w:p w14:paraId="37D4281E" w14:textId="77777777" w:rsidR="005939F0" w:rsidRDefault="005939F0"/>
  </w:footnote>
  <w:footnote w:id="2">
    <w:p w14:paraId="04A5A40A" w14:textId="77777777" w:rsidR="005939F0" w:rsidRPr="007831D4" w:rsidRDefault="005939F0" w:rsidP="00033F93">
      <w:pPr>
        <w:pStyle w:val="FootnoteText"/>
      </w:pPr>
      <w:r w:rsidRPr="007831D4">
        <w:rPr>
          <w:rStyle w:val="FootnoteReference"/>
          <w:sz w:val="20"/>
        </w:rPr>
        <w:footnoteRef/>
      </w:r>
      <w:r w:rsidRPr="007831D4">
        <w:t xml:space="preserve"> </w:t>
      </w:r>
      <w:r w:rsidRPr="007831D4">
        <w:rPr>
          <w:i/>
          <w:iCs/>
        </w:rPr>
        <w:t>See</w:t>
      </w:r>
      <w:r w:rsidRPr="007831D4">
        <w:t xml:space="preserve"> MOBILE NOW Act, Pub. L. No. 115-141, Division P, Title VI, § 601 </w:t>
      </w:r>
      <w:r w:rsidRPr="007831D4">
        <w:rPr>
          <w:i/>
        </w:rPr>
        <w:t>et seq.</w:t>
      </w:r>
      <w:r w:rsidRPr="007831D4">
        <w:t xml:space="preserve"> (2018) (requiring the Commission to evaluate “the feasibility of allowing commercial wireless services, licensed or unlicensed, to use or share use of the frequencies between 3700 megahertz and 4200 megahertz”). </w:t>
      </w:r>
    </w:p>
  </w:footnote>
  <w:footnote w:id="3">
    <w:p w14:paraId="6192C828" w14:textId="77777777" w:rsidR="005939F0" w:rsidRPr="007831D4" w:rsidRDefault="005939F0" w:rsidP="00033F93">
      <w:pPr>
        <w:pStyle w:val="FootnoteText"/>
      </w:pPr>
      <w:r w:rsidRPr="007831D4">
        <w:rPr>
          <w:rStyle w:val="FootnoteReference"/>
          <w:sz w:val="20"/>
        </w:rPr>
        <w:footnoteRef/>
      </w:r>
      <w:r w:rsidRPr="007831D4">
        <w:t xml:space="preserve"> The 20 megahertz from 3.98-4.0 GHz is being reserved as a guard band.</w:t>
      </w:r>
    </w:p>
  </w:footnote>
  <w:footnote w:id="4">
    <w:p w14:paraId="029382A2" w14:textId="2BDBA7A4" w:rsidR="005939F0" w:rsidRPr="00651D69" w:rsidRDefault="005939F0">
      <w:pPr>
        <w:pStyle w:val="FootnoteText"/>
      </w:pPr>
      <w:r w:rsidRPr="00651D69">
        <w:rPr>
          <w:rStyle w:val="FootnoteReference"/>
          <w:sz w:val="20"/>
        </w:rPr>
        <w:footnoteRef/>
      </w:r>
      <w:r w:rsidRPr="00651D69">
        <w:t xml:space="preserve"> Specifically, the Relocation Payment Clearinghouse must (i) submit to the Office of Management and Budget and the Wireless Telecommunications Bureau an audited statement of funds expended to date, including salaries and expenses of the Clearinghouse; (ii) provide additional information requested by the Wireless Telecommunications Bureau; and (iii) report the results of an independent audit of its compliance with privacy and information security requirements.</w:t>
      </w:r>
    </w:p>
  </w:footnote>
  <w:footnote w:id="5">
    <w:p w14:paraId="76A9FE83" w14:textId="459C79F6" w:rsidR="005939F0" w:rsidRPr="00734FBF" w:rsidRDefault="005939F0">
      <w:pPr>
        <w:pStyle w:val="FootnoteText"/>
      </w:pPr>
      <w:r w:rsidRPr="00734FBF">
        <w:rPr>
          <w:rStyle w:val="FootnoteReference"/>
          <w:sz w:val="20"/>
        </w:rPr>
        <w:footnoteRef/>
      </w:r>
      <w:r w:rsidRPr="00734FBF">
        <w:t xml:space="preserve"> If the Relocation Payment Clearinghouse determines that the amount sought for reimbursement is unreasonable, it shall notify the party of the amount it deems eligible for reimbursement.  The Relocation Payment Clearinghouse shall pay approved claims within 30 days of invoice </w:t>
      </w:r>
      <w:proofErr w:type="gramStart"/>
      <w:r w:rsidRPr="00734FBF">
        <w:t>submission, and</w:t>
      </w:r>
      <w:proofErr w:type="gramEnd"/>
      <w:r w:rsidRPr="00734FBF">
        <w:t xml:space="preserve"> shall also include its own reasonable costs in the invoices.</w:t>
      </w:r>
    </w:p>
  </w:footnote>
  <w:footnote w:id="6">
    <w:p w14:paraId="59EE597B" w14:textId="5C90772E" w:rsidR="005939F0" w:rsidRPr="00584F40" w:rsidRDefault="005939F0">
      <w:pPr>
        <w:pStyle w:val="FootnoteText"/>
      </w:pPr>
      <w:r w:rsidRPr="00584F40">
        <w:rPr>
          <w:rStyle w:val="FootnoteReference"/>
          <w:sz w:val="20"/>
        </w:rPr>
        <w:footnoteRef/>
      </w:r>
      <w:r w:rsidRPr="00584F40">
        <w:t xml:space="preserve"> Eligible space station operators may file joint status reports.</w:t>
      </w:r>
    </w:p>
  </w:footnote>
  <w:footnote w:id="7">
    <w:p w14:paraId="427E523F" w14:textId="77777777" w:rsidR="005939F0" w:rsidRDefault="005939F0" w:rsidP="00007A98">
      <w:pPr>
        <w:pStyle w:val="FootnoteText"/>
      </w:pPr>
      <w:r>
        <w:rPr>
          <w:rStyle w:val="FootnoteReference"/>
        </w:rPr>
        <w:footnoteRef/>
      </w:r>
      <w:r>
        <w:t xml:space="preserve"> </w:t>
      </w:r>
      <w:r w:rsidRPr="001A7CAF">
        <w:rPr>
          <w:sz w:val="22"/>
          <w:szCs w:val="22"/>
        </w:rPr>
        <w:t xml:space="preserve">The </w:t>
      </w:r>
      <w:r w:rsidRPr="001A7CAF">
        <w:rPr>
          <w:i/>
          <w:iCs/>
          <w:sz w:val="22"/>
          <w:szCs w:val="22"/>
        </w:rPr>
        <w:t>3.7 GHz Report and Order</w:t>
      </w:r>
      <w:r w:rsidRPr="001A7CAF">
        <w:rPr>
          <w:sz w:val="22"/>
          <w:szCs w:val="22"/>
        </w:rPr>
        <w:t xml:space="preserve"> establishes a deadline of December 5, 2025, for full relocation, but provides an opportunity for accelerated clearing of the band by allowing incumbent space station operators to commit to voluntarily relocate on a two-phased accelerated schedule (with additional obligations and incentives for such operators), with a Phase I deadline of December 5, 2021, and a Phase II deadline of December 5, 2023.  Th</w:t>
      </w:r>
      <w:r>
        <w:rPr>
          <w:sz w:val="22"/>
          <w:szCs w:val="22"/>
        </w:rPr>
        <w:t xml:space="preserve">is </w:t>
      </w:r>
      <w:r w:rsidRPr="001A7CAF">
        <w:rPr>
          <w:sz w:val="22"/>
          <w:szCs w:val="22"/>
        </w:rPr>
        <w:t>cost</w:t>
      </w:r>
      <w:r>
        <w:rPr>
          <w:sz w:val="22"/>
          <w:szCs w:val="22"/>
        </w:rPr>
        <w:t xml:space="preserve"> estimate </w:t>
      </w:r>
      <w:r w:rsidRPr="001A7CAF">
        <w:rPr>
          <w:sz w:val="22"/>
          <w:szCs w:val="22"/>
        </w:rPr>
        <w:t>assume</w:t>
      </w:r>
      <w:r>
        <w:rPr>
          <w:sz w:val="22"/>
          <w:szCs w:val="22"/>
        </w:rPr>
        <w:t>s</w:t>
      </w:r>
      <w:r w:rsidRPr="001A7CAF">
        <w:rPr>
          <w:sz w:val="22"/>
          <w:szCs w:val="22"/>
        </w:rPr>
        <w:t xml:space="preserve"> that the</w:t>
      </w:r>
      <w:r>
        <w:rPr>
          <w:sz w:val="22"/>
          <w:szCs w:val="22"/>
        </w:rPr>
        <w:t xml:space="preserve"> </w:t>
      </w:r>
      <w:r w:rsidRPr="001A7CAF">
        <w:rPr>
          <w:sz w:val="22"/>
          <w:szCs w:val="22"/>
        </w:rPr>
        <w:t xml:space="preserve">transition/relocation will proceed based on the regular schedule with </w:t>
      </w:r>
      <w:r>
        <w:rPr>
          <w:sz w:val="22"/>
          <w:szCs w:val="22"/>
        </w:rPr>
        <w:t xml:space="preserve">completion </w:t>
      </w:r>
      <w:r w:rsidRPr="001A7CAF">
        <w:rPr>
          <w:sz w:val="22"/>
          <w:szCs w:val="22"/>
        </w:rPr>
        <w:t>deadline of December 5, 2025, for full relocation.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BC8"/>
    <w:multiLevelType w:val="hybridMultilevel"/>
    <w:tmpl w:val="E658585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5F59"/>
    <w:multiLevelType w:val="hybridMultilevel"/>
    <w:tmpl w:val="92DC7088"/>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E29B9"/>
    <w:multiLevelType w:val="hybridMultilevel"/>
    <w:tmpl w:val="BF2EED7E"/>
    <w:lvl w:ilvl="0" w:tplc="AB740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23D79"/>
    <w:multiLevelType w:val="hybridMultilevel"/>
    <w:tmpl w:val="DAF2F70A"/>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D1B"/>
    <w:multiLevelType w:val="hybridMultilevel"/>
    <w:tmpl w:val="3C760F7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073D61"/>
    <w:multiLevelType w:val="hybridMultilevel"/>
    <w:tmpl w:val="762CE316"/>
    <w:lvl w:ilvl="0" w:tplc="50E60136">
      <w:start w:val="1"/>
      <w:numFmt w:val="lowerLetter"/>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221A66BA"/>
    <w:multiLevelType w:val="hybridMultilevel"/>
    <w:tmpl w:val="FB6850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32A46"/>
    <w:multiLevelType w:val="hybridMultilevel"/>
    <w:tmpl w:val="95881E54"/>
    <w:lvl w:ilvl="0" w:tplc="F9F2701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75760"/>
    <w:multiLevelType w:val="hybridMultilevel"/>
    <w:tmpl w:val="33D4DA9C"/>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B1FBA"/>
    <w:multiLevelType w:val="hybridMultilevel"/>
    <w:tmpl w:val="5840EC9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F12E7"/>
    <w:multiLevelType w:val="hybridMultilevel"/>
    <w:tmpl w:val="92DC7088"/>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D68C7"/>
    <w:multiLevelType w:val="hybridMultilevel"/>
    <w:tmpl w:val="EFBC7DF8"/>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C2225"/>
    <w:multiLevelType w:val="hybridMultilevel"/>
    <w:tmpl w:val="DAF2F70A"/>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6634E"/>
    <w:multiLevelType w:val="hybridMultilevel"/>
    <w:tmpl w:val="C72EA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E306D"/>
    <w:multiLevelType w:val="hybridMultilevel"/>
    <w:tmpl w:val="98FA58EE"/>
    <w:lvl w:ilvl="0" w:tplc="F9F2701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00DEB"/>
    <w:multiLevelType w:val="hybridMultilevel"/>
    <w:tmpl w:val="33D4DA9C"/>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A0542"/>
    <w:multiLevelType w:val="hybridMultilevel"/>
    <w:tmpl w:val="09A083C2"/>
    <w:lvl w:ilvl="0" w:tplc="453EB1E4">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804875"/>
    <w:multiLevelType w:val="hybridMultilevel"/>
    <w:tmpl w:val="F4506BA2"/>
    <w:lvl w:ilvl="0" w:tplc="ED9632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B7118"/>
    <w:multiLevelType w:val="hybridMultilevel"/>
    <w:tmpl w:val="D320EEC4"/>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B282A"/>
    <w:multiLevelType w:val="hybridMultilevel"/>
    <w:tmpl w:val="79D8CE76"/>
    <w:lvl w:ilvl="0" w:tplc="0D3C28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71FC6"/>
    <w:multiLevelType w:val="hybridMultilevel"/>
    <w:tmpl w:val="5762D522"/>
    <w:lvl w:ilvl="0" w:tplc="2874637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94419"/>
    <w:multiLevelType w:val="hybridMultilevel"/>
    <w:tmpl w:val="392825B6"/>
    <w:lvl w:ilvl="0" w:tplc="2874637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51A84"/>
    <w:multiLevelType w:val="hybridMultilevel"/>
    <w:tmpl w:val="E17605C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9"/>
  </w:num>
  <w:num w:numId="4">
    <w:abstractNumId w:val="0"/>
  </w:num>
  <w:num w:numId="5">
    <w:abstractNumId w:val="12"/>
  </w:num>
  <w:num w:numId="6">
    <w:abstractNumId w:val="23"/>
  </w:num>
  <w:num w:numId="7">
    <w:abstractNumId w:val="20"/>
  </w:num>
  <w:num w:numId="8">
    <w:abstractNumId w:val="7"/>
  </w:num>
  <w:num w:numId="9">
    <w:abstractNumId w:val="10"/>
  </w:num>
  <w:num w:numId="10">
    <w:abstractNumId w:val="15"/>
  </w:num>
  <w:num w:numId="11">
    <w:abstractNumId w:val="8"/>
  </w:num>
  <w:num w:numId="12">
    <w:abstractNumId w:val="14"/>
  </w:num>
  <w:num w:numId="13">
    <w:abstractNumId w:val="5"/>
  </w:num>
  <w:num w:numId="14">
    <w:abstractNumId w:val="2"/>
  </w:num>
  <w:num w:numId="15">
    <w:abstractNumId w:val="21"/>
  </w:num>
  <w:num w:numId="16">
    <w:abstractNumId w:val="17"/>
  </w:num>
  <w:num w:numId="17">
    <w:abstractNumId w:val="22"/>
  </w:num>
  <w:num w:numId="18">
    <w:abstractNumId w:val="18"/>
  </w:num>
  <w:num w:numId="19">
    <w:abstractNumId w:val="13"/>
  </w:num>
  <w:num w:numId="20">
    <w:abstractNumId w:val="1"/>
  </w:num>
  <w:num w:numId="21">
    <w:abstractNumId w:val="16"/>
  </w:num>
  <w:num w:numId="22">
    <w:abstractNumId w:val="3"/>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E5"/>
    <w:rsid w:val="00003DFA"/>
    <w:rsid w:val="00004551"/>
    <w:rsid w:val="0000529D"/>
    <w:rsid w:val="0000534F"/>
    <w:rsid w:val="0000557D"/>
    <w:rsid w:val="00006BB9"/>
    <w:rsid w:val="00007553"/>
    <w:rsid w:val="0000783C"/>
    <w:rsid w:val="00007A98"/>
    <w:rsid w:val="00007B7B"/>
    <w:rsid w:val="00010DBA"/>
    <w:rsid w:val="000119A5"/>
    <w:rsid w:val="00012639"/>
    <w:rsid w:val="000127EB"/>
    <w:rsid w:val="000130B6"/>
    <w:rsid w:val="0001398F"/>
    <w:rsid w:val="00014300"/>
    <w:rsid w:val="00016631"/>
    <w:rsid w:val="00016C80"/>
    <w:rsid w:val="00016F63"/>
    <w:rsid w:val="00017F45"/>
    <w:rsid w:val="00023282"/>
    <w:rsid w:val="0002374B"/>
    <w:rsid w:val="000242BB"/>
    <w:rsid w:val="000253A5"/>
    <w:rsid w:val="0002552A"/>
    <w:rsid w:val="000267F1"/>
    <w:rsid w:val="00027748"/>
    <w:rsid w:val="0003011A"/>
    <w:rsid w:val="000302A8"/>
    <w:rsid w:val="00030DE1"/>
    <w:rsid w:val="00031BEF"/>
    <w:rsid w:val="00031F00"/>
    <w:rsid w:val="00032050"/>
    <w:rsid w:val="00032852"/>
    <w:rsid w:val="00033F93"/>
    <w:rsid w:val="000341AE"/>
    <w:rsid w:val="00035899"/>
    <w:rsid w:val="00040CF1"/>
    <w:rsid w:val="00040E5E"/>
    <w:rsid w:val="0004258C"/>
    <w:rsid w:val="00042966"/>
    <w:rsid w:val="00043B1E"/>
    <w:rsid w:val="000441C8"/>
    <w:rsid w:val="00044259"/>
    <w:rsid w:val="00044E7C"/>
    <w:rsid w:val="00045AA0"/>
    <w:rsid w:val="00045DA6"/>
    <w:rsid w:val="00046D74"/>
    <w:rsid w:val="00047DDE"/>
    <w:rsid w:val="000501BB"/>
    <w:rsid w:val="00050DD7"/>
    <w:rsid w:val="000532BD"/>
    <w:rsid w:val="00053311"/>
    <w:rsid w:val="000535A0"/>
    <w:rsid w:val="00053DB6"/>
    <w:rsid w:val="0005483D"/>
    <w:rsid w:val="00057269"/>
    <w:rsid w:val="000577E4"/>
    <w:rsid w:val="0006040D"/>
    <w:rsid w:val="0006159C"/>
    <w:rsid w:val="00062810"/>
    <w:rsid w:val="00065F34"/>
    <w:rsid w:val="00066E47"/>
    <w:rsid w:val="0007055D"/>
    <w:rsid w:val="000708C6"/>
    <w:rsid w:val="00073702"/>
    <w:rsid w:val="00074A7D"/>
    <w:rsid w:val="0007524C"/>
    <w:rsid w:val="00082693"/>
    <w:rsid w:val="000835F4"/>
    <w:rsid w:val="0008713B"/>
    <w:rsid w:val="00092CAE"/>
    <w:rsid w:val="0009321E"/>
    <w:rsid w:val="00094668"/>
    <w:rsid w:val="00095019"/>
    <w:rsid w:val="00096B54"/>
    <w:rsid w:val="000A123C"/>
    <w:rsid w:val="000A1666"/>
    <w:rsid w:val="000A5B4D"/>
    <w:rsid w:val="000A63EC"/>
    <w:rsid w:val="000A6C45"/>
    <w:rsid w:val="000A71BE"/>
    <w:rsid w:val="000A7885"/>
    <w:rsid w:val="000A7A96"/>
    <w:rsid w:val="000B1379"/>
    <w:rsid w:val="000B16DE"/>
    <w:rsid w:val="000B60CB"/>
    <w:rsid w:val="000B70D1"/>
    <w:rsid w:val="000C3154"/>
    <w:rsid w:val="000C4667"/>
    <w:rsid w:val="000C4B87"/>
    <w:rsid w:val="000C53D1"/>
    <w:rsid w:val="000C5AF2"/>
    <w:rsid w:val="000C7B25"/>
    <w:rsid w:val="000D0557"/>
    <w:rsid w:val="000D1039"/>
    <w:rsid w:val="000D144C"/>
    <w:rsid w:val="000D17C8"/>
    <w:rsid w:val="000D2189"/>
    <w:rsid w:val="000D2C5E"/>
    <w:rsid w:val="000D32D3"/>
    <w:rsid w:val="000D33CD"/>
    <w:rsid w:val="000D47BE"/>
    <w:rsid w:val="000D694F"/>
    <w:rsid w:val="000D6FA2"/>
    <w:rsid w:val="000D70C9"/>
    <w:rsid w:val="000E1594"/>
    <w:rsid w:val="000E18FE"/>
    <w:rsid w:val="000E39DE"/>
    <w:rsid w:val="000E41F5"/>
    <w:rsid w:val="000E47B2"/>
    <w:rsid w:val="000E5DF2"/>
    <w:rsid w:val="000E5DFF"/>
    <w:rsid w:val="000E797D"/>
    <w:rsid w:val="000F08FD"/>
    <w:rsid w:val="000F0DE8"/>
    <w:rsid w:val="000F3275"/>
    <w:rsid w:val="000F36FF"/>
    <w:rsid w:val="000F379E"/>
    <w:rsid w:val="000F3C6E"/>
    <w:rsid w:val="000F45A6"/>
    <w:rsid w:val="000F6B2D"/>
    <w:rsid w:val="001021F1"/>
    <w:rsid w:val="00104423"/>
    <w:rsid w:val="00104746"/>
    <w:rsid w:val="0010499C"/>
    <w:rsid w:val="001060A3"/>
    <w:rsid w:val="001064CD"/>
    <w:rsid w:val="001115F7"/>
    <w:rsid w:val="00111BBA"/>
    <w:rsid w:val="001139B2"/>
    <w:rsid w:val="00114A42"/>
    <w:rsid w:val="00117DB0"/>
    <w:rsid w:val="00120B33"/>
    <w:rsid w:val="00122DCE"/>
    <w:rsid w:val="0012364F"/>
    <w:rsid w:val="00124666"/>
    <w:rsid w:val="00124A40"/>
    <w:rsid w:val="00125940"/>
    <w:rsid w:val="0012750C"/>
    <w:rsid w:val="00127529"/>
    <w:rsid w:val="0013023A"/>
    <w:rsid w:val="00130C4D"/>
    <w:rsid w:val="001320C2"/>
    <w:rsid w:val="00133164"/>
    <w:rsid w:val="00133292"/>
    <w:rsid w:val="00133AD7"/>
    <w:rsid w:val="00133B73"/>
    <w:rsid w:val="0013444F"/>
    <w:rsid w:val="00135AF0"/>
    <w:rsid w:val="00135EAD"/>
    <w:rsid w:val="00136DDA"/>
    <w:rsid w:val="00137F96"/>
    <w:rsid w:val="00140616"/>
    <w:rsid w:val="00141248"/>
    <w:rsid w:val="00141C12"/>
    <w:rsid w:val="0014636E"/>
    <w:rsid w:val="001472FF"/>
    <w:rsid w:val="0014739E"/>
    <w:rsid w:val="00150F20"/>
    <w:rsid w:val="00152A38"/>
    <w:rsid w:val="001538AD"/>
    <w:rsid w:val="00153A9D"/>
    <w:rsid w:val="00153CC4"/>
    <w:rsid w:val="00153DB6"/>
    <w:rsid w:val="00154433"/>
    <w:rsid w:val="00154F69"/>
    <w:rsid w:val="001550C2"/>
    <w:rsid w:val="001554E3"/>
    <w:rsid w:val="00155845"/>
    <w:rsid w:val="00157477"/>
    <w:rsid w:val="001579E3"/>
    <w:rsid w:val="0016046D"/>
    <w:rsid w:val="0016065F"/>
    <w:rsid w:val="00161272"/>
    <w:rsid w:val="00162860"/>
    <w:rsid w:val="00164D32"/>
    <w:rsid w:val="0016597E"/>
    <w:rsid w:val="00170EC5"/>
    <w:rsid w:val="00171AE7"/>
    <w:rsid w:val="00171F9E"/>
    <w:rsid w:val="00173754"/>
    <w:rsid w:val="00174C95"/>
    <w:rsid w:val="001756DA"/>
    <w:rsid w:val="0017649B"/>
    <w:rsid w:val="00176A7D"/>
    <w:rsid w:val="001809A7"/>
    <w:rsid w:val="00181DB0"/>
    <w:rsid w:val="00182BA1"/>
    <w:rsid w:val="00182EDD"/>
    <w:rsid w:val="0018440F"/>
    <w:rsid w:val="0018705D"/>
    <w:rsid w:val="001871FB"/>
    <w:rsid w:val="0019238F"/>
    <w:rsid w:val="001923F4"/>
    <w:rsid w:val="00192960"/>
    <w:rsid w:val="0019492F"/>
    <w:rsid w:val="00196C70"/>
    <w:rsid w:val="001971DD"/>
    <w:rsid w:val="001975AB"/>
    <w:rsid w:val="001A3EB7"/>
    <w:rsid w:val="001A4E4E"/>
    <w:rsid w:val="001A513C"/>
    <w:rsid w:val="001A7576"/>
    <w:rsid w:val="001A78A2"/>
    <w:rsid w:val="001A78E8"/>
    <w:rsid w:val="001A7ECD"/>
    <w:rsid w:val="001B044F"/>
    <w:rsid w:val="001B0F0A"/>
    <w:rsid w:val="001B1CE7"/>
    <w:rsid w:val="001B2B97"/>
    <w:rsid w:val="001B4392"/>
    <w:rsid w:val="001B4971"/>
    <w:rsid w:val="001B7201"/>
    <w:rsid w:val="001B7EEF"/>
    <w:rsid w:val="001C0240"/>
    <w:rsid w:val="001C0664"/>
    <w:rsid w:val="001C21B4"/>
    <w:rsid w:val="001C325E"/>
    <w:rsid w:val="001C6914"/>
    <w:rsid w:val="001D0CF0"/>
    <w:rsid w:val="001D1301"/>
    <w:rsid w:val="001D17EC"/>
    <w:rsid w:val="001D253E"/>
    <w:rsid w:val="001D3023"/>
    <w:rsid w:val="001D382A"/>
    <w:rsid w:val="001D3FC5"/>
    <w:rsid w:val="001D5B68"/>
    <w:rsid w:val="001D5BC1"/>
    <w:rsid w:val="001D5E81"/>
    <w:rsid w:val="001D6B2B"/>
    <w:rsid w:val="001D738F"/>
    <w:rsid w:val="001D7C8F"/>
    <w:rsid w:val="001E040C"/>
    <w:rsid w:val="001E2031"/>
    <w:rsid w:val="001E23E5"/>
    <w:rsid w:val="001E3D21"/>
    <w:rsid w:val="001E4BFE"/>
    <w:rsid w:val="001E5C74"/>
    <w:rsid w:val="001E7F77"/>
    <w:rsid w:val="001F0E97"/>
    <w:rsid w:val="001F18C2"/>
    <w:rsid w:val="001F2957"/>
    <w:rsid w:val="001F2F1B"/>
    <w:rsid w:val="001F3C24"/>
    <w:rsid w:val="001F448E"/>
    <w:rsid w:val="002040AD"/>
    <w:rsid w:val="00204651"/>
    <w:rsid w:val="002053E4"/>
    <w:rsid w:val="0020545B"/>
    <w:rsid w:val="00205E2F"/>
    <w:rsid w:val="002077D4"/>
    <w:rsid w:val="00210CFD"/>
    <w:rsid w:val="00214EE8"/>
    <w:rsid w:val="0021565E"/>
    <w:rsid w:val="00217566"/>
    <w:rsid w:val="00220BA1"/>
    <w:rsid w:val="00221923"/>
    <w:rsid w:val="00222A26"/>
    <w:rsid w:val="0022321C"/>
    <w:rsid w:val="00223850"/>
    <w:rsid w:val="0022583F"/>
    <w:rsid w:val="002272AC"/>
    <w:rsid w:val="00230047"/>
    <w:rsid w:val="0023288D"/>
    <w:rsid w:val="00232F88"/>
    <w:rsid w:val="00233115"/>
    <w:rsid w:val="002333F3"/>
    <w:rsid w:val="00234183"/>
    <w:rsid w:val="00234A7C"/>
    <w:rsid w:val="00235970"/>
    <w:rsid w:val="00237C15"/>
    <w:rsid w:val="00241223"/>
    <w:rsid w:val="00246EC2"/>
    <w:rsid w:val="00250DE4"/>
    <w:rsid w:val="0025213F"/>
    <w:rsid w:val="00255FFF"/>
    <w:rsid w:val="0025735B"/>
    <w:rsid w:val="002601C0"/>
    <w:rsid w:val="00260385"/>
    <w:rsid w:val="0026261A"/>
    <w:rsid w:val="00262ACA"/>
    <w:rsid w:val="00263411"/>
    <w:rsid w:val="0026342A"/>
    <w:rsid w:val="002639BD"/>
    <w:rsid w:val="00263FE6"/>
    <w:rsid w:val="00264E60"/>
    <w:rsid w:val="0026597D"/>
    <w:rsid w:val="00266E60"/>
    <w:rsid w:val="00270885"/>
    <w:rsid w:val="00270C54"/>
    <w:rsid w:val="002717F1"/>
    <w:rsid w:val="00272526"/>
    <w:rsid w:val="0027594A"/>
    <w:rsid w:val="00275E77"/>
    <w:rsid w:val="00276BC2"/>
    <w:rsid w:val="0027771E"/>
    <w:rsid w:val="00280C40"/>
    <w:rsid w:val="00283A40"/>
    <w:rsid w:val="002855C0"/>
    <w:rsid w:val="00285C89"/>
    <w:rsid w:val="002860F9"/>
    <w:rsid w:val="00287FC6"/>
    <w:rsid w:val="002913BE"/>
    <w:rsid w:val="00291AA6"/>
    <w:rsid w:val="002925C0"/>
    <w:rsid w:val="0029374B"/>
    <w:rsid w:val="00295942"/>
    <w:rsid w:val="00295BF7"/>
    <w:rsid w:val="0029657C"/>
    <w:rsid w:val="00297CEB"/>
    <w:rsid w:val="002A3057"/>
    <w:rsid w:val="002A352C"/>
    <w:rsid w:val="002A3701"/>
    <w:rsid w:val="002A6A5E"/>
    <w:rsid w:val="002A76BD"/>
    <w:rsid w:val="002B0997"/>
    <w:rsid w:val="002B1E23"/>
    <w:rsid w:val="002B3D0A"/>
    <w:rsid w:val="002B63EA"/>
    <w:rsid w:val="002B7618"/>
    <w:rsid w:val="002B7D1E"/>
    <w:rsid w:val="002C034C"/>
    <w:rsid w:val="002C0F4B"/>
    <w:rsid w:val="002C1456"/>
    <w:rsid w:val="002C24FA"/>
    <w:rsid w:val="002C275E"/>
    <w:rsid w:val="002C2EA1"/>
    <w:rsid w:val="002C3234"/>
    <w:rsid w:val="002C4271"/>
    <w:rsid w:val="002C5124"/>
    <w:rsid w:val="002C5A88"/>
    <w:rsid w:val="002D3574"/>
    <w:rsid w:val="002D48D7"/>
    <w:rsid w:val="002D671B"/>
    <w:rsid w:val="002E2027"/>
    <w:rsid w:val="002E2392"/>
    <w:rsid w:val="002E3FEE"/>
    <w:rsid w:val="002E5A54"/>
    <w:rsid w:val="002E5AC4"/>
    <w:rsid w:val="002E60E6"/>
    <w:rsid w:val="002F265B"/>
    <w:rsid w:val="002F31B6"/>
    <w:rsid w:val="002F3547"/>
    <w:rsid w:val="002F5F42"/>
    <w:rsid w:val="002F655A"/>
    <w:rsid w:val="002F7521"/>
    <w:rsid w:val="002F7837"/>
    <w:rsid w:val="00303D71"/>
    <w:rsid w:val="00303EAA"/>
    <w:rsid w:val="003069F8"/>
    <w:rsid w:val="00306F1D"/>
    <w:rsid w:val="003070CF"/>
    <w:rsid w:val="00307938"/>
    <w:rsid w:val="00307CEF"/>
    <w:rsid w:val="00307EF1"/>
    <w:rsid w:val="00311353"/>
    <w:rsid w:val="00311644"/>
    <w:rsid w:val="0031241A"/>
    <w:rsid w:val="0031242B"/>
    <w:rsid w:val="00312BD6"/>
    <w:rsid w:val="003151AC"/>
    <w:rsid w:val="00316C26"/>
    <w:rsid w:val="0031718E"/>
    <w:rsid w:val="003257EE"/>
    <w:rsid w:val="0032717C"/>
    <w:rsid w:val="00330BAF"/>
    <w:rsid w:val="0033110B"/>
    <w:rsid w:val="00332747"/>
    <w:rsid w:val="00332CDF"/>
    <w:rsid w:val="00333869"/>
    <w:rsid w:val="0033402F"/>
    <w:rsid w:val="00335CE5"/>
    <w:rsid w:val="0033662F"/>
    <w:rsid w:val="003459A2"/>
    <w:rsid w:val="0034621B"/>
    <w:rsid w:val="00346707"/>
    <w:rsid w:val="0034774B"/>
    <w:rsid w:val="00350957"/>
    <w:rsid w:val="00350BCB"/>
    <w:rsid w:val="0035167A"/>
    <w:rsid w:val="00352187"/>
    <w:rsid w:val="00356D7D"/>
    <w:rsid w:val="0035700E"/>
    <w:rsid w:val="00357C21"/>
    <w:rsid w:val="00360623"/>
    <w:rsid w:val="003613E4"/>
    <w:rsid w:val="00365276"/>
    <w:rsid w:val="00367A2B"/>
    <w:rsid w:val="003724D1"/>
    <w:rsid w:val="00372511"/>
    <w:rsid w:val="00372B3D"/>
    <w:rsid w:val="003730AB"/>
    <w:rsid w:val="00373706"/>
    <w:rsid w:val="00374B1D"/>
    <w:rsid w:val="00374D66"/>
    <w:rsid w:val="00375256"/>
    <w:rsid w:val="00376C0D"/>
    <w:rsid w:val="0038001A"/>
    <w:rsid w:val="0038014F"/>
    <w:rsid w:val="00381137"/>
    <w:rsid w:val="00383861"/>
    <w:rsid w:val="0038430F"/>
    <w:rsid w:val="00384810"/>
    <w:rsid w:val="00386F46"/>
    <w:rsid w:val="00387548"/>
    <w:rsid w:val="003876D5"/>
    <w:rsid w:val="003879E5"/>
    <w:rsid w:val="00390C0D"/>
    <w:rsid w:val="003910B0"/>
    <w:rsid w:val="003940E5"/>
    <w:rsid w:val="00394A42"/>
    <w:rsid w:val="00395E66"/>
    <w:rsid w:val="00396FA0"/>
    <w:rsid w:val="00397D41"/>
    <w:rsid w:val="00397DAA"/>
    <w:rsid w:val="003A230B"/>
    <w:rsid w:val="003A2374"/>
    <w:rsid w:val="003A258B"/>
    <w:rsid w:val="003A38BE"/>
    <w:rsid w:val="003A3C1E"/>
    <w:rsid w:val="003A3C22"/>
    <w:rsid w:val="003A4239"/>
    <w:rsid w:val="003A4B5B"/>
    <w:rsid w:val="003A5A22"/>
    <w:rsid w:val="003A5B9E"/>
    <w:rsid w:val="003A6D21"/>
    <w:rsid w:val="003A7594"/>
    <w:rsid w:val="003B140C"/>
    <w:rsid w:val="003B224C"/>
    <w:rsid w:val="003B3D41"/>
    <w:rsid w:val="003B594C"/>
    <w:rsid w:val="003B6654"/>
    <w:rsid w:val="003B6D69"/>
    <w:rsid w:val="003B7233"/>
    <w:rsid w:val="003B7338"/>
    <w:rsid w:val="003C1EB9"/>
    <w:rsid w:val="003C2493"/>
    <w:rsid w:val="003C2A60"/>
    <w:rsid w:val="003C2B74"/>
    <w:rsid w:val="003C44F0"/>
    <w:rsid w:val="003C6F07"/>
    <w:rsid w:val="003C7016"/>
    <w:rsid w:val="003C734B"/>
    <w:rsid w:val="003C77B7"/>
    <w:rsid w:val="003D05CB"/>
    <w:rsid w:val="003D1ECC"/>
    <w:rsid w:val="003D28E7"/>
    <w:rsid w:val="003D2E5D"/>
    <w:rsid w:val="003D3444"/>
    <w:rsid w:val="003D50BB"/>
    <w:rsid w:val="003D5AB6"/>
    <w:rsid w:val="003D6576"/>
    <w:rsid w:val="003E2FFA"/>
    <w:rsid w:val="003E37FC"/>
    <w:rsid w:val="003E39C5"/>
    <w:rsid w:val="003E5DFC"/>
    <w:rsid w:val="003E6579"/>
    <w:rsid w:val="003E67B6"/>
    <w:rsid w:val="003E6C57"/>
    <w:rsid w:val="003E6F53"/>
    <w:rsid w:val="003F0BB4"/>
    <w:rsid w:val="003F3DB1"/>
    <w:rsid w:val="003F513E"/>
    <w:rsid w:val="003F613A"/>
    <w:rsid w:val="003F79BF"/>
    <w:rsid w:val="00400511"/>
    <w:rsid w:val="004019F9"/>
    <w:rsid w:val="00403159"/>
    <w:rsid w:val="00403990"/>
    <w:rsid w:val="00403EFA"/>
    <w:rsid w:val="004047C6"/>
    <w:rsid w:val="00404991"/>
    <w:rsid w:val="004103C1"/>
    <w:rsid w:val="004118EF"/>
    <w:rsid w:val="00411F6B"/>
    <w:rsid w:val="00412CC5"/>
    <w:rsid w:val="00413C66"/>
    <w:rsid w:val="004160B0"/>
    <w:rsid w:val="004175F1"/>
    <w:rsid w:val="004176CA"/>
    <w:rsid w:val="004204C7"/>
    <w:rsid w:val="00420708"/>
    <w:rsid w:val="004218C8"/>
    <w:rsid w:val="0042292D"/>
    <w:rsid w:val="00422965"/>
    <w:rsid w:val="004241EF"/>
    <w:rsid w:val="00424617"/>
    <w:rsid w:val="00424A16"/>
    <w:rsid w:val="00424EE7"/>
    <w:rsid w:val="00426DCC"/>
    <w:rsid w:val="0042742E"/>
    <w:rsid w:val="004301F7"/>
    <w:rsid w:val="00430FC4"/>
    <w:rsid w:val="0043190F"/>
    <w:rsid w:val="00432130"/>
    <w:rsid w:val="00433694"/>
    <w:rsid w:val="00433A1A"/>
    <w:rsid w:val="00434F48"/>
    <w:rsid w:val="0043528D"/>
    <w:rsid w:val="00436553"/>
    <w:rsid w:val="00437A26"/>
    <w:rsid w:val="00441D4E"/>
    <w:rsid w:val="00444A2D"/>
    <w:rsid w:val="00444F57"/>
    <w:rsid w:val="00446DAE"/>
    <w:rsid w:val="00446E27"/>
    <w:rsid w:val="00447250"/>
    <w:rsid w:val="004508DC"/>
    <w:rsid w:val="00453A56"/>
    <w:rsid w:val="00454320"/>
    <w:rsid w:val="004558DF"/>
    <w:rsid w:val="00455C66"/>
    <w:rsid w:val="00455CAD"/>
    <w:rsid w:val="004572F7"/>
    <w:rsid w:val="00461E53"/>
    <w:rsid w:val="00462CD7"/>
    <w:rsid w:val="0046316B"/>
    <w:rsid w:val="00463219"/>
    <w:rsid w:val="00464483"/>
    <w:rsid w:val="00467122"/>
    <w:rsid w:val="004675CE"/>
    <w:rsid w:val="00467DC3"/>
    <w:rsid w:val="00470056"/>
    <w:rsid w:val="00470A16"/>
    <w:rsid w:val="00471CCB"/>
    <w:rsid w:val="00472AF4"/>
    <w:rsid w:val="00473D13"/>
    <w:rsid w:val="0047569D"/>
    <w:rsid w:val="00475734"/>
    <w:rsid w:val="0047622F"/>
    <w:rsid w:val="00477167"/>
    <w:rsid w:val="00482638"/>
    <w:rsid w:val="00486AE9"/>
    <w:rsid w:val="00487AA2"/>
    <w:rsid w:val="004913FF"/>
    <w:rsid w:val="0049148B"/>
    <w:rsid w:val="004926C6"/>
    <w:rsid w:val="00494735"/>
    <w:rsid w:val="00494870"/>
    <w:rsid w:val="004A3879"/>
    <w:rsid w:val="004A3A44"/>
    <w:rsid w:val="004A4899"/>
    <w:rsid w:val="004A7D13"/>
    <w:rsid w:val="004B2951"/>
    <w:rsid w:val="004B31C2"/>
    <w:rsid w:val="004B36EA"/>
    <w:rsid w:val="004B4231"/>
    <w:rsid w:val="004B5495"/>
    <w:rsid w:val="004C14D4"/>
    <w:rsid w:val="004C4C47"/>
    <w:rsid w:val="004C5AA2"/>
    <w:rsid w:val="004C766E"/>
    <w:rsid w:val="004D2F48"/>
    <w:rsid w:val="004D33E4"/>
    <w:rsid w:val="004D60D6"/>
    <w:rsid w:val="004D61AE"/>
    <w:rsid w:val="004E1533"/>
    <w:rsid w:val="004E2B07"/>
    <w:rsid w:val="004E41C3"/>
    <w:rsid w:val="004E5278"/>
    <w:rsid w:val="004E58F6"/>
    <w:rsid w:val="004E5D46"/>
    <w:rsid w:val="004E6DB8"/>
    <w:rsid w:val="004F2AAB"/>
    <w:rsid w:val="004F3A7D"/>
    <w:rsid w:val="004F50A1"/>
    <w:rsid w:val="004F52C7"/>
    <w:rsid w:val="005003BE"/>
    <w:rsid w:val="005020FA"/>
    <w:rsid w:val="00504913"/>
    <w:rsid w:val="005049DF"/>
    <w:rsid w:val="005065F4"/>
    <w:rsid w:val="00506C53"/>
    <w:rsid w:val="00510650"/>
    <w:rsid w:val="005111C2"/>
    <w:rsid w:val="00511EAB"/>
    <w:rsid w:val="005121FF"/>
    <w:rsid w:val="00512D56"/>
    <w:rsid w:val="00515D5B"/>
    <w:rsid w:val="00520279"/>
    <w:rsid w:val="00520EB5"/>
    <w:rsid w:val="00522FD3"/>
    <w:rsid w:val="00523173"/>
    <w:rsid w:val="00523788"/>
    <w:rsid w:val="00524192"/>
    <w:rsid w:val="005251F2"/>
    <w:rsid w:val="005265DF"/>
    <w:rsid w:val="00526CD0"/>
    <w:rsid w:val="0052734E"/>
    <w:rsid w:val="00527E16"/>
    <w:rsid w:val="00527FD3"/>
    <w:rsid w:val="00530D7B"/>
    <w:rsid w:val="00533C68"/>
    <w:rsid w:val="0053550C"/>
    <w:rsid w:val="00536220"/>
    <w:rsid w:val="00536B1D"/>
    <w:rsid w:val="00536C2B"/>
    <w:rsid w:val="00536C7E"/>
    <w:rsid w:val="00537442"/>
    <w:rsid w:val="005377A4"/>
    <w:rsid w:val="00540C35"/>
    <w:rsid w:val="00541154"/>
    <w:rsid w:val="00542798"/>
    <w:rsid w:val="00543E7F"/>
    <w:rsid w:val="00544B8F"/>
    <w:rsid w:val="00545630"/>
    <w:rsid w:val="005513A9"/>
    <w:rsid w:val="0055197C"/>
    <w:rsid w:val="00552B2E"/>
    <w:rsid w:val="005564B8"/>
    <w:rsid w:val="0056025E"/>
    <w:rsid w:val="00560468"/>
    <w:rsid w:val="00560CA2"/>
    <w:rsid w:val="00561A0E"/>
    <w:rsid w:val="0056239E"/>
    <w:rsid w:val="00562D12"/>
    <w:rsid w:val="0056349E"/>
    <w:rsid w:val="005643FC"/>
    <w:rsid w:val="00564B1D"/>
    <w:rsid w:val="00564CFF"/>
    <w:rsid w:val="00566711"/>
    <w:rsid w:val="00567D8C"/>
    <w:rsid w:val="00570577"/>
    <w:rsid w:val="0057064F"/>
    <w:rsid w:val="00570B63"/>
    <w:rsid w:val="00570C48"/>
    <w:rsid w:val="00570FA1"/>
    <w:rsid w:val="0057192E"/>
    <w:rsid w:val="00572D2C"/>
    <w:rsid w:val="00572F00"/>
    <w:rsid w:val="005755E9"/>
    <w:rsid w:val="0057696E"/>
    <w:rsid w:val="0058242C"/>
    <w:rsid w:val="00583CE9"/>
    <w:rsid w:val="00584E4E"/>
    <w:rsid w:val="00584F40"/>
    <w:rsid w:val="00587E68"/>
    <w:rsid w:val="00590B6F"/>
    <w:rsid w:val="00590E86"/>
    <w:rsid w:val="00590F13"/>
    <w:rsid w:val="0059330F"/>
    <w:rsid w:val="005939F0"/>
    <w:rsid w:val="0059541C"/>
    <w:rsid w:val="005966CE"/>
    <w:rsid w:val="005A0CC6"/>
    <w:rsid w:val="005A0FA1"/>
    <w:rsid w:val="005A15AF"/>
    <w:rsid w:val="005A2753"/>
    <w:rsid w:val="005A2E90"/>
    <w:rsid w:val="005A3480"/>
    <w:rsid w:val="005A51C3"/>
    <w:rsid w:val="005A71EB"/>
    <w:rsid w:val="005A7EAA"/>
    <w:rsid w:val="005B1591"/>
    <w:rsid w:val="005B183C"/>
    <w:rsid w:val="005B22C9"/>
    <w:rsid w:val="005B2B4C"/>
    <w:rsid w:val="005B3758"/>
    <w:rsid w:val="005B3ADC"/>
    <w:rsid w:val="005B41A6"/>
    <w:rsid w:val="005B4644"/>
    <w:rsid w:val="005B6BDC"/>
    <w:rsid w:val="005B7028"/>
    <w:rsid w:val="005B7685"/>
    <w:rsid w:val="005B7B44"/>
    <w:rsid w:val="005C1A00"/>
    <w:rsid w:val="005C208E"/>
    <w:rsid w:val="005C4D35"/>
    <w:rsid w:val="005C4F59"/>
    <w:rsid w:val="005C5210"/>
    <w:rsid w:val="005C73A8"/>
    <w:rsid w:val="005D0023"/>
    <w:rsid w:val="005D174A"/>
    <w:rsid w:val="005D2006"/>
    <w:rsid w:val="005D5F32"/>
    <w:rsid w:val="005E100F"/>
    <w:rsid w:val="005E102A"/>
    <w:rsid w:val="005E2162"/>
    <w:rsid w:val="005E433C"/>
    <w:rsid w:val="005E70F8"/>
    <w:rsid w:val="005E714D"/>
    <w:rsid w:val="005F065D"/>
    <w:rsid w:val="005F0B35"/>
    <w:rsid w:val="005F1E76"/>
    <w:rsid w:val="005F35EF"/>
    <w:rsid w:val="005F4152"/>
    <w:rsid w:val="005F481A"/>
    <w:rsid w:val="005F5086"/>
    <w:rsid w:val="005F520D"/>
    <w:rsid w:val="00601C09"/>
    <w:rsid w:val="00602012"/>
    <w:rsid w:val="006023ED"/>
    <w:rsid w:val="00602930"/>
    <w:rsid w:val="00602EFD"/>
    <w:rsid w:val="00604BC8"/>
    <w:rsid w:val="006051C4"/>
    <w:rsid w:val="0060652A"/>
    <w:rsid w:val="00607B74"/>
    <w:rsid w:val="00607BB9"/>
    <w:rsid w:val="006102B0"/>
    <w:rsid w:val="00610A4C"/>
    <w:rsid w:val="00610EC4"/>
    <w:rsid w:val="006123FF"/>
    <w:rsid w:val="00612BC9"/>
    <w:rsid w:val="00613C26"/>
    <w:rsid w:val="00613D32"/>
    <w:rsid w:val="0061428B"/>
    <w:rsid w:val="00614AA6"/>
    <w:rsid w:val="006155BA"/>
    <w:rsid w:val="00616A10"/>
    <w:rsid w:val="00617041"/>
    <w:rsid w:val="00620B7F"/>
    <w:rsid w:val="00624099"/>
    <w:rsid w:val="006240E6"/>
    <w:rsid w:val="00625587"/>
    <w:rsid w:val="00626F1D"/>
    <w:rsid w:val="006308A9"/>
    <w:rsid w:val="00630E66"/>
    <w:rsid w:val="006322FC"/>
    <w:rsid w:val="00632983"/>
    <w:rsid w:val="00634CAC"/>
    <w:rsid w:val="00634CD9"/>
    <w:rsid w:val="00634DBF"/>
    <w:rsid w:val="006353D3"/>
    <w:rsid w:val="00635AD6"/>
    <w:rsid w:val="00637B90"/>
    <w:rsid w:val="00637F54"/>
    <w:rsid w:val="0064072A"/>
    <w:rsid w:val="006408B1"/>
    <w:rsid w:val="00641109"/>
    <w:rsid w:val="00641C2D"/>
    <w:rsid w:val="00642E2A"/>
    <w:rsid w:val="00644BE8"/>
    <w:rsid w:val="00645C56"/>
    <w:rsid w:val="00646212"/>
    <w:rsid w:val="00651D69"/>
    <w:rsid w:val="006539D9"/>
    <w:rsid w:val="0065447F"/>
    <w:rsid w:val="00655876"/>
    <w:rsid w:val="00655969"/>
    <w:rsid w:val="00656D33"/>
    <w:rsid w:val="0066129F"/>
    <w:rsid w:val="00661428"/>
    <w:rsid w:val="00662C95"/>
    <w:rsid w:val="00662D0E"/>
    <w:rsid w:val="006633A4"/>
    <w:rsid w:val="0066426A"/>
    <w:rsid w:val="00665338"/>
    <w:rsid w:val="00665965"/>
    <w:rsid w:val="006670A7"/>
    <w:rsid w:val="006673F0"/>
    <w:rsid w:val="00670547"/>
    <w:rsid w:val="006712E2"/>
    <w:rsid w:val="006712F7"/>
    <w:rsid w:val="006722AD"/>
    <w:rsid w:val="00674D14"/>
    <w:rsid w:val="00677659"/>
    <w:rsid w:val="00680578"/>
    <w:rsid w:val="006809D6"/>
    <w:rsid w:val="00680C13"/>
    <w:rsid w:val="0068197C"/>
    <w:rsid w:val="006840FE"/>
    <w:rsid w:val="00684CAF"/>
    <w:rsid w:val="00690D24"/>
    <w:rsid w:val="0069149A"/>
    <w:rsid w:val="00691AD2"/>
    <w:rsid w:val="00691E44"/>
    <w:rsid w:val="0069258C"/>
    <w:rsid w:val="00692811"/>
    <w:rsid w:val="00692C66"/>
    <w:rsid w:val="00696778"/>
    <w:rsid w:val="00696845"/>
    <w:rsid w:val="00696ECE"/>
    <w:rsid w:val="00696FB3"/>
    <w:rsid w:val="00697295"/>
    <w:rsid w:val="00697742"/>
    <w:rsid w:val="006A01CC"/>
    <w:rsid w:val="006A2141"/>
    <w:rsid w:val="006A2F5F"/>
    <w:rsid w:val="006A3873"/>
    <w:rsid w:val="006A4567"/>
    <w:rsid w:val="006A5AD2"/>
    <w:rsid w:val="006A5B65"/>
    <w:rsid w:val="006B0ACA"/>
    <w:rsid w:val="006B0C89"/>
    <w:rsid w:val="006B107D"/>
    <w:rsid w:val="006B2D2F"/>
    <w:rsid w:val="006B57EB"/>
    <w:rsid w:val="006C1412"/>
    <w:rsid w:val="006C1F74"/>
    <w:rsid w:val="006C25CF"/>
    <w:rsid w:val="006C3DC2"/>
    <w:rsid w:val="006C3E16"/>
    <w:rsid w:val="006C4DB4"/>
    <w:rsid w:val="006C7CE3"/>
    <w:rsid w:val="006D0BD3"/>
    <w:rsid w:val="006D1BA4"/>
    <w:rsid w:val="006D2E00"/>
    <w:rsid w:val="006D2EDA"/>
    <w:rsid w:val="006D5ABF"/>
    <w:rsid w:val="006D7D1E"/>
    <w:rsid w:val="006E104C"/>
    <w:rsid w:val="006E1892"/>
    <w:rsid w:val="006E4907"/>
    <w:rsid w:val="006E4AAE"/>
    <w:rsid w:val="006E6002"/>
    <w:rsid w:val="006F0203"/>
    <w:rsid w:val="006F2856"/>
    <w:rsid w:val="006F29F7"/>
    <w:rsid w:val="006F41D8"/>
    <w:rsid w:val="006F433A"/>
    <w:rsid w:val="006F6203"/>
    <w:rsid w:val="006F79C3"/>
    <w:rsid w:val="006F7B7D"/>
    <w:rsid w:val="007004C0"/>
    <w:rsid w:val="00701FB0"/>
    <w:rsid w:val="007026E9"/>
    <w:rsid w:val="00703F0A"/>
    <w:rsid w:val="00704B88"/>
    <w:rsid w:val="007056F8"/>
    <w:rsid w:val="00705FD5"/>
    <w:rsid w:val="00706618"/>
    <w:rsid w:val="00710338"/>
    <w:rsid w:val="007125DE"/>
    <w:rsid w:val="0071260C"/>
    <w:rsid w:val="0071500D"/>
    <w:rsid w:val="0071558B"/>
    <w:rsid w:val="007156A9"/>
    <w:rsid w:val="00715E1D"/>
    <w:rsid w:val="007164A9"/>
    <w:rsid w:val="00716588"/>
    <w:rsid w:val="00716A92"/>
    <w:rsid w:val="00717198"/>
    <w:rsid w:val="0071767E"/>
    <w:rsid w:val="00722BE7"/>
    <w:rsid w:val="0072540A"/>
    <w:rsid w:val="007254B6"/>
    <w:rsid w:val="00727965"/>
    <w:rsid w:val="00727D8E"/>
    <w:rsid w:val="00730721"/>
    <w:rsid w:val="0073140D"/>
    <w:rsid w:val="0073264B"/>
    <w:rsid w:val="00732C56"/>
    <w:rsid w:val="00734FBF"/>
    <w:rsid w:val="007359D3"/>
    <w:rsid w:val="00735DC3"/>
    <w:rsid w:val="007366CC"/>
    <w:rsid w:val="00736FCA"/>
    <w:rsid w:val="0074341B"/>
    <w:rsid w:val="007437D7"/>
    <w:rsid w:val="00745020"/>
    <w:rsid w:val="00745548"/>
    <w:rsid w:val="007463C2"/>
    <w:rsid w:val="007466BF"/>
    <w:rsid w:val="00746CEC"/>
    <w:rsid w:val="007500ED"/>
    <w:rsid w:val="007510E7"/>
    <w:rsid w:val="00751A1A"/>
    <w:rsid w:val="00751F0B"/>
    <w:rsid w:val="00752277"/>
    <w:rsid w:val="0075439C"/>
    <w:rsid w:val="00755B56"/>
    <w:rsid w:val="00757837"/>
    <w:rsid w:val="00757C02"/>
    <w:rsid w:val="00760149"/>
    <w:rsid w:val="007601DE"/>
    <w:rsid w:val="007608B9"/>
    <w:rsid w:val="00762BCD"/>
    <w:rsid w:val="00762DEB"/>
    <w:rsid w:val="00762EEB"/>
    <w:rsid w:val="00771042"/>
    <w:rsid w:val="00771571"/>
    <w:rsid w:val="007724D6"/>
    <w:rsid w:val="007728A1"/>
    <w:rsid w:val="0077372C"/>
    <w:rsid w:val="00774492"/>
    <w:rsid w:val="00775D21"/>
    <w:rsid w:val="00775E7A"/>
    <w:rsid w:val="00777B3F"/>
    <w:rsid w:val="00780A00"/>
    <w:rsid w:val="00780AD6"/>
    <w:rsid w:val="007822C5"/>
    <w:rsid w:val="0078246E"/>
    <w:rsid w:val="007834EC"/>
    <w:rsid w:val="0078397F"/>
    <w:rsid w:val="00783D58"/>
    <w:rsid w:val="00784F9A"/>
    <w:rsid w:val="00785216"/>
    <w:rsid w:val="007857B9"/>
    <w:rsid w:val="00785975"/>
    <w:rsid w:val="00785E4B"/>
    <w:rsid w:val="00786300"/>
    <w:rsid w:val="00786854"/>
    <w:rsid w:val="0078730A"/>
    <w:rsid w:val="00787EFC"/>
    <w:rsid w:val="00790DD9"/>
    <w:rsid w:val="00791386"/>
    <w:rsid w:val="0079141C"/>
    <w:rsid w:val="00792CA3"/>
    <w:rsid w:val="00793644"/>
    <w:rsid w:val="007950F6"/>
    <w:rsid w:val="00796382"/>
    <w:rsid w:val="00797D81"/>
    <w:rsid w:val="007A0AA5"/>
    <w:rsid w:val="007A4285"/>
    <w:rsid w:val="007A5958"/>
    <w:rsid w:val="007A7DD7"/>
    <w:rsid w:val="007B1078"/>
    <w:rsid w:val="007B108B"/>
    <w:rsid w:val="007B2AEF"/>
    <w:rsid w:val="007B3B2B"/>
    <w:rsid w:val="007B3C99"/>
    <w:rsid w:val="007B61C3"/>
    <w:rsid w:val="007C2ADB"/>
    <w:rsid w:val="007C2C9A"/>
    <w:rsid w:val="007C3AAE"/>
    <w:rsid w:val="007C3EB1"/>
    <w:rsid w:val="007C42F7"/>
    <w:rsid w:val="007C54BC"/>
    <w:rsid w:val="007C7818"/>
    <w:rsid w:val="007D044C"/>
    <w:rsid w:val="007D06A6"/>
    <w:rsid w:val="007D104F"/>
    <w:rsid w:val="007D30B6"/>
    <w:rsid w:val="007D358A"/>
    <w:rsid w:val="007D37B1"/>
    <w:rsid w:val="007D45D2"/>
    <w:rsid w:val="007D524C"/>
    <w:rsid w:val="007D52FB"/>
    <w:rsid w:val="007E0880"/>
    <w:rsid w:val="007E23B2"/>
    <w:rsid w:val="007E33F0"/>
    <w:rsid w:val="007E4A7A"/>
    <w:rsid w:val="007E530F"/>
    <w:rsid w:val="007E5324"/>
    <w:rsid w:val="007E5741"/>
    <w:rsid w:val="007E793F"/>
    <w:rsid w:val="007E7D07"/>
    <w:rsid w:val="007E7D34"/>
    <w:rsid w:val="007F07D9"/>
    <w:rsid w:val="007F0D69"/>
    <w:rsid w:val="007F2263"/>
    <w:rsid w:val="007F32E5"/>
    <w:rsid w:val="007F3D7F"/>
    <w:rsid w:val="007F57CE"/>
    <w:rsid w:val="007F7EE8"/>
    <w:rsid w:val="00802ABA"/>
    <w:rsid w:val="00802FC4"/>
    <w:rsid w:val="008035AB"/>
    <w:rsid w:val="00803F03"/>
    <w:rsid w:val="00804BB4"/>
    <w:rsid w:val="008055B5"/>
    <w:rsid w:val="00806DF9"/>
    <w:rsid w:val="00807FE3"/>
    <w:rsid w:val="008147F1"/>
    <w:rsid w:val="00814EB8"/>
    <w:rsid w:val="00815755"/>
    <w:rsid w:val="0081607C"/>
    <w:rsid w:val="0082015B"/>
    <w:rsid w:val="00823A26"/>
    <w:rsid w:val="0082426C"/>
    <w:rsid w:val="0082617C"/>
    <w:rsid w:val="00826607"/>
    <w:rsid w:val="00826689"/>
    <w:rsid w:val="00830CEA"/>
    <w:rsid w:val="00831C52"/>
    <w:rsid w:val="0083228B"/>
    <w:rsid w:val="00832B39"/>
    <w:rsid w:val="008332D2"/>
    <w:rsid w:val="00833753"/>
    <w:rsid w:val="00834946"/>
    <w:rsid w:val="008356CE"/>
    <w:rsid w:val="0083619A"/>
    <w:rsid w:val="00836D4F"/>
    <w:rsid w:val="0084016F"/>
    <w:rsid w:val="0084605D"/>
    <w:rsid w:val="00851076"/>
    <w:rsid w:val="008518DB"/>
    <w:rsid w:val="008518DC"/>
    <w:rsid w:val="00851B2C"/>
    <w:rsid w:val="008539E1"/>
    <w:rsid w:val="00853D81"/>
    <w:rsid w:val="00854EF9"/>
    <w:rsid w:val="00857376"/>
    <w:rsid w:val="00857954"/>
    <w:rsid w:val="00862B19"/>
    <w:rsid w:val="00862C37"/>
    <w:rsid w:val="00863364"/>
    <w:rsid w:val="00863EBF"/>
    <w:rsid w:val="00864B6B"/>
    <w:rsid w:val="00866865"/>
    <w:rsid w:val="0087071B"/>
    <w:rsid w:val="00872D10"/>
    <w:rsid w:val="00874C1B"/>
    <w:rsid w:val="00874E60"/>
    <w:rsid w:val="00876199"/>
    <w:rsid w:val="00876579"/>
    <w:rsid w:val="008768DF"/>
    <w:rsid w:val="008802D2"/>
    <w:rsid w:val="00880754"/>
    <w:rsid w:val="008807B5"/>
    <w:rsid w:val="00880C0F"/>
    <w:rsid w:val="0088375C"/>
    <w:rsid w:val="00884717"/>
    <w:rsid w:val="008854E4"/>
    <w:rsid w:val="00885945"/>
    <w:rsid w:val="00885981"/>
    <w:rsid w:val="00890CAF"/>
    <w:rsid w:val="00891C94"/>
    <w:rsid w:val="00891E05"/>
    <w:rsid w:val="00892B92"/>
    <w:rsid w:val="00893A89"/>
    <w:rsid w:val="00894588"/>
    <w:rsid w:val="00896CC2"/>
    <w:rsid w:val="0089794D"/>
    <w:rsid w:val="008A02D5"/>
    <w:rsid w:val="008A0983"/>
    <w:rsid w:val="008A1171"/>
    <w:rsid w:val="008A4652"/>
    <w:rsid w:val="008A4DA6"/>
    <w:rsid w:val="008A4EDC"/>
    <w:rsid w:val="008A5C9E"/>
    <w:rsid w:val="008A7184"/>
    <w:rsid w:val="008A7E48"/>
    <w:rsid w:val="008B3A61"/>
    <w:rsid w:val="008B5598"/>
    <w:rsid w:val="008B5AD7"/>
    <w:rsid w:val="008B5FE6"/>
    <w:rsid w:val="008C0820"/>
    <w:rsid w:val="008C0DAF"/>
    <w:rsid w:val="008C1D09"/>
    <w:rsid w:val="008C3206"/>
    <w:rsid w:val="008C3532"/>
    <w:rsid w:val="008C376B"/>
    <w:rsid w:val="008C421E"/>
    <w:rsid w:val="008C5208"/>
    <w:rsid w:val="008C6CBD"/>
    <w:rsid w:val="008C7084"/>
    <w:rsid w:val="008C7777"/>
    <w:rsid w:val="008D2009"/>
    <w:rsid w:val="008D338C"/>
    <w:rsid w:val="008D4651"/>
    <w:rsid w:val="008D54A7"/>
    <w:rsid w:val="008D5D17"/>
    <w:rsid w:val="008D7192"/>
    <w:rsid w:val="008D7BDB"/>
    <w:rsid w:val="008E072A"/>
    <w:rsid w:val="008E268F"/>
    <w:rsid w:val="008E2C5F"/>
    <w:rsid w:val="008E3CDC"/>
    <w:rsid w:val="008E3F04"/>
    <w:rsid w:val="008E4BE3"/>
    <w:rsid w:val="008E52A2"/>
    <w:rsid w:val="008E5884"/>
    <w:rsid w:val="008E69CB"/>
    <w:rsid w:val="008E6EF1"/>
    <w:rsid w:val="008E7748"/>
    <w:rsid w:val="008F0B6B"/>
    <w:rsid w:val="008F13AF"/>
    <w:rsid w:val="008F1DFB"/>
    <w:rsid w:val="008F2789"/>
    <w:rsid w:val="008F2861"/>
    <w:rsid w:val="008F2E18"/>
    <w:rsid w:val="0090085B"/>
    <w:rsid w:val="00900B7B"/>
    <w:rsid w:val="00900E52"/>
    <w:rsid w:val="00900FE6"/>
    <w:rsid w:val="0090103B"/>
    <w:rsid w:val="0090208E"/>
    <w:rsid w:val="00902476"/>
    <w:rsid w:val="00902761"/>
    <w:rsid w:val="00902C10"/>
    <w:rsid w:val="0090447B"/>
    <w:rsid w:val="009061D5"/>
    <w:rsid w:val="009061EA"/>
    <w:rsid w:val="00906382"/>
    <w:rsid w:val="00906403"/>
    <w:rsid w:val="00906829"/>
    <w:rsid w:val="009071B1"/>
    <w:rsid w:val="009139EC"/>
    <w:rsid w:val="009142CF"/>
    <w:rsid w:val="00914353"/>
    <w:rsid w:val="00915238"/>
    <w:rsid w:val="0092014D"/>
    <w:rsid w:val="00922BAA"/>
    <w:rsid w:val="009248AD"/>
    <w:rsid w:val="00924C44"/>
    <w:rsid w:val="00925699"/>
    <w:rsid w:val="009264A8"/>
    <w:rsid w:val="009271D2"/>
    <w:rsid w:val="00927DF3"/>
    <w:rsid w:val="00930283"/>
    <w:rsid w:val="00930A9E"/>
    <w:rsid w:val="00930BCB"/>
    <w:rsid w:val="00931D09"/>
    <w:rsid w:val="0093209F"/>
    <w:rsid w:val="00932986"/>
    <w:rsid w:val="00933055"/>
    <w:rsid w:val="00934417"/>
    <w:rsid w:val="0093460A"/>
    <w:rsid w:val="0093479D"/>
    <w:rsid w:val="00934BBE"/>
    <w:rsid w:val="00936E92"/>
    <w:rsid w:val="00937D17"/>
    <w:rsid w:val="0094058D"/>
    <w:rsid w:val="009410EC"/>
    <w:rsid w:val="009455D2"/>
    <w:rsid w:val="009459E4"/>
    <w:rsid w:val="00947B01"/>
    <w:rsid w:val="00947FE3"/>
    <w:rsid w:val="00950459"/>
    <w:rsid w:val="009504D1"/>
    <w:rsid w:val="00950BD1"/>
    <w:rsid w:val="00950C42"/>
    <w:rsid w:val="00952255"/>
    <w:rsid w:val="00952626"/>
    <w:rsid w:val="00952CE1"/>
    <w:rsid w:val="00952E9B"/>
    <w:rsid w:val="00953284"/>
    <w:rsid w:val="009534D0"/>
    <w:rsid w:val="009542FF"/>
    <w:rsid w:val="00954411"/>
    <w:rsid w:val="0095444D"/>
    <w:rsid w:val="009561D6"/>
    <w:rsid w:val="00956AE8"/>
    <w:rsid w:val="00956EF7"/>
    <w:rsid w:val="0096370B"/>
    <w:rsid w:val="00963D5E"/>
    <w:rsid w:val="009647D5"/>
    <w:rsid w:val="00964841"/>
    <w:rsid w:val="009666D3"/>
    <w:rsid w:val="0096690B"/>
    <w:rsid w:val="00971318"/>
    <w:rsid w:val="0097176D"/>
    <w:rsid w:val="00971980"/>
    <w:rsid w:val="0097255E"/>
    <w:rsid w:val="00972B48"/>
    <w:rsid w:val="0097308A"/>
    <w:rsid w:val="00974046"/>
    <w:rsid w:val="0097583C"/>
    <w:rsid w:val="00975A8D"/>
    <w:rsid w:val="00975F28"/>
    <w:rsid w:val="009767DF"/>
    <w:rsid w:val="00980FF3"/>
    <w:rsid w:val="009814DA"/>
    <w:rsid w:val="00981783"/>
    <w:rsid w:val="009821C0"/>
    <w:rsid w:val="009831C3"/>
    <w:rsid w:val="009841DE"/>
    <w:rsid w:val="009844D9"/>
    <w:rsid w:val="0098511C"/>
    <w:rsid w:val="00985FD9"/>
    <w:rsid w:val="009865C6"/>
    <w:rsid w:val="009869C3"/>
    <w:rsid w:val="00986B84"/>
    <w:rsid w:val="00990CF2"/>
    <w:rsid w:val="009917A7"/>
    <w:rsid w:val="00991A24"/>
    <w:rsid w:val="00991B13"/>
    <w:rsid w:val="00992C45"/>
    <w:rsid w:val="00993577"/>
    <w:rsid w:val="00993745"/>
    <w:rsid w:val="009937F3"/>
    <w:rsid w:val="00993C6B"/>
    <w:rsid w:val="00994AEB"/>
    <w:rsid w:val="00995C35"/>
    <w:rsid w:val="00996A76"/>
    <w:rsid w:val="00996DBF"/>
    <w:rsid w:val="009974B2"/>
    <w:rsid w:val="009A01B2"/>
    <w:rsid w:val="009A0B55"/>
    <w:rsid w:val="009A12E7"/>
    <w:rsid w:val="009A1785"/>
    <w:rsid w:val="009A28E6"/>
    <w:rsid w:val="009A3D6C"/>
    <w:rsid w:val="009A48E2"/>
    <w:rsid w:val="009A6480"/>
    <w:rsid w:val="009A6BAB"/>
    <w:rsid w:val="009B07DF"/>
    <w:rsid w:val="009B0A12"/>
    <w:rsid w:val="009B0C8D"/>
    <w:rsid w:val="009B102D"/>
    <w:rsid w:val="009B1068"/>
    <w:rsid w:val="009B1F93"/>
    <w:rsid w:val="009B284D"/>
    <w:rsid w:val="009B3BBB"/>
    <w:rsid w:val="009B46F5"/>
    <w:rsid w:val="009B552B"/>
    <w:rsid w:val="009B6817"/>
    <w:rsid w:val="009B688E"/>
    <w:rsid w:val="009B7399"/>
    <w:rsid w:val="009B779D"/>
    <w:rsid w:val="009B7F3B"/>
    <w:rsid w:val="009C0418"/>
    <w:rsid w:val="009C08D0"/>
    <w:rsid w:val="009C0BE7"/>
    <w:rsid w:val="009C3CD1"/>
    <w:rsid w:val="009C524D"/>
    <w:rsid w:val="009C6132"/>
    <w:rsid w:val="009C61A5"/>
    <w:rsid w:val="009C7504"/>
    <w:rsid w:val="009D196E"/>
    <w:rsid w:val="009D2023"/>
    <w:rsid w:val="009D20D3"/>
    <w:rsid w:val="009D2AFD"/>
    <w:rsid w:val="009D3283"/>
    <w:rsid w:val="009D3B45"/>
    <w:rsid w:val="009D3DC8"/>
    <w:rsid w:val="009D40B9"/>
    <w:rsid w:val="009D4ACF"/>
    <w:rsid w:val="009D4B51"/>
    <w:rsid w:val="009D4E81"/>
    <w:rsid w:val="009D50EC"/>
    <w:rsid w:val="009E302E"/>
    <w:rsid w:val="009E321C"/>
    <w:rsid w:val="009E3FBB"/>
    <w:rsid w:val="009E4B82"/>
    <w:rsid w:val="009E4E7E"/>
    <w:rsid w:val="009E5736"/>
    <w:rsid w:val="009E7043"/>
    <w:rsid w:val="009F136D"/>
    <w:rsid w:val="009F1391"/>
    <w:rsid w:val="009F2477"/>
    <w:rsid w:val="009F319B"/>
    <w:rsid w:val="009F340C"/>
    <w:rsid w:val="009F4511"/>
    <w:rsid w:val="009F469F"/>
    <w:rsid w:val="009F4E8C"/>
    <w:rsid w:val="009F60E8"/>
    <w:rsid w:val="009F61BC"/>
    <w:rsid w:val="009F7402"/>
    <w:rsid w:val="009F7A03"/>
    <w:rsid w:val="00A02090"/>
    <w:rsid w:val="00A020A6"/>
    <w:rsid w:val="00A02A9C"/>
    <w:rsid w:val="00A02AA3"/>
    <w:rsid w:val="00A02E82"/>
    <w:rsid w:val="00A03A53"/>
    <w:rsid w:val="00A0444C"/>
    <w:rsid w:val="00A060B5"/>
    <w:rsid w:val="00A060E8"/>
    <w:rsid w:val="00A06118"/>
    <w:rsid w:val="00A10D47"/>
    <w:rsid w:val="00A14708"/>
    <w:rsid w:val="00A15AF4"/>
    <w:rsid w:val="00A15BBB"/>
    <w:rsid w:val="00A16185"/>
    <w:rsid w:val="00A1665A"/>
    <w:rsid w:val="00A16C81"/>
    <w:rsid w:val="00A17D21"/>
    <w:rsid w:val="00A20181"/>
    <w:rsid w:val="00A202C0"/>
    <w:rsid w:val="00A20DFF"/>
    <w:rsid w:val="00A2166F"/>
    <w:rsid w:val="00A226B8"/>
    <w:rsid w:val="00A22893"/>
    <w:rsid w:val="00A228DF"/>
    <w:rsid w:val="00A23F11"/>
    <w:rsid w:val="00A26814"/>
    <w:rsid w:val="00A27246"/>
    <w:rsid w:val="00A274BE"/>
    <w:rsid w:val="00A30C5C"/>
    <w:rsid w:val="00A316EA"/>
    <w:rsid w:val="00A32D21"/>
    <w:rsid w:val="00A32D46"/>
    <w:rsid w:val="00A33CF1"/>
    <w:rsid w:val="00A35265"/>
    <w:rsid w:val="00A36662"/>
    <w:rsid w:val="00A423C2"/>
    <w:rsid w:val="00A42EA2"/>
    <w:rsid w:val="00A445A6"/>
    <w:rsid w:val="00A44807"/>
    <w:rsid w:val="00A44A84"/>
    <w:rsid w:val="00A44AE8"/>
    <w:rsid w:val="00A44EB3"/>
    <w:rsid w:val="00A45AD3"/>
    <w:rsid w:val="00A45E5B"/>
    <w:rsid w:val="00A46435"/>
    <w:rsid w:val="00A47523"/>
    <w:rsid w:val="00A505FA"/>
    <w:rsid w:val="00A51255"/>
    <w:rsid w:val="00A513C3"/>
    <w:rsid w:val="00A527BA"/>
    <w:rsid w:val="00A52CB4"/>
    <w:rsid w:val="00A54363"/>
    <w:rsid w:val="00A544A0"/>
    <w:rsid w:val="00A5496D"/>
    <w:rsid w:val="00A54B53"/>
    <w:rsid w:val="00A54F69"/>
    <w:rsid w:val="00A57028"/>
    <w:rsid w:val="00A60016"/>
    <w:rsid w:val="00A601E7"/>
    <w:rsid w:val="00A6035E"/>
    <w:rsid w:val="00A6062D"/>
    <w:rsid w:val="00A60A03"/>
    <w:rsid w:val="00A67101"/>
    <w:rsid w:val="00A7020B"/>
    <w:rsid w:val="00A7058F"/>
    <w:rsid w:val="00A741E7"/>
    <w:rsid w:val="00A74C16"/>
    <w:rsid w:val="00A750C7"/>
    <w:rsid w:val="00A7523F"/>
    <w:rsid w:val="00A76A37"/>
    <w:rsid w:val="00A77371"/>
    <w:rsid w:val="00A77D45"/>
    <w:rsid w:val="00A8010C"/>
    <w:rsid w:val="00A815A1"/>
    <w:rsid w:val="00A82345"/>
    <w:rsid w:val="00A82961"/>
    <w:rsid w:val="00A844E0"/>
    <w:rsid w:val="00A868E0"/>
    <w:rsid w:val="00A87313"/>
    <w:rsid w:val="00A87452"/>
    <w:rsid w:val="00A90123"/>
    <w:rsid w:val="00A9066E"/>
    <w:rsid w:val="00A91E22"/>
    <w:rsid w:val="00A9328E"/>
    <w:rsid w:val="00A93317"/>
    <w:rsid w:val="00A9342F"/>
    <w:rsid w:val="00A93432"/>
    <w:rsid w:val="00A94983"/>
    <w:rsid w:val="00A957CC"/>
    <w:rsid w:val="00A96647"/>
    <w:rsid w:val="00A97402"/>
    <w:rsid w:val="00A97DCA"/>
    <w:rsid w:val="00AA0782"/>
    <w:rsid w:val="00AA0DC5"/>
    <w:rsid w:val="00AA15B3"/>
    <w:rsid w:val="00AA2826"/>
    <w:rsid w:val="00AA5369"/>
    <w:rsid w:val="00AA5548"/>
    <w:rsid w:val="00AA56B5"/>
    <w:rsid w:val="00AA56D2"/>
    <w:rsid w:val="00AA63B7"/>
    <w:rsid w:val="00AA79FD"/>
    <w:rsid w:val="00AB1103"/>
    <w:rsid w:val="00AB168D"/>
    <w:rsid w:val="00AB185B"/>
    <w:rsid w:val="00AB21B0"/>
    <w:rsid w:val="00AB3A7B"/>
    <w:rsid w:val="00AB4EC6"/>
    <w:rsid w:val="00AB52E1"/>
    <w:rsid w:val="00AB55BD"/>
    <w:rsid w:val="00AB599A"/>
    <w:rsid w:val="00AB739A"/>
    <w:rsid w:val="00AB7606"/>
    <w:rsid w:val="00AC0769"/>
    <w:rsid w:val="00AC1E52"/>
    <w:rsid w:val="00AC2BCD"/>
    <w:rsid w:val="00AC3054"/>
    <w:rsid w:val="00AC63E2"/>
    <w:rsid w:val="00AC6786"/>
    <w:rsid w:val="00AC6FC5"/>
    <w:rsid w:val="00AD204A"/>
    <w:rsid w:val="00AD21EE"/>
    <w:rsid w:val="00AD446C"/>
    <w:rsid w:val="00AD447D"/>
    <w:rsid w:val="00AD4C67"/>
    <w:rsid w:val="00AD608E"/>
    <w:rsid w:val="00AD6DED"/>
    <w:rsid w:val="00AD7030"/>
    <w:rsid w:val="00AD7B55"/>
    <w:rsid w:val="00AE0282"/>
    <w:rsid w:val="00AE0F52"/>
    <w:rsid w:val="00AE27C2"/>
    <w:rsid w:val="00AE2EDE"/>
    <w:rsid w:val="00AE3DB6"/>
    <w:rsid w:val="00AE6C58"/>
    <w:rsid w:val="00AE764A"/>
    <w:rsid w:val="00AE7A44"/>
    <w:rsid w:val="00AF0917"/>
    <w:rsid w:val="00AF1318"/>
    <w:rsid w:val="00AF253C"/>
    <w:rsid w:val="00AF2811"/>
    <w:rsid w:val="00AF51B4"/>
    <w:rsid w:val="00AF6EBC"/>
    <w:rsid w:val="00B00269"/>
    <w:rsid w:val="00B00BFE"/>
    <w:rsid w:val="00B02C55"/>
    <w:rsid w:val="00B03646"/>
    <w:rsid w:val="00B06EA8"/>
    <w:rsid w:val="00B071E8"/>
    <w:rsid w:val="00B10718"/>
    <w:rsid w:val="00B1156F"/>
    <w:rsid w:val="00B12891"/>
    <w:rsid w:val="00B13DD7"/>
    <w:rsid w:val="00B16531"/>
    <w:rsid w:val="00B16663"/>
    <w:rsid w:val="00B16D9D"/>
    <w:rsid w:val="00B200E4"/>
    <w:rsid w:val="00B20378"/>
    <w:rsid w:val="00B2208A"/>
    <w:rsid w:val="00B23AE4"/>
    <w:rsid w:val="00B242BA"/>
    <w:rsid w:val="00B248F7"/>
    <w:rsid w:val="00B26273"/>
    <w:rsid w:val="00B2786A"/>
    <w:rsid w:val="00B30988"/>
    <w:rsid w:val="00B32B3C"/>
    <w:rsid w:val="00B332E7"/>
    <w:rsid w:val="00B342AA"/>
    <w:rsid w:val="00B35DB0"/>
    <w:rsid w:val="00B35FD4"/>
    <w:rsid w:val="00B37BD3"/>
    <w:rsid w:val="00B423C3"/>
    <w:rsid w:val="00B436B5"/>
    <w:rsid w:val="00B4433A"/>
    <w:rsid w:val="00B45A82"/>
    <w:rsid w:val="00B45B0C"/>
    <w:rsid w:val="00B463F5"/>
    <w:rsid w:val="00B47C54"/>
    <w:rsid w:val="00B5083D"/>
    <w:rsid w:val="00B50D0F"/>
    <w:rsid w:val="00B50F28"/>
    <w:rsid w:val="00B526F3"/>
    <w:rsid w:val="00B52AB5"/>
    <w:rsid w:val="00B5390D"/>
    <w:rsid w:val="00B53CED"/>
    <w:rsid w:val="00B54289"/>
    <w:rsid w:val="00B5498A"/>
    <w:rsid w:val="00B5557D"/>
    <w:rsid w:val="00B57B23"/>
    <w:rsid w:val="00B60205"/>
    <w:rsid w:val="00B6039D"/>
    <w:rsid w:val="00B608EF"/>
    <w:rsid w:val="00B61E43"/>
    <w:rsid w:val="00B62423"/>
    <w:rsid w:val="00B640C9"/>
    <w:rsid w:val="00B65AD8"/>
    <w:rsid w:val="00B67107"/>
    <w:rsid w:val="00B714BA"/>
    <w:rsid w:val="00B71526"/>
    <w:rsid w:val="00B73A9B"/>
    <w:rsid w:val="00B7467E"/>
    <w:rsid w:val="00B76331"/>
    <w:rsid w:val="00B766CD"/>
    <w:rsid w:val="00B77A51"/>
    <w:rsid w:val="00B77D6A"/>
    <w:rsid w:val="00B80527"/>
    <w:rsid w:val="00B80E9C"/>
    <w:rsid w:val="00B840BF"/>
    <w:rsid w:val="00B85FA4"/>
    <w:rsid w:val="00B87050"/>
    <w:rsid w:val="00B91C98"/>
    <w:rsid w:val="00B922EF"/>
    <w:rsid w:val="00B9364C"/>
    <w:rsid w:val="00B9525D"/>
    <w:rsid w:val="00B9627C"/>
    <w:rsid w:val="00B9667C"/>
    <w:rsid w:val="00BA0F05"/>
    <w:rsid w:val="00BA1805"/>
    <w:rsid w:val="00BA1A67"/>
    <w:rsid w:val="00BA20FD"/>
    <w:rsid w:val="00BA3054"/>
    <w:rsid w:val="00BA47F0"/>
    <w:rsid w:val="00BA48FB"/>
    <w:rsid w:val="00BA7A43"/>
    <w:rsid w:val="00BB101A"/>
    <w:rsid w:val="00BB22A7"/>
    <w:rsid w:val="00BB2E3B"/>
    <w:rsid w:val="00BB3CE0"/>
    <w:rsid w:val="00BB4C92"/>
    <w:rsid w:val="00BB56FA"/>
    <w:rsid w:val="00BC10E0"/>
    <w:rsid w:val="00BC323C"/>
    <w:rsid w:val="00BC5B60"/>
    <w:rsid w:val="00BC68AC"/>
    <w:rsid w:val="00BC76D5"/>
    <w:rsid w:val="00BC79B6"/>
    <w:rsid w:val="00BC7F1E"/>
    <w:rsid w:val="00BC7F22"/>
    <w:rsid w:val="00BD031C"/>
    <w:rsid w:val="00BD1477"/>
    <w:rsid w:val="00BD1526"/>
    <w:rsid w:val="00BD62B2"/>
    <w:rsid w:val="00BD6671"/>
    <w:rsid w:val="00BD68BE"/>
    <w:rsid w:val="00BE2A42"/>
    <w:rsid w:val="00BE2ED4"/>
    <w:rsid w:val="00BE3226"/>
    <w:rsid w:val="00BE380B"/>
    <w:rsid w:val="00BE39FB"/>
    <w:rsid w:val="00BE3C64"/>
    <w:rsid w:val="00BE4791"/>
    <w:rsid w:val="00BE539B"/>
    <w:rsid w:val="00BE6961"/>
    <w:rsid w:val="00BE7E2E"/>
    <w:rsid w:val="00BF0DB0"/>
    <w:rsid w:val="00BF22D9"/>
    <w:rsid w:val="00BF2D1E"/>
    <w:rsid w:val="00BF2E95"/>
    <w:rsid w:val="00BF6145"/>
    <w:rsid w:val="00BF7B39"/>
    <w:rsid w:val="00C02A5F"/>
    <w:rsid w:val="00C0328B"/>
    <w:rsid w:val="00C03B2E"/>
    <w:rsid w:val="00C05F0C"/>
    <w:rsid w:val="00C06796"/>
    <w:rsid w:val="00C06BC0"/>
    <w:rsid w:val="00C122A6"/>
    <w:rsid w:val="00C13FC5"/>
    <w:rsid w:val="00C15495"/>
    <w:rsid w:val="00C169BC"/>
    <w:rsid w:val="00C16A07"/>
    <w:rsid w:val="00C20204"/>
    <w:rsid w:val="00C20464"/>
    <w:rsid w:val="00C22E06"/>
    <w:rsid w:val="00C23852"/>
    <w:rsid w:val="00C27137"/>
    <w:rsid w:val="00C273A7"/>
    <w:rsid w:val="00C30022"/>
    <w:rsid w:val="00C3026D"/>
    <w:rsid w:val="00C3050A"/>
    <w:rsid w:val="00C30649"/>
    <w:rsid w:val="00C31F50"/>
    <w:rsid w:val="00C330E8"/>
    <w:rsid w:val="00C33A78"/>
    <w:rsid w:val="00C341B6"/>
    <w:rsid w:val="00C3445D"/>
    <w:rsid w:val="00C34BA1"/>
    <w:rsid w:val="00C34E48"/>
    <w:rsid w:val="00C3614E"/>
    <w:rsid w:val="00C36A4C"/>
    <w:rsid w:val="00C36D0D"/>
    <w:rsid w:val="00C41FD9"/>
    <w:rsid w:val="00C43FCB"/>
    <w:rsid w:val="00C46B98"/>
    <w:rsid w:val="00C47F54"/>
    <w:rsid w:val="00C51AEC"/>
    <w:rsid w:val="00C51D7A"/>
    <w:rsid w:val="00C55776"/>
    <w:rsid w:val="00C55C4F"/>
    <w:rsid w:val="00C657F8"/>
    <w:rsid w:val="00C72DFD"/>
    <w:rsid w:val="00C72F91"/>
    <w:rsid w:val="00C747C2"/>
    <w:rsid w:val="00C75E0E"/>
    <w:rsid w:val="00C76006"/>
    <w:rsid w:val="00C8415C"/>
    <w:rsid w:val="00C8761C"/>
    <w:rsid w:val="00C87A6E"/>
    <w:rsid w:val="00C87D32"/>
    <w:rsid w:val="00C909E4"/>
    <w:rsid w:val="00C90FCB"/>
    <w:rsid w:val="00C9305A"/>
    <w:rsid w:val="00C948DB"/>
    <w:rsid w:val="00C9525E"/>
    <w:rsid w:val="00C95E61"/>
    <w:rsid w:val="00C962D3"/>
    <w:rsid w:val="00CA0E00"/>
    <w:rsid w:val="00CA13AB"/>
    <w:rsid w:val="00CA1B58"/>
    <w:rsid w:val="00CA2AE1"/>
    <w:rsid w:val="00CA2BCF"/>
    <w:rsid w:val="00CA48FF"/>
    <w:rsid w:val="00CA5D55"/>
    <w:rsid w:val="00CA6D6E"/>
    <w:rsid w:val="00CA7F6D"/>
    <w:rsid w:val="00CB1D9D"/>
    <w:rsid w:val="00CB1E17"/>
    <w:rsid w:val="00CB28E8"/>
    <w:rsid w:val="00CB318D"/>
    <w:rsid w:val="00CB3B43"/>
    <w:rsid w:val="00CB4A94"/>
    <w:rsid w:val="00CB4E41"/>
    <w:rsid w:val="00CB519A"/>
    <w:rsid w:val="00CB52C8"/>
    <w:rsid w:val="00CB5A55"/>
    <w:rsid w:val="00CB5BB3"/>
    <w:rsid w:val="00CB5D61"/>
    <w:rsid w:val="00CB770F"/>
    <w:rsid w:val="00CB7B1D"/>
    <w:rsid w:val="00CC13FE"/>
    <w:rsid w:val="00CC3479"/>
    <w:rsid w:val="00CC5AB1"/>
    <w:rsid w:val="00CC66A3"/>
    <w:rsid w:val="00CC67DB"/>
    <w:rsid w:val="00CD101C"/>
    <w:rsid w:val="00CD250D"/>
    <w:rsid w:val="00CD30DA"/>
    <w:rsid w:val="00CD5327"/>
    <w:rsid w:val="00CD6DD1"/>
    <w:rsid w:val="00CD7956"/>
    <w:rsid w:val="00CE054D"/>
    <w:rsid w:val="00CE1132"/>
    <w:rsid w:val="00CE1298"/>
    <w:rsid w:val="00CE1F00"/>
    <w:rsid w:val="00CE1F65"/>
    <w:rsid w:val="00CE24DC"/>
    <w:rsid w:val="00CE413D"/>
    <w:rsid w:val="00CE4B87"/>
    <w:rsid w:val="00CE5313"/>
    <w:rsid w:val="00CE7794"/>
    <w:rsid w:val="00CF004E"/>
    <w:rsid w:val="00CF1B83"/>
    <w:rsid w:val="00CF1E08"/>
    <w:rsid w:val="00CF2C21"/>
    <w:rsid w:val="00CF3BEF"/>
    <w:rsid w:val="00CF48C3"/>
    <w:rsid w:val="00CF58C5"/>
    <w:rsid w:val="00CF602F"/>
    <w:rsid w:val="00CF6223"/>
    <w:rsid w:val="00D019E3"/>
    <w:rsid w:val="00D01A0F"/>
    <w:rsid w:val="00D02E62"/>
    <w:rsid w:val="00D03CB4"/>
    <w:rsid w:val="00D03F38"/>
    <w:rsid w:val="00D04A97"/>
    <w:rsid w:val="00D05525"/>
    <w:rsid w:val="00D07684"/>
    <w:rsid w:val="00D07DED"/>
    <w:rsid w:val="00D117D9"/>
    <w:rsid w:val="00D145C7"/>
    <w:rsid w:val="00D155CF"/>
    <w:rsid w:val="00D15F1D"/>
    <w:rsid w:val="00D16375"/>
    <w:rsid w:val="00D163F8"/>
    <w:rsid w:val="00D175BD"/>
    <w:rsid w:val="00D20FEB"/>
    <w:rsid w:val="00D2130E"/>
    <w:rsid w:val="00D2147A"/>
    <w:rsid w:val="00D21DAA"/>
    <w:rsid w:val="00D21DE5"/>
    <w:rsid w:val="00D21FB3"/>
    <w:rsid w:val="00D23152"/>
    <w:rsid w:val="00D247B4"/>
    <w:rsid w:val="00D24AE5"/>
    <w:rsid w:val="00D24E6D"/>
    <w:rsid w:val="00D24F20"/>
    <w:rsid w:val="00D26BB4"/>
    <w:rsid w:val="00D312FE"/>
    <w:rsid w:val="00D31370"/>
    <w:rsid w:val="00D326F6"/>
    <w:rsid w:val="00D3317B"/>
    <w:rsid w:val="00D343D9"/>
    <w:rsid w:val="00D34D95"/>
    <w:rsid w:val="00D35958"/>
    <w:rsid w:val="00D378B7"/>
    <w:rsid w:val="00D3790F"/>
    <w:rsid w:val="00D40669"/>
    <w:rsid w:val="00D41F7B"/>
    <w:rsid w:val="00D43E3B"/>
    <w:rsid w:val="00D45CDE"/>
    <w:rsid w:val="00D47AEA"/>
    <w:rsid w:val="00D543D7"/>
    <w:rsid w:val="00D55ADC"/>
    <w:rsid w:val="00D572A1"/>
    <w:rsid w:val="00D5774B"/>
    <w:rsid w:val="00D57E76"/>
    <w:rsid w:val="00D60A04"/>
    <w:rsid w:val="00D60A6C"/>
    <w:rsid w:val="00D61ACF"/>
    <w:rsid w:val="00D62EFC"/>
    <w:rsid w:val="00D63C5D"/>
    <w:rsid w:val="00D70119"/>
    <w:rsid w:val="00D707CA"/>
    <w:rsid w:val="00D7095F"/>
    <w:rsid w:val="00D730E3"/>
    <w:rsid w:val="00D747B0"/>
    <w:rsid w:val="00D75C1F"/>
    <w:rsid w:val="00D7781F"/>
    <w:rsid w:val="00D77BFD"/>
    <w:rsid w:val="00D8002A"/>
    <w:rsid w:val="00D807A8"/>
    <w:rsid w:val="00D879A7"/>
    <w:rsid w:val="00D87E04"/>
    <w:rsid w:val="00D90A7B"/>
    <w:rsid w:val="00D91073"/>
    <w:rsid w:val="00D91A7E"/>
    <w:rsid w:val="00D93F08"/>
    <w:rsid w:val="00D94505"/>
    <w:rsid w:val="00DA005C"/>
    <w:rsid w:val="00DA03DF"/>
    <w:rsid w:val="00DA0F66"/>
    <w:rsid w:val="00DA2F75"/>
    <w:rsid w:val="00DA335F"/>
    <w:rsid w:val="00DA363B"/>
    <w:rsid w:val="00DA4999"/>
    <w:rsid w:val="00DA5635"/>
    <w:rsid w:val="00DA6E03"/>
    <w:rsid w:val="00DB0676"/>
    <w:rsid w:val="00DB0CF1"/>
    <w:rsid w:val="00DB179F"/>
    <w:rsid w:val="00DB2C16"/>
    <w:rsid w:val="00DB378E"/>
    <w:rsid w:val="00DB3CB5"/>
    <w:rsid w:val="00DB3E4C"/>
    <w:rsid w:val="00DB4774"/>
    <w:rsid w:val="00DB4DA9"/>
    <w:rsid w:val="00DB6BEE"/>
    <w:rsid w:val="00DC294E"/>
    <w:rsid w:val="00DC3C32"/>
    <w:rsid w:val="00DC4856"/>
    <w:rsid w:val="00DC4B6C"/>
    <w:rsid w:val="00DC56B9"/>
    <w:rsid w:val="00DC6819"/>
    <w:rsid w:val="00DC6973"/>
    <w:rsid w:val="00DD0B58"/>
    <w:rsid w:val="00DD38F4"/>
    <w:rsid w:val="00DD3F64"/>
    <w:rsid w:val="00DD41D1"/>
    <w:rsid w:val="00DD4378"/>
    <w:rsid w:val="00DD4655"/>
    <w:rsid w:val="00DD487C"/>
    <w:rsid w:val="00DD48B5"/>
    <w:rsid w:val="00DD5255"/>
    <w:rsid w:val="00DD55BF"/>
    <w:rsid w:val="00DD6A9C"/>
    <w:rsid w:val="00DD78D9"/>
    <w:rsid w:val="00DD7C90"/>
    <w:rsid w:val="00DE01C9"/>
    <w:rsid w:val="00DE273F"/>
    <w:rsid w:val="00DE369D"/>
    <w:rsid w:val="00DE5851"/>
    <w:rsid w:val="00DE61FC"/>
    <w:rsid w:val="00DE7C1A"/>
    <w:rsid w:val="00DF1E1E"/>
    <w:rsid w:val="00DF3BA9"/>
    <w:rsid w:val="00DF517C"/>
    <w:rsid w:val="00DF59DE"/>
    <w:rsid w:val="00DF5D6F"/>
    <w:rsid w:val="00DF6389"/>
    <w:rsid w:val="00DF6590"/>
    <w:rsid w:val="00E0073F"/>
    <w:rsid w:val="00E01684"/>
    <w:rsid w:val="00E019A3"/>
    <w:rsid w:val="00E0258B"/>
    <w:rsid w:val="00E02624"/>
    <w:rsid w:val="00E0279E"/>
    <w:rsid w:val="00E0327A"/>
    <w:rsid w:val="00E03716"/>
    <w:rsid w:val="00E067AD"/>
    <w:rsid w:val="00E10914"/>
    <w:rsid w:val="00E12788"/>
    <w:rsid w:val="00E12ADC"/>
    <w:rsid w:val="00E1433F"/>
    <w:rsid w:val="00E159CB"/>
    <w:rsid w:val="00E163A5"/>
    <w:rsid w:val="00E16D21"/>
    <w:rsid w:val="00E17CD6"/>
    <w:rsid w:val="00E21CD1"/>
    <w:rsid w:val="00E21E36"/>
    <w:rsid w:val="00E229DB"/>
    <w:rsid w:val="00E22D4D"/>
    <w:rsid w:val="00E244F7"/>
    <w:rsid w:val="00E2461B"/>
    <w:rsid w:val="00E24C1E"/>
    <w:rsid w:val="00E26AB8"/>
    <w:rsid w:val="00E27B7C"/>
    <w:rsid w:val="00E27F4B"/>
    <w:rsid w:val="00E31964"/>
    <w:rsid w:val="00E33C27"/>
    <w:rsid w:val="00E34271"/>
    <w:rsid w:val="00E34698"/>
    <w:rsid w:val="00E34A65"/>
    <w:rsid w:val="00E34C03"/>
    <w:rsid w:val="00E35059"/>
    <w:rsid w:val="00E36B8E"/>
    <w:rsid w:val="00E36D61"/>
    <w:rsid w:val="00E41AC9"/>
    <w:rsid w:val="00E44C6E"/>
    <w:rsid w:val="00E452BB"/>
    <w:rsid w:val="00E45DBA"/>
    <w:rsid w:val="00E47611"/>
    <w:rsid w:val="00E477F5"/>
    <w:rsid w:val="00E5092E"/>
    <w:rsid w:val="00E51993"/>
    <w:rsid w:val="00E52178"/>
    <w:rsid w:val="00E521C7"/>
    <w:rsid w:val="00E54105"/>
    <w:rsid w:val="00E5524D"/>
    <w:rsid w:val="00E5552C"/>
    <w:rsid w:val="00E556A5"/>
    <w:rsid w:val="00E55F1E"/>
    <w:rsid w:val="00E56B73"/>
    <w:rsid w:val="00E6182D"/>
    <w:rsid w:val="00E621A4"/>
    <w:rsid w:val="00E63278"/>
    <w:rsid w:val="00E6402C"/>
    <w:rsid w:val="00E65016"/>
    <w:rsid w:val="00E702E7"/>
    <w:rsid w:val="00E70C75"/>
    <w:rsid w:val="00E71408"/>
    <w:rsid w:val="00E71F2A"/>
    <w:rsid w:val="00E736CB"/>
    <w:rsid w:val="00E7510C"/>
    <w:rsid w:val="00E75B8F"/>
    <w:rsid w:val="00E77796"/>
    <w:rsid w:val="00E8261F"/>
    <w:rsid w:val="00E83000"/>
    <w:rsid w:val="00E84BB3"/>
    <w:rsid w:val="00E85097"/>
    <w:rsid w:val="00E85ED9"/>
    <w:rsid w:val="00E86AD6"/>
    <w:rsid w:val="00E86D6F"/>
    <w:rsid w:val="00E90824"/>
    <w:rsid w:val="00E9097C"/>
    <w:rsid w:val="00E9118A"/>
    <w:rsid w:val="00E9265F"/>
    <w:rsid w:val="00E94358"/>
    <w:rsid w:val="00E9446F"/>
    <w:rsid w:val="00E95E22"/>
    <w:rsid w:val="00E95F73"/>
    <w:rsid w:val="00E9663F"/>
    <w:rsid w:val="00EA0488"/>
    <w:rsid w:val="00EA0B99"/>
    <w:rsid w:val="00EA1740"/>
    <w:rsid w:val="00EA1E9A"/>
    <w:rsid w:val="00EA3D22"/>
    <w:rsid w:val="00EA53DE"/>
    <w:rsid w:val="00EA54BC"/>
    <w:rsid w:val="00EA5B80"/>
    <w:rsid w:val="00EA6630"/>
    <w:rsid w:val="00EA6BDA"/>
    <w:rsid w:val="00EA7106"/>
    <w:rsid w:val="00EB2F75"/>
    <w:rsid w:val="00EB300B"/>
    <w:rsid w:val="00EB37D7"/>
    <w:rsid w:val="00EB556B"/>
    <w:rsid w:val="00EB6323"/>
    <w:rsid w:val="00EB6EA8"/>
    <w:rsid w:val="00EB7B5E"/>
    <w:rsid w:val="00EC139F"/>
    <w:rsid w:val="00EC292A"/>
    <w:rsid w:val="00EC3058"/>
    <w:rsid w:val="00EC3B96"/>
    <w:rsid w:val="00EC3C52"/>
    <w:rsid w:val="00EC3E40"/>
    <w:rsid w:val="00EC537C"/>
    <w:rsid w:val="00EC5DBE"/>
    <w:rsid w:val="00EC6EA6"/>
    <w:rsid w:val="00ED162F"/>
    <w:rsid w:val="00ED26D8"/>
    <w:rsid w:val="00ED2C6C"/>
    <w:rsid w:val="00ED3AB3"/>
    <w:rsid w:val="00ED43E4"/>
    <w:rsid w:val="00ED441A"/>
    <w:rsid w:val="00ED47AD"/>
    <w:rsid w:val="00EE0507"/>
    <w:rsid w:val="00EE07A9"/>
    <w:rsid w:val="00EE1834"/>
    <w:rsid w:val="00EE18B1"/>
    <w:rsid w:val="00EE1AC7"/>
    <w:rsid w:val="00EE3AC3"/>
    <w:rsid w:val="00EE4458"/>
    <w:rsid w:val="00EE5E2D"/>
    <w:rsid w:val="00EE64F8"/>
    <w:rsid w:val="00EF123F"/>
    <w:rsid w:val="00EF2662"/>
    <w:rsid w:val="00EF4DE3"/>
    <w:rsid w:val="00EF5745"/>
    <w:rsid w:val="00EF5E8C"/>
    <w:rsid w:val="00EF6C61"/>
    <w:rsid w:val="00EF739E"/>
    <w:rsid w:val="00EF7E1F"/>
    <w:rsid w:val="00F00AF8"/>
    <w:rsid w:val="00F01039"/>
    <w:rsid w:val="00F01A8A"/>
    <w:rsid w:val="00F02272"/>
    <w:rsid w:val="00F03752"/>
    <w:rsid w:val="00F0443C"/>
    <w:rsid w:val="00F06240"/>
    <w:rsid w:val="00F07E9A"/>
    <w:rsid w:val="00F11487"/>
    <w:rsid w:val="00F11FE1"/>
    <w:rsid w:val="00F12A85"/>
    <w:rsid w:val="00F13667"/>
    <w:rsid w:val="00F140E5"/>
    <w:rsid w:val="00F15E37"/>
    <w:rsid w:val="00F17A7B"/>
    <w:rsid w:val="00F202A9"/>
    <w:rsid w:val="00F21C77"/>
    <w:rsid w:val="00F21CF1"/>
    <w:rsid w:val="00F2727B"/>
    <w:rsid w:val="00F327E9"/>
    <w:rsid w:val="00F33321"/>
    <w:rsid w:val="00F33B44"/>
    <w:rsid w:val="00F33CDA"/>
    <w:rsid w:val="00F33F87"/>
    <w:rsid w:val="00F47220"/>
    <w:rsid w:val="00F50375"/>
    <w:rsid w:val="00F50DC0"/>
    <w:rsid w:val="00F51831"/>
    <w:rsid w:val="00F51C66"/>
    <w:rsid w:val="00F5394E"/>
    <w:rsid w:val="00F5420F"/>
    <w:rsid w:val="00F542E8"/>
    <w:rsid w:val="00F56638"/>
    <w:rsid w:val="00F5665B"/>
    <w:rsid w:val="00F568FD"/>
    <w:rsid w:val="00F56B69"/>
    <w:rsid w:val="00F56BFF"/>
    <w:rsid w:val="00F56FA4"/>
    <w:rsid w:val="00F604F8"/>
    <w:rsid w:val="00F65442"/>
    <w:rsid w:val="00F70AAD"/>
    <w:rsid w:val="00F71BC7"/>
    <w:rsid w:val="00F751F5"/>
    <w:rsid w:val="00F75AB5"/>
    <w:rsid w:val="00F75B7E"/>
    <w:rsid w:val="00F76D42"/>
    <w:rsid w:val="00F76E5F"/>
    <w:rsid w:val="00F800AC"/>
    <w:rsid w:val="00F829EA"/>
    <w:rsid w:val="00F83EBC"/>
    <w:rsid w:val="00F841CD"/>
    <w:rsid w:val="00F857AE"/>
    <w:rsid w:val="00F8585B"/>
    <w:rsid w:val="00F8630A"/>
    <w:rsid w:val="00F86A0D"/>
    <w:rsid w:val="00F876DA"/>
    <w:rsid w:val="00F95086"/>
    <w:rsid w:val="00F9525E"/>
    <w:rsid w:val="00F9534F"/>
    <w:rsid w:val="00F9584D"/>
    <w:rsid w:val="00F97A72"/>
    <w:rsid w:val="00FA1CC4"/>
    <w:rsid w:val="00FA1F80"/>
    <w:rsid w:val="00FA2C2F"/>
    <w:rsid w:val="00FA351D"/>
    <w:rsid w:val="00FA3D1C"/>
    <w:rsid w:val="00FA6B66"/>
    <w:rsid w:val="00FA6B90"/>
    <w:rsid w:val="00FA6BCB"/>
    <w:rsid w:val="00FA72B6"/>
    <w:rsid w:val="00FA7728"/>
    <w:rsid w:val="00FB0295"/>
    <w:rsid w:val="00FB04D1"/>
    <w:rsid w:val="00FB10ED"/>
    <w:rsid w:val="00FB1431"/>
    <w:rsid w:val="00FB2BC1"/>
    <w:rsid w:val="00FB5493"/>
    <w:rsid w:val="00FB703E"/>
    <w:rsid w:val="00FB7618"/>
    <w:rsid w:val="00FC0680"/>
    <w:rsid w:val="00FC124D"/>
    <w:rsid w:val="00FC1F62"/>
    <w:rsid w:val="00FC24F1"/>
    <w:rsid w:val="00FC35C7"/>
    <w:rsid w:val="00FC3F10"/>
    <w:rsid w:val="00FC48D7"/>
    <w:rsid w:val="00FC4ABC"/>
    <w:rsid w:val="00FC538A"/>
    <w:rsid w:val="00FC5832"/>
    <w:rsid w:val="00FC780C"/>
    <w:rsid w:val="00FC7821"/>
    <w:rsid w:val="00FC791B"/>
    <w:rsid w:val="00FD09A3"/>
    <w:rsid w:val="00FD0AB3"/>
    <w:rsid w:val="00FD1AE3"/>
    <w:rsid w:val="00FD34CB"/>
    <w:rsid w:val="00FD3707"/>
    <w:rsid w:val="00FD6142"/>
    <w:rsid w:val="00FD6AA1"/>
    <w:rsid w:val="00FE16D6"/>
    <w:rsid w:val="00FE20ED"/>
    <w:rsid w:val="00FE5206"/>
    <w:rsid w:val="00FE639E"/>
    <w:rsid w:val="00FF035B"/>
    <w:rsid w:val="00FF17DF"/>
    <w:rsid w:val="00FF1842"/>
    <w:rsid w:val="00FF2103"/>
    <w:rsid w:val="00FF4D6B"/>
    <w:rsid w:val="00FF4F29"/>
    <w:rsid w:val="00FF5DB9"/>
    <w:rsid w:val="00FF6036"/>
    <w:rsid w:val="00FF64B1"/>
    <w:rsid w:val="00FF6C65"/>
    <w:rsid w:val="00F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DB389"/>
  <w15:chartTrackingRefBased/>
  <w15:docId w15:val="{FC53DB8E-59A0-D447-9D6B-1C2F22F0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10E7"/>
    <w:rPr>
      <w:rFonts w:ascii="Times New Roman" w:eastAsia="Times New Roman" w:hAnsi="Times New Roman" w:cs="Times New Roman"/>
    </w:rPr>
  </w:style>
  <w:style w:type="paragraph" w:styleId="Heading1">
    <w:name w:val="heading 1"/>
    <w:basedOn w:val="Normal"/>
    <w:next w:val="Normal"/>
    <w:link w:val="Heading1Char"/>
    <w:qFormat/>
    <w:rsid w:val="00B242BA"/>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65B"/>
    <w:pPr>
      <w:tabs>
        <w:tab w:val="center" w:pos="4680"/>
        <w:tab w:val="right" w:pos="9360"/>
      </w:tabs>
    </w:pPr>
  </w:style>
  <w:style w:type="character" w:customStyle="1" w:styleId="FooterChar">
    <w:name w:val="Footer Char"/>
    <w:basedOn w:val="DefaultParagraphFont"/>
    <w:link w:val="Footer"/>
    <w:uiPriority w:val="99"/>
    <w:rsid w:val="00F5665B"/>
    <w:rPr>
      <w:rFonts w:ascii="Times New Roman" w:eastAsia="Times New Roman" w:hAnsi="Times New Roman" w:cs="Times New Roman"/>
      <w:lang w:bidi="he-IL"/>
    </w:rPr>
  </w:style>
  <w:style w:type="character" w:styleId="PageNumber">
    <w:name w:val="page number"/>
    <w:basedOn w:val="DefaultParagraphFont"/>
    <w:uiPriority w:val="99"/>
    <w:semiHidden/>
    <w:unhideWhenUsed/>
    <w:rsid w:val="00F5665B"/>
  </w:style>
  <w:style w:type="paragraph" w:styleId="Header">
    <w:name w:val="header"/>
    <w:basedOn w:val="Normal"/>
    <w:link w:val="HeaderChar"/>
    <w:uiPriority w:val="99"/>
    <w:unhideWhenUsed/>
    <w:rsid w:val="00F5665B"/>
    <w:pPr>
      <w:tabs>
        <w:tab w:val="center" w:pos="4680"/>
        <w:tab w:val="right" w:pos="9360"/>
      </w:tabs>
    </w:pPr>
  </w:style>
  <w:style w:type="character" w:customStyle="1" w:styleId="HeaderChar">
    <w:name w:val="Header Char"/>
    <w:basedOn w:val="DefaultParagraphFont"/>
    <w:link w:val="Header"/>
    <w:uiPriority w:val="99"/>
    <w:rsid w:val="00F5665B"/>
    <w:rPr>
      <w:rFonts w:ascii="Times New Roman" w:eastAsia="Times New Roman" w:hAnsi="Times New Roman" w:cs="Times New Roman"/>
      <w:lang w:bidi="he-IL"/>
    </w:rPr>
  </w:style>
  <w:style w:type="paragraph" w:styleId="ListParagraph">
    <w:name w:val="List Paragraph"/>
    <w:basedOn w:val="Normal"/>
    <w:uiPriority w:val="34"/>
    <w:qFormat/>
    <w:rsid w:val="00B242BA"/>
    <w:pPr>
      <w:ind w:left="720"/>
      <w:contextualSpacing/>
    </w:pPr>
  </w:style>
  <w:style w:type="character" w:customStyle="1" w:styleId="Heading1Char">
    <w:name w:val="Heading 1 Char"/>
    <w:basedOn w:val="DefaultParagraphFont"/>
    <w:link w:val="Heading1"/>
    <w:rsid w:val="00B242BA"/>
    <w:rPr>
      <w:rFonts w:ascii="Times New Roman" w:eastAsia="Times New Roman" w:hAnsi="Times New Roman" w:cs="Times New Roman"/>
      <w:b/>
      <w:bCs/>
      <w:u w:val="single"/>
      <w:lang w:bidi="he-IL"/>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fn "/>
    <w:link w:val="FootnoteTextChar2"/>
    <w:uiPriority w:val="99"/>
    <w:rsid w:val="00033F93"/>
    <w:pPr>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33F93"/>
    <w:rPr>
      <w:rFonts w:ascii="Times New Roman" w:eastAsia="Times New Roman" w:hAnsi="Times New Roman" w:cs="Times New Roman"/>
      <w:sz w:val="20"/>
      <w:szCs w:val="20"/>
      <w:lang w:bidi="he-IL"/>
    </w:r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A,Ref,Style 1"/>
    <w:rsid w:val="00033F93"/>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 Char,fn  Char"/>
    <w:link w:val="FootnoteText"/>
    <w:rsid w:val="00033F9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2D56"/>
    <w:rPr>
      <w:sz w:val="16"/>
      <w:szCs w:val="16"/>
    </w:rPr>
  </w:style>
  <w:style w:type="paragraph" w:styleId="CommentText">
    <w:name w:val="annotation text"/>
    <w:basedOn w:val="Normal"/>
    <w:link w:val="CommentTextChar"/>
    <w:uiPriority w:val="99"/>
    <w:unhideWhenUsed/>
    <w:rsid w:val="00512D56"/>
    <w:rPr>
      <w:sz w:val="20"/>
      <w:szCs w:val="20"/>
    </w:rPr>
  </w:style>
  <w:style w:type="character" w:customStyle="1" w:styleId="CommentTextChar">
    <w:name w:val="Comment Text Char"/>
    <w:basedOn w:val="DefaultParagraphFont"/>
    <w:link w:val="CommentText"/>
    <w:uiPriority w:val="99"/>
    <w:rsid w:val="00512D56"/>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512D56"/>
    <w:rPr>
      <w:b/>
      <w:bCs/>
    </w:rPr>
  </w:style>
  <w:style w:type="character" w:customStyle="1" w:styleId="CommentSubjectChar">
    <w:name w:val="Comment Subject Char"/>
    <w:basedOn w:val="CommentTextChar"/>
    <w:link w:val="CommentSubject"/>
    <w:uiPriority w:val="99"/>
    <w:semiHidden/>
    <w:rsid w:val="00512D56"/>
    <w:rPr>
      <w:rFonts w:ascii="Times New Roman" w:eastAsia="Times New Roman" w:hAnsi="Times New Roman" w:cs="Times New Roman"/>
      <w:b/>
      <w:bCs/>
      <w:sz w:val="20"/>
      <w:szCs w:val="20"/>
      <w:lang w:bidi="he-IL"/>
    </w:rPr>
  </w:style>
  <w:style w:type="paragraph" w:styleId="BalloonText">
    <w:name w:val="Balloon Text"/>
    <w:basedOn w:val="Normal"/>
    <w:link w:val="BalloonTextChar"/>
    <w:uiPriority w:val="99"/>
    <w:semiHidden/>
    <w:unhideWhenUsed/>
    <w:rsid w:val="00512D56"/>
    <w:rPr>
      <w:sz w:val="18"/>
      <w:szCs w:val="18"/>
    </w:rPr>
  </w:style>
  <w:style w:type="character" w:customStyle="1" w:styleId="BalloonTextChar">
    <w:name w:val="Balloon Text Char"/>
    <w:basedOn w:val="DefaultParagraphFont"/>
    <w:link w:val="BalloonText"/>
    <w:uiPriority w:val="99"/>
    <w:semiHidden/>
    <w:rsid w:val="00512D56"/>
    <w:rPr>
      <w:rFonts w:ascii="Times New Roman" w:eastAsia="Times New Roman" w:hAnsi="Times New Roman" w:cs="Times New Roman"/>
      <w:sz w:val="18"/>
      <w:szCs w:val="18"/>
      <w:lang w:bidi="he-IL"/>
    </w:rPr>
  </w:style>
  <w:style w:type="paragraph" w:customStyle="1" w:styleId="Default">
    <w:name w:val="Default"/>
    <w:rsid w:val="0083228B"/>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9D3B45"/>
    <w:rPr>
      <w:color w:val="0000FF"/>
      <w:u w:val="single"/>
    </w:rPr>
  </w:style>
  <w:style w:type="paragraph" w:styleId="Revision">
    <w:name w:val="Revision"/>
    <w:hidden/>
    <w:uiPriority w:val="99"/>
    <w:semiHidden/>
    <w:rsid w:val="0097255E"/>
    <w:rPr>
      <w:rFonts w:ascii="Times New Roman" w:eastAsia="Times New Roman" w:hAnsi="Times New Roman" w:cs="Times New Roman"/>
      <w:lang w:bidi="he-IL"/>
    </w:rPr>
  </w:style>
  <w:style w:type="paragraph" w:customStyle="1" w:styleId="xxmsonormal">
    <w:name w:val="x_xmsonormal"/>
    <w:basedOn w:val="Normal"/>
    <w:rsid w:val="006840F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5927">
      <w:bodyDiv w:val="1"/>
      <w:marLeft w:val="0"/>
      <w:marRight w:val="0"/>
      <w:marTop w:val="0"/>
      <w:marBottom w:val="0"/>
      <w:divBdr>
        <w:top w:val="none" w:sz="0" w:space="0" w:color="auto"/>
        <w:left w:val="none" w:sz="0" w:space="0" w:color="auto"/>
        <w:bottom w:val="none" w:sz="0" w:space="0" w:color="auto"/>
        <w:right w:val="none" w:sz="0" w:space="0" w:color="auto"/>
      </w:divBdr>
      <w:divsChild>
        <w:div w:id="1923948763">
          <w:marLeft w:val="0"/>
          <w:marRight w:val="0"/>
          <w:marTop w:val="0"/>
          <w:marBottom w:val="0"/>
          <w:divBdr>
            <w:top w:val="single" w:sz="6" w:space="0" w:color="DFE1E5"/>
            <w:left w:val="single" w:sz="6" w:space="0" w:color="DFE1E5"/>
            <w:bottom w:val="single" w:sz="6" w:space="0" w:color="DFE1E5"/>
            <w:right w:val="single" w:sz="6" w:space="0" w:color="DFE1E5"/>
          </w:divBdr>
          <w:divsChild>
            <w:div w:id="976641093">
              <w:marLeft w:val="0"/>
              <w:marRight w:val="0"/>
              <w:marTop w:val="0"/>
              <w:marBottom w:val="0"/>
              <w:divBdr>
                <w:top w:val="none" w:sz="0" w:space="0" w:color="auto"/>
                <w:left w:val="none" w:sz="0" w:space="0" w:color="auto"/>
                <w:bottom w:val="none" w:sz="0" w:space="0" w:color="auto"/>
                <w:right w:val="none" w:sz="0" w:space="0" w:color="auto"/>
              </w:divBdr>
              <w:divsChild>
                <w:div w:id="476537447">
                  <w:marLeft w:val="180"/>
                  <w:marRight w:val="180"/>
                  <w:marTop w:val="0"/>
                  <w:marBottom w:val="0"/>
                  <w:divBdr>
                    <w:top w:val="none" w:sz="0" w:space="0" w:color="auto"/>
                    <w:left w:val="none" w:sz="0" w:space="0" w:color="auto"/>
                    <w:bottom w:val="none" w:sz="0" w:space="0" w:color="auto"/>
                    <w:right w:val="none" w:sz="0" w:space="0" w:color="auto"/>
                  </w:divBdr>
                  <w:divsChild>
                    <w:div w:id="1826161783">
                      <w:marLeft w:val="0"/>
                      <w:marRight w:val="0"/>
                      <w:marTop w:val="0"/>
                      <w:marBottom w:val="0"/>
                      <w:divBdr>
                        <w:top w:val="none" w:sz="0" w:space="0" w:color="auto"/>
                        <w:left w:val="none" w:sz="0" w:space="0" w:color="auto"/>
                        <w:bottom w:val="none" w:sz="0" w:space="0" w:color="auto"/>
                        <w:right w:val="none" w:sz="0" w:space="0" w:color="auto"/>
                      </w:divBdr>
                      <w:divsChild>
                        <w:div w:id="992298102">
                          <w:marLeft w:val="0"/>
                          <w:marRight w:val="0"/>
                          <w:marTop w:val="100"/>
                          <w:marBottom w:val="100"/>
                          <w:divBdr>
                            <w:top w:val="single" w:sz="6" w:space="8" w:color="4D90FE"/>
                            <w:left w:val="single" w:sz="6" w:space="8" w:color="4D90FE"/>
                            <w:bottom w:val="single" w:sz="6" w:space="0" w:color="4D90FE"/>
                            <w:right w:val="single" w:sz="6" w:space="11" w:color="4D90FE"/>
                          </w:divBdr>
                          <w:divsChild>
                            <w:div w:id="1413939395">
                              <w:marLeft w:val="0"/>
                              <w:marRight w:val="0"/>
                              <w:marTop w:val="0"/>
                              <w:marBottom w:val="0"/>
                              <w:divBdr>
                                <w:top w:val="none" w:sz="0" w:space="0" w:color="auto"/>
                                <w:left w:val="none" w:sz="0" w:space="0" w:color="auto"/>
                                <w:bottom w:val="none" w:sz="0" w:space="0" w:color="auto"/>
                                <w:right w:val="none" w:sz="0" w:space="0" w:color="auto"/>
                              </w:divBdr>
                              <w:divsChild>
                                <w:div w:id="1923640430">
                                  <w:marLeft w:val="0"/>
                                  <w:marRight w:val="0"/>
                                  <w:marTop w:val="0"/>
                                  <w:marBottom w:val="0"/>
                                  <w:divBdr>
                                    <w:top w:val="none" w:sz="0" w:space="0" w:color="auto"/>
                                    <w:left w:val="none" w:sz="0" w:space="0" w:color="auto"/>
                                    <w:bottom w:val="none" w:sz="0" w:space="0" w:color="auto"/>
                                    <w:right w:val="none" w:sz="0" w:space="0" w:color="auto"/>
                                  </w:divBdr>
                                  <w:divsChild>
                                    <w:div w:id="3287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1701">
                      <w:marLeft w:val="0"/>
                      <w:marRight w:val="0"/>
                      <w:marTop w:val="0"/>
                      <w:marBottom w:val="0"/>
                      <w:divBdr>
                        <w:top w:val="none" w:sz="0" w:space="0" w:color="auto"/>
                        <w:left w:val="none" w:sz="0" w:space="0" w:color="auto"/>
                        <w:bottom w:val="none" w:sz="0" w:space="0" w:color="auto"/>
                        <w:right w:val="none" w:sz="0" w:space="0" w:color="auto"/>
                      </w:divBdr>
                    </w:div>
                    <w:div w:id="1420712203">
                      <w:marLeft w:val="0"/>
                      <w:marRight w:val="0"/>
                      <w:marTop w:val="120"/>
                      <w:marBottom w:val="0"/>
                      <w:divBdr>
                        <w:top w:val="none" w:sz="0" w:space="0" w:color="auto"/>
                        <w:left w:val="none" w:sz="0" w:space="0" w:color="auto"/>
                        <w:bottom w:val="none" w:sz="0" w:space="0" w:color="auto"/>
                        <w:right w:val="none" w:sz="0" w:space="0" w:color="auto"/>
                      </w:divBdr>
                      <w:divsChild>
                        <w:div w:id="1133136530">
                          <w:marLeft w:val="0"/>
                          <w:marRight w:val="0"/>
                          <w:marTop w:val="0"/>
                          <w:marBottom w:val="0"/>
                          <w:divBdr>
                            <w:top w:val="none" w:sz="0" w:space="0" w:color="auto"/>
                            <w:left w:val="none" w:sz="0" w:space="0" w:color="auto"/>
                            <w:bottom w:val="none" w:sz="0" w:space="0" w:color="auto"/>
                            <w:right w:val="none" w:sz="0" w:space="0" w:color="auto"/>
                          </w:divBdr>
                          <w:divsChild>
                            <w:div w:id="1568807155">
                              <w:marLeft w:val="60"/>
                              <w:marRight w:val="60"/>
                              <w:marTop w:val="60"/>
                              <w:marBottom w:val="60"/>
                              <w:divBdr>
                                <w:top w:val="none" w:sz="0" w:space="0" w:color="auto"/>
                                <w:left w:val="none" w:sz="0" w:space="0" w:color="auto"/>
                                <w:bottom w:val="none" w:sz="0" w:space="0" w:color="auto"/>
                                <w:right w:val="none" w:sz="0" w:space="0" w:color="auto"/>
                              </w:divBdr>
                              <w:divsChild>
                                <w:div w:id="1488398968">
                                  <w:marLeft w:val="0"/>
                                  <w:marRight w:val="0"/>
                                  <w:marTop w:val="0"/>
                                  <w:marBottom w:val="0"/>
                                  <w:divBdr>
                                    <w:top w:val="single" w:sz="6" w:space="0" w:color="DFE1E5"/>
                                    <w:left w:val="single" w:sz="6" w:space="0" w:color="DFE1E5"/>
                                    <w:bottom w:val="single" w:sz="6" w:space="0" w:color="DFE1E5"/>
                                    <w:right w:val="single" w:sz="6" w:space="0" w:color="DFE1E5"/>
                                  </w:divBdr>
                                  <w:divsChild>
                                    <w:div w:id="216203640">
                                      <w:marLeft w:val="0"/>
                                      <w:marRight w:val="0"/>
                                      <w:marTop w:val="0"/>
                                      <w:marBottom w:val="0"/>
                                      <w:divBdr>
                                        <w:top w:val="none" w:sz="0" w:space="0" w:color="auto"/>
                                        <w:left w:val="none" w:sz="0" w:space="0" w:color="auto"/>
                                        <w:bottom w:val="none" w:sz="0" w:space="0" w:color="auto"/>
                                        <w:right w:val="none" w:sz="0" w:space="0" w:color="auto"/>
                                      </w:divBdr>
                                    </w:div>
                                    <w:div w:id="14633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573">
                              <w:marLeft w:val="60"/>
                              <w:marRight w:val="60"/>
                              <w:marTop w:val="60"/>
                              <w:marBottom w:val="60"/>
                              <w:divBdr>
                                <w:top w:val="none" w:sz="0" w:space="0" w:color="auto"/>
                                <w:left w:val="none" w:sz="0" w:space="0" w:color="auto"/>
                                <w:bottom w:val="none" w:sz="0" w:space="0" w:color="auto"/>
                                <w:right w:val="none" w:sz="0" w:space="0" w:color="auto"/>
                              </w:divBdr>
                              <w:divsChild>
                                <w:div w:id="104753123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04670431">
                              <w:marLeft w:val="60"/>
                              <w:marRight w:val="60"/>
                              <w:marTop w:val="60"/>
                              <w:marBottom w:val="60"/>
                              <w:divBdr>
                                <w:top w:val="none" w:sz="0" w:space="0" w:color="auto"/>
                                <w:left w:val="none" w:sz="0" w:space="0" w:color="auto"/>
                                <w:bottom w:val="none" w:sz="0" w:space="0" w:color="auto"/>
                                <w:right w:val="none" w:sz="0" w:space="0" w:color="auto"/>
                              </w:divBdr>
                              <w:divsChild>
                                <w:div w:id="80427313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31059117">
                              <w:marLeft w:val="60"/>
                              <w:marRight w:val="60"/>
                              <w:marTop w:val="60"/>
                              <w:marBottom w:val="60"/>
                              <w:divBdr>
                                <w:top w:val="none" w:sz="0" w:space="0" w:color="auto"/>
                                <w:left w:val="none" w:sz="0" w:space="0" w:color="auto"/>
                                <w:bottom w:val="none" w:sz="0" w:space="0" w:color="auto"/>
                                <w:right w:val="none" w:sz="0" w:space="0" w:color="auto"/>
                              </w:divBdr>
                              <w:divsChild>
                                <w:div w:id="57678869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59533824">
                              <w:marLeft w:val="60"/>
                              <w:marRight w:val="60"/>
                              <w:marTop w:val="60"/>
                              <w:marBottom w:val="60"/>
                              <w:divBdr>
                                <w:top w:val="none" w:sz="0" w:space="0" w:color="auto"/>
                                <w:left w:val="none" w:sz="0" w:space="0" w:color="auto"/>
                                <w:bottom w:val="none" w:sz="0" w:space="0" w:color="auto"/>
                                <w:right w:val="none" w:sz="0" w:space="0" w:color="auto"/>
                              </w:divBdr>
                              <w:divsChild>
                                <w:div w:id="82798479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47365317">
                              <w:marLeft w:val="60"/>
                              <w:marRight w:val="60"/>
                              <w:marTop w:val="60"/>
                              <w:marBottom w:val="60"/>
                              <w:divBdr>
                                <w:top w:val="none" w:sz="0" w:space="0" w:color="auto"/>
                                <w:left w:val="none" w:sz="0" w:space="0" w:color="auto"/>
                                <w:bottom w:val="none" w:sz="0" w:space="0" w:color="auto"/>
                                <w:right w:val="none" w:sz="0" w:space="0" w:color="auto"/>
                              </w:divBdr>
                              <w:divsChild>
                                <w:div w:id="138445157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23137762">
                              <w:marLeft w:val="60"/>
                              <w:marRight w:val="60"/>
                              <w:marTop w:val="60"/>
                              <w:marBottom w:val="60"/>
                              <w:divBdr>
                                <w:top w:val="none" w:sz="0" w:space="0" w:color="auto"/>
                                <w:left w:val="none" w:sz="0" w:space="0" w:color="auto"/>
                                <w:bottom w:val="none" w:sz="0" w:space="0" w:color="auto"/>
                                <w:right w:val="none" w:sz="0" w:space="0" w:color="auto"/>
                              </w:divBdr>
                              <w:divsChild>
                                <w:div w:id="1048094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0280695">
                              <w:marLeft w:val="60"/>
                              <w:marRight w:val="60"/>
                              <w:marTop w:val="60"/>
                              <w:marBottom w:val="60"/>
                              <w:divBdr>
                                <w:top w:val="none" w:sz="0" w:space="0" w:color="auto"/>
                                <w:left w:val="none" w:sz="0" w:space="0" w:color="auto"/>
                                <w:bottom w:val="none" w:sz="0" w:space="0" w:color="auto"/>
                                <w:right w:val="none" w:sz="0" w:space="0" w:color="auto"/>
                              </w:divBdr>
                              <w:divsChild>
                                <w:div w:id="120632948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43225511">
                              <w:marLeft w:val="60"/>
                              <w:marRight w:val="60"/>
                              <w:marTop w:val="60"/>
                              <w:marBottom w:val="60"/>
                              <w:divBdr>
                                <w:top w:val="none" w:sz="0" w:space="0" w:color="auto"/>
                                <w:left w:val="none" w:sz="0" w:space="0" w:color="auto"/>
                                <w:bottom w:val="none" w:sz="0" w:space="0" w:color="auto"/>
                                <w:right w:val="none" w:sz="0" w:space="0" w:color="auto"/>
                              </w:divBdr>
                              <w:divsChild>
                                <w:div w:id="128099039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02649522">
                              <w:marLeft w:val="60"/>
                              <w:marRight w:val="60"/>
                              <w:marTop w:val="60"/>
                              <w:marBottom w:val="60"/>
                              <w:divBdr>
                                <w:top w:val="none" w:sz="0" w:space="0" w:color="auto"/>
                                <w:left w:val="none" w:sz="0" w:space="0" w:color="auto"/>
                                <w:bottom w:val="none" w:sz="0" w:space="0" w:color="auto"/>
                                <w:right w:val="none" w:sz="0" w:space="0" w:color="auto"/>
                              </w:divBdr>
                              <w:divsChild>
                                <w:div w:id="98107701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49293595">
                              <w:marLeft w:val="60"/>
                              <w:marRight w:val="60"/>
                              <w:marTop w:val="60"/>
                              <w:marBottom w:val="60"/>
                              <w:divBdr>
                                <w:top w:val="none" w:sz="0" w:space="0" w:color="auto"/>
                                <w:left w:val="none" w:sz="0" w:space="0" w:color="auto"/>
                                <w:bottom w:val="none" w:sz="0" w:space="0" w:color="auto"/>
                                <w:right w:val="none" w:sz="0" w:space="0" w:color="auto"/>
                              </w:divBdr>
                              <w:divsChild>
                                <w:div w:id="53859398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23504191">
                              <w:marLeft w:val="60"/>
                              <w:marRight w:val="60"/>
                              <w:marTop w:val="60"/>
                              <w:marBottom w:val="60"/>
                              <w:divBdr>
                                <w:top w:val="none" w:sz="0" w:space="0" w:color="auto"/>
                                <w:left w:val="none" w:sz="0" w:space="0" w:color="auto"/>
                                <w:bottom w:val="none" w:sz="0" w:space="0" w:color="auto"/>
                                <w:right w:val="none" w:sz="0" w:space="0" w:color="auto"/>
                              </w:divBdr>
                              <w:divsChild>
                                <w:div w:id="178738691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2137293">
                              <w:marLeft w:val="60"/>
                              <w:marRight w:val="60"/>
                              <w:marTop w:val="60"/>
                              <w:marBottom w:val="60"/>
                              <w:divBdr>
                                <w:top w:val="none" w:sz="0" w:space="0" w:color="auto"/>
                                <w:left w:val="none" w:sz="0" w:space="0" w:color="auto"/>
                                <w:bottom w:val="none" w:sz="0" w:space="0" w:color="auto"/>
                                <w:right w:val="none" w:sz="0" w:space="0" w:color="auto"/>
                              </w:divBdr>
                              <w:divsChild>
                                <w:div w:id="34016403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49664153">
                              <w:marLeft w:val="60"/>
                              <w:marRight w:val="60"/>
                              <w:marTop w:val="60"/>
                              <w:marBottom w:val="60"/>
                              <w:divBdr>
                                <w:top w:val="none" w:sz="0" w:space="0" w:color="auto"/>
                                <w:left w:val="none" w:sz="0" w:space="0" w:color="auto"/>
                                <w:bottom w:val="none" w:sz="0" w:space="0" w:color="auto"/>
                                <w:right w:val="none" w:sz="0" w:space="0" w:color="auto"/>
                              </w:divBdr>
                              <w:divsChild>
                                <w:div w:id="14281732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59860905">
                              <w:marLeft w:val="60"/>
                              <w:marRight w:val="60"/>
                              <w:marTop w:val="60"/>
                              <w:marBottom w:val="60"/>
                              <w:divBdr>
                                <w:top w:val="none" w:sz="0" w:space="0" w:color="auto"/>
                                <w:left w:val="none" w:sz="0" w:space="0" w:color="auto"/>
                                <w:bottom w:val="none" w:sz="0" w:space="0" w:color="auto"/>
                                <w:right w:val="none" w:sz="0" w:space="0" w:color="auto"/>
                              </w:divBdr>
                              <w:divsChild>
                                <w:div w:id="142175924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8188127">
                              <w:marLeft w:val="60"/>
                              <w:marRight w:val="60"/>
                              <w:marTop w:val="60"/>
                              <w:marBottom w:val="60"/>
                              <w:divBdr>
                                <w:top w:val="none" w:sz="0" w:space="0" w:color="auto"/>
                                <w:left w:val="none" w:sz="0" w:space="0" w:color="auto"/>
                                <w:bottom w:val="none" w:sz="0" w:space="0" w:color="auto"/>
                                <w:right w:val="none" w:sz="0" w:space="0" w:color="auto"/>
                              </w:divBdr>
                              <w:divsChild>
                                <w:div w:id="17562489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12068586">
                              <w:marLeft w:val="60"/>
                              <w:marRight w:val="60"/>
                              <w:marTop w:val="60"/>
                              <w:marBottom w:val="60"/>
                              <w:divBdr>
                                <w:top w:val="none" w:sz="0" w:space="0" w:color="auto"/>
                                <w:left w:val="none" w:sz="0" w:space="0" w:color="auto"/>
                                <w:bottom w:val="none" w:sz="0" w:space="0" w:color="auto"/>
                                <w:right w:val="none" w:sz="0" w:space="0" w:color="auto"/>
                              </w:divBdr>
                              <w:divsChild>
                                <w:div w:id="3982136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93152053">
                              <w:marLeft w:val="60"/>
                              <w:marRight w:val="60"/>
                              <w:marTop w:val="60"/>
                              <w:marBottom w:val="60"/>
                              <w:divBdr>
                                <w:top w:val="none" w:sz="0" w:space="0" w:color="auto"/>
                                <w:left w:val="none" w:sz="0" w:space="0" w:color="auto"/>
                                <w:bottom w:val="none" w:sz="0" w:space="0" w:color="auto"/>
                                <w:right w:val="none" w:sz="0" w:space="0" w:color="auto"/>
                              </w:divBdr>
                              <w:divsChild>
                                <w:div w:id="134729516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44228826">
                              <w:marLeft w:val="60"/>
                              <w:marRight w:val="60"/>
                              <w:marTop w:val="60"/>
                              <w:marBottom w:val="60"/>
                              <w:divBdr>
                                <w:top w:val="none" w:sz="0" w:space="0" w:color="auto"/>
                                <w:left w:val="none" w:sz="0" w:space="0" w:color="auto"/>
                                <w:bottom w:val="none" w:sz="0" w:space="0" w:color="auto"/>
                                <w:right w:val="none" w:sz="0" w:space="0" w:color="auto"/>
                              </w:divBdr>
                              <w:divsChild>
                                <w:div w:id="9501679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16162565">
                              <w:marLeft w:val="60"/>
                              <w:marRight w:val="60"/>
                              <w:marTop w:val="60"/>
                              <w:marBottom w:val="60"/>
                              <w:divBdr>
                                <w:top w:val="none" w:sz="0" w:space="0" w:color="auto"/>
                                <w:left w:val="none" w:sz="0" w:space="0" w:color="auto"/>
                                <w:bottom w:val="none" w:sz="0" w:space="0" w:color="auto"/>
                                <w:right w:val="none" w:sz="0" w:space="0" w:color="auto"/>
                              </w:divBdr>
                              <w:divsChild>
                                <w:div w:id="86575658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07316708">
                              <w:marLeft w:val="60"/>
                              <w:marRight w:val="60"/>
                              <w:marTop w:val="60"/>
                              <w:marBottom w:val="60"/>
                              <w:divBdr>
                                <w:top w:val="none" w:sz="0" w:space="0" w:color="auto"/>
                                <w:left w:val="none" w:sz="0" w:space="0" w:color="auto"/>
                                <w:bottom w:val="none" w:sz="0" w:space="0" w:color="auto"/>
                                <w:right w:val="none" w:sz="0" w:space="0" w:color="auto"/>
                              </w:divBdr>
                              <w:divsChild>
                                <w:div w:id="131761210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04596549">
                              <w:marLeft w:val="60"/>
                              <w:marRight w:val="60"/>
                              <w:marTop w:val="60"/>
                              <w:marBottom w:val="60"/>
                              <w:divBdr>
                                <w:top w:val="none" w:sz="0" w:space="0" w:color="auto"/>
                                <w:left w:val="none" w:sz="0" w:space="0" w:color="auto"/>
                                <w:bottom w:val="none" w:sz="0" w:space="0" w:color="auto"/>
                                <w:right w:val="none" w:sz="0" w:space="0" w:color="auto"/>
                              </w:divBdr>
                              <w:divsChild>
                                <w:div w:id="39008462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72790649">
                              <w:marLeft w:val="60"/>
                              <w:marRight w:val="60"/>
                              <w:marTop w:val="60"/>
                              <w:marBottom w:val="60"/>
                              <w:divBdr>
                                <w:top w:val="none" w:sz="0" w:space="0" w:color="auto"/>
                                <w:left w:val="none" w:sz="0" w:space="0" w:color="auto"/>
                                <w:bottom w:val="none" w:sz="0" w:space="0" w:color="auto"/>
                                <w:right w:val="none" w:sz="0" w:space="0" w:color="auto"/>
                              </w:divBdr>
                              <w:divsChild>
                                <w:div w:id="18313077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94377041">
                              <w:marLeft w:val="60"/>
                              <w:marRight w:val="60"/>
                              <w:marTop w:val="60"/>
                              <w:marBottom w:val="60"/>
                              <w:divBdr>
                                <w:top w:val="none" w:sz="0" w:space="0" w:color="auto"/>
                                <w:left w:val="none" w:sz="0" w:space="0" w:color="auto"/>
                                <w:bottom w:val="none" w:sz="0" w:space="0" w:color="auto"/>
                                <w:right w:val="none" w:sz="0" w:space="0" w:color="auto"/>
                              </w:divBdr>
                              <w:divsChild>
                                <w:div w:id="133440733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7602253">
                              <w:marLeft w:val="60"/>
                              <w:marRight w:val="60"/>
                              <w:marTop w:val="60"/>
                              <w:marBottom w:val="60"/>
                              <w:divBdr>
                                <w:top w:val="none" w:sz="0" w:space="0" w:color="auto"/>
                                <w:left w:val="none" w:sz="0" w:space="0" w:color="auto"/>
                                <w:bottom w:val="none" w:sz="0" w:space="0" w:color="auto"/>
                                <w:right w:val="none" w:sz="0" w:space="0" w:color="auto"/>
                              </w:divBdr>
                              <w:divsChild>
                                <w:div w:id="189210848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51562087">
                              <w:marLeft w:val="60"/>
                              <w:marRight w:val="60"/>
                              <w:marTop w:val="60"/>
                              <w:marBottom w:val="60"/>
                              <w:divBdr>
                                <w:top w:val="none" w:sz="0" w:space="0" w:color="auto"/>
                                <w:left w:val="none" w:sz="0" w:space="0" w:color="auto"/>
                                <w:bottom w:val="none" w:sz="0" w:space="0" w:color="auto"/>
                                <w:right w:val="none" w:sz="0" w:space="0" w:color="auto"/>
                              </w:divBdr>
                              <w:divsChild>
                                <w:div w:id="175231327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05925310">
                              <w:marLeft w:val="60"/>
                              <w:marRight w:val="60"/>
                              <w:marTop w:val="60"/>
                              <w:marBottom w:val="60"/>
                              <w:divBdr>
                                <w:top w:val="none" w:sz="0" w:space="0" w:color="auto"/>
                                <w:left w:val="none" w:sz="0" w:space="0" w:color="auto"/>
                                <w:bottom w:val="none" w:sz="0" w:space="0" w:color="auto"/>
                                <w:right w:val="none" w:sz="0" w:space="0" w:color="auto"/>
                              </w:divBdr>
                              <w:divsChild>
                                <w:div w:id="4667072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17051895">
                              <w:marLeft w:val="60"/>
                              <w:marRight w:val="60"/>
                              <w:marTop w:val="60"/>
                              <w:marBottom w:val="60"/>
                              <w:divBdr>
                                <w:top w:val="none" w:sz="0" w:space="0" w:color="auto"/>
                                <w:left w:val="none" w:sz="0" w:space="0" w:color="auto"/>
                                <w:bottom w:val="none" w:sz="0" w:space="0" w:color="auto"/>
                                <w:right w:val="none" w:sz="0" w:space="0" w:color="auto"/>
                              </w:divBdr>
                              <w:divsChild>
                                <w:div w:id="19956407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4259511">
                              <w:marLeft w:val="60"/>
                              <w:marRight w:val="60"/>
                              <w:marTop w:val="60"/>
                              <w:marBottom w:val="60"/>
                              <w:divBdr>
                                <w:top w:val="none" w:sz="0" w:space="0" w:color="auto"/>
                                <w:left w:val="none" w:sz="0" w:space="0" w:color="auto"/>
                                <w:bottom w:val="none" w:sz="0" w:space="0" w:color="auto"/>
                                <w:right w:val="none" w:sz="0" w:space="0" w:color="auto"/>
                              </w:divBdr>
                              <w:divsChild>
                                <w:div w:id="137835333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11806011">
                              <w:marLeft w:val="60"/>
                              <w:marRight w:val="60"/>
                              <w:marTop w:val="60"/>
                              <w:marBottom w:val="60"/>
                              <w:divBdr>
                                <w:top w:val="none" w:sz="0" w:space="0" w:color="auto"/>
                                <w:left w:val="none" w:sz="0" w:space="0" w:color="auto"/>
                                <w:bottom w:val="none" w:sz="0" w:space="0" w:color="auto"/>
                                <w:right w:val="none" w:sz="0" w:space="0" w:color="auto"/>
                              </w:divBdr>
                              <w:divsChild>
                                <w:div w:id="5515796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89426026">
                              <w:marLeft w:val="60"/>
                              <w:marRight w:val="60"/>
                              <w:marTop w:val="60"/>
                              <w:marBottom w:val="60"/>
                              <w:divBdr>
                                <w:top w:val="none" w:sz="0" w:space="0" w:color="auto"/>
                                <w:left w:val="none" w:sz="0" w:space="0" w:color="auto"/>
                                <w:bottom w:val="none" w:sz="0" w:space="0" w:color="auto"/>
                                <w:right w:val="none" w:sz="0" w:space="0" w:color="auto"/>
                              </w:divBdr>
                              <w:divsChild>
                                <w:div w:id="17210564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46746679">
                              <w:marLeft w:val="60"/>
                              <w:marRight w:val="60"/>
                              <w:marTop w:val="60"/>
                              <w:marBottom w:val="60"/>
                              <w:divBdr>
                                <w:top w:val="none" w:sz="0" w:space="0" w:color="auto"/>
                                <w:left w:val="none" w:sz="0" w:space="0" w:color="auto"/>
                                <w:bottom w:val="none" w:sz="0" w:space="0" w:color="auto"/>
                                <w:right w:val="none" w:sz="0" w:space="0" w:color="auto"/>
                              </w:divBdr>
                              <w:divsChild>
                                <w:div w:id="51997750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25944046">
                              <w:marLeft w:val="60"/>
                              <w:marRight w:val="60"/>
                              <w:marTop w:val="60"/>
                              <w:marBottom w:val="60"/>
                              <w:divBdr>
                                <w:top w:val="none" w:sz="0" w:space="0" w:color="auto"/>
                                <w:left w:val="none" w:sz="0" w:space="0" w:color="auto"/>
                                <w:bottom w:val="none" w:sz="0" w:space="0" w:color="auto"/>
                                <w:right w:val="none" w:sz="0" w:space="0" w:color="auto"/>
                              </w:divBdr>
                              <w:divsChild>
                                <w:div w:id="540242120">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27750916">
                              <w:marLeft w:val="60"/>
                              <w:marRight w:val="60"/>
                              <w:marTop w:val="60"/>
                              <w:marBottom w:val="60"/>
                              <w:divBdr>
                                <w:top w:val="none" w:sz="0" w:space="0" w:color="auto"/>
                                <w:left w:val="none" w:sz="0" w:space="0" w:color="auto"/>
                                <w:bottom w:val="none" w:sz="0" w:space="0" w:color="auto"/>
                                <w:right w:val="none" w:sz="0" w:space="0" w:color="auto"/>
                              </w:divBdr>
                              <w:divsChild>
                                <w:div w:id="1293950114">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402609759">
      <w:bodyDiv w:val="1"/>
      <w:marLeft w:val="0"/>
      <w:marRight w:val="0"/>
      <w:marTop w:val="0"/>
      <w:marBottom w:val="0"/>
      <w:divBdr>
        <w:top w:val="none" w:sz="0" w:space="0" w:color="auto"/>
        <w:left w:val="none" w:sz="0" w:space="0" w:color="auto"/>
        <w:bottom w:val="none" w:sz="0" w:space="0" w:color="auto"/>
        <w:right w:val="none" w:sz="0" w:space="0" w:color="auto"/>
      </w:divBdr>
    </w:div>
    <w:div w:id="417025873">
      <w:bodyDiv w:val="1"/>
      <w:marLeft w:val="0"/>
      <w:marRight w:val="0"/>
      <w:marTop w:val="0"/>
      <w:marBottom w:val="0"/>
      <w:divBdr>
        <w:top w:val="none" w:sz="0" w:space="0" w:color="auto"/>
        <w:left w:val="none" w:sz="0" w:space="0" w:color="auto"/>
        <w:bottom w:val="none" w:sz="0" w:space="0" w:color="auto"/>
        <w:right w:val="none" w:sz="0" w:space="0" w:color="auto"/>
      </w:divBdr>
    </w:div>
    <w:div w:id="503979424">
      <w:bodyDiv w:val="1"/>
      <w:marLeft w:val="0"/>
      <w:marRight w:val="0"/>
      <w:marTop w:val="0"/>
      <w:marBottom w:val="0"/>
      <w:divBdr>
        <w:top w:val="none" w:sz="0" w:space="0" w:color="auto"/>
        <w:left w:val="none" w:sz="0" w:space="0" w:color="auto"/>
        <w:bottom w:val="none" w:sz="0" w:space="0" w:color="auto"/>
        <w:right w:val="none" w:sz="0" w:space="0" w:color="auto"/>
      </w:divBdr>
    </w:div>
    <w:div w:id="513106903">
      <w:bodyDiv w:val="1"/>
      <w:marLeft w:val="0"/>
      <w:marRight w:val="0"/>
      <w:marTop w:val="0"/>
      <w:marBottom w:val="0"/>
      <w:divBdr>
        <w:top w:val="none" w:sz="0" w:space="0" w:color="auto"/>
        <w:left w:val="none" w:sz="0" w:space="0" w:color="auto"/>
        <w:bottom w:val="none" w:sz="0" w:space="0" w:color="auto"/>
        <w:right w:val="none" w:sz="0" w:space="0" w:color="auto"/>
      </w:divBdr>
      <w:divsChild>
        <w:div w:id="2144541799">
          <w:marLeft w:val="0"/>
          <w:marRight w:val="0"/>
          <w:marTop w:val="0"/>
          <w:marBottom w:val="0"/>
          <w:divBdr>
            <w:top w:val="single" w:sz="6" w:space="0" w:color="DFE1E5"/>
            <w:left w:val="single" w:sz="6" w:space="0" w:color="DFE1E5"/>
            <w:bottom w:val="single" w:sz="6" w:space="0" w:color="DFE1E5"/>
            <w:right w:val="single" w:sz="6" w:space="0" w:color="DFE1E5"/>
          </w:divBdr>
          <w:divsChild>
            <w:div w:id="1679117647">
              <w:marLeft w:val="0"/>
              <w:marRight w:val="0"/>
              <w:marTop w:val="0"/>
              <w:marBottom w:val="0"/>
              <w:divBdr>
                <w:top w:val="none" w:sz="0" w:space="0" w:color="auto"/>
                <w:left w:val="none" w:sz="0" w:space="0" w:color="auto"/>
                <w:bottom w:val="none" w:sz="0" w:space="0" w:color="auto"/>
                <w:right w:val="none" w:sz="0" w:space="0" w:color="auto"/>
              </w:divBdr>
              <w:divsChild>
                <w:div w:id="1632636955">
                  <w:marLeft w:val="180"/>
                  <w:marRight w:val="180"/>
                  <w:marTop w:val="0"/>
                  <w:marBottom w:val="0"/>
                  <w:divBdr>
                    <w:top w:val="none" w:sz="0" w:space="0" w:color="auto"/>
                    <w:left w:val="none" w:sz="0" w:space="0" w:color="auto"/>
                    <w:bottom w:val="none" w:sz="0" w:space="0" w:color="auto"/>
                    <w:right w:val="none" w:sz="0" w:space="0" w:color="auto"/>
                  </w:divBdr>
                  <w:divsChild>
                    <w:div w:id="19822374">
                      <w:marLeft w:val="0"/>
                      <w:marRight w:val="0"/>
                      <w:marTop w:val="0"/>
                      <w:marBottom w:val="0"/>
                      <w:divBdr>
                        <w:top w:val="none" w:sz="0" w:space="0" w:color="auto"/>
                        <w:left w:val="none" w:sz="0" w:space="0" w:color="auto"/>
                        <w:bottom w:val="none" w:sz="0" w:space="0" w:color="auto"/>
                        <w:right w:val="none" w:sz="0" w:space="0" w:color="auto"/>
                      </w:divBdr>
                      <w:divsChild>
                        <w:div w:id="364797408">
                          <w:marLeft w:val="0"/>
                          <w:marRight w:val="0"/>
                          <w:marTop w:val="100"/>
                          <w:marBottom w:val="100"/>
                          <w:divBdr>
                            <w:top w:val="single" w:sz="6" w:space="8" w:color="4D90FE"/>
                            <w:left w:val="single" w:sz="6" w:space="8" w:color="4D90FE"/>
                            <w:bottom w:val="single" w:sz="6" w:space="0" w:color="4D90FE"/>
                            <w:right w:val="single" w:sz="6" w:space="11" w:color="4D90FE"/>
                          </w:divBdr>
                          <w:divsChild>
                            <w:div w:id="2111007141">
                              <w:marLeft w:val="0"/>
                              <w:marRight w:val="0"/>
                              <w:marTop w:val="0"/>
                              <w:marBottom w:val="0"/>
                              <w:divBdr>
                                <w:top w:val="none" w:sz="0" w:space="0" w:color="auto"/>
                                <w:left w:val="none" w:sz="0" w:space="0" w:color="auto"/>
                                <w:bottom w:val="none" w:sz="0" w:space="0" w:color="auto"/>
                                <w:right w:val="none" w:sz="0" w:space="0" w:color="auto"/>
                              </w:divBdr>
                              <w:divsChild>
                                <w:div w:id="769590849">
                                  <w:marLeft w:val="0"/>
                                  <w:marRight w:val="0"/>
                                  <w:marTop w:val="0"/>
                                  <w:marBottom w:val="0"/>
                                  <w:divBdr>
                                    <w:top w:val="none" w:sz="0" w:space="0" w:color="auto"/>
                                    <w:left w:val="none" w:sz="0" w:space="0" w:color="auto"/>
                                    <w:bottom w:val="none" w:sz="0" w:space="0" w:color="auto"/>
                                    <w:right w:val="none" w:sz="0" w:space="0" w:color="auto"/>
                                  </w:divBdr>
                                  <w:divsChild>
                                    <w:div w:id="8751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79674">
                      <w:marLeft w:val="0"/>
                      <w:marRight w:val="0"/>
                      <w:marTop w:val="0"/>
                      <w:marBottom w:val="0"/>
                      <w:divBdr>
                        <w:top w:val="none" w:sz="0" w:space="0" w:color="auto"/>
                        <w:left w:val="none" w:sz="0" w:space="0" w:color="auto"/>
                        <w:bottom w:val="none" w:sz="0" w:space="0" w:color="auto"/>
                        <w:right w:val="none" w:sz="0" w:space="0" w:color="auto"/>
                      </w:divBdr>
                    </w:div>
                    <w:div w:id="10959385">
                      <w:marLeft w:val="0"/>
                      <w:marRight w:val="0"/>
                      <w:marTop w:val="120"/>
                      <w:marBottom w:val="0"/>
                      <w:divBdr>
                        <w:top w:val="none" w:sz="0" w:space="0" w:color="auto"/>
                        <w:left w:val="none" w:sz="0" w:space="0" w:color="auto"/>
                        <w:bottom w:val="none" w:sz="0" w:space="0" w:color="auto"/>
                        <w:right w:val="none" w:sz="0" w:space="0" w:color="auto"/>
                      </w:divBdr>
                      <w:divsChild>
                        <w:div w:id="471870740">
                          <w:marLeft w:val="0"/>
                          <w:marRight w:val="0"/>
                          <w:marTop w:val="0"/>
                          <w:marBottom w:val="0"/>
                          <w:divBdr>
                            <w:top w:val="none" w:sz="0" w:space="0" w:color="auto"/>
                            <w:left w:val="none" w:sz="0" w:space="0" w:color="auto"/>
                            <w:bottom w:val="none" w:sz="0" w:space="0" w:color="auto"/>
                            <w:right w:val="none" w:sz="0" w:space="0" w:color="auto"/>
                          </w:divBdr>
                          <w:divsChild>
                            <w:div w:id="932207445">
                              <w:marLeft w:val="60"/>
                              <w:marRight w:val="60"/>
                              <w:marTop w:val="60"/>
                              <w:marBottom w:val="60"/>
                              <w:divBdr>
                                <w:top w:val="none" w:sz="0" w:space="0" w:color="auto"/>
                                <w:left w:val="none" w:sz="0" w:space="0" w:color="auto"/>
                                <w:bottom w:val="none" w:sz="0" w:space="0" w:color="auto"/>
                                <w:right w:val="none" w:sz="0" w:space="0" w:color="auto"/>
                              </w:divBdr>
                              <w:divsChild>
                                <w:div w:id="1813673340">
                                  <w:marLeft w:val="0"/>
                                  <w:marRight w:val="0"/>
                                  <w:marTop w:val="0"/>
                                  <w:marBottom w:val="0"/>
                                  <w:divBdr>
                                    <w:top w:val="single" w:sz="6" w:space="0" w:color="DFE1E5"/>
                                    <w:left w:val="single" w:sz="6" w:space="0" w:color="DFE1E5"/>
                                    <w:bottom w:val="single" w:sz="6" w:space="0" w:color="DFE1E5"/>
                                    <w:right w:val="single" w:sz="6" w:space="0" w:color="DFE1E5"/>
                                  </w:divBdr>
                                  <w:divsChild>
                                    <w:div w:id="54858111">
                                      <w:marLeft w:val="0"/>
                                      <w:marRight w:val="0"/>
                                      <w:marTop w:val="0"/>
                                      <w:marBottom w:val="0"/>
                                      <w:divBdr>
                                        <w:top w:val="none" w:sz="0" w:space="0" w:color="auto"/>
                                        <w:left w:val="none" w:sz="0" w:space="0" w:color="auto"/>
                                        <w:bottom w:val="none" w:sz="0" w:space="0" w:color="auto"/>
                                        <w:right w:val="none" w:sz="0" w:space="0" w:color="auto"/>
                                      </w:divBdr>
                                    </w:div>
                                    <w:div w:id="10934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6858">
                              <w:marLeft w:val="60"/>
                              <w:marRight w:val="60"/>
                              <w:marTop w:val="60"/>
                              <w:marBottom w:val="60"/>
                              <w:divBdr>
                                <w:top w:val="none" w:sz="0" w:space="0" w:color="auto"/>
                                <w:left w:val="none" w:sz="0" w:space="0" w:color="auto"/>
                                <w:bottom w:val="none" w:sz="0" w:space="0" w:color="auto"/>
                                <w:right w:val="none" w:sz="0" w:space="0" w:color="auto"/>
                              </w:divBdr>
                              <w:divsChild>
                                <w:div w:id="16546017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00171611">
                              <w:marLeft w:val="60"/>
                              <w:marRight w:val="60"/>
                              <w:marTop w:val="60"/>
                              <w:marBottom w:val="60"/>
                              <w:divBdr>
                                <w:top w:val="none" w:sz="0" w:space="0" w:color="auto"/>
                                <w:left w:val="none" w:sz="0" w:space="0" w:color="auto"/>
                                <w:bottom w:val="none" w:sz="0" w:space="0" w:color="auto"/>
                                <w:right w:val="none" w:sz="0" w:space="0" w:color="auto"/>
                              </w:divBdr>
                              <w:divsChild>
                                <w:div w:id="125897745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8751120">
                              <w:marLeft w:val="60"/>
                              <w:marRight w:val="60"/>
                              <w:marTop w:val="60"/>
                              <w:marBottom w:val="60"/>
                              <w:divBdr>
                                <w:top w:val="none" w:sz="0" w:space="0" w:color="auto"/>
                                <w:left w:val="none" w:sz="0" w:space="0" w:color="auto"/>
                                <w:bottom w:val="none" w:sz="0" w:space="0" w:color="auto"/>
                                <w:right w:val="none" w:sz="0" w:space="0" w:color="auto"/>
                              </w:divBdr>
                              <w:divsChild>
                                <w:div w:id="39054528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32500190">
                              <w:marLeft w:val="60"/>
                              <w:marRight w:val="60"/>
                              <w:marTop w:val="60"/>
                              <w:marBottom w:val="60"/>
                              <w:divBdr>
                                <w:top w:val="none" w:sz="0" w:space="0" w:color="auto"/>
                                <w:left w:val="none" w:sz="0" w:space="0" w:color="auto"/>
                                <w:bottom w:val="none" w:sz="0" w:space="0" w:color="auto"/>
                                <w:right w:val="none" w:sz="0" w:space="0" w:color="auto"/>
                              </w:divBdr>
                              <w:divsChild>
                                <w:div w:id="4025011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16081091">
                              <w:marLeft w:val="60"/>
                              <w:marRight w:val="60"/>
                              <w:marTop w:val="60"/>
                              <w:marBottom w:val="60"/>
                              <w:divBdr>
                                <w:top w:val="none" w:sz="0" w:space="0" w:color="auto"/>
                                <w:left w:val="none" w:sz="0" w:space="0" w:color="auto"/>
                                <w:bottom w:val="none" w:sz="0" w:space="0" w:color="auto"/>
                                <w:right w:val="none" w:sz="0" w:space="0" w:color="auto"/>
                              </w:divBdr>
                              <w:divsChild>
                                <w:div w:id="75636925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16985947">
                              <w:marLeft w:val="60"/>
                              <w:marRight w:val="60"/>
                              <w:marTop w:val="60"/>
                              <w:marBottom w:val="60"/>
                              <w:divBdr>
                                <w:top w:val="none" w:sz="0" w:space="0" w:color="auto"/>
                                <w:left w:val="none" w:sz="0" w:space="0" w:color="auto"/>
                                <w:bottom w:val="none" w:sz="0" w:space="0" w:color="auto"/>
                                <w:right w:val="none" w:sz="0" w:space="0" w:color="auto"/>
                              </w:divBdr>
                              <w:divsChild>
                                <w:div w:id="98535488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61995515">
                              <w:marLeft w:val="60"/>
                              <w:marRight w:val="60"/>
                              <w:marTop w:val="60"/>
                              <w:marBottom w:val="60"/>
                              <w:divBdr>
                                <w:top w:val="none" w:sz="0" w:space="0" w:color="auto"/>
                                <w:left w:val="none" w:sz="0" w:space="0" w:color="auto"/>
                                <w:bottom w:val="none" w:sz="0" w:space="0" w:color="auto"/>
                                <w:right w:val="none" w:sz="0" w:space="0" w:color="auto"/>
                              </w:divBdr>
                              <w:divsChild>
                                <w:div w:id="150019473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06732206">
                              <w:marLeft w:val="60"/>
                              <w:marRight w:val="60"/>
                              <w:marTop w:val="60"/>
                              <w:marBottom w:val="60"/>
                              <w:divBdr>
                                <w:top w:val="none" w:sz="0" w:space="0" w:color="auto"/>
                                <w:left w:val="none" w:sz="0" w:space="0" w:color="auto"/>
                                <w:bottom w:val="none" w:sz="0" w:space="0" w:color="auto"/>
                                <w:right w:val="none" w:sz="0" w:space="0" w:color="auto"/>
                              </w:divBdr>
                              <w:divsChild>
                                <w:div w:id="41486705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30194872">
                              <w:marLeft w:val="60"/>
                              <w:marRight w:val="60"/>
                              <w:marTop w:val="60"/>
                              <w:marBottom w:val="60"/>
                              <w:divBdr>
                                <w:top w:val="none" w:sz="0" w:space="0" w:color="auto"/>
                                <w:left w:val="none" w:sz="0" w:space="0" w:color="auto"/>
                                <w:bottom w:val="none" w:sz="0" w:space="0" w:color="auto"/>
                                <w:right w:val="none" w:sz="0" w:space="0" w:color="auto"/>
                              </w:divBdr>
                              <w:divsChild>
                                <w:div w:id="171063982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84501872">
                              <w:marLeft w:val="60"/>
                              <w:marRight w:val="60"/>
                              <w:marTop w:val="60"/>
                              <w:marBottom w:val="60"/>
                              <w:divBdr>
                                <w:top w:val="none" w:sz="0" w:space="0" w:color="auto"/>
                                <w:left w:val="none" w:sz="0" w:space="0" w:color="auto"/>
                                <w:bottom w:val="none" w:sz="0" w:space="0" w:color="auto"/>
                                <w:right w:val="none" w:sz="0" w:space="0" w:color="auto"/>
                              </w:divBdr>
                              <w:divsChild>
                                <w:div w:id="139011206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59869073">
                              <w:marLeft w:val="60"/>
                              <w:marRight w:val="60"/>
                              <w:marTop w:val="60"/>
                              <w:marBottom w:val="60"/>
                              <w:divBdr>
                                <w:top w:val="none" w:sz="0" w:space="0" w:color="auto"/>
                                <w:left w:val="none" w:sz="0" w:space="0" w:color="auto"/>
                                <w:bottom w:val="none" w:sz="0" w:space="0" w:color="auto"/>
                                <w:right w:val="none" w:sz="0" w:space="0" w:color="auto"/>
                              </w:divBdr>
                              <w:divsChild>
                                <w:div w:id="30324231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38349869">
                              <w:marLeft w:val="60"/>
                              <w:marRight w:val="60"/>
                              <w:marTop w:val="60"/>
                              <w:marBottom w:val="60"/>
                              <w:divBdr>
                                <w:top w:val="none" w:sz="0" w:space="0" w:color="auto"/>
                                <w:left w:val="none" w:sz="0" w:space="0" w:color="auto"/>
                                <w:bottom w:val="none" w:sz="0" w:space="0" w:color="auto"/>
                                <w:right w:val="none" w:sz="0" w:space="0" w:color="auto"/>
                              </w:divBdr>
                              <w:divsChild>
                                <w:div w:id="190941566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73814824">
                              <w:marLeft w:val="60"/>
                              <w:marRight w:val="60"/>
                              <w:marTop w:val="60"/>
                              <w:marBottom w:val="60"/>
                              <w:divBdr>
                                <w:top w:val="none" w:sz="0" w:space="0" w:color="auto"/>
                                <w:left w:val="none" w:sz="0" w:space="0" w:color="auto"/>
                                <w:bottom w:val="none" w:sz="0" w:space="0" w:color="auto"/>
                                <w:right w:val="none" w:sz="0" w:space="0" w:color="auto"/>
                              </w:divBdr>
                              <w:divsChild>
                                <w:div w:id="205207574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47273451">
                              <w:marLeft w:val="60"/>
                              <w:marRight w:val="60"/>
                              <w:marTop w:val="60"/>
                              <w:marBottom w:val="60"/>
                              <w:divBdr>
                                <w:top w:val="none" w:sz="0" w:space="0" w:color="auto"/>
                                <w:left w:val="none" w:sz="0" w:space="0" w:color="auto"/>
                                <w:bottom w:val="none" w:sz="0" w:space="0" w:color="auto"/>
                                <w:right w:val="none" w:sz="0" w:space="0" w:color="auto"/>
                              </w:divBdr>
                              <w:divsChild>
                                <w:div w:id="159770895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5740156">
                              <w:marLeft w:val="60"/>
                              <w:marRight w:val="60"/>
                              <w:marTop w:val="60"/>
                              <w:marBottom w:val="60"/>
                              <w:divBdr>
                                <w:top w:val="none" w:sz="0" w:space="0" w:color="auto"/>
                                <w:left w:val="none" w:sz="0" w:space="0" w:color="auto"/>
                                <w:bottom w:val="none" w:sz="0" w:space="0" w:color="auto"/>
                                <w:right w:val="none" w:sz="0" w:space="0" w:color="auto"/>
                              </w:divBdr>
                              <w:divsChild>
                                <w:div w:id="84621479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42709564">
                              <w:marLeft w:val="60"/>
                              <w:marRight w:val="60"/>
                              <w:marTop w:val="60"/>
                              <w:marBottom w:val="60"/>
                              <w:divBdr>
                                <w:top w:val="none" w:sz="0" w:space="0" w:color="auto"/>
                                <w:left w:val="none" w:sz="0" w:space="0" w:color="auto"/>
                                <w:bottom w:val="none" w:sz="0" w:space="0" w:color="auto"/>
                                <w:right w:val="none" w:sz="0" w:space="0" w:color="auto"/>
                              </w:divBdr>
                              <w:divsChild>
                                <w:div w:id="12119500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7874014">
                              <w:marLeft w:val="60"/>
                              <w:marRight w:val="60"/>
                              <w:marTop w:val="60"/>
                              <w:marBottom w:val="60"/>
                              <w:divBdr>
                                <w:top w:val="none" w:sz="0" w:space="0" w:color="auto"/>
                                <w:left w:val="none" w:sz="0" w:space="0" w:color="auto"/>
                                <w:bottom w:val="none" w:sz="0" w:space="0" w:color="auto"/>
                                <w:right w:val="none" w:sz="0" w:space="0" w:color="auto"/>
                              </w:divBdr>
                              <w:divsChild>
                                <w:div w:id="88062898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9232332">
                              <w:marLeft w:val="60"/>
                              <w:marRight w:val="60"/>
                              <w:marTop w:val="60"/>
                              <w:marBottom w:val="60"/>
                              <w:divBdr>
                                <w:top w:val="none" w:sz="0" w:space="0" w:color="auto"/>
                                <w:left w:val="none" w:sz="0" w:space="0" w:color="auto"/>
                                <w:bottom w:val="none" w:sz="0" w:space="0" w:color="auto"/>
                                <w:right w:val="none" w:sz="0" w:space="0" w:color="auto"/>
                              </w:divBdr>
                              <w:divsChild>
                                <w:div w:id="152397760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57707749">
                              <w:marLeft w:val="60"/>
                              <w:marRight w:val="60"/>
                              <w:marTop w:val="60"/>
                              <w:marBottom w:val="60"/>
                              <w:divBdr>
                                <w:top w:val="none" w:sz="0" w:space="0" w:color="auto"/>
                                <w:left w:val="none" w:sz="0" w:space="0" w:color="auto"/>
                                <w:bottom w:val="none" w:sz="0" w:space="0" w:color="auto"/>
                                <w:right w:val="none" w:sz="0" w:space="0" w:color="auto"/>
                              </w:divBdr>
                              <w:divsChild>
                                <w:div w:id="138918432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8348506">
                              <w:marLeft w:val="60"/>
                              <w:marRight w:val="60"/>
                              <w:marTop w:val="60"/>
                              <w:marBottom w:val="60"/>
                              <w:divBdr>
                                <w:top w:val="none" w:sz="0" w:space="0" w:color="auto"/>
                                <w:left w:val="none" w:sz="0" w:space="0" w:color="auto"/>
                                <w:bottom w:val="none" w:sz="0" w:space="0" w:color="auto"/>
                                <w:right w:val="none" w:sz="0" w:space="0" w:color="auto"/>
                              </w:divBdr>
                              <w:divsChild>
                                <w:div w:id="177342815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02261043">
                              <w:marLeft w:val="60"/>
                              <w:marRight w:val="60"/>
                              <w:marTop w:val="60"/>
                              <w:marBottom w:val="60"/>
                              <w:divBdr>
                                <w:top w:val="none" w:sz="0" w:space="0" w:color="auto"/>
                                <w:left w:val="none" w:sz="0" w:space="0" w:color="auto"/>
                                <w:bottom w:val="none" w:sz="0" w:space="0" w:color="auto"/>
                                <w:right w:val="none" w:sz="0" w:space="0" w:color="auto"/>
                              </w:divBdr>
                              <w:divsChild>
                                <w:div w:id="14738702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95506773">
                              <w:marLeft w:val="60"/>
                              <w:marRight w:val="60"/>
                              <w:marTop w:val="60"/>
                              <w:marBottom w:val="60"/>
                              <w:divBdr>
                                <w:top w:val="none" w:sz="0" w:space="0" w:color="auto"/>
                                <w:left w:val="none" w:sz="0" w:space="0" w:color="auto"/>
                                <w:bottom w:val="none" w:sz="0" w:space="0" w:color="auto"/>
                                <w:right w:val="none" w:sz="0" w:space="0" w:color="auto"/>
                              </w:divBdr>
                              <w:divsChild>
                                <w:div w:id="69450298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51955625">
                              <w:marLeft w:val="60"/>
                              <w:marRight w:val="60"/>
                              <w:marTop w:val="60"/>
                              <w:marBottom w:val="60"/>
                              <w:divBdr>
                                <w:top w:val="none" w:sz="0" w:space="0" w:color="auto"/>
                                <w:left w:val="none" w:sz="0" w:space="0" w:color="auto"/>
                                <w:bottom w:val="none" w:sz="0" w:space="0" w:color="auto"/>
                                <w:right w:val="none" w:sz="0" w:space="0" w:color="auto"/>
                              </w:divBdr>
                              <w:divsChild>
                                <w:div w:id="19536337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35234062">
                              <w:marLeft w:val="60"/>
                              <w:marRight w:val="60"/>
                              <w:marTop w:val="60"/>
                              <w:marBottom w:val="60"/>
                              <w:divBdr>
                                <w:top w:val="none" w:sz="0" w:space="0" w:color="auto"/>
                                <w:left w:val="none" w:sz="0" w:space="0" w:color="auto"/>
                                <w:bottom w:val="none" w:sz="0" w:space="0" w:color="auto"/>
                                <w:right w:val="none" w:sz="0" w:space="0" w:color="auto"/>
                              </w:divBdr>
                              <w:divsChild>
                                <w:div w:id="150825448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45252473">
                              <w:marLeft w:val="60"/>
                              <w:marRight w:val="60"/>
                              <w:marTop w:val="60"/>
                              <w:marBottom w:val="60"/>
                              <w:divBdr>
                                <w:top w:val="none" w:sz="0" w:space="0" w:color="auto"/>
                                <w:left w:val="none" w:sz="0" w:space="0" w:color="auto"/>
                                <w:bottom w:val="none" w:sz="0" w:space="0" w:color="auto"/>
                                <w:right w:val="none" w:sz="0" w:space="0" w:color="auto"/>
                              </w:divBdr>
                              <w:divsChild>
                                <w:div w:id="166357969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64666237">
                              <w:marLeft w:val="60"/>
                              <w:marRight w:val="60"/>
                              <w:marTop w:val="60"/>
                              <w:marBottom w:val="60"/>
                              <w:divBdr>
                                <w:top w:val="none" w:sz="0" w:space="0" w:color="auto"/>
                                <w:left w:val="none" w:sz="0" w:space="0" w:color="auto"/>
                                <w:bottom w:val="none" w:sz="0" w:space="0" w:color="auto"/>
                                <w:right w:val="none" w:sz="0" w:space="0" w:color="auto"/>
                              </w:divBdr>
                              <w:divsChild>
                                <w:div w:id="56106155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939876867">
                              <w:marLeft w:val="60"/>
                              <w:marRight w:val="60"/>
                              <w:marTop w:val="60"/>
                              <w:marBottom w:val="60"/>
                              <w:divBdr>
                                <w:top w:val="none" w:sz="0" w:space="0" w:color="auto"/>
                                <w:left w:val="none" w:sz="0" w:space="0" w:color="auto"/>
                                <w:bottom w:val="none" w:sz="0" w:space="0" w:color="auto"/>
                                <w:right w:val="none" w:sz="0" w:space="0" w:color="auto"/>
                              </w:divBdr>
                              <w:divsChild>
                                <w:div w:id="128726990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98793167">
                              <w:marLeft w:val="60"/>
                              <w:marRight w:val="60"/>
                              <w:marTop w:val="60"/>
                              <w:marBottom w:val="60"/>
                              <w:divBdr>
                                <w:top w:val="none" w:sz="0" w:space="0" w:color="auto"/>
                                <w:left w:val="none" w:sz="0" w:space="0" w:color="auto"/>
                                <w:bottom w:val="none" w:sz="0" w:space="0" w:color="auto"/>
                                <w:right w:val="none" w:sz="0" w:space="0" w:color="auto"/>
                              </w:divBdr>
                              <w:divsChild>
                                <w:div w:id="95185980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09046286">
                              <w:marLeft w:val="60"/>
                              <w:marRight w:val="60"/>
                              <w:marTop w:val="60"/>
                              <w:marBottom w:val="60"/>
                              <w:divBdr>
                                <w:top w:val="none" w:sz="0" w:space="0" w:color="auto"/>
                                <w:left w:val="none" w:sz="0" w:space="0" w:color="auto"/>
                                <w:bottom w:val="none" w:sz="0" w:space="0" w:color="auto"/>
                                <w:right w:val="none" w:sz="0" w:space="0" w:color="auto"/>
                              </w:divBdr>
                              <w:divsChild>
                                <w:div w:id="15422474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18482843">
                              <w:marLeft w:val="60"/>
                              <w:marRight w:val="60"/>
                              <w:marTop w:val="60"/>
                              <w:marBottom w:val="60"/>
                              <w:divBdr>
                                <w:top w:val="none" w:sz="0" w:space="0" w:color="auto"/>
                                <w:left w:val="none" w:sz="0" w:space="0" w:color="auto"/>
                                <w:bottom w:val="none" w:sz="0" w:space="0" w:color="auto"/>
                                <w:right w:val="none" w:sz="0" w:space="0" w:color="auto"/>
                              </w:divBdr>
                              <w:divsChild>
                                <w:div w:id="150000411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44609306">
                              <w:marLeft w:val="60"/>
                              <w:marRight w:val="60"/>
                              <w:marTop w:val="60"/>
                              <w:marBottom w:val="60"/>
                              <w:divBdr>
                                <w:top w:val="none" w:sz="0" w:space="0" w:color="auto"/>
                                <w:left w:val="none" w:sz="0" w:space="0" w:color="auto"/>
                                <w:bottom w:val="none" w:sz="0" w:space="0" w:color="auto"/>
                                <w:right w:val="none" w:sz="0" w:space="0" w:color="auto"/>
                              </w:divBdr>
                              <w:divsChild>
                                <w:div w:id="12793372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43661248">
                              <w:marLeft w:val="60"/>
                              <w:marRight w:val="60"/>
                              <w:marTop w:val="60"/>
                              <w:marBottom w:val="60"/>
                              <w:divBdr>
                                <w:top w:val="none" w:sz="0" w:space="0" w:color="auto"/>
                                <w:left w:val="none" w:sz="0" w:space="0" w:color="auto"/>
                                <w:bottom w:val="none" w:sz="0" w:space="0" w:color="auto"/>
                                <w:right w:val="none" w:sz="0" w:space="0" w:color="auto"/>
                              </w:divBdr>
                              <w:divsChild>
                                <w:div w:id="396562392">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390274363">
                              <w:marLeft w:val="60"/>
                              <w:marRight w:val="60"/>
                              <w:marTop w:val="60"/>
                              <w:marBottom w:val="60"/>
                              <w:divBdr>
                                <w:top w:val="none" w:sz="0" w:space="0" w:color="auto"/>
                                <w:left w:val="none" w:sz="0" w:space="0" w:color="auto"/>
                                <w:bottom w:val="none" w:sz="0" w:space="0" w:color="auto"/>
                                <w:right w:val="none" w:sz="0" w:space="0" w:color="auto"/>
                              </w:divBdr>
                              <w:divsChild>
                                <w:div w:id="383024938">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815296898">
      <w:bodyDiv w:val="1"/>
      <w:marLeft w:val="0"/>
      <w:marRight w:val="0"/>
      <w:marTop w:val="0"/>
      <w:marBottom w:val="0"/>
      <w:divBdr>
        <w:top w:val="none" w:sz="0" w:space="0" w:color="auto"/>
        <w:left w:val="none" w:sz="0" w:space="0" w:color="auto"/>
        <w:bottom w:val="none" w:sz="0" w:space="0" w:color="auto"/>
        <w:right w:val="none" w:sz="0" w:space="0" w:color="auto"/>
      </w:divBdr>
    </w:div>
    <w:div w:id="980958938">
      <w:bodyDiv w:val="1"/>
      <w:marLeft w:val="0"/>
      <w:marRight w:val="0"/>
      <w:marTop w:val="0"/>
      <w:marBottom w:val="0"/>
      <w:divBdr>
        <w:top w:val="none" w:sz="0" w:space="0" w:color="auto"/>
        <w:left w:val="none" w:sz="0" w:space="0" w:color="auto"/>
        <w:bottom w:val="none" w:sz="0" w:space="0" w:color="auto"/>
        <w:right w:val="none" w:sz="0" w:space="0" w:color="auto"/>
      </w:divBdr>
    </w:div>
    <w:div w:id="1496646873">
      <w:bodyDiv w:val="1"/>
      <w:marLeft w:val="0"/>
      <w:marRight w:val="0"/>
      <w:marTop w:val="0"/>
      <w:marBottom w:val="0"/>
      <w:divBdr>
        <w:top w:val="none" w:sz="0" w:space="0" w:color="auto"/>
        <w:left w:val="none" w:sz="0" w:space="0" w:color="auto"/>
        <w:bottom w:val="none" w:sz="0" w:space="0" w:color="auto"/>
        <w:right w:val="none" w:sz="0" w:space="0" w:color="auto"/>
      </w:divBdr>
    </w:div>
    <w:div w:id="1892303012">
      <w:bodyDiv w:val="1"/>
      <w:marLeft w:val="0"/>
      <w:marRight w:val="0"/>
      <w:marTop w:val="0"/>
      <w:marBottom w:val="0"/>
      <w:divBdr>
        <w:top w:val="none" w:sz="0" w:space="0" w:color="auto"/>
        <w:left w:val="none" w:sz="0" w:space="0" w:color="auto"/>
        <w:bottom w:val="none" w:sz="0" w:space="0" w:color="auto"/>
        <w:right w:val="none" w:sz="0" w:space="0" w:color="auto"/>
      </w:divBdr>
    </w:div>
    <w:div w:id="2112316884">
      <w:bodyDiv w:val="1"/>
      <w:marLeft w:val="0"/>
      <w:marRight w:val="0"/>
      <w:marTop w:val="0"/>
      <w:marBottom w:val="0"/>
      <w:divBdr>
        <w:top w:val="none" w:sz="0" w:space="0" w:color="auto"/>
        <w:left w:val="none" w:sz="0" w:space="0" w:color="auto"/>
        <w:bottom w:val="none" w:sz="0" w:space="0" w:color="auto"/>
        <w:right w:val="none" w:sz="0" w:space="0" w:color="auto"/>
      </w:divBdr>
      <w:divsChild>
        <w:div w:id="1442845824">
          <w:marLeft w:val="0"/>
          <w:marRight w:val="0"/>
          <w:marTop w:val="0"/>
          <w:marBottom w:val="0"/>
          <w:divBdr>
            <w:top w:val="single" w:sz="6" w:space="0" w:color="DFE1E5"/>
            <w:left w:val="single" w:sz="6" w:space="0" w:color="DFE1E5"/>
            <w:bottom w:val="single" w:sz="6" w:space="0" w:color="DFE1E5"/>
            <w:right w:val="single" w:sz="6" w:space="0" w:color="DFE1E5"/>
          </w:divBdr>
          <w:divsChild>
            <w:div w:id="2000763413">
              <w:marLeft w:val="0"/>
              <w:marRight w:val="0"/>
              <w:marTop w:val="0"/>
              <w:marBottom w:val="0"/>
              <w:divBdr>
                <w:top w:val="none" w:sz="0" w:space="0" w:color="auto"/>
                <w:left w:val="none" w:sz="0" w:space="0" w:color="auto"/>
                <w:bottom w:val="none" w:sz="0" w:space="0" w:color="auto"/>
                <w:right w:val="none" w:sz="0" w:space="0" w:color="auto"/>
              </w:divBdr>
              <w:divsChild>
                <w:div w:id="983124273">
                  <w:marLeft w:val="180"/>
                  <w:marRight w:val="180"/>
                  <w:marTop w:val="0"/>
                  <w:marBottom w:val="0"/>
                  <w:divBdr>
                    <w:top w:val="none" w:sz="0" w:space="0" w:color="auto"/>
                    <w:left w:val="none" w:sz="0" w:space="0" w:color="auto"/>
                    <w:bottom w:val="none" w:sz="0" w:space="0" w:color="auto"/>
                    <w:right w:val="none" w:sz="0" w:space="0" w:color="auto"/>
                  </w:divBdr>
                  <w:divsChild>
                    <w:div w:id="571086405">
                      <w:marLeft w:val="0"/>
                      <w:marRight w:val="0"/>
                      <w:marTop w:val="0"/>
                      <w:marBottom w:val="0"/>
                      <w:divBdr>
                        <w:top w:val="none" w:sz="0" w:space="0" w:color="auto"/>
                        <w:left w:val="none" w:sz="0" w:space="0" w:color="auto"/>
                        <w:bottom w:val="none" w:sz="0" w:space="0" w:color="auto"/>
                        <w:right w:val="none" w:sz="0" w:space="0" w:color="auto"/>
                      </w:divBdr>
                      <w:divsChild>
                        <w:div w:id="365060988">
                          <w:marLeft w:val="0"/>
                          <w:marRight w:val="0"/>
                          <w:marTop w:val="100"/>
                          <w:marBottom w:val="100"/>
                          <w:divBdr>
                            <w:top w:val="single" w:sz="6" w:space="8" w:color="4D90FE"/>
                            <w:left w:val="single" w:sz="6" w:space="8" w:color="4D90FE"/>
                            <w:bottom w:val="single" w:sz="6" w:space="0" w:color="4D90FE"/>
                            <w:right w:val="single" w:sz="6" w:space="11" w:color="4D90FE"/>
                          </w:divBdr>
                          <w:divsChild>
                            <w:div w:id="439842428">
                              <w:marLeft w:val="0"/>
                              <w:marRight w:val="0"/>
                              <w:marTop w:val="0"/>
                              <w:marBottom w:val="0"/>
                              <w:divBdr>
                                <w:top w:val="none" w:sz="0" w:space="0" w:color="auto"/>
                                <w:left w:val="none" w:sz="0" w:space="0" w:color="auto"/>
                                <w:bottom w:val="none" w:sz="0" w:space="0" w:color="auto"/>
                                <w:right w:val="none" w:sz="0" w:space="0" w:color="auto"/>
                              </w:divBdr>
                              <w:divsChild>
                                <w:div w:id="96873042">
                                  <w:marLeft w:val="0"/>
                                  <w:marRight w:val="0"/>
                                  <w:marTop w:val="0"/>
                                  <w:marBottom w:val="0"/>
                                  <w:divBdr>
                                    <w:top w:val="none" w:sz="0" w:space="0" w:color="auto"/>
                                    <w:left w:val="none" w:sz="0" w:space="0" w:color="auto"/>
                                    <w:bottom w:val="none" w:sz="0" w:space="0" w:color="auto"/>
                                    <w:right w:val="none" w:sz="0" w:space="0" w:color="auto"/>
                                  </w:divBdr>
                                  <w:divsChild>
                                    <w:div w:id="1753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2492">
                      <w:marLeft w:val="0"/>
                      <w:marRight w:val="0"/>
                      <w:marTop w:val="0"/>
                      <w:marBottom w:val="0"/>
                      <w:divBdr>
                        <w:top w:val="none" w:sz="0" w:space="0" w:color="auto"/>
                        <w:left w:val="none" w:sz="0" w:space="0" w:color="auto"/>
                        <w:bottom w:val="none" w:sz="0" w:space="0" w:color="auto"/>
                        <w:right w:val="none" w:sz="0" w:space="0" w:color="auto"/>
                      </w:divBdr>
                    </w:div>
                    <w:div w:id="697705809">
                      <w:marLeft w:val="0"/>
                      <w:marRight w:val="0"/>
                      <w:marTop w:val="120"/>
                      <w:marBottom w:val="0"/>
                      <w:divBdr>
                        <w:top w:val="none" w:sz="0" w:space="0" w:color="auto"/>
                        <w:left w:val="none" w:sz="0" w:space="0" w:color="auto"/>
                        <w:bottom w:val="none" w:sz="0" w:space="0" w:color="auto"/>
                        <w:right w:val="none" w:sz="0" w:space="0" w:color="auto"/>
                      </w:divBdr>
                      <w:divsChild>
                        <w:div w:id="1720784175">
                          <w:marLeft w:val="0"/>
                          <w:marRight w:val="0"/>
                          <w:marTop w:val="0"/>
                          <w:marBottom w:val="0"/>
                          <w:divBdr>
                            <w:top w:val="none" w:sz="0" w:space="0" w:color="auto"/>
                            <w:left w:val="none" w:sz="0" w:space="0" w:color="auto"/>
                            <w:bottom w:val="none" w:sz="0" w:space="0" w:color="auto"/>
                            <w:right w:val="none" w:sz="0" w:space="0" w:color="auto"/>
                          </w:divBdr>
                          <w:divsChild>
                            <w:div w:id="1603490405">
                              <w:marLeft w:val="60"/>
                              <w:marRight w:val="60"/>
                              <w:marTop w:val="60"/>
                              <w:marBottom w:val="60"/>
                              <w:divBdr>
                                <w:top w:val="none" w:sz="0" w:space="0" w:color="auto"/>
                                <w:left w:val="none" w:sz="0" w:space="0" w:color="auto"/>
                                <w:bottom w:val="none" w:sz="0" w:space="0" w:color="auto"/>
                                <w:right w:val="none" w:sz="0" w:space="0" w:color="auto"/>
                              </w:divBdr>
                              <w:divsChild>
                                <w:div w:id="102388220">
                                  <w:marLeft w:val="0"/>
                                  <w:marRight w:val="0"/>
                                  <w:marTop w:val="0"/>
                                  <w:marBottom w:val="0"/>
                                  <w:divBdr>
                                    <w:top w:val="single" w:sz="6" w:space="0" w:color="DFE1E5"/>
                                    <w:left w:val="single" w:sz="6" w:space="0" w:color="DFE1E5"/>
                                    <w:bottom w:val="single" w:sz="6" w:space="0" w:color="DFE1E5"/>
                                    <w:right w:val="single" w:sz="6" w:space="0" w:color="DFE1E5"/>
                                  </w:divBdr>
                                  <w:divsChild>
                                    <w:div w:id="132913677">
                                      <w:marLeft w:val="0"/>
                                      <w:marRight w:val="0"/>
                                      <w:marTop w:val="0"/>
                                      <w:marBottom w:val="0"/>
                                      <w:divBdr>
                                        <w:top w:val="none" w:sz="0" w:space="0" w:color="auto"/>
                                        <w:left w:val="none" w:sz="0" w:space="0" w:color="auto"/>
                                        <w:bottom w:val="none" w:sz="0" w:space="0" w:color="auto"/>
                                        <w:right w:val="none" w:sz="0" w:space="0" w:color="auto"/>
                                      </w:divBdr>
                                    </w:div>
                                    <w:div w:id="16989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4631">
                              <w:marLeft w:val="60"/>
                              <w:marRight w:val="60"/>
                              <w:marTop w:val="60"/>
                              <w:marBottom w:val="60"/>
                              <w:divBdr>
                                <w:top w:val="none" w:sz="0" w:space="0" w:color="auto"/>
                                <w:left w:val="none" w:sz="0" w:space="0" w:color="auto"/>
                                <w:bottom w:val="none" w:sz="0" w:space="0" w:color="auto"/>
                                <w:right w:val="none" w:sz="0" w:space="0" w:color="auto"/>
                              </w:divBdr>
                              <w:divsChild>
                                <w:div w:id="19477888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87207460">
                              <w:marLeft w:val="60"/>
                              <w:marRight w:val="60"/>
                              <w:marTop w:val="60"/>
                              <w:marBottom w:val="60"/>
                              <w:divBdr>
                                <w:top w:val="none" w:sz="0" w:space="0" w:color="auto"/>
                                <w:left w:val="none" w:sz="0" w:space="0" w:color="auto"/>
                                <w:bottom w:val="none" w:sz="0" w:space="0" w:color="auto"/>
                                <w:right w:val="none" w:sz="0" w:space="0" w:color="auto"/>
                              </w:divBdr>
                              <w:divsChild>
                                <w:div w:id="87061178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19914242">
                              <w:marLeft w:val="60"/>
                              <w:marRight w:val="60"/>
                              <w:marTop w:val="60"/>
                              <w:marBottom w:val="60"/>
                              <w:divBdr>
                                <w:top w:val="none" w:sz="0" w:space="0" w:color="auto"/>
                                <w:left w:val="none" w:sz="0" w:space="0" w:color="auto"/>
                                <w:bottom w:val="none" w:sz="0" w:space="0" w:color="auto"/>
                                <w:right w:val="none" w:sz="0" w:space="0" w:color="auto"/>
                              </w:divBdr>
                              <w:divsChild>
                                <w:div w:id="179575280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51838693">
                              <w:marLeft w:val="60"/>
                              <w:marRight w:val="60"/>
                              <w:marTop w:val="60"/>
                              <w:marBottom w:val="60"/>
                              <w:divBdr>
                                <w:top w:val="none" w:sz="0" w:space="0" w:color="auto"/>
                                <w:left w:val="none" w:sz="0" w:space="0" w:color="auto"/>
                                <w:bottom w:val="none" w:sz="0" w:space="0" w:color="auto"/>
                                <w:right w:val="none" w:sz="0" w:space="0" w:color="auto"/>
                              </w:divBdr>
                              <w:divsChild>
                                <w:div w:id="17137807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91507370">
                              <w:marLeft w:val="60"/>
                              <w:marRight w:val="60"/>
                              <w:marTop w:val="60"/>
                              <w:marBottom w:val="60"/>
                              <w:divBdr>
                                <w:top w:val="none" w:sz="0" w:space="0" w:color="auto"/>
                                <w:left w:val="none" w:sz="0" w:space="0" w:color="auto"/>
                                <w:bottom w:val="none" w:sz="0" w:space="0" w:color="auto"/>
                                <w:right w:val="none" w:sz="0" w:space="0" w:color="auto"/>
                              </w:divBdr>
                              <w:divsChild>
                                <w:div w:id="115606690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17958140">
                              <w:marLeft w:val="60"/>
                              <w:marRight w:val="60"/>
                              <w:marTop w:val="60"/>
                              <w:marBottom w:val="60"/>
                              <w:divBdr>
                                <w:top w:val="none" w:sz="0" w:space="0" w:color="auto"/>
                                <w:left w:val="none" w:sz="0" w:space="0" w:color="auto"/>
                                <w:bottom w:val="none" w:sz="0" w:space="0" w:color="auto"/>
                                <w:right w:val="none" w:sz="0" w:space="0" w:color="auto"/>
                              </w:divBdr>
                              <w:divsChild>
                                <w:div w:id="32833810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52604146">
                              <w:marLeft w:val="60"/>
                              <w:marRight w:val="60"/>
                              <w:marTop w:val="60"/>
                              <w:marBottom w:val="60"/>
                              <w:divBdr>
                                <w:top w:val="none" w:sz="0" w:space="0" w:color="auto"/>
                                <w:left w:val="none" w:sz="0" w:space="0" w:color="auto"/>
                                <w:bottom w:val="none" w:sz="0" w:space="0" w:color="auto"/>
                                <w:right w:val="none" w:sz="0" w:space="0" w:color="auto"/>
                              </w:divBdr>
                              <w:divsChild>
                                <w:div w:id="181949605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45177968">
                              <w:marLeft w:val="60"/>
                              <w:marRight w:val="60"/>
                              <w:marTop w:val="60"/>
                              <w:marBottom w:val="60"/>
                              <w:divBdr>
                                <w:top w:val="none" w:sz="0" w:space="0" w:color="auto"/>
                                <w:left w:val="none" w:sz="0" w:space="0" w:color="auto"/>
                                <w:bottom w:val="none" w:sz="0" w:space="0" w:color="auto"/>
                                <w:right w:val="none" w:sz="0" w:space="0" w:color="auto"/>
                              </w:divBdr>
                              <w:divsChild>
                                <w:div w:id="124984505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06973168">
                              <w:marLeft w:val="60"/>
                              <w:marRight w:val="60"/>
                              <w:marTop w:val="60"/>
                              <w:marBottom w:val="60"/>
                              <w:divBdr>
                                <w:top w:val="none" w:sz="0" w:space="0" w:color="auto"/>
                                <w:left w:val="none" w:sz="0" w:space="0" w:color="auto"/>
                                <w:bottom w:val="none" w:sz="0" w:space="0" w:color="auto"/>
                                <w:right w:val="none" w:sz="0" w:space="0" w:color="auto"/>
                              </w:divBdr>
                              <w:divsChild>
                                <w:div w:id="99387635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10346720">
                              <w:marLeft w:val="60"/>
                              <w:marRight w:val="60"/>
                              <w:marTop w:val="60"/>
                              <w:marBottom w:val="60"/>
                              <w:divBdr>
                                <w:top w:val="none" w:sz="0" w:space="0" w:color="auto"/>
                                <w:left w:val="none" w:sz="0" w:space="0" w:color="auto"/>
                                <w:bottom w:val="none" w:sz="0" w:space="0" w:color="auto"/>
                                <w:right w:val="none" w:sz="0" w:space="0" w:color="auto"/>
                              </w:divBdr>
                              <w:divsChild>
                                <w:div w:id="5551743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2432771">
                              <w:marLeft w:val="60"/>
                              <w:marRight w:val="60"/>
                              <w:marTop w:val="60"/>
                              <w:marBottom w:val="60"/>
                              <w:divBdr>
                                <w:top w:val="none" w:sz="0" w:space="0" w:color="auto"/>
                                <w:left w:val="none" w:sz="0" w:space="0" w:color="auto"/>
                                <w:bottom w:val="none" w:sz="0" w:space="0" w:color="auto"/>
                                <w:right w:val="none" w:sz="0" w:space="0" w:color="auto"/>
                              </w:divBdr>
                              <w:divsChild>
                                <w:div w:id="9590959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73375788">
                              <w:marLeft w:val="60"/>
                              <w:marRight w:val="60"/>
                              <w:marTop w:val="60"/>
                              <w:marBottom w:val="60"/>
                              <w:divBdr>
                                <w:top w:val="none" w:sz="0" w:space="0" w:color="auto"/>
                                <w:left w:val="none" w:sz="0" w:space="0" w:color="auto"/>
                                <w:bottom w:val="none" w:sz="0" w:space="0" w:color="auto"/>
                                <w:right w:val="none" w:sz="0" w:space="0" w:color="auto"/>
                              </w:divBdr>
                              <w:divsChild>
                                <w:div w:id="130785368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71772153">
                              <w:marLeft w:val="60"/>
                              <w:marRight w:val="60"/>
                              <w:marTop w:val="60"/>
                              <w:marBottom w:val="60"/>
                              <w:divBdr>
                                <w:top w:val="none" w:sz="0" w:space="0" w:color="auto"/>
                                <w:left w:val="none" w:sz="0" w:space="0" w:color="auto"/>
                                <w:bottom w:val="none" w:sz="0" w:space="0" w:color="auto"/>
                                <w:right w:val="none" w:sz="0" w:space="0" w:color="auto"/>
                              </w:divBdr>
                              <w:divsChild>
                                <w:div w:id="165452613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28983910">
                              <w:marLeft w:val="60"/>
                              <w:marRight w:val="60"/>
                              <w:marTop w:val="60"/>
                              <w:marBottom w:val="60"/>
                              <w:divBdr>
                                <w:top w:val="none" w:sz="0" w:space="0" w:color="auto"/>
                                <w:left w:val="none" w:sz="0" w:space="0" w:color="auto"/>
                                <w:bottom w:val="none" w:sz="0" w:space="0" w:color="auto"/>
                                <w:right w:val="none" w:sz="0" w:space="0" w:color="auto"/>
                              </w:divBdr>
                              <w:divsChild>
                                <w:div w:id="139600652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70282463">
                              <w:marLeft w:val="60"/>
                              <w:marRight w:val="60"/>
                              <w:marTop w:val="60"/>
                              <w:marBottom w:val="60"/>
                              <w:divBdr>
                                <w:top w:val="none" w:sz="0" w:space="0" w:color="auto"/>
                                <w:left w:val="none" w:sz="0" w:space="0" w:color="auto"/>
                                <w:bottom w:val="none" w:sz="0" w:space="0" w:color="auto"/>
                                <w:right w:val="none" w:sz="0" w:space="0" w:color="auto"/>
                              </w:divBdr>
                              <w:divsChild>
                                <w:div w:id="16902826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3047254">
                              <w:marLeft w:val="60"/>
                              <w:marRight w:val="60"/>
                              <w:marTop w:val="60"/>
                              <w:marBottom w:val="60"/>
                              <w:divBdr>
                                <w:top w:val="none" w:sz="0" w:space="0" w:color="auto"/>
                                <w:left w:val="none" w:sz="0" w:space="0" w:color="auto"/>
                                <w:bottom w:val="none" w:sz="0" w:space="0" w:color="auto"/>
                                <w:right w:val="none" w:sz="0" w:space="0" w:color="auto"/>
                              </w:divBdr>
                              <w:divsChild>
                                <w:div w:id="20389221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47591025">
                              <w:marLeft w:val="60"/>
                              <w:marRight w:val="60"/>
                              <w:marTop w:val="60"/>
                              <w:marBottom w:val="60"/>
                              <w:divBdr>
                                <w:top w:val="none" w:sz="0" w:space="0" w:color="auto"/>
                                <w:left w:val="none" w:sz="0" w:space="0" w:color="auto"/>
                                <w:bottom w:val="none" w:sz="0" w:space="0" w:color="auto"/>
                                <w:right w:val="none" w:sz="0" w:space="0" w:color="auto"/>
                              </w:divBdr>
                              <w:divsChild>
                                <w:div w:id="969515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26761574">
                              <w:marLeft w:val="60"/>
                              <w:marRight w:val="60"/>
                              <w:marTop w:val="60"/>
                              <w:marBottom w:val="60"/>
                              <w:divBdr>
                                <w:top w:val="none" w:sz="0" w:space="0" w:color="auto"/>
                                <w:left w:val="none" w:sz="0" w:space="0" w:color="auto"/>
                                <w:bottom w:val="none" w:sz="0" w:space="0" w:color="auto"/>
                                <w:right w:val="none" w:sz="0" w:space="0" w:color="auto"/>
                              </w:divBdr>
                              <w:divsChild>
                                <w:div w:id="132397256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89367410">
                              <w:marLeft w:val="60"/>
                              <w:marRight w:val="60"/>
                              <w:marTop w:val="60"/>
                              <w:marBottom w:val="60"/>
                              <w:divBdr>
                                <w:top w:val="none" w:sz="0" w:space="0" w:color="auto"/>
                                <w:left w:val="none" w:sz="0" w:space="0" w:color="auto"/>
                                <w:bottom w:val="none" w:sz="0" w:space="0" w:color="auto"/>
                                <w:right w:val="none" w:sz="0" w:space="0" w:color="auto"/>
                              </w:divBdr>
                              <w:divsChild>
                                <w:div w:id="147510465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55434673">
                              <w:marLeft w:val="60"/>
                              <w:marRight w:val="60"/>
                              <w:marTop w:val="60"/>
                              <w:marBottom w:val="60"/>
                              <w:divBdr>
                                <w:top w:val="none" w:sz="0" w:space="0" w:color="auto"/>
                                <w:left w:val="none" w:sz="0" w:space="0" w:color="auto"/>
                                <w:bottom w:val="none" w:sz="0" w:space="0" w:color="auto"/>
                                <w:right w:val="none" w:sz="0" w:space="0" w:color="auto"/>
                              </w:divBdr>
                              <w:divsChild>
                                <w:div w:id="20742295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91789274">
                              <w:marLeft w:val="60"/>
                              <w:marRight w:val="60"/>
                              <w:marTop w:val="60"/>
                              <w:marBottom w:val="60"/>
                              <w:divBdr>
                                <w:top w:val="none" w:sz="0" w:space="0" w:color="auto"/>
                                <w:left w:val="none" w:sz="0" w:space="0" w:color="auto"/>
                                <w:bottom w:val="none" w:sz="0" w:space="0" w:color="auto"/>
                                <w:right w:val="none" w:sz="0" w:space="0" w:color="auto"/>
                              </w:divBdr>
                              <w:divsChild>
                                <w:div w:id="32263439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4904398">
                              <w:marLeft w:val="60"/>
                              <w:marRight w:val="60"/>
                              <w:marTop w:val="60"/>
                              <w:marBottom w:val="60"/>
                              <w:divBdr>
                                <w:top w:val="none" w:sz="0" w:space="0" w:color="auto"/>
                                <w:left w:val="none" w:sz="0" w:space="0" w:color="auto"/>
                                <w:bottom w:val="none" w:sz="0" w:space="0" w:color="auto"/>
                                <w:right w:val="none" w:sz="0" w:space="0" w:color="auto"/>
                              </w:divBdr>
                              <w:divsChild>
                                <w:div w:id="206644090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80221687">
                              <w:marLeft w:val="60"/>
                              <w:marRight w:val="60"/>
                              <w:marTop w:val="60"/>
                              <w:marBottom w:val="60"/>
                              <w:divBdr>
                                <w:top w:val="none" w:sz="0" w:space="0" w:color="auto"/>
                                <w:left w:val="none" w:sz="0" w:space="0" w:color="auto"/>
                                <w:bottom w:val="none" w:sz="0" w:space="0" w:color="auto"/>
                                <w:right w:val="none" w:sz="0" w:space="0" w:color="auto"/>
                              </w:divBdr>
                              <w:divsChild>
                                <w:div w:id="76685373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50364456">
                              <w:marLeft w:val="60"/>
                              <w:marRight w:val="60"/>
                              <w:marTop w:val="60"/>
                              <w:marBottom w:val="60"/>
                              <w:divBdr>
                                <w:top w:val="none" w:sz="0" w:space="0" w:color="auto"/>
                                <w:left w:val="none" w:sz="0" w:space="0" w:color="auto"/>
                                <w:bottom w:val="none" w:sz="0" w:space="0" w:color="auto"/>
                                <w:right w:val="none" w:sz="0" w:space="0" w:color="auto"/>
                              </w:divBdr>
                              <w:divsChild>
                                <w:div w:id="72136685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57218314">
                              <w:marLeft w:val="60"/>
                              <w:marRight w:val="60"/>
                              <w:marTop w:val="60"/>
                              <w:marBottom w:val="60"/>
                              <w:divBdr>
                                <w:top w:val="none" w:sz="0" w:space="0" w:color="auto"/>
                                <w:left w:val="none" w:sz="0" w:space="0" w:color="auto"/>
                                <w:bottom w:val="none" w:sz="0" w:space="0" w:color="auto"/>
                                <w:right w:val="none" w:sz="0" w:space="0" w:color="auto"/>
                              </w:divBdr>
                              <w:divsChild>
                                <w:div w:id="6933875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56363331">
                              <w:marLeft w:val="60"/>
                              <w:marRight w:val="60"/>
                              <w:marTop w:val="60"/>
                              <w:marBottom w:val="60"/>
                              <w:divBdr>
                                <w:top w:val="none" w:sz="0" w:space="0" w:color="auto"/>
                                <w:left w:val="none" w:sz="0" w:space="0" w:color="auto"/>
                                <w:bottom w:val="none" w:sz="0" w:space="0" w:color="auto"/>
                                <w:right w:val="none" w:sz="0" w:space="0" w:color="auto"/>
                              </w:divBdr>
                              <w:divsChild>
                                <w:div w:id="196496776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23352037">
                              <w:marLeft w:val="60"/>
                              <w:marRight w:val="60"/>
                              <w:marTop w:val="60"/>
                              <w:marBottom w:val="60"/>
                              <w:divBdr>
                                <w:top w:val="none" w:sz="0" w:space="0" w:color="auto"/>
                                <w:left w:val="none" w:sz="0" w:space="0" w:color="auto"/>
                                <w:bottom w:val="none" w:sz="0" w:space="0" w:color="auto"/>
                                <w:right w:val="none" w:sz="0" w:space="0" w:color="auto"/>
                              </w:divBdr>
                              <w:divsChild>
                                <w:div w:id="88128313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63729606">
                              <w:marLeft w:val="60"/>
                              <w:marRight w:val="60"/>
                              <w:marTop w:val="60"/>
                              <w:marBottom w:val="60"/>
                              <w:divBdr>
                                <w:top w:val="none" w:sz="0" w:space="0" w:color="auto"/>
                                <w:left w:val="none" w:sz="0" w:space="0" w:color="auto"/>
                                <w:bottom w:val="none" w:sz="0" w:space="0" w:color="auto"/>
                                <w:right w:val="none" w:sz="0" w:space="0" w:color="auto"/>
                              </w:divBdr>
                              <w:divsChild>
                                <w:div w:id="50713436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5142051">
                              <w:marLeft w:val="60"/>
                              <w:marRight w:val="60"/>
                              <w:marTop w:val="60"/>
                              <w:marBottom w:val="60"/>
                              <w:divBdr>
                                <w:top w:val="none" w:sz="0" w:space="0" w:color="auto"/>
                                <w:left w:val="none" w:sz="0" w:space="0" w:color="auto"/>
                                <w:bottom w:val="none" w:sz="0" w:space="0" w:color="auto"/>
                                <w:right w:val="none" w:sz="0" w:space="0" w:color="auto"/>
                              </w:divBdr>
                              <w:divsChild>
                                <w:div w:id="2330129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937787999">
                              <w:marLeft w:val="60"/>
                              <w:marRight w:val="60"/>
                              <w:marTop w:val="60"/>
                              <w:marBottom w:val="60"/>
                              <w:divBdr>
                                <w:top w:val="none" w:sz="0" w:space="0" w:color="auto"/>
                                <w:left w:val="none" w:sz="0" w:space="0" w:color="auto"/>
                                <w:bottom w:val="none" w:sz="0" w:space="0" w:color="auto"/>
                                <w:right w:val="none" w:sz="0" w:space="0" w:color="auto"/>
                              </w:divBdr>
                              <w:divsChild>
                                <w:div w:id="3143763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52440039">
                              <w:marLeft w:val="60"/>
                              <w:marRight w:val="60"/>
                              <w:marTop w:val="60"/>
                              <w:marBottom w:val="60"/>
                              <w:divBdr>
                                <w:top w:val="none" w:sz="0" w:space="0" w:color="auto"/>
                                <w:left w:val="none" w:sz="0" w:space="0" w:color="auto"/>
                                <w:bottom w:val="none" w:sz="0" w:space="0" w:color="auto"/>
                                <w:right w:val="none" w:sz="0" w:space="0" w:color="auto"/>
                              </w:divBdr>
                              <w:divsChild>
                                <w:div w:id="212692351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39795499">
                              <w:marLeft w:val="60"/>
                              <w:marRight w:val="60"/>
                              <w:marTop w:val="60"/>
                              <w:marBottom w:val="60"/>
                              <w:divBdr>
                                <w:top w:val="none" w:sz="0" w:space="0" w:color="auto"/>
                                <w:left w:val="none" w:sz="0" w:space="0" w:color="auto"/>
                                <w:bottom w:val="none" w:sz="0" w:space="0" w:color="auto"/>
                                <w:right w:val="none" w:sz="0" w:space="0" w:color="auto"/>
                              </w:divBdr>
                              <w:divsChild>
                                <w:div w:id="393820145">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726487667">
                              <w:marLeft w:val="60"/>
                              <w:marRight w:val="60"/>
                              <w:marTop w:val="60"/>
                              <w:marBottom w:val="60"/>
                              <w:divBdr>
                                <w:top w:val="none" w:sz="0" w:space="0" w:color="auto"/>
                                <w:left w:val="none" w:sz="0" w:space="0" w:color="auto"/>
                                <w:bottom w:val="none" w:sz="0" w:space="0" w:color="auto"/>
                                <w:right w:val="none" w:sz="0" w:space="0" w:color="auto"/>
                              </w:divBdr>
                              <w:divsChild>
                                <w:div w:id="7829179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9" ma:contentTypeDescription="Create a new document." ma:contentTypeScope="" ma:versionID="d496072e252f0993d63c9018851bfd00">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f9ac00fdcdda9e5d271048f3787962f6"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9882-5F36-4B9A-9566-95EBECC4B3A8}">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19c4c508-fef4-4320-90df-25b96b4c9aa1"/>
    <ds:schemaRef ds:uri="5110b70d-ff76-4fc8-b34f-e29eee7effc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7AFB044-8930-43F7-A657-BAA13D874C4D}">
  <ds:schemaRefs>
    <ds:schemaRef ds:uri="http://schemas.microsoft.com/sharepoint/v3/contenttype/forms"/>
  </ds:schemaRefs>
</ds:datastoreItem>
</file>

<file path=customXml/itemProps3.xml><?xml version="1.0" encoding="utf-8"?>
<ds:datastoreItem xmlns:ds="http://schemas.openxmlformats.org/officeDocument/2006/customXml" ds:itemID="{72D77C9F-FC3F-4671-B101-ED2F34D11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D7082-9578-489F-AB6A-68041F2E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10148</Words>
  <Characters>57848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P. Rosen</dc:creator>
  <cp:keywords/>
  <dc:description/>
  <cp:lastModifiedBy>Cathy Williams</cp:lastModifiedBy>
  <cp:revision>7</cp:revision>
  <dcterms:created xsi:type="dcterms:W3CDTF">2020-05-12T14:50:00Z</dcterms:created>
  <dcterms:modified xsi:type="dcterms:W3CDTF">2020-07-27T19:11:00Z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