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46D6" w:rsidP="006D1325" w:rsidRDefault="00F107B7" w14:paraId="15813B36"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Supporting Statement for</w:t>
      </w:r>
      <w:r w:rsidR="00454B98">
        <w:rPr>
          <w:rFonts w:ascii="Times New Roman" w:hAnsi="Times New Roman" w:cs="Times New Roman"/>
        </w:rPr>
        <w:t xml:space="preserve"> </w:t>
      </w:r>
      <w:r w:rsidR="00D746D6">
        <w:rPr>
          <w:rFonts w:ascii="Times New Roman" w:hAnsi="Times New Roman" w:cs="Times New Roman"/>
        </w:rPr>
        <w:t xml:space="preserve">Form </w:t>
      </w:r>
      <w:r w:rsidR="00454B98">
        <w:rPr>
          <w:rFonts w:ascii="Times New Roman" w:hAnsi="Times New Roman" w:cs="Times New Roman"/>
        </w:rPr>
        <w:t>SSA-3105</w:t>
      </w:r>
    </w:p>
    <w:p w:rsidR="00D6777F" w:rsidP="006D1325" w:rsidRDefault="00454B98" w14:paraId="19C955E5"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Important Information about Your Appeal, Waiver Rights, and Repayment Options</w:t>
      </w:r>
    </w:p>
    <w:p w:rsidRPr="00BC7F42" w:rsidR="00146275" w:rsidP="006D1325" w:rsidRDefault="00D6777F" w14:paraId="5BF0EC69"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20 CFR 404.502a</w:t>
      </w:r>
    </w:p>
    <w:p w:rsidRPr="00BC7F42" w:rsidR="00A45D82" w:rsidP="006D1325" w:rsidRDefault="008B6774" w14:paraId="44AA5727"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D6777F">
        <w:rPr>
          <w:rFonts w:ascii="Times New Roman" w:hAnsi="Times New Roman" w:cs="Times New Roman"/>
        </w:rPr>
        <w:t>0779</w:t>
      </w:r>
    </w:p>
    <w:p w:rsidRPr="00BC7F42" w:rsidR="00A45D82" w:rsidP="00A45D82" w:rsidRDefault="00A45D82" w14:paraId="55DE594B" w14:textId="77777777">
      <w:pPr>
        <w:pStyle w:val="Header"/>
        <w:tabs>
          <w:tab w:val="clear" w:pos="4320"/>
          <w:tab w:val="clear" w:pos="8640"/>
        </w:tabs>
        <w:rPr>
          <w:rFonts w:ascii="Times New Roman" w:hAnsi="Times New Roman"/>
        </w:rPr>
      </w:pPr>
    </w:p>
    <w:p w:rsidRPr="002321B0" w:rsidR="00A45D82" w:rsidP="006D1325" w:rsidRDefault="00A45D82" w14:paraId="4E148230"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14:paraId="03D35384" w14:textId="77777777">
      <w:pPr>
        <w:pStyle w:val="Header"/>
        <w:tabs>
          <w:tab w:val="clear" w:pos="4320"/>
          <w:tab w:val="clear" w:pos="8640"/>
        </w:tabs>
        <w:rPr>
          <w:rFonts w:ascii="Times New Roman" w:hAnsi="Times New Roman"/>
        </w:rPr>
      </w:pPr>
    </w:p>
    <w:p w:rsidR="002321B0" w:rsidP="006D1325" w:rsidRDefault="002E18CF" w14:paraId="5D37ADE4" w14:textId="77777777">
      <w:pPr>
        <w:numPr>
          <w:ilvl w:val="0"/>
          <w:numId w:val="34"/>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C821AD" w:rsidP="006D1325" w:rsidRDefault="00C821AD" w14:paraId="3C16F3D9" w14:textId="77777777">
      <w:pPr>
        <w:tabs>
          <w:tab w:val="num" w:pos="1440"/>
        </w:tabs>
        <w:ind w:left="1440"/>
        <w:rPr>
          <w:rFonts w:ascii="Times New Roman" w:hAnsi="Times New Roman"/>
          <w:b/>
        </w:rPr>
      </w:pPr>
      <w:r w:rsidRPr="00A548F3">
        <w:rPr>
          <w:rFonts w:ascii="Times New Roman" w:hAnsi="Times New Roman"/>
        </w:rPr>
        <w:t>Section</w:t>
      </w:r>
      <w:r w:rsidR="00142111">
        <w:rPr>
          <w:rFonts w:ascii="Times New Roman" w:hAnsi="Times New Roman"/>
        </w:rPr>
        <w:t>s</w:t>
      </w:r>
      <w:r w:rsidRPr="00142111">
        <w:rPr>
          <w:rFonts w:ascii="Times New Roman" w:hAnsi="Times New Roman"/>
        </w:rPr>
        <w:t xml:space="preserve"> </w:t>
      </w:r>
      <w:r w:rsidRPr="00A25E38">
        <w:rPr>
          <w:rFonts w:ascii="Times New Roman" w:hAnsi="Times New Roman"/>
          <w:i/>
          <w:iCs/>
        </w:rPr>
        <w:t>204</w:t>
      </w:r>
      <w:r w:rsidRPr="00A25E38" w:rsidR="00142111">
        <w:rPr>
          <w:rFonts w:ascii="Times New Roman" w:hAnsi="Times New Roman"/>
          <w:i/>
          <w:iCs/>
        </w:rPr>
        <w:t>, 1631(b)</w:t>
      </w:r>
      <w:r w:rsidRPr="008B44E8" w:rsidR="00142111">
        <w:rPr>
          <w:rFonts w:ascii="Times New Roman" w:hAnsi="Times New Roman"/>
        </w:rPr>
        <w:t xml:space="preserve">, and </w:t>
      </w:r>
      <w:r w:rsidRPr="00A25E38" w:rsidR="00142111">
        <w:rPr>
          <w:rFonts w:ascii="Times New Roman" w:hAnsi="Times New Roman"/>
          <w:i/>
          <w:iCs/>
        </w:rPr>
        <w:t>1879</w:t>
      </w:r>
      <w:r w:rsidRPr="008B44E8" w:rsidR="00142111">
        <w:rPr>
          <w:rFonts w:ascii="Times New Roman" w:hAnsi="Times New Roman"/>
        </w:rPr>
        <w:t xml:space="preserve"> </w:t>
      </w:r>
      <w:r w:rsidRPr="008B44E8">
        <w:rPr>
          <w:rFonts w:ascii="Times New Roman" w:hAnsi="Times New Roman"/>
        </w:rPr>
        <w:t xml:space="preserve">of the </w:t>
      </w:r>
      <w:r w:rsidRPr="00A25E38">
        <w:rPr>
          <w:rFonts w:ascii="Times New Roman" w:hAnsi="Times New Roman"/>
          <w:i/>
          <w:iCs/>
        </w:rPr>
        <w:t>Social Security Act (Act)</w:t>
      </w:r>
      <w:r w:rsidRPr="008B44E8">
        <w:rPr>
          <w:rFonts w:ascii="Times New Roman" w:hAnsi="Times New Roman"/>
        </w:rPr>
        <w:t xml:space="preserve"> require</w:t>
      </w:r>
      <w:r w:rsidR="00142111">
        <w:rPr>
          <w:rFonts w:ascii="Times New Roman" w:hAnsi="Times New Roman"/>
        </w:rPr>
        <w:t>s</w:t>
      </w:r>
      <w:r w:rsidRPr="008B44E8">
        <w:rPr>
          <w:rFonts w:ascii="Times New Roman" w:hAnsi="Times New Roman"/>
        </w:rPr>
        <w:t xml:space="preserve"> the Social Security Administration (SSA) </w:t>
      </w:r>
      <w:r>
        <w:rPr>
          <w:rFonts w:ascii="Times New Roman" w:hAnsi="Times New Roman"/>
        </w:rPr>
        <w:t>to recover overpayments of Federal Retirement, Survivors, Disability Insurance</w:t>
      </w:r>
      <w:r w:rsidR="00142111">
        <w:rPr>
          <w:rFonts w:ascii="Times New Roman" w:hAnsi="Times New Roman"/>
        </w:rPr>
        <w:t>, Health Insurance, or Supplemental Security Income (SSI)</w:t>
      </w:r>
      <w:r>
        <w:rPr>
          <w:rFonts w:ascii="Times New Roman" w:hAnsi="Times New Roman"/>
        </w:rPr>
        <w:t xml:space="preserve"> payments made to an individual, unless the agency can waive recovery of the overpayment</w:t>
      </w:r>
      <w:r w:rsidR="00637D8F">
        <w:rPr>
          <w:rFonts w:ascii="Times New Roman" w:hAnsi="Times New Roman"/>
        </w:rPr>
        <w:t xml:space="preserve"> or the </w:t>
      </w:r>
      <w:r w:rsidR="00142111">
        <w:rPr>
          <w:rFonts w:ascii="Times New Roman" w:hAnsi="Times New Roman"/>
        </w:rPr>
        <w:t xml:space="preserve">agency reverses the initial finding of overpayment </w:t>
      </w:r>
      <w:r w:rsidR="00637D8F">
        <w:rPr>
          <w:rFonts w:ascii="Times New Roman" w:hAnsi="Times New Roman"/>
        </w:rPr>
        <w:t>upon successful appeal</w:t>
      </w:r>
      <w:r>
        <w:rPr>
          <w:rFonts w:ascii="Times New Roman" w:hAnsi="Times New Roman"/>
        </w:rPr>
        <w:t>.</w:t>
      </w:r>
      <w:r w:rsidRPr="008B44E8">
        <w:rPr>
          <w:rFonts w:ascii="Times New Roman" w:hAnsi="Times New Roman"/>
        </w:rPr>
        <w:t xml:space="preserve"> </w:t>
      </w:r>
      <w:r w:rsidR="00A25E38">
        <w:rPr>
          <w:rFonts w:ascii="Times New Roman" w:hAnsi="Times New Roman"/>
        </w:rPr>
        <w:t xml:space="preserve"> </w:t>
      </w:r>
      <w:r w:rsidRPr="008B44E8">
        <w:rPr>
          <w:rFonts w:ascii="Times New Roman" w:hAnsi="Times New Roman"/>
        </w:rPr>
        <w:t>SSA also inform</w:t>
      </w:r>
      <w:r>
        <w:rPr>
          <w:rFonts w:ascii="Times New Roman" w:hAnsi="Times New Roman"/>
        </w:rPr>
        <w:t>s</w:t>
      </w:r>
      <w:r w:rsidRPr="008B44E8">
        <w:rPr>
          <w:rFonts w:ascii="Times New Roman" w:hAnsi="Times New Roman"/>
        </w:rPr>
        <w:t xml:space="preserve"> </w:t>
      </w:r>
      <w:r>
        <w:rPr>
          <w:rFonts w:ascii="Times New Roman" w:hAnsi="Times New Roman"/>
        </w:rPr>
        <w:t>overpaid claimants</w:t>
      </w:r>
      <w:r w:rsidRPr="008B44E8">
        <w:rPr>
          <w:rFonts w:ascii="Times New Roman" w:hAnsi="Times New Roman"/>
        </w:rPr>
        <w:t xml:space="preserve"> of the following rights:</w:t>
      </w:r>
      <w:r w:rsidRPr="008B44E8">
        <w:rPr>
          <w:rFonts w:ascii="Times New Roman" w:hAnsi="Times New Roman"/>
          <w:b/>
        </w:rPr>
        <w:t xml:space="preserve">  </w:t>
      </w:r>
    </w:p>
    <w:p w:rsidR="00C821AD" w:rsidP="00C821AD" w:rsidRDefault="00C821AD" w14:paraId="57959483" w14:textId="77777777">
      <w:pPr>
        <w:ind w:left="720"/>
        <w:rPr>
          <w:rFonts w:ascii="Times New Roman" w:hAnsi="Times New Roman"/>
          <w:b/>
        </w:rPr>
      </w:pPr>
    </w:p>
    <w:p w:rsidRPr="00CD2BE4" w:rsidR="00C821AD" w:rsidP="006D1325" w:rsidRDefault="00C821AD" w14:paraId="206F46C6" w14:textId="77777777">
      <w:pPr>
        <w:numPr>
          <w:ilvl w:val="0"/>
          <w:numId w:val="49"/>
        </w:numPr>
        <w:ind w:left="1980" w:hanging="270"/>
        <w:rPr>
          <w:rFonts w:ascii="Times New Roman" w:hAnsi="Times New Roman"/>
          <w:b/>
        </w:rPr>
      </w:pPr>
      <w:r>
        <w:rPr>
          <w:rFonts w:ascii="Times New Roman" w:hAnsi="Times New Roman"/>
        </w:rPr>
        <w:t>Right to reconsideration of the overpayment determination;</w:t>
      </w:r>
    </w:p>
    <w:p w:rsidRPr="00CD2BE4" w:rsidR="00C821AD" w:rsidP="006D1325" w:rsidRDefault="00C821AD" w14:paraId="67FAE3F5" w14:textId="77777777">
      <w:pPr>
        <w:numPr>
          <w:ilvl w:val="0"/>
          <w:numId w:val="49"/>
        </w:numPr>
        <w:ind w:left="1980" w:hanging="270"/>
        <w:rPr>
          <w:rFonts w:ascii="Times New Roman" w:hAnsi="Times New Roman"/>
          <w:b/>
        </w:rPr>
      </w:pPr>
      <w:r>
        <w:rPr>
          <w:rFonts w:ascii="Times New Roman" w:hAnsi="Times New Roman"/>
        </w:rPr>
        <w:t>Right to request waiver of recovery and the automatic scheduling of a personal conference if SSA cannot approve a request for waiver; and</w:t>
      </w:r>
    </w:p>
    <w:p w:rsidRPr="006314D6" w:rsidR="00C821AD" w:rsidP="006D1325" w:rsidRDefault="00C821AD" w14:paraId="1F081987" w14:textId="77777777">
      <w:pPr>
        <w:numPr>
          <w:ilvl w:val="0"/>
          <w:numId w:val="49"/>
        </w:numPr>
        <w:ind w:left="1980" w:hanging="270"/>
        <w:rPr>
          <w:rFonts w:ascii="Times New Roman" w:hAnsi="Times New Roman"/>
          <w:b/>
        </w:rPr>
      </w:pPr>
      <w:r>
        <w:rPr>
          <w:rFonts w:ascii="Times New Roman" w:hAnsi="Times New Roman"/>
        </w:rPr>
        <w:t xml:space="preserve">Availability of a different rate of </w:t>
      </w:r>
      <w:r w:rsidR="00755F5D">
        <w:rPr>
          <w:rFonts w:ascii="Times New Roman" w:hAnsi="Times New Roman"/>
        </w:rPr>
        <w:t xml:space="preserve">benefit payment </w:t>
      </w:r>
      <w:r>
        <w:rPr>
          <w:rFonts w:ascii="Times New Roman" w:hAnsi="Times New Roman"/>
        </w:rPr>
        <w:t xml:space="preserve">withholding when SSA proposes </w:t>
      </w:r>
      <w:r w:rsidR="00755F5D">
        <w:rPr>
          <w:rFonts w:ascii="Times New Roman" w:hAnsi="Times New Roman"/>
        </w:rPr>
        <w:t>withholding the full benefit payment</w:t>
      </w:r>
      <w:r>
        <w:rPr>
          <w:rFonts w:ascii="Times New Roman" w:hAnsi="Times New Roman"/>
        </w:rPr>
        <w:t>.</w:t>
      </w:r>
    </w:p>
    <w:p w:rsidRPr="00A37A2E" w:rsidR="00C821AD" w:rsidP="00C821AD" w:rsidRDefault="00C821AD" w14:paraId="14C81C9F" w14:textId="77777777">
      <w:pPr>
        <w:ind w:left="1440"/>
        <w:rPr>
          <w:rFonts w:ascii="Times New Roman" w:hAnsi="Times New Roman"/>
          <w:b/>
        </w:rPr>
      </w:pPr>
    </w:p>
    <w:p w:rsidR="00C821AD" w:rsidP="006D1325" w:rsidRDefault="00CF7F26" w14:paraId="5BFECBAA" w14:textId="77777777">
      <w:pPr>
        <w:ind w:left="1440"/>
        <w:rPr>
          <w:rFonts w:ascii="Times New Roman" w:hAnsi="Times New Roman"/>
        </w:rPr>
      </w:pPr>
      <w:r>
        <w:rPr>
          <w:rFonts w:ascii="Times New Roman" w:hAnsi="Times New Roman"/>
        </w:rPr>
        <w:t xml:space="preserve">The overpaid individual may use </w:t>
      </w:r>
      <w:r w:rsidR="00A25E38">
        <w:rPr>
          <w:rFonts w:ascii="Times New Roman" w:hAnsi="Times New Roman"/>
        </w:rPr>
        <w:t>F</w:t>
      </w:r>
      <w:r w:rsidR="00C821AD">
        <w:rPr>
          <w:rFonts w:ascii="Times New Roman" w:hAnsi="Times New Roman"/>
        </w:rPr>
        <w:t xml:space="preserve">orm SSA-3105, Important Information </w:t>
      </w:r>
      <w:r w:rsidR="00FE4BCC">
        <w:rPr>
          <w:rFonts w:ascii="Times New Roman" w:hAnsi="Times New Roman"/>
        </w:rPr>
        <w:t>about</w:t>
      </w:r>
      <w:r w:rsidR="00C821AD">
        <w:rPr>
          <w:rFonts w:ascii="Times New Roman" w:hAnsi="Times New Roman"/>
        </w:rPr>
        <w:t xml:space="preserve"> Your Appeal, Waiver Rights, and Repayment Options,</w:t>
      </w:r>
      <w:r>
        <w:rPr>
          <w:rFonts w:ascii="Times New Roman" w:hAnsi="Times New Roman"/>
        </w:rPr>
        <w:t xml:space="preserve"> to n</w:t>
      </w:r>
      <w:r w:rsidR="00C821AD">
        <w:rPr>
          <w:rFonts w:ascii="Times New Roman" w:hAnsi="Times New Roman"/>
        </w:rPr>
        <w:t xml:space="preserve">otify us </w:t>
      </w:r>
      <w:r>
        <w:rPr>
          <w:rFonts w:ascii="Times New Roman" w:hAnsi="Times New Roman"/>
        </w:rPr>
        <w:t>when they choose to request a reconsideration, waiver, or different rate of withholding to recover their overpayment.</w:t>
      </w:r>
      <w:r w:rsidR="00A25E38">
        <w:rPr>
          <w:rFonts w:ascii="Times New Roman" w:hAnsi="Times New Roman"/>
        </w:rPr>
        <w:t xml:space="preserve">  </w:t>
      </w:r>
      <w:r w:rsidRPr="00A25E38" w:rsidR="00A25E38">
        <w:rPr>
          <w:rFonts w:ascii="Times New Roman" w:hAnsi="Times New Roman"/>
          <w:i/>
          <w:iCs/>
        </w:rPr>
        <w:t>20 CFR 404.502a</w:t>
      </w:r>
      <w:r w:rsidR="00A25E38">
        <w:rPr>
          <w:rFonts w:ascii="Times New Roman" w:hAnsi="Times New Roman"/>
        </w:rPr>
        <w:t xml:space="preserve"> </w:t>
      </w:r>
      <w:r w:rsidRPr="00AE745D" w:rsidR="00AE745D">
        <w:rPr>
          <w:rFonts w:ascii="Times New Roman" w:hAnsi="Times New Roman"/>
        </w:rPr>
        <w:t xml:space="preserve">of the </w:t>
      </w:r>
      <w:r w:rsidRPr="00AE745D" w:rsidR="00AE745D">
        <w:rPr>
          <w:rFonts w:ascii="Times New Roman" w:hAnsi="Times New Roman"/>
          <w:i/>
        </w:rPr>
        <w:t>Code of Federal Regulations</w:t>
      </w:r>
      <w:r w:rsidR="00AE745D">
        <w:rPr>
          <w:rFonts w:ascii="Times New Roman" w:hAnsi="Times New Roman"/>
        </w:rPr>
        <w:t xml:space="preserve"> </w:t>
      </w:r>
      <w:r w:rsidR="00A25E38">
        <w:rPr>
          <w:rFonts w:ascii="Times New Roman" w:hAnsi="Times New Roman"/>
        </w:rPr>
        <w:t>a</w:t>
      </w:r>
      <w:r>
        <w:rPr>
          <w:rFonts w:ascii="Times New Roman" w:hAnsi="Times New Roman"/>
        </w:rPr>
        <w:t>uthori</w:t>
      </w:r>
      <w:r w:rsidR="00A25E38">
        <w:rPr>
          <w:rFonts w:ascii="Times New Roman" w:hAnsi="Times New Roman"/>
        </w:rPr>
        <w:t>zes SSA to collect this information</w:t>
      </w:r>
      <w:r w:rsidRPr="00CF7F26">
        <w:rPr>
          <w:rFonts w:ascii="Times New Roman" w:hAnsi="Times New Roman"/>
        </w:rPr>
        <w:t>.</w:t>
      </w:r>
    </w:p>
    <w:p w:rsidRPr="00F57AD9" w:rsidR="00F57AD9" w:rsidP="006D1325" w:rsidRDefault="00F57AD9" w14:paraId="58D812AC" w14:textId="77777777">
      <w:pPr>
        <w:ind w:left="1440"/>
        <w:rPr>
          <w:rFonts w:ascii="Times New Roman" w:hAnsi="Times New Roman"/>
        </w:rPr>
      </w:pPr>
    </w:p>
    <w:p w:rsidRPr="002E18CF" w:rsidR="002E18CF" w:rsidP="006D1325" w:rsidRDefault="00F56A74" w14:paraId="7451291F" w14:textId="77777777">
      <w:pPr>
        <w:numPr>
          <w:ilvl w:val="0"/>
          <w:numId w:val="20"/>
        </w:numPr>
        <w:tabs>
          <w:tab w:val="clear" w:pos="720"/>
          <w:tab w:val="num" w:pos="1440"/>
        </w:tabs>
        <w:ind w:left="1440"/>
        <w:rPr>
          <w:rFonts w:ascii="Times New Roman" w:hAnsi="Times New Roman"/>
        </w:rPr>
      </w:pPr>
      <w:r>
        <w:rPr>
          <w:rFonts w:ascii="Times New Roman" w:hAnsi="Times New Roman"/>
          <w:b/>
        </w:rPr>
        <w:t>Description of Collection</w:t>
      </w:r>
    </w:p>
    <w:p w:rsidR="00C71D2C" w:rsidP="006D1325" w:rsidRDefault="00C71D2C" w14:paraId="68A385E4" w14:textId="77777777">
      <w:pPr>
        <w:ind w:left="1440"/>
        <w:rPr>
          <w:rFonts w:ascii="Times New Roman" w:hAnsi="Times New Roman"/>
        </w:rPr>
      </w:pPr>
      <w:r>
        <w:rPr>
          <w:rFonts w:ascii="Times New Roman" w:hAnsi="Times New Roman"/>
        </w:rPr>
        <w:t>This collection is a voluntary, one-time collection, for the respondents</w:t>
      </w:r>
      <w:r w:rsidR="00F56E9F">
        <w:rPr>
          <w:rFonts w:ascii="Times New Roman" w:hAnsi="Times New Roman"/>
        </w:rPr>
        <w:t xml:space="preserve"> to let SSA know that they want to request a lower rate of benefit withholding, installment payments, an explanation of the overpayment, an appeal, or a waiver. </w:t>
      </w:r>
      <w:r w:rsidR="00D56C1D">
        <w:rPr>
          <w:rFonts w:ascii="Times New Roman" w:hAnsi="Times New Roman"/>
        </w:rPr>
        <w:t xml:space="preserve"> Respondents can complete the </w:t>
      </w:r>
      <w:r w:rsidR="00F56E9F">
        <w:rPr>
          <w:rFonts w:ascii="Times New Roman" w:hAnsi="Times New Roman"/>
        </w:rPr>
        <w:t xml:space="preserve">form </w:t>
      </w:r>
      <w:r w:rsidR="00994AC0">
        <w:rPr>
          <w:rFonts w:ascii="Times New Roman" w:hAnsi="Times New Roman"/>
        </w:rPr>
        <w:t xml:space="preserve">and return </w:t>
      </w:r>
      <w:r w:rsidR="00D56C1D">
        <w:rPr>
          <w:rFonts w:ascii="Times New Roman" w:hAnsi="Times New Roman"/>
        </w:rPr>
        <w:t xml:space="preserve">it </w:t>
      </w:r>
      <w:r w:rsidR="00994AC0">
        <w:rPr>
          <w:rFonts w:ascii="Times New Roman" w:hAnsi="Times New Roman"/>
        </w:rPr>
        <w:t>to an SSA office</w:t>
      </w:r>
      <w:r w:rsidR="00D56C1D">
        <w:rPr>
          <w:rFonts w:ascii="Times New Roman" w:hAnsi="Times New Roman"/>
        </w:rPr>
        <w:t xml:space="preserve">, or they </w:t>
      </w:r>
      <w:r w:rsidR="00445582">
        <w:rPr>
          <w:rFonts w:ascii="Times New Roman" w:hAnsi="Times New Roman"/>
        </w:rPr>
        <w:t>may also contact SSA via telephone or via an in-office visit.</w:t>
      </w:r>
      <w:r w:rsidR="00F56E9F">
        <w:rPr>
          <w:rFonts w:ascii="Times New Roman" w:hAnsi="Times New Roman"/>
        </w:rPr>
        <w:t xml:space="preserve"> </w:t>
      </w:r>
      <w:r w:rsidR="00D56C1D">
        <w:rPr>
          <w:rFonts w:ascii="Times New Roman" w:hAnsi="Times New Roman"/>
        </w:rPr>
        <w:t xml:space="preserve"> </w:t>
      </w:r>
      <w:r w:rsidR="00F56E9F">
        <w:rPr>
          <w:rFonts w:ascii="Times New Roman" w:hAnsi="Times New Roman"/>
        </w:rPr>
        <w:t xml:space="preserve">The </w:t>
      </w:r>
      <w:r w:rsidR="00A66A8C">
        <w:rPr>
          <w:rFonts w:ascii="Times New Roman" w:hAnsi="Times New Roman"/>
        </w:rPr>
        <w:t xml:space="preserve">respondent is not required to </w:t>
      </w:r>
      <w:r w:rsidR="00F56E9F">
        <w:rPr>
          <w:rFonts w:ascii="Times New Roman" w:hAnsi="Times New Roman"/>
        </w:rPr>
        <w:t>complete this form</w:t>
      </w:r>
      <w:r w:rsidR="00A66A8C">
        <w:rPr>
          <w:rFonts w:ascii="Times New Roman" w:hAnsi="Times New Roman"/>
        </w:rPr>
        <w:t>; however, they may complete this form</w:t>
      </w:r>
      <w:r w:rsidR="00F56E9F">
        <w:rPr>
          <w:rFonts w:ascii="Times New Roman" w:hAnsi="Times New Roman"/>
        </w:rPr>
        <w:t xml:space="preserve"> alone or with help. </w:t>
      </w:r>
      <w:r w:rsidR="00D56C1D">
        <w:rPr>
          <w:rFonts w:ascii="Times New Roman" w:hAnsi="Times New Roman"/>
        </w:rPr>
        <w:t xml:space="preserve"> </w:t>
      </w:r>
      <w:r w:rsidR="00F56E9F">
        <w:rPr>
          <w:rFonts w:ascii="Times New Roman" w:hAnsi="Times New Roman"/>
        </w:rPr>
        <w:t>The respondents are individuals who are overpaid Social Security</w:t>
      </w:r>
      <w:r w:rsidR="00FF7F80">
        <w:rPr>
          <w:rFonts w:ascii="Times New Roman" w:hAnsi="Times New Roman"/>
        </w:rPr>
        <w:t xml:space="preserve"> payments</w:t>
      </w:r>
      <w:r w:rsidR="00445582">
        <w:rPr>
          <w:rFonts w:ascii="Times New Roman" w:hAnsi="Times New Roman"/>
        </w:rPr>
        <w:t>.</w:t>
      </w:r>
    </w:p>
    <w:p w:rsidRPr="00BC7F42" w:rsidR="00A45D82" w:rsidP="006D1325" w:rsidRDefault="00A45D82" w14:paraId="645470F0" w14:textId="77777777">
      <w:pPr>
        <w:ind w:left="1440"/>
        <w:rPr>
          <w:rFonts w:ascii="Times New Roman" w:hAnsi="Times New Roman"/>
        </w:rPr>
      </w:pPr>
    </w:p>
    <w:p w:rsidRPr="0036696D" w:rsidR="0036696D" w:rsidP="006D1325" w:rsidRDefault="00A45D82" w14:paraId="167DA3B9" w14:textId="77777777">
      <w:pPr>
        <w:numPr>
          <w:ilvl w:val="0"/>
          <w:numId w:val="20"/>
        </w:numPr>
        <w:tabs>
          <w:tab w:val="clear" w:pos="720"/>
          <w:tab w:val="num" w:pos="1440"/>
        </w:tabs>
        <w:ind w:left="1440"/>
        <w:rPr>
          <w:rFonts w:ascii="Times New Roman" w:hAnsi="Times New Roman"/>
        </w:rPr>
      </w:pPr>
      <w:r w:rsidRPr="00BC7F42">
        <w:rPr>
          <w:rFonts w:ascii="Times New Roman" w:hAnsi="Times New Roman"/>
          <w:b/>
        </w:rPr>
        <w:t>Use of Information Technology to Collect the Information</w:t>
      </w:r>
    </w:p>
    <w:p w:rsidRPr="00137B3B" w:rsidR="00137B3B" w:rsidP="00137B3B" w:rsidRDefault="00137B3B" w14:paraId="6CFE9F56" w14:textId="77777777">
      <w:pPr>
        <w:ind w:left="1440"/>
        <w:rPr>
          <w:rFonts w:ascii="Times New Roman" w:hAnsi="Times New Roman"/>
        </w:rPr>
      </w:pPr>
      <w:r w:rsidRPr="00137B3B">
        <w:rPr>
          <w:rFonts w:ascii="Times New Roman" w:hAnsi="Times New Roman"/>
        </w:rPr>
        <w:t xml:space="preserve">This form is available as a print-only, fillable PDF on SSA’s website.  This collection does not currently have a fully public 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w:t>
      </w:r>
      <w:r w:rsidRPr="00137B3B">
        <w:rPr>
          <w:rFonts w:ascii="Times New Roman" w:hAnsi="Times New Roman"/>
        </w:rPr>
        <w:lastRenderedPageBreak/>
        <w:t>Mod schema, but this may be unconnected to the PRA approval lifecycle.</w:t>
      </w:r>
    </w:p>
    <w:p w:rsidRPr="00137B3B" w:rsidR="00137B3B" w:rsidP="00137B3B" w:rsidRDefault="00137B3B" w14:paraId="7F3389BE" w14:textId="77777777">
      <w:pPr>
        <w:ind w:left="1440"/>
        <w:rPr>
          <w:rFonts w:ascii="Times New Roman" w:hAnsi="Times New Roman"/>
        </w:rPr>
      </w:pPr>
    </w:p>
    <w:p w:rsidR="00223D92" w:rsidP="00137B3B" w:rsidRDefault="00137B3B" w14:paraId="7738469D" w14:textId="77777777">
      <w:pPr>
        <w:ind w:left="1440"/>
        <w:rPr>
          <w:rFonts w:ascii="Times New Roman" w:hAnsi="Times New Roman"/>
        </w:rPr>
      </w:pPr>
      <w:r w:rsidRPr="00137B3B">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sidR="00223D92">
        <w:rPr>
          <w:rFonts w:ascii="Times New Roman" w:hAnsi="Times New Roman"/>
        </w:rPr>
        <w:t>.</w:t>
      </w:r>
    </w:p>
    <w:p w:rsidRPr="00BC7F42" w:rsidR="00A45D82" w:rsidP="006D1325" w:rsidRDefault="00A45D82" w14:paraId="44F9FA55" w14:textId="77777777">
      <w:pPr>
        <w:ind w:left="1440"/>
        <w:rPr>
          <w:rFonts w:ascii="Times New Roman" w:hAnsi="Times New Roman"/>
        </w:rPr>
      </w:pPr>
    </w:p>
    <w:p w:rsidR="000C1D18" w:rsidP="006D1325" w:rsidRDefault="00A45D82" w14:paraId="45056E1D" w14:textId="77777777">
      <w:pPr>
        <w:numPr>
          <w:ilvl w:val="0"/>
          <w:numId w:val="20"/>
        </w:numPr>
        <w:tabs>
          <w:tab w:val="clear" w:pos="720"/>
          <w:tab w:val="num"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Pr="00DA5EC6" w:rsidR="00A45D82" w:rsidP="006D1325" w:rsidRDefault="00A45D82" w14:paraId="7C5E2333" w14:textId="77777777">
      <w:pPr>
        <w:ind w:left="1440"/>
        <w:rPr>
          <w:rFonts w:ascii="Times New Roman" w:hAnsi="Times New Roman"/>
        </w:rPr>
      </w:pPr>
      <w:r w:rsidRPr="00DA5EC6">
        <w:rPr>
          <w:rFonts w:ascii="Times New Roman" w:hAnsi="Times New Roman"/>
        </w:rPr>
        <w:t>The nature of the information</w:t>
      </w:r>
      <w:r w:rsidRPr="00DA5EC6" w:rsidR="0071437B">
        <w:rPr>
          <w:rFonts w:ascii="Times New Roman" w:hAnsi="Times New Roman"/>
        </w:rPr>
        <w:t xml:space="preserve"> we collect and the manner in which we collect</w:t>
      </w:r>
      <w:r w:rsidRPr="00DA5EC6" w:rsidR="00077E0E">
        <w:rPr>
          <w:rFonts w:ascii="Times New Roman" w:hAnsi="Times New Roman"/>
        </w:rPr>
        <w:t xml:space="preserve"> it preclude</w:t>
      </w:r>
      <w:r w:rsidRPr="00DA5EC6" w:rsidR="003176E1">
        <w:rPr>
          <w:rFonts w:ascii="Times New Roman" w:hAnsi="Times New Roman"/>
        </w:rPr>
        <w:t>s</w:t>
      </w:r>
      <w:r w:rsidRPr="00DA5EC6" w:rsidR="00077E0E">
        <w:rPr>
          <w:rFonts w:ascii="Times New Roman" w:hAnsi="Times New Roman"/>
        </w:rPr>
        <w:t xml:space="preserve"> duplication.  SSA does not use another collection instrument to obtain similar data.  </w:t>
      </w:r>
    </w:p>
    <w:p w:rsidRPr="00BC7F42" w:rsidR="00A45D82" w:rsidP="006D1325" w:rsidRDefault="00A45D82" w14:paraId="42796578" w14:textId="77777777">
      <w:pPr>
        <w:pStyle w:val="Header"/>
        <w:tabs>
          <w:tab w:val="clear" w:pos="4320"/>
          <w:tab w:val="clear" w:pos="8640"/>
        </w:tabs>
        <w:ind w:left="1440"/>
        <w:rPr>
          <w:rFonts w:ascii="Times New Roman" w:hAnsi="Times New Roman"/>
        </w:rPr>
      </w:pPr>
    </w:p>
    <w:p w:rsidRPr="00077E0E" w:rsidR="00077E0E" w:rsidP="006D1325" w:rsidRDefault="00077E0E" w14:paraId="463695DE" w14:textId="77777777">
      <w:pPr>
        <w:numPr>
          <w:ilvl w:val="0"/>
          <w:numId w:val="28"/>
        </w:numPr>
        <w:tabs>
          <w:tab w:val="clear" w:pos="360"/>
          <w:tab w:val="num" w:pos="1440"/>
        </w:tabs>
        <w:ind w:left="1440" w:hanging="720"/>
        <w:rPr>
          <w:rFonts w:ascii="Times New Roman" w:hAnsi="Times New Roman"/>
        </w:rPr>
      </w:pPr>
      <w:r>
        <w:rPr>
          <w:rFonts w:ascii="Times New Roman" w:hAnsi="Times New Roman"/>
          <w:b/>
        </w:rPr>
        <w:t>Minimizing Burden on Small Respondents</w:t>
      </w:r>
    </w:p>
    <w:p w:rsidRPr="00FE4BCC" w:rsidR="00077E0E" w:rsidP="006D1325" w:rsidRDefault="00077E0E" w14:paraId="3720475B" w14:textId="77777777">
      <w:pPr>
        <w:ind w:left="1440"/>
        <w:rPr>
          <w:rFonts w:ascii="Times New Roman" w:hAnsi="Times New Roman"/>
        </w:rPr>
      </w:pPr>
      <w:r w:rsidRPr="00FE4BCC">
        <w:rPr>
          <w:rFonts w:ascii="Times New Roman" w:hAnsi="Times New Roman"/>
        </w:rPr>
        <w:t xml:space="preserve">This collection does not affect small businesses or other small entities. </w:t>
      </w:r>
    </w:p>
    <w:p w:rsidRPr="00077E0E" w:rsidR="00E75DB0" w:rsidP="006D1325" w:rsidRDefault="00E75DB0" w14:paraId="6C5E4280" w14:textId="77777777">
      <w:pPr>
        <w:ind w:left="1440"/>
        <w:rPr>
          <w:rFonts w:ascii="Times New Roman" w:hAnsi="Times New Roman"/>
          <w:b/>
          <w:u w:val="single"/>
        </w:rPr>
      </w:pPr>
    </w:p>
    <w:p w:rsidR="0026052B" w:rsidP="006D1325" w:rsidRDefault="00A45D82" w14:paraId="772A1D89" w14:textId="77777777">
      <w:pPr>
        <w:tabs>
          <w:tab w:val="num"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Pr="001E56C6" w:rsidR="008341CB" w:rsidP="006D1325" w:rsidRDefault="0026052B" w14:paraId="25BC067C" w14:textId="77777777">
      <w:pPr>
        <w:ind w:left="1440"/>
        <w:rPr>
          <w:rFonts w:ascii="Times New Roman" w:hAnsi="Times New Roman"/>
        </w:rPr>
      </w:pPr>
      <w:r w:rsidRPr="001E56C6">
        <w:rPr>
          <w:rFonts w:ascii="Times New Roman" w:hAnsi="Times New Roman"/>
        </w:rPr>
        <w:t xml:space="preserve">If we did not use </w:t>
      </w:r>
      <w:r w:rsidR="00D703C3">
        <w:rPr>
          <w:rFonts w:ascii="Times New Roman" w:hAnsi="Times New Roman"/>
        </w:rPr>
        <w:t>F</w:t>
      </w:r>
      <w:r w:rsidRPr="001E56C6">
        <w:rPr>
          <w:rFonts w:ascii="Times New Roman" w:hAnsi="Times New Roman"/>
        </w:rPr>
        <w:t>orm SSA-</w:t>
      </w:r>
      <w:r w:rsidRPr="001E56C6" w:rsidR="006D6683">
        <w:rPr>
          <w:rFonts w:ascii="Times New Roman" w:hAnsi="Times New Roman"/>
        </w:rPr>
        <w:t>3105</w:t>
      </w:r>
      <w:r w:rsidRPr="001E56C6">
        <w:rPr>
          <w:rFonts w:ascii="Times New Roman" w:hAnsi="Times New Roman"/>
        </w:rPr>
        <w:t xml:space="preserve">, the </w:t>
      </w:r>
      <w:r w:rsidR="00016409">
        <w:rPr>
          <w:rFonts w:ascii="Times New Roman" w:hAnsi="Times New Roman"/>
        </w:rPr>
        <w:t xml:space="preserve">respondent </w:t>
      </w:r>
      <w:r w:rsidRPr="001E56C6">
        <w:rPr>
          <w:rFonts w:ascii="Times New Roman" w:hAnsi="Times New Roman"/>
        </w:rPr>
        <w:t xml:space="preserve">would </w:t>
      </w:r>
      <w:r w:rsidRPr="001E56C6" w:rsidR="001E56C6">
        <w:rPr>
          <w:rFonts w:ascii="Times New Roman" w:hAnsi="Times New Roman"/>
        </w:rPr>
        <w:t>still be able to contact SSA (at any time) if they want to request a lower rate of benefit withholding, installment payments, an explanation of the overpayment, an appeal, or a waiver.</w:t>
      </w:r>
      <w:r w:rsidRPr="001E56C6">
        <w:rPr>
          <w:rFonts w:ascii="Times New Roman" w:hAnsi="Times New Roman"/>
        </w:rPr>
        <w:t xml:space="preserve"> Because we only collect the information once, we cannot collect it less frequently.</w:t>
      </w:r>
      <w:r w:rsidRPr="001E56C6" w:rsidR="008341CB">
        <w:rPr>
          <w:rFonts w:ascii="Times New Roman" w:hAnsi="Times New Roman"/>
        </w:rPr>
        <w:t xml:space="preserve"> There are no technical or legal obstacles to burden reduction.</w:t>
      </w:r>
    </w:p>
    <w:p w:rsidRPr="00BC7F42" w:rsidR="00A45D82" w:rsidP="006D1325" w:rsidRDefault="00A45D82" w14:paraId="3951844F" w14:textId="77777777">
      <w:pPr>
        <w:ind w:left="1440"/>
        <w:rPr>
          <w:rFonts w:ascii="Times New Roman" w:hAnsi="Times New Roman"/>
        </w:rPr>
      </w:pPr>
    </w:p>
    <w:p w:rsidR="00127980" w:rsidP="006D1325" w:rsidRDefault="00A45D82" w14:paraId="074DAC8F" w14:textId="77777777">
      <w:pPr>
        <w:tabs>
          <w:tab w:val="num" w:pos="1440"/>
        </w:tabs>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Pr="00FE4BCC" w:rsidR="00A45D82" w:rsidP="006D1325" w:rsidRDefault="00A45D82" w14:paraId="49E1A5F7"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FE4BCC">
        <w:rPr>
          <w:rFonts w:ascii="Times New Roman" w:hAnsi="Times New Roman"/>
          <w:b w:val="0"/>
          <w:i w:val="0"/>
        </w:rPr>
        <w:t xml:space="preserve">There are no special circumstances that would cause </w:t>
      </w:r>
      <w:r w:rsidRPr="00FE4BCC" w:rsidR="002A4C30">
        <w:rPr>
          <w:rFonts w:ascii="Times New Roman" w:hAnsi="Times New Roman"/>
          <w:b w:val="0"/>
          <w:i w:val="0"/>
        </w:rPr>
        <w:t xml:space="preserve">SSA to conduct this information collection in a manner inconsistent with </w:t>
      </w:r>
      <w:r w:rsidRPr="00D703C3">
        <w:rPr>
          <w:rFonts w:ascii="Times New Roman" w:hAnsi="Times New Roman"/>
          <w:b w:val="0"/>
          <w:iCs w:val="0"/>
        </w:rPr>
        <w:t>5 CFR 1320.5</w:t>
      </w:r>
      <w:r w:rsidRPr="00FE4BCC">
        <w:rPr>
          <w:rFonts w:ascii="Times New Roman" w:hAnsi="Times New Roman"/>
          <w:b w:val="0"/>
          <w:i w:val="0"/>
        </w:rPr>
        <w:t>.</w:t>
      </w:r>
    </w:p>
    <w:p w:rsidRPr="00BC7F42" w:rsidR="00A45D82" w:rsidP="006D1325" w:rsidRDefault="00A45D82" w14:paraId="70A8E186" w14:textId="77777777">
      <w:pPr>
        <w:ind w:left="1440"/>
        <w:rPr>
          <w:rFonts w:ascii="Times New Roman" w:hAnsi="Times New Roman"/>
          <w:b/>
          <w:i/>
        </w:rPr>
      </w:pPr>
    </w:p>
    <w:p w:rsidRPr="00E8462C" w:rsidR="00E8462C" w:rsidP="006D1325" w:rsidRDefault="00A45D82" w14:paraId="19E0C7FE" w14:textId="77777777">
      <w:pPr>
        <w:numPr>
          <w:ilvl w:val="0"/>
          <w:numId w:val="14"/>
        </w:numPr>
        <w:tabs>
          <w:tab w:val="clear" w:pos="720"/>
          <w:tab w:val="num"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A45D82" w:rsidP="006D1325" w:rsidRDefault="00D703C3" w14:paraId="5F652DEB" w14:textId="77777777">
      <w:pPr>
        <w:ind w:left="1440"/>
        <w:rPr>
          <w:rFonts w:ascii="Times New Roman" w:hAnsi="Times New Roman"/>
        </w:rPr>
      </w:pPr>
      <w:r w:rsidRPr="00D703C3">
        <w:rPr>
          <w:rFonts w:ascii="Times New Roman" w:hAnsi="Times New Roman"/>
        </w:rPr>
        <w:t>The 60-day advance Federal Register Notice published on October 12, 2021 at 86 FR 56746, and we received no public comments.  The 30-day FRN published on January 3, 2022 at 87 FR 139.  If we receive any comments in response to this Notice, we will forward them to OMB</w:t>
      </w:r>
      <w:r w:rsidR="00C67C8A">
        <w:rPr>
          <w:rFonts w:ascii="Times New Roman" w:hAnsi="Times New Roman"/>
        </w:rPr>
        <w:t>.</w:t>
      </w:r>
    </w:p>
    <w:p w:rsidRPr="00BC7F42" w:rsidR="00A45D82" w:rsidP="006D1325" w:rsidRDefault="00A45D82" w14:paraId="479F779F" w14:textId="77777777">
      <w:pPr>
        <w:ind w:left="1440"/>
        <w:rPr>
          <w:rFonts w:ascii="Times New Roman" w:hAnsi="Times New Roman"/>
        </w:rPr>
      </w:pPr>
    </w:p>
    <w:p w:rsidR="00640A26" w:rsidP="006D1325" w:rsidRDefault="00A45D82" w14:paraId="4BBCF424"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Payment or Gifts to Respondents</w:t>
      </w:r>
    </w:p>
    <w:p w:rsidRPr="00FE4BCC" w:rsidR="00A45D82" w:rsidP="006D1325" w:rsidRDefault="00795BAB" w14:paraId="2AEED9B4" w14:textId="77777777">
      <w:pPr>
        <w:ind w:left="1440"/>
        <w:rPr>
          <w:rFonts w:ascii="Times New Roman" w:hAnsi="Times New Roman"/>
        </w:rPr>
      </w:pPr>
      <w:r w:rsidRPr="00FE4BCC">
        <w:rPr>
          <w:rFonts w:ascii="Times New Roman" w:hAnsi="Times New Roman"/>
        </w:rPr>
        <w:t>SSA does not provide payments or gifts</w:t>
      </w:r>
      <w:r w:rsidRPr="00FE4BCC" w:rsidR="00A45D82">
        <w:rPr>
          <w:rFonts w:ascii="Times New Roman" w:hAnsi="Times New Roman"/>
        </w:rPr>
        <w:t xml:space="preserve"> to the respondents. </w:t>
      </w:r>
    </w:p>
    <w:p w:rsidRPr="00BC7F42" w:rsidR="00A45D82" w:rsidP="006D1325" w:rsidRDefault="00A45D82" w14:paraId="282292F4" w14:textId="77777777">
      <w:pPr>
        <w:ind w:left="1440"/>
        <w:rPr>
          <w:rFonts w:ascii="Times New Roman" w:hAnsi="Times New Roman"/>
        </w:rPr>
      </w:pPr>
    </w:p>
    <w:p w:rsidR="00795BAB" w:rsidP="006D1325" w:rsidRDefault="00A45D82" w14:paraId="516C55D5"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Assurances of Confidentiality</w:t>
      </w:r>
    </w:p>
    <w:p w:rsidRPr="003C5DA1" w:rsidR="00A45D82" w:rsidP="006D1325" w:rsidRDefault="00145D4F" w14:paraId="4425B940" w14:textId="77777777">
      <w:pPr>
        <w:ind w:left="1440"/>
        <w:rPr>
          <w:rFonts w:ascii="Times New Roman" w:hAnsi="Times New Roman"/>
        </w:rPr>
      </w:pPr>
      <w:r w:rsidRPr="00145D4F">
        <w:rPr>
          <w:rFonts w:ascii="Times New Roman" w:hAnsi="Times New Roman"/>
          <w:snapToGrid/>
          <w:lang w:eastAsia="zh-CN"/>
        </w:rPr>
        <w:t xml:space="preserve">SSA protects and holds confidential the information it collects in accordance with </w:t>
      </w:r>
      <w:r w:rsidRPr="00145D4F">
        <w:rPr>
          <w:rFonts w:ascii="Times New Roman" w:hAnsi="Times New Roman"/>
          <w:i/>
          <w:snapToGrid/>
          <w:lang w:eastAsia="zh-CN"/>
        </w:rPr>
        <w:t>42 U.S.C. 1306, 20 CFR 401</w:t>
      </w:r>
      <w:r w:rsidRPr="00145D4F">
        <w:rPr>
          <w:rFonts w:ascii="Times New Roman" w:hAnsi="Times New Roman"/>
          <w:snapToGrid/>
          <w:lang w:eastAsia="zh-CN"/>
        </w:rPr>
        <w:t xml:space="preserve"> and </w:t>
      </w:r>
      <w:r w:rsidRPr="00145D4F">
        <w:rPr>
          <w:rFonts w:ascii="Times New Roman" w:hAnsi="Times New Roman"/>
          <w:i/>
          <w:snapToGrid/>
          <w:lang w:eastAsia="zh-CN"/>
        </w:rPr>
        <w:t>402, 5 U.S.C. 552</w:t>
      </w:r>
      <w:r w:rsidRPr="00145D4F">
        <w:rPr>
          <w:rFonts w:ascii="Times New Roman" w:hAnsi="Times New Roman"/>
          <w:snapToGrid/>
          <w:lang w:eastAsia="zh-CN"/>
        </w:rPr>
        <w:t xml:space="preserve"> (Freedom of Information Act), </w:t>
      </w:r>
      <w:r w:rsidRPr="00145D4F">
        <w:rPr>
          <w:rFonts w:ascii="Times New Roman" w:hAnsi="Times New Roman"/>
          <w:i/>
          <w:snapToGrid/>
          <w:lang w:eastAsia="zh-CN"/>
        </w:rPr>
        <w:t>5 U.S.C. 552a</w:t>
      </w:r>
      <w:r w:rsidRPr="00145D4F">
        <w:rPr>
          <w:rFonts w:ascii="Times New Roman" w:hAnsi="Times New Roman"/>
          <w:snapToGrid/>
          <w:lang w:eastAsia="zh-CN"/>
        </w:rPr>
        <w:t xml:space="preserve"> (Privacy Act of 1974), and OMB Circular No. A-130</w:t>
      </w:r>
      <w:r w:rsidRPr="003C5DA1" w:rsidR="00A45D82">
        <w:rPr>
          <w:rFonts w:ascii="Times New Roman" w:hAnsi="Times New Roman"/>
          <w:color w:val="0000FF"/>
        </w:rPr>
        <w:t>.</w:t>
      </w:r>
    </w:p>
    <w:p w:rsidR="00A45D82" w:rsidP="006D1325" w:rsidRDefault="00A45D82" w14:paraId="7640A32A" w14:textId="77777777">
      <w:pPr>
        <w:pStyle w:val="Header"/>
        <w:tabs>
          <w:tab w:val="clear" w:pos="4320"/>
          <w:tab w:val="clear" w:pos="8640"/>
        </w:tabs>
        <w:ind w:left="1440"/>
        <w:rPr>
          <w:rFonts w:ascii="Times New Roman" w:hAnsi="Times New Roman"/>
        </w:rPr>
      </w:pPr>
    </w:p>
    <w:p w:rsidR="00D0011E" w:rsidP="006D1325" w:rsidRDefault="00A45D82" w14:paraId="28C07713"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t>Justification for Sensitive Questions</w:t>
      </w:r>
    </w:p>
    <w:p w:rsidRPr="00D659E2" w:rsidR="00A45D82" w:rsidP="006D1325" w:rsidRDefault="00A45D82" w14:paraId="7AA4CE45"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D659E2">
        <w:rPr>
          <w:rFonts w:ascii="Times New Roman" w:hAnsi="Times New Roman"/>
          <w:b w:val="0"/>
          <w:i w:val="0"/>
        </w:rPr>
        <w:t>The information collection does not contain any questions of a sensitive nature.</w:t>
      </w:r>
    </w:p>
    <w:p w:rsidR="00A45D82" w:rsidP="00A45D82" w:rsidRDefault="00A45D82" w14:paraId="1F8A1A04" w14:textId="77777777">
      <w:pPr>
        <w:rPr>
          <w:rFonts w:ascii="Times New Roman" w:hAnsi="Times New Roman"/>
        </w:rPr>
      </w:pPr>
    </w:p>
    <w:p w:rsidRPr="00BC7F42" w:rsidR="00A52DD5" w:rsidP="00A45D82" w:rsidRDefault="00A52DD5" w14:paraId="1014C321" w14:textId="77777777">
      <w:pPr>
        <w:rPr>
          <w:rFonts w:ascii="Times New Roman" w:hAnsi="Times New Roman"/>
        </w:rPr>
      </w:pPr>
    </w:p>
    <w:p w:rsidR="003E145C" w:rsidP="006D1325" w:rsidRDefault="00A45D82" w14:paraId="078E7AE5" w14:textId="77777777">
      <w:pPr>
        <w:numPr>
          <w:ilvl w:val="0"/>
          <w:numId w:val="14"/>
        </w:numPr>
        <w:tabs>
          <w:tab w:val="clear" w:pos="720"/>
          <w:tab w:val="num" w:pos="1440"/>
        </w:tabs>
        <w:ind w:left="1440"/>
        <w:rPr>
          <w:rFonts w:ascii="Times New Roman" w:hAnsi="Times New Roman"/>
          <w:b/>
        </w:rPr>
      </w:pPr>
      <w:r w:rsidRPr="00BC7F42">
        <w:rPr>
          <w:rFonts w:ascii="Times New Roman" w:hAnsi="Times New Roman"/>
          <w:b/>
        </w:rPr>
        <w:lastRenderedPageBreak/>
        <w:t>Estimates of Public Reporting Burden</w:t>
      </w:r>
    </w:p>
    <w:p w:rsidRPr="00480981" w:rsidR="00CA65FE" w:rsidP="006D1325" w:rsidRDefault="00831CCD" w14:paraId="000D559F" w14:textId="77777777">
      <w:pPr>
        <w:pStyle w:val="ListParagraph"/>
        <w:ind w:left="1440"/>
        <w:rPr>
          <w:rFonts w:ascii="Times New Roman" w:hAnsi="Times New Roman"/>
        </w:rPr>
      </w:pPr>
      <w:r w:rsidRPr="00480981">
        <w:rPr>
          <w:rFonts w:ascii="Times New Roman" w:hAnsi="Times New Roman"/>
        </w:rPr>
        <w:t>Please see the burden chart below:</w:t>
      </w:r>
    </w:p>
    <w:p w:rsidR="00480981" w:rsidP="004238CA" w:rsidRDefault="00480981" w14:paraId="1A9A719B" w14:textId="77777777">
      <w:pPr>
        <w:pStyle w:val="ListParagraph"/>
        <w:rPr>
          <w:rFonts w:ascii="Times New Roman" w:hAnsi="Times New Roman"/>
          <w:i/>
        </w:rPr>
      </w:pPr>
    </w:p>
    <w:tbl>
      <w:tblPr>
        <w:tblW w:w="11700" w:type="dxa"/>
        <w:tblInd w:w="-1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1"/>
        <w:gridCol w:w="1526"/>
        <w:gridCol w:w="1326"/>
        <w:gridCol w:w="1219"/>
        <w:gridCol w:w="1257"/>
        <w:gridCol w:w="1555"/>
        <w:gridCol w:w="1470"/>
        <w:gridCol w:w="1656"/>
      </w:tblGrid>
      <w:tr w:rsidRPr="00CA65FE" w:rsidR="00CA65FE" w:rsidTr="00CA65FE" w14:paraId="1125D025" w14:textId="77777777">
        <w:tc>
          <w:tcPr>
            <w:tcW w:w="1691" w:type="dxa"/>
            <w:shd w:val="clear" w:color="auto" w:fill="auto"/>
          </w:tcPr>
          <w:p w:rsidRPr="00CA65FE" w:rsidR="00CA65FE" w:rsidP="00CA65FE" w:rsidRDefault="00CA65FE" w14:paraId="32050DA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bookmarkStart w:name="_Hlk78275191" w:id="0"/>
            <w:r w:rsidRPr="00CA65FE">
              <w:rPr>
                <w:rFonts w:ascii="Times New Roman" w:hAnsi="Times New Roman" w:eastAsia="Calibri"/>
                <w:b/>
                <w:snapToGrid/>
                <w:lang w:val="x-none" w:eastAsia="zh-CN"/>
              </w:rPr>
              <w:t>Modality of Completion</w:t>
            </w:r>
          </w:p>
        </w:tc>
        <w:tc>
          <w:tcPr>
            <w:tcW w:w="1526" w:type="dxa"/>
            <w:shd w:val="clear" w:color="auto" w:fill="auto"/>
          </w:tcPr>
          <w:p w:rsidRPr="00CA65FE" w:rsidR="00CA65FE" w:rsidP="00CA65FE" w:rsidRDefault="00CA65FE" w14:paraId="06EA2FC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CA65FE">
              <w:rPr>
                <w:rFonts w:ascii="Times New Roman" w:hAnsi="Times New Roman" w:eastAsia="Calibri"/>
                <w:b/>
                <w:snapToGrid/>
                <w:lang w:val="x-none" w:eastAsia="zh-CN"/>
              </w:rPr>
              <w:t>Number of Respondents</w:t>
            </w:r>
          </w:p>
        </w:tc>
        <w:tc>
          <w:tcPr>
            <w:tcW w:w="1326" w:type="dxa"/>
            <w:shd w:val="clear" w:color="auto" w:fill="auto"/>
          </w:tcPr>
          <w:p w:rsidRPr="00CA65FE" w:rsidR="00CA65FE" w:rsidP="00CA65FE" w:rsidRDefault="00CA65FE" w14:paraId="6136F68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CA65FE">
              <w:rPr>
                <w:rFonts w:ascii="Times New Roman" w:hAnsi="Times New Roman" w:eastAsia="Calibri"/>
                <w:b/>
                <w:snapToGrid/>
                <w:lang w:val="x-none" w:eastAsia="zh-CN"/>
              </w:rPr>
              <w:t>Frequency of Response</w:t>
            </w:r>
          </w:p>
        </w:tc>
        <w:tc>
          <w:tcPr>
            <w:tcW w:w="1219" w:type="dxa"/>
            <w:shd w:val="clear" w:color="auto" w:fill="auto"/>
          </w:tcPr>
          <w:p w:rsidRPr="00CA65FE" w:rsidR="00CA65FE" w:rsidP="00CA65FE" w:rsidRDefault="00CA65FE" w14:paraId="149D473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CA65FE">
              <w:rPr>
                <w:rFonts w:ascii="Times New Roman" w:hAnsi="Times New Roman" w:eastAsia="Calibri"/>
                <w:b/>
                <w:snapToGrid/>
                <w:lang w:val="x-none" w:eastAsia="zh-CN"/>
              </w:rPr>
              <w:t>Average Burden Per Response (minutes)</w:t>
            </w:r>
          </w:p>
        </w:tc>
        <w:tc>
          <w:tcPr>
            <w:tcW w:w="1257" w:type="dxa"/>
            <w:shd w:val="clear" w:color="auto" w:fill="auto"/>
          </w:tcPr>
          <w:p w:rsidRPr="00CA65FE" w:rsidR="00CA65FE" w:rsidP="00CA65FE" w:rsidRDefault="00CA65FE" w14:paraId="70C26B4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CA65FE">
              <w:rPr>
                <w:rFonts w:ascii="Times New Roman" w:hAnsi="Times New Roman" w:eastAsia="Calibri"/>
                <w:b/>
                <w:snapToGrid/>
                <w:lang w:val="x-none" w:eastAsia="zh-CN"/>
              </w:rPr>
              <w:t>Estimated Total Annual Burden (hours)</w:t>
            </w:r>
          </w:p>
        </w:tc>
        <w:tc>
          <w:tcPr>
            <w:tcW w:w="1555" w:type="dxa"/>
            <w:shd w:val="clear" w:color="auto" w:fill="auto"/>
          </w:tcPr>
          <w:p w:rsidRPr="00CA65FE" w:rsidR="00CA65FE" w:rsidP="00CA65FE" w:rsidRDefault="00CA65FE" w14:paraId="6D99D87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CA65FE">
              <w:rPr>
                <w:rFonts w:ascii="Times New Roman" w:hAnsi="Times New Roman" w:eastAsia="Calibri"/>
                <w:b/>
                <w:snapToGrid/>
                <w:lang w:val="x-none" w:eastAsia="zh-CN"/>
              </w:rPr>
              <w:t>Average Theoretical Hourly Cost Amount (dollars)*</w:t>
            </w:r>
          </w:p>
        </w:tc>
        <w:tc>
          <w:tcPr>
            <w:tcW w:w="1470" w:type="dxa"/>
            <w:shd w:val="clear" w:color="auto" w:fill="auto"/>
          </w:tcPr>
          <w:p w:rsidRPr="00CA65FE" w:rsidR="00CA65FE" w:rsidP="00CA65FE" w:rsidRDefault="00CA65FE" w14:paraId="4211E8BB" w14:textId="77777777">
            <w:pPr>
              <w:widowControl/>
              <w:suppressAutoHyphens/>
              <w:autoSpaceDE w:val="0"/>
              <w:autoSpaceDN w:val="0"/>
              <w:adjustRightInd w:val="0"/>
              <w:rPr>
                <w:rFonts w:ascii="Times New Roman" w:hAnsi="Times New Roman" w:eastAsia="Calibri"/>
                <w:b/>
                <w:snapToGrid/>
                <w:lang w:eastAsia="ar-SA"/>
              </w:rPr>
            </w:pPr>
            <w:r w:rsidRPr="00CA65FE">
              <w:rPr>
                <w:rFonts w:ascii="Times New Roman" w:hAnsi="Times New Roman" w:eastAsia="Calibri"/>
                <w:b/>
                <w:snapToGrid/>
                <w:lang w:eastAsia="ar-SA"/>
              </w:rPr>
              <w:t xml:space="preserve">Average Wait Time in Field Office or for Teleservice Centers </w:t>
            </w:r>
          </w:p>
          <w:p w:rsidRPr="00CA65FE" w:rsidR="00CA65FE" w:rsidP="00CA65FE" w:rsidRDefault="00CA65FE" w14:paraId="441A1AE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CA65FE">
              <w:rPr>
                <w:rFonts w:ascii="Times New Roman" w:hAnsi="Times New Roman" w:eastAsia="Calibri"/>
                <w:b/>
                <w:snapToGrid/>
                <w:lang w:val="x-none" w:eastAsia="zh-CN"/>
              </w:rPr>
              <w:t>(minutes) **</w:t>
            </w:r>
          </w:p>
        </w:tc>
        <w:tc>
          <w:tcPr>
            <w:tcW w:w="1656" w:type="dxa"/>
            <w:shd w:val="clear" w:color="auto" w:fill="auto"/>
          </w:tcPr>
          <w:p w:rsidRPr="00CA65FE" w:rsidR="00CA65FE" w:rsidP="00CA65FE" w:rsidRDefault="00CA65FE" w14:paraId="38863ED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CA65FE">
              <w:rPr>
                <w:rFonts w:ascii="Times New Roman" w:hAnsi="Times New Roman"/>
                <w:b/>
                <w:lang w:val="x-none" w:eastAsia="zh-CN"/>
              </w:rPr>
              <w:t>Total Annual Opportunity Cost (dollars)***</w:t>
            </w:r>
          </w:p>
        </w:tc>
      </w:tr>
      <w:tr w:rsidRPr="00CA65FE" w:rsidR="00CA65FE" w:rsidTr="00CA65FE" w14:paraId="6D77C29F" w14:textId="77777777">
        <w:tc>
          <w:tcPr>
            <w:tcW w:w="1691" w:type="dxa"/>
            <w:shd w:val="clear" w:color="auto" w:fill="auto"/>
          </w:tcPr>
          <w:p w:rsidRPr="00CA65FE" w:rsidR="00CA65FE" w:rsidP="00CA65FE" w:rsidRDefault="00CA65FE" w14:paraId="72AECF97" w14:textId="77777777">
            <w:pPr>
              <w:widowControl/>
              <w:rPr>
                <w:rFonts w:ascii="Times New Roman" w:hAnsi="Times New Roman" w:eastAsia="Calibri"/>
                <w:snapToGrid/>
                <w:lang w:eastAsia="zh-CN"/>
              </w:rPr>
            </w:pPr>
            <w:r w:rsidRPr="00CA65FE">
              <w:rPr>
                <w:rFonts w:ascii="Times New Roman" w:hAnsi="Times New Roman" w:eastAsia="Calibri"/>
                <w:snapToGrid/>
                <w:lang w:eastAsia="zh-CN"/>
              </w:rPr>
              <w:t>SSA-3105</w:t>
            </w:r>
          </w:p>
          <w:p w:rsidRPr="00CA65FE" w:rsidR="00CA65FE" w:rsidP="00CA65FE" w:rsidRDefault="00CA65FE" w14:paraId="375EBDE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CA65FE">
              <w:rPr>
                <w:rFonts w:ascii="Times New Roman" w:hAnsi="Times New Roman" w:eastAsia="Calibri"/>
                <w:snapToGrid/>
                <w:lang w:eastAsia="zh-CN"/>
              </w:rPr>
              <w:t>(Paper Form)</w:t>
            </w:r>
          </w:p>
        </w:tc>
        <w:tc>
          <w:tcPr>
            <w:tcW w:w="1526" w:type="dxa"/>
            <w:shd w:val="clear" w:color="auto" w:fill="auto"/>
          </w:tcPr>
          <w:p w:rsidRPr="00CA65FE" w:rsidR="00CA65FE" w:rsidP="00CA65FE" w:rsidRDefault="00CA65FE" w14:paraId="48A73B7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CA65FE">
              <w:rPr>
                <w:rFonts w:ascii="Times New Roman" w:hAnsi="Times New Roman" w:eastAsia="Calibri"/>
                <w:snapToGrid/>
                <w:lang w:eastAsia="zh-CN"/>
              </w:rPr>
              <w:t>500,000</w:t>
            </w:r>
          </w:p>
        </w:tc>
        <w:tc>
          <w:tcPr>
            <w:tcW w:w="1326" w:type="dxa"/>
            <w:shd w:val="clear" w:color="auto" w:fill="auto"/>
          </w:tcPr>
          <w:p w:rsidRPr="00CA65FE" w:rsidR="00CA65FE" w:rsidP="00CA65FE" w:rsidRDefault="00CA65FE" w14:paraId="52A18FE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CA65FE">
              <w:rPr>
                <w:rFonts w:ascii="Times New Roman" w:hAnsi="Times New Roman" w:eastAsia="Calibri"/>
                <w:snapToGrid/>
                <w:lang w:eastAsia="zh-CN"/>
              </w:rPr>
              <w:t>1</w:t>
            </w:r>
          </w:p>
        </w:tc>
        <w:tc>
          <w:tcPr>
            <w:tcW w:w="1219" w:type="dxa"/>
            <w:shd w:val="clear" w:color="auto" w:fill="auto"/>
          </w:tcPr>
          <w:p w:rsidRPr="00CA65FE" w:rsidR="00CA65FE" w:rsidP="00CA65FE" w:rsidRDefault="00CA65FE" w14:paraId="1B19C5C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CA65FE">
              <w:rPr>
                <w:rFonts w:ascii="Times New Roman" w:hAnsi="Times New Roman" w:eastAsia="Calibri"/>
                <w:snapToGrid/>
                <w:lang w:eastAsia="zh-CN"/>
              </w:rPr>
              <w:t>15</w:t>
            </w:r>
          </w:p>
        </w:tc>
        <w:tc>
          <w:tcPr>
            <w:tcW w:w="1257"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46C4C2E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eastAsia="zh-CN"/>
              </w:rPr>
            </w:pPr>
            <w:r w:rsidRPr="00CA65FE">
              <w:rPr>
                <w:rFonts w:ascii="Times New Roman" w:hAnsi="Times New Roman" w:eastAsia="Calibri"/>
                <w:snapToGrid/>
                <w:lang w:eastAsia="zh-CN"/>
              </w:rPr>
              <w:t>125,000</w:t>
            </w:r>
          </w:p>
        </w:tc>
        <w:tc>
          <w:tcPr>
            <w:tcW w:w="1555"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0576C5F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CA65FE">
              <w:rPr>
                <w:rFonts w:ascii="Times New Roman" w:hAnsi="Times New Roman"/>
                <w:snapToGrid/>
                <w:lang w:val="x-none" w:eastAsia="ar-SA"/>
              </w:rPr>
              <w:t>$10.95*</w:t>
            </w:r>
          </w:p>
        </w:tc>
        <w:tc>
          <w:tcPr>
            <w:tcW w:w="1470"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389502E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CA65FE">
              <w:rPr>
                <w:rFonts w:ascii="Times New Roman" w:hAnsi="Times New Roman"/>
                <w:snapToGrid/>
                <w:lang w:val="x-none" w:eastAsia="ar-SA"/>
              </w:rPr>
              <w:t>21**</w:t>
            </w:r>
          </w:p>
        </w:tc>
        <w:tc>
          <w:tcPr>
            <w:tcW w:w="1656"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479D028D"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CA65FE">
              <w:rPr>
                <w:rFonts w:ascii="Times New Roman" w:hAnsi="Times New Roman"/>
                <w:lang w:val="x-none" w:eastAsia="ar-SA"/>
              </w:rPr>
              <w:t>$</w:t>
            </w:r>
            <w:r w:rsidRPr="00CA65FE">
              <w:rPr>
                <w:rFonts w:ascii="Times New Roman" w:hAnsi="Times New Roman"/>
                <w:lang w:eastAsia="ar-SA"/>
              </w:rPr>
              <w:t>3,285,000</w:t>
            </w:r>
            <w:r w:rsidRPr="00CA65FE">
              <w:rPr>
                <w:rFonts w:ascii="Times New Roman" w:hAnsi="Times New Roman"/>
                <w:lang w:val="x-none" w:eastAsia="ar-SA"/>
              </w:rPr>
              <w:t>***</w:t>
            </w:r>
          </w:p>
        </w:tc>
      </w:tr>
      <w:tr w:rsidRPr="00CA65FE" w:rsidR="00CA65FE" w:rsidTr="00CA65FE" w14:paraId="6C83C638" w14:textId="77777777">
        <w:tc>
          <w:tcPr>
            <w:tcW w:w="1691" w:type="dxa"/>
            <w:shd w:val="clear" w:color="auto" w:fill="auto"/>
          </w:tcPr>
          <w:p w:rsidRPr="00CA65FE" w:rsidR="00CA65FE" w:rsidP="00CA65FE" w:rsidRDefault="00CA65FE" w14:paraId="26724114"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snapToGrid/>
                <w:lang w:val="x-none" w:eastAsia="zh-CN"/>
              </w:rPr>
            </w:pPr>
            <w:r w:rsidRPr="00CA65FE">
              <w:rPr>
                <w:rFonts w:ascii="Times New Roman" w:hAnsi="Times New Roman" w:eastAsia="Calibri"/>
                <w:snapToGrid/>
                <w:lang w:eastAsia="zh-CN"/>
              </w:rPr>
              <w:t>Debt Management System</w:t>
            </w:r>
          </w:p>
        </w:tc>
        <w:tc>
          <w:tcPr>
            <w:tcW w:w="1526" w:type="dxa"/>
            <w:shd w:val="clear" w:color="auto" w:fill="auto"/>
          </w:tcPr>
          <w:p w:rsidRPr="00CA65FE" w:rsidR="00CA65FE" w:rsidP="00CA65FE" w:rsidRDefault="00CA65FE" w14:paraId="083764BA"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CA65FE">
              <w:rPr>
                <w:rFonts w:ascii="Times New Roman" w:hAnsi="Times New Roman" w:eastAsia="Calibri"/>
                <w:snapToGrid/>
                <w:lang w:eastAsia="zh-CN"/>
              </w:rPr>
              <w:t>166,666</w:t>
            </w:r>
          </w:p>
        </w:tc>
        <w:tc>
          <w:tcPr>
            <w:tcW w:w="1326" w:type="dxa"/>
            <w:shd w:val="clear" w:color="auto" w:fill="auto"/>
          </w:tcPr>
          <w:p w:rsidRPr="00CA65FE" w:rsidR="00CA65FE" w:rsidP="00CA65FE" w:rsidRDefault="00CA65FE" w14:paraId="501FD97C"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CA65FE">
              <w:rPr>
                <w:rFonts w:ascii="Times New Roman" w:hAnsi="Times New Roman" w:eastAsia="Calibri"/>
                <w:snapToGrid/>
                <w:lang w:eastAsia="zh-CN"/>
              </w:rPr>
              <w:t>1</w:t>
            </w:r>
          </w:p>
        </w:tc>
        <w:tc>
          <w:tcPr>
            <w:tcW w:w="1219" w:type="dxa"/>
            <w:shd w:val="clear" w:color="auto" w:fill="auto"/>
          </w:tcPr>
          <w:p w:rsidRPr="00CA65FE" w:rsidR="00CA65FE" w:rsidP="00CA65FE" w:rsidRDefault="00CA65FE" w14:paraId="70E74070"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CA65FE">
              <w:rPr>
                <w:rFonts w:ascii="Times New Roman" w:hAnsi="Times New Roman" w:eastAsia="Calibri"/>
                <w:snapToGrid/>
                <w:lang w:eastAsia="zh-CN"/>
              </w:rPr>
              <w:t>15</w:t>
            </w:r>
          </w:p>
        </w:tc>
        <w:tc>
          <w:tcPr>
            <w:tcW w:w="1257"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729FF315"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eastAsia="zh-CN"/>
              </w:rPr>
            </w:pPr>
            <w:r w:rsidRPr="00CA65FE">
              <w:rPr>
                <w:rFonts w:ascii="Times New Roman" w:hAnsi="Times New Roman" w:eastAsia="Calibri"/>
                <w:snapToGrid/>
                <w:lang w:eastAsia="zh-CN"/>
              </w:rPr>
              <w:t>41,667</w:t>
            </w:r>
          </w:p>
        </w:tc>
        <w:tc>
          <w:tcPr>
            <w:tcW w:w="1555"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7D3D6A2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CA65FE">
              <w:rPr>
                <w:rFonts w:ascii="Times New Roman" w:hAnsi="Times New Roman"/>
                <w:snapToGrid/>
                <w:lang w:val="x-none" w:eastAsia="ar-SA"/>
              </w:rPr>
              <w:t>$10.95*</w:t>
            </w:r>
          </w:p>
        </w:tc>
        <w:tc>
          <w:tcPr>
            <w:tcW w:w="1470"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381D7DC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eastAsia="zh-CN"/>
              </w:rPr>
            </w:pPr>
            <w:r w:rsidRPr="00CA65FE">
              <w:rPr>
                <w:rFonts w:ascii="Times New Roman" w:hAnsi="Times New Roman" w:eastAsia="Calibri"/>
                <w:snapToGrid/>
                <w:lang w:eastAsia="zh-CN"/>
              </w:rPr>
              <w:t>21**</w:t>
            </w:r>
          </w:p>
        </w:tc>
        <w:tc>
          <w:tcPr>
            <w:tcW w:w="1656"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5E6F3CFE"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snapToGrid/>
                <w:lang w:val="x-none" w:eastAsia="zh-CN"/>
              </w:rPr>
            </w:pPr>
            <w:r w:rsidRPr="00CA65FE">
              <w:rPr>
                <w:rFonts w:ascii="Times New Roman" w:hAnsi="Times New Roman"/>
                <w:lang w:val="x-none" w:eastAsia="ar-SA"/>
              </w:rPr>
              <w:t>$</w:t>
            </w:r>
            <w:r w:rsidRPr="00CA65FE">
              <w:rPr>
                <w:rFonts w:ascii="Times New Roman" w:hAnsi="Times New Roman"/>
                <w:lang w:eastAsia="ar-SA"/>
              </w:rPr>
              <w:t>1,095,000</w:t>
            </w:r>
            <w:r w:rsidRPr="00CA65FE">
              <w:rPr>
                <w:rFonts w:ascii="Times New Roman" w:hAnsi="Times New Roman"/>
                <w:lang w:val="x-none" w:eastAsia="ar-SA"/>
              </w:rPr>
              <w:t>***</w:t>
            </w:r>
          </w:p>
        </w:tc>
      </w:tr>
      <w:tr w:rsidRPr="00CA65FE" w:rsidR="00CA65FE" w:rsidTr="00CA65FE" w14:paraId="28A9586C" w14:textId="77777777">
        <w:tc>
          <w:tcPr>
            <w:tcW w:w="1691" w:type="dxa"/>
            <w:shd w:val="clear" w:color="auto" w:fill="auto"/>
          </w:tcPr>
          <w:p w:rsidRPr="00CA65FE" w:rsidR="00CA65FE" w:rsidP="00CA65FE" w:rsidRDefault="00CA65FE" w14:paraId="16584C68"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eastAsia="Calibri"/>
                <w:b/>
                <w:snapToGrid/>
                <w:lang w:val="x-none" w:eastAsia="zh-CN"/>
              </w:rPr>
            </w:pPr>
            <w:r w:rsidRPr="00CA65FE">
              <w:rPr>
                <w:rFonts w:ascii="Times New Roman" w:hAnsi="Times New Roman" w:eastAsia="Calibri"/>
                <w:b/>
                <w:snapToGrid/>
                <w:lang w:eastAsia="zh-CN"/>
              </w:rPr>
              <w:t>Totals</w:t>
            </w:r>
          </w:p>
        </w:tc>
        <w:tc>
          <w:tcPr>
            <w:tcW w:w="1526" w:type="dxa"/>
            <w:shd w:val="clear" w:color="auto" w:fill="auto"/>
          </w:tcPr>
          <w:p w:rsidRPr="00CA65FE" w:rsidR="00CA65FE" w:rsidP="00CA65FE" w:rsidRDefault="00CA65FE" w14:paraId="5477E136"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snapToGrid/>
                <w:lang w:val="x-none" w:eastAsia="zh-CN"/>
              </w:rPr>
            </w:pPr>
            <w:r w:rsidRPr="00CA65FE">
              <w:rPr>
                <w:rFonts w:ascii="Times New Roman" w:hAnsi="Times New Roman" w:eastAsia="Calibri"/>
                <w:b/>
                <w:snapToGrid/>
                <w:lang w:eastAsia="zh-CN"/>
              </w:rPr>
              <w:t>666,666</w:t>
            </w:r>
          </w:p>
        </w:tc>
        <w:tc>
          <w:tcPr>
            <w:tcW w:w="1326" w:type="dxa"/>
            <w:shd w:val="clear" w:color="auto" w:fill="auto"/>
          </w:tcPr>
          <w:p w:rsidRPr="00CA65FE" w:rsidR="00CA65FE" w:rsidP="00CA65FE" w:rsidRDefault="00CA65FE" w14:paraId="1607ADA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snapToGrid/>
                <w:lang w:val="x-none" w:eastAsia="zh-CN"/>
              </w:rPr>
            </w:pPr>
          </w:p>
        </w:tc>
        <w:tc>
          <w:tcPr>
            <w:tcW w:w="1219" w:type="dxa"/>
            <w:shd w:val="clear" w:color="auto" w:fill="auto"/>
          </w:tcPr>
          <w:p w:rsidRPr="00CA65FE" w:rsidR="00CA65FE" w:rsidP="00CA65FE" w:rsidRDefault="00CA65FE" w14:paraId="3F9CF19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snapToGrid/>
                <w:lang w:val="x-none" w:eastAsia="zh-CN"/>
              </w:rPr>
            </w:pPr>
          </w:p>
        </w:tc>
        <w:tc>
          <w:tcPr>
            <w:tcW w:w="1257"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02ED5AF2"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snapToGrid/>
                <w:lang w:eastAsia="zh-CN"/>
              </w:rPr>
            </w:pPr>
            <w:r w:rsidRPr="00CA65FE">
              <w:rPr>
                <w:rFonts w:ascii="Times New Roman" w:hAnsi="Times New Roman" w:eastAsia="Calibri"/>
                <w:b/>
                <w:snapToGrid/>
                <w:lang w:eastAsia="zh-CN"/>
              </w:rPr>
              <w:t>166,667</w:t>
            </w:r>
          </w:p>
        </w:tc>
        <w:tc>
          <w:tcPr>
            <w:tcW w:w="1555"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66C699A7"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snapToGrid/>
                <w:lang w:val="x-none" w:eastAsia="zh-CN"/>
              </w:rPr>
            </w:pPr>
          </w:p>
        </w:tc>
        <w:tc>
          <w:tcPr>
            <w:tcW w:w="1470"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6C018E29"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snapToGrid/>
                <w:lang w:val="x-none" w:eastAsia="zh-CN"/>
              </w:rPr>
            </w:pPr>
          </w:p>
        </w:tc>
        <w:tc>
          <w:tcPr>
            <w:tcW w:w="1656" w:type="dxa"/>
            <w:tcBorders>
              <w:top w:val="single" w:color="auto" w:sz="4" w:space="0"/>
              <w:left w:val="single" w:color="auto" w:sz="4" w:space="0"/>
              <w:bottom w:val="single" w:color="auto" w:sz="4" w:space="0"/>
              <w:right w:val="single" w:color="auto" w:sz="4" w:space="0"/>
            </w:tcBorders>
            <w:shd w:val="clear" w:color="auto" w:fill="auto"/>
          </w:tcPr>
          <w:p w:rsidRPr="00CA65FE" w:rsidR="00CA65FE" w:rsidP="00CA65FE" w:rsidRDefault="00CA65FE" w14:paraId="12B79A5B"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eastAsia="Calibri"/>
                <w:b/>
                <w:snapToGrid/>
                <w:lang w:val="x-none" w:eastAsia="zh-CN"/>
              </w:rPr>
            </w:pPr>
            <w:r w:rsidRPr="00CA65FE">
              <w:rPr>
                <w:rFonts w:ascii="Times New Roman" w:hAnsi="Times New Roman"/>
                <w:b/>
                <w:lang w:val="x-none" w:eastAsia="ar-SA"/>
              </w:rPr>
              <w:t>$</w:t>
            </w:r>
            <w:r w:rsidRPr="00CA65FE">
              <w:rPr>
                <w:rFonts w:ascii="Times New Roman" w:hAnsi="Times New Roman"/>
                <w:b/>
                <w:lang w:eastAsia="ar-SA"/>
              </w:rPr>
              <w:t>4,380,000</w:t>
            </w:r>
            <w:r w:rsidRPr="00CA65FE">
              <w:rPr>
                <w:rFonts w:ascii="Times New Roman" w:hAnsi="Times New Roman"/>
                <w:b/>
                <w:lang w:val="x-none" w:eastAsia="ar-SA"/>
              </w:rPr>
              <w:t>***</w:t>
            </w:r>
          </w:p>
        </w:tc>
      </w:tr>
    </w:tbl>
    <w:bookmarkEnd w:id="0"/>
    <w:p w:rsidR="00CA65FE" w:rsidP="00CA65FE" w:rsidRDefault="00CA65FE" w14:paraId="03B1E607" w14:textId="77777777">
      <w:pPr>
        <w:widowControl/>
        <w:suppressAutoHyphens/>
        <w:ind w:left="1440"/>
        <w:rPr>
          <w:rFonts w:ascii="Times New Roman" w:hAnsi="Times New Roman" w:eastAsia="SimSun"/>
          <w:snapToGrid/>
          <w:lang w:eastAsia="ar-SA"/>
        </w:rPr>
      </w:pPr>
      <w:r w:rsidRPr="00CA65FE">
        <w:rPr>
          <w:rFonts w:ascii="Times New Roman" w:hAnsi="Times New Roman" w:eastAsia="Calibri"/>
          <w:snapToGrid/>
          <w:lang w:eastAsia="ar-SA"/>
        </w:rPr>
        <w:t xml:space="preserve">* We based </w:t>
      </w:r>
      <w:r w:rsidRPr="00CA65FE">
        <w:rPr>
          <w:rFonts w:ascii="Times New Roman" w:hAnsi="Times New Roman" w:eastAsia="SimSun"/>
          <w:snapToGrid/>
          <w:lang w:eastAsia="ar-SA"/>
        </w:rPr>
        <w:t xml:space="preserve">this figure on </w:t>
      </w:r>
      <w:r w:rsidRPr="00CA65FE">
        <w:rPr>
          <w:rFonts w:ascii="Times New Roman" w:hAnsi="Times New Roman" w:eastAsia="Calibri"/>
          <w:snapToGrid/>
          <w:lang w:eastAsia="ar-SA"/>
        </w:rPr>
        <w:t>the average DI payments based on SSA's current FY 2021 data (</w:t>
      </w:r>
      <w:hyperlink w:history="1" r:id="rId8">
        <w:r w:rsidRPr="00CA65FE">
          <w:rPr>
            <w:rFonts w:ascii="Times New Roman" w:hAnsi="Times New Roman" w:eastAsia="SimSun"/>
            <w:snapToGrid/>
            <w:color w:val="0070C0"/>
            <w:u w:val="single"/>
            <w:lang w:eastAsia="ar-SA"/>
          </w:rPr>
          <w:t>https://www.ssa.gov/legislation/2021FactSheet.pdf</w:t>
        </w:r>
      </w:hyperlink>
      <w:r w:rsidRPr="00CA65FE">
        <w:rPr>
          <w:rFonts w:ascii="Times New Roman" w:hAnsi="Times New Roman" w:eastAsia="Calibri"/>
          <w:snapToGrid/>
          <w:lang w:eastAsia="ar-SA"/>
        </w:rPr>
        <w:t>)</w:t>
      </w:r>
      <w:r w:rsidRPr="00CA65FE">
        <w:rPr>
          <w:rFonts w:ascii="Times New Roman" w:hAnsi="Times New Roman" w:eastAsia="SimSun"/>
          <w:snapToGrid/>
          <w:lang w:eastAsia="ar-SA"/>
        </w:rPr>
        <w:t>.</w:t>
      </w:r>
    </w:p>
    <w:p w:rsidRPr="00CA65FE" w:rsidR="00CA65FE" w:rsidP="00CA65FE" w:rsidRDefault="00CA65FE" w14:paraId="5AD25642" w14:textId="77777777">
      <w:pPr>
        <w:widowControl/>
        <w:suppressAutoHyphens/>
        <w:ind w:left="1440"/>
        <w:rPr>
          <w:rFonts w:ascii="Times New Roman" w:hAnsi="Times New Roman" w:eastAsia="SimSun"/>
          <w:snapToGrid/>
        </w:rPr>
      </w:pPr>
    </w:p>
    <w:p w:rsidR="00CA65FE" w:rsidP="00CA65FE" w:rsidRDefault="00CA65FE" w14:paraId="52441943" w14:textId="77777777">
      <w:pPr>
        <w:widowControl/>
        <w:suppressAutoHyphens/>
        <w:ind w:left="1440"/>
        <w:rPr>
          <w:rFonts w:ascii="Times New Roman" w:hAnsi="Times New Roman" w:eastAsia="SimSun"/>
          <w:snapToGrid/>
          <w:lang w:eastAsia="ar-SA"/>
        </w:rPr>
      </w:pPr>
      <w:r w:rsidRPr="00CA65FE">
        <w:rPr>
          <w:rFonts w:ascii="Times New Roman" w:hAnsi="Times New Roman" w:eastAsia="SimSun"/>
          <w:snapToGrid/>
          <w:lang w:eastAsia="ar-SA"/>
        </w:rPr>
        <w:t>** We based this figure on averaging both the average FY 2021 wait times for field offices and teleservice centers, based on SSA’s current management information data.</w:t>
      </w:r>
    </w:p>
    <w:p w:rsidRPr="00CA65FE" w:rsidR="00CA65FE" w:rsidP="00CA65FE" w:rsidRDefault="00CA65FE" w14:paraId="1989FFC6" w14:textId="77777777">
      <w:pPr>
        <w:widowControl/>
        <w:suppressAutoHyphens/>
        <w:ind w:left="1440"/>
        <w:rPr>
          <w:rFonts w:ascii="Times New Roman" w:hAnsi="Times New Roman" w:eastAsia="SimSun"/>
          <w:snapToGrid/>
          <w:lang w:eastAsia="ar-SA"/>
        </w:rPr>
      </w:pPr>
    </w:p>
    <w:p w:rsidR="004238CA" w:rsidP="00CA65FE" w:rsidRDefault="00CA65FE" w14:paraId="5E262000" w14:textId="77777777">
      <w:pPr>
        <w:ind w:left="1440"/>
        <w:rPr>
          <w:rFonts w:ascii="Times New Roman" w:hAnsi="Times New Roman"/>
        </w:rPr>
      </w:pPr>
      <w:r w:rsidRPr="00CA65FE">
        <w:rPr>
          <w:rFonts w:ascii="Times New Roman" w:hAnsi="Times New Roman" w:eastAsia="SimSun"/>
          <w:snapToGrid/>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CA65FE">
        <w:rPr>
          <w:rFonts w:ascii="Times New Roman" w:hAnsi="Times New Roman" w:eastAsia="SimSun"/>
          <w:b/>
          <w:snapToGrid/>
          <w:u w:val="single"/>
          <w:lang w:eastAsia="ar-SA"/>
        </w:rPr>
        <w:t>There is no actual charge to respondents to complete the application</w:t>
      </w:r>
      <w:r w:rsidRPr="001F396F" w:rsidR="004238CA">
        <w:rPr>
          <w:rFonts w:ascii="Times New Roman" w:hAnsi="Times New Roman"/>
        </w:rPr>
        <w:t>.</w:t>
      </w:r>
    </w:p>
    <w:p w:rsidR="000C554E" w:rsidP="00CA65FE" w:rsidRDefault="000C554E" w14:paraId="77A68E5E" w14:textId="77777777">
      <w:pPr>
        <w:ind w:left="1440"/>
        <w:rPr>
          <w:rFonts w:ascii="Times New Roman" w:hAnsi="Times New Roman"/>
        </w:rPr>
      </w:pPr>
    </w:p>
    <w:p w:rsidRPr="000C554E" w:rsidR="000C554E" w:rsidP="000C554E" w:rsidRDefault="000C554E" w14:paraId="4BB09B57" w14:textId="77777777">
      <w:pPr>
        <w:ind w:left="1440"/>
        <w:contextualSpacing/>
        <w:rPr>
          <w:rFonts w:ascii="Times New Roman" w:hAnsi="Times New Roman"/>
          <w:color w:val="000000"/>
        </w:rPr>
      </w:pPr>
      <w:r w:rsidRPr="000C554E">
        <w:rPr>
          <w:rFonts w:ascii="Times New Roman" w:hAnsi="Times New Roman"/>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0C554E" w:rsidR="000C554E" w:rsidP="000C554E" w:rsidRDefault="000C554E" w14:paraId="514447B9" w14:textId="77777777">
      <w:pPr>
        <w:ind w:left="720"/>
        <w:rPr>
          <w:rFonts w:ascii="Times New Roman" w:hAnsi="Times New Roman"/>
        </w:rPr>
      </w:pPr>
    </w:p>
    <w:tbl>
      <w:tblPr>
        <w:tblW w:w="8501" w:type="dxa"/>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36"/>
        <w:gridCol w:w="1522"/>
        <w:gridCol w:w="1714"/>
        <w:gridCol w:w="1729"/>
        <w:gridCol w:w="1800"/>
      </w:tblGrid>
      <w:tr w:rsidRPr="000C554E" w:rsidR="000C554E" w:rsidTr="0056259B" w14:paraId="1CB7C166" w14:textId="77777777">
        <w:tc>
          <w:tcPr>
            <w:tcW w:w="1736" w:type="dxa"/>
            <w:shd w:val="clear" w:color="auto" w:fill="auto"/>
          </w:tcPr>
          <w:p w:rsidRPr="000C554E" w:rsidR="000C554E" w:rsidP="000C554E" w:rsidRDefault="000C554E" w14:paraId="43806C5C" w14:textId="77777777">
            <w:pPr>
              <w:rPr>
                <w:rFonts w:ascii="Times New Roman" w:hAnsi="Times New Roman"/>
                <w:b/>
              </w:rPr>
            </w:pPr>
            <w:r w:rsidRPr="000C554E">
              <w:rPr>
                <w:rFonts w:ascii="Times New Roman" w:hAnsi="Times New Roman"/>
                <w:b/>
              </w:rPr>
              <w:t>Total Number of Respondents Who Visit a Field Office</w:t>
            </w:r>
          </w:p>
        </w:tc>
        <w:tc>
          <w:tcPr>
            <w:tcW w:w="1522" w:type="dxa"/>
            <w:shd w:val="clear" w:color="auto" w:fill="auto"/>
          </w:tcPr>
          <w:p w:rsidRPr="000C554E" w:rsidR="000C554E" w:rsidP="000C554E" w:rsidRDefault="000C554E" w14:paraId="30C9CB55" w14:textId="77777777">
            <w:pPr>
              <w:rPr>
                <w:rFonts w:ascii="Times New Roman" w:hAnsi="Times New Roman"/>
                <w:b/>
              </w:rPr>
            </w:pPr>
            <w:r w:rsidRPr="000C554E">
              <w:rPr>
                <w:rFonts w:ascii="Times New Roman" w:hAnsi="Times New Roman"/>
                <w:b/>
              </w:rPr>
              <w:t>Frequency of Response</w:t>
            </w:r>
          </w:p>
        </w:tc>
        <w:tc>
          <w:tcPr>
            <w:tcW w:w="1714" w:type="dxa"/>
            <w:shd w:val="clear" w:color="auto" w:fill="auto"/>
          </w:tcPr>
          <w:p w:rsidRPr="000C554E" w:rsidR="000C554E" w:rsidP="000C554E" w:rsidRDefault="000C554E" w14:paraId="488A416A" w14:textId="77777777">
            <w:pPr>
              <w:rPr>
                <w:rFonts w:ascii="Times New Roman" w:hAnsi="Times New Roman"/>
                <w:b/>
              </w:rPr>
            </w:pPr>
            <w:r w:rsidRPr="000C554E">
              <w:rPr>
                <w:rFonts w:ascii="Times New Roman" w:hAnsi="Times New Roman"/>
                <w:b/>
              </w:rPr>
              <w:t>Average One-Way Travel Time to a Field Office (minutes)</w:t>
            </w:r>
          </w:p>
        </w:tc>
        <w:tc>
          <w:tcPr>
            <w:tcW w:w="1729" w:type="dxa"/>
            <w:shd w:val="clear" w:color="auto" w:fill="auto"/>
          </w:tcPr>
          <w:p w:rsidRPr="000C554E" w:rsidR="000C554E" w:rsidP="000C554E" w:rsidRDefault="000C554E" w14:paraId="7AFC488F" w14:textId="77777777">
            <w:pPr>
              <w:rPr>
                <w:rFonts w:ascii="Times New Roman" w:hAnsi="Times New Roman"/>
                <w:b/>
              </w:rPr>
            </w:pPr>
            <w:r w:rsidRPr="000C554E">
              <w:rPr>
                <w:rFonts w:ascii="Times New Roman" w:hAnsi="Times New Roman"/>
                <w:b/>
              </w:rPr>
              <w:t>Estimated Total Travel Time to a Field Office (hours)</w:t>
            </w:r>
          </w:p>
        </w:tc>
        <w:tc>
          <w:tcPr>
            <w:tcW w:w="1800" w:type="dxa"/>
            <w:shd w:val="clear" w:color="auto" w:fill="auto"/>
          </w:tcPr>
          <w:p w:rsidRPr="000C554E" w:rsidR="000C554E" w:rsidP="000C554E" w:rsidRDefault="000C554E" w14:paraId="3B7899F9" w14:textId="77777777">
            <w:pPr>
              <w:rPr>
                <w:rFonts w:ascii="Times New Roman" w:hAnsi="Times New Roman"/>
                <w:b/>
              </w:rPr>
            </w:pPr>
            <w:r w:rsidRPr="000C554E">
              <w:rPr>
                <w:rFonts w:ascii="Times New Roman" w:hAnsi="Times New Roman"/>
                <w:b/>
              </w:rPr>
              <w:t>Total Annual Opportunity Cost for Travel Time (dollars)****</w:t>
            </w:r>
          </w:p>
        </w:tc>
      </w:tr>
      <w:tr w:rsidRPr="000C554E" w:rsidR="000C554E" w:rsidTr="0056259B" w14:paraId="2DF37AFE" w14:textId="77777777">
        <w:tc>
          <w:tcPr>
            <w:tcW w:w="1736" w:type="dxa"/>
            <w:shd w:val="clear" w:color="auto" w:fill="auto"/>
          </w:tcPr>
          <w:p w:rsidRPr="000C554E" w:rsidR="000C554E" w:rsidP="000C554E" w:rsidRDefault="000C554E" w14:paraId="508314A9" w14:textId="77777777">
            <w:pPr>
              <w:jc w:val="right"/>
              <w:rPr>
                <w:rFonts w:ascii="Times New Roman" w:hAnsi="Times New Roman"/>
              </w:rPr>
            </w:pPr>
            <w:r>
              <w:rPr>
                <w:rFonts w:ascii="Times New Roman" w:hAnsi="Times New Roman"/>
              </w:rPr>
              <w:t>666,666</w:t>
            </w:r>
          </w:p>
        </w:tc>
        <w:tc>
          <w:tcPr>
            <w:tcW w:w="1522" w:type="dxa"/>
            <w:shd w:val="clear" w:color="auto" w:fill="auto"/>
          </w:tcPr>
          <w:p w:rsidRPr="000C554E" w:rsidR="000C554E" w:rsidP="000C554E" w:rsidRDefault="000C554E" w14:paraId="4FBC707C" w14:textId="77777777">
            <w:pPr>
              <w:jc w:val="right"/>
              <w:rPr>
                <w:rFonts w:ascii="Times New Roman" w:hAnsi="Times New Roman"/>
              </w:rPr>
            </w:pPr>
            <w:r w:rsidRPr="000C554E">
              <w:rPr>
                <w:rFonts w:ascii="Times New Roman" w:hAnsi="Times New Roman"/>
              </w:rPr>
              <w:t>1</w:t>
            </w:r>
          </w:p>
        </w:tc>
        <w:tc>
          <w:tcPr>
            <w:tcW w:w="1714" w:type="dxa"/>
            <w:shd w:val="clear" w:color="auto" w:fill="auto"/>
          </w:tcPr>
          <w:p w:rsidRPr="000C554E" w:rsidR="000C554E" w:rsidP="000C554E" w:rsidRDefault="000C554E" w14:paraId="0B341DC4" w14:textId="77777777">
            <w:pPr>
              <w:jc w:val="right"/>
              <w:rPr>
                <w:rFonts w:ascii="Times New Roman" w:hAnsi="Times New Roman"/>
              </w:rPr>
            </w:pPr>
            <w:r w:rsidRPr="000C554E">
              <w:rPr>
                <w:rFonts w:ascii="Times New Roman" w:hAnsi="Times New Roman"/>
              </w:rPr>
              <w:t>30</w:t>
            </w:r>
          </w:p>
        </w:tc>
        <w:tc>
          <w:tcPr>
            <w:tcW w:w="1729" w:type="dxa"/>
            <w:shd w:val="clear" w:color="auto" w:fill="auto"/>
          </w:tcPr>
          <w:p w:rsidRPr="000C554E" w:rsidR="000C554E" w:rsidP="000C554E" w:rsidRDefault="000C554E" w14:paraId="69669E13" w14:textId="77777777">
            <w:pPr>
              <w:jc w:val="right"/>
              <w:rPr>
                <w:rFonts w:ascii="Times New Roman" w:hAnsi="Times New Roman"/>
              </w:rPr>
            </w:pPr>
            <w:r>
              <w:rPr>
                <w:rFonts w:ascii="Times New Roman" w:hAnsi="Times New Roman"/>
              </w:rPr>
              <w:t>333,333</w:t>
            </w:r>
          </w:p>
        </w:tc>
        <w:tc>
          <w:tcPr>
            <w:tcW w:w="1800" w:type="dxa"/>
            <w:shd w:val="clear" w:color="auto" w:fill="auto"/>
          </w:tcPr>
          <w:p w:rsidRPr="000C554E" w:rsidR="000C554E" w:rsidP="000C554E" w:rsidRDefault="000C554E" w14:paraId="20CB2FBF" w14:textId="77777777">
            <w:pPr>
              <w:jc w:val="right"/>
              <w:rPr>
                <w:rFonts w:ascii="Times New Roman" w:hAnsi="Times New Roman"/>
              </w:rPr>
            </w:pPr>
            <w:r w:rsidRPr="000C554E">
              <w:rPr>
                <w:rFonts w:ascii="Times New Roman" w:hAnsi="Times New Roman"/>
              </w:rPr>
              <w:t>$</w:t>
            </w:r>
            <w:r>
              <w:rPr>
                <w:rFonts w:ascii="Times New Roman" w:hAnsi="Times New Roman"/>
              </w:rPr>
              <w:t>3,649,996</w:t>
            </w:r>
          </w:p>
        </w:tc>
      </w:tr>
    </w:tbl>
    <w:p w:rsidRPr="000C554E" w:rsidR="000C554E" w:rsidP="000C554E" w:rsidRDefault="000C554E" w14:paraId="70C23C7C" w14:textId="77777777">
      <w:pPr>
        <w:ind w:left="1440"/>
        <w:rPr>
          <w:rFonts w:ascii="Times New Roman" w:hAnsi="Times New Roman"/>
        </w:rPr>
      </w:pPr>
      <w:r w:rsidRPr="000C554E">
        <w:rPr>
          <w:rFonts w:ascii="Times New Roman" w:hAnsi="Times New Roman"/>
        </w:rPr>
        <w:t xml:space="preserve">**** We based this dollar amount on the Average Theoretical Hourly Cost </w:t>
      </w:r>
      <w:r w:rsidRPr="000C554E">
        <w:rPr>
          <w:rFonts w:ascii="Times New Roman" w:hAnsi="Times New Roman"/>
        </w:rPr>
        <w:lastRenderedPageBreak/>
        <w:t xml:space="preserve">Amount in dollars shown on the burden chart above.  </w:t>
      </w:r>
    </w:p>
    <w:p w:rsidRPr="000C554E" w:rsidR="000C554E" w:rsidP="000C554E" w:rsidRDefault="000C554E" w14:paraId="6697558F" w14:textId="77777777">
      <w:pPr>
        <w:ind w:left="1440"/>
        <w:rPr>
          <w:rFonts w:ascii="Times New Roman" w:hAnsi="Times New Roman"/>
        </w:rPr>
      </w:pPr>
    </w:p>
    <w:p w:rsidRPr="000C554E" w:rsidR="000C554E" w:rsidP="000C554E" w:rsidRDefault="000C554E" w14:paraId="56BA3A2C" w14:textId="77777777">
      <w:pPr>
        <w:ind w:left="1440"/>
        <w:rPr>
          <w:rFonts w:ascii="Times New Roman" w:hAnsi="Times New Roman"/>
        </w:rPr>
      </w:pPr>
      <w:r w:rsidRPr="000C554E">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Pr="000C554E" w:rsidR="000C554E" w:rsidP="000C554E" w:rsidRDefault="000C554E" w14:paraId="4156810D" w14:textId="77777777">
      <w:pPr>
        <w:ind w:left="1440"/>
        <w:contextualSpacing/>
        <w:rPr>
          <w:rFonts w:ascii="Times New Roman" w:hAnsi="Times New Roman"/>
        </w:rPr>
      </w:pPr>
    </w:p>
    <w:p w:rsidRPr="000C554E" w:rsidR="000C554E" w:rsidP="000C554E" w:rsidRDefault="000C554E" w14:paraId="2EA1AC1C" w14:textId="77777777">
      <w:pPr>
        <w:ind w:left="1440"/>
        <w:contextualSpacing/>
        <w:rPr>
          <w:rFonts w:ascii="Times New Roman" w:hAnsi="Times New Roman"/>
        </w:rPr>
      </w:pPr>
      <w:r w:rsidRPr="000C554E">
        <w:rPr>
          <w:rFonts w:ascii="Times New Roman" w:hAnsi="Times New Roman"/>
        </w:rPr>
        <w:t>NOTE:  We included the total opportunity cost estimate from this chart in our calculations when showing the total time and opportunity cost estimates in the paragraph below.</w:t>
      </w:r>
    </w:p>
    <w:p w:rsidRPr="000C554E" w:rsidR="000C554E" w:rsidP="000C554E" w:rsidRDefault="000C554E" w14:paraId="0B548697" w14:textId="77777777">
      <w:pPr>
        <w:ind w:left="1440"/>
        <w:rPr>
          <w:rFonts w:ascii="Times New Roman" w:hAnsi="Times New Roman"/>
        </w:rPr>
      </w:pPr>
    </w:p>
    <w:p w:rsidRPr="0055112B" w:rsidR="004238CA" w:rsidP="000C554E" w:rsidRDefault="000C554E" w14:paraId="44BC0F38" w14:textId="77777777">
      <w:pPr>
        <w:pStyle w:val="ListParagraph"/>
        <w:ind w:left="1440"/>
        <w:rPr>
          <w:rFonts w:ascii="Times New Roman" w:hAnsi="Times New Roman"/>
          <w:i/>
        </w:rPr>
      </w:pPr>
      <w:r w:rsidRPr="000C554E">
        <w:rPr>
          <w:rFonts w:ascii="Times New Roman" w:hAnsi="Times New Roman"/>
        </w:rPr>
        <w:t xml:space="preserve">The total burden for this ICR is </w:t>
      </w:r>
      <w:r>
        <w:rPr>
          <w:rFonts w:ascii="Times New Roman" w:hAnsi="Times New Roman"/>
          <w:b/>
        </w:rPr>
        <w:t>166,667</w:t>
      </w:r>
      <w:r w:rsidRPr="000C554E">
        <w:rPr>
          <w:rFonts w:ascii="Times New Roman" w:hAnsi="Times New Roman"/>
        </w:rPr>
        <w:t xml:space="preserve"> burden hours (reflecting SSA management information data), which results in an associated theoretical (not actual) opportunity cost financial burden of </w:t>
      </w:r>
      <w:r w:rsidRPr="000C554E">
        <w:rPr>
          <w:rFonts w:ascii="Times New Roman" w:hAnsi="Times New Roman"/>
          <w:b/>
        </w:rPr>
        <w:t>$</w:t>
      </w:r>
      <w:r>
        <w:rPr>
          <w:rFonts w:ascii="Times New Roman" w:hAnsi="Times New Roman"/>
          <w:b/>
        </w:rPr>
        <w:t>8,029,996</w:t>
      </w:r>
      <w:r w:rsidRPr="000C554E">
        <w:rPr>
          <w:rFonts w:ascii="Times New Roman" w:hAnsi="Times New Roman"/>
        </w:rPr>
        <w:t xml:space="preserve">.  SSA does not charge respondents to complete our applications. </w:t>
      </w:r>
      <w:r w:rsidRPr="000C554E">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Pr>
          <w:rFonts w:ascii="Times New Roman" w:hAnsi="Times New Roman"/>
          <w:noProof/>
          <w:lang w:eastAsia="zh-CN"/>
        </w:rPr>
        <w:t>15</w:t>
      </w:r>
      <w:r w:rsidRPr="000C554E">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B4502F" w:rsidR="004238CA">
        <w:rPr>
          <w:rFonts w:ascii="Times New Roman" w:hAnsi="Times New Roman"/>
        </w:rPr>
        <w:t>.</w:t>
      </w:r>
    </w:p>
    <w:p w:rsidRPr="003B15EC" w:rsidR="003B15EC" w:rsidP="004509AD" w:rsidRDefault="003B15EC" w14:paraId="7DA0B24E" w14:textId="77777777">
      <w:pPr>
        <w:tabs>
          <w:tab w:val="left" w:pos="360"/>
        </w:tabs>
        <w:ind w:left="720"/>
        <w:rPr>
          <w:rFonts w:ascii="Times New Roman" w:hAnsi="Times New Roman"/>
          <w:b/>
          <w:u w:val="single"/>
        </w:rPr>
      </w:pPr>
      <w:r>
        <w:rPr>
          <w:rFonts w:ascii="Times New Roman" w:hAnsi="Times New Roman"/>
          <w:i/>
        </w:rPr>
        <w:t xml:space="preserve"> </w:t>
      </w:r>
    </w:p>
    <w:p w:rsidRPr="00BC7F42" w:rsidR="00A45D82" w:rsidP="00F04D8A" w:rsidRDefault="00A45D82" w14:paraId="18E547CF" w14:textId="77777777">
      <w:pPr>
        <w:tabs>
          <w:tab w:val="num"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D659E2" w:rsidR="00A45D82" w:rsidP="00F04D8A" w:rsidRDefault="00121032" w14:paraId="2F009236" w14:textId="77777777">
      <w:pPr>
        <w:ind w:left="1440"/>
        <w:rPr>
          <w:rFonts w:ascii="Times New Roman" w:hAnsi="Times New Roman"/>
        </w:rPr>
      </w:pPr>
      <w:r w:rsidRPr="00D659E2">
        <w:rPr>
          <w:rFonts w:ascii="Times New Roman" w:hAnsi="Times New Roman"/>
        </w:rPr>
        <w:t xml:space="preserve">This collection does not impose a known cost burden </w:t>
      </w:r>
      <w:r w:rsidRPr="00D659E2" w:rsidR="00AC39FD">
        <w:rPr>
          <w:rFonts w:ascii="Times New Roman" w:hAnsi="Times New Roman"/>
        </w:rPr>
        <w:t>on</w:t>
      </w:r>
      <w:r w:rsidRPr="00D659E2">
        <w:rPr>
          <w:rFonts w:ascii="Times New Roman" w:hAnsi="Times New Roman"/>
        </w:rPr>
        <w:t xml:space="preserve"> the respondents. </w:t>
      </w:r>
      <w:r w:rsidRPr="00D659E2" w:rsidR="00A45D82">
        <w:rPr>
          <w:rFonts w:ascii="Times New Roman" w:hAnsi="Times New Roman"/>
        </w:rPr>
        <w:t xml:space="preserve">  </w:t>
      </w:r>
    </w:p>
    <w:p w:rsidRPr="00BC7F42" w:rsidR="00A45D82" w:rsidP="00F04D8A" w:rsidRDefault="00A45D82" w14:paraId="43F5FC6E" w14:textId="77777777">
      <w:pPr>
        <w:ind w:left="1440"/>
        <w:rPr>
          <w:rFonts w:ascii="Times New Roman" w:hAnsi="Times New Roman"/>
        </w:rPr>
      </w:pPr>
    </w:p>
    <w:p w:rsidRPr="00121032" w:rsidR="00121032" w:rsidP="00F04D8A" w:rsidRDefault="00A45D82" w14:paraId="4EE1E77E" w14:textId="77777777">
      <w:pPr>
        <w:numPr>
          <w:ilvl w:val="0"/>
          <w:numId w:val="27"/>
        </w:numPr>
        <w:tabs>
          <w:tab w:val="clear" w:pos="360"/>
          <w:tab w:val="num" w:pos="1440"/>
        </w:tabs>
        <w:ind w:left="1440" w:hanging="720"/>
        <w:rPr>
          <w:rFonts w:ascii="Times New Roman" w:hAnsi="Times New Roman"/>
        </w:rPr>
      </w:pPr>
      <w:r w:rsidRPr="00BC7F42">
        <w:rPr>
          <w:rFonts w:ascii="Times New Roman" w:hAnsi="Times New Roman"/>
          <w:b/>
        </w:rPr>
        <w:t>Annual Cost To Federal Government</w:t>
      </w:r>
    </w:p>
    <w:p w:rsidRPr="00862A75" w:rsidR="00862A75" w:rsidP="00862A75" w:rsidRDefault="00A06BE2" w14:paraId="4B7ABD51" w14:textId="77777777">
      <w:pPr>
        <w:ind w:left="1440"/>
        <w:rPr>
          <w:rFonts w:ascii="Times New Roman" w:hAnsi="Times New Roman"/>
          <w:color w:val="000000"/>
        </w:rPr>
      </w:pPr>
      <w:r w:rsidRPr="0047491E">
        <w:rPr>
          <w:rFonts w:ascii="Times New Roman" w:hAnsi="Times New Roman"/>
          <w:color w:val="000000"/>
        </w:rPr>
        <w:t>The annual cost to the Federal Government is approximately $</w:t>
      </w:r>
      <w:r w:rsidR="00862A75">
        <w:rPr>
          <w:rFonts w:ascii="Times New Roman" w:hAnsi="Times New Roman"/>
          <w:color w:val="000000"/>
        </w:rPr>
        <w:t>4,671,096</w:t>
      </w:r>
      <w:r w:rsidRPr="0047491E" w:rsidR="0047491E">
        <w:rPr>
          <w:rFonts w:ascii="Times New Roman" w:hAnsi="Times New Roman"/>
          <w:color w:val="000000"/>
        </w:rPr>
        <w:t>.</w:t>
      </w:r>
      <w:r w:rsidR="00862A75">
        <w:rPr>
          <w:rFonts w:ascii="Times New Roman" w:hAnsi="Times New Roman"/>
          <w:color w:val="000000"/>
        </w:rPr>
        <w:t xml:space="preserve">  </w:t>
      </w:r>
      <w:r w:rsidRPr="00862A75" w:rsidR="00862A75">
        <w:rPr>
          <w:rFonts w:ascii="Times New Roman" w:hAnsi="Times New Roman"/>
          <w:color w:val="000000"/>
        </w:rPr>
        <w:t>This estimate accounts for costs from the following areas:</w:t>
      </w:r>
    </w:p>
    <w:p w:rsidRPr="00862A75" w:rsidR="00862A75" w:rsidP="00862A75" w:rsidRDefault="00862A75" w14:paraId="3EBD9F86" w14:textId="77777777">
      <w:pPr>
        <w:ind w:left="1440"/>
        <w:rPr>
          <w:rFonts w:ascii="Times New Roman" w:hAnsi="Times New Roman"/>
          <w:color w:val="000000"/>
        </w:rPr>
      </w:pPr>
    </w:p>
    <w:tbl>
      <w:tblPr>
        <w:tblW w:w="7830" w:type="dxa"/>
        <w:tblInd w:w="1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0"/>
        <w:gridCol w:w="3600"/>
        <w:gridCol w:w="1890"/>
      </w:tblGrid>
      <w:tr w:rsidRPr="00862A75" w:rsidR="00862A75" w:rsidTr="0056259B" w14:paraId="1D02B102" w14:textId="77777777">
        <w:trPr>
          <w:trHeight w:val="629"/>
        </w:trPr>
        <w:tc>
          <w:tcPr>
            <w:tcW w:w="2340" w:type="dxa"/>
            <w:shd w:val="clear" w:color="auto" w:fill="auto"/>
          </w:tcPr>
          <w:p w:rsidRPr="00862A75" w:rsidR="00862A75" w:rsidP="0056259B" w:rsidRDefault="00862A75" w14:paraId="0B9D9C05" w14:textId="77777777">
            <w:pPr>
              <w:contextualSpacing/>
              <w:rPr>
                <w:rFonts w:ascii="Times New Roman" w:hAnsi="Times New Roman"/>
                <w:b/>
                <w:bCs/>
                <w:color w:val="000000"/>
              </w:rPr>
            </w:pPr>
            <w:r w:rsidRPr="00862A75">
              <w:rPr>
                <w:rFonts w:ascii="Times New Roman" w:hAnsi="Times New Roman"/>
                <w:b/>
                <w:bCs/>
                <w:color w:val="000000"/>
              </w:rPr>
              <w:t>Description of Cost Factor</w:t>
            </w:r>
          </w:p>
        </w:tc>
        <w:tc>
          <w:tcPr>
            <w:tcW w:w="3600" w:type="dxa"/>
            <w:shd w:val="clear" w:color="auto" w:fill="auto"/>
          </w:tcPr>
          <w:p w:rsidRPr="00862A75" w:rsidR="00862A75" w:rsidP="0056259B" w:rsidRDefault="00862A75" w14:paraId="3877121B" w14:textId="77777777">
            <w:pPr>
              <w:contextualSpacing/>
              <w:rPr>
                <w:rFonts w:ascii="Times New Roman" w:hAnsi="Times New Roman"/>
                <w:b/>
                <w:bCs/>
                <w:color w:val="000000"/>
              </w:rPr>
            </w:pPr>
            <w:r w:rsidRPr="00862A75">
              <w:rPr>
                <w:rFonts w:ascii="Times New Roman" w:hAnsi="Times New Roman"/>
                <w:b/>
                <w:bCs/>
                <w:color w:val="000000"/>
              </w:rPr>
              <w:t>Methodology for Estimating Cost</w:t>
            </w:r>
          </w:p>
        </w:tc>
        <w:tc>
          <w:tcPr>
            <w:tcW w:w="1890" w:type="dxa"/>
            <w:shd w:val="clear" w:color="auto" w:fill="auto"/>
          </w:tcPr>
          <w:p w:rsidRPr="00862A75" w:rsidR="00862A75" w:rsidP="0056259B" w:rsidRDefault="00862A75" w14:paraId="4AFE68AE" w14:textId="77777777">
            <w:pPr>
              <w:contextualSpacing/>
              <w:rPr>
                <w:rFonts w:ascii="Times New Roman" w:hAnsi="Times New Roman"/>
                <w:b/>
                <w:bCs/>
                <w:color w:val="000000"/>
              </w:rPr>
            </w:pPr>
            <w:r w:rsidRPr="00862A75">
              <w:rPr>
                <w:rFonts w:ascii="Times New Roman" w:hAnsi="Times New Roman"/>
                <w:b/>
                <w:bCs/>
                <w:color w:val="000000"/>
              </w:rPr>
              <w:t>Cost in Dollars*</w:t>
            </w:r>
          </w:p>
        </w:tc>
      </w:tr>
      <w:tr w:rsidRPr="00862A75" w:rsidR="00862A75" w:rsidTr="0056259B" w14:paraId="6094EB62" w14:textId="77777777">
        <w:tc>
          <w:tcPr>
            <w:tcW w:w="2340" w:type="dxa"/>
            <w:shd w:val="clear" w:color="auto" w:fill="auto"/>
          </w:tcPr>
          <w:p w:rsidRPr="00862A75" w:rsidR="00862A75" w:rsidP="0056259B" w:rsidRDefault="00862A75" w14:paraId="0B4D4C62" w14:textId="77777777">
            <w:pPr>
              <w:contextualSpacing/>
              <w:rPr>
                <w:rFonts w:ascii="Times New Roman" w:hAnsi="Times New Roman"/>
                <w:color w:val="000000"/>
              </w:rPr>
            </w:pPr>
            <w:r w:rsidRPr="00862A75">
              <w:rPr>
                <w:rFonts w:ascii="Times New Roman" w:hAnsi="Times New Roman"/>
                <w:color w:val="000000"/>
              </w:rPr>
              <w:t>Designing and Printing the Form</w:t>
            </w:r>
          </w:p>
        </w:tc>
        <w:tc>
          <w:tcPr>
            <w:tcW w:w="3600" w:type="dxa"/>
            <w:shd w:val="clear" w:color="auto" w:fill="auto"/>
          </w:tcPr>
          <w:p w:rsidRPr="00862A75" w:rsidR="00862A75" w:rsidP="0056259B" w:rsidRDefault="00862A75" w14:paraId="2F77F6FD" w14:textId="77777777">
            <w:pPr>
              <w:contextualSpacing/>
              <w:rPr>
                <w:rFonts w:ascii="Times New Roman" w:hAnsi="Times New Roman"/>
                <w:color w:val="000000"/>
              </w:rPr>
            </w:pPr>
            <w:r w:rsidRPr="00862A75">
              <w:rPr>
                <w:rFonts w:ascii="Times New Roman" w:hAnsi="Times New Roman"/>
                <w:color w:val="000000"/>
              </w:rPr>
              <w:t>Design Cost + Printing Cost</w:t>
            </w:r>
          </w:p>
        </w:tc>
        <w:tc>
          <w:tcPr>
            <w:tcW w:w="1890" w:type="dxa"/>
            <w:shd w:val="clear" w:color="auto" w:fill="auto"/>
          </w:tcPr>
          <w:p w:rsidRPr="00862A75" w:rsidR="00862A75" w:rsidP="0056259B" w:rsidRDefault="00862A75" w14:paraId="284B01E8" w14:textId="77777777">
            <w:pPr>
              <w:contextualSpacing/>
              <w:jc w:val="right"/>
              <w:rPr>
                <w:rFonts w:ascii="Times New Roman" w:hAnsi="Times New Roman"/>
                <w:color w:val="000000"/>
              </w:rPr>
            </w:pPr>
            <w:r w:rsidRPr="00862A75">
              <w:rPr>
                <w:rFonts w:ascii="Times New Roman" w:hAnsi="Times New Roman"/>
                <w:color w:val="000000"/>
              </w:rPr>
              <w:t>$</w:t>
            </w:r>
            <w:r w:rsidRPr="0056259B">
              <w:rPr>
                <w:rFonts w:ascii="Times New Roman" w:hAnsi="Times New Roman"/>
                <w:color w:val="000000"/>
              </w:rPr>
              <w:t>1,000</w:t>
            </w:r>
          </w:p>
        </w:tc>
      </w:tr>
      <w:tr w:rsidRPr="00862A75" w:rsidR="00862A75" w:rsidTr="0056259B" w14:paraId="566E2084" w14:textId="77777777">
        <w:tc>
          <w:tcPr>
            <w:tcW w:w="2340" w:type="dxa"/>
            <w:shd w:val="clear" w:color="auto" w:fill="auto"/>
          </w:tcPr>
          <w:p w:rsidRPr="00862A75" w:rsidR="00862A75" w:rsidP="0056259B" w:rsidRDefault="00862A75" w14:paraId="4C170117" w14:textId="77777777">
            <w:pPr>
              <w:contextualSpacing/>
              <w:rPr>
                <w:rFonts w:ascii="Times New Roman" w:hAnsi="Times New Roman"/>
                <w:color w:val="000000"/>
              </w:rPr>
            </w:pPr>
            <w:r w:rsidRPr="00862A75">
              <w:rPr>
                <w:rFonts w:ascii="Times New Roman" w:hAnsi="Times New Roman"/>
                <w:color w:val="000000"/>
              </w:rPr>
              <w:t>Distributing, Shipping, and Material Costs for the Form</w:t>
            </w:r>
          </w:p>
        </w:tc>
        <w:tc>
          <w:tcPr>
            <w:tcW w:w="3600" w:type="dxa"/>
            <w:shd w:val="clear" w:color="auto" w:fill="auto"/>
          </w:tcPr>
          <w:p w:rsidRPr="00862A75" w:rsidR="00862A75" w:rsidP="0056259B" w:rsidRDefault="00862A75" w14:paraId="2991BE2D" w14:textId="77777777">
            <w:pPr>
              <w:contextualSpacing/>
              <w:rPr>
                <w:rFonts w:ascii="Times New Roman" w:hAnsi="Times New Roman"/>
                <w:color w:val="000000"/>
              </w:rPr>
            </w:pPr>
            <w:r w:rsidRPr="00862A75">
              <w:rPr>
                <w:rFonts w:ascii="Times New Roman" w:hAnsi="Times New Roman"/>
                <w:color w:val="000000"/>
              </w:rPr>
              <w:t>Distribution + Shipping + Material Cost</w:t>
            </w:r>
          </w:p>
        </w:tc>
        <w:tc>
          <w:tcPr>
            <w:tcW w:w="1890" w:type="dxa"/>
            <w:shd w:val="clear" w:color="auto" w:fill="auto"/>
          </w:tcPr>
          <w:p w:rsidRPr="00862A75" w:rsidR="00862A75" w:rsidP="0056259B" w:rsidRDefault="00862A75" w14:paraId="573990A0" w14:textId="77777777">
            <w:pPr>
              <w:contextualSpacing/>
              <w:jc w:val="right"/>
              <w:rPr>
                <w:rFonts w:ascii="Times New Roman" w:hAnsi="Times New Roman"/>
                <w:color w:val="000000"/>
              </w:rPr>
            </w:pPr>
            <w:r w:rsidRPr="00862A75">
              <w:rPr>
                <w:rFonts w:ascii="Times New Roman" w:hAnsi="Times New Roman"/>
                <w:color w:val="000000"/>
              </w:rPr>
              <w:t>$</w:t>
            </w:r>
            <w:r w:rsidRPr="0056259B">
              <w:rPr>
                <w:rFonts w:ascii="Times New Roman" w:hAnsi="Times New Roman"/>
                <w:color w:val="000000"/>
              </w:rPr>
              <w:t>0*</w:t>
            </w:r>
          </w:p>
        </w:tc>
      </w:tr>
      <w:tr w:rsidRPr="00862A75" w:rsidR="00862A75" w:rsidTr="0056259B" w14:paraId="72315960" w14:textId="77777777">
        <w:tc>
          <w:tcPr>
            <w:tcW w:w="2340" w:type="dxa"/>
            <w:shd w:val="clear" w:color="auto" w:fill="auto"/>
          </w:tcPr>
          <w:p w:rsidRPr="00862A75" w:rsidR="00862A75" w:rsidP="0056259B" w:rsidRDefault="00862A75" w14:paraId="59E2525A" w14:textId="77777777">
            <w:pPr>
              <w:contextualSpacing/>
              <w:rPr>
                <w:rFonts w:ascii="Times New Roman" w:hAnsi="Times New Roman"/>
                <w:color w:val="000000"/>
              </w:rPr>
            </w:pPr>
            <w:r w:rsidRPr="00862A75">
              <w:rPr>
                <w:rFonts w:ascii="Times New Roman" w:hAnsi="Times New Roman"/>
                <w:color w:val="000000"/>
              </w:rPr>
              <w:t xml:space="preserve">SSA Employee (e.g., field office, 800 number, DDS staff) </w:t>
            </w:r>
            <w:r w:rsidRPr="00862A75">
              <w:rPr>
                <w:rFonts w:ascii="Times New Roman" w:hAnsi="Times New Roman"/>
                <w:color w:val="000000"/>
              </w:rPr>
              <w:lastRenderedPageBreak/>
              <w:t>Information Collection and Processing Time</w:t>
            </w:r>
          </w:p>
        </w:tc>
        <w:tc>
          <w:tcPr>
            <w:tcW w:w="3600" w:type="dxa"/>
            <w:shd w:val="clear" w:color="auto" w:fill="auto"/>
          </w:tcPr>
          <w:p w:rsidRPr="00862A75" w:rsidR="00862A75" w:rsidP="0056259B" w:rsidRDefault="00862A75" w14:paraId="5A7E1DD6" w14:textId="77777777">
            <w:pPr>
              <w:contextualSpacing/>
              <w:rPr>
                <w:rFonts w:ascii="Times New Roman" w:hAnsi="Times New Roman"/>
                <w:color w:val="000000"/>
              </w:rPr>
            </w:pPr>
            <w:r w:rsidRPr="00862A75">
              <w:rPr>
                <w:rFonts w:ascii="Times New Roman" w:hAnsi="Times New Roman"/>
                <w:color w:val="000000"/>
              </w:rPr>
              <w:lastRenderedPageBreak/>
              <w:t>GS-9 employee x # of responses x processing time</w:t>
            </w:r>
          </w:p>
        </w:tc>
        <w:tc>
          <w:tcPr>
            <w:tcW w:w="1890" w:type="dxa"/>
            <w:shd w:val="clear" w:color="auto" w:fill="auto"/>
          </w:tcPr>
          <w:p w:rsidRPr="00862A75" w:rsidR="00862A75" w:rsidP="0056259B" w:rsidRDefault="00862A75" w14:paraId="334B7E19" w14:textId="77777777">
            <w:pPr>
              <w:contextualSpacing/>
              <w:jc w:val="right"/>
              <w:rPr>
                <w:rFonts w:ascii="Times New Roman" w:hAnsi="Times New Roman"/>
                <w:color w:val="000000"/>
              </w:rPr>
            </w:pPr>
            <w:r w:rsidRPr="00862A75">
              <w:rPr>
                <w:rFonts w:ascii="Times New Roman" w:hAnsi="Times New Roman"/>
                <w:color w:val="000000"/>
              </w:rPr>
              <w:t>$</w:t>
            </w:r>
            <w:r w:rsidRPr="0056259B">
              <w:rPr>
                <w:rFonts w:ascii="Times New Roman" w:hAnsi="Times New Roman"/>
                <w:color w:val="000000"/>
              </w:rPr>
              <w:t>4,666,676</w:t>
            </w:r>
          </w:p>
        </w:tc>
      </w:tr>
      <w:tr w:rsidRPr="00862A75" w:rsidR="00862A75" w:rsidTr="0056259B" w14:paraId="40D58037" w14:textId="77777777">
        <w:tc>
          <w:tcPr>
            <w:tcW w:w="2340" w:type="dxa"/>
            <w:shd w:val="clear" w:color="auto" w:fill="auto"/>
          </w:tcPr>
          <w:p w:rsidRPr="00862A75" w:rsidR="00862A75" w:rsidP="0056259B" w:rsidRDefault="00862A75" w14:paraId="6A3E9EF9" w14:textId="77777777">
            <w:pPr>
              <w:contextualSpacing/>
              <w:rPr>
                <w:rFonts w:ascii="Times New Roman" w:hAnsi="Times New Roman"/>
                <w:color w:val="000000"/>
              </w:rPr>
            </w:pPr>
            <w:r w:rsidRPr="00862A75">
              <w:rPr>
                <w:rFonts w:ascii="Times New Roman" w:hAnsi="Times New Roman"/>
                <w:color w:val="000000"/>
              </w:rPr>
              <w:t>Full-Time Equivalent Costs</w:t>
            </w:r>
          </w:p>
        </w:tc>
        <w:tc>
          <w:tcPr>
            <w:tcW w:w="3600" w:type="dxa"/>
            <w:shd w:val="clear" w:color="auto" w:fill="auto"/>
          </w:tcPr>
          <w:p w:rsidRPr="00862A75" w:rsidR="00862A75" w:rsidP="0056259B" w:rsidRDefault="00862A75" w14:paraId="7F65B442" w14:textId="77777777">
            <w:pPr>
              <w:contextualSpacing/>
              <w:rPr>
                <w:rFonts w:ascii="Times New Roman" w:hAnsi="Times New Roman"/>
                <w:color w:val="000000"/>
              </w:rPr>
            </w:pPr>
            <w:r w:rsidRPr="00862A75">
              <w:rPr>
                <w:rFonts w:ascii="Times New Roman" w:hAnsi="Times New Roman"/>
                <w:color w:val="000000"/>
              </w:rPr>
              <w:t>Out of pocket costs + Other expenses for providing this service</w:t>
            </w:r>
          </w:p>
        </w:tc>
        <w:tc>
          <w:tcPr>
            <w:tcW w:w="1890" w:type="dxa"/>
            <w:shd w:val="clear" w:color="auto" w:fill="auto"/>
          </w:tcPr>
          <w:p w:rsidRPr="00862A75" w:rsidR="00862A75" w:rsidP="0056259B" w:rsidRDefault="00862A75" w14:paraId="7BC14734" w14:textId="77777777">
            <w:pPr>
              <w:contextualSpacing/>
              <w:jc w:val="right"/>
              <w:rPr>
                <w:rFonts w:ascii="Times New Roman" w:hAnsi="Times New Roman"/>
                <w:color w:val="000000"/>
              </w:rPr>
            </w:pPr>
            <w:r w:rsidRPr="00862A75">
              <w:rPr>
                <w:rFonts w:ascii="Times New Roman" w:hAnsi="Times New Roman"/>
                <w:color w:val="000000"/>
              </w:rPr>
              <w:t>$0*</w:t>
            </w:r>
          </w:p>
        </w:tc>
      </w:tr>
      <w:tr w:rsidRPr="00862A75" w:rsidR="00862A75" w:rsidTr="0056259B" w14:paraId="00EE28C0" w14:textId="77777777">
        <w:tc>
          <w:tcPr>
            <w:tcW w:w="2340" w:type="dxa"/>
            <w:shd w:val="clear" w:color="auto" w:fill="auto"/>
          </w:tcPr>
          <w:p w:rsidRPr="00862A75" w:rsidR="00862A75" w:rsidP="0056259B" w:rsidRDefault="00862A75" w14:paraId="59A48E3A" w14:textId="77777777">
            <w:pPr>
              <w:contextualSpacing/>
              <w:rPr>
                <w:rFonts w:ascii="Times New Roman" w:hAnsi="Times New Roman"/>
                <w:color w:val="000000"/>
              </w:rPr>
            </w:pPr>
            <w:r w:rsidRPr="00862A75">
              <w:rPr>
                <w:rFonts w:ascii="Times New Roman" w:hAnsi="Times New Roman"/>
                <w:color w:val="000000"/>
              </w:rPr>
              <w:t>Systems Development, Updating, and Maintenance</w:t>
            </w:r>
          </w:p>
        </w:tc>
        <w:tc>
          <w:tcPr>
            <w:tcW w:w="3600" w:type="dxa"/>
            <w:shd w:val="clear" w:color="auto" w:fill="auto"/>
          </w:tcPr>
          <w:p w:rsidRPr="00862A75" w:rsidR="00862A75" w:rsidP="0056259B" w:rsidRDefault="00862A75" w14:paraId="18F13584" w14:textId="77777777">
            <w:pPr>
              <w:contextualSpacing/>
              <w:rPr>
                <w:rFonts w:ascii="Times New Roman" w:hAnsi="Times New Roman"/>
                <w:color w:val="000000"/>
              </w:rPr>
            </w:pPr>
            <w:r w:rsidRPr="00862A75">
              <w:rPr>
                <w:rFonts w:ascii="Times New Roman" w:hAnsi="Times New Roman"/>
                <w:color w:val="000000"/>
              </w:rPr>
              <w:t>GS-9 employee x man hours for development, updating, maintenance</w:t>
            </w:r>
          </w:p>
        </w:tc>
        <w:tc>
          <w:tcPr>
            <w:tcW w:w="1890" w:type="dxa"/>
            <w:shd w:val="clear" w:color="auto" w:fill="auto"/>
          </w:tcPr>
          <w:p w:rsidRPr="00862A75" w:rsidR="00862A75" w:rsidP="0056259B" w:rsidRDefault="00862A75" w14:paraId="789ED8C0" w14:textId="77777777">
            <w:pPr>
              <w:contextualSpacing/>
              <w:jc w:val="right"/>
              <w:rPr>
                <w:rFonts w:ascii="Times New Roman" w:hAnsi="Times New Roman"/>
                <w:color w:val="000000"/>
              </w:rPr>
            </w:pPr>
            <w:r w:rsidRPr="00862A75">
              <w:rPr>
                <w:rFonts w:ascii="Times New Roman" w:hAnsi="Times New Roman"/>
                <w:color w:val="000000"/>
              </w:rPr>
              <w:t>$</w:t>
            </w:r>
            <w:r w:rsidRPr="0056259B">
              <w:rPr>
                <w:rFonts w:ascii="Times New Roman" w:hAnsi="Times New Roman"/>
                <w:color w:val="000000"/>
              </w:rPr>
              <w:t>3,420</w:t>
            </w:r>
          </w:p>
        </w:tc>
      </w:tr>
      <w:tr w:rsidRPr="00862A75" w:rsidR="00862A75" w:rsidTr="0056259B" w14:paraId="042BC5B1" w14:textId="77777777">
        <w:tc>
          <w:tcPr>
            <w:tcW w:w="2340" w:type="dxa"/>
            <w:shd w:val="clear" w:color="auto" w:fill="auto"/>
          </w:tcPr>
          <w:p w:rsidRPr="00862A75" w:rsidR="00862A75" w:rsidP="0056259B" w:rsidRDefault="00862A75" w14:paraId="4B9E0FE9" w14:textId="77777777">
            <w:pPr>
              <w:contextualSpacing/>
              <w:rPr>
                <w:rFonts w:ascii="Times New Roman" w:hAnsi="Times New Roman"/>
                <w:color w:val="000000"/>
              </w:rPr>
            </w:pPr>
            <w:r w:rsidRPr="00862A75">
              <w:rPr>
                <w:rFonts w:ascii="Times New Roman" w:hAnsi="Times New Roman"/>
                <w:color w:val="000000"/>
              </w:rPr>
              <w:t>Quantifiable IT Costs</w:t>
            </w:r>
          </w:p>
        </w:tc>
        <w:tc>
          <w:tcPr>
            <w:tcW w:w="3600" w:type="dxa"/>
            <w:shd w:val="clear" w:color="auto" w:fill="auto"/>
          </w:tcPr>
          <w:p w:rsidRPr="00862A75" w:rsidR="00862A75" w:rsidP="0056259B" w:rsidRDefault="00862A75" w14:paraId="09D54666" w14:textId="77777777">
            <w:pPr>
              <w:contextualSpacing/>
              <w:rPr>
                <w:rFonts w:ascii="Times New Roman" w:hAnsi="Times New Roman"/>
                <w:color w:val="000000"/>
              </w:rPr>
            </w:pPr>
            <w:r w:rsidRPr="00862A75">
              <w:rPr>
                <w:rFonts w:ascii="Times New Roman" w:hAnsi="Times New Roman"/>
                <w:color w:val="000000"/>
              </w:rPr>
              <w:t>Any additional IT costs</w:t>
            </w:r>
          </w:p>
        </w:tc>
        <w:tc>
          <w:tcPr>
            <w:tcW w:w="1890" w:type="dxa"/>
            <w:shd w:val="clear" w:color="auto" w:fill="auto"/>
          </w:tcPr>
          <w:p w:rsidRPr="00862A75" w:rsidR="00862A75" w:rsidP="0056259B" w:rsidRDefault="00862A75" w14:paraId="55FA7372" w14:textId="77777777">
            <w:pPr>
              <w:contextualSpacing/>
              <w:jc w:val="right"/>
              <w:rPr>
                <w:rFonts w:ascii="Times New Roman" w:hAnsi="Times New Roman"/>
                <w:color w:val="000000"/>
              </w:rPr>
            </w:pPr>
            <w:r w:rsidRPr="00862A75">
              <w:rPr>
                <w:rFonts w:ascii="Times New Roman" w:hAnsi="Times New Roman"/>
                <w:color w:val="000000"/>
              </w:rPr>
              <w:t>$0*</w:t>
            </w:r>
          </w:p>
        </w:tc>
      </w:tr>
      <w:tr w:rsidRPr="00862A75" w:rsidR="00862A75" w:rsidTr="0056259B" w14:paraId="74658EC6" w14:textId="77777777">
        <w:tc>
          <w:tcPr>
            <w:tcW w:w="2340" w:type="dxa"/>
            <w:shd w:val="clear" w:color="auto" w:fill="auto"/>
          </w:tcPr>
          <w:p w:rsidRPr="00862A75" w:rsidR="00862A75" w:rsidP="0056259B" w:rsidRDefault="00862A75" w14:paraId="1E4BD2A5" w14:textId="77777777">
            <w:pPr>
              <w:contextualSpacing/>
              <w:rPr>
                <w:rFonts w:ascii="Times New Roman" w:hAnsi="Times New Roman"/>
                <w:b/>
                <w:bCs/>
                <w:color w:val="000000"/>
              </w:rPr>
            </w:pPr>
            <w:r w:rsidRPr="00862A75">
              <w:rPr>
                <w:rFonts w:ascii="Times New Roman" w:hAnsi="Times New Roman"/>
                <w:b/>
                <w:bCs/>
                <w:color w:val="000000"/>
              </w:rPr>
              <w:t>Total</w:t>
            </w:r>
          </w:p>
        </w:tc>
        <w:tc>
          <w:tcPr>
            <w:tcW w:w="3600" w:type="dxa"/>
            <w:shd w:val="clear" w:color="auto" w:fill="auto"/>
          </w:tcPr>
          <w:p w:rsidRPr="00862A75" w:rsidR="00862A75" w:rsidP="0056259B" w:rsidRDefault="00862A75" w14:paraId="5DDCD862" w14:textId="77777777">
            <w:pPr>
              <w:contextualSpacing/>
              <w:rPr>
                <w:rFonts w:ascii="Times New Roman" w:hAnsi="Times New Roman"/>
                <w:b/>
                <w:bCs/>
                <w:color w:val="000000"/>
              </w:rPr>
            </w:pPr>
          </w:p>
        </w:tc>
        <w:tc>
          <w:tcPr>
            <w:tcW w:w="1890" w:type="dxa"/>
            <w:shd w:val="clear" w:color="auto" w:fill="auto"/>
          </w:tcPr>
          <w:p w:rsidRPr="00862A75" w:rsidR="00862A75" w:rsidP="0056259B" w:rsidRDefault="00862A75" w14:paraId="7C661CA3" w14:textId="77777777">
            <w:pPr>
              <w:contextualSpacing/>
              <w:jc w:val="right"/>
              <w:rPr>
                <w:rFonts w:ascii="Times New Roman" w:hAnsi="Times New Roman"/>
                <w:b/>
                <w:bCs/>
                <w:color w:val="000000"/>
              </w:rPr>
            </w:pPr>
            <w:r w:rsidRPr="00862A75">
              <w:rPr>
                <w:rFonts w:ascii="Times New Roman" w:hAnsi="Times New Roman"/>
                <w:b/>
                <w:bCs/>
                <w:color w:val="000000"/>
              </w:rPr>
              <w:t>$</w:t>
            </w:r>
            <w:r w:rsidRPr="0056259B">
              <w:rPr>
                <w:rFonts w:ascii="Times New Roman" w:hAnsi="Times New Roman"/>
                <w:b/>
                <w:bCs/>
                <w:color w:val="000000"/>
              </w:rPr>
              <w:t>4,671,096</w:t>
            </w:r>
          </w:p>
        </w:tc>
      </w:tr>
    </w:tbl>
    <w:p w:rsidRPr="00862A75" w:rsidR="00862A75" w:rsidP="00862A75" w:rsidRDefault="00862A75" w14:paraId="772341FB" w14:textId="77777777">
      <w:pPr>
        <w:ind w:left="1440"/>
        <w:rPr>
          <w:rFonts w:ascii="Times New Roman" w:hAnsi="Times New Roman"/>
          <w:color w:val="000000"/>
        </w:rPr>
      </w:pPr>
      <w:r w:rsidRPr="00862A75">
        <w:rPr>
          <w:rFonts w:ascii="Times New Roman" w:hAnsi="Times New Roman"/>
          <w:color w:val="000000"/>
        </w:rPr>
        <w:t xml:space="preserve">* We have inserted a $0 amount for cost factors that do not apply to this collection. </w:t>
      </w:r>
    </w:p>
    <w:p w:rsidRPr="00862A75" w:rsidR="00862A75" w:rsidP="00862A75" w:rsidRDefault="00862A75" w14:paraId="1EA7245C" w14:textId="77777777">
      <w:pPr>
        <w:ind w:left="1440"/>
        <w:rPr>
          <w:rFonts w:ascii="Times New Roman" w:hAnsi="Times New Roman"/>
          <w:color w:val="000000"/>
        </w:rPr>
      </w:pPr>
    </w:p>
    <w:p w:rsidR="00862A75" w:rsidP="00862A75" w:rsidRDefault="00862A75" w14:paraId="0D2A9FBD" w14:textId="77777777">
      <w:pPr>
        <w:ind w:left="1440"/>
        <w:rPr>
          <w:rFonts w:ascii="Times New Roman" w:hAnsi="Times New Roman"/>
          <w:color w:val="000000"/>
        </w:rPr>
      </w:pPr>
      <w:r w:rsidRPr="00862A75">
        <w:rPr>
          <w:rFonts w:ascii="Times New Roman" w:hAnsi="Times New Roman"/>
          <w:color w:val="000000"/>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BC7F42" w:rsidR="00A45D82" w:rsidP="00F04D8A" w:rsidRDefault="00A45D82" w14:paraId="373EBF9F" w14:textId="77777777">
      <w:pPr>
        <w:ind w:left="1440"/>
        <w:rPr>
          <w:rFonts w:ascii="Times New Roman" w:hAnsi="Times New Roman"/>
          <w:i/>
        </w:rPr>
      </w:pPr>
    </w:p>
    <w:p w:rsidR="00063A05" w:rsidP="00F04D8A" w:rsidRDefault="00A45D82" w14:paraId="7D4A05CF" w14:textId="77777777">
      <w:pPr>
        <w:tabs>
          <w:tab w:val="num"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Pr="00536CBB" w:rsidR="00B1614B" w:rsidP="00F04D8A" w:rsidRDefault="00F04D8A" w14:paraId="1BCDC83E" w14:textId="4D16F3F7">
      <w:pPr>
        <w:ind w:left="1440"/>
        <w:rPr>
          <w:rFonts w:ascii="Times New Roman" w:hAnsi="Times New Roman"/>
          <w:b/>
        </w:rPr>
      </w:pPr>
      <w:r>
        <w:rPr>
          <w:rFonts w:ascii="Times New Roman" w:hAnsi="Times New Roman"/>
        </w:rPr>
        <w:t>W</w:t>
      </w:r>
      <w:r w:rsidRPr="00536CBB" w:rsidR="00B1614B">
        <w:rPr>
          <w:rFonts w:ascii="Times New Roman" w:hAnsi="Times New Roman"/>
        </w:rPr>
        <w:t>hen we last cleared this IC in 201</w:t>
      </w:r>
      <w:r w:rsidR="009774C0">
        <w:rPr>
          <w:rFonts w:ascii="Times New Roman" w:hAnsi="Times New Roman"/>
        </w:rPr>
        <w:t>9</w:t>
      </w:r>
      <w:r w:rsidRPr="00536CBB" w:rsidR="00B1614B">
        <w:rPr>
          <w:rFonts w:ascii="Times New Roman" w:hAnsi="Times New Roman"/>
        </w:rPr>
        <w:t>, the burden was</w:t>
      </w:r>
      <w:r w:rsidRPr="00536CBB" w:rsidR="00966CA1">
        <w:rPr>
          <w:rFonts w:ascii="Times New Roman" w:hAnsi="Times New Roman"/>
        </w:rPr>
        <w:t xml:space="preserve"> 175,000 </w:t>
      </w:r>
      <w:r w:rsidRPr="00536CBB" w:rsidR="00B1614B">
        <w:rPr>
          <w:rFonts w:ascii="Times New Roman" w:hAnsi="Times New Roman"/>
        </w:rPr>
        <w:t>hours.</w:t>
      </w:r>
      <w:r w:rsidR="00725B1C">
        <w:rPr>
          <w:rFonts w:ascii="Times New Roman" w:hAnsi="Times New Roman"/>
        </w:rPr>
        <w:t xml:space="preserve">  However, w</w:t>
      </w:r>
      <w:r w:rsidRPr="00536CBB" w:rsidR="00B1614B">
        <w:rPr>
          <w:rFonts w:ascii="Times New Roman" w:hAnsi="Times New Roman"/>
        </w:rPr>
        <w:t xml:space="preserve">e are currently reporting a burden of </w:t>
      </w:r>
      <w:r w:rsidR="009774C0">
        <w:rPr>
          <w:rFonts w:ascii="Times New Roman" w:hAnsi="Times New Roman"/>
        </w:rPr>
        <w:t>166,667</w:t>
      </w:r>
      <w:r w:rsidRPr="00536CBB" w:rsidR="00B1614B">
        <w:rPr>
          <w:rFonts w:ascii="Times New Roman" w:hAnsi="Times New Roman"/>
        </w:rPr>
        <w:t xml:space="preserve"> hours. </w:t>
      </w:r>
      <w:r w:rsidR="00102C53">
        <w:rPr>
          <w:rFonts w:ascii="Times New Roman" w:hAnsi="Times New Roman"/>
        </w:rPr>
        <w:t xml:space="preserve"> </w:t>
      </w:r>
      <w:r w:rsidRPr="00536CBB" w:rsidR="00B1614B">
        <w:rPr>
          <w:rFonts w:ascii="Times New Roman" w:hAnsi="Times New Roman"/>
        </w:rPr>
        <w:t xml:space="preserve">This change stems </w:t>
      </w:r>
      <w:r w:rsidRPr="00536CBB" w:rsidR="00966CA1">
        <w:rPr>
          <w:rFonts w:ascii="Times New Roman" w:hAnsi="Times New Roman"/>
        </w:rPr>
        <w:t xml:space="preserve">from </w:t>
      </w:r>
      <w:r w:rsidRPr="00536CBB" w:rsidR="00B1614B">
        <w:rPr>
          <w:rFonts w:ascii="Times New Roman" w:hAnsi="Times New Roman"/>
        </w:rPr>
        <w:t>a decrease in the number of respon</w:t>
      </w:r>
      <w:r w:rsidR="00862A75">
        <w:rPr>
          <w:rFonts w:ascii="Times New Roman" w:hAnsi="Times New Roman"/>
        </w:rPr>
        <w:t>ses</w:t>
      </w:r>
      <w:r w:rsidRPr="00536CBB" w:rsidR="00B1614B">
        <w:rPr>
          <w:rFonts w:ascii="Times New Roman" w:hAnsi="Times New Roman"/>
        </w:rPr>
        <w:t xml:space="preserve"> from </w:t>
      </w:r>
      <w:r w:rsidRPr="00536CBB" w:rsidR="00966CA1">
        <w:rPr>
          <w:rFonts w:ascii="Times New Roman" w:hAnsi="Times New Roman"/>
        </w:rPr>
        <w:t>700,000</w:t>
      </w:r>
      <w:r w:rsidRPr="00536CBB" w:rsidR="00B1614B">
        <w:rPr>
          <w:rFonts w:ascii="Times New Roman" w:hAnsi="Times New Roman"/>
        </w:rPr>
        <w:t xml:space="preserve"> to </w:t>
      </w:r>
      <w:r w:rsidR="009774C0">
        <w:rPr>
          <w:rFonts w:ascii="Times New Roman" w:hAnsi="Times New Roman"/>
        </w:rPr>
        <w:t>666,666</w:t>
      </w:r>
      <w:r w:rsidRPr="00536CBB" w:rsidR="00B1614B">
        <w:rPr>
          <w:rFonts w:ascii="Times New Roman" w:hAnsi="Times New Roman"/>
        </w:rPr>
        <w:t xml:space="preserve">.  </w:t>
      </w:r>
      <w:r w:rsidRPr="00862A75" w:rsidR="00862A75">
        <w:rPr>
          <w:rFonts w:ascii="Times New Roman" w:hAnsi="Times New Roman"/>
        </w:rPr>
        <w:t>Although the number of responses changed, SSA did not take any actions to cause this change.  These figures represent current Management Information data</w:t>
      </w:r>
      <w:r w:rsidRPr="00536CBB" w:rsidR="00401DE1">
        <w:rPr>
          <w:rFonts w:ascii="Times New Roman" w:hAnsi="Times New Roman"/>
        </w:rPr>
        <w:t>.</w:t>
      </w:r>
      <w:r w:rsidR="007848B7">
        <w:rPr>
          <w:rFonts w:ascii="Times New Roman" w:hAnsi="Times New Roman"/>
        </w:rPr>
        <w:t xml:space="preserve">  In addition, as per OMB’s request, SSA is including the 30-minute travel time to a field office in our burden calculations, which increases the overall burden for this collection.</w:t>
      </w:r>
    </w:p>
    <w:p w:rsidR="00862A75" w:rsidP="00F04D8A" w:rsidRDefault="00862A75" w14:paraId="4087B7AF" w14:textId="77777777">
      <w:pPr>
        <w:ind w:left="1440"/>
        <w:rPr>
          <w:rFonts w:ascii="Times New Roman" w:hAnsi="Times New Roman"/>
          <w:b/>
        </w:rPr>
      </w:pPr>
    </w:p>
    <w:p w:rsidR="00063A05" w:rsidP="00F04D8A" w:rsidRDefault="00A45D82" w14:paraId="319E8127" w14:textId="77777777">
      <w:pPr>
        <w:tabs>
          <w:tab w:val="num"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4E2466" w:rsidR="003B30B4" w:rsidP="00F04D8A" w:rsidRDefault="003B30B4" w14:paraId="28CD8112" w14:textId="77777777">
      <w:pPr>
        <w:pStyle w:val="NoSpacing"/>
        <w:ind w:left="1440"/>
        <w:rPr>
          <w:bCs/>
          <w:iCs/>
        </w:rPr>
      </w:pPr>
      <w:r w:rsidRPr="004E2466">
        <w:rPr>
          <w:bCs/>
          <w:iCs/>
        </w:rPr>
        <w:t>SSA will not publish the results of the information collection.</w:t>
      </w:r>
    </w:p>
    <w:p w:rsidRPr="00BC7F42" w:rsidR="00A45D82" w:rsidP="00F04D8A" w:rsidRDefault="00A45D82" w14:paraId="6EDD6973" w14:textId="77777777">
      <w:pPr>
        <w:pStyle w:val="Header"/>
        <w:tabs>
          <w:tab w:val="clear" w:pos="4320"/>
          <w:tab w:val="clear" w:pos="8640"/>
        </w:tabs>
        <w:ind w:left="1440"/>
        <w:rPr>
          <w:rFonts w:ascii="Times New Roman" w:hAnsi="Times New Roman"/>
        </w:rPr>
      </w:pPr>
    </w:p>
    <w:p w:rsidR="003B30B4" w:rsidP="00F04D8A" w:rsidRDefault="00A45D82" w14:paraId="3F235FC8" w14:textId="77777777">
      <w:pPr>
        <w:tabs>
          <w:tab w:val="num"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Pr="004E2466" w:rsidR="003B30B4" w:rsidP="00F04D8A" w:rsidRDefault="003B30B4" w14:paraId="4B1E5100" w14:textId="77777777">
      <w:pPr>
        <w:pStyle w:val="NoSpacing"/>
        <w:ind w:left="1440"/>
        <w:rPr>
          <w:bCs/>
          <w:iCs/>
        </w:rPr>
      </w:pPr>
      <w:r w:rsidRPr="004E2466">
        <w:rPr>
          <w:bCs/>
          <w:iCs/>
        </w:rPr>
        <w:t>OMB granted SSA an exemption from the requirement to print the OMB expiration date on its program forms</w:t>
      </w:r>
      <w:r w:rsidRPr="004E2466" w:rsidR="00FA0FE2">
        <w:rPr>
          <w:bCs/>
          <w:iCs/>
        </w:rPr>
        <w:t xml:space="preserve">.  </w:t>
      </w:r>
      <w:r w:rsidRPr="004E2466">
        <w:rPr>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A45D82" w:rsidP="00F04D8A" w:rsidRDefault="00A45D82" w14:paraId="65164291" w14:textId="4F5F7A7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Pr="00BC7F42" w:rsidR="007848B7" w:rsidP="00F04D8A" w:rsidRDefault="007848B7" w14:paraId="1CE9D96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3B30B4" w:rsidP="00F04D8A" w:rsidRDefault="00A45D82" w14:paraId="22049F27" w14:textId="77777777">
      <w:pPr>
        <w:numPr>
          <w:ilvl w:val="0"/>
          <w:numId w:val="43"/>
        </w:numPr>
        <w:tabs>
          <w:tab w:val="clear" w:pos="720"/>
          <w:tab w:val="num" w:pos="1440"/>
        </w:tabs>
        <w:ind w:left="1440"/>
        <w:rPr>
          <w:rFonts w:ascii="Times New Roman" w:hAnsi="Times New Roman"/>
          <w:b/>
        </w:rPr>
      </w:pPr>
      <w:r w:rsidRPr="00BC7F42">
        <w:rPr>
          <w:rFonts w:ascii="Times New Roman" w:hAnsi="Times New Roman"/>
          <w:b/>
        </w:rPr>
        <w:lastRenderedPageBreak/>
        <w:t>Exceptions to Certification Statement</w:t>
      </w:r>
    </w:p>
    <w:p w:rsidRPr="00207B5A" w:rsidR="0041131C" w:rsidP="00F04D8A" w:rsidRDefault="0041131C" w14:paraId="265A52EB"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207B5A">
        <w:rPr>
          <w:rFonts w:ascii="Times New Roman" w:hAnsi="Times New Roman"/>
          <w:b w:val="0"/>
          <w:i w:val="0"/>
        </w:rPr>
        <w:t xml:space="preserve">SSA is not requesting an exception to the certification requirements at </w:t>
      </w:r>
      <w:r w:rsidRPr="007848B7">
        <w:rPr>
          <w:rFonts w:ascii="Times New Roman" w:hAnsi="Times New Roman"/>
          <w:b w:val="0"/>
          <w:iCs w:val="0"/>
        </w:rPr>
        <w:t>5 CFR 1320.9</w:t>
      </w:r>
      <w:r w:rsidRPr="00207B5A">
        <w:rPr>
          <w:rFonts w:ascii="Times New Roman" w:hAnsi="Times New Roman"/>
          <w:b w:val="0"/>
          <w:i w:val="0"/>
        </w:rPr>
        <w:t xml:space="preserve"> and related provisions at </w:t>
      </w:r>
      <w:r w:rsidRPr="007848B7">
        <w:rPr>
          <w:rFonts w:ascii="Times New Roman" w:hAnsi="Times New Roman"/>
          <w:b w:val="0"/>
          <w:iCs w:val="0"/>
        </w:rPr>
        <w:t>5 CFR 1320.8(b)(3)</w:t>
      </w:r>
      <w:r w:rsidRPr="00207B5A">
        <w:rPr>
          <w:rFonts w:ascii="Times New Roman" w:hAnsi="Times New Roman"/>
          <w:b w:val="0"/>
          <w:i w:val="0"/>
        </w:rPr>
        <w:t xml:space="preserve">. </w:t>
      </w:r>
    </w:p>
    <w:p w:rsidRPr="00BC7F42" w:rsidR="00A45D82" w:rsidP="00A45D82" w:rsidRDefault="00A45D82" w14:paraId="722BBA3D" w14:textId="77777777">
      <w:pPr>
        <w:rPr>
          <w:rFonts w:ascii="Times New Roman" w:hAnsi="Times New Roman"/>
        </w:rPr>
      </w:pPr>
    </w:p>
    <w:p w:rsidR="00A45D82" w:rsidP="00F04D8A" w:rsidRDefault="00A45D82" w14:paraId="1294B132" w14:textId="77777777">
      <w:pPr>
        <w:ind w:left="720" w:hanging="540"/>
        <w:rPr>
          <w:rFonts w:ascii="Times New Roman" w:hAnsi="Times New Roman"/>
          <w:b/>
          <w:u w:val="single"/>
        </w:rPr>
      </w:pPr>
      <w:r w:rsidRPr="0041131C">
        <w:rPr>
          <w:rFonts w:ascii="Times New Roman" w:hAnsi="Times New Roman"/>
          <w:b/>
        </w:rPr>
        <w:t>B.</w:t>
      </w:r>
      <w:r w:rsidR="00F04D8A">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BC7F42" w:rsidR="0041131C" w:rsidP="0041131C" w:rsidRDefault="0041131C" w14:paraId="6D5E8887" w14:textId="77777777">
      <w:pPr>
        <w:rPr>
          <w:rFonts w:ascii="Times New Roman" w:hAnsi="Times New Roman"/>
        </w:rPr>
      </w:pPr>
      <w:r>
        <w:rPr>
          <w:rFonts w:ascii="Times New Roman" w:hAnsi="Times New Roman"/>
        </w:rPr>
        <w:tab/>
      </w:r>
    </w:p>
    <w:p w:rsidRPr="00BC7F42" w:rsidR="00A45D82" w:rsidP="00F04D8A" w:rsidRDefault="0041131C" w14:paraId="5EA89A2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207B5A">
        <w:rPr>
          <w:rFonts w:ascii="Times New Roman" w:hAnsi="Times New Roman"/>
          <w:b w:val="0"/>
          <w:i w:val="0"/>
        </w:rPr>
        <w:t>SSA does not use statistical methods for this information collection.</w:t>
      </w:r>
    </w:p>
    <w:sectPr w:rsidRPr="00BC7F42" w:rsidR="00A45D82" w:rsidSect="006D13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B6964" w14:textId="77777777" w:rsidR="0056259B" w:rsidRDefault="0056259B">
      <w:r>
        <w:separator/>
      </w:r>
    </w:p>
  </w:endnote>
  <w:endnote w:type="continuationSeparator" w:id="0">
    <w:p w14:paraId="5A66C730" w14:textId="77777777" w:rsidR="0056259B" w:rsidRDefault="0056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FA95C" w14:textId="77777777" w:rsidR="0056259B" w:rsidRDefault="0056259B">
      <w:r>
        <w:separator/>
      </w:r>
    </w:p>
  </w:footnote>
  <w:footnote w:type="continuationSeparator" w:id="0">
    <w:p w14:paraId="3D698F14" w14:textId="77777777" w:rsidR="0056259B" w:rsidRDefault="005625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6826AE"/>
    <w:multiLevelType w:val="hybridMultilevel"/>
    <w:tmpl w:val="19D8CB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7"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8"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2"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4"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8"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5"/>
  </w:num>
  <w:num w:numId="2">
    <w:abstractNumId w:val="27"/>
  </w:num>
  <w:num w:numId="3">
    <w:abstractNumId w:val="3"/>
  </w:num>
  <w:num w:numId="4">
    <w:abstractNumId w:val="20"/>
  </w:num>
  <w:num w:numId="5">
    <w:abstractNumId w:val="43"/>
  </w:num>
  <w:num w:numId="6">
    <w:abstractNumId w:val="8"/>
  </w:num>
  <w:num w:numId="7">
    <w:abstractNumId w:val="29"/>
  </w:num>
  <w:num w:numId="8">
    <w:abstractNumId w:val="35"/>
  </w:num>
  <w:num w:numId="9">
    <w:abstractNumId w:val="41"/>
  </w:num>
  <w:num w:numId="10">
    <w:abstractNumId w:val="4"/>
  </w:num>
  <w:num w:numId="11">
    <w:abstractNumId w:val="2"/>
  </w:num>
  <w:num w:numId="12">
    <w:abstractNumId w:val="16"/>
  </w:num>
  <w:num w:numId="13">
    <w:abstractNumId w:val="21"/>
  </w:num>
  <w:num w:numId="14">
    <w:abstractNumId w:val="47"/>
  </w:num>
  <w:num w:numId="15">
    <w:abstractNumId w:val="11"/>
  </w:num>
  <w:num w:numId="16">
    <w:abstractNumId w:val="14"/>
  </w:num>
  <w:num w:numId="17">
    <w:abstractNumId w:val="33"/>
  </w:num>
  <w:num w:numId="18">
    <w:abstractNumId w:val="7"/>
  </w:num>
  <w:num w:numId="19">
    <w:abstractNumId w:val="6"/>
  </w:num>
  <w:num w:numId="20">
    <w:abstractNumId w:val="46"/>
  </w:num>
  <w:num w:numId="21">
    <w:abstractNumId w:val="17"/>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8"/>
  </w:num>
  <w:num w:numId="25">
    <w:abstractNumId w:val="24"/>
  </w:num>
  <w:num w:numId="26">
    <w:abstractNumId w:val="22"/>
  </w:num>
  <w:num w:numId="27">
    <w:abstractNumId w:val="42"/>
  </w:num>
  <w:num w:numId="28">
    <w:abstractNumId w:val="31"/>
  </w:num>
  <w:num w:numId="29">
    <w:abstractNumId w:val="28"/>
  </w:num>
  <w:num w:numId="30">
    <w:abstractNumId w:val="39"/>
  </w:num>
  <w:num w:numId="31">
    <w:abstractNumId w:val="37"/>
  </w:num>
  <w:num w:numId="32">
    <w:abstractNumId w:val="13"/>
  </w:num>
  <w:num w:numId="33">
    <w:abstractNumId w:val="26"/>
  </w:num>
  <w:num w:numId="34">
    <w:abstractNumId w:val="34"/>
  </w:num>
  <w:num w:numId="35">
    <w:abstractNumId w:val="48"/>
  </w:num>
  <w:num w:numId="36">
    <w:abstractNumId w:val="44"/>
  </w:num>
  <w:num w:numId="37">
    <w:abstractNumId w:val="19"/>
  </w:num>
  <w:num w:numId="38">
    <w:abstractNumId w:val="36"/>
  </w:num>
  <w:num w:numId="39">
    <w:abstractNumId w:val="10"/>
  </w:num>
  <w:num w:numId="40">
    <w:abstractNumId w:val="30"/>
  </w:num>
  <w:num w:numId="41">
    <w:abstractNumId w:val="23"/>
  </w:num>
  <w:num w:numId="42">
    <w:abstractNumId w:val="9"/>
  </w:num>
  <w:num w:numId="43">
    <w:abstractNumId w:val="1"/>
  </w:num>
  <w:num w:numId="44">
    <w:abstractNumId w:val="12"/>
  </w:num>
  <w:num w:numId="45">
    <w:abstractNumId w:val="45"/>
  </w:num>
  <w:num w:numId="46">
    <w:abstractNumId w:val="25"/>
  </w:num>
  <w:num w:numId="47">
    <w:abstractNumId w:val="32"/>
  </w:num>
  <w:num w:numId="48">
    <w:abstractNumId w:val="18"/>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16409"/>
    <w:rsid w:val="000222A7"/>
    <w:rsid w:val="00025216"/>
    <w:rsid w:val="00025D75"/>
    <w:rsid w:val="0002677F"/>
    <w:rsid w:val="00063A05"/>
    <w:rsid w:val="00064229"/>
    <w:rsid w:val="0006715D"/>
    <w:rsid w:val="0007189E"/>
    <w:rsid w:val="000732E7"/>
    <w:rsid w:val="00077720"/>
    <w:rsid w:val="00077E0E"/>
    <w:rsid w:val="00086E84"/>
    <w:rsid w:val="000958AA"/>
    <w:rsid w:val="000A6AE3"/>
    <w:rsid w:val="000B2B68"/>
    <w:rsid w:val="000B3B12"/>
    <w:rsid w:val="000C151C"/>
    <w:rsid w:val="000C1D18"/>
    <w:rsid w:val="000C554E"/>
    <w:rsid w:val="000D5F5C"/>
    <w:rsid w:val="00102C53"/>
    <w:rsid w:val="00121032"/>
    <w:rsid w:val="00122EE2"/>
    <w:rsid w:val="00127980"/>
    <w:rsid w:val="0013336E"/>
    <w:rsid w:val="00137B3B"/>
    <w:rsid w:val="00142111"/>
    <w:rsid w:val="00145796"/>
    <w:rsid w:val="00145D4F"/>
    <w:rsid w:val="00146275"/>
    <w:rsid w:val="00154AF7"/>
    <w:rsid w:val="0015576E"/>
    <w:rsid w:val="00157AD6"/>
    <w:rsid w:val="00161A18"/>
    <w:rsid w:val="001779F3"/>
    <w:rsid w:val="00186C90"/>
    <w:rsid w:val="00192897"/>
    <w:rsid w:val="001A3317"/>
    <w:rsid w:val="001A65F9"/>
    <w:rsid w:val="001B7CF4"/>
    <w:rsid w:val="001C6D3A"/>
    <w:rsid w:val="001D0B21"/>
    <w:rsid w:val="001D18EC"/>
    <w:rsid w:val="001E1076"/>
    <w:rsid w:val="001E56C6"/>
    <w:rsid w:val="00202C06"/>
    <w:rsid w:val="00207B5A"/>
    <w:rsid w:val="00223D92"/>
    <w:rsid w:val="002321B0"/>
    <w:rsid w:val="00246836"/>
    <w:rsid w:val="0026052B"/>
    <w:rsid w:val="00276AAF"/>
    <w:rsid w:val="002801F8"/>
    <w:rsid w:val="00281B0B"/>
    <w:rsid w:val="002A4C30"/>
    <w:rsid w:val="002B0820"/>
    <w:rsid w:val="002B29C0"/>
    <w:rsid w:val="002B5578"/>
    <w:rsid w:val="002E18CF"/>
    <w:rsid w:val="002E335E"/>
    <w:rsid w:val="002F1C11"/>
    <w:rsid w:val="00302545"/>
    <w:rsid w:val="003176E1"/>
    <w:rsid w:val="00331821"/>
    <w:rsid w:val="00333D3D"/>
    <w:rsid w:val="003406DD"/>
    <w:rsid w:val="00340D7D"/>
    <w:rsid w:val="003465DC"/>
    <w:rsid w:val="003469CA"/>
    <w:rsid w:val="0036696D"/>
    <w:rsid w:val="003803A0"/>
    <w:rsid w:val="0038050B"/>
    <w:rsid w:val="00393139"/>
    <w:rsid w:val="003A6E57"/>
    <w:rsid w:val="003A71A9"/>
    <w:rsid w:val="003B15EC"/>
    <w:rsid w:val="003B30B4"/>
    <w:rsid w:val="003C10BD"/>
    <w:rsid w:val="003C5DA1"/>
    <w:rsid w:val="003E145C"/>
    <w:rsid w:val="003F00B3"/>
    <w:rsid w:val="00401DE1"/>
    <w:rsid w:val="00405548"/>
    <w:rsid w:val="0041131C"/>
    <w:rsid w:val="004145D2"/>
    <w:rsid w:val="004238CA"/>
    <w:rsid w:val="004317CB"/>
    <w:rsid w:val="00445582"/>
    <w:rsid w:val="00447EE9"/>
    <w:rsid w:val="0045065A"/>
    <w:rsid w:val="004509AD"/>
    <w:rsid w:val="00454B98"/>
    <w:rsid w:val="0047491E"/>
    <w:rsid w:val="00475350"/>
    <w:rsid w:val="00480981"/>
    <w:rsid w:val="00481B44"/>
    <w:rsid w:val="00484662"/>
    <w:rsid w:val="004915B5"/>
    <w:rsid w:val="00495DF1"/>
    <w:rsid w:val="004E146D"/>
    <w:rsid w:val="004E2466"/>
    <w:rsid w:val="004E7003"/>
    <w:rsid w:val="004F25A6"/>
    <w:rsid w:val="00501875"/>
    <w:rsid w:val="0050197F"/>
    <w:rsid w:val="005040EC"/>
    <w:rsid w:val="00506486"/>
    <w:rsid w:val="00511DE3"/>
    <w:rsid w:val="00536CBB"/>
    <w:rsid w:val="00553C11"/>
    <w:rsid w:val="0056163C"/>
    <w:rsid w:val="0056259B"/>
    <w:rsid w:val="005721D4"/>
    <w:rsid w:val="0059205E"/>
    <w:rsid w:val="00593A36"/>
    <w:rsid w:val="00594CB3"/>
    <w:rsid w:val="005A1198"/>
    <w:rsid w:val="005B15E5"/>
    <w:rsid w:val="005C2C39"/>
    <w:rsid w:val="005D4107"/>
    <w:rsid w:val="005D5B33"/>
    <w:rsid w:val="005F208A"/>
    <w:rsid w:val="006002DD"/>
    <w:rsid w:val="006013A3"/>
    <w:rsid w:val="006160ED"/>
    <w:rsid w:val="00616CE3"/>
    <w:rsid w:val="00626C22"/>
    <w:rsid w:val="00631F1B"/>
    <w:rsid w:val="0063304D"/>
    <w:rsid w:val="00637AF5"/>
    <w:rsid w:val="00637D8F"/>
    <w:rsid w:val="00640A26"/>
    <w:rsid w:val="00655DCD"/>
    <w:rsid w:val="00660539"/>
    <w:rsid w:val="00663881"/>
    <w:rsid w:val="00664553"/>
    <w:rsid w:val="006806E1"/>
    <w:rsid w:val="0069667B"/>
    <w:rsid w:val="006B173F"/>
    <w:rsid w:val="006B17EF"/>
    <w:rsid w:val="006B297F"/>
    <w:rsid w:val="006B2B00"/>
    <w:rsid w:val="006D1325"/>
    <w:rsid w:val="006D6683"/>
    <w:rsid w:val="006E2FB4"/>
    <w:rsid w:val="006E59B6"/>
    <w:rsid w:val="006F2B8B"/>
    <w:rsid w:val="006F4D0F"/>
    <w:rsid w:val="00702D7B"/>
    <w:rsid w:val="0070479A"/>
    <w:rsid w:val="00712F1B"/>
    <w:rsid w:val="0071437B"/>
    <w:rsid w:val="007245C9"/>
    <w:rsid w:val="007256B3"/>
    <w:rsid w:val="00725B1C"/>
    <w:rsid w:val="00742B56"/>
    <w:rsid w:val="00745462"/>
    <w:rsid w:val="00755F5D"/>
    <w:rsid w:val="007848B7"/>
    <w:rsid w:val="00795BAB"/>
    <w:rsid w:val="007A08D1"/>
    <w:rsid w:val="007A2DEE"/>
    <w:rsid w:val="007B007C"/>
    <w:rsid w:val="007C0384"/>
    <w:rsid w:val="007D061D"/>
    <w:rsid w:val="007D22EB"/>
    <w:rsid w:val="007E17BD"/>
    <w:rsid w:val="00801D22"/>
    <w:rsid w:val="00806984"/>
    <w:rsid w:val="00810485"/>
    <w:rsid w:val="00814772"/>
    <w:rsid w:val="00824D72"/>
    <w:rsid w:val="00825B97"/>
    <w:rsid w:val="00831CCD"/>
    <w:rsid w:val="00831E6E"/>
    <w:rsid w:val="008341CB"/>
    <w:rsid w:val="0084775D"/>
    <w:rsid w:val="00862A75"/>
    <w:rsid w:val="0086463A"/>
    <w:rsid w:val="008754ED"/>
    <w:rsid w:val="00876482"/>
    <w:rsid w:val="00891CA8"/>
    <w:rsid w:val="00892E12"/>
    <w:rsid w:val="008B6774"/>
    <w:rsid w:val="008D158E"/>
    <w:rsid w:val="008E1D42"/>
    <w:rsid w:val="008E3A3A"/>
    <w:rsid w:val="00906892"/>
    <w:rsid w:val="009252AB"/>
    <w:rsid w:val="00951258"/>
    <w:rsid w:val="00952C5B"/>
    <w:rsid w:val="00955EC4"/>
    <w:rsid w:val="00966CA1"/>
    <w:rsid w:val="009748B6"/>
    <w:rsid w:val="00975DD8"/>
    <w:rsid w:val="009774C0"/>
    <w:rsid w:val="00977D33"/>
    <w:rsid w:val="00994AC0"/>
    <w:rsid w:val="009A0B16"/>
    <w:rsid w:val="009E3C50"/>
    <w:rsid w:val="009F23D6"/>
    <w:rsid w:val="009F7BB3"/>
    <w:rsid w:val="00A06BE2"/>
    <w:rsid w:val="00A25E38"/>
    <w:rsid w:val="00A260F6"/>
    <w:rsid w:val="00A32C8F"/>
    <w:rsid w:val="00A337E4"/>
    <w:rsid w:val="00A33C65"/>
    <w:rsid w:val="00A34222"/>
    <w:rsid w:val="00A45D82"/>
    <w:rsid w:val="00A52DD5"/>
    <w:rsid w:val="00A651A7"/>
    <w:rsid w:val="00A66A8C"/>
    <w:rsid w:val="00A67D76"/>
    <w:rsid w:val="00A706B8"/>
    <w:rsid w:val="00A805BA"/>
    <w:rsid w:val="00AA06A4"/>
    <w:rsid w:val="00AA0858"/>
    <w:rsid w:val="00AA0C27"/>
    <w:rsid w:val="00AA6250"/>
    <w:rsid w:val="00AB0CA7"/>
    <w:rsid w:val="00AC2E93"/>
    <w:rsid w:val="00AC39FD"/>
    <w:rsid w:val="00AD0977"/>
    <w:rsid w:val="00AE0527"/>
    <w:rsid w:val="00AE745D"/>
    <w:rsid w:val="00AF3BEA"/>
    <w:rsid w:val="00AF7234"/>
    <w:rsid w:val="00B007C5"/>
    <w:rsid w:val="00B01D57"/>
    <w:rsid w:val="00B1614B"/>
    <w:rsid w:val="00B22DD9"/>
    <w:rsid w:val="00B4502F"/>
    <w:rsid w:val="00B51EF0"/>
    <w:rsid w:val="00B525CA"/>
    <w:rsid w:val="00B741F6"/>
    <w:rsid w:val="00B92550"/>
    <w:rsid w:val="00BA1653"/>
    <w:rsid w:val="00BA401A"/>
    <w:rsid w:val="00BC5531"/>
    <w:rsid w:val="00BC7F42"/>
    <w:rsid w:val="00BD74FC"/>
    <w:rsid w:val="00BF026F"/>
    <w:rsid w:val="00BF4955"/>
    <w:rsid w:val="00C0290B"/>
    <w:rsid w:val="00C22097"/>
    <w:rsid w:val="00C25FDC"/>
    <w:rsid w:val="00C34553"/>
    <w:rsid w:val="00C34A91"/>
    <w:rsid w:val="00C377BC"/>
    <w:rsid w:val="00C5104E"/>
    <w:rsid w:val="00C55DDA"/>
    <w:rsid w:val="00C60E61"/>
    <w:rsid w:val="00C67C8A"/>
    <w:rsid w:val="00C67F83"/>
    <w:rsid w:val="00C71D2C"/>
    <w:rsid w:val="00C74A43"/>
    <w:rsid w:val="00C821AD"/>
    <w:rsid w:val="00C93220"/>
    <w:rsid w:val="00C9400D"/>
    <w:rsid w:val="00C941E2"/>
    <w:rsid w:val="00CA0B15"/>
    <w:rsid w:val="00CA5F75"/>
    <w:rsid w:val="00CA65FE"/>
    <w:rsid w:val="00CA6CAE"/>
    <w:rsid w:val="00CB7253"/>
    <w:rsid w:val="00CB7557"/>
    <w:rsid w:val="00CD07B4"/>
    <w:rsid w:val="00CD1966"/>
    <w:rsid w:val="00CD667A"/>
    <w:rsid w:val="00CE23C1"/>
    <w:rsid w:val="00CF0595"/>
    <w:rsid w:val="00CF7F26"/>
    <w:rsid w:val="00D0011E"/>
    <w:rsid w:val="00D03E8A"/>
    <w:rsid w:val="00D306AD"/>
    <w:rsid w:val="00D42EFE"/>
    <w:rsid w:val="00D44900"/>
    <w:rsid w:val="00D5531A"/>
    <w:rsid w:val="00D56C1D"/>
    <w:rsid w:val="00D659E2"/>
    <w:rsid w:val="00D6777F"/>
    <w:rsid w:val="00D678F8"/>
    <w:rsid w:val="00D703C3"/>
    <w:rsid w:val="00D746D6"/>
    <w:rsid w:val="00D942A3"/>
    <w:rsid w:val="00DA5EC6"/>
    <w:rsid w:val="00DA6F77"/>
    <w:rsid w:val="00DB1DB4"/>
    <w:rsid w:val="00DD494D"/>
    <w:rsid w:val="00DE156B"/>
    <w:rsid w:val="00DE6186"/>
    <w:rsid w:val="00E0137B"/>
    <w:rsid w:val="00E065DA"/>
    <w:rsid w:val="00E14A52"/>
    <w:rsid w:val="00E3164F"/>
    <w:rsid w:val="00E3299B"/>
    <w:rsid w:val="00E437C5"/>
    <w:rsid w:val="00E75DB0"/>
    <w:rsid w:val="00E80456"/>
    <w:rsid w:val="00E81DA7"/>
    <w:rsid w:val="00E8462C"/>
    <w:rsid w:val="00E956F3"/>
    <w:rsid w:val="00EA6845"/>
    <w:rsid w:val="00EC7EFD"/>
    <w:rsid w:val="00ED36D8"/>
    <w:rsid w:val="00EE6086"/>
    <w:rsid w:val="00EF4071"/>
    <w:rsid w:val="00EF765F"/>
    <w:rsid w:val="00F028DE"/>
    <w:rsid w:val="00F04D8A"/>
    <w:rsid w:val="00F0585C"/>
    <w:rsid w:val="00F107B7"/>
    <w:rsid w:val="00F11F57"/>
    <w:rsid w:val="00F14BA8"/>
    <w:rsid w:val="00F15EF8"/>
    <w:rsid w:val="00F2154D"/>
    <w:rsid w:val="00F36E53"/>
    <w:rsid w:val="00F4316C"/>
    <w:rsid w:val="00F46176"/>
    <w:rsid w:val="00F5149E"/>
    <w:rsid w:val="00F56A74"/>
    <w:rsid w:val="00F56E9F"/>
    <w:rsid w:val="00F57AD9"/>
    <w:rsid w:val="00F832E5"/>
    <w:rsid w:val="00F870A3"/>
    <w:rsid w:val="00F91762"/>
    <w:rsid w:val="00F9405B"/>
    <w:rsid w:val="00FA0FE2"/>
    <w:rsid w:val="00FA34E8"/>
    <w:rsid w:val="00FA7D4E"/>
    <w:rsid w:val="00FD549D"/>
    <w:rsid w:val="00FD6374"/>
    <w:rsid w:val="00FE4BCC"/>
    <w:rsid w:val="00FF5088"/>
    <w:rsid w:val="00FF7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F2B15"/>
  <w15:chartTrackingRefBased/>
  <w15:docId w15:val="{C753469B-6F2F-4C68-9681-4DB137F3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customStyle="1" w:styleId="FooterChar">
    <w:name w:val="Footer Char"/>
    <w:link w:val="Footer"/>
    <w:uiPriority w:val="99"/>
    <w:rsid w:val="00536CBB"/>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a.gov/legislation/2021FactShee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E9830-D13F-46D1-99E9-1827B036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1890</Words>
  <Characters>10171</Characters>
  <Application>Microsoft Office Word</Application>
  <DocSecurity>0</DocSecurity>
  <Lines>191</Lines>
  <Paragraphs>38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12023</CharactersWithSpaces>
  <SharedDoc>false</SharedDoc>
  <HLinks>
    <vt:vector size="6" baseType="variant">
      <vt:variant>
        <vt:i4>5374026</vt:i4>
      </vt:variant>
      <vt:variant>
        <vt:i4>0</vt:i4>
      </vt:variant>
      <vt:variant>
        <vt:i4>0</vt:i4>
      </vt:variant>
      <vt:variant>
        <vt:i4>5</vt:i4>
      </vt:variant>
      <vt:variant>
        <vt:lpwstr>https://www.ssa.gov/legislation/2021FactSheet.pdf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Naomi Sipple</cp:lastModifiedBy>
  <cp:revision>2</cp:revision>
  <dcterms:created xsi:type="dcterms:W3CDTF">2022-01-13T20:30:00Z</dcterms:created>
  <dcterms:modified xsi:type="dcterms:W3CDTF">2022-01-13T20:30:00Z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-839546704</vt:i4>
  </property>
  <property fmtid="{D5CDD505-2E9C-101B-9397-08002B2CF9AE}" pid="4" name="_EmailSubject">
    <vt:lpwstr>OSSIPIP Reply - FW: OMB Expiration Notice: 0960-0779 (SSA-3105)</vt:lpwstr>
  </property>
  <property fmtid="{D5CDD505-2E9C-101B-9397-08002B2CF9AE}" pid="5" name="_AuthorEmail">
    <vt:lpwstr>OISP.OSSIPIP.Controls@ssa.gov</vt:lpwstr>
  </property>
  <property fmtid="{D5CDD505-2E9C-101B-9397-08002B2CF9AE}" pid="6" name="_AuthorEmailDisplayName">
    <vt:lpwstr>^OISP OSSIPIP Controls</vt:lpwstr>
  </property>
  <property fmtid="{D5CDD505-2E9C-101B-9397-08002B2CF9AE}" pid="7" name="_PreviousAdHocReviewCycleID">
    <vt:i4>-65360616</vt:i4>
  </property>
  <property fmtid="{D5CDD505-2E9C-101B-9397-08002B2CF9AE}" pid="8" name="_ReviewingToolsShownOnce">
    <vt:lpwstr/>
  </property>
</Properties>
</file>