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6D9E" w:rsidRDefault="00656D9E" w14:paraId="4DDCB26F" w14:textId="77777777">
      <w:pPr>
        <w:widowControl/>
        <w:jc w:val="center"/>
        <w:rPr>
          <w:rFonts w:ascii="Times New Roman" w:hAnsi="Times New Roman"/>
          <w:b/>
          <w:bCs/>
          <w:sz w:val="24"/>
        </w:rPr>
      </w:pPr>
    </w:p>
    <w:p w:rsidR="00656D9E" w:rsidRDefault="00656D9E" w14:paraId="26B622DE" w14:textId="77777777">
      <w:pPr>
        <w:widowControl/>
        <w:jc w:val="center"/>
        <w:rPr>
          <w:rFonts w:ascii="Times New Roman" w:hAnsi="Times New Roman"/>
          <w:b/>
          <w:bCs/>
          <w:sz w:val="28"/>
          <w:szCs w:val="28"/>
        </w:rPr>
      </w:pPr>
      <w:r>
        <w:rPr>
          <w:rFonts w:ascii="Times New Roman" w:hAnsi="Times New Roman"/>
          <w:b/>
          <w:bCs/>
          <w:sz w:val="28"/>
          <w:szCs w:val="28"/>
        </w:rPr>
        <w:t>Department of Transportation</w:t>
      </w:r>
    </w:p>
    <w:p w:rsidR="00656D9E" w:rsidRDefault="00656D9E" w14:paraId="3464709F" w14:textId="77777777">
      <w:pPr>
        <w:widowControl/>
        <w:jc w:val="center"/>
        <w:rPr>
          <w:rFonts w:ascii="Times New Roman" w:hAnsi="Times New Roman"/>
          <w:b/>
          <w:bCs/>
          <w:sz w:val="28"/>
          <w:szCs w:val="28"/>
        </w:rPr>
      </w:pPr>
      <w:r>
        <w:rPr>
          <w:rFonts w:ascii="Times New Roman" w:hAnsi="Times New Roman"/>
          <w:b/>
          <w:bCs/>
          <w:sz w:val="28"/>
          <w:szCs w:val="28"/>
        </w:rPr>
        <w:t>Office of the Chief Information Officer</w:t>
      </w:r>
    </w:p>
    <w:p w:rsidRPr="00656D9E" w:rsidR="00656D9E" w:rsidRDefault="00656D9E" w14:paraId="0C4152AA" w14:textId="77777777">
      <w:pPr>
        <w:widowControl/>
        <w:jc w:val="center"/>
        <w:rPr>
          <w:rFonts w:ascii="Times New Roman" w:hAnsi="Times New Roman"/>
          <w:b/>
          <w:bCs/>
          <w:sz w:val="28"/>
          <w:szCs w:val="28"/>
        </w:rPr>
      </w:pPr>
    </w:p>
    <w:p w:rsidR="00824FE2" w:rsidRDefault="00824FE2" w14:paraId="410D0180" w14:textId="77777777">
      <w:pPr>
        <w:widowControl/>
        <w:jc w:val="center"/>
        <w:rPr>
          <w:rFonts w:ascii="Times New Roman" w:hAnsi="Times New Roman"/>
          <w:b/>
          <w:bCs/>
          <w:sz w:val="24"/>
        </w:rPr>
      </w:pPr>
      <w:r>
        <w:rPr>
          <w:rFonts w:ascii="Times New Roman" w:hAnsi="Times New Roman"/>
          <w:b/>
          <w:bCs/>
          <w:sz w:val="24"/>
        </w:rPr>
        <w:t>Supporting Statement</w:t>
      </w:r>
    </w:p>
    <w:p w:rsidR="00824FE2" w:rsidRDefault="00824FE2" w14:paraId="2AFF58C1" w14:textId="77777777">
      <w:pPr>
        <w:widowControl/>
        <w:jc w:val="center"/>
        <w:rPr>
          <w:rFonts w:ascii="Times New Roman" w:hAnsi="Times New Roman"/>
          <w:b/>
          <w:bCs/>
          <w:sz w:val="24"/>
        </w:rPr>
      </w:pPr>
      <w:r>
        <w:rPr>
          <w:rFonts w:ascii="Times New Roman" w:hAnsi="Times New Roman"/>
          <w:b/>
          <w:bCs/>
          <w:sz w:val="24"/>
        </w:rPr>
        <w:t>Recordkeeping Requirements for LNG Facilities</w:t>
      </w:r>
    </w:p>
    <w:p w:rsidR="001F28A9" w:rsidRDefault="001F28A9" w14:paraId="20FCA202" w14:textId="77777777">
      <w:pPr>
        <w:widowControl/>
        <w:jc w:val="center"/>
        <w:rPr>
          <w:rFonts w:ascii="Times New Roman" w:hAnsi="Times New Roman"/>
          <w:b/>
          <w:bCs/>
          <w:sz w:val="24"/>
        </w:rPr>
      </w:pPr>
      <w:r>
        <w:rPr>
          <w:rFonts w:ascii="Times New Roman" w:hAnsi="Times New Roman"/>
          <w:b/>
          <w:bCs/>
          <w:sz w:val="24"/>
        </w:rPr>
        <w:t>OMB Control No. 2137-0048</w:t>
      </w:r>
    </w:p>
    <w:p w:rsidR="00824FE2" w:rsidRDefault="00824FE2" w14:paraId="24F68C3D" w14:textId="77777777">
      <w:pPr>
        <w:widowControl/>
        <w:jc w:val="center"/>
        <w:rPr>
          <w:rFonts w:ascii="Times New Roman" w:hAnsi="Times New Roman"/>
          <w:b/>
          <w:bCs/>
          <w:sz w:val="24"/>
        </w:rPr>
      </w:pPr>
    </w:p>
    <w:p w:rsidRPr="00656D9E" w:rsidR="00656D9E" w:rsidRDefault="00656D9E" w14:paraId="216EB5BC" w14:textId="77777777">
      <w:pPr>
        <w:widowControl/>
        <w:rPr>
          <w:rFonts w:ascii="Times New Roman" w:hAnsi="Times New Roman"/>
          <w:b/>
          <w:bCs/>
          <w:sz w:val="24"/>
          <w:u w:val="single"/>
        </w:rPr>
      </w:pPr>
      <w:r w:rsidRPr="00656D9E">
        <w:rPr>
          <w:rFonts w:ascii="Times New Roman" w:hAnsi="Times New Roman"/>
          <w:b/>
          <w:bCs/>
          <w:sz w:val="24"/>
          <w:u w:val="single"/>
        </w:rPr>
        <w:t>INTRODUCTION</w:t>
      </w:r>
    </w:p>
    <w:p w:rsidR="00656D9E" w:rsidRDefault="00656D9E" w14:paraId="2F3EC244" w14:textId="77777777">
      <w:pPr>
        <w:widowControl/>
        <w:rPr>
          <w:rFonts w:ascii="Times New Roman" w:hAnsi="Times New Roman"/>
          <w:b/>
          <w:bCs/>
          <w:sz w:val="24"/>
        </w:rPr>
      </w:pPr>
    </w:p>
    <w:p w:rsidRPr="00656D9E" w:rsidR="00656D9E" w:rsidP="00384F02" w:rsidRDefault="00C57EF8" w14:paraId="15AF83CC" w14:textId="5CF1518E">
      <w:pPr>
        <w:widowControl/>
        <w:jc w:val="both"/>
        <w:rPr>
          <w:rFonts w:ascii="Times New Roman" w:hAnsi="Times New Roman"/>
          <w:bCs/>
          <w:sz w:val="24"/>
        </w:rPr>
      </w:pPr>
      <w:r w:rsidRPr="002D2059">
        <w:rPr>
          <w:rFonts w:ascii="Times New Roman" w:hAnsi="Times New Roman"/>
          <w:bCs/>
          <w:sz w:val="24"/>
        </w:rPr>
        <w:t>The Pipeline and Hazardous Materials Safety Administration (PHMSA) requests a renewal, without change, from the Office of Management and Budget (OMB) of an information collection entitled,</w:t>
      </w:r>
      <w:r w:rsidRPr="00981917">
        <w:t xml:space="preserve"> </w:t>
      </w:r>
      <w:r w:rsidRPr="00656D9E" w:rsidR="00656D9E">
        <w:rPr>
          <w:rFonts w:ascii="Times New Roman" w:hAnsi="Times New Roman"/>
          <w:bCs/>
          <w:sz w:val="24"/>
        </w:rPr>
        <w:t xml:space="preserve">“Recordkeeping Requirements for LNG Facilities” OMB Control Number 2137-0048, which is currently due to expire on </w:t>
      </w:r>
      <w:r>
        <w:rPr>
          <w:rFonts w:ascii="Times New Roman" w:hAnsi="Times New Roman"/>
          <w:bCs/>
          <w:sz w:val="24"/>
        </w:rPr>
        <w:t>September</w:t>
      </w:r>
      <w:r w:rsidR="008B7BF9">
        <w:rPr>
          <w:rFonts w:ascii="Times New Roman" w:hAnsi="Times New Roman"/>
          <w:bCs/>
          <w:sz w:val="24"/>
        </w:rPr>
        <w:t xml:space="preserve"> 30</w:t>
      </w:r>
      <w:r w:rsidR="00AB20C4">
        <w:rPr>
          <w:rFonts w:ascii="Times New Roman" w:hAnsi="Times New Roman"/>
          <w:bCs/>
          <w:sz w:val="24"/>
        </w:rPr>
        <w:t xml:space="preserve">, </w:t>
      </w:r>
      <w:r w:rsidR="00F61408">
        <w:rPr>
          <w:rFonts w:ascii="Times New Roman" w:hAnsi="Times New Roman"/>
          <w:bCs/>
          <w:sz w:val="24"/>
        </w:rPr>
        <w:t>20</w:t>
      </w:r>
      <w:r>
        <w:rPr>
          <w:rFonts w:ascii="Times New Roman" w:hAnsi="Times New Roman"/>
          <w:bCs/>
          <w:sz w:val="24"/>
        </w:rPr>
        <w:t>21</w:t>
      </w:r>
      <w:r w:rsidR="00AB20C4">
        <w:rPr>
          <w:rFonts w:ascii="Times New Roman" w:hAnsi="Times New Roman"/>
          <w:bCs/>
          <w:sz w:val="24"/>
        </w:rPr>
        <w:t>.</w:t>
      </w:r>
    </w:p>
    <w:p w:rsidR="00656D9E" w:rsidRDefault="00656D9E" w14:paraId="095FDB77" w14:textId="77777777">
      <w:pPr>
        <w:widowControl/>
        <w:rPr>
          <w:rFonts w:ascii="Times New Roman" w:hAnsi="Times New Roman"/>
          <w:b/>
          <w:bCs/>
          <w:sz w:val="24"/>
        </w:rPr>
      </w:pPr>
    </w:p>
    <w:p w:rsidR="00656D9E" w:rsidRDefault="00656D9E" w14:paraId="3D731A1B" w14:textId="77777777">
      <w:pPr>
        <w:widowControl/>
        <w:rPr>
          <w:rFonts w:ascii="Times New Roman" w:hAnsi="Times New Roman"/>
          <w:b/>
          <w:bCs/>
          <w:sz w:val="24"/>
        </w:rPr>
      </w:pPr>
      <w:r>
        <w:rPr>
          <w:rFonts w:ascii="Times New Roman" w:hAnsi="Times New Roman"/>
          <w:b/>
          <w:bCs/>
          <w:sz w:val="24"/>
        </w:rPr>
        <w:t>Part A. Justification.</w:t>
      </w:r>
    </w:p>
    <w:p w:rsidR="00656D9E" w:rsidRDefault="00656D9E" w14:paraId="03BD484B" w14:textId="77777777">
      <w:pPr>
        <w:widowControl/>
        <w:rPr>
          <w:rFonts w:ascii="Times New Roman" w:hAnsi="Times New Roman"/>
          <w:b/>
          <w:bCs/>
          <w:sz w:val="24"/>
        </w:rPr>
      </w:pPr>
    </w:p>
    <w:p w:rsidR="00210F26" w:rsidP="00656D9E" w:rsidRDefault="00824FE2" w14:paraId="0F8B077E" w14:textId="77777777">
      <w:pPr>
        <w:widowControl/>
        <w:rPr>
          <w:rFonts w:ascii="Times New Roman" w:hAnsi="Times New Roman"/>
          <w:bCs/>
          <w:sz w:val="24"/>
        </w:rPr>
      </w:pPr>
      <w:r w:rsidRPr="00800A56">
        <w:rPr>
          <w:rFonts w:ascii="Times New Roman" w:hAnsi="Times New Roman"/>
          <w:bCs/>
          <w:sz w:val="24"/>
        </w:rPr>
        <w:t>1</w:t>
      </w:r>
      <w:r w:rsidR="00E607C7">
        <w:rPr>
          <w:rFonts w:ascii="Times New Roman" w:hAnsi="Times New Roman"/>
          <w:bCs/>
          <w:sz w:val="24"/>
        </w:rPr>
        <w:t>.</w:t>
      </w:r>
      <w:r w:rsidR="00E607C7">
        <w:rPr>
          <w:rFonts w:ascii="Times New Roman" w:hAnsi="Times New Roman"/>
          <w:bCs/>
          <w:sz w:val="24"/>
        </w:rPr>
        <w:tab/>
      </w:r>
      <w:r w:rsidRPr="00656D9E">
        <w:rPr>
          <w:rFonts w:ascii="Times New Roman" w:hAnsi="Times New Roman"/>
          <w:bCs/>
          <w:sz w:val="24"/>
          <w:u w:val="single"/>
        </w:rPr>
        <w:t>Circumstances that make collection of information necessar</w:t>
      </w:r>
      <w:r w:rsidR="00656D9E">
        <w:rPr>
          <w:rFonts w:ascii="Times New Roman" w:hAnsi="Times New Roman"/>
          <w:bCs/>
          <w:sz w:val="24"/>
          <w:u w:val="single"/>
        </w:rPr>
        <w:t>y</w:t>
      </w:r>
      <w:r w:rsidRPr="00800A56" w:rsidR="00656D9E">
        <w:rPr>
          <w:rFonts w:ascii="Times New Roman" w:hAnsi="Times New Roman"/>
          <w:bCs/>
          <w:sz w:val="24"/>
        </w:rPr>
        <w:t>.</w:t>
      </w:r>
    </w:p>
    <w:p w:rsidR="00210F26" w:rsidP="00656D9E" w:rsidRDefault="00210F26" w14:paraId="63AB209F" w14:textId="77777777">
      <w:pPr>
        <w:widowControl/>
        <w:rPr>
          <w:rFonts w:ascii="Times New Roman" w:hAnsi="Times New Roman"/>
          <w:bCs/>
          <w:sz w:val="24"/>
        </w:rPr>
      </w:pPr>
    </w:p>
    <w:p w:rsidR="00656D9E" w:rsidP="00210F26" w:rsidRDefault="00656D9E" w14:paraId="370F6847" w14:textId="77777777">
      <w:pPr>
        <w:widowControl/>
        <w:jc w:val="both"/>
        <w:rPr>
          <w:rFonts w:ascii="Times New Roman" w:hAnsi="Times New Roman"/>
          <w:sz w:val="24"/>
        </w:rPr>
      </w:pPr>
      <w:r>
        <w:rPr>
          <w:rFonts w:ascii="Times New Roman" w:hAnsi="Times New Roman"/>
          <w:sz w:val="24"/>
        </w:rPr>
        <w:t>Liquefied natural gas (LNG) is potentially dangerous and can cause explosions, fires and deaths if not handled properly.  The Pipeline and Hazardous Materials Safety Administration (PHMSA) is tasked with the Federal Government’s mandate to protect the public from the dangers of handling LNG.</w:t>
      </w:r>
    </w:p>
    <w:p w:rsidR="00824FE2" w:rsidP="00384F02" w:rsidRDefault="00824FE2" w14:paraId="65203093" w14:textId="77777777">
      <w:pPr>
        <w:widowControl/>
        <w:jc w:val="both"/>
        <w:rPr>
          <w:rFonts w:ascii="Times New Roman" w:hAnsi="Times New Roman"/>
          <w:sz w:val="24"/>
        </w:rPr>
      </w:pPr>
    </w:p>
    <w:p w:rsidR="00012156" w:rsidP="00384F02" w:rsidRDefault="00824FE2" w14:paraId="1EF46DDE" w14:textId="77777777">
      <w:pPr>
        <w:widowControl/>
        <w:jc w:val="both"/>
        <w:rPr>
          <w:rFonts w:ascii="Times New Roman" w:hAnsi="Times New Roman"/>
          <w:sz w:val="24"/>
        </w:rPr>
      </w:pPr>
      <w:r>
        <w:rPr>
          <w:rFonts w:ascii="Times New Roman" w:hAnsi="Times New Roman"/>
          <w:sz w:val="24"/>
        </w:rPr>
        <w:t xml:space="preserve">49 U.S.C. 60102(b) states that “The Secretary of Transportation shall prescribe minimum safety standards for designing, installing, constructing, initially inspecting, and initially testing a new liquefied natural gas facility.”  49 U.S.C. 49 60103(d) states that, “The Secretary of Transportation shall prescribe minimum operating and maintenance standards for a liquefied natural gas pipeline facility.”  Section (f) of this legislation requires, “A new liquefied natural gas pipeline facility may be operated only after the operator submits an adequate contingency plan.”  </w:t>
      </w:r>
    </w:p>
    <w:p w:rsidR="00824FE2" w:rsidP="008B7BF9" w:rsidRDefault="00012156" w14:paraId="222797CC" w14:textId="77777777">
      <w:pPr>
        <w:widowControl/>
        <w:jc w:val="both"/>
        <w:rPr>
          <w:rFonts w:ascii="Times New Roman" w:hAnsi="Times New Roman"/>
          <w:sz w:val="24"/>
        </w:rPr>
      </w:pPr>
      <w:r>
        <w:rPr>
          <w:rFonts w:ascii="Times New Roman" w:hAnsi="Times New Roman"/>
          <w:sz w:val="24"/>
        </w:rPr>
        <w:t>A</w:t>
      </w:r>
      <w:r w:rsidR="001726CC">
        <w:rPr>
          <w:rFonts w:ascii="Times New Roman" w:hAnsi="Times New Roman"/>
          <w:sz w:val="24"/>
        </w:rPr>
        <w:t xml:space="preserve">ccording to </w:t>
      </w:r>
      <w:r>
        <w:rPr>
          <w:rFonts w:ascii="Times New Roman" w:hAnsi="Times New Roman"/>
          <w:sz w:val="24"/>
        </w:rPr>
        <w:t xml:space="preserve">the requirements </w:t>
      </w:r>
      <w:r w:rsidR="00824FE2">
        <w:rPr>
          <w:rFonts w:ascii="Times New Roman" w:hAnsi="Times New Roman"/>
          <w:sz w:val="24"/>
        </w:rPr>
        <w:t xml:space="preserve">found </w:t>
      </w:r>
      <w:r w:rsidR="004C7C86">
        <w:rPr>
          <w:rFonts w:ascii="Times New Roman" w:hAnsi="Times New Roman"/>
          <w:sz w:val="24"/>
        </w:rPr>
        <w:t>in</w:t>
      </w:r>
      <w:r w:rsidR="00824FE2">
        <w:rPr>
          <w:rFonts w:ascii="Times New Roman" w:hAnsi="Times New Roman"/>
          <w:sz w:val="24"/>
        </w:rPr>
        <w:t xml:space="preserve"> 49 CFR Part 193</w:t>
      </w:r>
      <w:r w:rsidR="001726CC">
        <w:rPr>
          <w:rFonts w:ascii="Times New Roman" w:hAnsi="Times New Roman"/>
          <w:sz w:val="24"/>
        </w:rPr>
        <w:t xml:space="preserve">, operators of LNG facilities must maintain records pertaining to </w:t>
      </w:r>
      <w:r w:rsidR="00BF6C42">
        <w:rPr>
          <w:rFonts w:ascii="Times New Roman" w:hAnsi="Times New Roman"/>
          <w:sz w:val="24"/>
        </w:rPr>
        <w:t>facility</w:t>
      </w:r>
      <w:r w:rsidR="001726CC">
        <w:rPr>
          <w:rFonts w:ascii="Times New Roman" w:hAnsi="Times New Roman"/>
          <w:sz w:val="24"/>
        </w:rPr>
        <w:t xml:space="preserve"> design, operations, maintenance, and personnel training </w:t>
      </w:r>
      <w:r>
        <w:rPr>
          <w:rFonts w:ascii="Times New Roman" w:hAnsi="Times New Roman"/>
          <w:sz w:val="24"/>
        </w:rPr>
        <w:t>as follows:</w:t>
      </w:r>
    </w:p>
    <w:p w:rsidRPr="008B7BF9" w:rsidR="00BF6C42" w:rsidP="008B7BF9" w:rsidRDefault="00BF6C42" w14:paraId="63F71EC9" w14:textId="77777777">
      <w:pPr>
        <w:pStyle w:val="NormalWeb"/>
        <w:numPr>
          <w:ilvl w:val="0"/>
          <w:numId w:val="11"/>
        </w:numPr>
      </w:pPr>
      <w:r w:rsidRPr="008B7BF9">
        <w:t>Design:</w:t>
      </w:r>
    </w:p>
    <w:p w:rsidRPr="005F5B24" w:rsidR="005F5B24" w:rsidP="008B7BF9" w:rsidRDefault="005F5B24" w14:paraId="1A64EF45" w14:textId="77777777">
      <w:pPr>
        <w:pStyle w:val="NormalWeb"/>
        <w:ind w:left="360" w:firstLine="0"/>
      </w:pPr>
      <w:r>
        <w:rPr>
          <w:rFonts w:ascii="Arial" w:hAnsi="Arial" w:cs="Arial"/>
        </w:rPr>
        <w:t>§</w:t>
      </w:r>
      <w:r w:rsidRPr="005F5B24">
        <w:t>193.211</w:t>
      </w:r>
      <w:r>
        <w:t>9 requires e</w:t>
      </w:r>
      <w:r w:rsidRPr="005F5B24">
        <w:t xml:space="preserve">ach operator </w:t>
      </w:r>
      <w:r>
        <w:t>to</w:t>
      </w:r>
      <w:r w:rsidRPr="005F5B24">
        <w:t xml:space="preserve"> keep a record of all materials for components, buildings, foundations, and support systems, as necessary to verify that material properties meet the requirements of this part. These records must be maintained for the life of the item concerned. </w:t>
      </w:r>
    </w:p>
    <w:p w:rsidR="00BF6C42" w:rsidP="008B7BF9" w:rsidRDefault="00BF6C42" w14:paraId="2D3BF346" w14:textId="77777777">
      <w:pPr>
        <w:pStyle w:val="NormalWeb"/>
        <w:numPr>
          <w:ilvl w:val="0"/>
          <w:numId w:val="11"/>
        </w:numPr>
      </w:pPr>
      <w:r>
        <w:t>Operations:</w:t>
      </w:r>
    </w:p>
    <w:p w:rsidR="005F5B24" w:rsidP="008B7BF9" w:rsidRDefault="005F5B24" w14:paraId="6FF089A9" w14:textId="77777777">
      <w:pPr>
        <w:pStyle w:val="NormalWeb"/>
        <w:ind w:left="360" w:firstLine="0"/>
      </w:pPr>
      <w:r w:rsidRPr="005F5B24">
        <w:lastRenderedPageBreak/>
        <w:t xml:space="preserve">§193.2521 requires </w:t>
      </w:r>
      <w:r>
        <w:t>e</w:t>
      </w:r>
      <w:r w:rsidRPr="005F5B24">
        <w:t xml:space="preserve">ach operator </w:t>
      </w:r>
      <w:r>
        <w:t xml:space="preserve">to </w:t>
      </w:r>
      <w:r w:rsidRPr="005F5B24">
        <w:t xml:space="preserve">maintain a record of results of each inspection, test and investigation required by this subpart. For each LNG facility that is designed and constructed after March 31, 2000 the operator shall also maintain related inspection, testing, and investigation records that NFPA-59A-2001 (incorporated by reference, see §193.2013) requires. Such records, whether required by this part or NFPA-59A-2001, must be kept for a period of not less than five years. </w:t>
      </w:r>
    </w:p>
    <w:p w:rsidR="00BF6C42" w:rsidP="008B7BF9" w:rsidRDefault="00BF6C42" w14:paraId="79DE124D" w14:textId="77777777">
      <w:pPr>
        <w:pStyle w:val="NormalWeb"/>
        <w:numPr>
          <w:ilvl w:val="0"/>
          <w:numId w:val="11"/>
        </w:numPr>
      </w:pPr>
      <w:r>
        <w:t>Maintenance:</w:t>
      </w:r>
    </w:p>
    <w:p w:rsidRPr="005F5B24" w:rsidR="005F5B24" w:rsidP="008B7BF9" w:rsidRDefault="008B7BF9" w14:paraId="57710231" w14:textId="77777777">
      <w:pPr>
        <w:pStyle w:val="NormalWeb"/>
        <w:ind w:left="360" w:firstLine="0"/>
      </w:pPr>
      <w:r>
        <w:t>§193.2639</w:t>
      </w:r>
      <w:r w:rsidR="00012156">
        <w:t xml:space="preserve"> states that </w:t>
      </w:r>
      <w:r w:rsidRPr="005F5B24" w:rsidR="005F5B24">
        <w:t xml:space="preserve">(a) </w:t>
      </w:r>
      <w:r>
        <w:t>e</w:t>
      </w:r>
      <w:r w:rsidRPr="005F5B24" w:rsidR="005F5B24">
        <w:t xml:space="preserve">ach operator shall keep a record at each LNG plant of the date and type of each maintenance activity performed on each component to meet the requirements of this part. For each LNG facility that is designed and constructed after March 31, 2000 the operator shall also maintain related periodic inspection and testing records that NFPA-59A-2001 (incorporated by reference, see §193.2013) requires. Maintenance records, whether required by this part or NFPA-59A-2001, must be kept for a period of not less than five years. </w:t>
      </w:r>
    </w:p>
    <w:p w:rsidRPr="005F5B24" w:rsidR="005F5B24" w:rsidP="008B7BF9" w:rsidRDefault="005F5B24" w14:paraId="256DF322" w14:textId="77777777">
      <w:pPr>
        <w:pStyle w:val="NormalWeb"/>
        <w:tabs>
          <w:tab w:val="left" w:pos="450"/>
        </w:tabs>
        <w:ind w:left="360" w:firstLine="0"/>
      </w:pPr>
      <w:r w:rsidRPr="005F5B24">
        <w:t xml:space="preserve">(b) Each operator shall maintain records or maps to show the location of </w:t>
      </w:r>
      <w:proofErr w:type="spellStart"/>
      <w:r w:rsidRPr="005F5B24">
        <w:t>cathodically</w:t>
      </w:r>
      <w:proofErr w:type="spellEnd"/>
      <w:r w:rsidRPr="005F5B24">
        <w:t xml:space="preserve"> protected components, neighboring structures bonded to the cathodic protection system, and corrosion protection equipment.</w:t>
      </w:r>
    </w:p>
    <w:p w:rsidRPr="005F5B24" w:rsidR="005F5B24" w:rsidP="008B7BF9" w:rsidRDefault="005F5B24" w14:paraId="06153752" w14:textId="77777777">
      <w:pPr>
        <w:pStyle w:val="NormalWeb"/>
        <w:tabs>
          <w:tab w:val="left" w:pos="360"/>
          <w:tab w:val="left" w:pos="450"/>
        </w:tabs>
        <w:ind w:left="360" w:firstLine="0"/>
      </w:pPr>
      <w:r w:rsidRPr="005F5B24">
        <w:t>(c) Each of the following records must be retained for as long as the LNG facility remains in service:</w:t>
      </w:r>
    </w:p>
    <w:p w:rsidRPr="005F5B24" w:rsidR="005F5B24" w:rsidP="008B7BF9" w:rsidRDefault="005F5B24" w14:paraId="76F801B4" w14:textId="77777777">
      <w:pPr>
        <w:pStyle w:val="NormalWeb"/>
        <w:tabs>
          <w:tab w:val="left" w:pos="450"/>
        </w:tabs>
        <w:ind w:firstLine="360"/>
      </w:pPr>
      <w:r w:rsidRPr="005F5B24">
        <w:t>(1) Each record or map required by paragraph (b) of this section.</w:t>
      </w:r>
    </w:p>
    <w:p w:rsidRPr="005F5B24" w:rsidR="005F5B24" w:rsidP="008B7BF9" w:rsidRDefault="005F5B24" w14:paraId="23664A15" w14:textId="77777777">
      <w:pPr>
        <w:pStyle w:val="NormalWeb"/>
        <w:tabs>
          <w:tab w:val="left" w:pos="450"/>
        </w:tabs>
        <w:ind w:left="360" w:firstLine="0"/>
      </w:pPr>
      <w:r w:rsidRPr="005F5B24">
        <w:t>(2) Records of each test, survey, or inspection required by this subpart in sufficient detail to demonstrate the adequacy of corrosion control measures.</w:t>
      </w:r>
    </w:p>
    <w:p w:rsidR="00BF6C42" w:rsidP="008B7BF9" w:rsidRDefault="00BF6C42" w14:paraId="2634CC7D" w14:textId="77777777">
      <w:pPr>
        <w:pStyle w:val="NormalWeb"/>
        <w:numPr>
          <w:ilvl w:val="0"/>
          <w:numId w:val="11"/>
        </w:numPr>
        <w:ind w:hanging="390"/>
      </w:pPr>
      <w:r>
        <w:t>Personnel</w:t>
      </w:r>
    </w:p>
    <w:p w:rsidRPr="005F5B24" w:rsidR="005F5B24" w:rsidP="008B7BF9" w:rsidRDefault="005F5B24" w14:paraId="5295AE7A" w14:textId="77777777">
      <w:pPr>
        <w:pStyle w:val="NormalWeb"/>
        <w:ind w:left="360" w:firstLine="360"/>
      </w:pPr>
      <w:r w:rsidRPr="005F5B24">
        <w:t>§193.2719 (a) Each operator shall maintain a system of records which—</w:t>
      </w:r>
    </w:p>
    <w:p w:rsidRPr="005F5B24" w:rsidR="005F5B24" w:rsidP="008B7BF9" w:rsidRDefault="005F5B24" w14:paraId="53535AB5" w14:textId="77777777">
      <w:pPr>
        <w:pStyle w:val="NormalWeb"/>
        <w:ind w:left="360" w:firstLine="360"/>
      </w:pPr>
      <w:r w:rsidRPr="005F5B24">
        <w:t>(1) Provide evidence that the training programs required by this subpart have been implemented; and</w:t>
      </w:r>
    </w:p>
    <w:p w:rsidRPr="005F5B24" w:rsidR="005F5B24" w:rsidP="008B7BF9" w:rsidRDefault="005F5B24" w14:paraId="3FCBAA2B" w14:textId="77777777">
      <w:pPr>
        <w:pStyle w:val="NormalWeb"/>
        <w:ind w:left="360" w:firstLine="360"/>
      </w:pPr>
      <w:r w:rsidRPr="005F5B24">
        <w:t>(2) Provide evidence that personnel have undergone and satisfactorily completed the required training programs.</w:t>
      </w:r>
    </w:p>
    <w:p w:rsidRPr="005F5B24" w:rsidR="005F5B24" w:rsidP="008B7BF9" w:rsidRDefault="005F5B24" w14:paraId="034C1A5A" w14:textId="77777777">
      <w:pPr>
        <w:pStyle w:val="NormalWeb"/>
        <w:ind w:left="360" w:firstLine="360"/>
      </w:pPr>
      <w:r w:rsidRPr="005F5B24">
        <w:t>(b) Records must be maintained for one year after personnel are no longer assigned duties at the LNG plant.</w:t>
      </w:r>
    </w:p>
    <w:p w:rsidRPr="005F5B24" w:rsidR="005F5B24" w:rsidP="008B7BF9" w:rsidRDefault="005F5B24" w14:paraId="199BA34C" w14:textId="77777777">
      <w:pPr>
        <w:pStyle w:val="ListParagraph"/>
        <w:widowControl/>
        <w:rPr>
          <w:rFonts w:ascii="Times New Roman" w:hAnsi="Times New Roman"/>
          <w:sz w:val="24"/>
        </w:rPr>
      </w:pPr>
    </w:p>
    <w:p w:rsidR="00656D9E" w:rsidRDefault="00656D9E" w14:paraId="02D461B9" w14:textId="77777777">
      <w:pPr>
        <w:widowControl/>
        <w:rPr>
          <w:rFonts w:ascii="Times New Roman" w:hAnsi="Times New Roman"/>
          <w:sz w:val="24"/>
        </w:rPr>
      </w:pPr>
    </w:p>
    <w:p w:rsidR="00384F02" w:rsidP="00800A56" w:rsidRDefault="00824FE2" w14:paraId="28B5A8C9" w14:textId="77777777">
      <w:pPr>
        <w:widowControl/>
        <w:rPr>
          <w:rFonts w:ascii="Times New Roman" w:hAnsi="Times New Roman"/>
          <w:sz w:val="24"/>
        </w:rPr>
      </w:pPr>
      <w:r w:rsidRPr="00800A56">
        <w:rPr>
          <w:rFonts w:ascii="Times New Roman" w:hAnsi="Times New Roman"/>
          <w:bCs/>
          <w:sz w:val="24"/>
        </w:rPr>
        <w:lastRenderedPageBreak/>
        <w:t>2</w:t>
      </w:r>
      <w:r w:rsidR="00E607C7">
        <w:rPr>
          <w:rFonts w:ascii="Times New Roman" w:hAnsi="Times New Roman"/>
          <w:bCs/>
          <w:sz w:val="24"/>
        </w:rPr>
        <w:t>.</w:t>
      </w:r>
      <w:r w:rsidR="00E607C7">
        <w:rPr>
          <w:rFonts w:ascii="Times New Roman" w:hAnsi="Times New Roman"/>
          <w:bCs/>
          <w:sz w:val="24"/>
        </w:rPr>
        <w:tab/>
      </w:r>
      <w:r w:rsidRPr="00800A56">
        <w:rPr>
          <w:rFonts w:ascii="Times New Roman" w:hAnsi="Times New Roman"/>
          <w:bCs/>
          <w:sz w:val="24"/>
          <w:u w:val="single"/>
        </w:rPr>
        <w:t>How, by whom, and for what purpose is the information used</w:t>
      </w:r>
      <w:r w:rsidR="00800A56">
        <w:rPr>
          <w:rFonts w:ascii="Times New Roman" w:hAnsi="Times New Roman"/>
          <w:b/>
          <w:bCs/>
          <w:sz w:val="24"/>
        </w:rPr>
        <w:t>.</w:t>
      </w:r>
      <w:r w:rsidRPr="00800A56" w:rsidR="00800A56">
        <w:rPr>
          <w:rFonts w:ascii="Times New Roman" w:hAnsi="Times New Roman"/>
          <w:sz w:val="24"/>
        </w:rPr>
        <w:t xml:space="preserve"> </w:t>
      </w:r>
    </w:p>
    <w:p w:rsidR="00384F02" w:rsidP="00800A56" w:rsidRDefault="00384F02" w14:paraId="5C18F1CD" w14:textId="77777777">
      <w:pPr>
        <w:widowControl/>
        <w:rPr>
          <w:rFonts w:ascii="Times New Roman" w:hAnsi="Times New Roman"/>
          <w:sz w:val="24"/>
        </w:rPr>
      </w:pPr>
    </w:p>
    <w:p w:rsidR="00800A56" w:rsidP="00384F02" w:rsidRDefault="00800A56" w14:paraId="44011A97" w14:textId="77777777">
      <w:pPr>
        <w:widowControl/>
        <w:jc w:val="both"/>
        <w:rPr>
          <w:rFonts w:ascii="Times New Roman" w:hAnsi="Times New Roman"/>
          <w:sz w:val="24"/>
        </w:rPr>
      </w:pPr>
      <w:r>
        <w:rPr>
          <w:rFonts w:ascii="Times New Roman" w:hAnsi="Times New Roman"/>
          <w:sz w:val="24"/>
        </w:rPr>
        <w:t xml:space="preserve">The information is used to assist Federal and state pipeline safety inspectors who audit </w:t>
      </w:r>
      <w:r w:rsidR="00384F02">
        <w:rPr>
          <w:rFonts w:ascii="Times New Roman" w:hAnsi="Times New Roman"/>
          <w:sz w:val="24"/>
        </w:rPr>
        <w:t>t</w:t>
      </w:r>
      <w:r>
        <w:rPr>
          <w:rFonts w:ascii="Times New Roman" w:hAnsi="Times New Roman"/>
          <w:sz w:val="24"/>
        </w:rPr>
        <w:t>his information when they inspect LNG facilities to ensure compliance with the regulations.  The inspectors will be able to ascertain compliance with the regulations since portions of the LNG facility operator’s facility are not visible once the plant is completed and in operation.  The program would be unable to ensure public safety if this information w</w:t>
      </w:r>
      <w:r w:rsidR="00384F02">
        <w:rPr>
          <w:rFonts w:ascii="Times New Roman" w:hAnsi="Times New Roman"/>
          <w:sz w:val="24"/>
        </w:rPr>
        <w:t xml:space="preserve">ere </w:t>
      </w:r>
      <w:r>
        <w:rPr>
          <w:rFonts w:ascii="Times New Roman" w:hAnsi="Times New Roman"/>
          <w:sz w:val="24"/>
        </w:rPr>
        <w:t xml:space="preserve">unavailable.  </w:t>
      </w:r>
    </w:p>
    <w:p w:rsidR="00824FE2" w:rsidRDefault="00824FE2" w14:paraId="7965F9E1" w14:textId="77777777">
      <w:pPr>
        <w:widowControl/>
        <w:rPr>
          <w:rFonts w:ascii="Times New Roman" w:hAnsi="Times New Roman"/>
          <w:sz w:val="24"/>
        </w:rPr>
      </w:pPr>
    </w:p>
    <w:p w:rsidR="00384F02" w:rsidP="00800A56" w:rsidRDefault="00824FE2" w14:paraId="58302393" w14:textId="77777777">
      <w:pPr>
        <w:widowControl/>
        <w:rPr>
          <w:rFonts w:ascii="Times New Roman" w:hAnsi="Times New Roman"/>
          <w:sz w:val="24"/>
        </w:rPr>
      </w:pPr>
      <w:r w:rsidRPr="00800A56">
        <w:rPr>
          <w:rFonts w:ascii="Times New Roman" w:hAnsi="Times New Roman"/>
          <w:bCs/>
          <w:sz w:val="24"/>
        </w:rPr>
        <w:t xml:space="preserve">3.  </w:t>
      </w:r>
      <w:r w:rsidR="00E607C7">
        <w:rPr>
          <w:rFonts w:ascii="Times New Roman" w:hAnsi="Times New Roman"/>
          <w:bCs/>
          <w:sz w:val="24"/>
        </w:rPr>
        <w:tab/>
      </w:r>
      <w:r w:rsidRPr="00800A56">
        <w:rPr>
          <w:rFonts w:ascii="Times New Roman" w:hAnsi="Times New Roman"/>
          <w:bCs/>
          <w:sz w:val="24"/>
          <w:u w:val="single"/>
        </w:rPr>
        <w:t>Extent of automated information collection</w:t>
      </w:r>
      <w:r w:rsidR="00800A56">
        <w:rPr>
          <w:rFonts w:ascii="Times New Roman" w:hAnsi="Times New Roman"/>
          <w:bCs/>
          <w:sz w:val="24"/>
        </w:rPr>
        <w:t>.</w:t>
      </w:r>
      <w:r w:rsidRPr="00800A56" w:rsidR="00800A56">
        <w:rPr>
          <w:rFonts w:ascii="Times New Roman" w:hAnsi="Times New Roman"/>
          <w:sz w:val="24"/>
        </w:rPr>
        <w:t xml:space="preserve"> </w:t>
      </w:r>
    </w:p>
    <w:p w:rsidR="00384F02" w:rsidP="00800A56" w:rsidRDefault="00384F02" w14:paraId="49D19B8A" w14:textId="77777777">
      <w:pPr>
        <w:widowControl/>
        <w:rPr>
          <w:rFonts w:ascii="Times New Roman" w:hAnsi="Times New Roman"/>
          <w:sz w:val="24"/>
        </w:rPr>
      </w:pPr>
    </w:p>
    <w:p w:rsidR="00800A56" w:rsidP="00384F02" w:rsidRDefault="00F61408" w14:paraId="0948CE82" w14:textId="77777777">
      <w:pPr>
        <w:widowControl/>
        <w:jc w:val="both"/>
        <w:rPr>
          <w:rFonts w:ascii="Times New Roman" w:hAnsi="Times New Roman"/>
          <w:sz w:val="24"/>
        </w:rPr>
      </w:pPr>
      <w:r>
        <w:rPr>
          <w:rFonts w:ascii="Times New Roman" w:hAnsi="Times New Roman"/>
          <w:sz w:val="24"/>
        </w:rPr>
        <w:t>T</w:t>
      </w:r>
      <w:r w:rsidR="00800A56">
        <w:rPr>
          <w:rFonts w:ascii="Times New Roman" w:hAnsi="Times New Roman"/>
          <w:sz w:val="24"/>
        </w:rPr>
        <w:t xml:space="preserve">he </w:t>
      </w:r>
      <w:r w:rsidR="00384F02">
        <w:rPr>
          <w:rFonts w:ascii="Times New Roman" w:hAnsi="Times New Roman"/>
          <w:sz w:val="24"/>
        </w:rPr>
        <w:t xml:space="preserve">method for </w:t>
      </w:r>
      <w:r w:rsidR="00800A56">
        <w:rPr>
          <w:rFonts w:ascii="Times New Roman" w:hAnsi="Times New Roman"/>
          <w:sz w:val="24"/>
        </w:rPr>
        <w:t xml:space="preserve">keeping records or developing written plan manuals is left to the </w:t>
      </w:r>
      <w:r w:rsidR="00384F02">
        <w:rPr>
          <w:rFonts w:ascii="Times New Roman" w:hAnsi="Times New Roman"/>
          <w:sz w:val="24"/>
        </w:rPr>
        <w:t xml:space="preserve">discretion of the </w:t>
      </w:r>
      <w:r w:rsidR="00800A56">
        <w:rPr>
          <w:rFonts w:ascii="Times New Roman" w:hAnsi="Times New Roman"/>
          <w:sz w:val="24"/>
        </w:rPr>
        <w:t>facility operator.  The operator may maintain the information in any retrievable form.</w:t>
      </w:r>
    </w:p>
    <w:p w:rsidRPr="00800A56" w:rsidR="00824FE2" w:rsidRDefault="00824FE2" w14:paraId="49270EBE" w14:textId="77777777">
      <w:pPr>
        <w:widowControl/>
        <w:rPr>
          <w:rFonts w:ascii="Times New Roman" w:hAnsi="Times New Roman"/>
          <w:sz w:val="24"/>
          <w:u w:val="single"/>
        </w:rPr>
      </w:pPr>
    </w:p>
    <w:p w:rsidR="00384F02" w:rsidP="00800A56" w:rsidRDefault="00824FE2" w14:paraId="7A6D6DBB" w14:textId="77777777">
      <w:pPr>
        <w:widowControl/>
        <w:rPr>
          <w:rFonts w:ascii="Times New Roman" w:hAnsi="Times New Roman"/>
          <w:sz w:val="24"/>
        </w:rPr>
      </w:pPr>
      <w:r w:rsidRPr="00800A56">
        <w:rPr>
          <w:rFonts w:ascii="Times New Roman" w:hAnsi="Times New Roman"/>
          <w:bCs/>
          <w:sz w:val="24"/>
        </w:rPr>
        <w:t xml:space="preserve">4.  </w:t>
      </w:r>
      <w:r w:rsidR="00E607C7">
        <w:rPr>
          <w:rFonts w:ascii="Times New Roman" w:hAnsi="Times New Roman"/>
          <w:bCs/>
          <w:sz w:val="24"/>
        </w:rPr>
        <w:tab/>
      </w:r>
      <w:r w:rsidRPr="00800A56">
        <w:rPr>
          <w:rFonts w:ascii="Times New Roman" w:hAnsi="Times New Roman"/>
          <w:bCs/>
          <w:sz w:val="24"/>
          <w:u w:val="single"/>
        </w:rPr>
        <w:t>Efforts to identify duplication</w:t>
      </w:r>
      <w:r w:rsidR="00800A56">
        <w:rPr>
          <w:rFonts w:ascii="Times New Roman" w:hAnsi="Times New Roman"/>
          <w:bCs/>
          <w:sz w:val="24"/>
        </w:rPr>
        <w:t>.</w:t>
      </w:r>
      <w:r w:rsidRPr="00800A56" w:rsidR="00800A56">
        <w:rPr>
          <w:rFonts w:ascii="Times New Roman" w:hAnsi="Times New Roman"/>
          <w:sz w:val="24"/>
        </w:rPr>
        <w:t xml:space="preserve"> </w:t>
      </w:r>
    </w:p>
    <w:p w:rsidR="00384F02" w:rsidP="00800A56" w:rsidRDefault="00384F02" w14:paraId="53178F8D" w14:textId="77777777">
      <w:pPr>
        <w:widowControl/>
        <w:rPr>
          <w:rFonts w:ascii="Times New Roman" w:hAnsi="Times New Roman"/>
          <w:sz w:val="24"/>
        </w:rPr>
      </w:pPr>
    </w:p>
    <w:p w:rsidR="00800A56" w:rsidP="00384F02" w:rsidRDefault="00800A56" w14:paraId="49EAEE5C" w14:textId="77777777">
      <w:pPr>
        <w:widowControl/>
        <w:jc w:val="both"/>
        <w:rPr>
          <w:rFonts w:ascii="Times New Roman" w:hAnsi="Times New Roman"/>
          <w:sz w:val="24"/>
        </w:rPr>
      </w:pPr>
      <w:r>
        <w:rPr>
          <w:rFonts w:ascii="Times New Roman" w:hAnsi="Times New Roman"/>
          <w:sz w:val="24"/>
        </w:rPr>
        <w:t>Every LNG facility is particularly unique to its location, to its builder, and to its size.  For this reason, no similar information is available.</w:t>
      </w:r>
    </w:p>
    <w:p w:rsidR="00800A56" w:rsidRDefault="00800A56" w14:paraId="54C72CF7" w14:textId="77777777">
      <w:pPr>
        <w:widowControl/>
        <w:rPr>
          <w:rFonts w:ascii="Times New Roman" w:hAnsi="Times New Roman"/>
          <w:sz w:val="24"/>
        </w:rPr>
      </w:pPr>
    </w:p>
    <w:p w:rsidR="00384F02" w:rsidP="00800A56" w:rsidRDefault="00824FE2" w14:paraId="7814EEFF" w14:textId="77777777">
      <w:pPr>
        <w:widowControl/>
        <w:rPr>
          <w:rFonts w:ascii="Times New Roman" w:hAnsi="Times New Roman"/>
          <w:sz w:val="24"/>
        </w:rPr>
      </w:pPr>
      <w:r w:rsidRPr="00800A56">
        <w:rPr>
          <w:rFonts w:ascii="Times New Roman" w:hAnsi="Times New Roman"/>
          <w:bCs/>
          <w:sz w:val="24"/>
        </w:rPr>
        <w:t xml:space="preserve">5.  </w:t>
      </w:r>
      <w:r w:rsidR="00E607C7">
        <w:rPr>
          <w:rFonts w:ascii="Times New Roman" w:hAnsi="Times New Roman"/>
          <w:bCs/>
          <w:sz w:val="24"/>
        </w:rPr>
        <w:tab/>
      </w:r>
      <w:r w:rsidRPr="00800A56">
        <w:rPr>
          <w:rFonts w:ascii="Times New Roman" w:hAnsi="Times New Roman"/>
          <w:bCs/>
          <w:sz w:val="24"/>
          <w:u w:val="single"/>
        </w:rPr>
        <w:t>Efforts to minimize the burden on small businesses</w:t>
      </w:r>
      <w:r w:rsidR="00800A56">
        <w:rPr>
          <w:rFonts w:ascii="Times New Roman" w:hAnsi="Times New Roman"/>
          <w:bCs/>
          <w:sz w:val="24"/>
        </w:rPr>
        <w:t>.</w:t>
      </w:r>
      <w:r w:rsidRPr="00800A56" w:rsidR="00800A56">
        <w:rPr>
          <w:rFonts w:ascii="Times New Roman" w:hAnsi="Times New Roman"/>
          <w:sz w:val="24"/>
        </w:rPr>
        <w:t xml:space="preserve"> </w:t>
      </w:r>
    </w:p>
    <w:p w:rsidR="00384F02" w:rsidP="00800A56" w:rsidRDefault="00384F02" w14:paraId="5621A2B9" w14:textId="77777777">
      <w:pPr>
        <w:widowControl/>
        <w:rPr>
          <w:rFonts w:ascii="Times New Roman" w:hAnsi="Times New Roman"/>
          <w:sz w:val="24"/>
        </w:rPr>
      </w:pPr>
    </w:p>
    <w:p w:rsidR="00800A56" w:rsidP="00384F02" w:rsidRDefault="00073395" w14:paraId="636C773C" w14:textId="77777777">
      <w:pPr>
        <w:widowControl/>
        <w:jc w:val="both"/>
        <w:rPr>
          <w:rFonts w:ascii="Times New Roman" w:hAnsi="Times New Roman"/>
          <w:sz w:val="24"/>
        </w:rPr>
      </w:pPr>
      <w:r w:rsidRPr="002B5447">
        <w:rPr>
          <w:rFonts w:ascii="Times New Roman" w:hAnsi="Times New Roman"/>
          <w:sz w:val="24"/>
        </w:rPr>
        <w:t xml:space="preserve">The information collection does not involve small entities.  </w:t>
      </w:r>
    </w:p>
    <w:p w:rsidR="00824FE2" w:rsidRDefault="00824FE2" w14:paraId="53272571" w14:textId="77777777">
      <w:pPr>
        <w:widowControl/>
        <w:rPr>
          <w:rFonts w:ascii="Times New Roman" w:hAnsi="Times New Roman"/>
          <w:sz w:val="24"/>
        </w:rPr>
      </w:pPr>
    </w:p>
    <w:p w:rsidRPr="00800A56" w:rsidR="00824FE2" w:rsidRDefault="00824FE2" w14:paraId="1FD4486E" w14:textId="77777777">
      <w:pPr>
        <w:widowControl/>
        <w:rPr>
          <w:rFonts w:ascii="Times New Roman" w:hAnsi="Times New Roman"/>
          <w:sz w:val="24"/>
          <w:u w:val="single"/>
        </w:rPr>
      </w:pPr>
      <w:r w:rsidRPr="00800A56">
        <w:rPr>
          <w:rFonts w:ascii="Times New Roman" w:hAnsi="Times New Roman"/>
          <w:bCs/>
          <w:sz w:val="24"/>
        </w:rPr>
        <w:t xml:space="preserve">6. </w:t>
      </w:r>
      <w:r w:rsidR="00E607C7">
        <w:rPr>
          <w:rFonts w:ascii="Times New Roman" w:hAnsi="Times New Roman"/>
          <w:bCs/>
          <w:sz w:val="24"/>
        </w:rPr>
        <w:tab/>
      </w:r>
      <w:r w:rsidRPr="00800A56">
        <w:rPr>
          <w:rFonts w:ascii="Times New Roman" w:hAnsi="Times New Roman"/>
          <w:bCs/>
          <w:sz w:val="24"/>
        </w:rPr>
        <w:t xml:space="preserve"> </w:t>
      </w:r>
      <w:r w:rsidRPr="00800A56">
        <w:rPr>
          <w:rFonts w:ascii="Times New Roman" w:hAnsi="Times New Roman"/>
          <w:bCs/>
          <w:sz w:val="24"/>
          <w:u w:val="single"/>
        </w:rPr>
        <w:t>Impact of less frequent collection of information</w:t>
      </w:r>
      <w:r w:rsidR="00800A56">
        <w:rPr>
          <w:rFonts w:ascii="Times New Roman" w:hAnsi="Times New Roman"/>
          <w:bCs/>
          <w:sz w:val="24"/>
        </w:rPr>
        <w:t>.</w:t>
      </w:r>
    </w:p>
    <w:p w:rsidR="00824FE2" w:rsidRDefault="00824FE2" w14:paraId="2DEB586A" w14:textId="77777777">
      <w:pPr>
        <w:widowControl/>
        <w:rPr>
          <w:rFonts w:ascii="Times New Roman" w:hAnsi="Times New Roman"/>
          <w:b/>
          <w:bCs/>
          <w:sz w:val="24"/>
        </w:rPr>
      </w:pPr>
    </w:p>
    <w:p w:rsidR="00824FE2" w:rsidP="00384F02" w:rsidRDefault="00F61408" w14:paraId="38AB93AE" w14:textId="77777777">
      <w:pPr>
        <w:widowControl/>
        <w:jc w:val="both"/>
        <w:rPr>
          <w:rFonts w:ascii="Times New Roman" w:hAnsi="Times New Roman"/>
          <w:bCs/>
          <w:sz w:val="24"/>
        </w:rPr>
      </w:pPr>
      <w:r>
        <w:rPr>
          <w:rFonts w:ascii="Times New Roman" w:hAnsi="Times New Roman"/>
          <w:bCs/>
          <w:sz w:val="24"/>
        </w:rPr>
        <w:t>If these records were to be kept less frequently, critical data that could potentially inform safety-related investigations could be compromised.</w:t>
      </w:r>
    </w:p>
    <w:p w:rsidR="00824FE2" w:rsidRDefault="00824FE2" w14:paraId="294D4464" w14:textId="77777777">
      <w:pPr>
        <w:widowControl/>
        <w:rPr>
          <w:rFonts w:ascii="Times New Roman" w:hAnsi="Times New Roman"/>
          <w:b/>
          <w:bCs/>
          <w:sz w:val="24"/>
        </w:rPr>
      </w:pPr>
    </w:p>
    <w:p w:rsidR="00384F02" w:rsidP="00800A56" w:rsidRDefault="00824FE2" w14:paraId="1445836D" w14:textId="77777777">
      <w:pPr>
        <w:widowControl/>
        <w:rPr>
          <w:rFonts w:ascii="Times New Roman" w:hAnsi="Times New Roman"/>
          <w:bCs/>
          <w:sz w:val="24"/>
        </w:rPr>
      </w:pPr>
      <w:r w:rsidRPr="00800A56">
        <w:rPr>
          <w:rFonts w:ascii="Times New Roman" w:hAnsi="Times New Roman"/>
          <w:bCs/>
          <w:sz w:val="24"/>
        </w:rPr>
        <w:t xml:space="preserve">7.  </w:t>
      </w:r>
      <w:r w:rsidR="00E607C7">
        <w:rPr>
          <w:rFonts w:ascii="Times New Roman" w:hAnsi="Times New Roman"/>
          <w:bCs/>
          <w:sz w:val="24"/>
        </w:rPr>
        <w:tab/>
      </w:r>
      <w:r w:rsidRPr="00800A56">
        <w:rPr>
          <w:rFonts w:ascii="Times New Roman" w:hAnsi="Times New Roman"/>
          <w:bCs/>
          <w:sz w:val="24"/>
          <w:u w:val="single"/>
        </w:rPr>
        <w:t>Special circumstances</w:t>
      </w:r>
      <w:r w:rsidR="00800A56">
        <w:rPr>
          <w:rFonts w:ascii="Times New Roman" w:hAnsi="Times New Roman"/>
          <w:bCs/>
          <w:sz w:val="24"/>
        </w:rPr>
        <w:t>.</w:t>
      </w:r>
      <w:r w:rsidRPr="00800A56" w:rsidR="00800A56">
        <w:rPr>
          <w:rFonts w:ascii="Times New Roman" w:hAnsi="Times New Roman"/>
          <w:bCs/>
          <w:sz w:val="24"/>
        </w:rPr>
        <w:t xml:space="preserve"> </w:t>
      </w:r>
    </w:p>
    <w:p w:rsidR="00384F02" w:rsidP="00800A56" w:rsidRDefault="00384F02" w14:paraId="49CFB0EF" w14:textId="77777777">
      <w:pPr>
        <w:widowControl/>
        <w:rPr>
          <w:rFonts w:ascii="Times New Roman" w:hAnsi="Times New Roman"/>
          <w:bCs/>
          <w:sz w:val="24"/>
        </w:rPr>
      </w:pPr>
    </w:p>
    <w:p w:rsidR="00800A56" w:rsidP="00384F02" w:rsidRDefault="00F61408" w14:paraId="3FC38D7A" w14:textId="77777777">
      <w:pPr>
        <w:widowControl/>
        <w:jc w:val="both"/>
        <w:rPr>
          <w:rFonts w:ascii="Times New Roman" w:hAnsi="Times New Roman"/>
          <w:bCs/>
          <w:sz w:val="24"/>
        </w:rPr>
      </w:pPr>
      <w:r>
        <w:rPr>
          <w:rFonts w:ascii="Times New Roman" w:hAnsi="Times New Roman"/>
          <w:bCs/>
          <w:sz w:val="24"/>
        </w:rPr>
        <w:t>There are no special circumstances pertaining to this information collection.</w:t>
      </w:r>
    </w:p>
    <w:p w:rsidR="00824FE2" w:rsidRDefault="00824FE2" w14:paraId="4C175431" w14:textId="77777777">
      <w:pPr>
        <w:widowControl/>
        <w:rPr>
          <w:rFonts w:ascii="Times New Roman" w:hAnsi="Times New Roman"/>
          <w:b/>
          <w:bCs/>
          <w:sz w:val="24"/>
        </w:rPr>
      </w:pPr>
    </w:p>
    <w:p w:rsidR="00384F02" w:rsidP="00800A56" w:rsidRDefault="00824FE2" w14:paraId="3605B198" w14:textId="77777777">
      <w:pPr>
        <w:widowControl/>
        <w:rPr>
          <w:rFonts w:ascii="Times New Roman" w:hAnsi="Times New Roman"/>
          <w:sz w:val="24"/>
        </w:rPr>
      </w:pPr>
      <w:r w:rsidRPr="00800A56">
        <w:rPr>
          <w:rFonts w:ascii="Times New Roman" w:hAnsi="Times New Roman"/>
          <w:bCs/>
          <w:sz w:val="24"/>
        </w:rPr>
        <w:t xml:space="preserve">8.  </w:t>
      </w:r>
      <w:r w:rsidR="00E607C7">
        <w:rPr>
          <w:rFonts w:ascii="Times New Roman" w:hAnsi="Times New Roman"/>
          <w:bCs/>
          <w:sz w:val="24"/>
        </w:rPr>
        <w:tab/>
      </w:r>
      <w:r w:rsidRPr="00800A56">
        <w:rPr>
          <w:rFonts w:ascii="Times New Roman" w:hAnsi="Times New Roman"/>
          <w:bCs/>
          <w:sz w:val="24"/>
          <w:u w:val="single"/>
        </w:rPr>
        <w:t>Compliance with 5 CFR 1320.8</w:t>
      </w:r>
      <w:r w:rsidR="00800A56">
        <w:rPr>
          <w:rFonts w:ascii="Times New Roman" w:hAnsi="Times New Roman"/>
          <w:bCs/>
          <w:sz w:val="24"/>
        </w:rPr>
        <w:t>.</w:t>
      </w:r>
      <w:r w:rsidRPr="00800A56" w:rsidR="00800A56">
        <w:rPr>
          <w:rFonts w:ascii="Times New Roman" w:hAnsi="Times New Roman"/>
          <w:sz w:val="24"/>
        </w:rPr>
        <w:t xml:space="preserve"> </w:t>
      </w:r>
    </w:p>
    <w:p w:rsidR="00384F02" w:rsidP="00800A56" w:rsidRDefault="00384F02" w14:paraId="137AED3D" w14:textId="77777777">
      <w:pPr>
        <w:widowControl/>
        <w:rPr>
          <w:rFonts w:ascii="Times New Roman" w:hAnsi="Times New Roman"/>
          <w:sz w:val="24"/>
        </w:rPr>
      </w:pPr>
    </w:p>
    <w:p w:rsidR="00C57EF8" w:rsidP="00C57EF8" w:rsidRDefault="00C57EF8" w14:paraId="4E67EAFE" w14:textId="0DE19F7E">
      <w:pPr>
        <w:rPr>
          <w:rFonts w:ascii="Times New Roman" w:hAnsi="Times New Roman"/>
          <w:bCs/>
          <w:sz w:val="24"/>
        </w:rPr>
      </w:pPr>
      <w:r w:rsidRPr="002D2059">
        <w:rPr>
          <w:rFonts w:ascii="Times New Roman" w:hAnsi="Times New Roman"/>
          <w:bCs/>
          <w:sz w:val="24"/>
        </w:rPr>
        <w:t xml:space="preserve">PHMSA published a 60-Day Notice in the Federal Register [86 FR 9568] on February 16, 2021.  PHMSA received no comments pertaining to this information collection.  </w:t>
      </w:r>
    </w:p>
    <w:p w:rsidR="000E2F3A" w:rsidP="00C57EF8" w:rsidRDefault="000E2F3A" w14:paraId="23B05FAB" w14:textId="4052F41E">
      <w:pPr>
        <w:rPr>
          <w:rFonts w:ascii="Times New Roman" w:hAnsi="Times New Roman"/>
          <w:bCs/>
          <w:sz w:val="24"/>
        </w:rPr>
      </w:pPr>
    </w:p>
    <w:p w:rsidRPr="000E2F3A" w:rsidR="000E2F3A" w:rsidP="000E2F3A" w:rsidRDefault="000E2F3A" w14:paraId="16931121" w14:textId="77777777">
      <w:pPr>
        <w:widowControl/>
        <w:rPr>
          <w:rFonts w:ascii="Times New Roman" w:hAnsi="Times New Roman" w:eastAsia="Arial Unicode MS"/>
          <w:color w:val="000000"/>
          <w:sz w:val="24"/>
        </w:rPr>
      </w:pPr>
      <w:bookmarkStart w:name="_Hlk78293520" w:id="0"/>
      <w:r w:rsidRPr="000E2F3A">
        <w:rPr>
          <w:rFonts w:ascii="Times New Roman" w:hAnsi="Times New Roman" w:eastAsia="Arial Unicode MS"/>
          <w:color w:val="000000"/>
          <w:sz w:val="24"/>
        </w:rPr>
        <w:t>Additionally, PHMSA maintains an “open-door” policy with its stakeholders where continual engagement on ways to improve pipeline safety are routine.  In this vein, PHMSA has participated in various discussions where updates on this information collection were provided. PHMSA included updates on this information collection in its regulatory updates presentation that is used to update stakeholders on the status of pending actions. PHMSA has taken all feedback received into consideration in the proposed adjustments.</w:t>
      </w:r>
    </w:p>
    <w:bookmarkEnd w:id="0"/>
    <w:p w:rsidRPr="002D2059" w:rsidR="00C57EF8" w:rsidP="00C57EF8" w:rsidRDefault="00C57EF8" w14:paraId="03AEEBD1" w14:textId="77777777">
      <w:pPr>
        <w:widowControl/>
        <w:rPr>
          <w:rFonts w:ascii="Times New Roman" w:hAnsi="Times New Roman"/>
          <w:bCs/>
          <w:sz w:val="24"/>
        </w:rPr>
      </w:pPr>
    </w:p>
    <w:p w:rsidR="00384F02" w:rsidP="00800A56" w:rsidRDefault="00824FE2" w14:paraId="07A527D1" w14:textId="77777777">
      <w:pPr>
        <w:widowControl/>
        <w:rPr>
          <w:rFonts w:ascii="Times New Roman" w:hAnsi="Times New Roman"/>
          <w:sz w:val="24"/>
        </w:rPr>
      </w:pPr>
      <w:r w:rsidRPr="00800A56">
        <w:rPr>
          <w:rFonts w:ascii="Times New Roman" w:hAnsi="Times New Roman"/>
          <w:bCs/>
          <w:sz w:val="24"/>
        </w:rPr>
        <w:t xml:space="preserve">9.  </w:t>
      </w:r>
      <w:r w:rsidR="00E607C7">
        <w:rPr>
          <w:rFonts w:ascii="Times New Roman" w:hAnsi="Times New Roman"/>
          <w:bCs/>
          <w:sz w:val="24"/>
        </w:rPr>
        <w:tab/>
      </w:r>
      <w:r w:rsidRPr="00800A56">
        <w:rPr>
          <w:rFonts w:ascii="Times New Roman" w:hAnsi="Times New Roman"/>
          <w:bCs/>
          <w:sz w:val="24"/>
          <w:u w:val="single"/>
        </w:rPr>
        <w:t>Payments or gifts to respondents</w:t>
      </w:r>
      <w:r w:rsidR="00800A56">
        <w:rPr>
          <w:rFonts w:ascii="Times New Roman" w:hAnsi="Times New Roman"/>
          <w:bCs/>
          <w:sz w:val="24"/>
        </w:rPr>
        <w:t>.</w:t>
      </w:r>
      <w:r w:rsidRPr="00800A56" w:rsidR="00800A56">
        <w:rPr>
          <w:rFonts w:ascii="Times New Roman" w:hAnsi="Times New Roman"/>
          <w:sz w:val="24"/>
        </w:rPr>
        <w:t xml:space="preserve"> </w:t>
      </w:r>
    </w:p>
    <w:p w:rsidR="00384F02" w:rsidP="00800A56" w:rsidRDefault="00384F02" w14:paraId="65F530A0" w14:textId="77777777">
      <w:pPr>
        <w:widowControl/>
        <w:rPr>
          <w:rFonts w:ascii="Times New Roman" w:hAnsi="Times New Roman"/>
          <w:sz w:val="24"/>
        </w:rPr>
      </w:pPr>
    </w:p>
    <w:p w:rsidRPr="00152FD1" w:rsidR="00152FD1" w:rsidP="00152FD1" w:rsidRDefault="00152FD1" w14:paraId="0A5750B5" w14:textId="77777777">
      <w:pPr>
        <w:widowControl/>
        <w:jc w:val="both"/>
        <w:rPr>
          <w:rFonts w:ascii="Times New Roman" w:hAnsi="Times New Roman"/>
          <w:sz w:val="24"/>
        </w:rPr>
      </w:pPr>
      <w:r w:rsidRPr="00152FD1">
        <w:rPr>
          <w:rFonts w:ascii="Times New Roman" w:hAnsi="Times New Roman"/>
          <w:sz w:val="24"/>
        </w:rPr>
        <w:lastRenderedPageBreak/>
        <w:t>There is no payment or gift provided to respondents associated with this collection of information.</w:t>
      </w:r>
    </w:p>
    <w:p w:rsidR="00824FE2" w:rsidRDefault="00824FE2" w14:paraId="52BFD66B" w14:textId="77777777">
      <w:pPr>
        <w:widowControl/>
        <w:rPr>
          <w:rFonts w:ascii="Times New Roman" w:hAnsi="Times New Roman"/>
          <w:sz w:val="24"/>
        </w:rPr>
      </w:pPr>
    </w:p>
    <w:p w:rsidR="00384F02" w:rsidP="00800A56" w:rsidRDefault="00824FE2" w14:paraId="24919639" w14:textId="77777777">
      <w:pPr>
        <w:widowControl/>
        <w:rPr>
          <w:rFonts w:ascii="Times New Roman" w:hAnsi="Times New Roman"/>
          <w:bCs/>
          <w:sz w:val="24"/>
        </w:rPr>
      </w:pPr>
      <w:r w:rsidRPr="00800A56">
        <w:rPr>
          <w:rFonts w:ascii="Times New Roman" w:hAnsi="Times New Roman"/>
          <w:bCs/>
          <w:sz w:val="24"/>
        </w:rPr>
        <w:t xml:space="preserve">10. </w:t>
      </w:r>
      <w:r w:rsidR="00E607C7">
        <w:rPr>
          <w:rFonts w:ascii="Times New Roman" w:hAnsi="Times New Roman"/>
          <w:bCs/>
          <w:sz w:val="24"/>
        </w:rPr>
        <w:tab/>
      </w:r>
      <w:r w:rsidRPr="00800A56">
        <w:rPr>
          <w:rFonts w:ascii="Times New Roman" w:hAnsi="Times New Roman"/>
          <w:bCs/>
          <w:sz w:val="24"/>
          <w:u w:val="single"/>
        </w:rPr>
        <w:t>Assurance of confidentiality</w:t>
      </w:r>
      <w:r w:rsidR="00800A56">
        <w:rPr>
          <w:rFonts w:ascii="Times New Roman" w:hAnsi="Times New Roman"/>
          <w:bCs/>
          <w:sz w:val="24"/>
        </w:rPr>
        <w:t>.</w:t>
      </w:r>
      <w:r w:rsidRPr="00800A56" w:rsidR="00800A56">
        <w:rPr>
          <w:rFonts w:ascii="Times New Roman" w:hAnsi="Times New Roman"/>
          <w:bCs/>
          <w:sz w:val="24"/>
        </w:rPr>
        <w:t xml:space="preserve"> </w:t>
      </w:r>
    </w:p>
    <w:p w:rsidR="00384F02" w:rsidP="00800A56" w:rsidRDefault="00384F02" w14:paraId="003CC9E6" w14:textId="77777777">
      <w:pPr>
        <w:widowControl/>
        <w:rPr>
          <w:rFonts w:ascii="Times New Roman" w:hAnsi="Times New Roman"/>
          <w:bCs/>
          <w:sz w:val="24"/>
        </w:rPr>
      </w:pPr>
    </w:p>
    <w:p w:rsidRPr="00152FD1" w:rsidR="00152FD1" w:rsidP="00152FD1" w:rsidRDefault="00F61408" w14:paraId="371A3115" w14:textId="77777777">
      <w:pPr>
        <w:widowControl/>
        <w:jc w:val="both"/>
        <w:rPr>
          <w:rFonts w:ascii="Times New Roman" w:hAnsi="Times New Roman"/>
          <w:bCs/>
          <w:sz w:val="24"/>
        </w:rPr>
      </w:pPr>
      <w:r>
        <w:rPr>
          <w:rFonts w:ascii="Times New Roman" w:hAnsi="Times New Roman"/>
          <w:bCs/>
          <w:sz w:val="24"/>
        </w:rPr>
        <w:t>PHMSA does not have the authority to guarantee confidentiality.  However, n</w:t>
      </w:r>
      <w:r w:rsidRPr="00152FD1" w:rsidR="00152FD1">
        <w:rPr>
          <w:rFonts w:ascii="Times New Roman" w:hAnsi="Times New Roman"/>
          <w:bCs/>
          <w:sz w:val="24"/>
        </w:rPr>
        <w:t>one of the data collected contain personally identifiable information (PII) or business confidential information.</w:t>
      </w:r>
    </w:p>
    <w:p w:rsidR="00824FE2" w:rsidRDefault="00824FE2" w14:paraId="02D9B2C6" w14:textId="77777777">
      <w:pPr>
        <w:widowControl/>
        <w:rPr>
          <w:rFonts w:ascii="Times New Roman" w:hAnsi="Times New Roman"/>
          <w:bCs/>
          <w:sz w:val="24"/>
        </w:rPr>
      </w:pPr>
    </w:p>
    <w:p w:rsidR="00152FD1" w:rsidP="00800A56" w:rsidRDefault="00824FE2" w14:paraId="74AC0402" w14:textId="77777777">
      <w:pPr>
        <w:widowControl/>
        <w:rPr>
          <w:rFonts w:ascii="Times New Roman" w:hAnsi="Times New Roman"/>
          <w:sz w:val="24"/>
        </w:rPr>
      </w:pPr>
      <w:r w:rsidRPr="00800A56">
        <w:rPr>
          <w:rFonts w:ascii="Times New Roman" w:hAnsi="Times New Roman"/>
          <w:bCs/>
          <w:sz w:val="24"/>
        </w:rPr>
        <w:t xml:space="preserve">11. </w:t>
      </w:r>
      <w:r w:rsidR="00E607C7">
        <w:rPr>
          <w:rFonts w:ascii="Times New Roman" w:hAnsi="Times New Roman"/>
          <w:bCs/>
          <w:sz w:val="24"/>
        </w:rPr>
        <w:tab/>
      </w:r>
      <w:r w:rsidRPr="00800A56">
        <w:rPr>
          <w:rFonts w:ascii="Times New Roman" w:hAnsi="Times New Roman"/>
          <w:bCs/>
          <w:sz w:val="24"/>
          <w:u w:val="single"/>
        </w:rPr>
        <w:t>Justification for collection of sensitive information</w:t>
      </w:r>
      <w:r w:rsidR="00800A56">
        <w:rPr>
          <w:rFonts w:ascii="Times New Roman" w:hAnsi="Times New Roman"/>
          <w:bCs/>
          <w:sz w:val="24"/>
        </w:rPr>
        <w:t>.</w:t>
      </w:r>
      <w:r w:rsidRPr="00800A56" w:rsidR="00800A56">
        <w:rPr>
          <w:rFonts w:ascii="Times New Roman" w:hAnsi="Times New Roman"/>
          <w:sz w:val="24"/>
        </w:rPr>
        <w:t xml:space="preserve"> </w:t>
      </w:r>
    </w:p>
    <w:p w:rsidR="00152FD1" w:rsidP="00800A56" w:rsidRDefault="00152FD1" w14:paraId="0622B5C5" w14:textId="77777777">
      <w:pPr>
        <w:widowControl/>
        <w:rPr>
          <w:rFonts w:ascii="Times New Roman" w:hAnsi="Times New Roman"/>
          <w:sz w:val="24"/>
        </w:rPr>
      </w:pPr>
    </w:p>
    <w:p w:rsidR="00800A56" w:rsidP="00152FD1" w:rsidRDefault="00152FD1" w14:paraId="7CA4067A" w14:textId="77777777">
      <w:pPr>
        <w:widowControl/>
        <w:jc w:val="both"/>
        <w:rPr>
          <w:rFonts w:ascii="Times New Roman" w:hAnsi="Times New Roman"/>
          <w:sz w:val="24"/>
        </w:rPr>
      </w:pPr>
      <w:r>
        <w:rPr>
          <w:rFonts w:ascii="Times New Roman" w:hAnsi="Times New Roman"/>
          <w:sz w:val="24"/>
        </w:rPr>
        <w:t>No sensitive information is required.</w:t>
      </w:r>
    </w:p>
    <w:p w:rsidR="00F61408" w:rsidP="00800A56" w:rsidRDefault="00F61408" w14:paraId="3B997433" w14:textId="77777777">
      <w:pPr>
        <w:widowControl/>
        <w:rPr>
          <w:rFonts w:ascii="Times New Roman" w:hAnsi="Times New Roman"/>
          <w:bCs/>
          <w:sz w:val="24"/>
        </w:rPr>
      </w:pPr>
    </w:p>
    <w:p w:rsidR="00152FD1" w:rsidP="00800A56" w:rsidRDefault="00824FE2" w14:paraId="090BA85D" w14:textId="77777777">
      <w:pPr>
        <w:widowControl/>
        <w:rPr>
          <w:rFonts w:ascii="Times New Roman" w:hAnsi="Times New Roman"/>
          <w:sz w:val="24"/>
        </w:rPr>
      </w:pPr>
      <w:r w:rsidRPr="00800A56">
        <w:rPr>
          <w:rFonts w:ascii="Times New Roman" w:hAnsi="Times New Roman"/>
          <w:bCs/>
          <w:sz w:val="24"/>
        </w:rPr>
        <w:t xml:space="preserve">12. </w:t>
      </w:r>
      <w:r w:rsidR="00E607C7">
        <w:rPr>
          <w:rFonts w:ascii="Times New Roman" w:hAnsi="Times New Roman"/>
          <w:bCs/>
          <w:sz w:val="24"/>
        </w:rPr>
        <w:tab/>
      </w:r>
      <w:r w:rsidRPr="00800A56">
        <w:rPr>
          <w:rFonts w:ascii="Times New Roman" w:hAnsi="Times New Roman"/>
          <w:bCs/>
          <w:sz w:val="24"/>
          <w:u w:val="single"/>
        </w:rPr>
        <w:t>Estimate of burden hours for information requested</w:t>
      </w:r>
      <w:r w:rsidR="00800A56">
        <w:rPr>
          <w:rFonts w:ascii="Times New Roman" w:hAnsi="Times New Roman"/>
          <w:sz w:val="24"/>
        </w:rPr>
        <w:t>.</w:t>
      </w:r>
      <w:r w:rsidRPr="00800A56" w:rsidR="00800A56">
        <w:rPr>
          <w:rFonts w:ascii="Times New Roman" w:hAnsi="Times New Roman"/>
          <w:sz w:val="24"/>
        </w:rPr>
        <w:t xml:space="preserve"> </w:t>
      </w:r>
    </w:p>
    <w:p w:rsidR="00152FD1" w:rsidP="00800A56" w:rsidRDefault="00152FD1" w14:paraId="1F46B77A" w14:textId="77777777">
      <w:pPr>
        <w:widowControl/>
        <w:rPr>
          <w:rFonts w:ascii="Times New Roman" w:hAnsi="Times New Roman"/>
          <w:sz w:val="24"/>
        </w:rPr>
      </w:pPr>
    </w:p>
    <w:p w:rsidRPr="00E01262" w:rsidR="00AB20C4" w:rsidP="00E607C7" w:rsidRDefault="00AB20C4" w14:paraId="76F985EE" w14:textId="77777777">
      <w:pPr>
        <w:widowControl/>
        <w:jc w:val="both"/>
        <w:rPr>
          <w:rFonts w:ascii="Times New Roman" w:hAnsi="Times New Roman"/>
          <w:b/>
          <w:sz w:val="24"/>
        </w:rPr>
      </w:pPr>
      <w:r w:rsidRPr="00E01262">
        <w:rPr>
          <w:rFonts w:ascii="Times New Roman" w:hAnsi="Times New Roman"/>
          <w:b/>
          <w:sz w:val="24"/>
        </w:rPr>
        <w:t>Total Burden Estimate: 12, 120</w:t>
      </w:r>
      <w:r w:rsidR="00E01262">
        <w:rPr>
          <w:rFonts w:ascii="Times New Roman" w:hAnsi="Times New Roman"/>
          <w:b/>
          <w:sz w:val="24"/>
        </w:rPr>
        <w:t xml:space="preserve"> hours</w:t>
      </w:r>
    </w:p>
    <w:p w:rsidR="00E607C7" w:rsidP="00E607C7" w:rsidRDefault="00800A56" w14:paraId="5D93E7A8" w14:textId="77777777">
      <w:pPr>
        <w:widowControl/>
        <w:jc w:val="both"/>
        <w:rPr>
          <w:rFonts w:ascii="Times New Roman" w:hAnsi="Times New Roman"/>
          <w:sz w:val="24"/>
        </w:rPr>
      </w:pPr>
      <w:r>
        <w:rPr>
          <w:rFonts w:ascii="Times New Roman" w:hAnsi="Times New Roman"/>
          <w:sz w:val="24"/>
        </w:rPr>
        <w:t>There are 101 LNG facilities operated by 78 operators (based on the user fee information) under O</w:t>
      </w:r>
      <w:r w:rsidR="00152FD1">
        <w:rPr>
          <w:rFonts w:ascii="Times New Roman" w:hAnsi="Times New Roman"/>
          <w:sz w:val="24"/>
        </w:rPr>
        <w:t>ffice Pipeline Safety (O</w:t>
      </w:r>
      <w:r>
        <w:rPr>
          <w:rFonts w:ascii="Times New Roman" w:hAnsi="Times New Roman"/>
          <w:sz w:val="24"/>
        </w:rPr>
        <w:t>PS</w:t>
      </w:r>
      <w:r w:rsidR="00152FD1">
        <w:rPr>
          <w:rFonts w:ascii="Times New Roman" w:hAnsi="Times New Roman"/>
          <w:sz w:val="24"/>
        </w:rPr>
        <w:t>)</w:t>
      </w:r>
      <w:r>
        <w:rPr>
          <w:rFonts w:ascii="Times New Roman" w:hAnsi="Times New Roman"/>
          <w:sz w:val="24"/>
        </w:rPr>
        <w:t xml:space="preserve"> jurisdiction. The recordkeeping takes place on a daily basis at the facility level.  Many of the requirements involve establishing procedures </w:t>
      </w:r>
      <w:r w:rsidR="00152FD1">
        <w:rPr>
          <w:rFonts w:ascii="Times New Roman" w:hAnsi="Times New Roman"/>
          <w:sz w:val="24"/>
        </w:rPr>
        <w:t xml:space="preserve">for </w:t>
      </w:r>
      <w:r>
        <w:rPr>
          <w:rFonts w:ascii="Times New Roman" w:hAnsi="Times New Roman"/>
          <w:sz w:val="24"/>
        </w:rPr>
        <w:t xml:space="preserve">manuals and updating as needed – an average of five </w:t>
      </w:r>
      <w:r w:rsidR="001F5E4C">
        <w:rPr>
          <w:rFonts w:ascii="Times New Roman" w:hAnsi="Times New Roman"/>
          <w:sz w:val="24"/>
        </w:rPr>
        <w:t>record keepings</w:t>
      </w:r>
      <w:r>
        <w:rPr>
          <w:rFonts w:ascii="Times New Roman" w:hAnsi="Times New Roman"/>
          <w:sz w:val="24"/>
        </w:rPr>
        <w:t xml:space="preserve"> per year</w:t>
      </w:r>
      <w:r w:rsidR="00152FD1">
        <w:rPr>
          <w:rFonts w:ascii="Times New Roman" w:hAnsi="Times New Roman"/>
          <w:sz w:val="24"/>
        </w:rPr>
        <w:t>,</w:t>
      </w:r>
      <w:r>
        <w:rPr>
          <w:rFonts w:ascii="Times New Roman" w:hAnsi="Times New Roman"/>
          <w:sz w:val="24"/>
        </w:rPr>
        <w:t xml:space="preserve"> per facility.  Also, training plans and records require about five </w:t>
      </w:r>
      <w:r w:rsidR="001F5E4C">
        <w:rPr>
          <w:rFonts w:ascii="Times New Roman" w:hAnsi="Times New Roman"/>
          <w:sz w:val="24"/>
        </w:rPr>
        <w:t>record keepings</w:t>
      </w:r>
      <w:r>
        <w:rPr>
          <w:rFonts w:ascii="Times New Roman" w:hAnsi="Times New Roman"/>
          <w:sz w:val="24"/>
        </w:rPr>
        <w:t xml:space="preserve"> per year.  Another 30 records must be kept annually to record materials used to construct facilities.  The </w:t>
      </w:r>
      <w:r w:rsidR="00CE69A5">
        <w:rPr>
          <w:rFonts w:ascii="Times New Roman" w:hAnsi="Times New Roman"/>
          <w:sz w:val="24"/>
        </w:rPr>
        <w:t>remainder of the record keepings, 360 per facility, involves</w:t>
      </w:r>
      <w:r>
        <w:rPr>
          <w:rFonts w:ascii="Times New Roman" w:hAnsi="Times New Roman"/>
          <w:sz w:val="24"/>
        </w:rPr>
        <w:t xml:space="preserve"> maintenance records.  On average, maintenance activities are performed each day by operators in each facility. OPS estimates that an average LNG record takes less than</w:t>
      </w:r>
      <w:r w:rsidR="003A6783">
        <w:rPr>
          <w:rFonts w:ascii="Times New Roman" w:hAnsi="Times New Roman"/>
          <w:sz w:val="24"/>
        </w:rPr>
        <w:t xml:space="preserve"> 18 minutes</w:t>
      </w:r>
      <w:r w:rsidR="00AA397F">
        <w:rPr>
          <w:rFonts w:ascii="Times New Roman" w:hAnsi="Times New Roman"/>
          <w:sz w:val="24"/>
        </w:rPr>
        <w:t xml:space="preserve"> which equals</w:t>
      </w:r>
      <w:r>
        <w:rPr>
          <w:rFonts w:ascii="Times New Roman" w:hAnsi="Times New Roman"/>
          <w:sz w:val="24"/>
        </w:rPr>
        <w:t xml:space="preserve"> 0.3 hours</w:t>
      </w:r>
      <w:r w:rsidR="001F5E4C">
        <w:rPr>
          <w:rFonts w:ascii="Times New Roman" w:hAnsi="Times New Roman"/>
          <w:sz w:val="24"/>
        </w:rPr>
        <w:t xml:space="preserve"> and multiplying</w:t>
      </w:r>
      <w:r>
        <w:rPr>
          <w:rFonts w:ascii="Times New Roman" w:hAnsi="Times New Roman"/>
          <w:sz w:val="24"/>
        </w:rPr>
        <w:t xml:space="preserve"> 400 records </w:t>
      </w:r>
      <w:r w:rsidR="00152FD1">
        <w:rPr>
          <w:rFonts w:ascii="Times New Roman" w:hAnsi="Times New Roman"/>
          <w:sz w:val="24"/>
        </w:rPr>
        <w:t xml:space="preserve">x </w:t>
      </w:r>
      <w:r>
        <w:rPr>
          <w:rFonts w:ascii="Times New Roman" w:hAnsi="Times New Roman"/>
          <w:sz w:val="24"/>
        </w:rPr>
        <w:t>0.3 hours = 120 burden hours per facility.  The burden hours per record has been determined by on-site inspection of the facilities.  Since a great deal of the required recordkeeping is accomplished by automatic recording devices on strip charts, the incremental time to prepare a record is small</w:t>
      </w:r>
      <w:r w:rsidR="00E607C7">
        <w:rPr>
          <w:rFonts w:ascii="Times New Roman" w:hAnsi="Times New Roman"/>
          <w:sz w:val="24"/>
        </w:rPr>
        <w:t>.  As stated above, the burden per operator is 120 hours per facility.  The total hours for the entire industry is 120 hours x 101 facilities = 12,120 total hours for the industry annually.</w:t>
      </w:r>
    </w:p>
    <w:p w:rsidR="008B74EA" w:rsidP="00E607C7" w:rsidRDefault="008B74EA" w14:paraId="0E2AFCF7" w14:textId="77777777">
      <w:pPr>
        <w:widowControl/>
        <w:jc w:val="both"/>
        <w:rPr>
          <w:rFonts w:ascii="Times New Roman" w:hAnsi="Times New Roman"/>
          <w:sz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A80B9A" w:rsidTr="00A80B9A" w14:paraId="7763EDE1" w14:textId="77777777">
        <w:tc>
          <w:tcPr>
            <w:tcW w:w="1870" w:type="dxa"/>
          </w:tcPr>
          <w:p w:rsidR="00A80B9A" w:rsidP="00A80B9A" w:rsidRDefault="00A80B9A" w14:paraId="2237368C" w14:textId="77777777">
            <w:pPr>
              <w:widowControl/>
              <w:jc w:val="center"/>
              <w:rPr>
                <w:rFonts w:ascii="Times New Roman" w:hAnsi="Times New Roman"/>
                <w:sz w:val="24"/>
              </w:rPr>
            </w:pPr>
            <w:r>
              <w:rPr>
                <w:rFonts w:ascii="Times New Roman" w:hAnsi="Times New Roman"/>
                <w:sz w:val="24"/>
              </w:rPr>
              <w:t>Type of Records</w:t>
            </w:r>
          </w:p>
        </w:tc>
        <w:tc>
          <w:tcPr>
            <w:tcW w:w="1870" w:type="dxa"/>
          </w:tcPr>
          <w:p w:rsidR="00A80B9A" w:rsidP="00A80B9A" w:rsidRDefault="00A80B9A" w14:paraId="3B344FC8" w14:textId="77777777">
            <w:pPr>
              <w:widowControl/>
              <w:jc w:val="center"/>
              <w:rPr>
                <w:rFonts w:ascii="Times New Roman" w:hAnsi="Times New Roman"/>
                <w:sz w:val="24"/>
              </w:rPr>
            </w:pPr>
            <w:r>
              <w:rPr>
                <w:rFonts w:ascii="Times New Roman" w:hAnsi="Times New Roman"/>
                <w:sz w:val="24"/>
              </w:rPr>
              <w:t>Number of Respondents</w:t>
            </w:r>
          </w:p>
        </w:tc>
        <w:tc>
          <w:tcPr>
            <w:tcW w:w="1870" w:type="dxa"/>
          </w:tcPr>
          <w:p w:rsidR="00A80B9A" w:rsidP="00A80B9A" w:rsidRDefault="00A80B9A" w14:paraId="60E58AF7" w14:textId="77777777">
            <w:pPr>
              <w:widowControl/>
              <w:jc w:val="center"/>
              <w:rPr>
                <w:rFonts w:ascii="Times New Roman" w:hAnsi="Times New Roman"/>
                <w:sz w:val="24"/>
              </w:rPr>
            </w:pPr>
            <w:r>
              <w:rPr>
                <w:rFonts w:ascii="Times New Roman" w:hAnsi="Times New Roman"/>
                <w:sz w:val="24"/>
              </w:rPr>
              <w:t>Number of Responses</w:t>
            </w:r>
          </w:p>
        </w:tc>
        <w:tc>
          <w:tcPr>
            <w:tcW w:w="1870" w:type="dxa"/>
          </w:tcPr>
          <w:p w:rsidR="00A80B9A" w:rsidP="00A80B9A" w:rsidRDefault="00A80B9A" w14:paraId="6111015E" w14:textId="77777777">
            <w:pPr>
              <w:widowControl/>
              <w:jc w:val="center"/>
              <w:rPr>
                <w:rFonts w:ascii="Times New Roman" w:hAnsi="Times New Roman"/>
                <w:sz w:val="24"/>
              </w:rPr>
            </w:pPr>
            <w:r>
              <w:rPr>
                <w:rFonts w:ascii="Times New Roman" w:hAnsi="Times New Roman"/>
                <w:sz w:val="24"/>
              </w:rPr>
              <w:t>Burden per Response</w:t>
            </w:r>
          </w:p>
        </w:tc>
        <w:tc>
          <w:tcPr>
            <w:tcW w:w="1870" w:type="dxa"/>
          </w:tcPr>
          <w:p w:rsidR="00A80B9A" w:rsidP="00E607C7" w:rsidRDefault="00A80B9A" w14:paraId="646E529B" w14:textId="77777777">
            <w:pPr>
              <w:widowControl/>
              <w:jc w:val="both"/>
              <w:rPr>
                <w:rFonts w:ascii="Times New Roman" w:hAnsi="Times New Roman"/>
                <w:sz w:val="24"/>
              </w:rPr>
            </w:pPr>
            <w:r>
              <w:rPr>
                <w:rFonts w:ascii="Times New Roman" w:hAnsi="Times New Roman"/>
                <w:sz w:val="24"/>
              </w:rPr>
              <w:t>Overall Burden</w:t>
            </w:r>
          </w:p>
        </w:tc>
      </w:tr>
      <w:tr w:rsidR="00A80B9A" w:rsidTr="00A80B9A" w14:paraId="21D63A65" w14:textId="77777777">
        <w:tc>
          <w:tcPr>
            <w:tcW w:w="1870" w:type="dxa"/>
          </w:tcPr>
          <w:p w:rsidR="00A80B9A" w:rsidP="00E607C7" w:rsidRDefault="00A80B9A" w14:paraId="4FA9CE51" w14:textId="77777777">
            <w:pPr>
              <w:widowControl/>
              <w:jc w:val="both"/>
              <w:rPr>
                <w:rFonts w:ascii="Times New Roman" w:hAnsi="Times New Roman"/>
                <w:sz w:val="24"/>
              </w:rPr>
            </w:pPr>
            <w:r>
              <w:rPr>
                <w:rFonts w:ascii="Times New Roman" w:hAnsi="Times New Roman"/>
                <w:sz w:val="24"/>
              </w:rPr>
              <w:t>Maintenance Records</w:t>
            </w:r>
          </w:p>
        </w:tc>
        <w:tc>
          <w:tcPr>
            <w:tcW w:w="1870" w:type="dxa"/>
          </w:tcPr>
          <w:p w:rsidR="00A80B9A" w:rsidP="00E607C7" w:rsidRDefault="00A80B9A" w14:paraId="405CE3C0" w14:textId="77777777">
            <w:pPr>
              <w:widowControl/>
              <w:jc w:val="both"/>
              <w:rPr>
                <w:rFonts w:ascii="Times New Roman" w:hAnsi="Times New Roman"/>
                <w:sz w:val="24"/>
              </w:rPr>
            </w:pPr>
            <w:r>
              <w:rPr>
                <w:rFonts w:ascii="Times New Roman" w:hAnsi="Times New Roman"/>
                <w:sz w:val="24"/>
              </w:rPr>
              <w:t>101</w:t>
            </w:r>
          </w:p>
        </w:tc>
        <w:tc>
          <w:tcPr>
            <w:tcW w:w="1870" w:type="dxa"/>
          </w:tcPr>
          <w:p w:rsidR="00A80B9A" w:rsidP="00E607C7" w:rsidRDefault="001736EE" w14:paraId="469A0CEC" w14:textId="51052A03">
            <w:pPr>
              <w:widowControl/>
              <w:jc w:val="both"/>
              <w:rPr>
                <w:rFonts w:ascii="Times New Roman" w:hAnsi="Times New Roman"/>
                <w:sz w:val="24"/>
              </w:rPr>
            </w:pPr>
            <w:r>
              <w:rPr>
                <w:rFonts w:ascii="Times New Roman" w:hAnsi="Times New Roman"/>
                <w:sz w:val="24"/>
              </w:rPr>
              <w:t>36,</w:t>
            </w:r>
            <w:r w:rsidR="00A80B9A">
              <w:rPr>
                <w:rFonts w:ascii="Times New Roman" w:hAnsi="Times New Roman"/>
                <w:sz w:val="24"/>
              </w:rPr>
              <w:t>360</w:t>
            </w:r>
          </w:p>
        </w:tc>
        <w:tc>
          <w:tcPr>
            <w:tcW w:w="1870" w:type="dxa"/>
          </w:tcPr>
          <w:p w:rsidR="00A80B9A" w:rsidP="00E607C7" w:rsidRDefault="00A80B9A" w14:paraId="1EEEA136" w14:textId="77777777">
            <w:pPr>
              <w:widowControl/>
              <w:jc w:val="both"/>
              <w:rPr>
                <w:rFonts w:ascii="Times New Roman" w:hAnsi="Times New Roman"/>
                <w:sz w:val="24"/>
              </w:rPr>
            </w:pPr>
            <w:r>
              <w:rPr>
                <w:rFonts w:ascii="Times New Roman" w:hAnsi="Times New Roman"/>
                <w:sz w:val="24"/>
              </w:rPr>
              <w:t>0.3 hours</w:t>
            </w:r>
          </w:p>
        </w:tc>
        <w:tc>
          <w:tcPr>
            <w:tcW w:w="1870" w:type="dxa"/>
          </w:tcPr>
          <w:p w:rsidR="00A80B9A" w:rsidP="00E607C7" w:rsidRDefault="00A80B9A" w14:paraId="43AB6889" w14:textId="77777777">
            <w:pPr>
              <w:widowControl/>
              <w:jc w:val="both"/>
              <w:rPr>
                <w:rFonts w:ascii="Times New Roman" w:hAnsi="Times New Roman"/>
                <w:sz w:val="24"/>
              </w:rPr>
            </w:pPr>
            <w:r>
              <w:rPr>
                <w:rFonts w:ascii="Times New Roman" w:hAnsi="Times New Roman"/>
                <w:sz w:val="24"/>
              </w:rPr>
              <w:t>10,908 hours</w:t>
            </w:r>
          </w:p>
        </w:tc>
      </w:tr>
      <w:tr w:rsidR="00A80B9A" w:rsidTr="00A80B9A" w14:paraId="1BBFFB15" w14:textId="77777777">
        <w:tc>
          <w:tcPr>
            <w:tcW w:w="1870" w:type="dxa"/>
          </w:tcPr>
          <w:p w:rsidR="00A80B9A" w:rsidP="00E607C7" w:rsidRDefault="00A80B9A" w14:paraId="328AFA60" w14:textId="77777777">
            <w:pPr>
              <w:widowControl/>
              <w:jc w:val="both"/>
              <w:rPr>
                <w:rFonts w:ascii="Times New Roman" w:hAnsi="Times New Roman"/>
                <w:sz w:val="24"/>
              </w:rPr>
            </w:pPr>
            <w:r>
              <w:rPr>
                <w:rFonts w:ascii="Times New Roman" w:hAnsi="Times New Roman"/>
                <w:sz w:val="24"/>
              </w:rPr>
              <w:t>Materials Records</w:t>
            </w:r>
          </w:p>
        </w:tc>
        <w:tc>
          <w:tcPr>
            <w:tcW w:w="1870" w:type="dxa"/>
          </w:tcPr>
          <w:p w:rsidR="00A80B9A" w:rsidP="00E607C7" w:rsidRDefault="00A80B9A" w14:paraId="18B40BDF" w14:textId="77777777">
            <w:pPr>
              <w:widowControl/>
              <w:jc w:val="both"/>
              <w:rPr>
                <w:rFonts w:ascii="Times New Roman" w:hAnsi="Times New Roman"/>
                <w:sz w:val="24"/>
              </w:rPr>
            </w:pPr>
            <w:r>
              <w:rPr>
                <w:rFonts w:ascii="Times New Roman" w:hAnsi="Times New Roman"/>
                <w:sz w:val="24"/>
              </w:rPr>
              <w:t>101</w:t>
            </w:r>
          </w:p>
        </w:tc>
        <w:tc>
          <w:tcPr>
            <w:tcW w:w="1870" w:type="dxa"/>
          </w:tcPr>
          <w:p w:rsidR="00A80B9A" w:rsidP="00E607C7" w:rsidRDefault="00751D10" w14:paraId="4E381911" w14:textId="21043147">
            <w:pPr>
              <w:widowControl/>
              <w:jc w:val="both"/>
              <w:rPr>
                <w:rFonts w:ascii="Times New Roman" w:hAnsi="Times New Roman"/>
                <w:sz w:val="24"/>
              </w:rPr>
            </w:pPr>
            <w:r>
              <w:rPr>
                <w:rFonts w:ascii="Times New Roman" w:hAnsi="Times New Roman"/>
                <w:sz w:val="24"/>
              </w:rPr>
              <w:t>3</w:t>
            </w:r>
            <w:r w:rsidR="001736EE">
              <w:rPr>
                <w:rFonts w:ascii="Times New Roman" w:hAnsi="Times New Roman"/>
                <w:sz w:val="24"/>
              </w:rPr>
              <w:t>,</w:t>
            </w:r>
            <w:r>
              <w:rPr>
                <w:rFonts w:ascii="Times New Roman" w:hAnsi="Times New Roman"/>
                <w:sz w:val="24"/>
              </w:rPr>
              <w:t>0</w:t>
            </w:r>
            <w:r w:rsidR="001736EE">
              <w:rPr>
                <w:rFonts w:ascii="Times New Roman" w:hAnsi="Times New Roman"/>
                <w:sz w:val="24"/>
              </w:rPr>
              <w:t>30</w:t>
            </w:r>
          </w:p>
        </w:tc>
        <w:tc>
          <w:tcPr>
            <w:tcW w:w="1870" w:type="dxa"/>
          </w:tcPr>
          <w:p w:rsidR="00A80B9A" w:rsidP="00E607C7" w:rsidRDefault="00A80B9A" w14:paraId="59267DB6" w14:textId="77777777">
            <w:pPr>
              <w:widowControl/>
              <w:jc w:val="both"/>
              <w:rPr>
                <w:rFonts w:ascii="Times New Roman" w:hAnsi="Times New Roman"/>
                <w:sz w:val="24"/>
              </w:rPr>
            </w:pPr>
            <w:r>
              <w:rPr>
                <w:rFonts w:ascii="Times New Roman" w:hAnsi="Times New Roman"/>
                <w:sz w:val="24"/>
              </w:rPr>
              <w:t>0.3 hours</w:t>
            </w:r>
          </w:p>
        </w:tc>
        <w:tc>
          <w:tcPr>
            <w:tcW w:w="1870" w:type="dxa"/>
          </w:tcPr>
          <w:p w:rsidR="00A80B9A" w:rsidP="00E607C7" w:rsidRDefault="00A80B9A" w14:paraId="34B19578" w14:textId="77777777">
            <w:pPr>
              <w:widowControl/>
              <w:jc w:val="both"/>
              <w:rPr>
                <w:rFonts w:ascii="Times New Roman" w:hAnsi="Times New Roman"/>
                <w:sz w:val="24"/>
              </w:rPr>
            </w:pPr>
            <w:r>
              <w:rPr>
                <w:rFonts w:ascii="Times New Roman" w:hAnsi="Times New Roman"/>
                <w:sz w:val="24"/>
              </w:rPr>
              <w:t>909 hours</w:t>
            </w:r>
          </w:p>
        </w:tc>
      </w:tr>
      <w:tr w:rsidR="00A80B9A" w:rsidTr="00A80B9A" w14:paraId="2480B289" w14:textId="77777777">
        <w:tc>
          <w:tcPr>
            <w:tcW w:w="1870" w:type="dxa"/>
          </w:tcPr>
          <w:p w:rsidR="00A80B9A" w:rsidP="00E607C7" w:rsidRDefault="00A80B9A" w14:paraId="2F1009FB" w14:textId="77777777">
            <w:pPr>
              <w:widowControl/>
              <w:jc w:val="both"/>
              <w:rPr>
                <w:rFonts w:ascii="Times New Roman" w:hAnsi="Times New Roman"/>
                <w:sz w:val="24"/>
              </w:rPr>
            </w:pPr>
            <w:r>
              <w:rPr>
                <w:rFonts w:ascii="Times New Roman" w:hAnsi="Times New Roman"/>
                <w:sz w:val="24"/>
              </w:rPr>
              <w:t>Personnel Training/ Procedures Records</w:t>
            </w:r>
          </w:p>
        </w:tc>
        <w:tc>
          <w:tcPr>
            <w:tcW w:w="1870" w:type="dxa"/>
          </w:tcPr>
          <w:p w:rsidR="00A80B9A" w:rsidP="00E607C7" w:rsidRDefault="00A80B9A" w14:paraId="155BA240" w14:textId="77777777">
            <w:pPr>
              <w:widowControl/>
              <w:jc w:val="both"/>
              <w:rPr>
                <w:rFonts w:ascii="Times New Roman" w:hAnsi="Times New Roman"/>
                <w:sz w:val="24"/>
              </w:rPr>
            </w:pPr>
            <w:r>
              <w:rPr>
                <w:rFonts w:ascii="Times New Roman" w:hAnsi="Times New Roman"/>
                <w:sz w:val="24"/>
              </w:rPr>
              <w:t>101</w:t>
            </w:r>
          </w:p>
        </w:tc>
        <w:tc>
          <w:tcPr>
            <w:tcW w:w="1870" w:type="dxa"/>
          </w:tcPr>
          <w:p w:rsidR="00A80B9A" w:rsidP="00E607C7" w:rsidRDefault="001736EE" w14:paraId="776C3056" w14:textId="615FAFA3">
            <w:pPr>
              <w:widowControl/>
              <w:jc w:val="both"/>
              <w:rPr>
                <w:rFonts w:ascii="Times New Roman" w:hAnsi="Times New Roman"/>
                <w:sz w:val="24"/>
              </w:rPr>
            </w:pPr>
            <w:r>
              <w:rPr>
                <w:rFonts w:ascii="Times New Roman" w:hAnsi="Times New Roman"/>
                <w:sz w:val="24"/>
              </w:rPr>
              <w:t>1,0</w:t>
            </w:r>
            <w:r w:rsidR="00A80B9A">
              <w:rPr>
                <w:rFonts w:ascii="Times New Roman" w:hAnsi="Times New Roman"/>
                <w:sz w:val="24"/>
              </w:rPr>
              <w:t>1</w:t>
            </w:r>
            <w:r w:rsidR="00751D10">
              <w:rPr>
                <w:rFonts w:ascii="Times New Roman" w:hAnsi="Times New Roman"/>
                <w:sz w:val="24"/>
              </w:rPr>
              <w:t>0</w:t>
            </w:r>
          </w:p>
        </w:tc>
        <w:tc>
          <w:tcPr>
            <w:tcW w:w="1870" w:type="dxa"/>
          </w:tcPr>
          <w:p w:rsidR="00A80B9A" w:rsidP="00E607C7" w:rsidRDefault="00A80B9A" w14:paraId="0C875133" w14:textId="77777777">
            <w:pPr>
              <w:widowControl/>
              <w:jc w:val="both"/>
              <w:rPr>
                <w:rFonts w:ascii="Times New Roman" w:hAnsi="Times New Roman"/>
                <w:sz w:val="24"/>
              </w:rPr>
            </w:pPr>
            <w:r>
              <w:rPr>
                <w:rFonts w:ascii="Times New Roman" w:hAnsi="Times New Roman"/>
                <w:sz w:val="24"/>
              </w:rPr>
              <w:t>0.3 hour</w:t>
            </w:r>
          </w:p>
        </w:tc>
        <w:tc>
          <w:tcPr>
            <w:tcW w:w="1870" w:type="dxa"/>
          </w:tcPr>
          <w:p w:rsidR="00A80B9A" w:rsidP="00E607C7" w:rsidRDefault="00A80B9A" w14:paraId="3E42D20B" w14:textId="77777777">
            <w:pPr>
              <w:widowControl/>
              <w:jc w:val="both"/>
              <w:rPr>
                <w:rFonts w:ascii="Times New Roman" w:hAnsi="Times New Roman"/>
                <w:sz w:val="24"/>
              </w:rPr>
            </w:pPr>
            <w:r>
              <w:rPr>
                <w:rFonts w:ascii="Times New Roman" w:hAnsi="Times New Roman"/>
                <w:sz w:val="24"/>
              </w:rPr>
              <w:t>303</w:t>
            </w:r>
            <w:r w:rsidR="00B142AD">
              <w:rPr>
                <w:rFonts w:ascii="Times New Roman" w:hAnsi="Times New Roman"/>
                <w:sz w:val="24"/>
              </w:rPr>
              <w:t xml:space="preserve"> hours</w:t>
            </w:r>
          </w:p>
        </w:tc>
      </w:tr>
      <w:tr w:rsidR="00A80B9A" w:rsidTr="00B142AD" w14:paraId="44F5CE83" w14:textId="77777777">
        <w:tc>
          <w:tcPr>
            <w:tcW w:w="1870" w:type="dxa"/>
            <w:shd w:val="clear" w:color="auto" w:fill="DBE5F1" w:themeFill="accent1" w:themeFillTint="33"/>
          </w:tcPr>
          <w:p w:rsidR="00A80B9A" w:rsidP="00E607C7" w:rsidRDefault="00A80B9A" w14:paraId="784DF0A2" w14:textId="77777777">
            <w:pPr>
              <w:widowControl/>
              <w:jc w:val="both"/>
              <w:rPr>
                <w:rFonts w:ascii="Times New Roman" w:hAnsi="Times New Roman"/>
                <w:sz w:val="24"/>
              </w:rPr>
            </w:pPr>
            <w:r>
              <w:rPr>
                <w:rFonts w:ascii="Times New Roman" w:hAnsi="Times New Roman"/>
                <w:sz w:val="24"/>
              </w:rPr>
              <w:t>Total</w:t>
            </w:r>
          </w:p>
        </w:tc>
        <w:tc>
          <w:tcPr>
            <w:tcW w:w="1870" w:type="dxa"/>
            <w:shd w:val="clear" w:color="auto" w:fill="DBE5F1" w:themeFill="accent1" w:themeFillTint="33"/>
          </w:tcPr>
          <w:p w:rsidR="00A80B9A" w:rsidP="00E607C7" w:rsidRDefault="00A80B9A" w14:paraId="61155FE6" w14:textId="77777777">
            <w:pPr>
              <w:widowControl/>
              <w:jc w:val="both"/>
              <w:rPr>
                <w:rFonts w:ascii="Times New Roman" w:hAnsi="Times New Roman"/>
                <w:sz w:val="24"/>
              </w:rPr>
            </w:pPr>
            <w:r>
              <w:rPr>
                <w:rFonts w:ascii="Times New Roman" w:hAnsi="Times New Roman"/>
                <w:sz w:val="24"/>
              </w:rPr>
              <w:t>101</w:t>
            </w:r>
          </w:p>
        </w:tc>
        <w:tc>
          <w:tcPr>
            <w:tcW w:w="1870" w:type="dxa"/>
            <w:shd w:val="clear" w:color="auto" w:fill="DBE5F1" w:themeFill="accent1" w:themeFillTint="33"/>
          </w:tcPr>
          <w:p w:rsidR="00A80B9A" w:rsidP="00E607C7" w:rsidRDefault="001736EE" w14:paraId="0C0CEDDF" w14:textId="2D70556E">
            <w:pPr>
              <w:widowControl/>
              <w:jc w:val="both"/>
              <w:rPr>
                <w:rFonts w:ascii="Times New Roman" w:hAnsi="Times New Roman"/>
                <w:sz w:val="24"/>
              </w:rPr>
            </w:pPr>
            <w:r>
              <w:rPr>
                <w:rFonts w:ascii="Times New Roman" w:hAnsi="Times New Roman"/>
                <w:sz w:val="24"/>
              </w:rPr>
              <w:t>40,</w:t>
            </w:r>
            <w:r w:rsidR="00B142AD">
              <w:rPr>
                <w:rFonts w:ascii="Times New Roman" w:hAnsi="Times New Roman"/>
                <w:sz w:val="24"/>
              </w:rPr>
              <w:t>400</w:t>
            </w:r>
          </w:p>
        </w:tc>
        <w:tc>
          <w:tcPr>
            <w:tcW w:w="1870" w:type="dxa"/>
            <w:shd w:val="clear" w:color="auto" w:fill="DBE5F1" w:themeFill="accent1" w:themeFillTint="33"/>
          </w:tcPr>
          <w:p w:rsidR="00A80B9A" w:rsidP="00E607C7" w:rsidRDefault="00A80B9A" w14:paraId="670E4C64" w14:textId="77777777">
            <w:pPr>
              <w:widowControl/>
              <w:jc w:val="both"/>
              <w:rPr>
                <w:rFonts w:ascii="Times New Roman" w:hAnsi="Times New Roman"/>
                <w:sz w:val="24"/>
              </w:rPr>
            </w:pPr>
            <w:r>
              <w:rPr>
                <w:rFonts w:ascii="Times New Roman" w:hAnsi="Times New Roman"/>
                <w:sz w:val="24"/>
              </w:rPr>
              <w:t>0.3</w:t>
            </w:r>
          </w:p>
        </w:tc>
        <w:tc>
          <w:tcPr>
            <w:tcW w:w="1870" w:type="dxa"/>
            <w:shd w:val="clear" w:color="auto" w:fill="DBE5F1" w:themeFill="accent1" w:themeFillTint="33"/>
          </w:tcPr>
          <w:p w:rsidR="00A80B9A" w:rsidP="00E607C7" w:rsidRDefault="00B142AD" w14:paraId="2A958400" w14:textId="77777777">
            <w:pPr>
              <w:widowControl/>
              <w:jc w:val="both"/>
              <w:rPr>
                <w:rFonts w:ascii="Times New Roman" w:hAnsi="Times New Roman"/>
                <w:sz w:val="24"/>
              </w:rPr>
            </w:pPr>
            <w:r>
              <w:rPr>
                <w:rFonts w:ascii="Times New Roman" w:hAnsi="Times New Roman"/>
                <w:sz w:val="24"/>
              </w:rPr>
              <w:t>12,120 hours</w:t>
            </w:r>
          </w:p>
        </w:tc>
      </w:tr>
    </w:tbl>
    <w:p w:rsidR="008B74EA" w:rsidP="00E607C7" w:rsidRDefault="008B74EA" w14:paraId="2500619E" w14:textId="77777777">
      <w:pPr>
        <w:widowControl/>
        <w:jc w:val="both"/>
        <w:rPr>
          <w:rFonts w:ascii="Times New Roman" w:hAnsi="Times New Roman"/>
          <w:sz w:val="24"/>
        </w:rPr>
      </w:pPr>
    </w:p>
    <w:p w:rsidR="008B74EA" w:rsidP="00E607C7" w:rsidRDefault="008B74EA" w14:paraId="1AAD9EB3" w14:textId="77777777">
      <w:pPr>
        <w:widowControl/>
        <w:jc w:val="both"/>
        <w:rPr>
          <w:rFonts w:ascii="Times New Roman" w:hAnsi="Times New Roman"/>
          <w:sz w:val="24"/>
        </w:rPr>
      </w:pPr>
    </w:p>
    <w:p w:rsidR="00E607C7" w:rsidP="00800A56" w:rsidRDefault="00824FE2" w14:paraId="2792AEF0" w14:textId="77777777">
      <w:pPr>
        <w:widowControl/>
        <w:rPr>
          <w:rFonts w:ascii="Times New Roman" w:hAnsi="Times New Roman"/>
          <w:sz w:val="24"/>
        </w:rPr>
      </w:pPr>
      <w:r w:rsidRPr="00800A56">
        <w:rPr>
          <w:rFonts w:ascii="Times New Roman" w:hAnsi="Times New Roman"/>
          <w:bCs/>
          <w:sz w:val="24"/>
        </w:rPr>
        <w:t xml:space="preserve">13. </w:t>
      </w:r>
      <w:r w:rsidR="00E607C7">
        <w:rPr>
          <w:rFonts w:ascii="Times New Roman" w:hAnsi="Times New Roman"/>
          <w:bCs/>
          <w:sz w:val="24"/>
        </w:rPr>
        <w:tab/>
      </w:r>
      <w:r w:rsidRPr="00800A56">
        <w:rPr>
          <w:rFonts w:ascii="Times New Roman" w:hAnsi="Times New Roman"/>
          <w:bCs/>
          <w:sz w:val="24"/>
          <w:u w:val="single"/>
        </w:rPr>
        <w:t>Estimate of total annual costs to respondents</w:t>
      </w:r>
      <w:r w:rsidR="00800A56">
        <w:rPr>
          <w:rFonts w:ascii="Times New Roman" w:hAnsi="Times New Roman"/>
          <w:bCs/>
          <w:sz w:val="24"/>
        </w:rPr>
        <w:t>.</w:t>
      </w:r>
      <w:r w:rsidRPr="00800A56" w:rsidR="00800A56">
        <w:rPr>
          <w:rFonts w:ascii="Times New Roman" w:hAnsi="Times New Roman"/>
          <w:sz w:val="24"/>
        </w:rPr>
        <w:t xml:space="preserve"> </w:t>
      </w:r>
    </w:p>
    <w:p w:rsidR="00E607C7" w:rsidP="00800A56" w:rsidRDefault="00E607C7" w14:paraId="414DEE13" w14:textId="77777777">
      <w:pPr>
        <w:widowControl/>
        <w:rPr>
          <w:rFonts w:ascii="Times New Roman" w:hAnsi="Times New Roman"/>
          <w:sz w:val="24"/>
        </w:rPr>
      </w:pPr>
    </w:p>
    <w:p w:rsidR="00BC1454" w:rsidP="00BC1454" w:rsidRDefault="00BC1454" w14:paraId="2726DEBF" w14:textId="77777777">
      <w:pPr>
        <w:widowControl/>
        <w:jc w:val="both"/>
        <w:rPr>
          <w:rFonts w:ascii="Times New Roman" w:hAnsi="Times New Roman"/>
          <w:sz w:val="24"/>
        </w:rPr>
      </w:pPr>
      <w:r>
        <w:rPr>
          <w:rFonts w:ascii="Times New Roman" w:hAnsi="Times New Roman"/>
          <w:sz w:val="24"/>
        </w:rPr>
        <w:lastRenderedPageBreak/>
        <w:t>The estimated annual cost burden of recordkeeping is $65.07 (per hour) x 120 (hours) = $7,808.40 per year.  Multiplying this cost by the 101 facilities, the cost to the industry is $7,808.40 x 101 = $788,648.40 per year.</w:t>
      </w:r>
    </w:p>
    <w:p w:rsidR="00BC1454" w:rsidP="00BC1454" w:rsidRDefault="00BC1454" w14:paraId="193C1484" w14:textId="77777777">
      <w:pPr>
        <w:widowControl/>
        <w:rPr>
          <w:rFonts w:ascii="Times New Roman" w:hAnsi="Times New Roman"/>
          <w:sz w:val="24"/>
        </w:rPr>
      </w:pPr>
    </w:p>
    <w:p w:rsidR="00E607C7" w:rsidP="00800A56" w:rsidRDefault="00824FE2" w14:paraId="66B18337" w14:textId="77777777">
      <w:pPr>
        <w:widowControl/>
        <w:rPr>
          <w:rFonts w:ascii="Times New Roman" w:hAnsi="Times New Roman"/>
          <w:sz w:val="24"/>
        </w:rPr>
      </w:pPr>
      <w:r w:rsidRPr="00800A56">
        <w:rPr>
          <w:rFonts w:ascii="Times New Roman" w:hAnsi="Times New Roman"/>
          <w:bCs/>
          <w:sz w:val="24"/>
        </w:rPr>
        <w:t xml:space="preserve">14. </w:t>
      </w:r>
      <w:r w:rsidR="00E607C7">
        <w:rPr>
          <w:rFonts w:ascii="Times New Roman" w:hAnsi="Times New Roman"/>
          <w:bCs/>
          <w:sz w:val="24"/>
        </w:rPr>
        <w:tab/>
      </w:r>
      <w:r w:rsidRPr="00800A56">
        <w:rPr>
          <w:rFonts w:ascii="Times New Roman" w:hAnsi="Times New Roman"/>
          <w:bCs/>
          <w:sz w:val="24"/>
          <w:u w:val="single"/>
        </w:rPr>
        <w:t xml:space="preserve">Estimate of cost to the Federal </w:t>
      </w:r>
      <w:r w:rsidR="00800A56">
        <w:rPr>
          <w:rFonts w:ascii="Times New Roman" w:hAnsi="Times New Roman"/>
          <w:bCs/>
          <w:sz w:val="24"/>
          <w:u w:val="single"/>
        </w:rPr>
        <w:t>G</w:t>
      </w:r>
      <w:r w:rsidRPr="00800A56">
        <w:rPr>
          <w:rFonts w:ascii="Times New Roman" w:hAnsi="Times New Roman"/>
          <w:bCs/>
          <w:sz w:val="24"/>
          <w:u w:val="single"/>
        </w:rPr>
        <w:t>overnment</w:t>
      </w:r>
      <w:r w:rsidR="00800A56">
        <w:rPr>
          <w:rFonts w:ascii="Times New Roman" w:hAnsi="Times New Roman"/>
          <w:bCs/>
          <w:sz w:val="24"/>
        </w:rPr>
        <w:t>.</w:t>
      </w:r>
      <w:r w:rsidRPr="00800A56" w:rsidR="00800A56">
        <w:rPr>
          <w:rFonts w:ascii="Times New Roman" w:hAnsi="Times New Roman"/>
          <w:sz w:val="24"/>
        </w:rPr>
        <w:t xml:space="preserve"> </w:t>
      </w:r>
    </w:p>
    <w:p w:rsidR="00E607C7" w:rsidP="00800A56" w:rsidRDefault="00E607C7" w14:paraId="4303B68A" w14:textId="77777777">
      <w:pPr>
        <w:widowControl/>
        <w:rPr>
          <w:rFonts w:ascii="Times New Roman" w:hAnsi="Times New Roman"/>
          <w:sz w:val="24"/>
        </w:rPr>
      </w:pPr>
    </w:p>
    <w:p w:rsidR="00D35D8C" w:rsidP="00D35D8C" w:rsidRDefault="00D35D8C" w14:paraId="007E92A5" w14:textId="77777777">
      <w:pPr>
        <w:spacing w:after="240"/>
        <w:jc w:val="both"/>
        <w:rPr>
          <w:rFonts w:ascii="Times New Roman" w:hAnsi="Times New Roman" w:cs="Arial"/>
          <w:sz w:val="24"/>
        </w:rPr>
      </w:pPr>
      <w:r>
        <w:rPr>
          <w:rFonts w:ascii="Times New Roman" w:hAnsi="Times New Roman" w:cs="Arial"/>
          <w:sz w:val="24"/>
        </w:rPr>
        <w:t xml:space="preserve">Currently, 100 Federal inspectors spend an estimated 10 percent of their time reviewing records retained by gas pipeline operators. The average salary of a Federal transportation inspector is $107,630. </w:t>
      </w:r>
    </w:p>
    <w:p w:rsidR="00D35D8C" w:rsidP="00D35D8C" w:rsidRDefault="00D35D8C" w14:paraId="12CC747F" w14:textId="77777777">
      <w:pPr>
        <w:spacing w:after="240"/>
        <w:jc w:val="both"/>
        <w:rPr>
          <w:rFonts w:ascii="Times New Roman" w:hAnsi="Times New Roman" w:cs="Arial"/>
          <w:sz w:val="24"/>
        </w:rPr>
      </w:pPr>
      <w:r>
        <w:rPr>
          <w:rFonts w:ascii="Times New Roman" w:hAnsi="Times New Roman" w:cs="Arial"/>
          <w:sz w:val="24"/>
        </w:rPr>
        <w:t xml:space="preserve">This calculates to an estimated annual cost to the Federal Government of: </w:t>
      </w:r>
    </w:p>
    <w:p w:rsidR="00D35D8C" w:rsidP="00D35D8C" w:rsidRDefault="00D35D8C" w14:paraId="489DFA96" w14:textId="77777777">
      <w:pPr>
        <w:widowControl/>
        <w:rPr>
          <w:rFonts w:ascii="Times New Roman" w:hAnsi="Times New Roman" w:cs="Arial"/>
          <w:sz w:val="24"/>
        </w:rPr>
      </w:pPr>
      <w:r>
        <w:rPr>
          <w:rFonts w:ascii="Times New Roman" w:hAnsi="Times New Roman" w:cs="Arial"/>
          <w:sz w:val="24"/>
        </w:rPr>
        <w:t>100 (Federal inspectors) x $107,630 (mean salary) x 0.10 (time) = $1,076,300.</w:t>
      </w:r>
    </w:p>
    <w:p w:rsidR="00824FE2" w:rsidRDefault="00824FE2" w14:paraId="6FA338A6" w14:textId="77777777">
      <w:pPr>
        <w:widowControl/>
        <w:rPr>
          <w:rFonts w:ascii="Times New Roman" w:hAnsi="Times New Roman"/>
          <w:sz w:val="24"/>
        </w:rPr>
      </w:pPr>
    </w:p>
    <w:p w:rsidR="00D35D8C" w:rsidP="006029D6" w:rsidRDefault="00D35D8C" w14:paraId="63C12CE4" w14:textId="77777777">
      <w:pPr>
        <w:widowControl/>
        <w:rPr>
          <w:rFonts w:ascii="Times New Roman" w:hAnsi="Times New Roman"/>
          <w:bCs/>
          <w:sz w:val="24"/>
        </w:rPr>
      </w:pPr>
    </w:p>
    <w:p w:rsidR="00E607C7" w:rsidP="006029D6" w:rsidRDefault="00824FE2" w14:paraId="04E418F3" w14:textId="77777777">
      <w:pPr>
        <w:widowControl/>
        <w:rPr>
          <w:rFonts w:ascii="Times New Roman" w:hAnsi="Times New Roman"/>
          <w:sz w:val="24"/>
        </w:rPr>
      </w:pPr>
      <w:r w:rsidRPr="006029D6">
        <w:rPr>
          <w:rFonts w:ascii="Times New Roman" w:hAnsi="Times New Roman"/>
          <w:bCs/>
          <w:sz w:val="24"/>
        </w:rPr>
        <w:t xml:space="preserve">15. </w:t>
      </w:r>
      <w:r w:rsidR="00E607C7">
        <w:rPr>
          <w:rFonts w:ascii="Times New Roman" w:hAnsi="Times New Roman"/>
          <w:bCs/>
          <w:sz w:val="24"/>
        </w:rPr>
        <w:tab/>
      </w:r>
      <w:r w:rsidRPr="006029D6">
        <w:rPr>
          <w:rFonts w:ascii="Times New Roman" w:hAnsi="Times New Roman"/>
          <w:bCs/>
          <w:sz w:val="24"/>
          <w:u w:val="single"/>
        </w:rPr>
        <w:t>Explanation of program changes or adjustments</w:t>
      </w:r>
      <w:r w:rsidR="006029D6">
        <w:rPr>
          <w:rFonts w:ascii="Times New Roman" w:hAnsi="Times New Roman"/>
          <w:bCs/>
          <w:sz w:val="24"/>
          <w:u w:val="single"/>
        </w:rPr>
        <w:t>.</w:t>
      </w:r>
      <w:r w:rsidRPr="006029D6" w:rsidR="006029D6">
        <w:rPr>
          <w:rFonts w:ascii="Times New Roman" w:hAnsi="Times New Roman"/>
          <w:sz w:val="24"/>
        </w:rPr>
        <w:t xml:space="preserve"> </w:t>
      </w:r>
      <w:r w:rsidR="006029D6">
        <w:rPr>
          <w:rFonts w:ascii="Times New Roman" w:hAnsi="Times New Roman"/>
          <w:sz w:val="24"/>
        </w:rPr>
        <w:t xml:space="preserve"> </w:t>
      </w:r>
    </w:p>
    <w:p w:rsidR="00E607C7" w:rsidP="006029D6" w:rsidRDefault="00E607C7" w14:paraId="3D9DC7E4" w14:textId="77777777">
      <w:pPr>
        <w:widowControl/>
        <w:rPr>
          <w:rFonts w:ascii="Times New Roman" w:hAnsi="Times New Roman"/>
          <w:sz w:val="24"/>
        </w:rPr>
      </w:pPr>
    </w:p>
    <w:p w:rsidRPr="00E607C7" w:rsidR="00E607C7" w:rsidP="00E607C7" w:rsidRDefault="00C57EF8" w14:paraId="690A56B5" w14:textId="19E4C106">
      <w:pPr>
        <w:widowControl/>
        <w:rPr>
          <w:rFonts w:ascii="Times New Roman" w:hAnsi="Times New Roman"/>
          <w:sz w:val="24"/>
        </w:rPr>
      </w:pPr>
      <w:r>
        <w:rPr>
          <w:rFonts w:ascii="Times New Roman" w:hAnsi="Times New Roman"/>
          <w:sz w:val="24"/>
        </w:rPr>
        <w:t>There is no change</w:t>
      </w:r>
      <w:r w:rsidR="009761DF">
        <w:rPr>
          <w:rFonts w:ascii="Times New Roman" w:hAnsi="Times New Roman"/>
          <w:sz w:val="24"/>
        </w:rPr>
        <w:t>.</w:t>
      </w:r>
    </w:p>
    <w:p w:rsidR="00824FE2" w:rsidRDefault="00824FE2" w14:paraId="4CAD58A3" w14:textId="77777777">
      <w:pPr>
        <w:widowControl/>
        <w:rPr>
          <w:rFonts w:ascii="Times New Roman" w:hAnsi="Times New Roman"/>
          <w:sz w:val="24"/>
        </w:rPr>
      </w:pPr>
    </w:p>
    <w:p w:rsidR="00E607C7" w:rsidRDefault="00824FE2" w14:paraId="312E3ADC" w14:textId="77777777">
      <w:pPr>
        <w:widowControl/>
        <w:rPr>
          <w:rFonts w:ascii="Times New Roman" w:hAnsi="Times New Roman"/>
          <w:sz w:val="24"/>
        </w:rPr>
      </w:pPr>
      <w:r w:rsidRPr="006029D6">
        <w:rPr>
          <w:rFonts w:ascii="Times New Roman" w:hAnsi="Times New Roman"/>
          <w:bCs/>
          <w:sz w:val="24"/>
        </w:rPr>
        <w:t xml:space="preserve">16. </w:t>
      </w:r>
      <w:r w:rsidR="00E607C7">
        <w:rPr>
          <w:rFonts w:ascii="Times New Roman" w:hAnsi="Times New Roman"/>
          <w:bCs/>
          <w:sz w:val="24"/>
        </w:rPr>
        <w:tab/>
      </w:r>
      <w:r w:rsidRPr="006029D6">
        <w:rPr>
          <w:rFonts w:ascii="Times New Roman" w:hAnsi="Times New Roman"/>
          <w:bCs/>
          <w:sz w:val="24"/>
          <w:u w:val="single"/>
        </w:rPr>
        <w:t>Publication of results of data collection</w:t>
      </w:r>
      <w:r w:rsidR="006029D6">
        <w:rPr>
          <w:rFonts w:ascii="Times New Roman" w:hAnsi="Times New Roman"/>
          <w:bCs/>
          <w:sz w:val="24"/>
        </w:rPr>
        <w:t>.</w:t>
      </w:r>
      <w:r w:rsidRPr="006029D6" w:rsidR="006029D6">
        <w:rPr>
          <w:rFonts w:ascii="Times New Roman" w:hAnsi="Times New Roman"/>
          <w:sz w:val="24"/>
        </w:rPr>
        <w:t xml:space="preserve"> </w:t>
      </w:r>
    </w:p>
    <w:p w:rsidR="00E607C7" w:rsidRDefault="00E607C7" w14:paraId="5594D500" w14:textId="77777777">
      <w:pPr>
        <w:widowControl/>
        <w:rPr>
          <w:rFonts w:ascii="Times New Roman" w:hAnsi="Times New Roman"/>
          <w:sz w:val="24"/>
        </w:rPr>
      </w:pPr>
    </w:p>
    <w:p w:rsidR="00824FE2" w:rsidRDefault="00594CCC" w14:paraId="49BC3AFD" w14:textId="77777777">
      <w:pPr>
        <w:widowControl/>
        <w:rPr>
          <w:rFonts w:ascii="Times New Roman" w:hAnsi="Times New Roman"/>
          <w:sz w:val="24"/>
        </w:rPr>
      </w:pPr>
      <w:r>
        <w:rPr>
          <w:rFonts w:ascii="Times New Roman" w:hAnsi="Times New Roman"/>
          <w:sz w:val="24"/>
        </w:rPr>
        <w:t>PHMSA has no plans to publicize this data.</w:t>
      </w:r>
    </w:p>
    <w:p w:rsidR="00594CCC" w:rsidP="006029D6" w:rsidRDefault="00594CCC" w14:paraId="552FDB85" w14:textId="77777777">
      <w:pPr>
        <w:widowControl/>
        <w:rPr>
          <w:rFonts w:ascii="Times New Roman" w:hAnsi="Times New Roman"/>
          <w:bCs/>
          <w:sz w:val="24"/>
        </w:rPr>
      </w:pPr>
    </w:p>
    <w:p w:rsidR="00E607C7" w:rsidP="006029D6" w:rsidRDefault="00824FE2" w14:paraId="28054E77" w14:textId="77777777">
      <w:pPr>
        <w:widowControl/>
        <w:rPr>
          <w:rFonts w:ascii="Times New Roman" w:hAnsi="Times New Roman"/>
          <w:sz w:val="24"/>
        </w:rPr>
      </w:pPr>
      <w:r w:rsidRPr="006029D6">
        <w:rPr>
          <w:rFonts w:ascii="Times New Roman" w:hAnsi="Times New Roman"/>
          <w:bCs/>
          <w:sz w:val="24"/>
        </w:rPr>
        <w:t xml:space="preserve">17. </w:t>
      </w:r>
      <w:r w:rsidR="00E607C7">
        <w:rPr>
          <w:rFonts w:ascii="Times New Roman" w:hAnsi="Times New Roman"/>
          <w:bCs/>
          <w:sz w:val="24"/>
        </w:rPr>
        <w:tab/>
      </w:r>
      <w:r w:rsidRPr="006029D6">
        <w:rPr>
          <w:rFonts w:ascii="Times New Roman" w:hAnsi="Times New Roman"/>
          <w:bCs/>
          <w:sz w:val="24"/>
          <w:u w:val="single"/>
        </w:rPr>
        <w:t xml:space="preserve">Approval for not </w:t>
      </w:r>
      <w:r w:rsidR="00E607C7">
        <w:rPr>
          <w:rFonts w:ascii="Times New Roman" w:hAnsi="Times New Roman"/>
          <w:bCs/>
          <w:sz w:val="24"/>
          <w:u w:val="single"/>
        </w:rPr>
        <w:t xml:space="preserve">displaying </w:t>
      </w:r>
      <w:r w:rsidRPr="006029D6">
        <w:rPr>
          <w:rFonts w:ascii="Times New Roman" w:hAnsi="Times New Roman"/>
          <w:bCs/>
          <w:sz w:val="24"/>
          <w:u w:val="single"/>
        </w:rPr>
        <w:t>the expiration date o</w:t>
      </w:r>
      <w:r w:rsidR="006029D6">
        <w:rPr>
          <w:rFonts w:ascii="Times New Roman" w:hAnsi="Times New Roman"/>
          <w:bCs/>
          <w:sz w:val="24"/>
          <w:u w:val="single"/>
        </w:rPr>
        <w:t>f</w:t>
      </w:r>
      <w:r w:rsidRPr="006029D6">
        <w:rPr>
          <w:rFonts w:ascii="Times New Roman" w:hAnsi="Times New Roman"/>
          <w:bCs/>
          <w:sz w:val="24"/>
          <w:u w:val="single"/>
        </w:rPr>
        <w:t xml:space="preserve"> OMB approval</w:t>
      </w:r>
      <w:r w:rsidR="006029D6">
        <w:rPr>
          <w:rFonts w:ascii="Times New Roman" w:hAnsi="Times New Roman"/>
          <w:b/>
          <w:bCs/>
          <w:sz w:val="24"/>
        </w:rPr>
        <w:t>.</w:t>
      </w:r>
      <w:r w:rsidRPr="006029D6" w:rsidR="006029D6">
        <w:rPr>
          <w:rFonts w:ascii="Times New Roman" w:hAnsi="Times New Roman"/>
          <w:sz w:val="24"/>
        </w:rPr>
        <w:t xml:space="preserve"> </w:t>
      </w:r>
    </w:p>
    <w:p w:rsidR="00E607C7" w:rsidP="006029D6" w:rsidRDefault="00E607C7" w14:paraId="6E9FFA34" w14:textId="77777777">
      <w:pPr>
        <w:widowControl/>
        <w:rPr>
          <w:rFonts w:ascii="Times New Roman" w:hAnsi="Times New Roman"/>
          <w:sz w:val="24"/>
        </w:rPr>
      </w:pPr>
    </w:p>
    <w:p w:rsidR="006029D6" w:rsidP="006029D6" w:rsidRDefault="006029D6" w14:paraId="0A4E87F7" w14:textId="77777777">
      <w:pPr>
        <w:widowControl/>
        <w:rPr>
          <w:rFonts w:ascii="Times New Roman" w:hAnsi="Times New Roman"/>
          <w:sz w:val="24"/>
        </w:rPr>
      </w:pPr>
      <w:r>
        <w:rPr>
          <w:rFonts w:ascii="Times New Roman" w:hAnsi="Times New Roman"/>
          <w:sz w:val="24"/>
        </w:rPr>
        <w:t>PHMSA is not seeking such approval.</w:t>
      </w:r>
    </w:p>
    <w:p w:rsidR="00824FE2" w:rsidRDefault="00824FE2" w14:paraId="01C2D7F1" w14:textId="77777777">
      <w:pPr>
        <w:widowControl/>
        <w:rPr>
          <w:rFonts w:ascii="Times New Roman" w:hAnsi="Times New Roman"/>
          <w:b/>
          <w:bCs/>
          <w:sz w:val="24"/>
        </w:rPr>
      </w:pPr>
    </w:p>
    <w:p w:rsidR="00E607C7" w:rsidP="006029D6" w:rsidRDefault="00824FE2" w14:paraId="2AE2D76C" w14:textId="77777777">
      <w:pPr>
        <w:widowControl/>
        <w:rPr>
          <w:rFonts w:ascii="Times New Roman" w:hAnsi="Times New Roman"/>
          <w:bCs/>
          <w:sz w:val="24"/>
        </w:rPr>
      </w:pPr>
      <w:r w:rsidRPr="006029D6">
        <w:rPr>
          <w:rFonts w:ascii="Times New Roman" w:hAnsi="Times New Roman"/>
          <w:bCs/>
          <w:sz w:val="24"/>
        </w:rPr>
        <w:t xml:space="preserve">18. </w:t>
      </w:r>
      <w:r w:rsidR="00E607C7">
        <w:rPr>
          <w:rFonts w:ascii="Times New Roman" w:hAnsi="Times New Roman"/>
          <w:bCs/>
          <w:sz w:val="24"/>
        </w:rPr>
        <w:tab/>
      </w:r>
      <w:r w:rsidRPr="006029D6">
        <w:rPr>
          <w:rFonts w:ascii="Times New Roman" w:hAnsi="Times New Roman"/>
          <w:bCs/>
          <w:sz w:val="24"/>
          <w:u w:val="single"/>
        </w:rPr>
        <w:t>Exceptions to certification statement</w:t>
      </w:r>
      <w:r w:rsidR="006029D6">
        <w:rPr>
          <w:rFonts w:ascii="Times New Roman" w:hAnsi="Times New Roman"/>
          <w:b/>
          <w:bCs/>
          <w:sz w:val="24"/>
        </w:rPr>
        <w:t>.</w:t>
      </w:r>
      <w:r w:rsidRPr="006029D6" w:rsidR="006029D6">
        <w:rPr>
          <w:rFonts w:ascii="Times New Roman" w:hAnsi="Times New Roman"/>
          <w:bCs/>
          <w:sz w:val="24"/>
        </w:rPr>
        <w:t xml:space="preserve"> </w:t>
      </w:r>
    </w:p>
    <w:p w:rsidR="00E607C7" w:rsidP="006029D6" w:rsidRDefault="00E607C7" w14:paraId="5B6F1DC8" w14:textId="77777777">
      <w:pPr>
        <w:widowControl/>
        <w:rPr>
          <w:rFonts w:ascii="Times New Roman" w:hAnsi="Times New Roman"/>
          <w:bCs/>
          <w:sz w:val="24"/>
        </w:rPr>
      </w:pPr>
    </w:p>
    <w:p w:rsidRPr="00E607C7" w:rsidR="00E607C7" w:rsidP="00E607C7" w:rsidRDefault="00E607C7" w14:paraId="50D66071" w14:textId="77777777">
      <w:pPr>
        <w:widowControl/>
        <w:rPr>
          <w:rFonts w:ascii="Times New Roman" w:hAnsi="Times New Roman"/>
          <w:bCs/>
          <w:sz w:val="24"/>
        </w:rPr>
      </w:pPr>
      <w:r w:rsidRPr="00E607C7">
        <w:rPr>
          <w:rFonts w:ascii="Times New Roman" w:hAnsi="Times New Roman"/>
          <w:bCs/>
          <w:sz w:val="24"/>
        </w:rPr>
        <w:t>There is no exception to PHMSA’s certification of this request for information collection approval.</w:t>
      </w:r>
    </w:p>
    <w:p w:rsidR="00D7341E" w:rsidP="00D7341E" w:rsidRDefault="00D7341E" w14:paraId="4B3EA046" w14:textId="77777777">
      <w:pPr>
        <w:widowControl/>
        <w:rPr>
          <w:rFonts w:ascii="Times New Roman" w:hAnsi="Times New Roman"/>
          <w:bCs/>
          <w:sz w:val="24"/>
          <w:u w:val="single"/>
        </w:rPr>
      </w:pPr>
    </w:p>
    <w:sectPr w:rsidR="00D7341E" w:rsidSect="00073395">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DB1D8" w14:textId="77777777" w:rsidR="001F5E4C" w:rsidRDefault="001F5E4C">
      <w:r>
        <w:separator/>
      </w:r>
    </w:p>
  </w:endnote>
  <w:endnote w:type="continuationSeparator" w:id="0">
    <w:p w14:paraId="1A27B5F4" w14:textId="77777777" w:rsidR="001F5E4C" w:rsidRDefault="001F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D5155" w14:textId="77777777" w:rsidR="001F5E4C" w:rsidRDefault="001F5E4C">
    <w:pPr>
      <w:spacing w:line="240" w:lineRule="exact"/>
    </w:pPr>
  </w:p>
  <w:p w14:paraId="5AF600A5" w14:textId="77777777" w:rsidR="001F5E4C" w:rsidRDefault="001F5E4C">
    <w:pPr>
      <w:tabs>
        <w:tab w:val="center" w:pos="4536"/>
        <w:tab w:val="right" w:pos="9216"/>
      </w:tabs>
      <w:ind w:left="-144" w:right="144"/>
      <w:rPr>
        <w:rFonts w:ascii="Times New Roman" w:hAnsi="Times New Roman"/>
        <w:sz w:val="24"/>
      </w:rPr>
    </w:pPr>
    <w:r>
      <w:rPr>
        <w:rFonts w:ascii="Times New Roman" w:hAnsi="Times New Roman"/>
        <w:sz w:val="24"/>
      </w:rPr>
      <w:tab/>
    </w:r>
    <w:r w:rsidR="00F40DED">
      <w:rPr>
        <w:rFonts w:ascii="Times New Roman" w:hAnsi="Times New Roman"/>
        <w:sz w:val="24"/>
      </w:rPr>
      <w:fldChar w:fldCharType="begin"/>
    </w:r>
    <w:r>
      <w:rPr>
        <w:rFonts w:ascii="Times New Roman" w:hAnsi="Times New Roman"/>
        <w:sz w:val="24"/>
      </w:rPr>
      <w:instrText xml:space="preserve">PAGE </w:instrText>
    </w:r>
    <w:r w:rsidR="00F40DED">
      <w:rPr>
        <w:rFonts w:ascii="Times New Roman" w:hAnsi="Times New Roman"/>
        <w:sz w:val="24"/>
      </w:rPr>
      <w:fldChar w:fldCharType="separate"/>
    </w:r>
    <w:r w:rsidR="00C353FD">
      <w:rPr>
        <w:rFonts w:ascii="Times New Roman" w:hAnsi="Times New Roman"/>
        <w:noProof/>
        <w:sz w:val="24"/>
      </w:rPr>
      <w:t>1</w:t>
    </w:r>
    <w:r w:rsidR="00F40DED">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7735F" w14:textId="77777777" w:rsidR="001F5E4C" w:rsidRDefault="001F5E4C">
      <w:r>
        <w:separator/>
      </w:r>
    </w:p>
  </w:footnote>
  <w:footnote w:type="continuationSeparator" w:id="0">
    <w:p w14:paraId="2AFCA0BD" w14:textId="77777777" w:rsidR="001F5E4C" w:rsidRDefault="001F5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6598C"/>
    <w:multiLevelType w:val="hybridMultilevel"/>
    <w:tmpl w:val="BB0E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D7365"/>
    <w:multiLevelType w:val="hybridMultilevel"/>
    <w:tmpl w:val="8022106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1CCC63A0"/>
    <w:multiLevelType w:val="hybridMultilevel"/>
    <w:tmpl w:val="56DA616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9"/>
  </w:num>
  <w:num w:numId="3">
    <w:abstractNumId w:val="8"/>
  </w:num>
  <w:num w:numId="4">
    <w:abstractNumId w:val="10"/>
  </w:num>
  <w:num w:numId="5">
    <w:abstractNumId w:val="7"/>
  </w:num>
  <w:num w:numId="6">
    <w:abstractNumId w:val="5"/>
  </w:num>
  <w:num w:numId="7">
    <w:abstractNumId w:val="3"/>
  </w:num>
  <w:num w:numId="8">
    <w:abstractNumId w:val="4"/>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81"/>
    <w:rsid w:val="00012156"/>
    <w:rsid w:val="000128D3"/>
    <w:rsid w:val="00043265"/>
    <w:rsid w:val="00073395"/>
    <w:rsid w:val="000E2F3A"/>
    <w:rsid w:val="001346CC"/>
    <w:rsid w:val="00152FD1"/>
    <w:rsid w:val="00162B04"/>
    <w:rsid w:val="001726CC"/>
    <w:rsid w:val="001736EE"/>
    <w:rsid w:val="001F28A9"/>
    <w:rsid w:val="001F5E4C"/>
    <w:rsid w:val="00210F26"/>
    <w:rsid w:val="00240570"/>
    <w:rsid w:val="002505FE"/>
    <w:rsid w:val="002B5447"/>
    <w:rsid w:val="00375C81"/>
    <w:rsid w:val="00384F02"/>
    <w:rsid w:val="003A6783"/>
    <w:rsid w:val="003F05B7"/>
    <w:rsid w:val="004C4749"/>
    <w:rsid w:val="004C7C86"/>
    <w:rsid w:val="004F07C9"/>
    <w:rsid w:val="004F08D3"/>
    <w:rsid w:val="0052575F"/>
    <w:rsid w:val="00526CF5"/>
    <w:rsid w:val="0056504F"/>
    <w:rsid w:val="00594CCC"/>
    <w:rsid w:val="005F5B24"/>
    <w:rsid w:val="006029D6"/>
    <w:rsid w:val="0064058E"/>
    <w:rsid w:val="00656D9E"/>
    <w:rsid w:val="006A13B5"/>
    <w:rsid w:val="00740ED6"/>
    <w:rsid w:val="00751D10"/>
    <w:rsid w:val="0077076E"/>
    <w:rsid w:val="00784467"/>
    <w:rsid w:val="007D4BC6"/>
    <w:rsid w:val="007D7212"/>
    <w:rsid w:val="00800A56"/>
    <w:rsid w:val="00824FE2"/>
    <w:rsid w:val="008B74EA"/>
    <w:rsid w:val="008B7BF9"/>
    <w:rsid w:val="008F20A9"/>
    <w:rsid w:val="009761DF"/>
    <w:rsid w:val="009B2EDE"/>
    <w:rsid w:val="009C3DE3"/>
    <w:rsid w:val="009D2996"/>
    <w:rsid w:val="009F69F6"/>
    <w:rsid w:val="00A62C5E"/>
    <w:rsid w:val="00A80B9A"/>
    <w:rsid w:val="00A852D5"/>
    <w:rsid w:val="00AA397F"/>
    <w:rsid w:val="00AB20C4"/>
    <w:rsid w:val="00AD1E0A"/>
    <w:rsid w:val="00B142AD"/>
    <w:rsid w:val="00B16384"/>
    <w:rsid w:val="00B649C6"/>
    <w:rsid w:val="00BA3243"/>
    <w:rsid w:val="00BC1454"/>
    <w:rsid w:val="00BF6C42"/>
    <w:rsid w:val="00C353FD"/>
    <w:rsid w:val="00C57EF8"/>
    <w:rsid w:val="00CA4074"/>
    <w:rsid w:val="00CE69A5"/>
    <w:rsid w:val="00D35D8C"/>
    <w:rsid w:val="00D7341E"/>
    <w:rsid w:val="00E003F8"/>
    <w:rsid w:val="00E01262"/>
    <w:rsid w:val="00E56F1C"/>
    <w:rsid w:val="00E607C7"/>
    <w:rsid w:val="00E94FAC"/>
    <w:rsid w:val="00F40DED"/>
    <w:rsid w:val="00F6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F2DDB"/>
  <w15:docId w15:val="{EB6453FB-FEF4-44CC-B24C-08B52F7F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395"/>
    <w:pPr>
      <w:widowControl w:val="0"/>
      <w:autoSpaceDE w:val="0"/>
      <w:autoSpaceDN w:val="0"/>
      <w:adjustRightInd w:val="0"/>
    </w:pPr>
    <w:rPr>
      <w:rFonts w:ascii="Courier" w:hAnsi="Courier"/>
      <w:szCs w:val="24"/>
    </w:rPr>
  </w:style>
  <w:style w:type="paragraph" w:styleId="Heading1">
    <w:name w:val="heading 1"/>
    <w:basedOn w:val="Normal"/>
    <w:next w:val="Normal"/>
    <w:qFormat/>
    <w:rsid w:val="00073395"/>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395"/>
  </w:style>
  <w:style w:type="paragraph" w:styleId="BodyText">
    <w:name w:val="Body Text"/>
    <w:basedOn w:val="Normal"/>
    <w:rsid w:val="00073395"/>
    <w:rPr>
      <w:rFonts w:ascii="Arial" w:hAnsi="Arial" w:cs="Arial"/>
      <w:sz w:val="24"/>
    </w:rPr>
  </w:style>
  <w:style w:type="paragraph" w:styleId="FootnoteText">
    <w:name w:val="footnote text"/>
    <w:basedOn w:val="Normal"/>
    <w:semiHidden/>
    <w:rsid w:val="00073395"/>
    <w:pPr>
      <w:widowControl/>
      <w:autoSpaceDE/>
      <w:autoSpaceDN/>
      <w:adjustRightInd/>
    </w:pPr>
    <w:rPr>
      <w:rFonts w:ascii="Times New Roman" w:hAnsi="Times New Roman"/>
      <w:szCs w:val="20"/>
    </w:rPr>
  </w:style>
  <w:style w:type="character" w:styleId="Hyperlink">
    <w:name w:val="Hyperlink"/>
    <w:basedOn w:val="DefaultParagraphFont"/>
    <w:rsid w:val="00073395"/>
    <w:rPr>
      <w:color w:val="0000FF"/>
      <w:u w:val="single"/>
    </w:rPr>
  </w:style>
  <w:style w:type="paragraph" w:styleId="BalloonText">
    <w:name w:val="Balloon Text"/>
    <w:basedOn w:val="Normal"/>
    <w:semiHidden/>
    <w:rsid w:val="009C3DE3"/>
    <w:rPr>
      <w:rFonts w:ascii="Tahoma" w:hAnsi="Tahoma" w:cs="Tahoma"/>
      <w:sz w:val="16"/>
      <w:szCs w:val="16"/>
    </w:rPr>
  </w:style>
  <w:style w:type="character" w:styleId="CommentReference">
    <w:name w:val="annotation reference"/>
    <w:basedOn w:val="DefaultParagraphFont"/>
    <w:semiHidden/>
    <w:rsid w:val="009C3DE3"/>
    <w:rPr>
      <w:sz w:val="16"/>
      <w:szCs w:val="16"/>
    </w:rPr>
  </w:style>
  <w:style w:type="paragraph" w:styleId="CommentText">
    <w:name w:val="annotation text"/>
    <w:basedOn w:val="Normal"/>
    <w:semiHidden/>
    <w:rsid w:val="009C3DE3"/>
    <w:rPr>
      <w:szCs w:val="20"/>
    </w:rPr>
  </w:style>
  <w:style w:type="paragraph" w:styleId="CommentSubject">
    <w:name w:val="annotation subject"/>
    <w:basedOn w:val="CommentText"/>
    <w:next w:val="CommentText"/>
    <w:semiHidden/>
    <w:rsid w:val="009C3DE3"/>
    <w:rPr>
      <w:b/>
      <w:bCs/>
    </w:rPr>
  </w:style>
  <w:style w:type="character" w:styleId="FollowedHyperlink">
    <w:name w:val="FollowedHyperlink"/>
    <w:basedOn w:val="DefaultParagraphFont"/>
    <w:rsid w:val="007D7212"/>
    <w:rPr>
      <w:color w:val="800080" w:themeColor="followedHyperlink"/>
      <w:u w:val="single"/>
    </w:rPr>
  </w:style>
  <w:style w:type="paragraph" w:styleId="ListParagraph">
    <w:name w:val="List Paragraph"/>
    <w:basedOn w:val="Normal"/>
    <w:uiPriority w:val="34"/>
    <w:qFormat/>
    <w:rsid w:val="005F5B24"/>
    <w:pPr>
      <w:ind w:left="720"/>
      <w:contextualSpacing/>
    </w:pPr>
  </w:style>
  <w:style w:type="paragraph" w:styleId="NormalWeb">
    <w:name w:val="Normal (Web)"/>
    <w:basedOn w:val="Normal"/>
    <w:uiPriority w:val="99"/>
    <w:unhideWhenUsed/>
    <w:rsid w:val="005F5B24"/>
    <w:pPr>
      <w:widowControl/>
      <w:autoSpaceDE/>
      <w:autoSpaceDN/>
      <w:adjustRightInd/>
      <w:spacing w:before="100" w:beforeAutospacing="1" w:after="100" w:afterAutospacing="1"/>
      <w:ind w:firstLine="480"/>
    </w:pPr>
    <w:rPr>
      <w:rFonts w:ascii="Times New Roman" w:hAnsi="Times New Roman"/>
      <w:sz w:val="24"/>
    </w:rPr>
  </w:style>
  <w:style w:type="table" w:styleId="TableGrid">
    <w:name w:val="Table Grid"/>
    <w:basedOn w:val="TableNormal"/>
    <w:rsid w:val="00A8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8795">
      <w:bodyDiv w:val="1"/>
      <w:marLeft w:val="0"/>
      <w:marRight w:val="0"/>
      <w:marTop w:val="30"/>
      <w:marBottom w:val="750"/>
      <w:divBdr>
        <w:top w:val="none" w:sz="0" w:space="0" w:color="auto"/>
        <w:left w:val="none" w:sz="0" w:space="0" w:color="auto"/>
        <w:bottom w:val="none" w:sz="0" w:space="0" w:color="auto"/>
        <w:right w:val="none" w:sz="0" w:space="0" w:color="auto"/>
      </w:divBdr>
      <w:divsChild>
        <w:div w:id="1789426134">
          <w:marLeft w:val="0"/>
          <w:marRight w:val="0"/>
          <w:marTop w:val="0"/>
          <w:marBottom w:val="0"/>
          <w:divBdr>
            <w:top w:val="none" w:sz="0" w:space="0" w:color="auto"/>
            <w:left w:val="none" w:sz="0" w:space="0" w:color="auto"/>
            <w:bottom w:val="none" w:sz="0" w:space="0" w:color="auto"/>
            <w:right w:val="none" w:sz="0" w:space="0" w:color="auto"/>
          </w:divBdr>
        </w:div>
      </w:divsChild>
    </w:div>
    <w:div w:id="512963739">
      <w:bodyDiv w:val="1"/>
      <w:marLeft w:val="0"/>
      <w:marRight w:val="0"/>
      <w:marTop w:val="30"/>
      <w:marBottom w:val="750"/>
      <w:divBdr>
        <w:top w:val="none" w:sz="0" w:space="0" w:color="auto"/>
        <w:left w:val="none" w:sz="0" w:space="0" w:color="auto"/>
        <w:bottom w:val="none" w:sz="0" w:space="0" w:color="auto"/>
        <w:right w:val="none" w:sz="0" w:space="0" w:color="auto"/>
      </w:divBdr>
      <w:divsChild>
        <w:div w:id="23139998">
          <w:marLeft w:val="0"/>
          <w:marRight w:val="0"/>
          <w:marTop w:val="0"/>
          <w:marBottom w:val="0"/>
          <w:divBdr>
            <w:top w:val="none" w:sz="0" w:space="0" w:color="auto"/>
            <w:left w:val="none" w:sz="0" w:space="0" w:color="auto"/>
            <w:bottom w:val="none" w:sz="0" w:space="0" w:color="auto"/>
            <w:right w:val="none" w:sz="0" w:space="0" w:color="auto"/>
          </w:divBdr>
        </w:div>
      </w:divsChild>
    </w:div>
    <w:div w:id="930814927">
      <w:bodyDiv w:val="1"/>
      <w:marLeft w:val="0"/>
      <w:marRight w:val="0"/>
      <w:marTop w:val="0"/>
      <w:marBottom w:val="0"/>
      <w:divBdr>
        <w:top w:val="none" w:sz="0" w:space="0" w:color="auto"/>
        <w:left w:val="none" w:sz="0" w:space="0" w:color="auto"/>
        <w:bottom w:val="none" w:sz="0" w:space="0" w:color="auto"/>
        <w:right w:val="none" w:sz="0" w:space="0" w:color="auto"/>
      </w:divBdr>
    </w:div>
    <w:div w:id="1115830171">
      <w:bodyDiv w:val="1"/>
      <w:marLeft w:val="0"/>
      <w:marRight w:val="0"/>
      <w:marTop w:val="30"/>
      <w:marBottom w:val="750"/>
      <w:divBdr>
        <w:top w:val="none" w:sz="0" w:space="0" w:color="auto"/>
        <w:left w:val="none" w:sz="0" w:space="0" w:color="auto"/>
        <w:bottom w:val="none" w:sz="0" w:space="0" w:color="auto"/>
        <w:right w:val="none" w:sz="0" w:space="0" w:color="auto"/>
      </w:divBdr>
      <w:divsChild>
        <w:div w:id="840849593">
          <w:marLeft w:val="0"/>
          <w:marRight w:val="0"/>
          <w:marTop w:val="0"/>
          <w:marBottom w:val="0"/>
          <w:divBdr>
            <w:top w:val="none" w:sz="0" w:space="0" w:color="auto"/>
            <w:left w:val="none" w:sz="0" w:space="0" w:color="auto"/>
            <w:bottom w:val="none" w:sz="0" w:space="0" w:color="auto"/>
            <w:right w:val="none" w:sz="0" w:space="0" w:color="auto"/>
          </w:divBdr>
        </w:div>
      </w:divsChild>
    </w:div>
    <w:div w:id="1369522708">
      <w:bodyDiv w:val="1"/>
      <w:marLeft w:val="0"/>
      <w:marRight w:val="0"/>
      <w:marTop w:val="30"/>
      <w:marBottom w:val="750"/>
      <w:divBdr>
        <w:top w:val="none" w:sz="0" w:space="0" w:color="auto"/>
        <w:left w:val="none" w:sz="0" w:space="0" w:color="auto"/>
        <w:bottom w:val="none" w:sz="0" w:space="0" w:color="auto"/>
        <w:right w:val="none" w:sz="0" w:space="0" w:color="auto"/>
      </w:divBdr>
      <w:divsChild>
        <w:div w:id="11182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1382</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9342</CharactersWithSpaces>
  <SharedDoc>false</SharedDoc>
  <HLinks>
    <vt:vector size="6" baseType="variant">
      <vt:variant>
        <vt:i4>3997709</vt:i4>
      </vt:variant>
      <vt:variant>
        <vt:i4>0</vt:i4>
      </vt:variant>
      <vt:variant>
        <vt:i4>0</vt:i4>
      </vt:variant>
      <vt:variant>
        <vt:i4>5</vt:i4>
      </vt:variant>
      <vt:variant>
        <vt:lpwstr>http://bls.gov/oes/current/naics3_486000.htm</vt:lpwstr>
      </vt:variant>
      <vt:variant>
        <vt:lpwstr>b11-0000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Hill, Angela (PHMSA)</cp:lastModifiedBy>
  <cp:revision>3</cp:revision>
  <cp:lastPrinted>2002-11-21T19:50:00Z</cp:lastPrinted>
  <dcterms:created xsi:type="dcterms:W3CDTF">2021-08-26T13:55:00Z</dcterms:created>
  <dcterms:modified xsi:type="dcterms:W3CDTF">2021-08-26T13:59:00Z</dcterms:modified>
</cp:coreProperties>
</file>