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0248" w:rsidR="00560248" w:rsidP="00560248" w:rsidRDefault="00560248" w14:paraId="4B2104B1" w14:textId="77777777">
      <w:pPr>
        <w:autoSpaceDE w:val="0"/>
        <w:autoSpaceDN w:val="0"/>
        <w:adjustRightInd w:val="0"/>
        <w:jc w:val="center"/>
        <w:rPr>
          <w:b/>
          <w:bCs/>
          <w:sz w:val="28"/>
          <w:szCs w:val="28"/>
        </w:rPr>
      </w:pPr>
    </w:p>
    <w:p w:rsidRPr="00560248" w:rsidR="00560248" w:rsidP="00560248" w:rsidRDefault="00560248" w14:paraId="4CBDD770" w14:textId="77777777">
      <w:pPr>
        <w:autoSpaceDE w:val="0"/>
        <w:autoSpaceDN w:val="0"/>
        <w:adjustRightInd w:val="0"/>
        <w:jc w:val="center"/>
        <w:rPr>
          <w:b/>
          <w:bCs/>
          <w:sz w:val="28"/>
          <w:szCs w:val="28"/>
        </w:rPr>
      </w:pPr>
    </w:p>
    <w:p w:rsidRPr="00560248" w:rsidR="00560248" w:rsidP="00560248" w:rsidRDefault="00560248" w14:paraId="29FEB510" w14:textId="77777777">
      <w:pPr>
        <w:autoSpaceDE w:val="0"/>
        <w:autoSpaceDN w:val="0"/>
        <w:adjustRightInd w:val="0"/>
        <w:jc w:val="center"/>
        <w:rPr>
          <w:b/>
          <w:bCs/>
          <w:sz w:val="28"/>
          <w:szCs w:val="28"/>
        </w:rPr>
      </w:pPr>
    </w:p>
    <w:p w:rsidRPr="00560248" w:rsidR="00560248" w:rsidP="00560248" w:rsidRDefault="00560248" w14:paraId="2B74E455" w14:textId="77777777">
      <w:pPr>
        <w:autoSpaceDE w:val="0"/>
        <w:autoSpaceDN w:val="0"/>
        <w:adjustRightInd w:val="0"/>
        <w:jc w:val="center"/>
        <w:rPr>
          <w:b/>
          <w:bCs/>
          <w:sz w:val="28"/>
          <w:szCs w:val="28"/>
        </w:rPr>
      </w:pPr>
    </w:p>
    <w:p w:rsidRPr="00560248" w:rsidR="00560248" w:rsidP="00560248" w:rsidRDefault="00560248" w14:paraId="3E68493A" w14:textId="77777777">
      <w:pPr>
        <w:autoSpaceDE w:val="0"/>
        <w:autoSpaceDN w:val="0"/>
        <w:adjustRightInd w:val="0"/>
        <w:jc w:val="center"/>
        <w:rPr>
          <w:b/>
          <w:bCs/>
          <w:sz w:val="28"/>
          <w:szCs w:val="28"/>
        </w:rPr>
      </w:pPr>
    </w:p>
    <w:p w:rsidRPr="00560248" w:rsidR="00560248" w:rsidP="00560248" w:rsidRDefault="00560248" w14:paraId="41CE0053" w14:textId="77777777">
      <w:pPr>
        <w:autoSpaceDE w:val="0"/>
        <w:autoSpaceDN w:val="0"/>
        <w:adjustRightInd w:val="0"/>
        <w:jc w:val="center"/>
        <w:rPr>
          <w:b/>
          <w:bCs/>
          <w:sz w:val="28"/>
          <w:szCs w:val="28"/>
        </w:rPr>
      </w:pPr>
    </w:p>
    <w:p w:rsidRPr="00560248" w:rsidR="00560248" w:rsidP="00560248" w:rsidRDefault="00560248" w14:paraId="16EF4A38" w14:textId="77777777">
      <w:pPr>
        <w:autoSpaceDE w:val="0"/>
        <w:autoSpaceDN w:val="0"/>
        <w:adjustRightInd w:val="0"/>
        <w:jc w:val="center"/>
        <w:rPr>
          <w:b/>
          <w:bCs/>
          <w:sz w:val="28"/>
          <w:szCs w:val="28"/>
        </w:rPr>
      </w:pPr>
    </w:p>
    <w:p w:rsidRPr="00560248" w:rsidR="00560248" w:rsidP="00560248" w:rsidRDefault="00560248" w14:paraId="74FF068E" w14:textId="77777777">
      <w:pPr>
        <w:autoSpaceDE w:val="0"/>
        <w:autoSpaceDN w:val="0"/>
        <w:adjustRightInd w:val="0"/>
        <w:jc w:val="center"/>
        <w:rPr>
          <w:b/>
          <w:bCs/>
          <w:sz w:val="28"/>
          <w:szCs w:val="28"/>
        </w:rPr>
      </w:pPr>
    </w:p>
    <w:p w:rsidRPr="00560248" w:rsidR="00560248" w:rsidP="00560248" w:rsidRDefault="00560248" w14:paraId="76AB68F9" w14:textId="77777777">
      <w:pPr>
        <w:autoSpaceDE w:val="0"/>
        <w:autoSpaceDN w:val="0"/>
        <w:adjustRightInd w:val="0"/>
        <w:jc w:val="center"/>
        <w:rPr>
          <w:b/>
          <w:bCs/>
          <w:sz w:val="28"/>
          <w:szCs w:val="28"/>
        </w:rPr>
      </w:pPr>
    </w:p>
    <w:p w:rsidRPr="00560248" w:rsidR="00560248" w:rsidP="00560248" w:rsidRDefault="00560248" w14:paraId="28E70E2C" w14:textId="77777777">
      <w:pPr>
        <w:autoSpaceDE w:val="0"/>
        <w:autoSpaceDN w:val="0"/>
        <w:adjustRightInd w:val="0"/>
        <w:jc w:val="center"/>
        <w:rPr>
          <w:b/>
          <w:bCs/>
          <w:sz w:val="28"/>
          <w:szCs w:val="28"/>
        </w:rPr>
      </w:pPr>
    </w:p>
    <w:p w:rsidRPr="00560248" w:rsidR="00560248" w:rsidP="00560248" w:rsidRDefault="00560248" w14:paraId="43176F3F" w14:textId="77777777">
      <w:pPr>
        <w:autoSpaceDE w:val="0"/>
        <w:autoSpaceDN w:val="0"/>
        <w:adjustRightInd w:val="0"/>
        <w:jc w:val="center"/>
        <w:rPr>
          <w:b/>
          <w:bCs/>
          <w:sz w:val="28"/>
          <w:szCs w:val="28"/>
        </w:rPr>
      </w:pPr>
    </w:p>
    <w:p w:rsidRPr="00560248" w:rsidR="00560248" w:rsidP="00560248" w:rsidRDefault="00560248" w14:paraId="7513A5BD" w14:textId="77777777">
      <w:pPr>
        <w:autoSpaceDE w:val="0"/>
        <w:autoSpaceDN w:val="0"/>
        <w:adjustRightInd w:val="0"/>
        <w:jc w:val="center"/>
        <w:rPr>
          <w:b/>
          <w:bCs/>
          <w:sz w:val="28"/>
          <w:szCs w:val="28"/>
        </w:rPr>
      </w:pPr>
    </w:p>
    <w:p w:rsidRPr="00560248" w:rsidR="00560248" w:rsidP="00560248" w:rsidRDefault="00560248" w14:paraId="0DCA4C68" w14:textId="77777777">
      <w:pPr>
        <w:autoSpaceDE w:val="0"/>
        <w:autoSpaceDN w:val="0"/>
        <w:adjustRightInd w:val="0"/>
        <w:jc w:val="center"/>
        <w:rPr>
          <w:b/>
          <w:bCs/>
          <w:sz w:val="28"/>
          <w:szCs w:val="28"/>
        </w:rPr>
      </w:pPr>
    </w:p>
    <w:p w:rsidRPr="00560248" w:rsidR="00560248" w:rsidP="00560248" w:rsidRDefault="00560248" w14:paraId="24E1F84A" w14:textId="77777777">
      <w:pPr>
        <w:autoSpaceDE w:val="0"/>
        <w:autoSpaceDN w:val="0"/>
        <w:adjustRightInd w:val="0"/>
        <w:jc w:val="center"/>
        <w:rPr>
          <w:b/>
          <w:bCs/>
          <w:sz w:val="28"/>
          <w:szCs w:val="28"/>
        </w:rPr>
      </w:pPr>
      <w:r w:rsidRPr="00560248">
        <w:rPr>
          <w:b/>
          <w:bCs/>
          <w:sz w:val="28"/>
          <w:szCs w:val="28"/>
        </w:rPr>
        <w:t>SUPPORTING STATEMENT FOR</w:t>
      </w:r>
    </w:p>
    <w:p w:rsidRPr="00560248" w:rsidR="00560248" w:rsidP="00560248" w:rsidRDefault="00560248" w14:paraId="0BFF05CE" w14:textId="6F19F60F">
      <w:pPr>
        <w:autoSpaceDE w:val="0"/>
        <w:autoSpaceDN w:val="0"/>
        <w:adjustRightInd w:val="0"/>
        <w:jc w:val="center"/>
        <w:rPr>
          <w:b/>
          <w:bCs/>
          <w:sz w:val="28"/>
          <w:szCs w:val="28"/>
        </w:rPr>
      </w:pPr>
      <w:r w:rsidRPr="00560248">
        <w:rPr>
          <w:b/>
          <w:bCs/>
          <w:sz w:val="28"/>
          <w:szCs w:val="28"/>
        </w:rPr>
        <w:t>EPA INFORMATION COLLECTION REQUEST NUMBER 2</w:t>
      </w:r>
      <w:r w:rsidR="00F3605F">
        <w:rPr>
          <w:b/>
          <w:bCs/>
          <w:sz w:val="28"/>
          <w:szCs w:val="28"/>
        </w:rPr>
        <w:t>2</w:t>
      </w:r>
      <w:r w:rsidRPr="00560248">
        <w:rPr>
          <w:b/>
          <w:bCs/>
          <w:sz w:val="28"/>
          <w:szCs w:val="28"/>
        </w:rPr>
        <w:t>0</w:t>
      </w:r>
      <w:r>
        <w:rPr>
          <w:b/>
          <w:bCs/>
          <w:sz w:val="28"/>
          <w:szCs w:val="28"/>
        </w:rPr>
        <w:t>7</w:t>
      </w:r>
      <w:r w:rsidRPr="00560248">
        <w:rPr>
          <w:b/>
          <w:bCs/>
          <w:sz w:val="28"/>
          <w:szCs w:val="28"/>
        </w:rPr>
        <w:t>.08</w:t>
      </w:r>
    </w:p>
    <w:p w:rsidRPr="00560248" w:rsidR="00560248" w:rsidP="00560248" w:rsidRDefault="00560248" w14:paraId="518E57EC" w14:textId="7ED623CC">
      <w:pPr>
        <w:autoSpaceDE w:val="0"/>
        <w:autoSpaceDN w:val="0"/>
        <w:adjustRightInd w:val="0"/>
        <w:jc w:val="center"/>
        <w:rPr>
          <w:b/>
          <w:bCs/>
          <w:sz w:val="28"/>
          <w:szCs w:val="28"/>
        </w:rPr>
      </w:pPr>
      <w:r w:rsidRPr="00560248">
        <w:rPr>
          <w:b/>
          <w:bCs/>
          <w:sz w:val="28"/>
          <w:szCs w:val="28"/>
        </w:rPr>
        <w:t>“</w:t>
      </w:r>
      <w:r>
        <w:rPr>
          <w:b/>
          <w:bCs/>
          <w:sz w:val="28"/>
          <w:szCs w:val="28"/>
        </w:rPr>
        <w:t>Exchange Network Grants Program</w:t>
      </w:r>
      <w:r w:rsidR="0062446B">
        <w:rPr>
          <w:b/>
          <w:bCs/>
          <w:sz w:val="28"/>
          <w:szCs w:val="28"/>
        </w:rPr>
        <w:t xml:space="preserve"> Progress Reports (Renewal)</w:t>
      </w:r>
      <w:r w:rsidRPr="00560248">
        <w:rPr>
          <w:b/>
          <w:bCs/>
          <w:sz w:val="28"/>
          <w:szCs w:val="28"/>
        </w:rPr>
        <w:t xml:space="preserve">” </w:t>
      </w:r>
    </w:p>
    <w:p w:rsidRPr="00560248" w:rsidR="00560248" w:rsidP="00560248" w:rsidRDefault="00560248" w14:paraId="5CCFD964" w14:textId="77777777">
      <w:pPr>
        <w:autoSpaceDE w:val="0"/>
        <w:autoSpaceDN w:val="0"/>
        <w:adjustRightInd w:val="0"/>
        <w:jc w:val="center"/>
        <w:rPr>
          <w:b/>
          <w:bCs/>
          <w:sz w:val="28"/>
          <w:szCs w:val="28"/>
        </w:rPr>
      </w:pPr>
    </w:p>
    <w:p w:rsidRPr="00560248" w:rsidR="00560248" w:rsidP="00560248" w:rsidRDefault="00560248" w14:paraId="512C0D57" w14:textId="77777777">
      <w:pPr>
        <w:autoSpaceDE w:val="0"/>
        <w:autoSpaceDN w:val="0"/>
        <w:adjustRightInd w:val="0"/>
        <w:jc w:val="center"/>
        <w:rPr>
          <w:b/>
          <w:bCs/>
        </w:rPr>
      </w:pPr>
    </w:p>
    <w:p w:rsidRPr="00560248" w:rsidR="00560248" w:rsidP="00560248" w:rsidRDefault="00560248" w14:paraId="2208B2ED" w14:textId="77777777">
      <w:pPr>
        <w:autoSpaceDE w:val="0"/>
        <w:autoSpaceDN w:val="0"/>
        <w:adjustRightInd w:val="0"/>
        <w:jc w:val="center"/>
        <w:rPr>
          <w:b/>
          <w:bCs/>
        </w:rPr>
      </w:pPr>
    </w:p>
    <w:p w:rsidRPr="00560248" w:rsidR="00560248" w:rsidP="00560248" w:rsidRDefault="00560248" w14:paraId="42C4EC4A" w14:textId="77777777">
      <w:pPr>
        <w:autoSpaceDE w:val="0"/>
        <w:autoSpaceDN w:val="0"/>
        <w:adjustRightInd w:val="0"/>
        <w:jc w:val="center"/>
        <w:rPr>
          <w:b/>
          <w:bCs/>
        </w:rPr>
      </w:pPr>
    </w:p>
    <w:p w:rsidRPr="00560248" w:rsidR="00560248" w:rsidP="00560248" w:rsidRDefault="00560248" w14:paraId="17A9A395" w14:textId="77777777">
      <w:pPr>
        <w:autoSpaceDE w:val="0"/>
        <w:autoSpaceDN w:val="0"/>
        <w:adjustRightInd w:val="0"/>
        <w:jc w:val="center"/>
        <w:rPr>
          <w:b/>
          <w:bCs/>
        </w:rPr>
      </w:pPr>
    </w:p>
    <w:p w:rsidRPr="00560248" w:rsidR="00560248" w:rsidP="00560248" w:rsidRDefault="00560248" w14:paraId="61F556A8" w14:textId="77777777">
      <w:pPr>
        <w:autoSpaceDE w:val="0"/>
        <w:autoSpaceDN w:val="0"/>
        <w:adjustRightInd w:val="0"/>
        <w:jc w:val="center"/>
        <w:rPr>
          <w:b/>
          <w:bCs/>
        </w:rPr>
      </w:pPr>
    </w:p>
    <w:p w:rsidRPr="00560248" w:rsidR="00560248" w:rsidP="00560248" w:rsidRDefault="00560248" w14:paraId="1C0A4878" w14:textId="77777777">
      <w:pPr>
        <w:autoSpaceDE w:val="0"/>
        <w:autoSpaceDN w:val="0"/>
        <w:adjustRightInd w:val="0"/>
        <w:jc w:val="center"/>
        <w:rPr>
          <w:b/>
          <w:bCs/>
        </w:rPr>
      </w:pPr>
    </w:p>
    <w:p w:rsidRPr="00560248" w:rsidR="00560248" w:rsidP="00560248" w:rsidRDefault="00560248" w14:paraId="518AEA7A" w14:textId="77777777">
      <w:pPr>
        <w:autoSpaceDE w:val="0"/>
        <w:autoSpaceDN w:val="0"/>
        <w:adjustRightInd w:val="0"/>
        <w:jc w:val="center"/>
        <w:rPr>
          <w:b/>
          <w:bCs/>
        </w:rPr>
      </w:pPr>
    </w:p>
    <w:p w:rsidRPr="00560248" w:rsidR="00560248" w:rsidP="00560248" w:rsidRDefault="00560248" w14:paraId="59521DB7" w14:textId="77777777">
      <w:pPr>
        <w:autoSpaceDE w:val="0"/>
        <w:autoSpaceDN w:val="0"/>
        <w:adjustRightInd w:val="0"/>
        <w:jc w:val="center"/>
        <w:rPr>
          <w:b/>
          <w:bCs/>
        </w:rPr>
      </w:pPr>
    </w:p>
    <w:p w:rsidRPr="00560248" w:rsidR="00560248" w:rsidP="00560248" w:rsidRDefault="00560248" w14:paraId="3E4AD5B0" w14:textId="77777777">
      <w:pPr>
        <w:autoSpaceDE w:val="0"/>
        <w:autoSpaceDN w:val="0"/>
        <w:adjustRightInd w:val="0"/>
        <w:jc w:val="center"/>
      </w:pPr>
    </w:p>
    <w:p w:rsidRPr="00560248" w:rsidR="00560248" w:rsidP="00560248" w:rsidRDefault="00560248" w14:paraId="57F4A378" w14:textId="77777777">
      <w:pPr>
        <w:autoSpaceDE w:val="0"/>
        <w:autoSpaceDN w:val="0"/>
        <w:adjustRightInd w:val="0"/>
        <w:jc w:val="center"/>
      </w:pPr>
    </w:p>
    <w:p w:rsidRPr="00560248" w:rsidR="00560248" w:rsidP="00560248" w:rsidRDefault="00560248" w14:paraId="5F3006F6" w14:textId="77777777">
      <w:pPr>
        <w:autoSpaceDE w:val="0"/>
        <w:autoSpaceDN w:val="0"/>
        <w:adjustRightInd w:val="0"/>
        <w:jc w:val="center"/>
        <w:rPr>
          <w:sz w:val="28"/>
          <w:szCs w:val="28"/>
        </w:rPr>
      </w:pPr>
    </w:p>
    <w:p w:rsidRPr="00560248" w:rsidR="00560248" w:rsidP="00560248" w:rsidRDefault="00560248" w14:paraId="5087F970" w14:textId="77777777">
      <w:pPr>
        <w:autoSpaceDE w:val="0"/>
        <w:autoSpaceDN w:val="0"/>
        <w:adjustRightInd w:val="0"/>
        <w:jc w:val="center"/>
        <w:rPr>
          <w:b/>
          <w:sz w:val="28"/>
          <w:szCs w:val="28"/>
        </w:rPr>
      </w:pPr>
    </w:p>
    <w:p w:rsidRPr="00560248" w:rsidR="00560248" w:rsidP="00560248" w:rsidRDefault="00560248" w14:paraId="0B791103" w14:textId="77777777">
      <w:pPr>
        <w:autoSpaceDE w:val="0"/>
        <w:autoSpaceDN w:val="0"/>
        <w:adjustRightInd w:val="0"/>
        <w:jc w:val="center"/>
        <w:rPr>
          <w:b/>
          <w:sz w:val="28"/>
          <w:szCs w:val="28"/>
        </w:rPr>
      </w:pPr>
    </w:p>
    <w:p w:rsidRPr="00560248" w:rsidR="00560248" w:rsidP="00560248" w:rsidRDefault="00560248" w14:paraId="3E8E52F7" w14:textId="77777777">
      <w:pPr>
        <w:autoSpaceDE w:val="0"/>
        <w:autoSpaceDN w:val="0"/>
        <w:adjustRightInd w:val="0"/>
        <w:jc w:val="center"/>
        <w:rPr>
          <w:b/>
          <w:sz w:val="28"/>
          <w:szCs w:val="28"/>
        </w:rPr>
      </w:pPr>
    </w:p>
    <w:p w:rsidRPr="00560248" w:rsidR="00560248" w:rsidP="00560248" w:rsidRDefault="00560248" w14:paraId="7511B461" w14:textId="77777777">
      <w:pPr>
        <w:autoSpaceDE w:val="0"/>
        <w:autoSpaceDN w:val="0"/>
        <w:adjustRightInd w:val="0"/>
        <w:jc w:val="center"/>
        <w:rPr>
          <w:b/>
          <w:sz w:val="28"/>
          <w:szCs w:val="28"/>
        </w:rPr>
      </w:pPr>
    </w:p>
    <w:p w:rsidRPr="00560248" w:rsidR="00560248" w:rsidP="00560248" w:rsidRDefault="00560248" w14:paraId="4341E799" w14:textId="77777777">
      <w:pPr>
        <w:autoSpaceDE w:val="0"/>
        <w:autoSpaceDN w:val="0"/>
        <w:adjustRightInd w:val="0"/>
        <w:jc w:val="center"/>
        <w:rPr>
          <w:b/>
          <w:sz w:val="28"/>
          <w:szCs w:val="28"/>
        </w:rPr>
      </w:pPr>
    </w:p>
    <w:p w:rsidRPr="00560248" w:rsidR="00560248" w:rsidP="00560248" w:rsidRDefault="00560248" w14:paraId="525EA3E2" w14:textId="77777777">
      <w:pPr>
        <w:autoSpaceDE w:val="0"/>
        <w:autoSpaceDN w:val="0"/>
        <w:adjustRightInd w:val="0"/>
        <w:jc w:val="center"/>
        <w:rPr>
          <w:b/>
          <w:sz w:val="28"/>
          <w:szCs w:val="28"/>
        </w:rPr>
      </w:pPr>
    </w:p>
    <w:p w:rsidRPr="00560248" w:rsidR="00560248" w:rsidP="00560248" w:rsidRDefault="00560248" w14:paraId="13C20400" w14:textId="77777777">
      <w:pPr>
        <w:autoSpaceDE w:val="0"/>
        <w:autoSpaceDN w:val="0"/>
        <w:adjustRightInd w:val="0"/>
        <w:jc w:val="center"/>
        <w:rPr>
          <w:b/>
          <w:sz w:val="28"/>
          <w:szCs w:val="28"/>
        </w:rPr>
      </w:pPr>
    </w:p>
    <w:p w:rsidRPr="00560248" w:rsidR="00560248" w:rsidP="00560248" w:rsidRDefault="00560248" w14:paraId="152020E3" w14:textId="77777777">
      <w:pPr>
        <w:autoSpaceDE w:val="0"/>
        <w:autoSpaceDN w:val="0"/>
        <w:adjustRightInd w:val="0"/>
        <w:jc w:val="center"/>
        <w:rPr>
          <w:b/>
          <w:sz w:val="28"/>
          <w:szCs w:val="28"/>
        </w:rPr>
      </w:pPr>
    </w:p>
    <w:p w:rsidRPr="00560248" w:rsidR="00560248" w:rsidP="00560248" w:rsidRDefault="00560248" w14:paraId="0C9A5060" w14:textId="77777777">
      <w:pPr>
        <w:autoSpaceDE w:val="0"/>
        <w:autoSpaceDN w:val="0"/>
        <w:adjustRightInd w:val="0"/>
        <w:jc w:val="center"/>
        <w:rPr>
          <w:b/>
          <w:sz w:val="28"/>
          <w:szCs w:val="28"/>
        </w:rPr>
      </w:pPr>
    </w:p>
    <w:p w:rsidRPr="00560248" w:rsidR="00560248" w:rsidP="00560248" w:rsidRDefault="00560248" w14:paraId="170A374A" w14:textId="33BEABA2">
      <w:pPr>
        <w:tabs>
          <w:tab w:val="center" w:pos="4680"/>
        </w:tabs>
        <w:autoSpaceDE w:val="0"/>
        <w:autoSpaceDN w:val="0"/>
        <w:adjustRightInd w:val="0"/>
        <w:jc w:val="center"/>
      </w:pPr>
      <w:r w:rsidRPr="00560248">
        <w:t xml:space="preserve">Office of </w:t>
      </w:r>
      <w:r>
        <w:t>Mission Support</w:t>
      </w:r>
    </w:p>
    <w:p w:rsidRPr="00560248" w:rsidR="00560248" w:rsidP="00560248" w:rsidRDefault="00560248" w14:paraId="7DF7BF23" w14:textId="77777777">
      <w:pPr>
        <w:tabs>
          <w:tab w:val="center" w:pos="4680"/>
        </w:tabs>
        <w:autoSpaceDE w:val="0"/>
        <w:autoSpaceDN w:val="0"/>
        <w:adjustRightInd w:val="0"/>
        <w:jc w:val="center"/>
      </w:pPr>
      <w:r w:rsidRPr="00560248">
        <w:t>U.S. Environmental Protection Agency</w:t>
      </w:r>
    </w:p>
    <w:p w:rsidRPr="00560248" w:rsidR="00560248" w:rsidP="00560248" w:rsidRDefault="00560248" w14:paraId="246C96D4" w14:textId="77777777">
      <w:pPr>
        <w:tabs>
          <w:tab w:val="center" w:pos="4680"/>
        </w:tabs>
        <w:autoSpaceDE w:val="0"/>
        <w:autoSpaceDN w:val="0"/>
        <w:adjustRightInd w:val="0"/>
        <w:jc w:val="center"/>
      </w:pPr>
      <w:smartTag w:uri="urn:schemas-microsoft-com:office:smarttags" w:element="place">
        <w:smartTag w:uri="urn:schemas-microsoft-com:office:smarttags" w:element="City">
          <w:r w:rsidRPr="00560248">
            <w:t>Washington</w:t>
          </w:r>
        </w:smartTag>
        <w:r w:rsidRPr="00560248">
          <w:t xml:space="preserve">, </w:t>
        </w:r>
        <w:smartTag w:uri="urn:schemas-microsoft-com:office:smarttags" w:element="State">
          <w:r w:rsidRPr="00560248">
            <w:t>D.C.</w:t>
          </w:r>
        </w:smartTag>
        <w:r w:rsidRPr="00560248">
          <w:t xml:space="preserve"> </w:t>
        </w:r>
        <w:smartTag w:uri="urn:schemas-microsoft-com:office:smarttags" w:element="PostalCode">
          <w:r w:rsidRPr="00560248">
            <w:t>20460</w:t>
          </w:r>
        </w:smartTag>
      </w:smartTag>
    </w:p>
    <w:p w:rsidRPr="00560248" w:rsidR="00560248" w:rsidP="00560248" w:rsidRDefault="00560248" w14:paraId="74E31941" w14:textId="77777777">
      <w:pPr>
        <w:autoSpaceDE w:val="0"/>
        <w:autoSpaceDN w:val="0"/>
        <w:adjustRightInd w:val="0"/>
        <w:jc w:val="center"/>
        <w:rPr>
          <w:sz w:val="28"/>
          <w:szCs w:val="28"/>
        </w:rPr>
      </w:pPr>
    </w:p>
    <w:p w:rsidRPr="00560248" w:rsidR="00560248" w:rsidP="00560248" w:rsidRDefault="00560248" w14:paraId="474CD570" w14:textId="77777777">
      <w:pPr>
        <w:autoSpaceDE w:val="0"/>
        <w:autoSpaceDN w:val="0"/>
        <w:adjustRightInd w:val="0"/>
        <w:ind w:left="720" w:hanging="720"/>
        <w:jc w:val="center"/>
        <w:rPr>
          <w:sz w:val="28"/>
          <w:szCs w:val="28"/>
        </w:rPr>
        <w:sectPr w:rsidRPr="00560248" w:rsidR="00560248" w:rsidSect="00FE537D">
          <w:headerReference w:type="default" r:id="rId12"/>
          <w:footerReference w:type="even" r:id="rId13"/>
          <w:footerReference w:type="default" r:id="rId14"/>
          <w:type w:val="continuous"/>
          <w:pgSz w:w="12240" w:h="15840"/>
          <w:pgMar w:top="1440" w:right="1440" w:bottom="1440" w:left="1440" w:header="720" w:footer="720" w:gutter="0"/>
          <w:pgNumType w:start="1"/>
          <w:cols w:space="720"/>
          <w:docGrid w:linePitch="360"/>
        </w:sectPr>
      </w:pPr>
    </w:p>
    <w:p w:rsidRPr="00560248" w:rsidR="00560248" w:rsidP="00560248" w:rsidRDefault="00560248" w14:paraId="69A50938" w14:textId="77777777">
      <w:pPr>
        <w:autoSpaceDE w:val="0"/>
        <w:autoSpaceDN w:val="0"/>
        <w:adjustRightInd w:val="0"/>
        <w:jc w:val="center"/>
      </w:pPr>
      <w:r w:rsidRPr="00560248">
        <w:rPr>
          <w:b/>
          <w:bCs/>
          <w:sz w:val="28"/>
          <w:szCs w:val="28"/>
        </w:rPr>
        <w:lastRenderedPageBreak/>
        <w:t>TABLE OF CONTENTS</w:t>
      </w:r>
    </w:p>
    <w:p w:rsidRPr="00560248" w:rsidR="00560248" w:rsidP="00560248" w:rsidRDefault="00560248" w14:paraId="7B5F99E2" w14:textId="77777777">
      <w:pPr>
        <w:autoSpaceDE w:val="0"/>
        <w:autoSpaceDN w:val="0"/>
        <w:adjustRightInd w:val="0"/>
      </w:pPr>
    </w:p>
    <w:p w:rsidRPr="00560248" w:rsidR="00560248" w:rsidP="00560248" w:rsidRDefault="00560248" w14:paraId="1D9F6C90" w14:textId="77777777">
      <w:pPr>
        <w:autoSpaceDE w:val="0"/>
        <w:autoSpaceDN w:val="0"/>
        <w:adjustRightInd w:val="0"/>
      </w:pPr>
    </w:p>
    <w:p w:rsidRPr="00DE4C1E" w:rsidR="00560248" w:rsidP="00560248" w:rsidRDefault="00560248" w14:paraId="081494BA" w14:textId="36DD9B53">
      <w:pPr>
        <w:widowControl w:val="0"/>
        <w:tabs>
          <w:tab w:val="left" w:pos="540"/>
          <w:tab w:val="right" w:leader="dot" w:pos="9350"/>
        </w:tabs>
        <w:autoSpaceDE w:val="0"/>
        <w:autoSpaceDN w:val="0"/>
        <w:adjustRightInd w:val="0"/>
        <w:spacing w:before="120"/>
        <w:ind w:left="547" w:hanging="547"/>
        <w:rPr>
          <w:rFonts w:ascii="Calibri" w:hAnsi="Calibri"/>
          <w:noProof/>
          <w:lang w:val="es-PR" w:eastAsia="es-PR"/>
        </w:rPr>
      </w:pPr>
      <w:r w:rsidRPr="00DE4C1E">
        <w:rPr>
          <w:bCs/>
          <w:caps/>
        </w:rPr>
        <w:fldChar w:fldCharType="begin"/>
      </w:r>
      <w:r w:rsidRPr="00DE4C1E">
        <w:rPr>
          <w:bCs/>
          <w:caps/>
        </w:rPr>
        <w:instrText xml:space="preserve"> TOC \o "1-2" \h \z \u </w:instrText>
      </w:r>
      <w:r w:rsidRPr="00DE4C1E">
        <w:rPr>
          <w:bCs/>
          <w:caps/>
        </w:rPr>
        <w:fldChar w:fldCharType="separate"/>
      </w:r>
      <w:hyperlink w:history="1" w:anchor="_Toc510779251">
        <w:r w:rsidRPr="00DE4C1E">
          <w:rPr>
            <w:b/>
            <w:bCs/>
            <w:caps/>
            <w:noProof/>
          </w:rPr>
          <w:t>1.</w:t>
        </w:r>
        <w:r w:rsidRPr="00DE4C1E">
          <w:rPr>
            <w:rFonts w:ascii="Calibri" w:hAnsi="Calibri"/>
            <w:noProof/>
            <w:lang w:val="es-PR" w:eastAsia="es-PR"/>
          </w:rPr>
          <w:tab/>
        </w:r>
        <w:r w:rsidRPr="00DE4C1E">
          <w:rPr>
            <w:b/>
            <w:bCs/>
            <w:caps/>
            <w:noProof/>
          </w:rPr>
          <w:t>IDENTIFICATION OF THE INFORMATION COLLECTION</w:t>
        </w:r>
        <w:r w:rsidRPr="00DE4C1E">
          <w:rPr>
            <w:b/>
            <w:bCs/>
            <w:caps/>
            <w:noProof/>
            <w:webHidden/>
          </w:rPr>
          <w:tab/>
        </w:r>
        <w:r w:rsidRPr="00DE4C1E" w:rsidR="002B3208">
          <w:rPr>
            <w:b/>
            <w:bCs/>
            <w:caps/>
            <w:noProof/>
            <w:webHidden/>
          </w:rPr>
          <w:t>3</w:t>
        </w:r>
      </w:hyperlink>
    </w:p>
    <w:p w:rsidRPr="00DE4C1E" w:rsidR="00560248" w:rsidP="00560248" w:rsidRDefault="003D1908" w14:paraId="189A50D4" w14:textId="62821DA5">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52">
        <w:r w:rsidRPr="00DE4C1E" w:rsidR="00560248">
          <w:rPr>
            <w:noProof/>
          </w:rPr>
          <w:t>1(a)</w:t>
        </w:r>
        <w:r w:rsidRPr="00DE4C1E" w:rsidR="00560248">
          <w:rPr>
            <w:rFonts w:ascii="Calibri" w:hAnsi="Calibri"/>
            <w:noProof/>
            <w:lang w:val="es-PR" w:eastAsia="es-PR"/>
          </w:rPr>
          <w:tab/>
        </w:r>
        <w:r w:rsidRPr="00DE4C1E" w:rsidR="00560248">
          <w:rPr>
            <w:noProof/>
          </w:rPr>
          <w:t>TITLE</w:t>
        </w:r>
        <w:r w:rsidRPr="00DE4C1E" w:rsidR="009E33FC">
          <w:rPr>
            <w:noProof/>
          </w:rPr>
          <w:t xml:space="preserve"> OF THE INFORMATION COLLECTION</w:t>
        </w:r>
        <w:r w:rsidRPr="00DE4C1E" w:rsidR="00560248">
          <w:rPr>
            <w:noProof/>
            <w:webHidden/>
          </w:rPr>
          <w:tab/>
        </w:r>
        <w:r w:rsidRPr="00DE4C1E" w:rsidR="002B3208">
          <w:rPr>
            <w:noProof/>
            <w:webHidden/>
          </w:rPr>
          <w:t>3</w:t>
        </w:r>
      </w:hyperlink>
    </w:p>
    <w:p w:rsidRPr="00DE4C1E" w:rsidR="00560248" w:rsidP="00560248" w:rsidRDefault="003D1908" w14:paraId="731BA3C3" w14:textId="643E71F6">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53">
        <w:r w:rsidRPr="00DE4C1E" w:rsidR="00560248">
          <w:rPr>
            <w:noProof/>
          </w:rPr>
          <w:t>1(b)</w:t>
        </w:r>
        <w:r w:rsidRPr="00DE4C1E" w:rsidR="00560248">
          <w:rPr>
            <w:rFonts w:ascii="Calibri" w:hAnsi="Calibri"/>
            <w:noProof/>
            <w:lang w:val="es-PR" w:eastAsia="es-PR"/>
          </w:rPr>
          <w:tab/>
        </w:r>
        <w:r w:rsidRPr="00DE4C1E" w:rsidR="00560248">
          <w:rPr>
            <w:noProof/>
          </w:rPr>
          <w:t>SHORT CHARACTERIZATION/ABSTRACT</w:t>
        </w:r>
        <w:r w:rsidRPr="00DE4C1E" w:rsidR="00560248">
          <w:rPr>
            <w:noProof/>
            <w:webHidden/>
          </w:rPr>
          <w:tab/>
        </w:r>
        <w:r w:rsidRPr="00DE4C1E" w:rsidR="002B3208">
          <w:rPr>
            <w:noProof/>
            <w:webHidden/>
          </w:rPr>
          <w:t>3</w:t>
        </w:r>
      </w:hyperlink>
    </w:p>
    <w:p w:rsidRPr="00DE4C1E" w:rsidR="00560248" w:rsidP="00560248" w:rsidRDefault="003D1908" w14:paraId="06666C60" w14:textId="7AE4755F">
      <w:pPr>
        <w:widowControl w:val="0"/>
        <w:tabs>
          <w:tab w:val="left" w:pos="540"/>
          <w:tab w:val="right" w:leader="dot" w:pos="9350"/>
        </w:tabs>
        <w:autoSpaceDE w:val="0"/>
        <w:autoSpaceDN w:val="0"/>
        <w:adjustRightInd w:val="0"/>
        <w:spacing w:before="120"/>
        <w:ind w:left="547" w:hanging="547"/>
        <w:rPr>
          <w:rFonts w:ascii="Calibri" w:hAnsi="Calibri"/>
          <w:noProof/>
          <w:lang w:val="es-PR" w:eastAsia="es-PR"/>
        </w:rPr>
      </w:pPr>
      <w:hyperlink w:history="1" w:anchor="_Toc510779254">
        <w:r w:rsidRPr="00DE4C1E" w:rsidR="00560248">
          <w:rPr>
            <w:b/>
            <w:bCs/>
            <w:caps/>
            <w:noProof/>
          </w:rPr>
          <w:t>2.</w:t>
        </w:r>
        <w:r w:rsidRPr="00DE4C1E" w:rsidR="00560248">
          <w:rPr>
            <w:rFonts w:ascii="Calibri" w:hAnsi="Calibri"/>
            <w:noProof/>
            <w:lang w:val="es-PR" w:eastAsia="es-PR"/>
          </w:rPr>
          <w:tab/>
        </w:r>
        <w:r w:rsidRPr="00DE4C1E" w:rsidR="00560248">
          <w:rPr>
            <w:b/>
            <w:bCs/>
            <w:caps/>
            <w:noProof/>
          </w:rPr>
          <w:t>NEED FOR AND USE OF THE COLLECTION</w:t>
        </w:r>
        <w:r w:rsidRPr="00DE4C1E" w:rsidR="00560248">
          <w:rPr>
            <w:b/>
            <w:bCs/>
            <w:caps/>
            <w:noProof/>
            <w:webHidden/>
          </w:rPr>
          <w:tab/>
        </w:r>
        <w:r w:rsidRPr="00DE4C1E" w:rsidR="002B3208">
          <w:rPr>
            <w:b/>
            <w:bCs/>
            <w:caps/>
            <w:noProof/>
            <w:webHidden/>
          </w:rPr>
          <w:t>3</w:t>
        </w:r>
      </w:hyperlink>
    </w:p>
    <w:p w:rsidRPr="00DE4C1E" w:rsidR="00560248" w:rsidP="00560248" w:rsidRDefault="003D1908" w14:paraId="22584E28" w14:textId="6FFB3B24">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55">
        <w:r w:rsidRPr="00DE4C1E" w:rsidR="00560248">
          <w:rPr>
            <w:noProof/>
          </w:rPr>
          <w:t>2(a)</w:t>
        </w:r>
        <w:r w:rsidRPr="00DE4C1E" w:rsidR="00560248">
          <w:rPr>
            <w:rFonts w:ascii="Calibri" w:hAnsi="Calibri"/>
            <w:noProof/>
            <w:lang w:val="es-PR" w:eastAsia="es-PR"/>
          </w:rPr>
          <w:tab/>
        </w:r>
        <w:r w:rsidRPr="00DE4C1E" w:rsidR="00560248">
          <w:rPr>
            <w:noProof/>
          </w:rPr>
          <w:t>NEED/AUTHORITY FOR THE COLLECTION</w:t>
        </w:r>
        <w:r w:rsidRPr="00DE4C1E" w:rsidR="00560248">
          <w:rPr>
            <w:noProof/>
            <w:webHidden/>
          </w:rPr>
          <w:tab/>
        </w:r>
        <w:r w:rsidRPr="00DE4C1E" w:rsidR="002B3208">
          <w:rPr>
            <w:noProof/>
            <w:webHidden/>
          </w:rPr>
          <w:t>3</w:t>
        </w:r>
      </w:hyperlink>
    </w:p>
    <w:p w:rsidRPr="00DE4C1E" w:rsidR="00560248" w:rsidP="00560248" w:rsidRDefault="003D1908" w14:paraId="30BB1F9C" w14:textId="15EE12D8">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56">
        <w:r w:rsidRPr="00DE4C1E" w:rsidR="00560248">
          <w:rPr>
            <w:noProof/>
          </w:rPr>
          <w:t>2(b)</w:t>
        </w:r>
        <w:r w:rsidRPr="00DE4C1E" w:rsidR="00560248">
          <w:rPr>
            <w:rFonts w:ascii="Calibri" w:hAnsi="Calibri"/>
            <w:noProof/>
            <w:lang w:val="es-PR" w:eastAsia="es-PR"/>
          </w:rPr>
          <w:tab/>
        </w:r>
        <w:r w:rsidRPr="00DE4C1E" w:rsidR="00560248">
          <w:rPr>
            <w:noProof/>
          </w:rPr>
          <w:t>PRACTICAL UTILITY/USERS OF THE DATA</w:t>
        </w:r>
        <w:r w:rsidRPr="00DE4C1E" w:rsidR="00560248">
          <w:rPr>
            <w:noProof/>
            <w:webHidden/>
          </w:rPr>
          <w:tab/>
        </w:r>
        <w:r w:rsidRPr="00DE4C1E" w:rsidR="002B3208">
          <w:rPr>
            <w:noProof/>
            <w:webHidden/>
          </w:rPr>
          <w:t>5</w:t>
        </w:r>
      </w:hyperlink>
    </w:p>
    <w:p w:rsidRPr="00DE4C1E" w:rsidR="00560248" w:rsidP="00560248" w:rsidRDefault="003D1908" w14:paraId="15B87DAA" w14:textId="13079334">
      <w:pPr>
        <w:widowControl w:val="0"/>
        <w:tabs>
          <w:tab w:val="left" w:pos="540"/>
          <w:tab w:val="right" w:leader="dot" w:pos="9350"/>
        </w:tabs>
        <w:autoSpaceDE w:val="0"/>
        <w:autoSpaceDN w:val="0"/>
        <w:adjustRightInd w:val="0"/>
        <w:spacing w:before="120"/>
        <w:ind w:left="547" w:hanging="547"/>
        <w:rPr>
          <w:rFonts w:ascii="Calibri" w:hAnsi="Calibri"/>
          <w:noProof/>
          <w:lang w:val="es-PR" w:eastAsia="es-PR"/>
        </w:rPr>
      </w:pPr>
      <w:hyperlink w:history="1" w:anchor="_Toc510779257">
        <w:r w:rsidRPr="00DE4C1E" w:rsidR="00560248">
          <w:rPr>
            <w:b/>
            <w:bCs/>
            <w:caps/>
            <w:noProof/>
          </w:rPr>
          <w:t>3.</w:t>
        </w:r>
        <w:r w:rsidRPr="00DE4C1E" w:rsidR="00560248">
          <w:rPr>
            <w:rFonts w:ascii="Calibri" w:hAnsi="Calibri"/>
            <w:noProof/>
            <w:lang w:val="es-PR" w:eastAsia="es-PR"/>
          </w:rPr>
          <w:tab/>
        </w:r>
        <w:r w:rsidRPr="00DE4C1E" w:rsidR="00560248">
          <w:rPr>
            <w:b/>
            <w:bCs/>
            <w:caps/>
            <w:noProof/>
          </w:rPr>
          <w:t>NONDUPLICATION, CONSULTATIONS, AND</w:t>
        </w:r>
        <w:r w:rsidRPr="00DE4C1E" w:rsidR="00560248">
          <w:rPr>
            <w:b/>
            <w:bCs/>
            <w:caps/>
            <w:noProof/>
          </w:rPr>
          <w:br/>
          <w:t>OTHER COLLECTION CRITERIA</w:t>
        </w:r>
        <w:r w:rsidRPr="00DE4C1E" w:rsidR="00560248">
          <w:rPr>
            <w:b/>
            <w:bCs/>
            <w:caps/>
            <w:noProof/>
            <w:webHidden/>
          </w:rPr>
          <w:tab/>
        </w:r>
        <w:r w:rsidRPr="00DE4C1E" w:rsidR="002B3208">
          <w:rPr>
            <w:b/>
            <w:bCs/>
            <w:caps/>
            <w:noProof/>
            <w:webHidden/>
          </w:rPr>
          <w:t>5</w:t>
        </w:r>
      </w:hyperlink>
    </w:p>
    <w:p w:rsidRPr="00DE4C1E" w:rsidR="00560248" w:rsidP="00560248" w:rsidRDefault="003D1908" w14:paraId="61B99C00" w14:textId="3274F06A">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58">
        <w:r w:rsidRPr="00DE4C1E" w:rsidR="00560248">
          <w:rPr>
            <w:noProof/>
          </w:rPr>
          <w:t>3(a)</w:t>
        </w:r>
        <w:r w:rsidRPr="00DE4C1E" w:rsidR="00560248">
          <w:rPr>
            <w:rFonts w:ascii="Calibri" w:hAnsi="Calibri"/>
            <w:noProof/>
            <w:lang w:val="es-PR" w:eastAsia="es-PR"/>
          </w:rPr>
          <w:tab/>
        </w:r>
        <w:r w:rsidRPr="00DE4C1E" w:rsidR="00560248">
          <w:rPr>
            <w:noProof/>
          </w:rPr>
          <w:t>NONDUPLICATION</w:t>
        </w:r>
        <w:r w:rsidRPr="00DE4C1E" w:rsidR="00560248">
          <w:rPr>
            <w:noProof/>
            <w:webHidden/>
          </w:rPr>
          <w:tab/>
        </w:r>
        <w:r w:rsidRPr="00DE4C1E" w:rsidR="002B3208">
          <w:rPr>
            <w:noProof/>
            <w:webHidden/>
          </w:rPr>
          <w:t>5</w:t>
        </w:r>
      </w:hyperlink>
    </w:p>
    <w:p w:rsidRPr="00DE4C1E" w:rsidR="00560248" w:rsidP="00560248" w:rsidRDefault="003D1908" w14:paraId="28A2A383" w14:textId="76E02E79">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59">
        <w:r w:rsidRPr="00DE4C1E" w:rsidR="00560248">
          <w:rPr>
            <w:noProof/>
          </w:rPr>
          <w:t>3(b)</w:t>
        </w:r>
        <w:r w:rsidRPr="00DE4C1E" w:rsidR="00560248">
          <w:rPr>
            <w:rFonts w:ascii="Calibri" w:hAnsi="Calibri"/>
            <w:noProof/>
            <w:lang w:val="es-PR" w:eastAsia="es-PR"/>
          </w:rPr>
          <w:tab/>
        </w:r>
        <w:r w:rsidRPr="00DE4C1E" w:rsidR="00560248">
          <w:rPr>
            <w:noProof/>
          </w:rPr>
          <w:t xml:space="preserve">PUBLIC NOTICE </w:t>
        </w:r>
        <w:r w:rsidRPr="00DE4C1E" w:rsidR="00560248">
          <w:rPr>
            <w:noProof/>
            <w:webHidden/>
          </w:rPr>
          <w:tab/>
        </w:r>
        <w:r w:rsidRPr="00DE4C1E" w:rsidR="009E33FC">
          <w:rPr>
            <w:noProof/>
            <w:webHidden/>
          </w:rPr>
          <w:t>5</w:t>
        </w:r>
      </w:hyperlink>
    </w:p>
    <w:p w:rsidRPr="00DE4C1E" w:rsidR="00560248" w:rsidP="00560248" w:rsidRDefault="003D1908" w14:paraId="0267A791" w14:textId="651A2E39">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60">
        <w:r w:rsidRPr="00DE4C1E" w:rsidR="00560248">
          <w:rPr>
            <w:noProof/>
          </w:rPr>
          <w:t>3(c)</w:t>
        </w:r>
        <w:r w:rsidRPr="00DE4C1E" w:rsidR="00560248">
          <w:rPr>
            <w:rFonts w:ascii="Calibri" w:hAnsi="Calibri"/>
            <w:noProof/>
            <w:lang w:val="es-PR" w:eastAsia="es-PR"/>
          </w:rPr>
          <w:tab/>
        </w:r>
        <w:r w:rsidRPr="00DE4C1E" w:rsidR="00560248">
          <w:rPr>
            <w:noProof/>
          </w:rPr>
          <w:t>CONSULTATIONS</w:t>
        </w:r>
        <w:r w:rsidRPr="00DE4C1E" w:rsidR="00560248">
          <w:rPr>
            <w:noProof/>
            <w:webHidden/>
          </w:rPr>
          <w:tab/>
        </w:r>
        <w:r w:rsidRPr="00DE4C1E" w:rsidR="002B3208">
          <w:rPr>
            <w:noProof/>
            <w:webHidden/>
          </w:rPr>
          <w:t>6</w:t>
        </w:r>
      </w:hyperlink>
    </w:p>
    <w:p w:rsidRPr="00DE4C1E" w:rsidR="00560248" w:rsidP="00560248" w:rsidRDefault="003D1908" w14:paraId="5D942A62" w14:textId="284007A4">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61">
        <w:r w:rsidRPr="00DE4C1E" w:rsidR="00560248">
          <w:rPr>
            <w:noProof/>
          </w:rPr>
          <w:t>3(d)</w:t>
        </w:r>
        <w:r w:rsidRPr="00DE4C1E" w:rsidR="00560248">
          <w:rPr>
            <w:rFonts w:ascii="Calibri" w:hAnsi="Calibri"/>
            <w:noProof/>
            <w:lang w:val="es-PR" w:eastAsia="es-PR"/>
          </w:rPr>
          <w:tab/>
        </w:r>
        <w:r w:rsidRPr="00DE4C1E" w:rsidR="00560248">
          <w:rPr>
            <w:noProof/>
          </w:rPr>
          <w:t>EFFECTS OF LESS FREQUENT COLLECTION</w:t>
        </w:r>
        <w:r w:rsidRPr="00DE4C1E" w:rsidR="00560248">
          <w:rPr>
            <w:noProof/>
            <w:webHidden/>
          </w:rPr>
          <w:tab/>
        </w:r>
        <w:r w:rsidRPr="00DE4C1E" w:rsidR="002B3208">
          <w:rPr>
            <w:noProof/>
            <w:webHidden/>
          </w:rPr>
          <w:t>7</w:t>
        </w:r>
      </w:hyperlink>
    </w:p>
    <w:p w:rsidRPr="00DE4C1E" w:rsidR="00560248" w:rsidP="00560248" w:rsidRDefault="003D1908" w14:paraId="182AE11A" w14:textId="1E2E943A">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62">
        <w:r w:rsidRPr="00DE4C1E" w:rsidR="00560248">
          <w:rPr>
            <w:noProof/>
          </w:rPr>
          <w:t>3(e)</w:t>
        </w:r>
        <w:r w:rsidRPr="00DE4C1E" w:rsidR="00560248">
          <w:rPr>
            <w:rFonts w:ascii="Calibri" w:hAnsi="Calibri"/>
            <w:noProof/>
            <w:lang w:val="es-PR" w:eastAsia="es-PR"/>
          </w:rPr>
          <w:tab/>
        </w:r>
        <w:r w:rsidRPr="00DE4C1E" w:rsidR="00560248">
          <w:rPr>
            <w:noProof/>
          </w:rPr>
          <w:t>GENERAL GUIDELINES</w:t>
        </w:r>
        <w:r w:rsidRPr="00DE4C1E" w:rsidR="00560248">
          <w:rPr>
            <w:noProof/>
            <w:webHidden/>
          </w:rPr>
          <w:tab/>
        </w:r>
        <w:r w:rsidRPr="00DE4C1E" w:rsidR="002B3208">
          <w:rPr>
            <w:b/>
            <w:bCs/>
            <w:noProof/>
            <w:webHidden/>
          </w:rPr>
          <w:t>7</w:t>
        </w:r>
      </w:hyperlink>
    </w:p>
    <w:p w:rsidRPr="00DE4C1E" w:rsidR="00560248" w:rsidP="00560248" w:rsidRDefault="003D1908" w14:paraId="400A515A" w14:textId="22CB9B0E">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63">
        <w:r w:rsidRPr="00DE4C1E" w:rsidR="00560248">
          <w:rPr>
            <w:noProof/>
          </w:rPr>
          <w:t>3(f)</w:t>
        </w:r>
        <w:r w:rsidRPr="00DE4C1E" w:rsidR="00560248">
          <w:rPr>
            <w:rFonts w:ascii="Calibri" w:hAnsi="Calibri"/>
            <w:noProof/>
            <w:lang w:val="es-PR" w:eastAsia="es-PR"/>
          </w:rPr>
          <w:tab/>
        </w:r>
        <w:r w:rsidRPr="00DE4C1E" w:rsidR="00560248">
          <w:rPr>
            <w:noProof/>
          </w:rPr>
          <w:t>CONFIDENTIALITY</w:t>
        </w:r>
        <w:r w:rsidRPr="00DE4C1E" w:rsidR="00560248">
          <w:rPr>
            <w:noProof/>
            <w:webHidden/>
          </w:rPr>
          <w:tab/>
        </w:r>
        <w:r w:rsidRPr="00DE4C1E" w:rsidR="002B3208">
          <w:rPr>
            <w:noProof/>
            <w:webHidden/>
          </w:rPr>
          <w:t>7</w:t>
        </w:r>
      </w:hyperlink>
    </w:p>
    <w:p w:rsidRPr="00DE4C1E" w:rsidR="00560248" w:rsidP="00560248" w:rsidRDefault="003D1908" w14:paraId="66DFB84B" w14:textId="6ED8FE26">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64">
        <w:r w:rsidRPr="00DE4C1E" w:rsidR="00560248">
          <w:rPr>
            <w:noProof/>
          </w:rPr>
          <w:t>3(g)</w:t>
        </w:r>
        <w:r w:rsidRPr="00DE4C1E" w:rsidR="00560248">
          <w:rPr>
            <w:rFonts w:ascii="Calibri" w:hAnsi="Calibri"/>
            <w:noProof/>
            <w:lang w:val="es-PR" w:eastAsia="es-PR"/>
          </w:rPr>
          <w:tab/>
        </w:r>
        <w:r w:rsidRPr="00DE4C1E" w:rsidR="00560248">
          <w:rPr>
            <w:noProof/>
          </w:rPr>
          <w:t>SENSITIVE QUESTIONS</w:t>
        </w:r>
        <w:r w:rsidRPr="00DE4C1E" w:rsidR="00560248">
          <w:rPr>
            <w:noProof/>
            <w:webHidden/>
          </w:rPr>
          <w:tab/>
        </w:r>
        <w:r w:rsidRPr="00DE4C1E" w:rsidR="002B3208">
          <w:rPr>
            <w:noProof/>
            <w:webHidden/>
          </w:rPr>
          <w:t>7</w:t>
        </w:r>
      </w:hyperlink>
    </w:p>
    <w:p w:rsidRPr="00DE4C1E" w:rsidR="00560248" w:rsidP="00560248" w:rsidRDefault="003D1908" w14:paraId="2FAE03D7" w14:textId="71F8DB33">
      <w:pPr>
        <w:widowControl w:val="0"/>
        <w:tabs>
          <w:tab w:val="left" w:pos="540"/>
          <w:tab w:val="right" w:leader="dot" w:pos="9350"/>
        </w:tabs>
        <w:autoSpaceDE w:val="0"/>
        <w:autoSpaceDN w:val="0"/>
        <w:adjustRightInd w:val="0"/>
        <w:spacing w:before="120"/>
        <w:ind w:left="547" w:hanging="547"/>
        <w:rPr>
          <w:rFonts w:ascii="Calibri" w:hAnsi="Calibri"/>
          <w:noProof/>
          <w:lang w:val="es-PR" w:eastAsia="es-PR"/>
        </w:rPr>
      </w:pPr>
      <w:hyperlink w:history="1" w:anchor="_Toc510779265">
        <w:r w:rsidRPr="00DE4C1E" w:rsidR="00560248">
          <w:rPr>
            <w:b/>
            <w:bCs/>
            <w:caps/>
            <w:noProof/>
          </w:rPr>
          <w:t>4.</w:t>
        </w:r>
        <w:r w:rsidRPr="00DE4C1E" w:rsidR="00560248">
          <w:rPr>
            <w:rFonts w:ascii="Calibri" w:hAnsi="Calibri"/>
            <w:noProof/>
            <w:lang w:val="es-PR" w:eastAsia="es-PR"/>
          </w:rPr>
          <w:tab/>
        </w:r>
        <w:r w:rsidRPr="00DE4C1E" w:rsidR="00560248">
          <w:rPr>
            <w:b/>
            <w:bCs/>
            <w:caps/>
            <w:noProof/>
          </w:rPr>
          <w:t>RESPONDENTS AND THE INFORMATION REQUESTED</w:t>
        </w:r>
        <w:r w:rsidRPr="00DE4C1E" w:rsidR="00560248">
          <w:rPr>
            <w:b/>
            <w:bCs/>
            <w:caps/>
            <w:noProof/>
            <w:webHidden/>
          </w:rPr>
          <w:tab/>
        </w:r>
        <w:r w:rsidRPr="00DE4C1E" w:rsidR="002B3208">
          <w:rPr>
            <w:b/>
            <w:bCs/>
            <w:caps/>
            <w:noProof/>
            <w:webHidden/>
          </w:rPr>
          <w:t>7</w:t>
        </w:r>
      </w:hyperlink>
    </w:p>
    <w:p w:rsidRPr="00DE4C1E" w:rsidR="00560248" w:rsidP="00560248" w:rsidRDefault="003D1908" w14:paraId="41D62CD7" w14:textId="1B391419">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66">
        <w:r w:rsidRPr="00DE4C1E" w:rsidR="00560248">
          <w:rPr>
            <w:noProof/>
          </w:rPr>
          <w:t>4(a)</w:t>
        </w:r>
        <w:r w:rsidRPr="00DE4C1E" w:rsidR="00560248">
          <w:rPr>
            <w:rFonts w:ascii="Calibri" w:hAnsi="Calibri"/>
            <w:noProof/>
            <w:lang w:val="es-PR" w:eastAsia="es-PR"/>
          </w:rPr>
          <w:tab/>
        </w:r>
        <w:r w:rsidRPr="00DE4C1E" w:rsidR="00560248">
          <w:rPr>
            <w:noProof/>
          </w:rPr>
          <w:t>RESPONDENTS/NAICS CODES</w:t>
        </w:r>
        <w:r w:rsidRPr="00DE4C1E" w:rsidR="00560248">
          <w:rPr>
            <w:noProof/>
            <w:webHidden/>
          </w:rPr>
          <w:tab/>
        </w:r>
        <w:r w:rsidRPr="00DE4C1E" w:rsidR="002B3208">
          <w:rPr>
            <w:noProof/>
            <w:webHidden/>
          </w:rPr>
          <w:t>7</w:t>
        </w:r>
      </w:hyperlink>
    </w:p>
    <w:p w:rsidRPr="00DE4C1E" w:rsidR="00560248" w:rsidP="00560248" w:rsidRDefault="003D1908" w14:paraId="508316DC" w14:textId="653DF823">
      <w:pPr>
        <w:widowControl w:val="0"/>
        <w:tabs>
          <w:tab w:val="left" w:pos="1080"/>
          <w:tab w:val="right" w:leader="dot" w:pos="9350"/>
        </w:tabs>
        <w:autoSpaceDE w:val="0"/>
        <w:autoSpaceDN w:val="0"/>
        <w:adjustRightInd w:val="0"/>
        <w:ind w:left="1080" w:hanging="540"/>
        <w:rPr>
          <w:noProof/>
        </w:rPr>
      </w:pPr>
      <w:hyperlink w:history="1" w:anchor="_Toc510779267">
        <w:r w:rsidRPr="00DE4C1E" w:rsidR="00560248">
          <w:rPr>
            <w:noProof/>
          </w:rPr>
          <w:t>4(b)</w:t>
        </w:r>
        <w:r w:rsidRPr="00DE4C1E" w:rsidR="00560248">
          <w:rPr>
            <w:rFonts w:ascii="Calibri" w:hAnsi="Calibri"/>
            <w:noProof/>
            <w:lang w:val="es-PR" w:eastAsia="es-PR"/>
          </w:rPr>
          <w:tab/>
        </w:r>
        <w:r w:rsidRPr="00DE4C1E" w:rsidR="00560248">
          <w:rPr>
            <w:noProof/>
          </w:rPr>
          <w:t>INFORMATION REQUESTED</w:t>
        </w:r>
        <w:r w:rsidRPr="00DE4C1E" w:rsidR="00560248">
          <w:rPr>
            <w:noProof/>
            <w:webHidden/>
          </w:rPr>
          <w:tab/>
        </w:r>
        <w:r w:rsidRPr="00DE4C1E" w:rsidR="002B3208">
          <w:rPr>
            <w:noProof/>
            <w:webHidden/>
          </w:rPr>
          <w:t>8</w:t>
        </w:r>
      </w:hyperlink>
    </w:p>
    <w:p w:rsidRPr="00DE4C1E" w:rsidR="001B3898" w:rsidP="00560248" w:rsidRDefault="001B3898" w14:paraId="156533A1" w14:textId="31603067">
      <w:pPr>
        <w:widowControl w:val="0"/>
        <w:tabs>
          <w:tab w:val="left" w:pos="1080"/>
          <w:tab w:val="right" w:leader="dot" w:pos="9350"/>
        </w:tabs>
        <w:autoSpaceDE w:val="0"/>
        <w:autoSpaceDN w:val="0"/>
        <w:adjustRightInd w:val="0"/>
        <w:ind w:left="1080" w:hanging="540"/>
        <w:rPr>
          <w:rFonts w:ascii="Calibri" w:hAnsi="Calibri"/>
          <w:noProof/>
          <w:lang w:val="es-PR" w:eastAsia="es-PR"/>
        </w:rPr>
      </w:pPr>
      <w:r w:rsidRPr="00DE4C1E">
        <w:rPr>
          <w:noProof/>
        </w:rPr>
        <w:t>4(c)</w:t>
      </w:r>
      <w:r w:rsidRPr="00DE4C1E">
        <w:rPr>
          <w:noProof/>
        </w:rPr>
        <w:tab/>
        <w:t>RESPONDENTACTIVITIES…………………………………………………………8</w:t>
      </w:r>
    </w:p>
    <w:p w:rsidRPr="00DE4C1E" w:rsidR="00560248" w:rsidP="00560248" w:rsidRDefault="003D1908" w14:paraId="5010DF32" w14:textId="617C5B60">
      <w:pPr>
        <w:widowControl w:val="0"/>
        <w:tabs>
          <w:tab w:val="left" w:pos="540"/>
          <w:tab w:val="right" w:leader="dot" w:pos="9350"/>
        </w:tabs>
        <w:autoSpaceDE w:val="0"/>
        <w:autoSpaceDN w:val="0"/>
        <w:adjustRightInd w:val="0"/>
        <w:spacing w:before="120"/>
        <w:ind w:left="547" w:hanging="547"/>
        <w:rPr>
          <w:rFonts w:ascii="Calibri" w:hAnsi="Calibri"/>
          <w:noProof/>
          <w:lang w:val="es-PR" w:eastAsia="es-PR"/>
        </w:rPr>
      </w:pPr>
      <w:hyperlink w:history="1" w:anchor="_Toc510779268">
        <w:r w:rsidRPr="00DE4C1E" w:rsidR="00560248">
          <w:rPr>
            <w:b/>
            <w:bCs/>
            <w:caps/>
            <w:noProof/>
          </w:rPr>
          <w:t>5.</w:t>
        </w:r>
        <w:r w:rsidRPr="00DE4C1E" w:rsidR="00560248">
          <w:rPr>
            <w:rFonts w:ascii="Calibri" w:hAnsi="Calibri"/>
            <w:noProof/>
            <w:lang w:val="es-PR" w:eastAsia="es-PR"/>
          </w:rPr>
          <w:tab/>
        </w:r>
        <w:r w:rsidRPr="00DE4C1E" w:rsidR="001B3898">
          <w:rPr>
            <w:b/>
            <w:bCs/>
            <w:caps/>
            <w:noProof/>
          </w:rPr>
          <w:t>INFORMATION COLLECtED</w:t>
        </w:r>
        <w:r w:rsidRPr="00DE4C1E" w:rsidR="00560248">
          <w:rPr>
            <w:b/>
            <w:bCs/>
            <w:caps/>
            <w:noProof/>
            <w:webHidden/>
          </w:rPr>
          <w:tab/>
        </w:r>
        <w:r w:rsidRPr="00DE4C1E" w:rsidR="002B3208">
          <w:rPr>
            <w:b/>
            <w:bCs/>
            <w:caps/>
            <w:noProof/>
            <w:webHidden/>
          </w:rPr>
          <w:t>8</w:t>
        </w:r>
      </w:hyperlink>
    </w:p>
    <w:p w:rsidRPr="00DE4C1E" w:rsidR="00560248" w:rsidP="00560248" w:rsidRDefault="003D1908" w14:paraId="324F62DF" w14:textId="6F4F100D">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69">
        <w:r w:rsidRPr="00DE4C1E" w:rsidR="00560248">
          <w:rPr>
            <w:noProof/>
          </w:rPr>
          <w:t>5(a)</w:t>
        </w:r>
        <w:r w:rsidRPr="00DE4C1E" w:rsidR="00560248">
          <w:rPr>
            <w:rFonts w:ascii="Calibri" w:hAnsi="Calibri"/>
            <w:noProof/>
            <w:lang w:val="es-PR" w:eastAsia="es-PR"/>
          </w:rPr>
          <w:tab/>
        </w:r>
        <w:r w:rsidRPr="00DE4C1E" w:rsidR="00560248">
          <w:rPr>
            <w:noProof/>
          </w:rPr>
          <w:t>AGENCY ACTIVITIES</w:t>
        </w:r>
        <w:r w:rsidRPr="00DE4C1E" w:rsidR="00560248">
          <w:rPr>
            <w:noProof/>
            <w:webHidden/>
          </w:rPr>
          <w:tab/>
        </w:r>
        <w:r w:rsidRPr="00DE4C1E" w:rsidR="002B3208">
          <w:rPr>
            <w:noProof/>
            <w:webHidden/>
          </w:rPr>
          <w:t>8</w:t>
        </w:r>
      </w:hyperlink>
    </w:p>
    <w:p w:rsidRPr="00DE4C1E" w:rsidR="00560248" w:rsidP="00560248" w:rsidRDefault="003D1908" w14:paraId="2A90D975" w14:textId="32A94FD4">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70">
        <w:r w:rsidRPr="00DE4C1E" w:rsidR="00560248">
          <w:rPr>
            <w:noProof/>
          </w:rPr>
          <w:t>5(b)</w:t>
        </w:r>
        <w:r w:rsidRPr="00DE4C1E" w:rsidR="00560248">
          <w:rPr>
            <w:rFonts w:ascii="Calibri" w:hAnsi="Calibri"/>
            <w:noProof/>
            <w:lang w:val="es-PR" w:eastAsia="es-PR"/>
          </w:rPr>
          <w:tab/>
        </w:r>
        <w:r w:rsidRPr="00DE4C1E" w:rsidR="00560248">
          <w:rPr>
            <w:noProof/>
          </w:rPr>
          <w:t>COLLECTION METHODOLOGY</w:t>
        </w:r>
        <w:r w:rsidRPr="00DE4C1E" w:rsidR="00560248">
          <w:rPr>
            <w:noProof/>
            <w:webHidden/>
          </w:rPr>
          <w:tab/>
        </w:r>
        <w:r w:rsidRPr="00DE4C1E" w:rsidR="00DE4C1E">
          <w:rPr>
            <w:noProof/>
            <w:webHidden/>
          </w:rPr>
          <w:t>8</w:t>
        </w:r>
      </w:hyperlink>
    </w:p>
    <w:p w:rsidRPr="00DE4C1E" w:rsidR="00560248" w:rsidP="00560248" w:rsidRDefault="003D1908" w14:paraId="11F32C2F" w14:textId="2EB31741">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71">
        <w:r w:rsidRPr="00DE4C1E" w:rsidR="00560248">
          <w:rPr>
            <w:noProof/>
          </w:rPr>
          <w:t>5(c)</w:t>
        </w:r>
        <w:r w:rsidRPr="00DE4C1E" w:rsidR="00560248">
          <w:rPr>
            <w:rFonts w:ascii="Calibri" w:hAnsi="Calibri"/>
            <w:noProof/>
            <w:lang w:val="es-PR" w:eastAsia="es-PR"/>
          </w:rPr>
          <w:tab/>
        </w:r>
        <w:r w:rsidRPr="00DE4C1E" w:rsidR="00560248">
          <w:rPr>
            <w:noProof/>
          </w:rPr>
          <w:t>SMALL ENTITY FLEXIBILITY</w:t>
        </w:r>
        <w:r w:rsidRPr="00DE4C1E" w:rsidR="00560248">
          <w:rPr>
            <w:noProof/>
            <w:webHidden/>
          </w:rPr>
          <w:tab/>
        </w:r>
        <w:r w:rsidRPr="00DE4C1E" w:rsidR="002B3208">
          <w:rPr>
            <w:noProof/>
            <w:webHidden/>
          </w:rPr>
          <w:t>9</w:t>
        </w:r>
      </w:hyperlink>
    </w:p>
    <w:p w:rsidRPr="00DE4C1E" w:rsidR="00560248" w:rsidP="00560248" w:rsidRDefault="003D1908" w14:paraId="38F2AFE9" w14:textId="57720807">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72">
        <w:r w:rsidRPr="00DE4C1E" w:rsidR="00560248">
          <w:rPr>
            <w:noProof/>
          </w:rPr>
          <w:t>5(d)</w:t>
        </w:r>
        <w:r w:rsidRPr="00DE4C1E" w:rsidR="00560248">
          <w:rPr>
            <w:rFonts w:ascii="Calibri" w:hAnsi="Calibri"/>
            <w:noProof/>
            <w:lang w:val="es-PR" w:eastAsia="es-PR"/>
          </w:rPr>
          <w:tab/>
        </w:r>
        <w:r w:rsidRPr="00DE4C1E" w:rsidR="00560248">
          <w:rPr>
            <w:noProof/>
          </w:rPr>
          <w:t>COLLECTION SCHEDULE</w:t>
        </w:r>
        <w:r w:rsidRPr="00DE4C1E" w:rsidR="00560248">
          <w:rPr>
            <w:noProof/>
            <w:webHidden/>
          </w:rPr>
          <w:tab/>
        </w:r>
        <w:r w:rsidRPr="00DE4C1E" w:rsidR="002B3208">
          <w:rPr>
            <w:noProof/>
            <w:webHidden/>
          </w:rPr>
          <w:t>9</w:t>
        </w:r>
      </w:hyperlink>
    </w:p>
    <w:p w:rsidRPr="00DE4C1E" w:rsidR="00560248" w:rsidP="00560248" w:rsidRDefault="003D1908" w14:paraId="51535742" w14:textId="11F238DE">
      <w:pPr>
        <w:widowControl w:val="0"/>
        <w:tabs>
          <w:tab w:val="left" w:pos="540"/>
          <w:tab w:val="right" w:leader="dot" w:pos="9350"/>
        </w:tabs>
        <w:autoSpaceDE w:val="0"/>
        <w:autoSpaceDN w:val="0"/>
        <w:adjustRightInd w:val="0"/>
        <w:spacing w:before="120"/>
        <w:ind w:left="547" w:hanging="547"/>
        <w:rPr>
          <w:rFonts w:ascii="Calibri" w:hAnsi="Calibri"/>
          <w:noProof/>
          <w:lang w:val="es-PR" w:eastAsia="es-PR"/>
        </w:rPr>
      </w:pPr>
      <w:hyperlink w:history="1" w:anchor="_Toc510779273">
        <w:r w:rsidRPr="00DE4C1E" w:rsidR="00560248">
          <w:rPr>
            <w:b/>
            <w:bCs/>
            <w:caps/>
            <w:noProof/>
          </w:rPr>
          <w:t>6.</w:t>
        </w:r>
        <w:r w:rsidRPr="00DE4C1E" w:rsidR="00560248">
          <w:rPr>
            <w:rFonts w:ascii="Calibri" w:hAnsi="Calibri"/>
            <w:noProof/>
            <w:lang w:val="es-PR" w:eastAsia="es-PR"/>
          </w:rPr>
          <w:tab/>
        </w:r>
        <w:r w:rsidRPr="00DE4C1E" w:rsidR="00560248">
          <w:rPr>
            <w:b/>
            <w:bCs/>
            <w:caps/>
            <w:noProof/>
          </w:rPr>
          <w:t xml:space="preserve">BURDEN </w:t>
        </w:r>
        <w:r w:rsidRPr="00DE4C1E" w:rsidR="001B3898">
          <w:rPr>
            <w:b/>
            <w:bCs/>
            <w:caps/>
            <w:noProof/>
          </w:rPr>
          <w:t xml:space="preserve">ESTIMATE </w:t>
        </w:r>
        <w:r w:rsidRPr="00DE4C1E" w:rsidR="00560248">
          <w:rPr>
            <w:b/>
            <w:bCs/>
            <w:caps/>
            <w:noProof/>
          </w:rPr>
          <w:t>AND COST</w:t>
        </w:r>
        <w:r w:rsidRPr="00DE4C1E" w:rsidR="001B3898">
          <w:rPr>
            <w:b/>
            <w:bCs/>
            <w:caps/>
            <w:noProof/>
          </w:rPr>
          <w:t xml:space="preserve"> of COLLECTION</w:t>
        </w:r>
        <w:r w:rsidRPr="00DE4C1E" w:rsidR="00560248">
          <w:rPr>
            <w:b/>
            <w:bCs/>
            <w:caps/>
            <w:noProof/>
            <w:webHidden/>
          </w:rPr>
          <w:tab/>
        </w:r>
        <w:r w:rsidRPr="00DE4C1E" w:rsidR="002B3208">
          <w:rPr>
            <w:b/>
            <w:bCs/>
            <w:caps/>
            <w:noProof/>
            <w:webHidden/>
          </w:rPr>
          <w:t>9</w:t>
        </w:r>
      </w:hyperlink>
    </w:p>
    <w:p w:rsidRPr="00DE4C1E" w:rsidR="00560248" w:rsidP="00560248" w:rsidRDefault="003D1908" w14:paraId="0547621C" w14:textId="361077C0">
      <w:pPr>
        <w:widowControl w:val="0"/>
        <w:tabs>
          <w:tab w:val="left" w:pos="1080"/>
          <w:tab w:val="right" w:leader="dot" w:pos="9350"/>
        </w:tabs>
        <w:autoSpaceDE w:val="0"/>
        <w:autoSpaceDN w:val="0"/>
        <w:adjustRightInd w:val="0"/>
        <w:ind w:left="1080" w:hanging="540"/>
        <w:rPr>
          <w:noProof/>
        </w:rPr>
      </w:pPr>
      <w:hyperlink w:history="1" w:anchor="_Toc510779274">
        <w:r w:rsidRPr="00DE4C1E" w:rsidR="00560248">
          <w:rPr>
            <w:noProof/>
          </w:rPr>
          <w:t>6(a)</w:t>
        </w:r>
        <w:r w:rsidRPr="00DE4C1E" w:rsidR="00560248">
          <w:rPr>
            <w:rFonts w:ascii="Calibri" w:hAnsi="Calibri"/>
            <w:noProof/>
            <w:lang w:val="es-PR" w:eastAsia="es-PR"/>
          </w:rPr>
          <w:tab/>
        </w:r>
        <w:r w:rsidRPr="00DE4C1E" w:rsidR="00560248">
          <w:rPr>
            <w:noProof/>
          </w:rPr>
          <w:t>ESTIMATING RESPONDENT BURDEN</w:t>
        </w:r>
        <w:r w:rsidRPr="00DE4C1E" w:rsidR="00560248">
          <w:rPr>
            <w:noProof/>
            <w:webHidden/>
          </w:rPr>
          <w:tab/>
        </w:r>
        <w:r w:rsidRPr="00DE4C1E" w:rsidR="001B3898">
          <w:rPr>
            <w:noProof/>
            <w:webHidden/>
          </w:rPr>
          <w:t>9</w:t>
        </w:r>
      </w:hyperlink>
    </w:p>
    <w:p w:rsidRPr="00DE4C1E" w:rsidR="001B3898" w:rsidP="00560248" w:rsidRDefault="00DE4C1E" w14:paraId="30CEC90F" w14:textId="44C6464E">
      <w:pPr>
        <w:widowControl w:val="0"/>
        <w:tabs>
          <w:tab w:val="left" w:pos="1080"/>
          <w:tab w:val="right" w:leader="dot" w:pos="9350"/>
        </w:tabs>
        <w:autoSpaceDE w:val="0"/>
        <w:autoSpaceDN w:val="0"/>
        <w:adjustRightInd w:val="0"/>
        <w:ind w:left="1080" w:hanging="540"/>
        <w:rPr>
          <w:rFonts w:ascii="Calibri" w:hAnsi="Calibri"/>
          <w:noProof/>
          <w:lang w:val="es-PR" w:eastAsia="es-PR"/>
        </w:rPr>
      </w:pPr>
      <w:r w:rsidRPr="00DE4C1E">
        <w:rPr>
          <w:noProof/>
        </w:rPr>
        <w:t xml:space="preserve">6(b) </w:t>
      </w:r>
      <w:r w:rsidRPr="00DE4C1E" w:rsidR="001B3898">
        <w:rPr>
          <w:noProof/>
        </w:rPr>
        <w:t xml:space="preserve"> RESPONDENT UNIVERSE AND BURDEN………………………………………10</w:t>
      </w:r>
    </w:p>
    <w:p w:rsidRPr="00DE4C1E" w:rsidR="00560248" w:rsidP="00560248" w:rsidRDefault="003D1908" w14:paraId="1E8B8B90" w14:textId="6F52571A">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75">
        <w:r w:rsidRPr="00DE4C1E" w:rsidR="00560248">
          <w:rPr>
            <w:noProof/>
          </w:rPr>
          <w:t>6(</w:t>
        </w:r>
        <w:r w:rsidRPr="00DE4C1E" w:rsidR="009E33FC">
          <w:rPr>
            <w:noProof/>
          </w:rPr>
          <w:t>c</w:t>
        </w:r>
        <w:r w:rsidRPr="00DE4C1E" w:rsidR="00560248">
          <w:rPr>
            <w:noProof/>
          </w:rPr>
          <w:t>)</w:t>
        </w:r>
        <w:r w:rsidRPr="00DE4C1E" w:rsidR="00560248">
          <w:rPr>
            <w:rFonts w:ascii="Calibri" w:hAnsi="Calibri"/>
            <w:noProof/>
            <w:lang w:val="es-PR" w:eastAsia="es-PR"/>
          </w:rPr>
          <w:tab/>
        </w:r>
        <w:r w:rsidRPr="00DE4C1E" w:rsidR="00560248">
          <w:rPr>
            <w:noProof/>
          </w:rPr>
          <w:t>ESTIMATING RESPONDENT COSTS</w:t>
        </w:r>
        <w:r w:rsidRPr="00DE4C1E" w:rsidR="00560248">
          <w:rPr>
            <w:noProof/>
            <w:webHidden/>
          </w:rPr>
          <w:tab/>
        </w:r>
        <w:r w:rsidRPr="00DE4C1E" w:rsidR="009E33FC">
          <w:rPr>
            <w:noProof/>
            <w:webHidden/>
          </w:rPr>
          <w:t>10</w:t>
        </w:r>
      </w:hyperlink>
    </w:p>
    <w:p w:rsidRPr="00DE4C1E" w:rsidR="00560248" w:rsidP="00560248" w:rsidRDefault="003D1908" w14:paraId="6A75E069" w14:textId="719A81E2">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76">
        <w:r w:rsidRPr="00DE4C1E" w:rsidR="00560248">
          <w:rPr>
            <w:noProof/>
          </w:rPr>
          <w:t>6(</w:t>
        </w:r>
        <w:r w:rsidRPr="00DE4C1E" w:rsidR="009E33FC">
          <w:rPr>
            <w:noProof/>
          </w:rPr>
          <w:t>d</w:t>
        </w:r>
        <w:r w:rsidRPr="00DE4C1E" w:rsidR="00560248">
          <w:rPr>
            <w:noProof/>
          </w:rPr>
          <w:t>)</w:t>
        </w:r>
        <w:r w:rsidRPr="00DE4C1E" w:rsidR="00560248">
          <w:rPr>
            <w:rFonts w:ascii="Calibri" w:hAnsi="Calibri"/>
            <w:noProof/>
            <w:lang w:val="es-PR" w:eastAsia="es-PR"/>
          </w:rPr>
          <w:tab/>
        </w:r>
        <w:r w:rsidRPr="00DE4C1E" w:rsidR="00560248">
          <w:rPr>
            <w:noProof/>
          </w:rPr>
          <w:t>ESTIMATING AGENCY BURDEN AND COST</w:t>
        </w:r>
        <w:r w:rsidRPr="00DE4C1E" w:rsidR="00560248">
          <w:rPr>
            <w:noProof/>
            <w:webHidden/>
          </w:rPr>
          <w:tab/>
        </w:r>
        <w:r w:rsidRPr="00DE4C1E" w:rsidR="009E33FC">
          <w:rPr>
            <w:noProof/>
            <w:webHidden/>
          </w:rPr>
          <w:t>11</w:t>
        </w:r>
      </w:hyperlink>
    </w:p>
    <w:p w:rsidRPr="00DE4C1E" w:rsidR="00560248" w:rsidP="00560248" w:rsidRDefault="003D1908" w14:paraId="74D83A14" w14:textId="0ABEDF66">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78">
        <w:r w:rsidRPr="00DE4C1E" w:rsidR="00560248">
          <w:rPr>
            <w:noProof/>
          </w:rPr>
          <w:t>6(e)</w:t>
        </w:r>
        <w:r w:rsidRPr="00DE4C1E" w:rsidR="00560248">
          <w:rPr>
            <w:rFonts w:ascii="Calibri" w:hAnsi="Calibri"/>
            <w:noProof/>
            <w:lang w:val="es-PR" w:eastAsia="es-PR"/>
          </w:rPr>
          <w:tab/>
        </w:r>
        <w:bookmarkStart w:name="_Hlk69290139" w:id="0"/>
        <w:r w:rsidRPr="00DE4C1E" w:rsidR="00560248">
          <w:rPr>
            <w:noProof/>
          </w:rPr>
          <w:t>BOTTOM LINE</w:t>
        </w:r>
        <w:r w:rsidRPr="00DE4C1E" w:rsidR="009E33FC">
          <w:rPr>
            <w:noProof/>
          </w:rPr>
          <w:t xml:space="preserve"> SUMMARY</w:t>
        </w:r>
        <w:r w:rsidRPr="00DE4C1E" w:rsidR="00560248">
          <w:rPr>
            <w:noProof/>
          </w:rPr>
          <w:t xml:space="preserve"> BURDEN HOUR AND COST</w:t>
        </w:r>
        <w:bookmarkEnd w:id="0"/>
        <w:r w:rsidRPr="00DE4C1E" w:rsidR="009E33FC">
          <w:rPr>
            <w:noProof/>
          </w:rPr>
          <w:t>S</w:t>
        </w:r>
        <w:r w:rsidRPr="00DE4C1E" w:rsidR="00560248">
          <w:rPr>
            <w:noProof/>
            <w:webHidden/>
          </w:rPr>
          <w:tab/>
        </w:r>
        <w:r w:rsidRPr="00DE4C1E" w:rsidR="00560248">
          <w:rPr>
            <w:noProof/>
            <w:webHidden/>
          </w:rPr>
          <w:fldChar w:fldCharType="begin"/>
        </w:r>
        <w:r w:rsidRPr="00DE4C1E" w:rsidR="00560248">
          <w:rPr>
            <w:noProof/>
            <w:webHidden/>
          </w:rPr>
          <w:instrText xml:space="preserve"> PAGEREF _Toc510779278 \h </w:instrText>
        </w:r>
        <w:r w:rsidRPr="00DE4C1E" w:rsidR="00560248">
          <w:rPr>
            <w:noProof/>
            <w:webHidden/>
          </w:rPr>
        </w:r>
        <w:r w:rsidRPr="00DE4C1E" w:rsidR="00560248">
          <w:rPr>
            <w:noProof/>
            <w:webHidden/>
          </w:rPr>
          <w:fldChar w:fldCharType="separate"/>
        </w:r>
        <w:r w:rsidRPr="00DE4C1E" w:rsidR="009E33FC">
          <w:rPr>
            <w:noProof/>
            <w:webHidden/>
          </w:rPr>
          <w:t>1</w:t>
        </w:r>
        <w:r w:rsidRPr="00DE4C1E" w:rsidR="00560248">
          <w:rPr>
            <w:noProof/>
            <w:webHidden/>
          </w:rPr>
          <w:t>3</w:t>
        </w:r>
        <w:r w:rsidRPr="00DE4C1E" w:rsidR="00560248">
          <w:rPr>
            <w:noProof/>
            <w:webHidden/>
          </w:rPr>
          <w:fldChar w:fldCharType="end"/>
        </w:r>
      </w:hyperlink>
    </w:p>
    <w:p w:rsidRPr="00DE4C1E" w:rsidR="00560248" w:rsidP="00560248" w:rsidRDefault="003D1908" w14:paraId="263912E5" w14:textId="744D9D31">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79">
        <w:r w:rsidRPr="00DE4C1E" w:rsidR="00560248">
          <w:rPr>
            <w:noProof/>
          </w:rPr>
          <w:t>6(f)</w:t>
        </w:r>
        <w:r w:rsidRPr="00DE4C1E" w:rsidR="00560248">
          <w:rPr>
            <w:rFonts w:ascii="Calibri" w:hAnsi="Calibri"/>
            <w:noProof/>
            <w:lang w:val="es-PR" w:eastAsia="es-PR"/>
          </w:rPr>
          <w:tab/>
        </w:r>
        <w:r w:rsidRPr="00DE4C1E" w:rsidR="00560248">
          <w:rPr>
            <w:noProof/>
          </w:rPr>
          <w:t>REASONS FOR CHANGE IN BURDEN</w:t>
        </w:r>
        <w:r w:rsidRPr="00DE4C1E" w:rsidR="00560248">
          <w:rPr>
            <w:noProof/>
            <w:webHidden/>
          </w:rPr>
          <w:tab/>
        </w:r>
        <w:r w:rsidRPr="00DE4C1E" w:rsidR="009E33FC">
          <w:rPr>
            <w:noProof/>
            <w:webHidden/>
          </w:rPr>
          <w:t>13</w:t>
        </w:r>
      </w:hyperlink>
    </w:p>
    <w:p w:rsidRPr="00DE4C1E" w:rsidR="00560248" w:rsidP="00560248" w:rsidRDefault="003D1908" w14:paraId="769697F5" w14:textId="403B9F8A">
      <w:pPr>
        <w:widowControl w:val="0"/>
        <w:tabs>
          <w:tab w:val="left" w:pos="1080"/>
          <w:tab w:val="right" w:leader="dot" w:pos="9350"/>
        </w:tabs>
        <w:autoSpaceDE w:val="0"/>
        <w:autoSpaceDN w:val="0"/>
        <w:adjustRightInd w:val="0"/>
        <w:ind w:left="1080" w:hanging="540"/>
        <w:rPr>
          <w:rFonts w:ascii="Calibri" w:hAnsi="Calibri"/>
          <w:noProof/>
          <w:lang w:val="es-PR" w:eastAsia="es-PR"/>
        </w:rPr>
      </w:pPr>
      <w:hyperlink w:history="1" w:anchor="_Toc510779280">
        <w:r w:rsidRPr="00DE4C1E" w:rsidR="00560248">
          <w:rPr>
            <w:noProof/>
          </w:rPr>
          <w:t>6(g)</w:t>
        </w:r>
        <w:r w:rsidRPr="00DE4C1E" w:rsidR="00560248">
          <w:rPr>
            <w:rFonts w:ascii="Calibri" w:hAnsi="Calibri"/>
            <w:noProof/>
            <w:lang w:val="es-PR" w:eastAsia="es-PR"/>
          </w:rPr>
          <w:tab/>
        </w:r>
        <w:r w:rsidRPr="00DE4C1E" w:rsidR="00560248">
          <w:rPr>
            <w:noProof/>
          </w:rPr>
          <w:t>BURDEN STATEMENT</w:t>
        </w:r>
        <w:r w:rsidRPr="00DE4C1E" w:rsidR="00560248">
          <w:rPr>
            <w:noProof/>
            <w:webHidden/>
          </w:rPr>
          <w:tab/>
        </w:r>
        <w:r w:rsidRPr="00DE4C1E" w:rsidR="009E33FC">
          <w:rPr>
            <w:noProof/>
            <w:webHidden/>
          </w:rPr>
          <w:t>14</w:t>
        </w:r>
      </w:hyperlink>
    </w:p>
    <w:p w:rsidRPr="00DE4C1E" w:rsidR="00560248" w:rsidP="00560248" w:rsidRDefault="00560248" w14:paraId="0A5077C3" w14:textId="77777777">
      <w:pPr>
        <w:autoSpaceDE w:val="0"/>
        <w:autoSpaceDN w:val="0"/>
        <w:adjustRightInd w:val="0"/>
      </w:pPr>
      <w:r w:rsidRPr="00DE4C1E">
        <w:rPr>
          <w:bCs/>
          <w:caps/>
        </w:rPr>
        <w:fldChar w:fldCharType="end"/>
      </w:r>
    </w:p>
    <w:p w:rsidRPr="00560248" w:rsidR="00560248" w:rsidP="00560248" w:rsidRDefault="00560248" w14:paraId="4C0F1ABA" w14:textId="77777777">
      <w:pPr>
        <w:autoSpaceDE w:val="0"/>
        <w:autoSpaceDN w:val="0"/>
        <w:adjustRightInd w:val="0"/>
      </w:pPr>
    </w:p>
    <w:p w:rsidRPr="00560248" w:rsidR="00560248" w:rsidP="00560248" w:rsidRDefault="00560248" w14:paraId="7A8135D2" w14:textId="77777777">
      <w:pPr>
        <w:autoSpaceDE w:val="0"/>
        <w:autoSpaceDN w:val="0"/>
        <w:adjustRightInd w:val="0"/>
        <w:ind w:left="720" w:hanging="720"/>
        <w:jc w:val="center"/>
        <w:sectPr w:rsidRPr="00560248" w:rsidR="00560248" w:rsidSect="00FE537D">
          <w:footerReference w:type="default" r:id="rId15"/>
          <w:pgSz w:w="12240" w:h="15840"/>
          <w:pgMar w:top="1440" w:right="1440" w:bottom="1440" w:left="1440" w:header="720" w:footer="720" w:gutter="0"/>
          <w:pgNumType w:start="2"/>
          <w:cols w:space="720"/>
          <w:docGrid w:linePitch="360"/>
        </w:sectPr>
      </w:pPr>
    </w:p>
    <w:p w:rsidR="00560248" w:rsidRDefault="00560248" w14:paraId="7197CBA5" w14:textId="08536058">
      <w:r>
        <w:br w:type="page"/>
      </w:r>
    </w:p>
    <w:p w:rsidR="009F7072" w:rsidP="00BA6D69" w:rsidRDefault="009F7072" w14:paraId="01A3C805" w14:textId="77777777">
      <w:pPr>
        <w:jc w:val="center"/>
      </w:pPr>
    </w:p>
    <w:p w:rsidR="00BA6D69" w:rsidP="00BA6D69" w:rsidRDefault="00BA6D69" w14:paraId="275BC527" w14:textId="24F54D00">
      <w:pPr>
        <w:jc w:val="center"/>
      </w:pPr>
      <w:r>
        <w:t>SUPPORTING STATEMENT</w:t>
      </w:r>
    </w:p>
    <w:p w:rsidR="00BA6D69" w:rsidP="00BA6D69" w:rsidRDefault="00BA6D69" w14:paraId="06A73CB8" w14:textId="77777777"/>
    <w:p w:rsidR="00BA6D69" w:rsidP="00BA6D69" w:rsidRDefault="00BA6D69" w14:paraId="58D10043" w14:textId="77777777">
      <w:pPr>
        <w:numPr>
          <w:ilvl w:val="0"/>
          <w:numId w:val="1"/>
        </w:numPr>
        <w:tabs>
          <w:tab w:val="clear" w:pos="1080"/>
          <w:tab w:val="num" w:pos="720"/>
        </w:tabs>
        <w:ind w:left="720"/>
        <w:rPr>
          <w:u w:val="single"/>
        </w:rPr>
      </w:pPr>
      <w:r w:rsidRPr="00701604">
        <w:rPr>
          <w:u w:val="single"/>
        </w:rPr>
        <w:t>IDENTIFICATION OF THE INFORMATION COLLECTION</w:t>
      </w:r>
    </w:p>
    <w:p w:rsidR="00BA6D69" w:rsidP="00BA6D69" w:rsidRDefault="00BA6D69" w14:paraId="6503E4A0" w14:textId="77777777">
      <w:pPr>
        <w:rPr>
          <w:u w:val="single"/>
        </w:rPr>
      </w:pPr>
    </w:p>
    <w:p w:rsidR="00BA6D69" w:rsidP="00BA6D69" w:rsidRDefault="00BA6D69" w14:paraId="6166C99B" w14:textId="77777777">
      <w:pPr>
        <w:numPr>
          <w:ilvl w:val="1"/>
          <w:numId w:val="1"/>
        </w:numPr>
        <w:ind w:hanging="720"/>
      </w:pPr>
      <w:r w:rsidRPr="00701604">
        <w:t xml:space="preserve">TITLE OF THE INFORMATION </w:t>
      </w:r>
      <w:r>
        <w:t>COLLECTION</w:t>
      </w:r>
    </w:p>
    <w:p w:rsidR="00BA6D69" w:rsidP="00100F19" w:rsidRDefault="00BA6D69" w14:paraId="3F512656" w14:textId="77777777">
      <w:pPr>
        <w:jc w:val="center"/>
      </w:pPr>
    </w:p>
    <w:p w:rsidR="0075743B" w:rsidRDefault="000C1777" w14:paraId="6BBE7F4A" w14:textId="77777777">
      <w:pPr>
        <w:ind w:left="720"/>
      </w:pPr>
      <w:r>
        <w:t>Exchange Network Grants Progress Report</w:t>
      </w:r>
      <w:r w:rsidR="006157B3">
        <w:t>s</w:t>
      </w:r>
      <w:r>
        <w:t xml:space="preserve"> (Renewal)</w:t>
      </w:r>
      <w:r w:rsidR="00BA6D69">
        <w:t xml:space="preserve"> </w:t>
      </w:r>
    </w:p>
    <w:p w:rsidR="00E80663" w:rsidRDefault="0075743B" w14:paraId="273881B8" w14:textId="10152A8C">
      <w:pPr>
        <w:ind w:left="720"/>
      </w:pPr>
      <w:r>
        <w:t xml:space="preserve">EPA </w:t>
      </w:r>
      <w:r w:rsidR="00BA6D69">
        <w:t xml:space="preserve">ICR </w:t>
      </w:r>
      <w:r>
        <w:t xml:space="preserve">Number </w:t>
      </w:r>
      <w:r w:rsidRPr="00880F82" w:rsidR="00BA6D69">
        <w:t>2207.0</w:t>
      </w:r>
      <w:r w:rsidR="00E1540C">
        <w:t>8</w:t>
      </w:r>
      <w:r w:rsidRPr="002341B1" w:rsidR="00BA6D69">
        <w:t>,</w:t>
      </w:r>
      <w:r w:rsidRPr="00880F82" w:rsidR="00BA6D69">
        <w:t xml:space="preserve"> </w:t>
      </w:r>
      <w:r w:rsidR="00BA6D69">
        <w:t xml:space="preserve">OMB Control Number </w:t>
      </w:r>
      <w:r w:rsidRPr="00880F82" w:rsidR="00BA6D69">
        <w:t>2025-0006</w:t>
      </w:r>
    </w:p>
    <w:p w:rsidR="00E1540C" w:rsidRDefault="00E1540C" w14:paraId="03153C3C" w14:textId="77777777">
      <w:pPr>
        <w:ind w:left="720"/>
      </w:pPr>
    </w:p>
    <w:p w:rsidR="00BA6D69" w:rsidP="00BA6D69" w:rsidRDefault="00BA6D69" w14:paraId="35318D08" w14:textId="77777777">
      <w:pPr>
        <w:ind w:left="360" w:firstLine="360"/>
      </w:pPr>
      <w:r>
        <w:t>(b) SHORT CHARACTERIZATION</w:t>
      </w:r>
    </w:p>
    <w:p w:rsidR="00BA6D69" w:rsidP="00BA6D69" w:rsidRDefault="00BA6D69" w14:paraId="48FC31AA" w14:textId="77777777">
      <w:pPr>
        <w:ind w:left="360" w:firstLine="720"/>
      </w:pPr>
    </w:p>
    <w:p w:rsidR="000C4EB3" w:rsidP="000C4EB3" w:rsidRDefault="00BA6D69" w14:paraId="6D24FC9B" w14:textId="44C3A9D5">
      <w:pPr>
        <w:numPr>
          <w:ilvl w:val="12"/>
          <w:numId w:val="0"/>
        </w:numPr>
        <w:ind w:firstLine="720"/>
      </w:pPr>
      <w:r w:rsidRPr="00DF7DCD">
        <w:t>The E</w:t>
      </w:r>
      <w:r>
        <w:t>nvironmental Protection Agency</w:t>
      </w:r>
      <w:r w:rsidR="00A93F6C">
        <w:t>’s</w:t>
      </w:r>
      <w:r>
        <w:t xml:space="preserve"> (EPA)</w:t>
      </w:r>
      <w:r w:rsidRPr="00DF7DCD">
        <w:t xml:space="preserve"> Office of </w:t>
      </w:r>
      <w:r w:rsidR="00181D40">
        <w:t>Mission Support – Environmental Information (OMS-EI)</w:t>
      </w:r>
      <w:r w:rsidR="00352850">
        <w:t xml:space="preserve"> </w:t>
      </w:r>
      <w:r w:rsidRPr="00DF7DCD">
        <w:t>provides funding</w:t>
      </w:r>
      <w:r w:rsidR="007F1B14">
        <w:t xml:space="preserve"> via </w:t>
      </w:r>
      <w:r w:rsidR="005A7692">
        <w:t>g</w:t>
      </w:r>
      <w:r w:rsidR="007F1B14">
        <w:t>rants</w:t>
      </w:r>
      <w:r w:rsidRPr="00DF7DCD">
        <w:t xml:space="preserve"> to EPA’s Exchange Network partners</w:t>
      </w:r>
      <w:r w:rsidR="00A93F6C">
        <w:t xml:space="preserve"> (</w:t>
      </w:r>
      <w:r w:rsidRPr="00DF7DCD">
        <w:t>states</w:t>
      </w:r>
      <w:r w:rsidR="00A93F6C">
        <w:t>,</w:t>
      </w:r>
      <w:r w:rsidRPr="00DF7DCD">
        <w:t xml:space="preserve"> territories</w:t>
      </w:r>
      <w:r w:rsidR="00A93F6C">
        <w:t>,</w:t>
      </w:r>
      <w:r w:rsidRPr="00DF7DCD">
        <w:t xml:space="preserve"> and federally recognized Indian tribes</w:t>
      </w:r>
      <w:r w:rsidR="00A93F6C">
        <w:t>)</w:t>
      </w:r>
      <w:r w:rsidRPr="00DF7DCD">
        <w:t xml:space="preserve"> to support the development of the </w:t>
      </w:r>
      <w:r w:rsidR="00E475E8">
        <w:t xml:space="preserve">National </w:t>
      </w:r>
      <w:r w:rsidRPr="00DF7DCD">
        <w:t>E</w:t>
      </w:r>
      <w:r>
        <w:t xml:space="preserve">nvironmental </w:t>
      </w:r>
      <w:r w:rsidRPr="00DF7DCD">
        <w:t>I</w:t>
      </w:r>
      <w:r>
        <w:t xml:space="preserve">nformation </w:t>
      </w:r>
      <w:r w:rsidRPr="00DF7DCD">
        <w:t>E</w:t>
      </w:r>
      <w:r>
        <w:t>xchange Network (</w:t>
      </w:r>
      <w:r w:rsidR="00E475E8">
        <w:t xml:space="preserve">Exchange Network or </w:t>
      </w:r>
      <w:r>
        <w:t>EN)</w:t>
      </w:r>
      <w:r w:rsidRPr="00DF7DCD">
        <w:t>.</w:t>
      </w:r>
      <w:r w:rsidR="00233376">
        <w:t xml:space="preserve"> The Exchange Network</w:t>
      </w:r>
      <w:r w:rsidR="00DE60F0">
        <w:t xml:space="preserve"> is a communication, data, and services platform for sharing environmental information to foster informed decision-making</w:t>
      </w:r>
      <w:r w:rsidR="009D6FA7">
        <w:t xml:space="preserve">. It is </w:t>
      </w:r>
      <w:r w:rsidR="00DE60F0">
        <w:t>managed under the collaborative leadership of EPA, States, Territories, and Tribes.</w:t>
      </w:r>
      <w:r w:rsidR="000C4EB3">
        <w:t xml:space="preserve"> </w:t>
      </w:r>
      <w:r w:rsidR="009E55D5">
        <w:t xml:space="preserve">The </w:t>
      </w:r>
      <w:r w:rsidR="000C4EB3">
        <w:t xml:space="preserve">EN </w:t>
      </w:r>
      <w:r w:rsidR="009E55D5">
        <w:t xml:space="preserve">is currently used by its </w:t>
      </w:r>
      <w:r w:rsidR="000C4EB3">
        <w:t xml:space="preserve">partners </w:t>
      </w:r>
      <w:r w:rsidR="009E55D5">
        <w:t xml:space="preserve">to </w:t>
      </w:r>
      <w:r w:rsidR="000C4EB3">
        <w:t>share electronic data</w:t>
      </w:r>
      <w:r w:rsidR="009E55D5">
        <w:t xml:space="preserve"> related to </w:t>
      </w:r>
      <w:r w:rsidR="00181D40">
        <w:t>environmental issues</w:t>
      </w:r>
      <w:r w:rsidR="00B03AE3">
        <w:t xml:space="preserve"> </w:t>
      </w:r>
      <w:r w:rsidR="009E55D5">
        <w:t>including, but not limited to</w:t>
      </w:r>
      <w:r w:rsidR="005A7692">
        <w:t xml:space="preserve">, </w:t>
      </w:r>
      <w:r w:rsidR="000C4EB3">
        <w:t>ambient air quality, air emissions inventor</w:t>
      </w:r>
      <w:r w:rsidR="009E55D5">
        <w:t>ies</w:t>
      </w:r>
      <w:r w:rsidR="000C4EB3">
        <w:t xml:space="preserve">, inland water quality, coastal water quality, drinking water violations and National Pollutant Discharge Elimination System (NPDES) </w:t>
      </w:r>
      <w:r w:rsidR="009E55D5">
        <w:t>reports</w:t>
      </w:r>
      <w:r w:rsidR="000C4EB3">
        <w:t>.</w:t>
      </w:r>
    </w:p>
    <w:p w:rsidR="00A93F6C" w:rsidP="00BA6D69" w:rsidRDefault="00A93F6C" w14:paraId="362F7824" w14:textId="77777777">
      <w:pPr>
        <w:numPr>
          <w:ilvl w:val="12"/>
          <w:numId w:val="0"/>
        </w:numPr>
        <w:ind w:firstLine="720"/>
      </w:pPr>
    </w:p>
    <w:p w:rsidRPr="004F201C" w:rsidR="00BA6D69" w:rsidP="00BA6D69" w:rsidRDefault="00BA6D69" w14:paraId="5620D9FD" w14:textId="77F88FB8">
      <w:pPr>
        <w:ind w:firstLine="720"/>
      </w:pPr>
      <w:r>
        <w:t xml:space="preserve">As a stipulation of </w:t>
      </w:r>
      <w:r w:rsidR="007F1B14">
        <w:t xml:space="preserve">the </w:t>
      </w:r>
      <w:r w:rsidR="005A7692">
        <w:t>g</w:t>
      </w:r>
      <w:r w:rsidR="007F1B14">
        <w:t xml:space="preserve">rant </w:t>
      </w:r>
      <w:r w:rsidR="005A7692">
        <w:t>p</w:t>
      </w:r>
      <w:r w:rsidR="007F1B14">
        <w:t>rogram</w:t>
      </w:r>
      <w:r>
        <w:t xml:space="preserve">, recipients are required to submit </w:t>
      </w:r>
      <w:r w:rsidR="00181D40">
        <w:t xml:space="preserve">the following reports: </w:t>
      </w:r>
      <w:r w:rsidR="00B03AE3">
        <w:t>i</w:t>
      </w:r>
      <w:r w:rsidR="00181D40">
        <w:t xml:space="preserve">) </w:t>
      </w:r>
      <w:bookmarkStart w:name="_Hlk63881653" w:id="1"/>
      <w:r w:rsidR="00181D40">
        <w:t>Quality Assurance Reporting Form (</w:t>
      </w:r>
      <w:r w:rsidRPr="00181D40" w:rsidR="00181D40">
        <w:t>EPA Form 5300-27</w:t>
      </w:r>
      <w:r w:rsidR="00181D40">
        <w:t xml:space="preserve">) within </w:t>
      </w:r>
      <w:r w:rsidR="00B03AE3">
        <w:t>90 days of the award</w:t>
      </w:r>
      <w:bookmarkEnd w:id="1"/>
      <w:r w:rsidR="00B03AE3">
        <w:t>, ii) S</w:t>
      </w:r>
      <w:r>
        <w:t>emi-</w:t>
      </w:r>
      <w:r w:rsidR="00B03AE3">
        <w:t>A</w:t>
      </w:r>
      <w:r>
        <w:t xml:space="preserve">nnual </w:t>
      </w:r>
      <w:r w:rsidR="003570BE">
        <w:t>R</w:t>
      </w:r>
      <w:r w:rsidR="00B03AE3">
        <w:t xml:space="preserve">eports </w:t>
      </w:r>
      <w:bookmarkStart w:name="_Hlk63930674" w:id="2"/>
      <w:r w:rsidRPr="00B03AE3" w:rsidR="00B03AE3">
        <w:t>(EPA Form 5300-26</w:t>
      </w:r>
      <w:r w:rsidR="00B03AE3">
        <w:t>)</w:t>
      </w:r>
      <w:bookmarkEnd w:id="2"/>
      <w:r w:rsidR="003570BE">
        <w:t>,</w:t>
      </w:r>
      <w:r w:rsidR="00B03AE3">
        <w:t xml:space="preserve"> and iii) a Final </w:t>
      </w:r>
      <w:r w:rsidR="009B1A73">
        <w:t>Progress Report</w:t>
      </w:r>
      <w:r w:rsidR="00B03AE3">
        <w:t xml:space="preserve"> </w:t>
      </w:r>
      <w:r w:rsidRPr="003570BE" w:rsidR="003570BE">
        <w:t xml:space="preserve">(EPA Form 5300-26) </w:t>
      </w:r>
      <w:r w:rsidR="00B03AE3">
        <w:t>within</w:t>
      </w:r>
      <w:r w:rsidRPr="00B03AE3" w:rsidR="00B03AE3">
        <w:t xml:space="preserve"> 90 calendar days after the period of performance end date. </w:t>
      </w:r>
      <w:r w:rsidR="00FB415F">
        <w:t xml:space="preserve">The information gathered from </w:t>
      </w:r>
      <w:r w:rsidR="00640C27">
        <w:t>these</w:t>
      </w:r>
      <w:r w:rsidR="00223B63">
        <w:t xml:space="preserve"> reports </w:t>
      </w:r>
      <w:r w:rsidR="00FB415F">
        <w:t>help</w:t>
      </w:r>
      <w:r w:rsidR="00223B63">
        <w:t>s</w:t>
      </w:r>
      <w:r w:rsidR="00FB415F">
        <w:t xml:space="preserve"> EPA ensure projects are on schedule to meet their goals and produce high quality environmental outputs.</w:t>
      </w:r>
      <w:r>
        <w:t xml:space="preserve">  </w:t>
      </w:r>
    </w:p>
    <w:p w:rsidR="003857A4" w:rsidP="00BA6D69" w:rsidRDefault="003857A4" w14:paraId="394F8CEA" w14:textId="77777777"/>
    <w:p w:rsidR="00BA6D69" w:rsidP="00BA6D69" w:rsidRDefault="00BA6D69" w14:paraId="3BDDC37A" w14:textId="77777777">
      <w:pPr>
        <w:rPr>
          <w:u w:val="single"/>
        </w:rPr>
      </w:pPr>
      <w:r>
        <w:t>2.</w:t>
      </w:r>
      <w:r>
        <w:tab/>
      </w:r>
      <w:r w:rsidRPr="00AD62AB">
        <w:rPr>
          <w:u w:val="single"/>
        </w:rPr>
        <w:t>NEED FOR AND USE OF THE COLLECTION</w:t>
      </w:r>
    </w:p>
    <w:p w:rsidR="00BA6D69" w:rsidP="00BA6D69" w:rsidRDefault="00BA6D69" w14:paraId="45A0EA53" w14:textId="77777777"/>
    <w:p w:rsidR="00BA6D69" w:rsidP="00BA6D69" w:rsidRDefault="00BA6D69" w14:paraId="494A452C" w14:textId="77777777">
      <w:pPr>
        <w:numPr>
          <w:ilvl w:val="0"/>
          <w:numId w:val="2"/>
        </w:numPr>
      </w:pPr>
      <w:r>
        <w:t>AUTHORITY/NEED FOR THE COLLECTION</w:t>
      </w:r>
    </w:p>
    <w:p w:rsidR="00BA6D69" w:rsidP="00BA6D69" w:rsidRDefault="00BA6D69" w14:paraId="414C8CB7" w14:textId="77777777"/>
    <w:p w:rsidRPr="007E753A" w:rsidR="00BA6D69" w:rsidP="00BA6D69" w:rsidRDefault="00BA6D69" w14:paraId="30BF1941" w14:textId="7796F730">
      <w:pPr>
        <w:pStyle w:val="HTMLPreformatted"/>
        <w:rPr>
          <w:rFonts w:ascii="Times New Roman" w:hAnsi="Times New Roman" w:cs="Times New Roman"/>
          <w:sz w:val="24"/>
          <w:szCs w:val="24"/>
          <w:highlight w:val="yellow"/>
        </w:rPr>
      </w:pPr>
      <w:r>
        <w:rPr>
          <w:sz w:val="24"/>
          <w:szCs w:val="24"/>
          <w:lang w:val="en-CA"/>
        </w:rPr>
        <w:tab/>
      </w:r>
      <w:r>
        <w:rPr>
          <w:rFonts w:ascii="Times New Roman" w:hAnsi="Times New Roman" w:cs="Times New Roman"/>
          <w:sz w:val="24"/>
          <w:szCs w:val="24"/>
          <w:lang w:val="en-CA"/>
        </w:rPr>
        <w:t>The authority to gather pr</w:t>
      </w:r>
      <w:r w:rsidR="00666C06">
        <w:rPr>
          <w:rFonts w:ascii="Times New Roman" w:hAnsi="Times New Roman" w:cs="Times New Roman"/>
          <w:sz w:val="24"/>
          <w:szCs w:val="24"/>
          <w:lang w:val="en-CA"/>
        </w:rPr>
        <w:t>ogress performance for assistance</w:t>
      </w:r>
      <w:r>
        <w:rPr>
          <w:rFonts w:ascii="Times New Roman" w:hAnsi="Times New Roman" w:cs="Times New Roman"/>
          <w:sz w:val="24"/>
          <w:szCs w:val="24"/>
          <w:lang w:val="en-CA"/>
        </w:rPr>
        <w:t xml:space="preserve"> programs is derived from</w:t>
      </w:r>
      <w:r w:rsidR="00743282">
        <w:rPr>
          <w:rFonts w:ascii="Times New Roman" w:hAnsi="Times New Roman" w:cs="Times New Roman"/>
          <w:sz w:val="24"/>
          <w:szCs w:val="24"/>
          <w:lang w:val="en-CA"/>
        </w:rPr>
        <w:t xml:space="preserve"> 2 CFR Part 200, </w:t>
      </w:r>
      <w:r w:rsidR="00557079">
        <w:rPr>
          <w:rFonts w:ascii="Times New Roman" w:hAnsi="Times New Roman" w:cs="Times New Roman"/>
          <w:sz w:val="24"/>
          <w:szCs w:val="24"/>
          <w:lang w:val="en-CA"/>
        </w:rPr>
        <w:t>“</w:t>
      </w:r>
      <w:r w:rsidRPr="00743282" w:rsidR="00743282">
        <w:rPr>
          <w:rFonts w:ascii="Times New Roman" w:hAnsi="Times New Roman" w:cs="Times New Roman"/>
          <w:sz w:val="24"/>
          <w:szCs w:val="24"/>
          <w:lang w:val="en-CA"/>
        </w:rPr>
        <w:t>U</w:t>
      </w:r>
      <w:r w:rsidR="00557079">
        <w:rPr>
          <w:rFonts w:ascii="Times New Roman" w:hAnsi="Times New Roman" w:cs="Times New Roman"/>
          <w:sz w:val="24"/>
          <w:szCs w:val="24"/>
          <w:lang w:val="en-CA"/>
        </w:rPr>
        <w:t>niform Administrative Requirements</w:t>
      </w:r>
      <w:r w:rsidRPr="00743282" w:rsidR="00743282">
        <w:rPr>
          <w:rFonts w:ascii="Times New Roman" w:hAnsi="Times New Roman" w:cs="Times New Roman"/>
          <w:sz w:val="24"/>
          <w:szCs w:val="24"/>
          <w:lang w:val="en-CA"/>
        </w:rPr>
        <w:t>, C</w:t>
      </w:r>
      <w:r w:rsidR="00557079">
        <w:rPr>
          <w:rFonts w:ascii="Times New Roman" w:hAnsi="Times New Roman" w:cs="Times New Roman"/>
          <w:sz w:val="24"/>
          <w:szCs w:val="24"/>
          <w:lang w:val="en-CA"/>
        </w:rPr>
        <w:t>ost Principles</w:t>
      </w:r>
      <w:r w:rsidRPr="00743282" w:rsidR="00743282">
        <w:rPr>
          <w:rFonts w:ascii="Times New Roman" w:hAnsi="Times New Roman" w:cs="Times New Roman"/>
          <w:sz w:val="24"/>
          <w:szCs w:val="24"/>
          <w:lang w:val="en-CA"/>
        </w:rPr>
        <w:t>,</w:t>
      </w:r>
      <w:r w:rsidR="00557079">
        <w:rPr>
          <w:rFonts w:ascii="Times New Roman" w:hAnsi="Times New Roman" w:cs="Times New Roman"/>
          <w:sz w:val="24"/>
          <w:szCs w:val="24"/>
          <w:lang w:val="en-CA"/>
        </w:rPr>
        <w:t xml:space="preserve"> and Audit Requirements for Federal Awards</w:t>
      </w:r>
      <w:r w:rsidR="00B7097E">
        <w:rPr>
          <w:rFonts w:ascii="Times New Roman" w:hAnsi="Times New Roman" w:cs="Times New Roman"/>
          <w:sz w:val="24"/>
          <w:szCs w:val="24"/>
          <w:lang w:val="en-CA"/>
        </w:rPr>
        <w:t>.</w:t>
      </w:r>
      <w:r w:rsidR="00557079">
        <w:rPr>
          <w:rFonts w:ascii="Times New Roman" w:hAnsi="Times New Roman" w:cs="Times New Roman"/>
          <w:sz w:val="24"/>
          <w:szCs w:val="24"/>
          <w:lang w:val="en-CA"/>
        </w:rPr>
        <w:t xml:space="preserve">”  </w:t>
      </w:r>
      <w:r w:rsidRPr="00557832" w:rsidR="00032623">
        <w:rPr>
          <w:rFonts w:ascii="Times New Roman" w:hAnsi="Times New Roman" w:cs="Times New Roman"/>
          <w:sz w:val="24"/>
          <w:szCs w:val="24"/>
          <w:lang w:val="en-CA"/>
        </w:rPr>
        <w:fldChar w:fldCharType="begin"/>
      </w:r>
      <w:r w:rsidRPr="00557832">
        <w:rPr>
          <w:rFonts w:ascii="Times New Roman" w:hAnsi="Times New Roman" w:cs="Times New Roman"/>
          <w:sz w:val="24"/>
          <w:szCs w:val="24"/>
          <w:lang w:val="en-CA"/>
        </w:rPr>
        <w:instrText xml:space="preserve"> SEQ CHAPTER \h \r 1</w:instrText>
      </w:r>
      <w:r w:rsidRPr="00557832" w:rsidR="00032623">
        <w:rPr>
          <w:rFonts w:ascii="Times New Roman" w:hAnsi="Times New Roman" w:cs="Times New Roman"/>
          <w:sz w:val="24"/>
          <w:szCs w:val="24"/>
          <w:lang w:val="en-CA"/>
        </w:rPr>
        <w:fldChar w:fldCharType="end"/>
      </w:r>
      <w:r w:rsidRPr="00557832">
        <w:rPr>
          <w:rFonts w:ascii="Times New Roman" w:hAnsi="Times New Roman" w:cs="Times New Roman"/>
          <w:sz w:val="24"/>
          <w:szCs w:val="24"/>
        </w:rPr>
        <w:t xml:space="preserve"> </w:t>
      </w:r>
    </w:p>
    <w:p w:rsidRPr="007E753A" w:rsidR="00BA6D69" w:rsidP="00BA6D69" w:rsidRDefault="00BA6D69" w14:paraId="2E38A51C" w14:textId="77777777">
      <w:pPr>
        <w:pStyle w:val="HTMLPreformatted"/>
        <w:rPr>
          <w:rFonts w:ascii="Times New Roman" w:hAnsi="Times New Roman" w:cs="Times New Roman"/>
          <w:sz w:val="24"/>
          <w:szCs w:val="24"/>
          <w:highlight w:val="yellow"/>
        </w:rPr>
      </w:pPr>
    </w:p>
    <w:p w:rsidRPr="00DB1435" w:rsidR="00AB5AD4" w:rsidP="00DB1435" w:rsidRDefault="00AB5AD4" w14:paraId="4D1F22E4" w14:textId="45B81095">
      <w:pPr>
        <w:pStyle w:val="HTMLPreformatted"/>
        <w:rPr>
          <w:rFonts w:ascii="Times New Roman" w:hAnsi="Times New Roman" w:cs="Times New Roman"/>
          <w:sz w:val="24"/>
          <w:szCs w:val="24"/>
        </w:rPr>
      </w:pPr>
      <w:r>
        <w:rPr>
          <w:rFonts w:ascii="Times New Roman" w:hAnsi="Times New Roman" w:cs="Times New Roman"/>
          <w:sz w:val="24"/>
          <w:szCs w:val="24"/>
        </w:rPr>
        <w:tab/>
      </w:r>
      <w:bookmarkStart w:name="_Hlk63882365" w:id="3"/>
      <w:r>
        <w:rPr>
          <w:rFonts w:ascii="Times New Roman" w:hAnsi="Times New Roman" w:cs="Times New Roman"/>
          <w:sz w:val="24"/>
          <w:szCs w:val="24"/>
        </w:rPr>
        <w:t>Section 200.328</w:t>
      </w:r>
      <w:bookmarkEnd w:id="3"/>
      <w:r w:rsidRPr="00AB5AD4" w:rsidR="00BA6D69">
        <w:rPr>
          <w:rFonts w:ascii="Times New Roman" w:hAnsi="Times New Roman" w:cs="Times New Roman"/>
          <w:sz w:val="24"/>
          <w:szCs w:val="24"/>
        </w:rPr>
        <w:t xml:space="preserve"> </w:t>
      </w:r>
      <w:r>
        <w:rPr>
          <w:rFonts w:ascii="Times New Roman" w:hAnsi="Times New Roman" w:cs="Times New Roman"/>
          <w:sz w:val="24"/>
          <w:szCs w:val="24"/>
        </w:rPr>
        <w:t>“</w:t>
      </w:r>
      <w:r w:rsidRPr="00AB5AD4" w:rsidR="00BA6D69">
        <w:rPr>
          <w:rFonts w:ascii="Times New Roman" w:hAnsi="Times New Roman" w:cs="Times New Roman"/>
          <w:sz w:val="24"/>
          <w:szCs w:val="24"/>
        </w:rPr>
        <w:t>Monitoring and reporting program performance,</w:t>
      </w:r>
      <w:r>
        <w:rPr>
          <w:rFonts w:ascii="Times New Roman" w:hAnsi="Times New Roman" w:cs="Times New Roman"/>
          <w:sz w:val="24"/>
          <w:szCs w:val="24"/>
        </w:rPr>
        <w:t>” paragraphs (b)(1) and (b)(2) state</w:t>
      </w:r>
      <w:r w:rsidRPr="00AB5AD4" w:rsidR="00BA6D69">
        <w:rPr>
          <w:rFonts w:ascii="Times New Roman" w:hAnsi="Times New Roman" w:cs="Times New Roman"/>
          <w:sz w:val="24"/>
          <w:szCs w:val="24"/>
        </w:rPr>
        <w:t>:</w:t>
      </w:r>
    </w:p>
    <w:p w:rsidR="00AB5AD4" w:rsidP="00AB5AD4" w:rsidRDefault="00DB1435" w14:paraId="2CB58B13" w14:textId="2DF5FA32">
      <w:pPr>
        <w:pStyle w:val="HTMLPreformatted"/>
        <w:ind w:left="1440" w:right="1440"/>
        <w:rPr>
          <w:rFonts w:ascii="Times New Roman" w:hAnsi="Times New Roman" w:cs="Times New Roman"/>
          <w:sz w:val="24"/>
          <w:szCs w:val="24"/>
        </w:rPr>
      </w:pPr>
      <w:r>
        <w:rPr>
          <w:rFonts w:ascii="Times New Roman" w:hAnsi="Times New Roman" w:cs="Times New Roman"/>
          <w:sz w:val="24"/>
          <w:szCs w:val="24"/>
        </w:rPr>
        <w:tab/>
      </w:r>
      <w:r w:rsidR="00AB5AD4">
        <w:rPr>
          <w:rFonts w:ascii="Times New Roman" w:hAnsi="Times New Roman" w:cs="Times New Roman"/>
          <w:sz w:val="24"/>
          <w:szCs w:val="24"/>
        </w:rPr>
        <w:t>“</w:t>
      </w:r>
      <w:r w:rsidRPr="00AB5AD4" w:rsidR="00AB5AD4">
        <w:rPr>
          <w:rFonts w:ascii="Times New Roman" w:hAnsi="Times New Roman" w:cs="Times New Roman"/>
          <w:sz w:val="24"/>
          <w:szCs w:val="24"/>
        </w:rPr>
        <w:t xml:space="preserve">(1) The </w:t>
      </w:r>
      <w:r w:rsidRPr="00AB5AD4" w:rsidR="00710912">
        <w:rPr>
          <w:rFonts w:ascii="Times New Roman" w:hAnsi="Times New Roman" w:cs="Times New Roman"/>
          <w:sz w:val="24"/>
          <w:szCs w:val="24"/>
        </w:rPr>
        <w:t>Non-Federal</w:t>
      </w:r>
      <w:r w:rsidRPr="00AB5AD4" w:rsidR="00AB5AD4">
        <w:rPr>
          <w:rFonts w:ascii="Times New Roman" w:hAnsi="Times New Roman" w:cs="Times New Roman"/>
          <w:sz w:val="24"/>
          <w:szCs w:val="24"/>
        </w:rPr>
        <w:t xml:space="preserve"> entity must submit performance reports at the interval required by the Federal awarding agency or pass-through entity to best inform improvements in program outcomes and productivity. Intervals must be no less frequent than annually nor more frequent than quarterly except in unusual circumstances, for example</w:t>
      </w:r>
      <w:r w:rsidR="002341B1">
        <w:rPr>
          <w:rFonts w:ascii="Times New Roman" w:hAnsi="Times New Roman" w:cs="Times New Roman"/>
          <w:sz w:val="24"/>
          <w:szCs w:val="24"/>
        </w:rPr>
        <w:t>,</w:t>
      </w:r>
      <w:r w:rsidRPr="00AB5AD4" w:rsidR="00AB5AD4">
        <w:rPr>
          <w:rFonts w:ascii="Times New Roman" w:hAnsi="Times New Roman" w:cs="Times New Roman"/>
          <w:sz w:val="24"/>
          <w:szCs w:val="24"/>
        </w:rPr>
        <w:t xml:space="preserve"> where more frequent reporting is necessary for the </w:t>
      </w:r>
      <w:r w:rsidRPr="00AB5AD4" w:rsidR="00AB5AD4">
        <w:rPr>
          <w:rFonts w:ascii="Times New Roman" w:hAnsi="Times New Roman" w:cs="Times New Roman"/>
          <w:sz w:val="24"/>
          <w:szCs w:val="24"/>
        </w:rPr>
        <w:lastRenderedPageBreak/>
        <w:t xml:space="preserve">effective monitoring of the Federal award or could significantly affect program outcomes. Annual reports must be due 90 calendar days after the reporting period; quarterly or semiannual reports must be due 30 calendar days after the reporting period. Alternatively, the Federal awarding agency or pass-through entity may require annual reports before the anniversary dates of multiple year Federal awards. </w:t>
      </w:r>
      <w:bookmarkStart w:name="_Hlk63876423" w:id="4"/>
      <w:r w:rsidRPr="00AB5AD4" w:rsidR="00AB5AD4">
        <w:rPr>
          <w:rFonts w:ascii="Times New Roman" w:hAnsi="Times New Roman" w:cs="Times New Roman"/>
          <w:sz w:val="24"/>
          <w:szCs w:val="24"/>
        </w:rPr>
        <w:t xml:space="preserve">The final performance report will be due 90 calendar days after the period of performance end date. </w:t>
      </w:r>
      <w:bookmarkEnd w:id="4"/>
      <w:r w:rsidRPr="00AB5AD4" w:rsidR="00AB5AD4">
        <w:rPr>
          <w:rFonts w:ascii="Times New Roman" w:hAnsi="Times New Roman" w:cs="Times New Roman"/>
          <w:sz w:val="24"/>
          <w:szCs w:val="24"/>
        </w:rPr>
        <w:t>If a justified request is submitted by a non-Federal entity, the Federal agency may extend the due date for any performance report.</w:t>
      </w:r>
    </w:p>
    <w:p w:rsidRPr="00AB5AD4" w:rsidR="007A4E27" w:rsidP="00AB5AD4" w:rsidRDefault="007A4E27" w14:paraId="5A020EA5" w14:textId="77777777">
      <w:pPr>
        <w:pStyle w:val="HTMLPreformatted"/>
        <w:ind w:left="1440" w:right="1440"/>
        <w:rPr>
          <w:rFonts w:ascii="Times New Roman" w:hAnsi="Times New Roman" w:cs="Times New Roman"/>
          <w:sz w:val="24"/>
          <w:szCs w:val="24"/>
        </w:rPr>
      </w:pPr>
    </w:p>
    <w:p w:rsidRPr="00AB5AD4" w:rsidR="00AB5AD4" w:rsidP="00AB5AD4" w:rsidRDefault="00DB1435" w14:paraId="178F8472" w14:textId="2C50F8BE">
      <w:pPr>
        <w:pStyle w:val="HTMLPreformatted"/>
        <w:ind w:left="1440" w:right="1440"/>
        <w:rPr>
          <w:rFonts w:ascii="Times New Roman" w:hAnsi="Times New Roman" w:cs="Times New Roman"/>
          <w:sz w:val="24"/>
          <w:szCs w:val="24"/>
        </w:rPr>
      </w:pPr>
      <w:r>
        <w:rPr>
          <w:rFonts w:ascii="Times New Roman" w:hAnsi="Times New Roman" w:cs="Times New Roman"/>
          <w:sz w:val="24"/>
          <w:szCs w:val="24"/>
        </w:rPr>
        <w:tab/>
      </w:r>
      <w:r w:rsidRPr="00AB5AD4" w:rsidR="00AB5AD4">
        <w:rPr>
          <w:rFonts w:ascii="Times New Roman" w:hAnsi="Times New Roman" w:cs="Times New Roman"/>
          <w:sz w:val="24"/>
          <w:szCs w:val="24"/>
        </w:rPr>
        <w:t xml:space="preserve">(2) The </w:t>
      </w:r>
      <w:r w:rsidRPr="00AB5AD4" w:rsidR="00710912">
        <w:rPr>
          <w:rFonts w:ascii="Times New Roman" w:hAnsi="Times New Roman" w:cs="Times New Roman"/>
          <w:sz w:val="24"/>
          <w:szCs w:val="24"/>
        </w:rPr>
        <w:t>Non-Federal</w:t>
      </w:r>
      <w:r w:rsidRPr="00AB5AD4" w:rsidR="00AB5AD4">
        <w:rPr>
          <w:rFonts w:ascii="Times New Roman" w:hAnsi="Times New Roman" w:cs="Times New Roman"/>
          <w:sz w:val="24"/>
          <w:szCs w:val="24"/>
        </w:rPr>
        <w:t xml:space="preserve"> entity must submit performance reports using OMB-approved government</w:t>
      </w:r>
      <w:r w:rsidR="007B7B44">
        <w:rPr>
          <w:rFonts w:ascii="Times New Roman" w:hAnsi="Times New Roman" w:cs="Times New Roman"/>
          <w:sz w:val="24"/>
          <w:szCs w:val="24"/>
        </w:rPr>
        <w:t>-</w:t>
      </w:r>
      <w:r w:rsidRPr="00AB5AD4" w:rsidR="00AB5AD4">
        <w:rPr>
          <w:rFonts w:ascii="Times New Roman" w:hAnsi="Times New Roman" w:cs="Times New Roman"/>
          <w:sz w:val="24"/>
          <w:szCs w:val="24"/>
        </w:rPr>
        <w:t>wide standard information collections when providing performance information. As appropriate in accordance with above mentioned information collections, these reports will contain, for each Federal award, brief information on the following unless other collections are approved by OMB:</w:t>
      </w:r>
    </w:p>
    <w:p w:rsidRPr="00AB5AD4" w:rsidR="00AB5AD4" w:rsidP="00AB5AD4" w:rsidRDefault="00DB1435" w14:paraId="51B93E27" w14:textId="2B82AC6E">
      <w:pPr>
        <w:pStyle w:val="HTMLPreformatted"/>
        <w:ind w:left="1440" w:right="1440"/>
        <w:rPr>
          <w:rFonts w:ascii="Times New Roman" w:hAnsi="Times New Roman" w:cs="Times New Roman"/>
          <w:sz w:val="24"/>
          <w:szCs w:val="24"/>
        </w:rPr>
      </w:pPr>
      <w:r>
        <w:rPr>
          <w:rFonts w:ascii="Times New Roman" w:hAnsi="Times New Roman" w:cs="Times New Roman"/>
          <w:sz w:val="24"/>
          <w:szCs w:val="24"/>
        </w:rPr>
        <w:tab/>
        <w:t xml:space="preserve">     </w:t>
      </w:r>
      <w:r w:rsidRPr="00AB5AD4" w:rsidR="00AB5AD4">
        <w:rPr>
          <w:rFonts w:ascii="Times New Roman" w:hAnsi="Times New Roman" w:cs="Times New Roman"/>
          <w:sz w:val="24"/>
          <w:szCs w:val="24"/>
        </w:rPr>
        <w:t>(i) A comparison of actual accomplishments to the objectives of the Federal award established for the period. Where the accomplishments of the Federal award can be quantified, a computation of the cost (for example, related to units of accomplishment) may be required if that information will be useful. Where performance trend data and analysis would be informative to the Federal awarding agency program, the Federal awarding agency should include this as a performance reporting requirement.</w:t>
      </w:r>
    </w:p>
    <w:p w:rsidRPr="00AB5AD4" w:rsidR="00AB5AD4" w:rsidP="00AB5AD4" w:rsidRDefault="00DB1435" w14:paraId="68C5DC04" w14:textId="41C7E808">
      <w:pPr>
        <w:pStyle w:val="HTMLPreformatted"/>
        <w:ind w:left="1440" w:right="1440"/>
        <w:rPr>
          <w:rFonts w:ascii="Times New Roman" w:hAnsi="Times New Roman" w:cs="Times New Roman"/>
          <w:sz w:val="24"/>
          <w:szCs w:val="24"/>
        </w:rPr>
      </w:pPr>
      <w:r>
        <w:rPr>
          <w:rFonts w:ascii="Times New Roman" w:hAnsi="Times New Roman" w:cs="Times New Roman"/>
          <w:sz w:val="24"/>
          <w:szCs w:val="24"/>
        </w:rPr>
        <w:tab/>
        <w:t xml:space="preserve">     </w:t>
      </w:r>
      <w:r w:rsidRPr="00AB5AD4" w:rsidR="00AB5AD4">
        <w:rPr>
          <w:rFonts w:ascii="Times New Roman" w:hAnsi="Times New Roman" w:cs="Times New Roman"/>
          <w:sz w:val="24"/>
          <w:szCs w:val="24"/>
        </w:rPr>
        <w:t>(ii) The reasons why established goals were not met, if appropriate.</w:t>
      </w:r>
    </w:p>
    <w:p w:rsidR="00AB5AD4" w:rsidP="00AB5AD4" w:rsidRDefault="00DB1435" w14:paraId="3E8A67CF" w14:textId="19D4CD93">
      <w:pPr>
        <w:pStyle w:val="HTMLPreformatted"/>
        <w:ind w:left="1440" w:right="1440"/>
        <w:rPr>
          <w:rFonts w:ascii="Times New Roman" w:hAnsi="Times New Roman" w:cs="Times New Roman"/>
          <w:sz w:val="24"/>
          <w:szCs w:val="24"/>
        </w:rPr>
      </w:pPr>
      <w:r>
        <w:rPr>
          <w:rFonts w:ascii="Times New Roman" w:hAnsi="Times New Roman" w:cs="Times New Roman"/>
          <w:sz w:val="24"/>
          <w:szCs w:val="24"/>
        </w:rPr>
        <w:tab/>
        <w:t xml:space="preserve">     </w:t>
      </w:r>
      <w:r w:rsidRPr="00AB5AD4" w:rsidR="00AB5AD4">
        <w:rPr>
          <w:rFonts w:ascii="Times New Roman" w:hAnsi="Times New Roman" w:cs="Times New Roman"/>
          <w:sz w:val="24"/>
          <w:szCs w:val="24"/>
        </w:rPr>
        <w:t>(iii) Additional pertinent information including, when appropriate, analysis and explanation of cost over</w:t>
      </w:r>
      <w:r w:rsidR="006A49EE">
        <w:rPr>
          <w:rFonts w:ascii="Times New Roman" w:hAnsi="Times New Roman" w:cs="Times New Roman"/>
          <w:sz w:val="24"/>
          <w:szCs w:val="24"/>
        </w:rPr>
        <w:t xml:space="preserve"> </w:t>
      </w:r>
      <w:r w:rsidRPr="00AB5AD4" w:rsidR="00AB5AD4">
        <w:rPr>
          <w:rFonts w:ascii="Times New Roman" w:hAnsi="Times New Roman" w:cs="Times New Roman"/>
          <w:sz w:val="24"/>
          <w:szCs w:val="24"/>
        </w:rPr>
        <w:t>runs or high unit costs.</w:t>
      </w:r>
      <w:r>
        <w:rPr>
          <w:rFonts w:ascii="Times New Roman" w:hAnsi="Times New Roman" w:cs="Times New Roman"/>
          <w:sz w:val="24"/>
          <w:szCs w:val="24"/>
        </w:rPr>
        <w:t>”</w:t>
      </w:r>
    </w:p>
    <w:p w:rsidR="007A4E27" w:rsidP="00AB5AD4" w:rsidRDefault="007A4E27" w14:paraId="13DF4471" w14:textId="77777777">
      <w:pPr>
        <w:pStyle w:val="HTMLPreformatted"/>
        <w:ind w:left="1440" w:right="1440"/>
        <w:rPr>
          <w:rFonts w:ascii="Times New Roman" w:hAnsi="Times New Roman" w:cs="Times New Roman"/>
          <w:sz w:val="24"/>
          <w:szCs w:val="24"/>
          <w:highlight w:val="yellow"/>
        </w:rPr>
      </w:pPr>
    </w:p>
    <w:p w:rsidRPr="003570BE" w:rsidR="007A4E27" w:rsidP="00BA6D69" w:rsidRDefault="00BA6D69" w14:paraId="7C750913" w14:textId="1B8E779D">
      <w:pPr>
        <w:pStyle w:val="HTMLPreformatted"/>
        <w:rPr>
          <w:rFonts w:ascii="Times New Roman" w:hAnsi="Times New Roman" w:cs="Times New Roman"/>
          <w:sz w:val="24"/>
          <w:szCs w:val="24"/>
        </w:rPr>
      </w:pPr>
      <w:r w:rsidRPr="003570BE">
        <w:rPr>
          <w:rFonts w:ascii="Times New Roman" w:hAnsi="Times New Roman" w:cs="Times New Roman"/>
          <w:sz w:val="24"/>
          <w:szCs w:val="24"/>
        </w:rPr>
        <w:t xml:space="preserve">    </w:t>
      </w:r>
      <w:r w:rsidRPr="003570BE" w:rsidR="007A4E27">
        <w:rPr>
          <w:rFonts w:ascii="Times New Roman" w:hAnsi="Times New Roman" w:cs="Times New Roman"/>
          <w:sz w:val="24"/>
          <w:szCs w:val="24"/>
        </w:rPr>
        <w:tab/>
        <w:t xml:space="preserve">The recipient shall submit the </w:t>
      </w:r>
      <w:r w:rsidRPr="003570BE" w:rsidR="007F569F">
        <w:rPr>
          <w:rFonts w:ascii="Times New Roman" w:hAnsi="Times New Roman" w:cs="Times New Roman"/>
          <w:sz w:val="24"/>
          <w:szCs w:val="24"/>
        </w:rPr>
        <w:t>semi-annual performance reports for EPA review by submitting the Semi-Annual reports (EPA Form 5300-26) each year the grants are active.</w:t>
      </w:r>
    </w:p>
    <w:p w:rsidRPr="003570BE" w:rsidR="007F569F" w:rsidP="00BA6D69" w:rsidRDefault="007F569F" w14:paraId="438F8060" w14:textId="733CC182">
      <w:pPr>
        <w:pStyle w:val="HTMLPreformatted"/>
        <w:rPr>
          <w:rFonts w:ascii="Times New Roman" w:hAnsi="Times New Roman" w:cs="Times New Roman"/>
          <w:sz w:val="24"/>
          <w:szCs w:val="24"/>
        </w:rPr>
      </w:pPr>
    </w:p>
    <w:p w:rsidRPr="003570BE" w:rsidR="007F569F" w:rsidP="00BA6D69" w:rsidRDefault="007F569F" w14:paraId="7CD881DF" w14:textId="5515310E">
      <w:pPr>
        <w:pStyle w:val="HTMLPreformatted"/>
        <w:rPr>
          <w:rFonts w:ascii="Times New Roman" w:hAnsi="Times New Roman" w:cs="Times New Roman"/>
          <w:sz w:val="24"/>
          <w:szCs w:val="24"/>
        </w:rPr>
      </w:pPr>
      <w:r w:rsidRPr="003570BE">
        <w:rPr>
          <w:rFonts w:ascii="Times New Roman" w:hAnsi="Times New Roman" w:cs="Times New Roman"/>
          <w:sz w:val="24"/>
          <w:szCs w:val="24"/>
        </w:rPr>
        <w:tab/>
        <w:t>In addition, the recipient shall submit a Final Performance/close-out report within 90 calendar days after the period of performance end date, highlighting performance elements as specified in Section 200.328.</w:t>
      </w:r>
    </w:p>
    <w:p w:rsidRPr="003570BE" w:rsidR="007F569F" w:rsidP="00BA6D69" w:rsidRDefault="007F569F" w14:paraId="7DFDE66B" w14:textId="77777777">
      <w:pPr>
        <w:pStyle w:val="HTMLPreformatted"/>
        <w:rPr>
          <w:rFonts w:ascii="Times New Roman" w:hAnsi="Times New Roman" w:cs="Times New Roman"/>
          <w:sz w:val="24"/>
          <w:szCs w:val="24"/>
        </w:rPr>
      </w:pPr>
    </w:p>
    <w:p w:rsidR="00B7097E" w:rsidP="00BA6D69" w:rsidRDefault="00B7097E" w14:paraId="630E58FB" w14:textId="3325E119">
      <w:pPr>
        <w:pStyle w:val="HTMLPreformatted"/>
        <w:rPr>
          <w:rFonts w:ascii="Times New Roman" w:hAnsi="Times New Roman" w:cs="Times New Roman"/>
          <w:sz w:val="24"/>
          <w:szCs w:val="24"/>
          <w:highlight w:val="yellow"/>
        </w:rPr>
      </w:pPr>
      <w:r>
        <w:rPr>
          <w:rFonts w:ascii="Times New Roman" w:hAnsi="Times New Roman" w:cs="Times New Roman"/>
          <w:sz w:val="24"/>
          <w:szCs w:val="24"/>
          <w:lang w:val="en-CA"/>
        </w:rPr>
        <w:tab/>
        <w:t>The authority to gather quality assurance information for assistan</w:t>
      </w:r>
      <w:r w:rsidR="00AC757A">
        <w:rPr>
          <w:rFonts w:ascii="Times New Roman" w:hAnsi="Times New Roman" w:cs="Times New Roman"/>
          <w:sz w:val="24"/>
          <w:szCs w:val="24"/>
          <w:lang w:val="en-CA"/>
        </w:rPr>
        <w:t>ce</w:t>
      </w:r>
      <w:r>
        <w:rPr>
          <w:rFonts w:ascii="Times New Roman" w:hAnsi="Times New Roman" w:cs="Times New Roman"/>
          <w:sz w:val="24"/>
          <w:szCs w:val="24"/>
          <w:lang w:val="en-CA"/>
        </w:rPr>
        <w:t xml:space="preserve"> programs is derived from 2 CFR Part 1500, “</w:t>
      </w:r>
      <w:r w:rsidRPr="00743282">
        <w:rPr>
          <w:rFonts w:ascii="Times New Roman" w:hAnsi="Times New Roman" w:cs="Times New Roman"/>
          <w:sz w:val="24"/>
          <w:szCs w:val="24"/>
          <w:lang w:val="en-CA"/>
        </w:rPr>
        <w:t>U</w:t>
      </w:r>
      <w:r>
        <w:rPr>
          <w:rFonts w:ascii="Times New Roman" w:hAnsi="Times New Roman" w:cs="Times New Roman"/>
          <w:sz w:val="24"/>
          <w:szCs w:val="24"/>
          <w:lang w:val="en-CA"/>
        </w:rPr>
        <w:t>niform Administrative Requirements</w:t>
      </w:r>
      <w:r w:rsidRPr="00743282">
        <w:rPr>
          <w:rFonts w:ascii="Times New Roman" w:hAnsi="Times New Roman" w:cs="Times New Roman"/>
          <w:sz w:val="24"/>
          <w:szCs w:val="24"/>
          <w:lang w:val="en-CA"/>
        </w:rPr>
        <w:t>, C</w:t>
      </w:r>
      <w:r>
        <w:rPr>
          <w:rFonts w:ascii="Times New Roman" w:hAnsi="Times New Roman" w:cs="Times New Roman"/>
          <w:sz w:val="24"/>
          <w:szCs w:val="24"/>
          <w:lang w:val="en-CA"/>
        </w:rPr>
        <w:t>ost Principles</w:t>
      </w:r>
      <w:r w:rsidRPr="00743282">
        <w:rPr>
          <w:rFonts w:ascii="Times New Roman" w:hAnsi="Times New Roman" w:cs="Times New Roman"/>
          <w:sz w:val="24"/>
          <w:szCs w:val="24"/>
          <w:lang w:val="en-CA"/>
        </w:rPr>
        <w:t>,</w:t>
      </w:r>
      <w:r>
        <w:rPr>
          <w:rFonts w:ascii="Times New Roman" w:hAnsi="Times New Roman" w:cs="Times New Roman"/>
          <w:sz w:val="24"/>
          <w:szCs w:val="24"/>
          <w:lang w:val="en-CA"/>
        </w:rPr>
        <w:t xml:space="preserve"> and Audit Requirements for Federal Awards</w:t>
      </w:r>
      <w:r w:rsidR="000F2AB5">
        <w:rPr>
          <w:rFonts w:ascii="Times New Roman" w:hAnsi="Times New Roman" w:cs="Times New Roman"/>
          <w:sz w:val="24"/>
          <w:szCs w:val="24"/>
          <w:lang w:val="en-CA"/>
        </w:rPr>
        <w:t>.</w:t>
      </w:r>
      <w:r>
        <w:rPr>
          <w:rFonts w:ascii="Times New Roman" w:hAnsi="Times New Roman" w:cs="Times New Roman"/>
          <w:sz w:val="24"/>
          <w:szCs w:val="24"/>
          <w:lang w:val="en-CA"/>
        </w:rPr>
        <w:t xml:space="preserve">” </w:t>
      </w:r>
    </w:p>
    <w:p w:rsidRPr="009D04D0" w:rsidR="00B7097E" w:rsidP="00BA6D69" w:rsidRDefault="00B7097E" w14:paraId="3878788A" w14:textId="77777777">
      <w:pPr>
        <w:pStyle w:val="HTMLPreformatted"/>
        <w:rPr>
          <w:rFonts w:ascii="Times New Roman" w:hAnsi="Times New Roman" w:cs="Times New Roman"/>
          <w:sz w:val="24"/>
          <w:szCs w:val="24"/>
        </w:rPr>
      </w:pPr>
    </w:p>
    <w:p w:rsidRPr="009D04D0" w:rsidR="00BA6D69" w:rsidP="00BA6D69" w:rsidRDefault="00BA6D69" w14:paraId="7DF52130" w14:textId="4D7C3E19">
      <w:pPr>
        <w:ind w:firstLine="720"/>
      </w:pPr>
      <w:r w:rsidRPr="009D04D0">
        <w:t xml:space="preserve">Section </w:t>
      </w:r>
      <w:r w:rsidRPr="009D04D0" w:rsidR="000F2AB5">
        <w:t>1500.11 “Quality Assurance</w:t>
      </w:r>
      <w:r w:rsidRPr="009D04D0" w:rsidR="009D04D0">
        <w:t>,</w:t>
      </w:r>
      <w:r w:rsidRPr="009D04D0" w:rsidR="000F2AB5">
        <w:t>”</w:t>
      </w:r>
      <w:r w:rsidRPr="009D04D0">
        <w:t xml:space="preserve"> </w:t>
      </w:r>
      <w:r w:rsidRPr="009D04D0" w:rsidR="009D04D0">
        <w:t>paragraphs (a) through (d), state</w:t>
      </w:r>
      <w:r w:rsidRPr="009D04D0">
        <w:t>:</w:t>
      </w:r>
    </w:p>
    <w:p w:rsidRPr="009D04D0" w:rsidR="009D04D0" w:rsidP="009D04D0" w:rsidRDefault="000F2AB5" w14:paraId="55465022" w14:textId="0EF582C1">
      <w:pPr>
        <w:pStyle w:val="HTMLPreformatted"/>
        <w:ind w:left="1440" w:right="1440"/>
        <w:rPr>
          <w:rFonts w:ascii="Times New Roman" w:hAnsi="Times New Roman" w:cs="Times New Roman"/>
          <w:sz w:val="24"/>
          <w:szCs w:val="24"/>
        </w:rPr>
      </w:pPr>
      <w:r w:rsidRPr="009D04D0">
        <w:lastRenderedPageBreak/>
        <w:tab/>
      </w:r>
      <w:r w:rsidRPr="009D04D0" w:rsidR="009D04D0">
        <w:rPr>
          <w:rFonts w:ascii="Times New Roman" w:hAnsi="Times New Roman" w:cs="Times New Roman"/>
          <w:sz w:val="24"/>
          <w:szCs w:val="24"/>
        </w:rPr>
        <w:t>“(a) Quality assurance applies to all assistance agreements that involve environmentally related data operations, including environmental data collection, production or use.</w:t>
      </w:r>
    </w:p>
    <w:p w:rsidRPr="009D04D0" w:rsidR="009D04D0" w:rsidP="009D04D0" w:rsidRDefault="009D04D0" w14:paraId="2A39A769" w14:textId="7BA5EECA">
      <w:pPr>
        <w:pStyle w:val="HTMLPreformatted"/>
        <w:ind w:left="1440" w:right="1440"/>
        <w:rPr>
          <w:rFonts w:ascii="Times New Roman" w:hAnsi="Times New Roman" w:cs="Times New Roman"/>
          <w:sz w:val="24"/>
          <w:szCs w:val="24"/>
        </w:rPr>
      </w:pPr>
      <w:r w:rsidRPr="009D04D0">
        <w:rPr>
          <w:rFonts w:ascii="Times New Roman" w:hAnsi="Times New Roman" w:cs="Times New Roman"/>
          <w:sz w:val="24"/>
          <w:szCs w:val="24"/>
        </w:rPr>
        <w:tab/>
        <w:t>(b) Recipients shall develop a written quality assurance system commensurate with the degree of confidence needed for the environmentally related data operations.</w:t>
      </w:r>
    </w:p>
    <w:p w:rsidRPr="009D04D0" w:rsidR="009D04D0" w:rsidP="009D04D0" w:rsidRDefault="009D04D0" w14:paraId="01678A90" w14:textId="56F4C18C">
      <w:pPr>
        <w:pStyle w:val="HTMLPreformatted"/>
        <w:ind w:left="1440" w:right="1440"/>
        <w:rPr>
          <w:rFonts w:ascii="Times New Roman" w:hAnsi="Times New Roman" w:cs="Times New Roman"/>
          <w:sz w:val="24"/>
          <w:szCs w:val="24"/>
        </w:rPr>
      </w:pPr>
      <w:r w:rsidRPr="009D04D0">
        <w:rPr>
          <w:rFonts w:ascii="Times New Roman" w:hAnsi="Times New Roman" w:cs="Times New Roman"/>
          <w:sz w:val="24"/>
          <w:szCs w:val="24"/>
        </w:rPr>
        <w:tab/>
        <w:t>(c) If the recipient complies with EPA's quality policy, the system will be presumed to be in compliance with the quality assurance system requirement</w:t>
      </w:r>
      <w:r w:rsidR="009427BE">
        <w:rPr>
          <w:rFonts w:ascii="Times New Roman" w:hAnsi="Times New Roman" w:cs="Times New Roman"/>
          <w:sz w:val="24"/>
          <w:szCs w:val="24"/>
        </w:rPr>
        <w:t>s and meet unique quality assurance needs for the Exchange Network Program</w:t>
      </w:r>
      <w:r w:rsidRPr="009D04D0">
        <w:rPr>
          <w:rFonts w:ascii="Times New Roman" w:hAnsi="Times New Roman" w:cs="Times New Roman"/>
          <w:sz w:val="24"/>
          <w:szCs w:val="24"/>
        </w:rPr>
        <w:t xml:space="preserve">. The recipient may also comply with the quality assurance system requirement by complying with American National Standard </w:t>
      </w:r>
      <w:r w:rsidRPr="002E34C6">
        <w:rPr>
          <w:rFonts w:ascii="Times New Roman" w:hAnsi="Times New Roman" w:cs="Times New Roman"/>
          <w:sz w:val="24"/>
          <w:szCs w:val="24"/>
        </w:rPr>
        <w:t>ANSI/ASQ E4:2014:</w:t>
      </w:r>
      <w:r w:rsidRPr="009D04D0">
        <w:rPr>
          <w:rFonts w:ascii="Times New Roman" w:hAnsi="Times New Roman" w:cs="Times New Roman"/>
          <w:sz w:val="24"/>
          <w:szCs w:val="24"/>
        </w:rPr>
        <w:t xml:space="preserve"> Quality management systems for environmental information and technology programs.</w:t>
      </w:r>
    </w:p>
    <w:p w:rsidRPr="009D04D0" w:rsidR="000F2AB5" w:rsidP="009D04D0" w:rsidRDefault="009D04D0" w14:paraId="644701CF" w14:textId="5B3472AD">
      <w:pPr>
        <w:pStyle w:val="HTMLPreformatted"/>
        <w:ind w:left="1440" w:right="1440"/>
        <w:rPr>
          <w:rFonts w:ascii="Times New Roman" w:hAnsi="Times New Roman" w:cs="Times New Roman"/>
          <w:sz w:val="24"/>
          <w:szCs w:val="24"/>
        </w:rPr>
      </w:pPr>
      <w:r w:rsidRPr="009D04D0">
        <w:rPr>
          <w:rFonts w:ascii="Times New Roman" w:hAnsi="Times New Roman" w:cs="Times New Roman"/>
          <w:sz w:val="24"/>
          <w:szCs w:val="24"/>
        </w:rPr>
        <w:tab/>
        <w:t xml:space="preserve">(d) </w:t>
      </w:r>
      <w:bookmarkStart w:name="_Hlk63881702" w:id="5"/>
      <w:r w:rsidR="005A65E8">
        <w:rPr>
          <w:rFonts w:ascii="Times New Roman" w:hAnsi="Times New Roman" w:cs="Times New Roman"/>
          <w:sz w:val="24"/>
          <w:szCs w:val="24"/>
        </w:rPr>
        <w:t>Within 90 days of the award, t</w:t>
      </w:r>
      <w:r w:rsidRPr="009D04D0">
        <w:rPr>
          <w:rFonts w:ascii="Times New Roman" w:hAnsi="Times New Roman" w:cs="Times New Roman"/>
          <w:sz w:val="24"/>
          <w:szCs w:val="24"/>
        </w:rPr>
        <w:t xml:space="preserve">he recipient shall submit </w:t>
      </w:r>
      <w:r w:rsidR="007B01B9">
        <w:rPr>
          <w:rFonts w:ascii="Times New Roman" w:hAnsi="Times New Roman" w:cs="Times New Roman"/>
          <w:sz w:val="24"/>
          <w:szCs w:val="24"/>
        </w:rPr>
        <w:t>a</w:t>
      </w:r>
      <w:r w:rsidRPr="009D04D0" w:rsidR="007B01B9">
        <w:rPr>
          <w:rFonts w:ascii="Times New Roman" w:hAnsi="Times New Roman" w:cs="Times New Roman"/>
          <w:sz w:val="24"/>
          <w:szCs w:val="24"/>
        </w:rPr>
        <w:t xml:space="preserve"> </w:t>
      </w:r>
      <w:r w:rsidRPr="009D04D0">
        <w:rPr>
          <w:rFonts w:ascii="Times New Roman" w:hAnsi="Times New Roman" w:cs="Times New Roman"/>
          <w:sz w:val="24"/>
          <w:szCs w:val="24"/>
        </w:rPr>
        <w:t xml:space="preserve">quality assurance </w:t>
      </w:r>
      <w:r w:rsidR="007B01B9">
        <w:rPr>
          <w:rFonts w:ascii="Times New Roman" w:hAnsi="Times New Roman" w:cs="Times New Roman"/>
          <w:sz w:val="24"/>
          <w:szCs w:val="24"/>
        </w:rPr>
        <w:t>report</w:t>
      </w:r>
      <w:r w:rsidRPr="009D04D0" w:rsidR="007B01B9">
        <w:rPr>
          <w:rFonts w:ascii="Times New Roman" w:hAnsi="Times New Roman" w:cs="Times New Roman"/>
          <w:sz w:val="24"/>
          <w:szCs w:val="24"/>
        </w:rPr>
        <w:t xml:space="preserve"> </w:t>
      </w:r>
      <w:r w:rsidR="005A65E8">
        <w:rPr>
          <w:rFonts w:ascii="Times New Roman" w:hAnsi="Times New Roman" w:cs="Times New Roman"/>
          <w:sz w:val="24"/>
          <w:szCs w:val="24"/>
        </w:rPr>
        <w:t>to</w:t>
      </w:r>
      <w:r w:rsidRPr="009D04D0" w:rsidR="005A65E8">
        <w:rPr>
          <w:rFonts w:ascii="Times New Roman" w:hAnsi="Times New Roman" w:cs="Times New Roman"/>
          <w:sz w:val="24"/>
          <w:szCs w:val="24"/>
        </w:rPr>
        <w:t xml:space="preserve"> </w:t>
      </w:r>
      <w:r w:rsidRPr="009D04D0">
        <w:rPr>
          <w:rFonts w:ascii="Times New Roman" w:hAnsi="Times New Roman" w:cs="Times New Roman"/>
          <w:sz w:val="24"/>
          <w:szCs w:val="24"/>
        </w:rPr>
        <w:t xml:space="preserve">EPA </w:t>
      </w:r>
      <w:r w:rsidR="005A65E8">
        <w:rPr>
          <w:rFonts w:ascii="Times New Roman" w:hAnsi="Times New Roman" w:cs="Times New Roman"/>
          <w:sz w:val="24"/>
          <w:szCs w:val="24"/>
        </w:rPr>
        <w:t xml:space="preserve">for their </w:t>
      </w:r>
      <w:r w:rsidRPr="009D04D0">
        <w:rPr>
          <w:rFonts w:ascii="Times New Roman" w:hAnsi="Times New Roman" w:cs="Times New Roman"/>
          <w:sz w:val="24"/>
          <w:szCs w:val="24"/>
        </w:rPr>
        <w:t>review</w:t>
      </w:r>
      <w:r w:rsidR="007A4E27">
        <w:rPr>
          <w:rFonts w:ascii="Times New Roman" w:hAnsi="Times New Roman" w:cs="Times New Roman"/>
          <w:sz w:val="24"/>
          <w:szCs w:val="24"/>
        </w:rPr>
        <w:t xml:space="preserve"> by submitting a </w:t>
      </w:r>
      <w:r w:rsidRPr="007A4E27" w:rsidR="007A4E27">
        <w:rPr>
          <w:rFonts w:ascii="Times New Roman" w:hAnsi="Times New Roman" w:cs="Times New Roman"/>
          <w:sz w:val="24"/>
          <w:szCs w:val="24"/>
        </w:rPr>
        <w:t>Quality Assurance Reporting Form (EPA Form 5300-27)</w:t>
      </w:r>
      <w:r w:rsidR="005A65E8">
        <w:rPr>
          <w:rFonts w:ascii="Times New Roman" w:hAnsi="Times New Roman" w:cs="Times New Roman"/>
          <w:sz w:val="24"/>
          <w:szCs w:val="24"/>
        </w:rPr>
        <w:t>.</w:t>
      </w:r>
      <w:r w:rsidR="009427BE">
        <w:rPr>
          <w:rFonts w:ascii="Times New Roman" w:hAnsi="Times New Roman" w:cs="Times New Roman"/>
          <w:sz w:val="24"/>
          <w:szCs w:val="24"/>
        </w:rPr>
        <w:t xml:space="preserve"> </w:t>
      </w:r>
      <w:r w:rsidRPr="009D04D0">
        <w:rPr>
          <w:rFonts w:ascii="Times New Roman" w:hAnsi="Times New Roman" w:cs="Times New Roman"/>
          <w:sz w:val="24"/>
          <w:szCs w:val="24"/>
        </w:rPr>
        <w:t>Upon EPA's written approval, the recipient shall implement the EPA-approved quality assurance system.”</w:t>
      </w:r>
    </w:p>
    <w:bookmarkEnd w:id="5"/>
    <w:p w:rsidR="00BA6D69" w:rsidP="009D04D0" w:rsidRDefault="00BA6D69" w14:paraId="6CCC0FCF" w14:textId="77777777"/>
    <w:p w:rsidR="00BA6D69" w:rsidP="00557832" w:rsidRDefault="005A65E8" w14:paraId="6B877B06" w14:textId="7B6FB81B">
      <w:pPr>
        <w:ind w:firstLine="720"/>
      </w:pPr>
      <w:r>
        <w:t xml:space="preserve">OMS </w:t>
      </w:r>
      <w:r w:rsidR="00D87C4D">
        <w:t>requires</w:t>
      </w:r>
      <w:r w:rsidR="00352850">
        <w:t xml:space="preserve"> these reports to ensure that grants are making progress consistent with their work plans and that grantees have the </w:t>
      </w:r>
      <w:r w:rsidRPr="004C5FCA" w:rsidR="00352850">
        <w:t xml:space="preserve">policies, procedures, </w:t>
      </w:r>
      <w:r w:rsidR="00352850">
        <w:t>specifications</w:t>
      </w:r>
      <w:r w:rsidRPr="004C5FCA" w:rsidR="00352850">
        <w:t xml:space="preserve">, standards, and documentation </w:t>
      </w:r>
      <w:r w:rsidR="00352850">
        <w:t xml:space="preserve">to produce data of sufficient quality to </w:t>
      </w:r>
      <w:r w:rsidRPr="004C5FCA" w:rsidR="00352850">
        <w:t>meet project objectives</w:t>
      </w:r>
      <w:r w:rsidR="00BA6D69">
        <w:t>.</w:t>
      </w:r>
      <w:r w:rsidR="00557832">
        <w:t xml:space="preserve"> </w:t>
      </w:r>
    </w:p>
    <w:p w:rsidR="00BA6D69" w:rsidP="00BA6D69" w:rsidRDefault="00BA6D69" w14:paraId="478774B7" w14:textId="77777777">
      <w:pPr>
        <w:ind w:firstLine="720"/>
      </w:pPr>
    </w:p>
    <w:p w:rsidR="00BA6D69" w:rsidP="00BA6D69" w:rsidRDefault="00BA6D69" w14:paraId="32955ABC" w14:textId="0A48B378">
      <w:pPr>
        <w:ind w:firstLine="720"/>
      </w:pPr>
      <w:r>
        <w:t xml:space="preserve">(b) </w:t>
      </w:r>
      <w:r w:rsidR="000C1777">
        <w:t>PRACTICAL UTILITY</w:t>
      </w:r>
      <w:r>
        <w:t>/USERS OF THE DATA</w:t>
      </w:r>
      <w:r w:rsidR="00C812F9">
        <w:t xml:space="preserve"> </w:t>
      </w:r>
    </w:p>
    <w:p w:rsidR="00BA6D69" w:rsidP="00BA6D69" w:rsidRDefault="00BA6D69" w14:paraId="26C6B85D" w14:textId="77777777">
      <w:pPr>
        <w:ind w:firstLine="720"/>
      </w:pPr>
    </w:p>
    <w:p w:rsidRPr="001F5222" w:rsidR="00BA6D69" w:rsidP="00BA6D69" w:rsidRDefault="003A7650" w14:paraId="309B8800" w14:textId="79E53134">
      <w:pPr>
        <w:ind w:firstLine="720"/>
      </w:pPr>
      <w:r w:rsidRPr="001F5222">
        <w:t>The information provided on Semi-A</w:t>
      </w:r>
      <w:r w:rsidRPr="001F5222" w:rsidR="00BA6D69">
        <w:t xml:space="preserve">nnual </w:t>
      </w:r>
      <w:r w:rsidRPr="001F5222" w:rsidR="000A3520">
        <w:t xml:space="preserve">Progress </w:t>
      </w:r>
      <w:r w:rsidRPr="001F5222">
        <w:t>Report F</w:t>
      </w:r>
      <w:r w:rsidRPr="001F5222" w:rsidR="00BA6D69">
        <w:t>orms wi</w:t>
      </w:r>
      <w:r w:rsidRPr="001F5222" w:rsidR="00BB4C53">
        <w:t>ll be used by the Regional Exchange Network</w:t>
      </w:r>
      <w:r w:rsidRPr="001F5222" w:rsidR="00BA6D69">
        <w:t xml:space="preserve"> Coordinators </w:t>
      </w:r>
      <w:r w:rsidR="00D87C4D">
        <w:t xml:space="preserve">(RENCs) </w:t>
      </w:r>
      <w:r w:rsidRPr="001F5222" w:rsidR="00BA6D69">
        <w:t xml:space="preserve">to monitor grant project development and performance.  </w:t>
      </w:r>
      <w:r w:rsidR="007B01B9">
        <w:t xml:space="preserve">RENCs will </w:t>
      </w:r>
      <w:r w:rsidR="006E3EEE">
        <w:t>upload these</w:t>
      </w:r>
      <w:r w:rsidR="007B01B9">
        <w:t xml:space="preserve"> reports </w:t>
      </w:r>
      <w:r w:rsidRPr="001F5222" w:rsidR="00BA6D69">
        <w:t xml:space="preserve">to the applicable grantee’s file in the </w:t>
      </w:r>
      <w:r w:rsidR="007C565D">
        <w:t>New Generation Grants System (NGGS)</w:t>
      </w:r>
      <w:r w:rsidRPr="001F5222" w:rsidR="00BA6D69">
        <w:t>. The same reporting</w:t>
      </w:r>
      <w:r w:rsidRPr="001F5222" w:rsidR="000A3520">
        <w:t xml:space="preserve"> form will also be used for</w:t>
      </w:r>
      <w:r w:rsidRPr="001F5222">
        <w:t xml:space="preserve"> the </w:t>
      </w:r>
      <w:r w:rsidR="007B01B9">
        <w:t>F</w:t>
      </w:r>
      <w:r w:rsidRPr="001F5222">
        <w:t xml:space="preserve">inal </w:t>
      </w:r>
      <w:r w:rsidR="007B01B9">
        <w:t>P</w:t>
      </w:r>
      <w:r w:rsidRPr="001F5222">
        <w:t xml:space="preserve">rogress </w:t>
      </w:r>
      <w:r w:rsidR="007B01B9">
        <w:t>R</w:t>
      </w:r>
      <w:r w:rsidRPr="001F5222" w:rsidR="00BA6D69">
        <w:t>eport</w:t>
      </w:r>
      <w:r w:rsidR="00036ED1">
        <w:t xml:space="preserve"> </w:t>
      </w:r>
      <w:r w:rsidRPr="001F5222" w:rsidR="00BA6D69">
        <w:t>and will be used to rate performance for future grant awards.</w:t>
      </w:r>
    </w:p>
    <w:p w:rsidR="00352850" w:rsidP="00BA6D69" w:rsidRDefault="00352850" w14:paraId="59BD3506" w14:textId="77777777">
      <w:pPr>
        <w:ind w:firstLine="720"/>
      </w:pPr>
    </w:p>
    <w:p w:rsidR="00BA6D69" w:rsidP="00BA6D69" w:rsidRDefault="00BA6D69" w14:paraId="4AA81CE4" w14:textId="77777777">
      <w:pPr>
        <w:ind w:firstLine="720"/>
      </w:pPr>
      <w:r>
        <w:t>The Quality Assurance Report</w:t>
      </w:r>
      <w:r w:rsidR="005844D5">
        <w:t>ing</w:t>
      </w:r>
      <w:r>
        <w:t xml:space="preserve"> Form will be used to ensure grantees will use quality assurance measures outlined</w:t>
      </w:r>
      <w:r w:rsidR="00352850">
        <w:t xml:space="preserve"> in the grant’s administrative terms and conditions.</w:t>
      </w:r>
    </w:p>
    <w:p w:rsidR="00E80B5F" w:rsidP="00BA6D69" w:rsidRDefault="00E80B5F" w14:paraId="2BB6FA4F" w14:textId="77777777">
      <w:pPr>
        <w:ind w:firstLine="720"/>
      </w:pPr>
    </w:p>
    <w:p w:rsidR="00BA6D69" w:rsidP="00BA6D69" w:rsidRDefault="00BA6D69" w14:paraId="168AEA21" w14:textId="02B5FB2A">
      <w:pPr>
        <w:rPr>
          <w:u w:val="single"/>
        </w:rPr>
      </w:pPr>
      <w:r>
        <w:t>3.</w:t>
      </w:r>
      <w:r>
        <w:tab/>
      </w:r>
      <w:r>
        <w:rPr>
          <w:u w:val="single"/>
        </w:rPr>
        <w:t>NON</w:t>
      </w:r>
      <w:r w:rsidR="00036ED1">
        <w:rPr>
          <w:u w:val="single"/>
        </w:rPr>
        <w:t>-</w:t>
      </w:r>
      <w:r>
        <w:rPr>
          <w:u w:val="single"/>
        </w:rPr>
        <w:t xml:space="preserve">DUPLICATION, </w:t>
      </w:r>
      <w:r w:rsidRPr="00BD48C8">
        <w:rPr>
          <w:u w:val="single"/>
        </w:rPr>
        <w:t>CONSULTATIONS, AND OTHER COLLECTION CRITERIA</w:t>
      </w:r>
    </w:p>
    <w:p w:rsidR="00BA6D69" w:rsidP="00BA6D69" w:rsidRDefault="00BA6D69" w14:paraId="6A44B420" w14:textId="77777777">
      <w:pPr>
        <w:rPr>
          <w:u w:val="single"/>
        </w:rPr>
      </w:pPr>
    </w:p>
    <w:p w:rsidR="00BA6D69" w:rsidP="00BA6D69" w:rsidRDefault="00BA6D69" w14:paraId="68BF1C0B" w14:textId="77777777">
      <w:r>
        <w:tab/>
        <w:t>(a) NONDUPLICATION</w:t>
      </w:r>
    </w:p>
    <w:p w:rsidR="00BA6D69" w:rsidP="00BA6D69" w:rsidRDefault="00BA6D69" w14:paraId="06A3CBD5" w14:textId="77777777"/>
    <w:p w:rsidR="00BA6D69" w:rsidP="00BA6D69" w:rsidRDefault="00BA6D69" w14:paraId="03277A15" w14:textId="1717BE20">
      <w:r>
        <w:tab/>
        <w:t>The informati</w:t>
      </w:r>
      <w:r w:rsidR="003A7650">
        <w:t>on a grantee provides in their semi-annual progress r</w:t>
      </w:r>
      <w:r>
        <w:t>eport is unique to each project.  Information concernin</w:t>
      </w:r>
      <w:r w:rsidR="00BB4C53">
        <w:t xml:space="preserve">g the status of goals </w:t>
      </w:r>
      <w:r>
        <w:t xml:space="preserve">and outputs for each project is not available from any other source.  </w:t>
      </w:r>
    </w:p>
    <w:p w:rsidR="00BA6D69" w:rsidP="00BA6D69" w:rsidRDefault="00BA6D69" w14:paraId="34501536" w14:textId="77777777"/>
    <w:p w:rsidR="00BA6D69" w:rsidP="00BA6D69" w:rsidRDefault="00BA6D69" w14:paraId="7F4A8D5C" w14:textId="77777777">
      <w:pPr>
        <w:numPr>
          <w:ilvl w:val="0"/>
          <w:numId w:val="2"/>
        </w:numPr>
      </w:pPr>
      <w:r>
        <w:t>PUBLIC NOTICE</w:t>
      </w:r>
    </w:p>
    <w:p w:rsidR="000067F4" w:rsidP="000067F4" w:rsidRDefault="000067F4" w14:paraId="75CDF57E" w14:textId="77777777"/>
    <w:p w:rsidR="00A54DE3" w:rsidP="000067F4" w:rsidRDefault="00FB62D5" w14:paraId="18C66F71" w14:textId="6360B8C6">
      <w:pPr>
        <w:ind w:firstLine="720"/>
      </w:pPr>
      <w:r w:rsidRPr="00822EC7">
        <w:lastRenderedPageBreak/>
        <w:t>On</w:t>
      </w:r>
      <w:r w:rsidRPr="00822EC7" w:rsidR="001D280A">
        <w:t xml:space="preserve"> </w:t>
      </w:r>
      <w:r w:rsidR="00822EC7">
        <w:t>February 23, 2021</w:t>
      </w:r>
      <w:r>
        <w:t xml:space="preserve">, </w:t>
      </w:r>
      <w:r w:rsidR="009E55D5">
        <w:t>the EPA</w:t>
      </w:r>
      <w:r>
        <w:t xml:space="preserve"> published a Federal Register notice to solicit public comment </w:t>
      </w:r>
      <w:r w:rsidR="00D26EC2">
        <w:t>with the</w:t>
      </w:r>
      <w:r>
        <w:t xml:space="preserve"> intention to submit this information collection to the O</w:t>
      </w:r>
      <w:r w:rsidR="009E55D5">
        <w:t>ffice of Management and Budget (s</w:t>
      </w:r>
      <w:r>
        <w:t xml:space="preserve">ee </w:t>
      </w:r>
      <w:r w:rsidRPr="003646A2" w:rsidR="00F3605F">
        <w:t>86 FR 10952</w:t>
      </w:r>
      <w:r w:rsidR="009E55D5">
        <w:t>)</w:t>
      </w:r>
      <w:r>
        <w:t xml:space="preserve">. A sixty (60) day comment period was provided. The comment period closed on </w:t>
      </w:r>
      <w:r w:rsidR="00822EC7">
        <w:t>April 26, 2021</w:t>
      </w:r>
      <w:r>
        <w:t>. We encouraged all interested parties to review and provide feedback on this proposed information request</w:t>
      </w:r>
      <w:r w:rsidR="00A54DE3">
        <w:t xml:space="preserve">. </w:t>
      </w:r>
      <w:r w:rsidRPr="00610B2D" w:rsidR="00A54DE3">
        <w:t>We did not receive any comments or feedback on this information collection during the comment period</w:t>
      </w:r>
      <w:r w:rsidRPr="00610B2D">
        <w:t>.</w:t>
      </w:r>
      <w:r w:rsidR="00610B2D">
        <w:t xml:space="preserve"> </w:t>
      </w:r>
      <w:r>
        <w:t xml:space="preserve"> Once the ICR is submitted to OMB, there will be an additional thirty (30) day comment period announced in the Federal Register. </w:t>
      </w:r>
    </w:p>
    <w:p w:rsidR="00E80B5F" w:rsidP="00BA6D69" w:rsidRDefault="00FB62D5" w14:paraId="02C1B28B" w14:textId="1E0435F4">
      <w:pPr>
        <w:ind w:firstLine="720"/>
        <w:rPr>
          <w:bCs/>
        </w:rPr>
      </w:pPr>
      <w:r>
        <w:tab/>
      </w:r>
    </w:p>
    <w:p w:rsidR="00BA6D69" w:rsidP="00BA6D69" w:rsidRDefault="00BA6D69" w14:paraId="281691E9" w14:textId="77777777">
      <w:pPr>
        <w:numPr>
          <w:ilvl w:val="0"/>
          <w:numId w:val="2"/>
        </w:numPr>
        <w:rPr>
          <w:bCs/>
        </w:rPr>
      </w:pPr>
      <w:commentRangeStart w:id="6"/>
      <w:r>
        <w:rPr>
          <w:bCs/>
        </w:rPr>
        <w:t>CONSULTATIONS</w:t>
      </w:r>
      <w:commentRangeEnd w:id="6"/>
      <w:r w:rsidR="00D579CC">
        <w:rPr>
          <w:rStyle w:val="CommentReference"/>
        </w:rPr>
        <w:commentReference w:id="6"/>
      </w:r>
    </w:p>
    <w:p w:rsidR="00BA6D69" w:rsidP="00BA6D69" w:rsidRDefault="00BA6D69" w14:paraId="04E85218" w14:textId="77777777">
      <w:pPr>
        <w:rPr>
          <w:bCs/>
        </w:rPr>
      </w:pPr>
    </w:p>
    <w:p w:rsidRPr="0028693F" w:rsidR="007F1B14" w:rsidP="003D1908" w:rsidRDefault="005104A7" w14:paraId="0E0CBA36" w14:textId="3354F170">
      <w:pPr>
        <w:ind w:firstLine="720"/>
      </w:pPr>
      <w:r w:rsidRPr="00CB169D">
        <w:t xml:space="preserve">In preparation for the renewal of this ICR, </w:t>
      </w:r>
      <w:r w:rsidRPr="00CB169D" w:rsidR="00D3152C">
        <w:t xml:space="preserve">EPA contacted a total of 9 </w:t>
      </w:r>
      <w:r w:rsidR="00640DA4">
        <w:t xml:space="preserve">respondents, i.e., Grantees - </w:t>
      </w:r>
      <w:r w:rsidRPr="00CB169D" w:rsidR="007513EA">
        <w:t xml:space="preserve">6 </w:t>
      </w:r>
      <w:r w:rsidRPr="00CB169D" w:rsidR="00474587">
        <w:t xml:space="preserve">States, 2 Tribes, and </w:t>
      </w:r>
      <w:r w:rsidRPr="00CB169D" w:rsidR="009A790B">
        <w:t>1Territory</w:t>
      </w:r>
      <w:r w:rsidR="0062303A">
        <w:t xml:space="preserve"> to </w:t>
      </w:r>
      <w:r w:rsidR="0099212B">
        <w:t>ask for their opinions on the burden requirements associated with this ICR</w:t>
      </w:r>
      <w:r w:rsidR="0062303A">
        <w:t>. The res</w:t>
      </w:r>
      <w:r w:rsidR="007F1B14">
        <w:t>pondents indicated that the burden estimates were appropriate</w:t>
      </w:r>
      <w:r w:rsidR="0062303A">
        <w:t xml:space="preserve"> and did not provide any suggestions on how to further reduce the burden.</w:t>
      </w:r>
    </w:p>
    <w:p w:rsidR="005C6AFC" w:rsidP="00560248" w:rsidRDefault="005C6AFC" w14:paraId="22F87B21" w14:textId="77777777"/>
    <w:p w:rsidR="00BA6D69" w:rsidP="00BA6D69" w:rsidRDefault="00BA6D69" w14:paraId="7AAD0E0F" w14:textId="77777777">
      <w:pPr>
        <w:numPr>
          <w:ilvl w:val="0"/>
          <w:numId w:val="2"/>
        </w:numPr>
      </w:pPr>
      <w:r>
        <w:t>EFFECTS OF LESS FREQUENT COLLECTION</w:t>
      </w:r>
    </w:p>
    <w:p w:rsidR="00BA6D69" w:rsidP="00BA6D69" w:rsidRDefault="00BA6D69" w14:paraId="5C015952" w14:textId="77777777"/>
    <w:p w:rsidR="00BA6D69" w:rsidP="00BA6D69" w:rsidRDefault="00BA6D69" w14:paraId="3ACC9301" w14:textId="0E1760AA">
      <w:pPr>
        <w:ind w:firstLine="720"/>
      </w:pPr>
      <w:r>
        <w:t>EN gr</w:t>
      </w:r>
      <w:r w:rsidR="00E475E8">
        <w:t>ants are usually awarded for three</w:t>
      </w:r>
      <w:r>
        <w:t xml:space="preserve">-year project periods.  The Quality Assurance </w:t>
      </w:r>
      <w:r w:rsidR="00E475E8">
        <w:t xml:space="preserve">Reporting </w:t>
      </w:r>
      <w:r>
        <w:t xml:space="preserve">Form </w:t>
      </w:r>
      <w:r w:rsidR="00E475E8">
        <w:t>is</w:t>
      </w:r>
      <w:r>
        <w:t xml:space="preserve"> completed only once, no more than </w:t>
      </w:r>
      <w:r w:rsidR="00453C80">
        <w:t>90 days</w:t>
      </w:r>
      <w:r>
        <w:t xml:space="preserve"> after the award is m</w:t>
      </w:r>
      <w:r w:rsidR="00E475E8">
        <w:t xml:space="preserve">ade.  As a stipulation of the </w:t>
      </w:r>
      <w:r>
        <w:t xml:space="preserve">EN grant award, a </w:t>
      </w:r>
      <w:r w:rsidR="008C4DFD">
        <w:t>Semi-Annual P</w:t>
      </w:r>
      <w:r>
        <w:t xml:space="preserve">rogress report is completed every six months </w:t>
      </w:r>
      <w:r w:rsidRPr="00D26EC2">
        <w:t xml:space="preserve">and a </w:t>
      </w:r>
      <w:r w:rsidRPr="00D26EC2" w:rsidR="008C4DFD">
        <w:t>F</w:t>
      </w:r>
      <w:r w:rsidRPr="00D26EC2">
        <w:t xml:space="preserve">inal </w:t>
      </w:r>
      <w:r w:rsidRPr="00D26EC2" w:rsidR="008C4DFD">
        <w:t>Progress R</w:t>
      </w:r>
      <w:r w:rsidRPr="00D26EC2">
        <w:t xml:space="preserve">eport is submitted no later than </w:t>
      </w:r>
      <w:r w:rsidRPr="00D26EC2" w:rsidR="00D8296C">
        <w:t xml:space="preserve">90 days </w:t>
      </w:r>
      <w:r w:rsidRPr="00957CBB">
        <w:t xml:space="preserve">after </w:t>
      </w:r>
      <w:r w:rsidRPr="00957CBB" w:rsidR="00D8296C">
        <w:t xml:space="preserve">the </w:t>
      </w:r>
      <w:r w:rsidRPr="00957CBB" w:rsidR="00D26EC2">
        <w:t>period of performance end date</w:t>
      </w:r>
      <w:r w:rsidRPr="00957CBB">
        <w:t>.</w:t>
      </w:r>
      <w:r>
        <w:t xml:space="preserve"> </w:t>
      </w:r>
      <w:r w:rsidR="00705F06">
        <w:t xml:space="preserve"> </w:t>
      </w:r>
      <w:bookmarkStart w:name="_Hlk69389306" w:id="7"/>
      <w:r w:rsidR="00D26EC2">
        <w:t>S</w:t>
      </w:r>
      <w:r w:rsidR="008C4DFD">
        <w:t>emi</w:t>
      </w:r>
      <w:r w:rsidR="00735444">
        <w:t xml:space="preserve">-annual </w:t>
      </w:r>
      <w:r w:rsidR="008C4DFD">
        <w:t>p</w:t>
      </w:r>
      <w:r w:rsidR="00705F06">
        <w:t xml:space="preserve">rogress reports and </w:t>
      </w:r>
      <w:r w:rsidR="008C4DFD">
        <w:t>f</w:t>
      </w:r>
      <w:r w:rsidR="00705F06">
        <w:t xml:space="preserve">inal </w:t>
      </w:r>
      <w:r w:rsidR="008C4DFD">
        <w:t>p</w:t>
      </w:r>
      <w:r w:rsidR="00735444">
        <w:t xml:space="preserve">rogress </w:t>
      </w:r>
      <w:r w:rsidR="00705F06">
        <w:t xml:space="preserve">reports </w:t>
      </w:r>
      <w:r w:rsidR="00D87C4D">
        <w:t xml:space="preserve">requests </w:t>
      </w:r>
      <w:r w:rsidR="00705F06">
        <w:t>the same information</w:t>
      </w:r>
      <w:r w:rsidR="00D333B5">
        <w:t xml:space="preserve"> </w:t>
      </w:r>
      <w:r w:rsidR="00D87C4D">
        <w:t xml:space="preserve">but </w:t>
      </w:r>
      <w:r w:rsidR="00705F06">
        <w:t>are noted</w:t>
      </w:r>
      <w:r w:rsidR="000920C9">
        <w:t xml:space="preserve"> separately because </w:t>
      </w:r>
      <w:r w:rsidR="00D87C4D">
        <w:t xml:space="preserve">they provide project updates and accomplishments </w:t>
      </w:r>
      <w:r w:rsidR="00D333B5">
        <w:t>for different project periods</w:t>
      </w:r>
      <w:r w:rsidR="000920C9">
        <w:t>.</w:t>
      </w:r>
      <w:bookmarkEnd w:id="7"/>
      <w:r w:rsidR="00705F06">
        <w:t xml:space="preserve"> </w:t>
      </w:r>
      <w:r>
        <w:t>Less frequent reporting could result in project mismanagement.  For some Project Officers with many grants to manage, the semi-annual progress report is the best opportunity to ensure the project is on schedule to meet its goals.</w:t>
      </w:r>
    </w:p>
    <w:p w:rsidR="00BA6D69" w:rsidP="00BA6D69" w:rsidRDefault="00BA6D69" w14:paraId="55305CA3" w14:textId="77777777">
      <w:pPr>
        <w:ind w:firstLine="720"/>
      </w:pPr>
    </w:p>
    <w:p w:rsidR="00BA6D69" w:rsidP="00BA6D69" w:rsidRDefault="00BA6D69" w14:paraId="3B5EB9CC" w14:textId="77777777">
      <w:pPr>
        <w:numPr>
          <w:ilvl w:val="0"/>
          <w:numId w:val="2"/>
        </w:numPr>
      </w:pPr>
      <w:r>
        <w:t>GENERAL GUIDELINES</w:t>
      </w:r>
    </w:p>
    <w:p w:rsidR="00A30856" w:rsidP="00560248" w:rsidRDefault="00C94514" w14:paraId="2119DFA8" w14:textId="77777777">
      <w:pPr>
        <w:autoSpaceDE w:val="0"/>
        <w:autoSpaceDN w:val="0"/>
      </w:pPr>
      <w:r>
        <w:tab/>
      </w:r>
    </w:p>
    <w:p w:rsidR="00A30856" w:rsidP="00A30856" w:rsidRDefault="00A30856" w14:paraId="7AB58770" w14:textId="31BBF3B0">
      <w:pPr>
        <w:autoSpaceDE w:val="0"/>
        <w:autoSpaceDN w:val="0"/>
        <w:ind w:firstLine="720"/>
        <w:rPr>
          <w:rFonts w:ascii="Calibri" w:hAnsi="Calibri"/>
          <w:bCs/>
        </w:rPr>
      </w:pPr>
      <w:r>
        <w:t>This ICR does not exceed any of the guidelines found</w:t>
      </w:r>
      <w:r w:rsidR="00FA1644">
        <w:t xml:space="preserve"> </w:t>
      </w:r>
      <w:r w:rsidRPr="000D57C2" w:rsidR="00FA1644">
        <w:t xml:space="preserve">under </w:t>
      </w:r>
      <w:r w:rsidRPr="000D57C2">
        <w:t>5 CFR 1320.5(d)(2).</w:t>
      </w:r>
      <w:r>
        <w:rPr>
          <w:rFonts w:ascii="Segoe UI" w:hAnsi="Segoe UI" w:cs="Segoe UI"/>
          <w:color w:val="000000"/>
          <w:sz w:val="20"/>
        </w:rPr>
        <w:t xml:space="preserve"> </w:t>
      </w:r>
    </w:p>
    <w:p w:rsidR="00BA6D69" w:rsidP="00560248" w:rsidRDefault="00BA6D69" w14:paraId="6047DD1F"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P="00BA6D69" w:rsidRDefault="00BA6D69" w14:paraId="3FFAD67D" w14:textId="77777777">
      <w:pPr>
        <w:numPr>
          <w:ilvl w:val="0"/>
          <w:numId w:val="2"/>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CONFIDENTIALITY</w:t>
      </w:r>
    </w:p>
    <w:p w:rsidR="00BA6D69" w:rsidP="00BA6D69" w:rsidRDefault="00BA6D69" w14:paraId="1503464A" w14:textId="77777777">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rsidR="00BA6D69" w:rsidP="00BA6D69" w:rsidRDefault="00BA6D69" w14:paraId="39AC464C"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No pledge of confidentiality is given for grantee responses in either</w:t>
      </w:r>
      <w:r w:rsidR="00C94514">
        <w:t xml:space="preserve"> the Semi-Annual Progress Report Form or the Quality Assurance </w:t>
      </w:r>
      <w:r w:rsidR="00E475E8">
        <w:t xml:space="preserve">Reporting </w:t>
      </w:r>
      <w:r w:rsidR="00C94514">
        <w:t>Form</w:t>
      </w:r>
      <w:r>
        <w:t>.</w:t>
      </w:r>
    </w:p>
    <w:p w:rsidR="00BA6D69" w:rsidP="00BA6D69" w:rsidRDefault="00BA6D69" w14:paraId="21119B0B"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rsidR="00BA6D69" w:rsidP="008C4DFD" w:rsidRDefault="00BA6D69" w14:paraId="3B75A8C6" w14:textId="77777777">
      <w:pPr>
        <w:numPr>
          <w:ilvl w:val="0"/>
          <w:numId w:val="2"/>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SENSITIVE QUESTIONS</w:t>
      </w:r>
    </w:p>
    <w:p w:rsidR="00BA6D69" w:rsidP="00BA6D69" w:rsidRDefault="00BA6D69" w14:paraId="2BD87B1D"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P="00BA6D69" w:rsidRDefault="00BA6D69" w14:paraId="2AF7D071" w14:textId="4BC7F47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t>No sensitive question</w:t>
      </w:r>
      <w:r w:rsidR="00C94514">
        <w:t>s are asked on either the Semi-A</w:t>
      </w:r>
      <w:r w:rsidR="000A3520">
        <w:t>nnual Progress Report Form</w:t>
      </w:r>
      <w:r>
        <w:t xml:space="preserve"> or Quality Assurance </w:t>
      </w:r>
      <w:r w:rsidR="00E475E8">
        <w:t xml:space="preserve">Reporting </w:t>
      </w:r>
      <w:r w:rsidR="000A3520">
        <w:t>Form</w:t>
      </w:r>
      <w:r>
        <w:t>.</w:t>
      </w:r>
    </w:p>
    <w:p w:rsidR="00E80B5F" w:rsidP="00BA6D69" w:rsidRDefault="00E80B5F" w14:paraId="25AD774D" w14:textId="047986F2">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F30336" w:rsidP="00BA6D69" w:rsidRDefault="00F30336" w14:paraId="453AA551"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P="00BA6D69" w:rsidRDefault="00BA6D69" w14:paraId="404EE5F6" w14:textId="66FECB2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4.</w:t>
      </w:r>
      <w:r>
        <w:tab/>
      </w:r>
      <w:r>
        <w:rPr>
          <w:u w:val="single"/>
        </w:rPr>
        <w:t>THE RESPONDENTS AND THE INFORMATION REQUESTED</w:t>
      </w:r>
    </w:p>
    <w:p w:rsidR="00BA6D69" w:rsidP="00BA6D69" w:rsidRDefault="00BA6D69" w14:paraId="2DD8D4A7"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Pr="003E3360" w:rsidR="00BA6D69" w:rsidP="00BA6D69" w:rsidRDefault="00BA6D69" w14:paraId="7262DA8A" w14:textId="4788C6C3">
      <w:pPr>
        <w:numPr>
          <w:ilvl w:val="0"/>
          <w:numId w:val="3"/>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3E3360">
        <w:t>RESPONDENTS/</w:t>
      </w:r>
      <w:r w:rsidR="001B3898">
        <w:t>NAICS</w:t>
      </w:r>
      <w:r w:rsidRPr="003E3360">
        <w:t xml:space="preserve"> CODES</w:t>
      </w:r>
    </w:p>
    <w:p w:rsidRPr="003E3360" w:rsidR="00BA6D69" w:rsidP="00BA6D69" w:rsidRDefault="00BA6D69" w14:paraId="5566D219" w14:textId="77777777">
      <w:p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716"/>
      </w:pPr>
    </w:p>
    <w:p w:rsidRPr="003E3360" w:rsidR="00BA6D69" w:rsidP="00BA6D69" w:rsidRDefault="00BA6D69" w14:paraId="6496ED8F" w14:textId="4AD2D3E9">
      <w:pPr>
        <w:tabs>
          <w:tab w:val="left" w:pos="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3E3360">
        <w:lastRenderedPageBreak/>
        <w:t xml:space="preserve">Our respondents are employees of state, tribal, or territorial environmental government offices.  For instance, the current grants awarded to the state of </w:t>
      </w:r>
      <w:r w:rsidRPr="003E3360" w:rsidR="00453C80">
        <w:t>Maryland</w:t>
      </w:r>
      <w:r w:rsidRPr="003E3360">
        <w:t xml:space="preserve"> are managed by an employee of the </w:t>
      </w:r>
      <w:r w:rsidRPr="003E3360" w:rsidR="00453C80">
        <w:t>Maryland Department of the Environment</w:t>
      </w:r>
      <w:r w:rsidRPr="003E3360">
        <w:t>.</w:t>
      </w:r>
    </w:p>
    <w:p w:rsidRPr="003E3360" w:rsidR="00BA6D69" w:rsidP="00BA6D69" w:rsidRDefault="00BA6D69" w14:paraId="0D24770C" w14:textId="77777777">
      <w:pPr>
        <w:tabs>
          <w:tab w:val="left" w:pos="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rsidRPr="003E3360" w:rsidR="00BA6D69" w:rsidP="00BA6D69" w:rsidRDefault="00BA6D69" w14:paraId="4AF7B0A5" w14:textId="0A5633CA">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3E3360">
        <w:t xml:space="preserve">According to the 2002 </w:t>
      </w:r>
      <w:r w:rsidRPr="003E3360" w:rsidR="00CB3E43">
        <w:t>NAICS</w:t>
      </w:r>
      <w:r w:rsidRPr="003E3360">
        <w:t xml:space="preserve"> codes available at </w:t>
      </w:r>
      <w:hyperlink w:history="1" r:id="rId20">
        <w:r w:rsidRPr="003E3360" w:rsidR="000A3520">
          <w:rPr>
            <w:rStyle w:val="Hyperlink"/>
            <w:color w:val="auto"/>
            <w:u w:val="none"/>
          </w:rPr>
          <w:t>www.naics.com</w:t>
        </w:r>
      </w:hyperlink>
      <w:r w:rsidRPr="003E3360">
        <w:t>, our respondents would fall into one of three categories:</w:t>
      </w:r>
    </w:p>
    <w:p w:rsidRPr="003E3360" w:rsidR="00BA6D69" w:rsidP="00C66826" w:rsidRDefault="00BA6D69" w14:paraId="1B408701" w14:textId="77777777">
      <w:pPr>
        <w:pStyle w:val="ListParagraph"/>
        <w:numPr>
          <w:ilvl w:val="0"/>
          <w:numId w:val="13"/>
        </w:num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3E3360">
        <w:t>921150 American Indian and Alaska Native Tribal Governments</w:t>
      </w:r>
    </w:p>
    <w:p w:rsidRPr="003E3360" w:rsidR="00BA6D69" w:rsidP="00C66826" w:rsidRDefault="00BA6D69" w14:paraId="1587FBC5" w14:textId="77777777">
      <w:pPr>
        <w:pStyle w:val="ListParagraph"/>
        <w:numPr>
          <w:ilvl w:val="0"/>
          <w:numId w:val="13"/>
        </w:num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3E3360">
        <w:t>921190 Other General Government Support</w:t>
      </w:r>
    </w:p>
    <w:p w:rsidRPr="003E3360" w:rsidR="00BA6D69" w:rsidP="00C66826" w:rsidRDefault="00833A86" w14:paraId="1CD27635" w14:textId="667A8107">
      <w:pPr>
        <w:pStyle w:val="ListParagraph"/>
        <w:numPr>
          <w:ilvl w:val="0"/>
          <w:numId w:val="13"/>
        </w:num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3E3360">
        <w:t>924120 Administration</w:t>
      </w:r>
      <w:r w:rsidRPr="003E3360" w:rsidR="00BA6D69">
        <w:t xml:space="preserve"> of Conservation Programs</w:t>
      </w:r>
    </w:p>
    <w:p w:rsidRPr="003E3360" w:rsidR="00BA6D69" w:rsidP="00BA6D69" w:rsidRDefault="00BA6D69" w14:paraId="510D873A" w14:textId="77777777">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p>
    <w:p w:rsidRPr="003E3360" w:rsidR="00BA6D69" w:rsidP="00BA6D69" w:rsidRDefault="00BA6D69" w14:paraId="0F0989D9" w14:textId="77777777">
      <w:pPr>
        <w:numPr>
          <w:ilvl w:val="0"/>
          <w:numId w:val="3"/>
        </w:numPr>
        <w:tabs>
          <w:tab w:val="left" w:pos="360"/>
          <w:tab w:val="left" w:pos="54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0" w:firstLine="720"/>
      </w:pPr>
      <w:r w:rsidRPr="003E3360">
        <w:t>INFORMATION REQUESTED</w:t>
      </w:r>
    </w:p>
    <w:p w:rsidRPr="00DB3A6F" w:rsidR="00BA6D69" w:rsidP="00BA6D69" w:rsidRDefault="00BA6D69" w14:paraId="7BFA1222" w14:textId="77777777">
      <w:pPr>
        <w:tabs>
          <w:tab w:val="left" w:pos="360"/>
          <w:tab w:val="left" w:pos="54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rPr>
          <w:b/>
          <w:color w:val="FF0000"/>
          <w:u w:val="single"/>
        </w:rPr>
      </w:pPr>
    </w:p>
    <w:p w:rsidRPr="003E3360" w:rsidR="00C94514" w:rsidP="00C94514" w:rsidRDefault="00BA6D69" w14:paraId="4396AD6B" w14:textId="68125773">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3E3360">
        <w:t>Please see att</w:t>
      </w:r>
      <w:r w:rsidR="000F026B">
        <w:t xml:space="preserve">ached instruments </w:t>
      </w:r>
      <w:r w:rsidRPr="00C66826" w:rsidR="00F30336">
        <w:rPr>
          <w:i/>
        </w:rPr>
        <w:t>Semi-Annual</w:t>
      </w:r>
      <w:r w:rsidR="00F30336">
        <w:t xml:space="preserve"> </w:t>
      </w:r>
      <w:r w:rsidR="00211DFF">
        <w:t xml:space="preserve">and </w:t>
      </w:r>
      <w:r w:rsidRPr="00211DFF" w:rsidR="00211DFF">
        <w:rPr>
          <w:i/>
          <w:iCs/>
        </w:rPr>
        <w:t xml:space="preserve">Final </w:t>
      </w:r>
      <w:r w:rsidRPr="00C66826" w:rsidR="000F026B">
        <w:rPr>
          <w:i/>
        </w:rPr>
        <w:t>Progress Report Form</w:t>
      </w:r>
      <w:r w:rsidR="000F026B">
        <w:t xml:space="preserve"> </w:t>
      </w:r>
      <w:r w:rsidR="0086119E">
        <w:t xml:space="preserve">(EPA Form 5300-26) </w:t>
      </w:r>
      <w:r w:rsidR="00211DFF">
        <w:t xml:space="preserve">(Attachment 1) </w:t>
      </w:r>
      <w:r w:rsidR="000F026B">
        <w:t xml:space="preserve">and </w:t>
      </w:r>
      <w:r w:rsidRPr="00C66826" w:rsidR="000F026B">
        <w:rPr>
          <w:i/>
        </w:rPr>
        <w:t>Quality Assurance Reporting F</w:t>
      </w:r>
      <w:r w:rsidR="00781863">
        <w:rPr>
          <w:i/>
        </w:rPr>
        <w:t>orm</w:t>
      </w:r>
      <w:r w:rsidR="000F026B">
        <w:t xml:space="preserve"> </w:t>
      </w:r>
      <w:r w:rsidR="0086119E">
        <w:t>(EPA Form 5300-27)</w:t>
      </w:r>
      <w:r w:rsidRPr="003E3360">
        <w:t xml:space="preserve"> </w:t>
      </w:r>
      <w:r w:rsidR="00211DFF">
        <w:t xml:space="preserve">(Attachment 2) </w:t>
      </w:r>
      <w:r w:rsidRPr="003E3360">
        <w:t>for sp</w:t>
      </w:r>
      <w:r w:rsidRPr="003E3360" w:rsidR="00A93F6C">
        <w:t>ecific data elements</w:t>
      </w:r>
      <w:r w:rsidR="000F026B">
        <w:t xml:space="preserve">. </w:t>
      </w:r>
      <w:r w:rsidRPr="003E3360" w:rsidR="00DF1D13">
        <w:t xml:space="preserve"> </w:t>
      </w:r>
      <w:r w:rsidR="0086119E">
        <w:t xml:space="preserve">Additional information can be found in </w:t>
      </w:r>
      <w:r w:rsidRPr="00BC26C4" w:rsidR="0086119E">
        <w:rPr>
          <w:iCs/>
        </w:rPr>
        <w:t>Appendix 1</w:t>
      </w:r>
      <w:r w:rsidRPr="00D02A81" w:rsidR="0086119E">
        <w:rPr>
          <w:i/>
        </w:rPr>
        <w:t xml:space="preserve">: FY </w:t>
      </w:r>
      <w:r w:rsidRPr="00D02A81" w:rsidR="00781863">
        <w:rPr>
          <w:i/>
        </w:rPr>
        <w:t>20</w:t>
      </w:r>
      <w:r w:rsidR="00781863">
        <w:rPr>
          <w:i/>
        </w:rPr>
        <w:t>21</w:t>
      </w:r>
      <w:r w:rsidRPr="00D02A81" w:rsidR="0086119E">
        <w:rPr>
          <w:i/>
        </w:rPr>
        <w:t>Exchange Network Solicitation Notice, Section VI</w:t>
      </w:r>
      <w:r w:rsidR="0086119E">
        <w:rPr>
          <w:i/>
        </w:rPr>
        <w:t xml:space="preserve"> </w:t>
      </w:r>
      <w:r w:rsidRPr="00C66826" w:rsidR="0086119E">
        <w:t>which provides grantees with</w:t>
      </w:r>
      <w:r w:rsidR="0086119E">
        <w:rPr>
          <w:i/>
        </w:rPr>
        <w:t xml:space="preserve"> </w:t>
      </w:r>
      <w:r w:rsidRPr="003E3360" w:rsidR="00C94514">
        <w:t xml:space="preserve">guidance for </w:t>
      </w:r>
      <w:r w:rsidR="0086119E">
        <w:t xml:space="preserve">submitting </w:t>
      </w:r>
      <w:r w:rsidRPr="003E3360" w:rsidR="00C94514">
        <w:t>quality assurance p</w:t>
      </w:r>
      <w:r w:rsidRPr="003E3360" w:rsidR="0087451C">
        <w:t>lans</w:t>
      </w:r>
      <w:r w:rsidR="00902BF8">
        <w:t xml:space="preserve"> (inserted below)</w:t>
      </w:r>
      <w:r w:rsidR="0086119E">
        <w:t xml:space="preserve">  </w:t>
      </w:r>
      <w:r w:rsidRPr="003E3360" w:rsidR="0087451C">
        <w:t xml:space="preserve"> </w:t>
      </w:r>
    </w:p>
    <w:p w:rsidRPr="00DB3A6F" w:rsidR="00C94514" w:rsidP="00C94514" w:rsidRDefault="00C94514" w14:paraId="0687C082" w14:textId="77777777">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rPr>
          <w:b/>
          <w:color w:val="FF0000"/>
          <w:u w:val="single"/>
        </w:rPr>
      </w:pPr>
    </w:p>
    <w:p w:rsidRPr="000069D0" w:rsidR="00BA6D69" w:rsidP="00C94514" w:rsidRDefault="00C94514" w14:paraId="20F0FE84" w14:textId="77777777">
      <w:pPr>
        <w:tabs>
          <w:tab w:val="left" w:pos="36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firstLine="720"/>
      </w:pPr>
      <w:r w:rsidRPr="000069D0">
        <w:t xml:space="preserve">(c) </w:t>
      </w:r>
      <w:r w:rsidRPr="000069D0" w:rsidR="00BA6D69">
        <w:t>RESPONDENT ACTIVITIES</w:t>
      </w:r>
    </w:p>
    <w:p w:rsidRPr="000069D0" w:rsidR="00BA6D69" w:rsidP="00BA6D69" w:rsidRDefault="00BA6D69" w14:paraId="5860C5C6"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Pr="000069D0" w:rsidR="00BA6D69" w:rsidP="00BA6D69" w:rsidRDefault="00BA6D69" w14:paraId="13902323" w14:textId="5CBF2509">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069D0">
        <w:tab/>
        <w:t>As previously stated, grantees are already required to report progress semi</w:t>
      </w:r>
      <w:r w:rsidRPr="000069D0" w:rsidR="00D8296C">
        <w:t xml:space="preserve">-annually on their projects.  </w:t>
      </w:r>
      <w:r w:rsidRPr="000069D0">
        <w:t xml:space="preserve">EN grantees have been submitting </w:t>
      </w:r>
      <w:r w:rsidRPr="000069D0" w:rsidR="003A7650">
        <w:t>semi-annual progress report</w:t>
      </w:r>
      <w:r w:rsidRPr="000069D0">
        <w:t xml:space="preserve">s </w:t>
      </w:r>
      <w:r w:rsidRPr="005244DE">
        <w:t xml:space="preserve">and final </w:t>
      </w:r>
      <w:r w:rsidRPr="005244DE" w:rsidR="00673FD8">
        <w:t xml:space="preserve">progress </w:t>
      </w:r>
      <w:r w:rsidRPr="005244DE">
        <w:t>reports</w:t>
      </w:r>
      <w:r w:rsidRPr="000069D0">
        <w:t xml:space="preserve"> to EPA Regional Offices since the</w:t>
      </w:r>
      <w:r w:rsidRPr="000069D0" w:rsidR="004A1FAE">
        <w:t xml:space="preserve"> National Environmental Information Exchange Network</w:t>
      </w:r>
      <w:r w:rsidRPr="000069D0">
        <w:t xml:space="preserve"> grant program began in 2002.  </w:t>
      </w:r>
      <w:r w:rsidRPr="000069D0" w:rsidR="00A93F6C">
        <w:t>EPA implemented the requirement to submit the</w:t>
      </w:r>
      <w:r w:rsidRPr="000069D0">
        <w:t xml:space="preserve"> Quality Assurance </w:t>
      </w:r>
      <w:r w:rsidRPr="000069D0" w:rsidR="00D8296C">
        <w:t xml:space="preserve">Reporting </w:t>
      </w:r>
      <w:r w:rsidRPr="000069D0">
        <w:t xml:space="preserve">Form </w:t>
      </w:r>
      <w:r w:rsidRPr="000069D0" w:rsidR="00A93F6C">
        <w:t xml:space="preserve">for new EN grants beginning in 2006, </w:t>
      </w:r>
      <w:r w:rsidRPr="000069D0" w:rsidR="00B40EE7">
        <w:t>but the measures for quality a</w:t>
      </w:r>
      <w:r w:rsidRPr="000069D0">
        <w:t>ssurance in grantees’ pro</w:t>
      </w:r>
      <w:r w:rsidRPr="000069D0" w:rsidR="00D8296C">
        <w:t>ject</w:t>
      </w:r>
      <w:r w:rsidR="00B72FB7">
        <w:t>s</w:t>
      </w:r>
      <w:r w:rsidRPr="000069D0" w:rsidR="00D8296C">
        <w:t xml:space="preserve"> have been explained in the </w:t>
      </w:r>
      <w:r w:rsidRPr="000069D0">
        <w:t xml:space="preserve">EN Solicitation Notice since 2002.  </w:t>
      </w:r>
    </w:p>
    <w:p w:rsidR="00BA6D69" w:rsidP="00BA6D69" w:rsidRDefault="00BA6D69" w14:paraId="1BA09FE7" w14:textId="77777777">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P="00BA6D69" w:rsidRDefault="00BA6D69" w14:paraId="7C231E81" w14:textId="77777777">
      <w:pPr>
        <w:tabs>
          <w:tab w:val="left" w:pos="-4"/>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b/>
        <w:t xml:space="preserve">According to the </w:t>
      </w:r>
      <w:r>
        <w:rPr>
          <w:bCs/>
        </w:rPr>
        <w:t xml:space="preserve">1995 </w:t>
      </w:r>
      <w:r w:rsidR="001B6CE8">
        <w:rPr>
          <w:bCs/>
        </w:rPr>
        <w:t>Paperwork Reduction Act (</w:t>
      </w:r>
      <w:r>
        <w:rPr>
          <w:bCs/>
        </w:rPr>
        <w:t>PRA</w:t>
      </w:r>
      <w:r w:rsidR="001B6CE8">
        <w:rPr>
          <w:bCs/>
        </w:rPr>
        <w:t>)</w:t>
      </w:r>
      <w:r>
        <w:rPr>
          <w:bCs/>
        </w:rPr>
        <w:t xml:space="preserve"> definition of burden </w:t>
      </w:r>
      <w:r>
        <w:t>§3502, the only time and effort that the forms required from grantees are:</w:t>
      </w:r>
    </w:p>
    <w:p w:rsidR="00BA6D69" w:rsidP="00BA6D69" w:rsidRDefault="00BA6D69" w14:paraId="6A5646E7"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(A)</w:t>
      </w:r>
      <w:r>
        <w:tab/>
        <w:t>Reviewing instructions;</w:t>
      </w:r>
    </w:p>
    <w:p w:rsidR="00BA6D69" w:rsidP="00BA6D69" w:rsidRDefault="00BA6D69" w14:paraId="0AEAF87E"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(E)</w:t>
      </w:r>
      <w:r>
        <w:tab/>
        <w:t>Completing and reviewing the collection of information; and</w:t>
      </w:r>
    </w:p>
    <w:p w:rsidR="00BA6D69" w:rsidP="00BA6D69" w:rsidRDefault="00BA6D69" w14:paraId="734BB4D0"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(F)</w:t>
      </w:r>
      <w:r>
        <w:tab/>
        <w:t>Transmitting through email.</w:t>
      </w:r>
    </w:p>
    <w:p w:rsidR="00BA6D69" w:rsidP="00E80B5F" w:rsidRDefault="00BA6D69" w14:paraId="3FAF9B28" w14:textId="5BEB2455">
      <w:pPr>
        <w:numPr>
          <w:ilvl w:val="12"/>
          <w:numId w:val="0"/>
        </w:numPr>
        <w:tabs>
          <w:tab w:val="left" w:pos="0"/>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 xml:space="preserve"> </w:t>
      </w:r>
    </w:p>
    <w:p w:rsidR="00BA6D69" w:rsidP="00BA6D69" w:rsidRDefault="00BA6D69" w14:paraId="4EE02233"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u w:val="single"/>
        </w:rPr>
      </w:pPr>
      <w:r>
        <w:t>5.</w:t>
      </w:r>
      <w:r>
        <w:tab/>
      </w:r>
      <w:r>
        <w:rPr>
          <w:u w:val="single"/>
        </w:rPr>
        <w:t>INFORMATION COLLECTED</w:t>
      </w:r>
    </w:p>
    <w:p w:rsidR="00BA6D69" w:rsidP="00BA6D69" w:rsidRDefault="00BA6D69" w14:paraId="078CE21C"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u w:val="single"/>
        </w:rPr>
      </w:pPr>
    </w:p>
    <w:p w:rsidR="00BA6D69" w:rsidP="00BA6D69" w:rsidRDefault="00BA6D69" w14:paraId="42CB0F02" w14:textId="77777777">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AGENCY ACTIVITIES</w:t>
      </w:r>
    </w:p>
    <w:p w:rsidR="00BA6D69" w:rsidP="00BA6D69" w:rsidRDefault="00BA6D69" w14:paraId="030B9A78"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C332ED" w:rsidP="00C332ED" w:rsidRDefault="00BA6D69" w14:paraId="41E53749" w14:textId="4D07626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ab/>
      </w:r>
      <w:r w:rsidRPr="00781863" w:rsidR="00C238F6">
        <w:t xml:space="preserve">The Grantees </w:t>
      </w:r>
      <w:r w:rsidR="00F91F86">
        <w:t xml:space="preserve">electronically </w:t>
      </w:r>
      <w:r w:rsidRPr="00781863" w:rsidR="00C238F6">
        <w:t>submit</w:t>
      </w:r>
      <w:r w:rsidRPr="00781863" w:rsidR="00781863">
        <w:t>s</w:t>
      </w:r>
      <w:r w:rsidRPr="00781863" w:rsidR="00C238F6">
        <w:t xml:space="preserve"> the </w:t>
      </w:r>
      <w:r w:rsidR="00673FD8">
        <w:t xml:space="preserve">Quality Assurance reports, </w:t>
      </w:r>
      <w:r w:rsidRPr="00781863" w:rsidR="00247E63">
        <w:t xml:space="preserve">Semi-annual </w:t>
      </w:r>
      <w:r w:rsidRPr="00781863" w:rsidR="00781863">
        <w:t>reports</w:t>
      </w:r>
      <w:r w:rsidR="00673FD8">
        <w:t>,</w:t>
      </w:r>
      <w:r w:rsidRPr="00781863" w:rsidR="00781863">
        <w:t xml:space="preserve"> and the Final Progress Reports</w:t>
      </w:r>
      <w:r w:rsidRPr="00781863" w:rsidR="00D8296C">
        <w:t xml:space="preserve"> </w:t>
      </w:r>
      <w:r w:rsidRPr="00781863" w:rsidR="00C238F6">
        <w:t xml:space="preserve">via the </w:t>
      </w:r>
      <w:r w:rsidRPr="00781863" w:rsidR="00D8296C">
        <w:t>Central Data Exchange</w:t>
      </w:r>
      <w:r w:rsidR="00673FD8">
        <w:t xml:space="preserve"> to EPA’s RENCs.  These reports are then </w:t>
      </w:r>
      <w:r w:rsidR="007C565D">
        <w:t>uploaded to NGGS by the RENCs</w:t>
      </w:r>
      <w:r w:rsidR="00673FD8">
        <w:t xml:space="preserve">. The </w:t>
      </w:r>
      <w:r w:rsidRPr="00781863" w:rsidR="00390C5B">
        <w:t xml:space="preserve">Headquarters Exchange Network staff and management may </w:t>
      </w:r>
      <w:r w:rsidR="00673FD8">
        <w:t xml:space="preserve">review these reports </w:t>
      </w:r>
      <w:r w:rsidRPr="00781863" w:rsidR="00390C5B">
        <w:t>to track and report grant status</w:t>
      </w:r>
      <w:r w:rsidRPr="00781863">
        <w:t>.</w:t>
      </w:r>
    </w:p>
    <w:p w:rsidR="00C332ED" w:rsidP="00C332ED" w:rsidRDefault="00C332ED" w14:paraId="7BF4B914"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P="00C332ED" w:rsidRDefault="00C332ED" w14:paraId="7B775CDD" w14:textId="0DBC0BCE">
      <w:pPr>
        <w:pStyle w:val="ListParagraph"/>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CO</w:t>
      </w:r>
      <w:r w:rsidR="00BA6D69">
        <w:t>LLECTION METHODOLOGY</w:t>
      </w:r>
    </w:p>
    <w:p w:rsidR="00BA6D69" w:rsidP="00BA6D69" w:rsidRDefault="00BA6D69" w14:paraId="2D3295CE"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6E3EEE" w:rsidP="0029363A" w:rsidRDefault="00BA6D69" w14:paraId="0A51C345"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r>
      <w:r w:rsidRPr="000069D0" w:rsidR="00140663">
        <w:t xml:space="preserve">Beginning with grants awarded in FY 2008, </w:t>
      </w:r>
      <w:r w:rsidRPr="000069D0" w:rsidR="00E9542C">
        <w:t xml:space="preserve">EPA </w:t>
      </w:r>
      <w:r w:rsidR="00C72062">
        <w:t>has required</w:t>
      </w:r>
      <w:r w:rsidRPr="000069D0" w:rsidR="00E9542C">
        <w:t>, through the administrative terms and conditions, th</w:t>
      </w:r>
      <w:r w:rsidR="00DE70A9">
        <w:t>at</w:t>
      </w:r>
      <w:r w:rsidRPr="000069D0" w:rsidR="00E9542C">
        <w:t xml:space="preserve"> </w:t>
      </w:r>
      <w:r w:rsidRPr="000069D0" w:rsidR="00140663">
        <w:t xml:space="preserve">recipients </w:t>
      </w:r>
      <w:r w:rsidRPr="000069D0" w:rsidR="00247E63">
        <w:t>submit semi-annual and final progress reports</w:t>
      </w:r>
      <w:r w:rsidRPr="000069D0">
        <w:t xml:space="preserve"> </w:t>
      </w:r>
      <w:r w:rsidRPr="000069D0" w:rsidR="00247E63">
        <w:t>on</w:t>
      </w:r>
      <w:r w:rsidRPr="000069D0" w:rsidR="002024FE">
        <w:t xml:space="preserve">line via </w:t>
      </w:r>
      <w:r w:rsidRPr="000069D0" w:rsidR="002024FE">
        <w:lastRenderedPageBreak/>
        <w:t>EPA’s Central Data Exchange (CDX) s</w:t>
      </w:r>
      <w:r w:rsidRPr="000069D0" w:rsidR="00247E63">
        <w:t>ystem, which replaced the former</w:t>
      </w:r>
      <w:r w:rsidRPr="000069D0" w:rsidR="002024FE">
        <w:t xml:space="preserve"> paper report</w:t>
      </w:r>
      <w:r w:rsidRPr="000069D0" w:rsidR="00247E63">
        <w:t xml:space="preserve">s. </w:t>
      </w:r>
      <w:r w:rsidRPr="000069D0" w:rsidR="002024FE">
        <w:t xml:space="preserve"> These progress reports must be submitted within one month of the end of each reporting period.  </w:t>
      </w:r>
      <w:r w:rsidRPr="00781863" w:rsidR="002024FE">
        <w:t>The first reporting period is from the award</w:t>
      </w:r>
      <w:r w:rsidRPr="00781863" w:rsidR="00247E63">
        <w:t xml:space="preserve"> issuance date to March 31, </w:t>
      </w:r>
      <w:r w:rsidR="00450075">
        <w:t>of the following year</w:t>
      </w:r>
      <w:r w:rsidRPr="00781863" w:rsidR="002024FE">
        <w:t>,</w:t>
      </w:r>
      <w:r w:rsidR="00781863">
        <w:t xml:space="preserve"> </w:t>
      </w:r>
      <w:r w:rsidRPr="000069D0" w:rsidR="002024FE">
        <w:t xml:space="preserve">and the first report will be due to the </w:t>
      </w:r>
      <w:r w:rsidR="006C6D2A">
        <w:t>RENCs</w:t>
      </w:r>
      <w:r w:rsidR="00450075">
        <w:t xml:space="preserve"> a month after</w:t>
      </w:r>
      <w:r w:rsidRPr="000069D0" w:rsidR="002024FE">
        <w:t xml:space="preserve"> on Apri</w:t>
      </w:r>
      <w:r w:rsidRPr="000069D0" w:rsidR="00247E63">
        <w:t>l 30</w:t>
      </w:r>
      <w:r w:rsidRPr="000069D0" w:rsidR="002024FE">
        <w:t>.  Subsequent reports will be due every six months thereafter,</w:t>
      </w:r>
      <w:r w:rsidRPr="000069D0" w:rsidR="00B40EE7">
        <w:t xml:space="preserve"> until the project is completed</w:t>
      </w:r>
      <w:r w:rsidRPr="000069D0" w:rsidR="00247E63">
        <w:t>, and the reporting periods will be as follows: April 1 through September 30 (report due October 31) and October 1 through March 31 (report due April 30)</w:t>
      </w:r>
      <w:r w:rsidRPr="000069D0" w:rsidR="00B40EE7">
        <w:t xml:space="preserve">. </w:t>
      </w:r>
      <w:r w:rsidRPr="000069D0">
        <w:t xml:space="preserve"> </w:t>
      </w:r>
      <w:r w:rsidR="00366887">
        <w:t xml:space="preserve">The final progress report will be due to the RENC within 90-days after the grant project </w:t>
      </w:r>
      <w:r w:rsidR="002C7186">
        <w:t>termination/expiration</w:t>
      </w:r>
      <w:r w:rsidR="00366887">
        <w:t xml:space="preserve"> date.  </w:t>
      </w:r>
      <w:r w:rsidRPr="006C6D2A" w:rsidR="00352850">
        <w:t xml:space="preserve"> </w:t>
      </w:r>
      <w:r w:rsidR="002C7186">
        <w:t xml:space="preserve">These forms are then </w:t>
      </w:r>
      <w:r w:rsidR="006E3EEE">
        <w:t>uploaded to the NGGS</w:t>
      </w:r>
      <w:r w:rsidRPr="006C6D2A">
        <w:t xml:space="preserve"> database that has been used by the EPA since 2000.</w:t>
      </w:r>
      <w:r w:rsidRPr="000069D0">
        <w:t xml:space="preserve">  </w:t>
      </w:r>
    </w:p>
    <w:p w:rsidR="006E3EEE" w:rsidP="0029363A" w:rsidRDefault="006E3EEE" w14:paraId="53841364"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rsidRPr="000069D0" w:rsidR="00BA6D69" w:rsidP="0029363A" w:rsidRDefault="006E3EEE" w14:paraId="03F2BA72" w14:textId="0CE8B8AD">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r>
      <w:r w:rsidRPr="000069D0" w:rsidR="00BA6D69">
        <w:t xml:space="preserve">To reduce burden, </w:t>
      </w:r>
      <w:r w:rsidRPr="000069D0" w:rsidR="00E9542C">
        <w:t>EPA</w:t>
      </w:r>
      <w:r w:rsidRPr="000069D0" w:rsidR="00BA6D69">
        <w:t xml:space="preserve"> ask</w:t>
      </w:r>
      <w:r w:rsidRPr="000069D0" w:rsidR="00E9542C">
        <w:t>s</w:t>
      </w:r>
      <w:r w:rsidRPr="000069D0" w:rsidR="00BA6D69">
        <w:t xml:space="preserve"> that grantees not rewrite their entire </w:t>
      </w:r>
      <w:r w:rsidRPr="000069D0" w:rsidR="003A7650">
        <w:t>semi-annual progress report</w:t>
      </w:r>
      <w:r w:rsidRPr="000069D0" w:rsidR="00BA6D69">
        <w:t xml:space="preserve">, but simply add their recent outcomes, </w:t>
      </w:r>
      <w:r w:rsidRPr="000069D0" w:rsidR="00710912">
        <w:t>outputs,</w:t>
      </w:r>
      <w:r w:rsidRPr="000069D0" w:rsidR="00BA6D69">
        <w:t xml:space="preserve"> and modified dates into their </w:t>
      </w:r>
      <w:r w:rsidRPr="000069D0" w:rsidR="003A7650">
        <w:t>semi-annual progress report</w:t>
      </w:r>
      <w:r w:rsidRPr="000069D0" w:rsidR="00BA6D69">
        <w:t xml:space="preserve"> from the previous six months. </w:t>
      </w:r>
    </w:p>
    <w:p w:rsidR="00E9542C" w:rsidP="0029363A" w:rsidRDefault="00E9542C" w14:paraId="11E752F3"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p>
    <w:p w:rsidR="00E80663" w:rsidP="00974099" w:rsidRDefault="00E9542C" w14:paraId="7265FC35" w14:textId="7A4112CB">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tab/>
        <w:t xml:space="preserve">Recipients of all new grants must submit the </w:t>
      </w:r>
      <w:r w:rsidR="00247E63">
        <w:t>Quality Assurance R</w:t>
      </w:r>
      <w:r w:rsidR="003A7650">
        <w:t>eport</w:t>
      </w:r>
      <w:r w:rsidR="00833A86">
        <w:t>ing</w:t>
      </w:r>
      <w:r>
        <w:t xml:space="preserve"> Form </w:t>
      </w:r>
      <w:r w:rsidR="00833A86">
        <w:t xml:space="preserve">to their RENC </w:t>
      </w:r>
      <w:r w:rsidR="00E72341">
        <w:t>via email within 90 d</w:t>
      </w:r>
      <w:r>
        <w:t>ays of receiving the award.</w:t>
      </w:r>
    </w:p>
    <w:p w:rsidR="00BA6D69" w:rsidP="00BA6D69" w:rsidRDefault="00BA6D69" w14:paraId="4D89657B"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5D41CF" w:rsidP="00BA6D69" w:rsidRDefault="005D41CF" w14:paraId="2B06ECA3" w14:textId="77777777">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SMALL ENTITY FLEXIBILITY</w:t>
      </w:r>
    </w:p>
    <w:p w:rsidR="005D41CF" w:rsidP="005D41CF" w:rsidRDefault="005D41CF" w14:paraId="43B0F198"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915"/>
      </w:pPr>
    </w:p>
    <w:p w:rsidR="005D41CF" w:rsidP="005D41CF" w:rsidRDefault="005D41CF" w14:paraId="76313FE3" w14:textId="216DFCE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915"/>
      </w:pPr>
      <w:r>
        <w:t>There are no small entities affected because the respondents are states</w:t>
      </w:r>
      <w:r w:rsidR="006D1FFE">
        <w:t>, Tribes, and Territories</w:t>
      </w:r>
      <w:r>
        <w:t xml:space="preserve">. </w:t>
      </w:r>
    </w:p>
    <w:p w:rsidR="00DF0E6D" w:rsidP="00560248" w:rsidRDefault="00DF0E6D" w14:paraId="0619BB10"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BA6D69" w:rsidP="00BA6D69" w:rsidRDefault="00BA6D69" w14:paraId="1F1A3BA2" w14:textId="373A5719">
      <w:pPr>
        <w:numPr>
          <w:ilvl w:val="0"/>
          <w:numId w:val="5"/>
        </w:num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COLLECTION SCHEDULE</w:t>
      </w:r>
    </w:p>
    <w:p w:rsidR="00FD4682" w:rsidP="00FD4682" w:rsidRDefault="00FD4682" w14:paraId="542C1E6A" w14:textId="3B97BB86">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915"/>
      </w:pPr>
    </w:p>
    <w:p w:rsidR="00FD4682" w:rsidP="00FD4682" w:rsidRDefault="00FD4682" w14:paraId="4701D68D" w14:textId="41C5CEBE">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915"/>
      </w:pPr>
      <w:r>
        <w:t>The collection schedule for the three forms are reflected in Table 1.</w:t>
      </w:r>
    </w:p>
    <w:p w:rsidR="00BA6D69" w:rsidP="00BA6D69" w:rsidRDefault="00BA6D69" w14:paraId="4C6E6A27"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Pr="00D91434" w:rsidR="00BA6D69" w:rsidP="00BA6D69" w:rsidRDefault="00BA6D69" w14:paraId="42EB2BC4" w14:textId="3EEE629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D91434">
        <w:rPr>
          <w:b/>
        </w:rPr>
        <w:t>Table 1</w:t>
      </w:r>
      <w:r w:rsidR="000F5A25">
        <w:rPr>
          <w:b/>
        </w:rPr>
        <w:t xml:space="preserve"> – Form Types and Collection Schedule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802"/>
        <w:gridCol w:w="5548"/>
      </w:tblGrid>
      <w:tr w:rsidR="00BA6D69" w:rsidTr="004D0983" w14:paraId="70425955" w14:textId="77777777">
        <w:tc>
          <w:tcPr>
            <w:tcW w:w="3888" w:type="dxa"/>
            <w:shd w:val="clear" w:color="auto" w:fill="CCCCCC"/>
          </w:tcPr>
          <w:p w:rsidRPr="004D0983" w:rsidR="00BA6D69" w:rsidP="004D0983" w:rsidRDefault="00BA6D69" w14:paraId="52FAD0A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4D0983">
              <w:rPr>
                <w:i/>
              </w:rPr>
              <w:t>FORM</w:t>
            </w:r>
          </w:p>
        </w:tc>
        <w:tc>
          <w:tcPr>
            <w:tcW w:w="5688" w:type="dxa"/>
            <w:shd w:val="clear" w:color="auto" w:fill="CCCCCC"/>
          </w:tcPr>
          <w:p w:rsidRPr="004D0983" w:rsidR="00BA6D69" w:rsidP="004D0983" w:rsidRDefault="00BA6D69" w14:paraId="7B225C7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4D0983">
              <w:rPr>
                <w:i/>
              </w:rPr>
              <w:t>SCHEDULE</w:t>
            </w:r>
          </w:p>
        </w:tc>
      </w:tr>
      <w:tr w:rsidR="00BA6D69" w:rsidTr="004D0983" w14:paraId="65BBDF1A" w14:textId="77777777">
        <w:tc>
          <w:tcPr>
            <w:tcW w:w="3888" w:type="dxa"/>
          </w:tcPr>
          <w:p w:rsidR="00BA6D69" w:rsidP="004D0983" w:rsidRDefault="00B40EE7" w14:paraId="3C6A07E4" w14:textId="1A712F2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w:t>
            </w:r>
            <w:r w:rsidR="003A7650">
              <w:t>ua</w:t>
            </w:r>
            <w:r>
              <w:t>lity Assurance R</w:t>
            </w:r>
            <w:r w:rsidR="003A7650">
              <w:t>eport</w:t>
            </w:r>
            <w:r w:rsidR="00E80B5F">
              <w:t>ing</w:t>
            </w:r>
            <w:r w:rsidR="00BA6D69">
              <w:t xml:space="preserve"> Form</w:t>
            </w:r>
            <w:r w:rsidR="007264B8">
              <w:t xml:space="preserve"> (one</w:t>
            </w:r>
            <w:r w:rsidR="00450075">
              <w:t>-</w:t>
            </w:r>
            <w:r w:rsidR="007264B8">
              <w:t>time submission)</w:t>
            </w:r>
            <w:r w:rsidR="00BA6D69">
              <w:tab/>
            </w:r>
          </w:p>
        </w:tc>
        <w:tc>
          <w:tcPr>
            <w:tcW w:w="5688" w:type="dxa"/>
          </w:tcPr>
          <w:p w:rsidR="00BA6D69" w:rsidP="00DF0E6D" w:rsidRDefault="00247E63" w14:paraId="4ABD92F7" w14:textId="5C0BCCDF">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Due to RENC</w:t>
            </w:r>
            <w:r w:rsidR="00BA6D69">
              <w:t xml:space="preserve"> </w:t>
            </w:r>
            <w:r w:rsidR="00D17328">
              <w:t>within 90 days of the grant award</w:t>
            </w:r>
          </w:p>
        </w:tc>
      </w:tr>
      <w:tr w:rsidR="00BA6D69" w:rsidTr="004D0983" w14:paraId="47290A32" w14:textId="77777777">
        <w:tc>
          <w:tcPr>
            <w:tcW w:w="3888" w:type="dxa"/>
          </w:tcPr>
          <w:p w:rsidR="00BA6D69" w:rsidP="004D0983" w:rsidRDefault="00BA6D69" w14:paraId="736ACC52" w14:textId="324DF47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Semi-Annual Progress Report Form</w:t>
            </w:r>
            <w:r w:rsidR="007264B8">
              <w:t xml:space="preserve"> for each year the Grant is active</w:t>
            </w:r>
          </w:p>
        </w:tc>
        <w:tc>
          <w:tcPr>
            <w:tcW w:w="5688" w:type="dxa"/>
          </w:tcPr>
          <w:p w:rsidR="00BA6D69" w:rsidP="00646EDC" w:rsidRDefault="00247E63" w14:paraId="632D6ADC" w14:textId="512CDB8B">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7" w:hanging="187"/>
            </w:pPr>
            <w:r>
              <w:t>Due to RENC</w:t>
            </w:r>
            <w:r w:rsidR="00BA6D69">
              <w:t xml:space="preserve"> April 30 (Oct. 1- Mar. 31 period)</w:t>
            </w:r>
          </w:p>
          <w:p w:rsidR="00BA6D69" w:rsidP="00646EDC" w:rsidRDefault="00247E63" w14:paraId="6FCE22FB" w14:textId="639C7675">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7" w:hanging="187"/>
            </w:pPr>
            <w:r>
              <w:t>Due to RENC</w:t>
            </w:r>
            <w:r w:rsidR="00BA6D69">
              <w:t xml:space="preserve"> October 31 (Apr. 1 – Sept. 30 period)</w:t>
            </w:r>
          </w:p>
          <w:p w:rsidR="00247E63" w:rsidP="00D30A93" w:rsidRDefault="00247E63" w14:paraId="60696A8A" w14:textId="06C7D5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
            </w:pPr>
          </w:p>
        </w:tc>
      </w:tr>
      <w:tr w:rsidR="007264B8" w:rsidTr="004D0983" w14:paraId="6FB5F206" w14:textId="77777777">
        <w:tc>
          <w:tcPr>
            <w:tcW w:w="3888" w:type="dxa"/>
          </w:tcPr>
          <w:p w:rsidR="007264B8" w:rsidP="004D0983" w:rsidRDefault="007264B8" w14:paraId="65E90C03" w14:textId="5572B0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Final Progress Report</w:t>
            </w:r>
            <w:r w:rsidR="009637DF">
              <w:t xml:space="preserve"> Form</w:t>
            </w:r>
          </w:p>
        </w:tc>
        <w:tc>
          <w:tcPr>
            <w:tcW w:w="5688" w:type="dxa"/>
          </w:tcPr>
          <w:p w:rsidR="007264B8" w:rsidP="00646EDC" w:rsidRDefault="007264B8" w14:paraId="387EB36B" w14:textId="3E54BFEF">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7" w:hanging="187"/>
            </w:pPr>
            <w:r>
              <w:t xml:space="preserve">Final due to RENC </w:t>
            </w:r>
            <w:r w:rsidR="002067F3">
              <w:t xml:space="preserve">no longer than </w:t>
            </w:r>
            <w:r>
              <w:t>90 days after expiration</w:t>
            </w:r>
            <w:r w:rsidR="002067F3">
              <w:t xml:space="preserve"> </w:t>
            </w:r>
            <w:r w:rsidRPr="009A790B" w:rsidR="009A790B">
              <w:t xml:space="preserve">or termination of the </w:t>
            </w:r>
            <w:r w:rsidR="009637DF">
              <w:t>grant</w:t>
            </w:r>
            <w:r w:rsidRPr="009A790B" w:rsidR="009A790B">
              <w:t xml:space="preserve"> project period</w:t>
            </w:r>
            <w:r w:rsidR="009A790B">
              <w:t>.</w:t>
            </w:r>
          </w:p>
        </w:tc>
      </w:tr>
    </w:tbl>
    <w:p w:rsidR="00BA6D69" w:rsidP="00BA6D69" w:rsidRDefault="00BA6D69" w14:paraId="1A04740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80B5F" w:rsidP="00BA6D69" w:rsidRDefault="00E80B5F" w14:paraId="12E3E3B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BB2787" w:rsidR="00BA6D69" w:rsidP="00BA6D69" w:rsidRDefault="00BA6D69" w14:paraId="37E4E61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r>
        <w:t>6.</w:t>
      </w:r>
      <w:r>
        <w:tab/>
      </w:r>
      <w:r w:rsidRPr="00BB2787">
        <w:rPr>
          <w:u w:val="single"/>
        </w:rPr>
        <w:t>BURDEN ESTIMATE AND COST OF COLLECTION</w:t>
      </w:r>
    </w:p>
    <w:p w:rsidRPr="00BB2787" w:rsidR="00BA6D69" w:rsidP="00BA6D69" w:rsidRDefault="00BA6D69" w14:paraId="635B281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Pr="00BB2787" w:rsidR="00BA6D69" w:rsidP="00BA6D69" w:rsidRDefault="00BA6D69" w14:paraId="3B1DD53E" w14:textId="77777777">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787">
        <w:t>ESTIMATING RESPONDENT BURDEN</w:t>
      </w:r>
    </w:p>
    <w:p w:rsidRPr="00BB2787" w:rsidR="00BA6D69" w:rsidP="00BA6D69" w:rsidRDefault="00BA6D69" w14:paraId="028A92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Pr="00BB2787" w:rsidR="00BA6D69" w:rsidP="00BA6D69" w:rsidRDefault="00BA6D69" w14:paraId="1910DC9B" w14:textId="3BF8A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BB2787">
        <w:t>The estimated hours for completing each form includes time for reviewing instructions, completing information</w:t>
      </w:r>
      <w:r w:rsidR="00DF0E6D">
        <w:t>,</w:t>
      </w:r>
      <w:r w:rsidRPr="00BB2787">
        <w:t xml:space="preserve"> and transmitting through email</w:t>
      </w:r>
      <w:r w:rsidRPr="00BB2787" w:rsidR="00AF73A7">
        <w:t xml:space="preserve"> or via CDX</w:t>
      </w:r>
      <w:r w:rsidRPr="00BB2787">
        <w:t>.</w:t>
      </w:r>
      <w:r w:rsidR="00631B0D">
        <w:t xml:space="preserve"> These estimates were developed based on consultations with EPA Regional Exchange Network Coordinators</w:t>
      </w:r>
      <w:r w:rsidR="009637DF">
        <w:t xml:space="preserve">, who helped EPA gather burden information from 9 respondents, i.e., </w:t>
      </w:r>
      <w:r w:rsidR="00631B0D">
        <w:t>grantees</w:t>
      </w:r>
      <w:r w:rsidR="009637DF">
        <w:t xml:space="preserve">, </w:t>
      </w:r>
      <w:r w:rsidRPr="009637DF" w:rsidR="009637DF">
        <w:t>6 States, 2 Tribes, and 1Territory</w:t>
      </w:r>
      <w:r w:rsidR="0036757E">
        <w:t>,</w:t>
      </w:r>
      <w:r w:rsidR="002D43A6">
        <w:t xml:space="preserve"> to perform these activities</w:t>
      </w:r>
      <w:r w:rsidR="0036757E">
        <w:t xml:space="preserve">. The average burden per form type </w:t>
      </w:r>
      <w:r w:rsidR="002D43A6">
        <w:t>are reflected in Table 2.</w:t>
      </w:r>
    </w:p>
    <w:p w:rsidR="002B3208" w:rsidP="002B3208" w:rsidRDefault="002B3208" w14:paraId="33308ED4" w14:textId="77777777"/>
    <w:p w:rsidRPr="002B3208" w:rsidR="00BA6D69" w:rsidP="002B3208" w:rsidRDefault="00BA6D69" w14:paraId="101A87B1" w14:textId="097D9E5A">
      <w:r w:rsidRPr="00BB2787">
        <w:rPr>
          <w:b/>
        </w:rPr>
        <w:t>Table 2</w:t>
      </w:r>
      <w:r w:rsidR="00F97E03">
        <w:rPr>
          <w:b/>
        </w:rPr>
        <w:t xml:space="preserve"> – Form type and Burden per form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5"/>
        <w:gridCol w:w="1440"/>
        <w:gridCol w:w="1710"/>
        <w:gridCol w:w="2515"/>
      </w:tblGrid>
      <w:tr w:rsidRPr="00BB2787" w:rsidR="002B4B40" w:rsidTr="002D43A6" w14:paraId="6FFA0C05" w14:textId="77777777">
        <w:tc>
          <w:tcPr>
            <w:tcW w:w="3685" w:type="dxa"/>
            <w:shd w:val="clear" w:color="auto" w:fill="CCCCCC"/>
          </w:tcPr>
          <w:p w:rsidRPr="00BB2787" w:rsidR="00BA6D69" w:rsidP="004D0983" w:rsidRDefault="00BA6D69" w14:paraId="64D440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B2787">
              <w:rPr>
                <w:i/>
              </w:rPr>
              <w:t>Form</w:t>
            </w:r>
          </w:p>
        </w:tc>
        <w:tc>
          <w:tcPr>
            <w:tcW w:w="1440" w:type="dxa"/>
            <w:shd w:val="clear" w:color="auto" w:fill="CCCCCC"/>
          </w:tcPr>
          <w:p w:rsidRPr="00BB2787" w:rsidR="00BA6D69" w:rsidP="004D0983" w:rsidRDefault="00BA6D69" w14:paraId="3DB2DF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BB2787">
              <w:rPr>
                <w:i/>
              </w:rPr>
              <w:t>Estimated Hours</w:t>
            </w:r>
          </w:p>
        </w:tc>
        <w:tc>
          <w:tcPr>
            <w:tcW w:w="1710" w:type="dxa"/>
            <w:shd w:val="clear" w:color="auto" w:fill="CCCCCC"/>
          </w:tcPr>
          <w:p w:rsidRPr="00BB2787" w:rsidR="00BA6D69" w:rsidP="004D0983" w:rsidRDefault="00BA6D69" w14:paraId="123DA6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BB2787">
              <w:rPr>
                <w:i/>
              </w:rPr>
              <w:t>Frequency per Year</w:t>
            </w:r>
          </w:p>
        </w:tc>
        <w:tc>
          <w:tcPr>
            <w:tcW w:w="2515" w:type="dxa"/>
            <w:shd w:val="clear" w:color="auto" w:fill="CCCCCC"/>
          </w:tcPr>
          <w:p w:rsidRPr="00BB2787" w:rsidR="00BA6D69" w:rsidP="004D0983" w:rsidRDefault="00BA6D69" w14:paraId="62303F52" w14:textId="2699D2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rPr>
            </w:pPr>
            <w:r w:rsidRPr="00BB2787">
              <w:rPr>
                <w:i/>
              </w:rPr>
              <w:t>Total Burden Hours</w:t>
            </w:r>
            <w:r w:rsidR="002D43A6">
              <w:rPr>
                <w:i/>
              </w:rPr>
              <w:t xml:space="preserve"> </w:t>
            </w:r>
            <w:r w:rsidR="005E253B">
              <w:rPr>
                <w:i/>
              </w:rPr>
              <w:t xml:space="preserve">per year </w:t>
            </w:r>
            <w:r w:rsidR="002D43A6">
              <w:rPr>
                <w:i/>
              </w:rPr>
              <w:t>per Form type</w:t>
            </w:r>
          </w:p>
        </w:tc>
      </w:tr>
      <w:tr w:rsidRPr="00BB2787" w:rsidR="002B4B40" w:rsidTr="002D43A6" w14:paraId="6A818577" w14:textId="77777777">
        <w:tc>
          <w:tcPr>
            <w:tcW w:w="3685" w:type="dxa"/>
          </w:tcPr>
          <w:p w:rsidRPr="00BB2787" w:rsidR="00BA6D69" w:rsidP="004D0983" w:rsidRDefault="00833A86" w14:paraId="66AC16D9" w14:textId="6A43E7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787">
              <w:t>Semi-Annual Progress Report</w:t>
            </w:r>
            <w:r w:rsidRPr="00BB2787" w:rsidR="00BA6D69">
              <w:t xml:space="preserve"> Form</w:t>
            </w:r>
          </w:p>
        </w:tc>
        <w:tc>
          <w:tcPr>
            <w:tcW w:w="1440" w:type="dxa"/>
          </w:tcPr>
          <w:p w:rsidRPr="00BB2787" w:rsidR="00BA6D69" w:rsidP="004D0983" w:rsidRDefault="003F5D4C" w14:paraId="72F5668F" w14:textId="690DB3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w:t>
            </w:r>
          </w:p>
        </w:tc>
        <w:tc>
          <w:tcPr>
            <w:tcW w:w="1710" w:type="dxa"/>
          </w:tcPr>
          <w:p w:rsidRPr="00BB2787" w:rsidR="00BA6D69" w:rsidP="004D0983" w:rsidRDefault="003F5D4C" w14:paraId="4B6C7316" w14:textId="4DA013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w:t>
            </w:r>
          </w:p>
        </w:tc>
        <w:tc>
          <w:tcPr>
            <w:tcW w:w="2515" w:type="dxa"/>
          </w:tcPr>
          <w:p w:rsidRPr="00BB2787" w:rsidR="00BA6D69" w:rsidP="004D0983" w:rsidRDefault="003F5D4C" w14:paraId="1A87E5A4" w14:textId="1106BE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2.4</w:t>
            </w:r>
          </w:p>
        </w:tc>
      </w:tr>
      <w:tr w:rsidRPr="00BB2787" w:rsidR="00BA6D69" w:rsidTr="002D43A6" w14:paraId="526A0A2A" w14:textId="77777777">
        <w:tc>
          <w:tcPr>
            <w:tcW w:w="3685" w:type="dxa"/>
          </w:tcPr>
          <w:p w:rsidRPr="00BB2787" w:rsidR="00BA6D69" w:rsidP="004D0983" w:rsidRDefault="00B40EE7" w14:paraId="05EA0B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787">
              <w:t>Quality Assurance R</w:t>
            </w:r>
            <w:r w:rsidRPr="00BB2787" w:rsidR="003A7650">
              <w:t>eport</w:t>
            </w:r>
            <w:r w:rsidRPr="00BB2787" w:rsidR="00BA6D69">
              <w:t>ing Form</w:t>
            </w:r>
          </w:p>
        </w:tc>
        <w:tc>
          <w:tcPr>
            <w:tcW w:w="1440" w:type="dxa"/>
          </w:tcPr>
          <w:p w:rsidRPr="00BB2787" w:rsidR="00BA6D69" w:rsidP="004D0983" w:rsidRDefault="003F5D4C" w14:paraId="7ECC304B" w14:textId="4ABA74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2.6</w:t>
            </w:r>
          </w:p>
        </w:tc>
        <w:tc>
          <w:tcPr>
            <w:tcW w:w="1710" w:type="dxa"/>
          </w:tcPr>
          <w:p w:rsidRPr="00BB2787" w:rsidR="00BA6D69" w:rsidP="004D0983" w:rsidRDefault="00BA6D69" w14:paraId="7A6598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1</w:t>
            </w:r>
          </w:p>
        </w:tc>
        <w:tc>
          <w:tcPr>
            <w:tcW w:w="2515" w:type="dxa"/>
          </w:tcPr>
          <w:p w:rsidRPr="00BB2787" w:rsidR="00BA6D69" w:rsidP="004D0983" w:rsidRDefault="003F5D4C" w14:paraId="268B8B41" w14:textId="6E1531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2.6</w:t>
            </w:r>
          </w:p>
        </w:tc>
      </w:tr>
      <w:tr w:rsidRPr="00BB2787" w:rsidR="008C226C" w:rsidTr="002D43A6" w14:paraId="5C4D62FD" w14:textId="77777777">
        <w:tc>
          <w:tcPr>
            <w:tcW w:w="3685" w:type="dxa"/>
          </w:tcPr>
          <w:p w:rsidRPr="00BB2787" w:rsidR="008C226C" w:rsidP="004D0983" w:rsidRDefault="008C226C" w14:paraId="2A457286" w14:textId="471B9F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Final Progress/Close-out Report</w:t>
            </w:r>
          </w:p>
        </w:tc>
        <w:tc>
          <w:tcPr>
            <w:tcW w:w="1440" w:type="dxa"/>
          </w:tcPr>
          <w:p w:rsidRPr="00BB2787" w:rsidR="008C226C" w:rsidP="004D0983" w:rsidRDefault="003F5D4C" w14:paraId="454742A4" w14:textId="26328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1.65</w:t>
            </w:r>
          </w:p>
        </w:tc>
        <w:tc>
          <w:tcPr>
            <w:tcW w:w="1710" w:type="dxa"/>
          </w:tcPr>
          <w:p w:rsidRPr="00BB2787" w:rsidR="008C226C" w:rsidP="004D0983" w:rsidRDefault="003F5D4C" w14:paraId="59D45DC0" w14:textId="7BA275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2515" w:type="dxa"/>
          </w:tcPr>
          <w:p w:rsidRPr="00BB2787" w:rsidR="008C226C" w:rsidP="004D0983" w:rsidRDefault="003F5D4C" w14:paraId="431D763A" w14:textId="06C9B7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1.65</w:t>
            </w:r>
          </w:p>
        </w:tc>
      </w:tr>
    </w:tbl>
    <w:p w:rsidRPr="00BB2787" w:rsidR="00BA6D69" w:rsidP="00BA6D69" w:rsidRDefault="00BA6D69" w14:paraId="676511BD" w14:textId="655047F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787">
        <w:tab/>
        <w:t>(</w:t>
      </w:r>
      <w:r w:rsidRPr="00BB2787" w:rsidR="00607CEE">
        <w:t>b</w:t>
      </w:r>
      <w:r w:rsidRPr="00BB2787">
        <w:t>) RESPONDENT UNIVERSE AND BURDEN</w:t>
      </w:r>
    </w:p>
    <w:p w:rsidRPr="002B4B40" w:rsidR="00BA6D69" w:rsidP="00BA6D69" w:rsidRDefault="00BA6D69" w14:paraId="2B66603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C00000"/>
        </w:rPr>
      </w:pPr>
      <w:r w:rsidRPr="002B4B40">
        <w:rPr>
          <w:color w:val="C00000"/>
        </w:rPr>
        <w:tab/>
      </w:r>
    </w:p>
    <w:p w:rsidRPr="000069D0" w:rsidR="00BA6D69" w:rsidP="00BA6D69" w:rsidRDefault="00BA6D69" w14:paraId="04858C8A" w14:textId="017981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2B4B40">
        <w:rPr>
          <w:color w:val="C00000"/>
        </w:rPr>
        <w:tab/>
      </w:r>
      <w:r w:rsidRPr="000069D0">
        <w:t xml:space="preserve">At </w:t>
      </w:r>
      <w:r w:rsidRPr="000069D0" w:rsidR="00DF1D13">
        <w:t xml:space="preserve">the beginning of fiscal year </w:t>
      </w:r>
      <w:r w:rsidR="008C226C">
        <w:t>2021</w:t>
      </w:r>
      <w:r w:rsidRPr="000069D0">
        <w:t xml:space="preserve">, </w:t>
      </w:r>
      <w:r w:rsidRPr="000069D0" w:rsidR="00E9542C">
        <w:t>EPA</w:t>
      </w:r>
      <w:r w:rsidRPr="000069D0">
        <w:t xml:space="preserve"> estimate</w:t>
      </w:r>
      <w:r w:rsidRPr="000069D0" w:rsidR="00E9542C">
        <w:t>s</w:t>
      </w:r>
      <w:r w:rsidRPr="000069D0" w:rsidR="00AF73A7">
        <w:t xml:space="preserve"> </w:t>
      </w:r>
      <w:r w:rsidR="00E141EF">
        <w:t>that each year,</w:t>
      </w:r>
      <w:r w:rsidR="00B72FB7">
        <w:t xml:space="preserve"> </w:t>
      </w:r>
      <w:r w:rsidR="002C7186">
        <w:t xml:space="preserve">149 </w:t>
      </w:r>
      <w:r w:rsidRPr="000069D0">
        <w:t xml:space="preserve">grantees will be responding to </w:t>
      </w:r>
      <w:r w:rsidRPr="000069D0" w:rsidR="00B40EE7">
        <w:t>the Semi-A</w:t>
      </w:r>
      <w:r w:rsidRPr="000069D0">
        <w:t>nnual Progress Report Form</w:t>
      </w:r>
      <w:r w:rsidR="003053FE">
        <w:t>,</w:t>
      </w:r>
      <w:r w:rsidR="008C226C">
        <w:t xml:space="preserve"> </w:t>
      </w:r>
      <w:r w:rsidRPr="000A530C" w:rsidR="00986077">
        <w:t>35</w:t>
      </w:r>
      <w:r w:rsidR="00986077">
        <w:t xml:space="preserve"> </w:t>
      </w:r>
      <w:r w:rsidR="00E141EF">
        <w:t xml:space="preserve">new </w:t>
      </w:r>
      <w:r w:rsidR="008C226C">
        <w:t xml:space="preserve">grantees will be submitting the </w:t>
      </w:r>
      <w:r w:rsidR="003053FE">
        <w:t xml:space="preserve">Quality Assurance Reporting Form, and another </w:t>
      </w:r>
      <w:r w:rsidR="002C7186">
        <w:t>36</w:t>
      </w:r>
      <w:r w:rsidR="003053FE">
        <w:t xml:space="preserve"> grantees will be submitting the </w:t>
      </w:r>
      <w:r w:rsidR="008C226C">
        <w:t>Final Progress Reports</w:t>
      </w:r>
      <w:r w:rsidRPr="000069D0">
        <w:t>.</w:t>
      </w:r>
      <w:r w:rsidR="00C826FC">
        <w:t xml:space="preserve"> </w:t>
      </w:r>
      <w:r w:rsidR="008C226C">
        <w:t xml:space="preserve"> </w:t>
      </w:r>
      <w:r w:rsidRPr="000069D0">
        <w:t>Th</w:t>
      </w:r>
      <w:r w:rsidR="008C226C">
        <w:t>ese</w:t>
      </w:r>
      <w:r w:rsidRPr="000069D0">
        <w:t xml:space="preserve"> number</w:t>
      </w:r>
      <w:r w:rsidR="008C226C">
        <w:t>s</w:t>
      </w:r>
      <w:r w:rsidRPr="000069D0">
        <w:t xml:space="preserve"> </w:t>
      </w:r>
      <w:r w:rsidR="008C226C">
        <w:t>are</w:t>
      </w:r>
      <w:r w:rsidRPr="000069D0">
        <w:t xml:space="preserve"> derived from </w:t>
      </w:r>
      <w:r w:rsidRPr="000069D0" w:rsidR="00E9542C">
        <w:t>an</w:t>
      </w:r>
      <w:r w:rsidRPr="000069D0">
        <w:t xml:space="preserve"> esti</w:t>
      </w:r>
      <w:r w:rsidRPr="000069D0" w:rsidR="00E9542C">
        <w:t>mate of the</w:t>
      </w:r>
      <w:r w:rsidR="008C226C">
        <w:t xml:space="preserve"> </w:t>
      </w:r>
      <w:r w:rsidRPr="00E141EF" w:rsidR="00E141EF">
        <w:t>rolling number of “active grants” each year</w:t>
      </w:r>
      <w:r w:rsidR="00E141EF">
        <w:t xml:space="preserve">, the number of </w:t>
      </w:r>
      <w:r w:rsidR="008C226C">
        <w:t xml:space="preserve">new </w:t>
      </w:r>
      <w:r w:rsidR="00E141EF">
        <w:t xml:space="preserve">grant awardees </w:t>
      </w:r>
      <w:r w:rsidR="00BB7C71">
        <w:t xml:space="preserve">each year, </w:t>
      </w:r>
      <w:r w:rsidR="003053FE">
        <w:t>and the number of grants</w:t>
      </w:r>
      <w:r w:rsidR="00BB7C71">
        <w:t xml:space="preserve"> with </w:t>
      </w:r>
      <w:r w:rsidR="002D43A6">
        <w:t>grant</w:t>
      </w:r>
      <w:r w:rsidR="00BB7C71">
        <w:t xml:space="preserve"> period expiring each year</w:t>
      </w:r>
      <w:r w:rsidR="008C226C">
        <w:t>.</w:t>
      </w:r>
      <w:r w:rsidR="00986077">
        <w:t xml:space="preserve"> </w:t>
      </w:r>
      <w:r w:rsidR="00BB7C71">
        <w:t xml:space="preserve"> </w:t>
      </w:r>
      <w:r w:rsidRPr="000069D0">
        <w:t xml:space="preserve">The number of active grants fluctuates throughout the year as projects are completed and grants are officially awarded and closed.  </w:t>
      </w:r>
      <w:r w:rsidRPr="000069D0" w:rsidR="00AF73A7">
        <w:t xml:space="preserve">Starting in </w:t>
      </w:r>
      <w:r w:rsidRPr="000069D0" w:rsidR="00F76EF5">
        <w:t>FY 2013, e</w:t>
      </w:r>
      <w:r w:rsidRPr="000069D0">
        <w:t xml:space="preserve">very </w:t>
      </w:r>
      <w:r w:rsidRPr="000069D0" w:rsidR="00AF73A7">
        <w:t>EN grant awarded</w:t>
      </w:r>
      <w:r w:rsidRPr="000069D0" w:rsidR="00323B23">
        <w:t xml:space="preserve"> is</w:t>
      </w:r>
      <w:r w:rsidRPr="000069D0" w:rsidR="00AF73A7">
        <w:t xml:space="preserve"> for a three</w:t>
      </w:r>
      <w:r w:rsidRPr="000069D0">
        <w:t>-year project period</w:t>
      </w:r>
      <w:r w:rsidRPr="000069D0" w:rsidR="00F76EF5">
        <w:t xml:space="preserve"> (increased from two years)</w:t>
      </w:r>
      <w:r w:rsidRPr="000069D0">
        <w:t xml:space="preserve">. </w:t>
      </w:r>
      <w:r w:rsidRPr="000069D0" w:rsidR="00F76EF5">
        <w:t xml:space="preserve"> </w:t>
      </w:r>
    </w:p>
    <w:p w:rsidR="000A530C" w:rsidP="00BA6D69" w:rsidRDefault="000A530C" w14:paraId="70B6BA3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069D0" w:rsidR="00BA6D69" w:rsidP="00BA6D69" w:rsidRDefault="00BA6D69" w14:paraId="126D2D5A" w14:textId="730433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9197F">
        <w:tab/>
        <w:t>The Quality Assurance</w:t>
      </w:r>
      <w:r w:rsidRPr="0049197F" w:rsidR="00F76EF5">
        <w:t xml:space="preserve"> Reporting </w:t>
      </w:r>
      <w:r w:rsidRPr="0049197F">
        <w:t xml:space="preserve">Form will be completed </w:t>
      </w:r>
      <w:r w:rsidRPr="0049197F" w:rsidR="00B33FE9">
        <w:t>once</w:t>
      </w:r>
      <w:r w:rsidRPr="0049197F" w:rsidR="00A85937">
        <w:t xml:space="preserve"> for each </w:t>
      </w:r>
      <w:r w:rsidR="00E141EF">
        <w:t xml:space="preserve">new </w:t>
      </w:r>
      <w:r w:rsidRPr="0049197F" w:rsidR="00A85937">
        <w:t>award</w:t>
      </w:r>
      <w:r w:rsidRPr="0049197F" w:rsidR="00B33FE9">
        <w:t xml:space="preserve"> by award recipient</w:t>
      </w:r>
      <w:r w:rsidRPr="0049197F">
        <w:t xml:space="preserve">.  These respondents </w:t>
      </w:r>
      <w:r w:rsidRPr="0049197F" w:rsidR="00F76EF5">
        <w:t xml:space="preserve">will </w:t>
      </w:r>
      <w:r w:rsidR="00E141EF">
        <w:t xml:space="preserve">also </w:t>
      </w:r>
      <w:r w:rsidRPr="0049197F" w:rsidR="00F76EF5">
        <w:t>submit Semi-A</w:t>
      </w:r>
      <w:r w:rsidRPr="0049197F">
        <w:t>nnual Progress Report Forms after the first six months of their projects</w:t>
      </w:r>
      <w:r w:rsidRPr="000A530C" w:rsidR="000A16E1">
        <w:t>.</w:t>
      </w:r>
    </w:p>
    <w:p w:rsidRPr="00DB3A6F" w:rsidR="00BA6D69" w:rsidP="00BA6D69" w:rsidRDefault="00BA6D69" w14:paraId="0171976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C00000"/>
          <w:u w:val="single"/>
        </w:rPr>
      </w:pPr>
    </w:p>
    <w:p w:rsidR="00BA6D69" w:rsidP="00BA6D69" w:rsidRDefault="00BA6D69" w14:paraId="7DCA5615" w14:textId="5DD677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9197F">
        <w:tab/>
      </w:r>
      <w:r w:rsidRPr="0049197F" w:rsidR="00B33FE9">
        <w:t>EPA’s</w:t>
      </w:r>
      <w:r w:rsidRPr="0049197F">
        <w:t xml:space="preserve"> burden estimate per year is based on the government’s fiscal year. In one fiscal year, a respond</w:t>
      </w:r>
      <w:r w:rsidRPr="0049197F" w:rsidR="00DF1D13">
        <w:t>e</w:t>
      </w:r>
      <w:r w:rsidRPr="0049197F" w:rsidR="00F76EF5">
        <w:t>nt who receives an award in 20</w:t>
      </w:r>
      <w:r w:rsidR="00302FA1">
        <w:t>21</w:t>
      </w:r>
      <w:r w:rsidRPr="000069D0" w:rsidR="00B40EE7">
        <w:t xml:space="preserve"> will complete one quality a</w:t>
      </w:r>
      <w:r w:rsidRPr="000069D0">
        <w:t xml:space="preserve">ssurance </w:t>
      </w:r>
      <w:r w:rsidRPr="000069D0" w:rsidR="00B40EE7">
        <w:t>report and two semi-annual progress r</w:t>
      </w:r>
      <w:r w:rsidRPr="000069D0">
        <w:t>eport</w:t>
      </w:r>
      <w:r w:rsidRPr="000069D0" w:rsidR="00B40EE7">
        <w:t>s</w:t>
      </w:r>
      <w:r w:rsidRPr="000069D0" w:rsidR="00F76EF5">
        <w:t xml:space="preserve"> for that grant</w:t>
      </w:r>
      <w:r w:rsidRPr="000069D0" w:rsidR="00E9542C">
        <w:t>.</w:t>
      </w:r>
      <w:r w:rsidR="00B22B9F">
        <w:t xml:space="preserve"> </w:t>
      </w:r>
      <w:r w:rsidR="00814011">
        <w:t xml:space="preserve"> The burden estimate</w:t>
      </w:r>
      <w:r w:rsidR="00B72FB7">
        <w:t>s</w:t>
      </w:r>
      <w:r w:rsidR="00814011">
        <w:t xml:space="preserve"> also </w:t>
      </w:r>
      <w:r w:rsidR="002D43A6">
        <w:t>account for</w:t>
      </w:r>
      <w:r w:rsidR="00B22B9F">
        <w:t xml:space="preserve"> the submission of </w:t>
      </w:r>
      <w:r w:rsidR="00814011">
        <w:t xml:space="preserve">Final Progress </w:t>
      </w:r>
      <w:r w:rsidR="00B22B9F">
        <w:t>report</w:t>
      </w:r>
      <w:r w:rsidR="00367541">
        <w:t xml:space="preserve"> </w:t>
      </w:r>
      <w:r w:rsidR="000702E7">
        <w:t xml:space="preserve">within 90 days of the grants </w:t>
      </w:r>
      <w:r w:rsidR="00367541">
        <w:t>project period expiration</w:t>
      </w:r>
      <w:r w:rsidR="000702E7">
        <w:t>.</w:t>
      </w:r>
    </w:p>
    <w:p w:rsidR="002D43A6" w:rsidP="00BA6D69" w:rsidRDefault="002D43A6" w14:paraId="35E02503" w14:textId="72F8A6D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0069D0" w:rsidR="002D43A6" w:rsidP="00BA6D69" w:rsidRDefault="002D43A6" w14:paraId="4825CCF7" w14:textId="1E05B45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Table 3 reflects the total annual burden hours for all respondents.</w:t>
      </w:r>
    </w:p>
    <w:p w:rsidRPr="002B4B40" w:rsidR="00BA6D69" w:rsidP="00BA6D69" w:rsidRDefault="00BA6D69" w14:paraId="2276DB9A" w14:textId="77777777">
      <w:pPr>
        <w:tabs>
          <w:tab w:val="left" w:pos="0"/>
        </w:tabs>
        <w:rPr>
          <w:b/>
          <w:color w:val="C00000"/>
        </w:rPr>
      </w:pPr>
      <w:r w:rsidRPr="002B4B40">
        <w:rPr>
          <w:b/>
          <w:color w:val="C00000"/>
        </w:rPr>
        <w:tab/>
      </w:r>
      <w:r w:rsidRPr="002B4B40">
        <w:rPr>
          <w:b/>
          <w:color w:val="C00000"/>
        </w:rPr>
        <w:tab/>
      </w:r>
      <w:r w:rsidRPr="002B4B40">
        <w:rPr>
          <w:b/>
          <w:color w:val="C00000"/>
        </w:rPr>
        <w:tab/>
      </w:r>
      <w:r w:rsidRPr="002B4B40">
        <w:rPr>
          <w:b/>
          <w:color w:val="C00000"/>
        </w:rPr>
        <w:tab/>
      </w:r>
      <w:r w:rsidRPr="002B4B40">
        <w:rPr>
          <w:b/>
          <w:color w:val="C00000"/>
        </w:rPr>
        <w:tab/>
      </w:r>
    </w:p>
    <w:p w:rsidRPr="0015110B" w:rsidR="00644637" w:rsidP="00BA6D69" w:rsidRDefault="00644637" w14:paraId="43563CD2" w14:textId="06AEBF1B">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bookmarkStart w:name="_Hlk521528160" w:id="8"/>
      <w:r w:rsidRPr="0015110B">
        <w:rPr>
          <w:b/>
        </w:rPr>
        <w:t>Table 3</w:t>
      </w:r>
      <w:r w:rsidRPr="0015110B" w:rsidR="00F468A1">
        <w:rPr>
          <w:b/>
        </w:rPr>
        <w:t xml:space="preserve"> – Respondent Burden</w:t>
      </w:r>
    </w:p>
    <w:tbl>
      <w:tblPr>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9"/>
        <w:gridCol w:w="3346"/>
        <w:gridCol w:w="1440"/>
        <w:gridCol w:w="1620"/>
        <w:gridCol w:w="1440"/>
        <w:gridCol w:w="1260"/>
        <w:gridCol w:w="990"/>
      </w:tblGrid>
      <w:tr w:rsidRPr="002B4B40" w:rsidR="00302FA1" w:rsidTr="00640098" w14:paraId="0854C684" w14:textId="77777777">
        <w:trPr>
          <w:trHeight w:val="801"/>
        </w:trPr>
        <w:tc>
          <w:tcPr>
            <w:tcW w:w="339" w:type="dxa"/>
            <w:shd w:val="clear" w:color="auto" w:fill="CCCCCC"/>
          </w:tcPr>
          <w:p w:rsidRPr="002B4B40" w:rsidR="00302FA1" w:rsidP="005947BE" w:rsidRDefault="00302FA1" w14:paraId="755E8C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color w:val="C00000"/>
              </w:rPr>
            </w:pPr>
          </w:p>
        </w:tc>
        <w:tc>
          <w:tcPr>
            <w:tcW w:w="3346" w:type="dxa"/>
            <w:shd w:val="clear" w:color="auto" w:fill="CCCCCC"/>
            <w:vAlign w:val="center"/>
          </w:tcPr>
          <w:p w:rsidRPr="00BB2787" w:rsidR="00302FA1" w:rsidP="00891B05" w:rsidRDefault="00302FA1" w14:paraId="4743C8C8" w14:textId="15925F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BB2787">
              <w:rPr>
                <w:b/>
              </w:rPr>
              <w:t>Respondents</w:t>
            </w:r>
          </w:p>
        </w:tc>
        <w:tc>
          <w:tcPr>
            <w:tcW w:w="1440" w:type="dxa"/>
            <w:shd w:val="clear" w:color="auto" w:fill="CCCCCC"/>
            <w:vAlign w:val="center"/>
          </w:tcPr>
          <w:p w:rsidRPr="00BB2787" w:rsidR="00302FA1" w:rsidP="005947BE" w:rsidRDefault="00302FA1" w14:paraId="0E7A71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BB2787">
              <w:rPr>
                <w:b/>
              </w:rPr>
              <w:t>Calculation</w:t>
            </w:r>
          </w:p>
        </w:tc>
        <w:tc>
          <w:tcPr>
            <w:tcW w:w="1620" w:type="dxa"/>
            <w:shd w:val="clear" w:color="auto" w:fill="CCCCCC"/>
            <w:vAlign w:val="center"/>
          </w:tcPr>
          <w:p w:rsidRPr="00BB2787" w:rsidR="00302FA1" w:rsidP="005947BE" w:rsidRDefault="00302FA1" w14:paraId="0A5B7B97" w14:textId="226E64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sidRPr="00BB2787">
              <w:rPr>
                <w:b/>
              </w:rPr>
              <w:t>Semi-Annual Progress Report Form</w:t>
            </w:r>
          </w:p>
        </w:tc>
        <w:tc>
          <w:tcPr>
            <w:tcW w:w="1440" w:type="dxa"/>
            <w:shd w:val="clear" w:color="auto" w:fill="CCCCCC"/>
            <w:vAlign w:val="center"/>
          </w:tcPr>
          <w:p w:rsidRPr="00BB2787" w:rsidR="00302FA1" w:rsidP="005947BE" w:rsidRDefault="00302FA1" w14:paraId="72A106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sidRPr="00BB2787">
              <w:rPr>
                <w:b/>
              </w:rPr>
              <w:t>Quality Assurance Reporting Form</w:t>
            </w:r>
          </w:p>
        </w:tc>
        <w:tc>
          <w:tcPr>
            <w:tcW w:w="1260" w:type="dxa"/>
            <w:shd w:val="clear" w:color="auto" w:fill="CCCCCC"/>
          </w:tcPr>
          <w:p w:rsidR="00302FA1" w:rsidP="005947BE" w:rsidRDefault="00302FA1" w14:paraId="1E030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Final Progress report/</w:t>
            </w:r>
          </w:p>
          <w:p w:rsidRPr="00BB2787" w:rsidR="00302FA1" w:rsidP="005947BE" w:rsidRDefault="00302FA1" w14:paraId="3680B59D" w14:textId="11059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Close out report</w:t>
            </w:r>
          </w:p>
        </w:tc>
        <w:tc>
          <w:tcPr>
            <w:tcW w:w="990" w:type="dxa"/>
            <w:shd w:val="clear" w:color="auto" w:fill="CCCCCC"/>
            <w:vAlign w:val="center"/>
          </w:tcPr>
          <w:p w:rsidRPr="00BB2787" w:rsidR="00302FA1" w:rsidP="005947BE" w:rsidRDefault="00302FA1" w14:paraId="26939F58" w14:textId="1E9433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BB2787">
              <w:rPr>
                <w:b/>
              </w:rPr>
              <w:t>Total</w:t>
            </w:r>
          </w:p>
        </w:tc>
      </w:tr>
      <w:tr w:rsidRPr="00DB3A6F" w:rsidR="00302FA1" w:rsidTr="00640098" w14:paraId="21741DD9" w14:textId="77777777">
        <w:trPr>
          <w:trHeight w:val="262"/>
        </w:trPr>
        <w:tc>
          <w:tcPr>
            <w:tcW w:w="339" w:type="dxa"/>
          </w:tcPr>
          <w:p w:rsidRPr="0063651E" w:rsidR="00302FA1" w:rsidP="005947BE" w:rsidRDefault="00302FA1" w14:paraId="37507D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3651E">
              <w:rPr>
                <w:b/>
              </w:rPr>
              <w:t>a</w:t>
            </w:r>
          </w:p>
        </w:tc>
        <w:tc>
          <w:tcPr>
            <w:tcW w:w="3346" w:type="dxa"/>
          </w:tcPr>
          <w:p w:rsidRPr="00BB2787" w:rsidR="00302FA1" w:rsidP="005947BE" w:rsidRDefault="00302FA1" w14:paraId="25F46F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787">
              <w:rPr>
                <w:i/>
              </w:rPr>
              <w:t>Estimated Hours per Form</w:t>
            </w:r>
          </w:p>
        </w:tc>
        <w:tc>
          <w:tcPr>
            <w:tcW w:w="1440" w:type="dxa"/>
          </w:tcPr>
          <w:p w:rsidRPr="00BB2787" w:rsidR="00302FA1" w:rsidP="005947BE" w:rsidRDefault="00302FA1" w14:paraId="2D69A2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tcPr>
          <w:p w:rsidRPr="00F22AD2" w:rsidR="00302FA1" w:rsidP="005947BE" w:rsidRDefault="007B78AA" w14:paraId="489021B3" w14:textId="100C6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22AD2">
              <w:t>1.2</w:t>
            </w:r>
          </w:p>
        </w:tc>
        <w:tc>
          <w:tcPr>
            <w:tcW w:w="1440" w:type="dxa"/>
          </w:tcPr>
          <w:p w:rsidRPr="00F22AD2" w:rsidR="00302FA1" w:rsidP="005947BE" w:rsidRDefault="007B78AA" w14:paraId="5C69A080" w14:textId="468893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22AD2">
              <w:t>2.6</w:t>
            </w:r>
          </w:p>
        </w:tc>
        <w:tc>
          <w:tcPr>
            <w:tcW w:w="1260" w:type="dxa"/>
          </w:tcPr>
          <w:p w:rsidRPr="00F22AD2" w:rsidR="00302FA1" w:rsidP="005947BE" w:rsidRDefault="00B02E4B" w14:paraId="384ECBD1" w14:textId="5E22B1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F22AD2">
              <w:t>1.65</w:t>
            </w:r>
          </w:p>
        </w:tc>
        <w:tc>
          <w:tcPr>
            <w:tcW w:w="990" w:type="dxa"/>
          </w:tcPr>
          <w:p w:rsidRPr="00BB2787" w:rsidR="00302FA1" w:rsidP="005947BE" w:rsidRDefault="00302FA1" w14:paraId="5B3F2B7C" w14:textId="02C41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Pr="00DB3A6F" w:rsidR="00302FA1" w:rsidTr="00640098" w14:paraId="1317C12C" w14:textId="77777777">
        <w:trPr>
          <w:trHeight w:val="262"/>
        </w:trPr>
        <w:tc>
          <w:tcPr>
            <w:tcW w:w="339" w:type="dxa"/>
          </w:tcPr>
          <w:p w:rsidRPr="0063651E" w:rsidR="00302FA1" w:rsidP="005947BE" w:rsidRDefault="00302FA1" w14:paraId="7EA9D3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3651E">
              <w:rPr>
                <w:b/>
              </w:rPr>
              <w:t>b</w:t>
            </w:r>
          </w:p>
        </w:tc>
        <w:tc>
          <w:tcPr>
            <w:tcW w:w="3346" w:type="dxa"/>
          </w:tcPr>
          <w:p w:rsidRPr="00BB2787" w:rsidR="00302FA1" w:rsidP="005947BE" w:rsidRDefault="00302FA1" w14:paraId="542725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2787">
              <w:rPr>
                <w:i/>
              </w:rPr>
              <w:t>Frequency per Year</w:t>
            </w:r>
          </w:p>
        </w:tc>
        <w:tc>
          <w:tcPr>
            <w:tcW w:w="1440" w:type="dxa"/>
          </w:tcPr>
          <w:p w:rsidRPr="00BB2787" w:rsidR="00302FA1" w:rsidP="005947BE" w:rsidRDefault="00302FA1" w14:paraId="7CE294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tcPr>
          <w:p w:rsidRPr="00BB2787" w:rsidR="00302FA1" w:rsidP="005947BE" w:rsidRDefault="00302FA1" w14:paraId="1B62EB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2</w:t>
            </w:r>
          </w:p>
        </w:tc>
        <w:tc>
          <w:tcPr>
            <w:tcW w:w="1440" w:type="dxa"/>
          </w:tcPr>
          <w:p w:rsidRPr="00BB2787" w:rsidR="00302FA1" w:rsidP="005947BE" w:rsidRDefault="00302FA1" w14:paraId="3CEC03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1</w:t>
            </w:r>
          </w:p>
        </w:tc>
        <w:tc>
          <w:tcPr>
            <w:tcW w:w="1260" w:type="dxa"/>
          </w:tcPr>
          <w:p w:rsidRPr="00BB2787" w:rsidR="00302FA1" w:rsidP="005947BE" w:rsidRDefault="007B78AA" w14:paraId="5DF87986" w14:textId="1C7CC3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990" w:type="dxa"/>
          </w:tcPr>
          <w:p w:rsidRPr="00BB2787" w:rsidR="00302FA1" w:rsidP="005947BE" w:rsidRDefault="00302FA1" w14:paraId="45421476" w14:textId="41EDE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Pr="00DB3A6F" w:rsidR="00302FA1" w:rsidTr="00640098" w14:paraId="7321CD18" w14:textId="77777777">
        <w:trPr>
          <w:trHeight w:val="262"/>
        </w:trPr>
        <w:tc>
          <w:tcPr>
            <w:tcW w:w="339" w:type="dxa"/>
            <w:vAlign w:val="bottom"/>
          </w:tcPr>
          <w:p w:rsidRPr="0063651E" w:rsidR="00302FA1" w:rsidP="005947BE" w:rsidRDefault="00302FA1" w14:paraId="115A61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3651E">
              <w:rPr>
                <w:b/>
              </w:rPr>
              <w:t>c</w:t>
            </w:r>
          </w:p>
        </w:tc>
        <w:tc>
          <w:tcPr>
            <w:tcW w:w="3346" w:type="dxa"/>
          </w:tcPr>
          <w:p w:rsidRPr="00BB2787" w:rsidR="00302FA1" w:rsidP="005947BE" w:rsidRDefault="00302FA1" w14:paraId="535534D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B2787">
              <w:rPr>
                <w:i/>
              </w:rPr>
              <w:t>Annual Burden Hours per Form Type</w:t>
            </w:r>
          </w:p>
        </w:tc>
        <w:tc>
          <w:tcPr>
            <w:tcW w:w="1440" w:type="dxa"/>
            <w:vAlign w:val="bottom"/>
          </w:tcPr>
          <w:p w:rsidRPr="00BB2787" w:rsidR="00302FA1" w:rsidP="005947BE" w:rsidRDefault="00302FA1" w14:paraId="06D863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(a) x (b)</w:t>
            </w:r>
          </w:p>
        </w:tc>
        <w:tc>
          <w:tcPr>
            <w:tcW w:w="1620" w:type="dxa"/>
            <w:vAlign w:val="bottom"/>
          </w:tcPr>
          <w:p w:rsidRPr="00BB2787" w:rsidR="00302FA1" w:rsidP="005947BE" w:rsidRDefault="007B78AA" w14:paraId="367DB2A5" w14:textId="009E69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2.4</w:t>
            </w:r>
          </w:p>
        </w:tc>
        <w:tc>
          <w:tcPr>
            <w:tcW w:w="1440" w:type="dxa"/>
            <w:vAlign w:val="bottom"/>
          </w:tcPr>
          <w:p w:rsidRPr="00BB2787" w:rsidR="00302FA1" w:rsidP="005947BE" w:rsidRDefault="007B78AA" w14:paraId="0F3B24FC" w14:textId="584A94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2.6</w:t>
            </w:r>
          </w:p>
        </w:tc>
        <w:tc>
          <w:tcPr>
            <w:tcW w:w="1260" w:type="dxa"/>
          </w:tcPr>
          <w:p w:rsidRPr="00BB2787" w:rsidR="00302FA1" w:rsidP="005947BE" w:rsidRDefault="00B02E4B" w14:paraId="5E270553" w14:textId="4D305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1.65</w:t>
            </w:r>
          </w:p>
        </w:tc>
        <w:tc>
          <w:tcPr>
            <w:tcW w:w="990" w:type="dxa"/>
          </w:tcPr>
          <w:p w:rsidRPr="00BB2787" w:rsidR="00302FA1" w:rsidP="005947BE" w:rsidRDefault="00302FA1" w14:paraId="6B067E22" w14:textId="205B00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Pr="00DB3A6F" w:rsidR="00302FA1" w:rsidTr="00640098" w14:paraId="243EA849" w14:textId="77777777">
        <w:trPr>
          <w:trHeight w:val="262"/>
        </w:trPr>
        <w:tc>
          <w:tcPr>
            <w:tcW w:w="339" w:type="dxa"/>
          </w:tcPr>
          <w:p w:rsidRPr="0063651E" w:rsidR="00302FA1" w:rsidP="005947BE" w:rsidRDefault="00302FA1" w14:paraId="2F2362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3651E">
              <w:rPr>
                <w:b/>
              </w:rPr>
              <w:t>d</w:t>
            </w:r>
          </w:p>
        </w:tc>
        <w:tc>
          <w:tcPr>
            <w:tcW w:w="3346" w:type="dxa"/>
          </w:tcPr>
          <w:p w:rsidRPr="00BB2787" w:rsidR="00302FA1" w:rsidP="005947BE" w:rsidRDefault="00302FA1" w14:paraId="7B791C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B2787">
              <w:rPr>
                <w:i/>
              </w:rPr>
              <w:t>Respondents per Year</w:t>
            </w:r>
          </w:p>
        </w:tc>
        <w:tc>
          <w:tcPr>
            <w:tcW w:w="1440" w:type="dxa"/>
          </w:tcPr>
          <w:p w:rsidRPr="00BB2787" w:rsidR="00302FA1" w:rsidP="005947BE" w:rsidRDefault="00302FA1" w14:paraId="704D0C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tcPr>
          <w:p w:rsidRPr="00BB2787" w:rsidR="00302FA1" w:rsidP="005947BE" w:rsidRDefault="00367541" w14:paraId="56D749B2" w14:textId="402293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149</w:t>
            </w:r>
          </w:p>
        </w:tc>
        <w:tc>
          <w:tcPr>
            <w:tcW w:w="1440" w:type="dxa"/>
          </w:tcPr>
          <w:p w:rsidRPr="00BB2787" w:rsidR="00302FA1" w:rsidP="005947BE" w:rsidRDefault="00B02E4B" w14:paraId="1C33074F" w14:textId="0993D4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35</w:t>
            </w:r>
          </w:p>
        </w:tc>
        <w:tc>
          <w:tcPr>
            <w:tcW w:w="1260" w:type="dxa"/>
          </w:tcPr>
          <w:p w:rsidRPr="00BB2787" w:rsidR="00302FA1" w:rsidP="005947BE" w:rsidRDefault="003641B8" w14:paraId="13609F36" w14:textId="3A2AF3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36</w:t>
            </w:r>
          </w:p>
        </w:tc>
        <w:tc>
          <w:tcPr>
            <w:tcW w:w="990" w:type="dxa"/>
          </w:tcPr>
          <w:p w:rsidRPr="00BB2787" w:rsidR="00302FA1" w:rsidP="005947BE" w:rsidRDefault="008A6D40" w14:paraId="6CAC2CC6" w14:textId="0206BB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220</w:t>
            </w:r>
          </w:p>
        </w:tc>
      </w:tr>
      <w:tr w:rsidRPr="00DB3A6F" w:rsidR="00302FA1" w:rsidTr="00640098" w14:paraId="3D2A9032" w14:textId="77777777">
        <w:trPr>
          <w:trHeight w:val="262"/>
        </w:trPr>
        <w:tc>
          <w:tcPr>
            <w:tcW w:w="339" w:type="dxa"/>
          </w:tcPr>
          <w:p w:rsidRPr="0063651E" w:rsidR="00302FA1" w:rsidP="005947BE" w:rsidRDefault="00302FA1" w14:paraId="12CAB1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63651E">
              <w:rPr>
                <w:b/>
              </w:rPr>
              <w:t>e</w:t>
            </w:r>
          </w:p>
        </w:tc>
        <w:tc>
          <w:tcPr>
            <w:tcW w:w="3346" w:type="dxa"/>
          </w:tcPr>
          <w:p w:rsidRPr="00BB2787" w:rsidR="00302FA1" w:rsidP="005947BE" w:rsidRDefault="00302FA1" w14:paraId="05155D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BB2787">
              <w:rPr>
                <w:i/>
              </w:rPr>
              <w:t>Responses per Year</w:t>
            </w:r>
          </w:p>
        </w:tc>
        <w:tc>
          <w:tcPr>
            <w:tcW w:w="1440" w:type="dxa"/>
            <w:vAlign w:val="bottom"/>
          </w:tcPr>
          <w:p w:rsidRPr="00BB2787" w:rsidR="00302FA1" w:rsidP="005947BE" w:rsidRDefault="00302FA1" w14:paraId="1FA61E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BB2787">
              <w:t>(b) x (d)</w:t>
            </w:r>
          </w:p>
        </w:tc>
        <w:tc>
          <w:tcPr>
            <w:tcW w:w="1620" w:type="dxa"/>
          </w:tcPr>
          <w:p w:rsidRPr="00BB2787" w:rsidR="00302FA1" w:rsidP="00BB2787" w:rsidRDefault="00367541" w14:paraId="42EF3F66" w14:textId="6E03B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298</w:t>
            </w:r>
          </w:p>
        </w:tc>
        <w:tc>
          <w:tcPr>
            <w:tcW w:w="1440" w:type="dxa"/>
          </w:tcPr>
          <w:p w:rsidRPr="00BB2787" w:rsidR="00302FA1" w:rsidP="005947BE" w:rsidRDefault="003A18B0" w14:paraId="6F5FF1A9" w14:textId="1F1DE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35</w:t>
            </w:r>
          </w:p>
        </w:tc>
        <w:tc>
          <w:tcPr>
            <w:tcW w:w="1260" w:type="dxa"/>
          </w:tcPr>
          <w:p w:rsidRPr="00BB2787" w:rsidR="00302FA1" w:rsidP="00BB2787" w:rsidRDefault="003641B8" w14:paraId="349E44CA" w14:textId="1CC870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36</w:t>
            </w:r>
          </w:p>
        </w:tc>
        <w:tc>
          <w:tcPr>
            <w:tcW w:w="990" w:type="dxa"/>
          </w:tcPr>
          <w:p w:rsidRPr="00BB2787" w:rsidR="00302FA1" w:rsidP="00BB2787" w:rsidRDefault="003641B8" w14:paraId="4EC6D6C8" w14:textId="3BE7FC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369</w:t>
            </w:r>
          </w:p>
        </w:tc>
      </w:tr>
      <w:tr w:rsidRPr="00DB3A6F" w:rsidR="00302FA1" w:rsidTr="003641B8" w14:paraId="39CD8DE6" w14:textId="77777777">
        <w:trPr>
          <w:trHeight w:val="161"/>
        </w:trPr>
        <w:tc>
          <w:tcPr>
            <w:tcW w:w="339" w:type="dxa"/>
          </w:tcPr>
          <w:p w:rsidRPr="0063651E" w:rsidR="00302FA1" w:rsidP="005947BE" w:rsidRDefault="00302FA1" w14:paraId="0B6E35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63651E">
              <w:rPr>
                <w:b/>
              </w:rPr>
              <w:t>f</w:t>
            </w:r>
          </w:p>
        </w:tc>
        <w:tc>
          <w:tcPr>
            <w:tcW w:w="3346" w:type="dxa"/>
          </w:tcPr>
          <w:p w:rsidRPr="00BB2787" w:rsidR="00302FA1" w:rsidP="005947BE" w:rsidRDefault="00302FA1" w14:paraId="1DF818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BB2787">
              <w:rPr>
                <w:b/>
                <w:i/>
              </w:rPr>
              <w:t xml:space="preserve">Total Annual Burden Hours </w:t>
            </w:r>
          </w:p>
        </w:tc>
        <w:tc>
          <w:tcPr>
            <w:tcW w:w="1440" w:type="dxa"/>
            <w:vAlign w:val="bottom"/>
          </w:tcPr>
          <w:p w:rsidRPr="00BB2787" w:rsidR="00302FA1" w:rsidP="005947BE" w:rsidRDefault="00302FA1" w14:paraId="51DE97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BB2787">
              <w:rPr>
                <w:b/>
              </w:rPr>
              <w:t>(c) x (d)</w:t>
            </w:r>
          </w:p>
        </w:tc>
        <w:tc>
          <w:tcPr>
            <w:tcW w:w="1620" w:type="dxa"/>
          </w:tcPr>
          <w:p w:rsidRPr="00BB2787" w:rsidR="00302FA1" w:rsidP="005947BE" w:rsidRDefault="00367541" w14:paraId="63715753" w14:textId="5931EE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357.6</w:t>
            </w:r>
          </w:p>
        </w:tc>
        <w:tc>
          <w:tcPr>
            <w:tcW w:w="1440" w:type="dxa"/>
          </w:tcPr>
          <w:p w:rsidRPr="00C66826" w:rsidR="00302FA1" w:rsidP="005947BE" w:rsidRDefault="003A18B0" w14:paraId="0E300789" w14:textId="6BA66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91</w:t>
            </w:r>
          </w:p>
        </w:tc>
        <w:tc>
          <w:tcPr>
            <w:tcW w:w="1260" w:type="dxa"/>
          </w:tcPr>
          <w:p w:rsidRPr="00BB2787" w:rsidR="00302FA1" w:rsidP="005947BE" w:rsidRDefault="003641B8" w14:paraId="42C01B2D" w14:textId="208A7D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59.4</w:t>
            </w:r>
          </w:p>
        </w:tc>
        <w:tc>
          <w:tcPr>
            <w:tcW w:w="990" w:type="dxa"/>
          </w:tcPr>
          <w:p w:rsidRPr="00BB2787" w:rsidR="00302FA1" w:rsidP="005947BE" w:rsidRDefault="003641B8" w14:paraId="639DDA53" w14:textId="6A1382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xml:space="preserve"> 508</w:t>
            </w:r>
          </w:p>
        </w:tc>
      </w:tr>
    </w:tbl>
    <w:p w:rsidR="00E5761B" w:rsidP="00BA6D69" w:rsidRDefault="00E5761B" w14:paraId="752F7BD2"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000F5A25" w:rsidP="00BA6D69" w:rsidRDefault="000F5A25" w14:paraId="414CBB18" w14:textId="77777777">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Pr="003927BB" w:rsidR="00BA6D69" w:rsidP="00BA6D69" w:rsidRDefault="00BA6D69" w14:paraId="671A2511" w14:textId="5A4918E4">
      <w:pPr>
        <w:tabs>
          <w:tab w:val="left" w:pos="0"/>
          <w:tab w:val="left" w:pos="72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3927BB">
        <w:t>(c) ESTIMATING RESPONDENT COST</w:t>
      </w:r>
    </w:p>
    <w:p w:rsidRPr="003927BB" w:rsidR="00E9542C" w:rsidP="00E9542C" w:rsidRDefault="00E9542C" w14:paraId="710CD9B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332ED" w:rsidP="00C332ED" w:rsidRDefault="00E9542C" w14:paraId="353D1C3A" w14:textId="26C3D2BA">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B0F0"/>
        </w:rPr>
      </w:pPr>
      <w:r w:rsidRPr="003927BB">
        <w:lastRenderedPageBreak/>
        <w:tab/>
        <w:t xml:space="preserve">Respondent costs consist only of labor. There </w:t>
      </w:r>
      <w:r w:rsidRPr="003927BB" w:rsidR="00F0403D">
        <w:t>is</w:t>
      </w:r>
      <w:r w:rsidRPr="003927BB">
        <w:t xml:space="preserve"> no capital, operating and maintenance, </w:t>
      </w:r>
      <w:r w:rsidRPr="003927BB" w:rsidR="0009745F">
        <w:t xml:space="preserve">or </w:t>
      </w:r>
      <w:r w:rsidRPr="003927BB">
        <w:t>annualizing capital costs incurred by this information collection.</w:t>
      </w:r>
      <w:r w:rsidRPr="00DB3A6F" w:rsidR="00BA6D69">
        <w:rPr>
          <w:color w:val="00B0F0"/>
        </w:rPr>
        <w:tab/>
      </w:r>
    </w:p>
    <w:p w:rsidR="00107B2F" w:rsidP="00C332ED" w:rsidRDefault="00107B2F" w14:paraId="4177F95F" w14:textId="32A67626">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B0F0"/>
        </w:rPr>
      </w:pPr>
    </w:p>
    <w:p w:rsidR="00107B2F" w:rsidP="00C332ED" w:rsidRDefault="00107B2F" w14:paraId="370F51F8"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E253B" w:rsidR="005E253B" w:rsidP="00C332ED" w:rsidRDefault="00C332ED" w14:paraId="18A495A2" w14:textId="0470ADFF">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5E253B">
        <w:t xml:space="preserve">Using current </w:t>
      </w:r>
      <w:r w:rsidRPr="00A31BEB" w:rsidR="006934A3">
        <w:t>Respondent Wage Rate:</w:t>
      </w:r>
      <w:r w:rsidR="00640098">
        <w:t xml:space="preserve"> </w:t>
      </w:r>
      <w:r w:rsidR="00E07802">
        <w:t>$63.</w:t>
      </w:r>
      <w:r w:rsidR="00A03209">
        <w:t>11</w:t>
      </w:r>
      <w:r w:rsidRPr="00E07802" w:rsidR="00032623">
        <w:rPr>
          <w:lang w:val="en-CA"/>
        </w:rPr>
        <w:fldChar w:fldCharType="begin"/>
      </w:r>
      <w:r w:rsidRPr="004C6FD9" w:rsidR="006934A3">
        <w:rPr>
          <w:lang w:val="en-CA"/>
        </w:rPr>
        <w:instrText xml:space="preserve"> SEQ CHAPTER \h \r 1</w:instrText>
      </w:r>
      <w:r w:rsidRPr="00E07802" w:rsidR="00032623">
        <w:rPr>
          <w:lang w:val="en-CA"/>
        </w:rPr>
        <w:fldChar w:fldCharType="end"/>
      </w:r>
      <w:r w:rsidRPr="00A31BEB" w:rsidR="006934A3">
        <w:rPr>
          <w:vertAlign w:val="superscript"/>
        </w:rPr>
        <w:footnoteReference w:customMarkFollows="1" w:id="1"/>
        <w:t>1</w:t>
      </w:r>
      <w:r w:rsidR="005E253B">
        <w:t xml:space="preserve">, the respondent </w:t>
      </w:r>
      <w:r w:rsidRPr="005E253B" w:rsidR="005E253B">
        <w:t>costs are as follows</w:t>
      </w:r>
      <w:r w:rsidR="00DF7C99">
        <w:t xml:space="preserve"> </w:t>
      </w:r>
      <w:r w:rsidR="00710912">
        <w:t>and</w:t>
      </w:r>
      <w:r w:rsidR="00FD4682">
        <w:t xml:space="preserve"> </w:t>
      </w:r>
      <w:r w:rsidR="00DF7C99">
        <w:t>reflected in Table 4</w:t>
      </w:r>
      <w:r w:rsidRPr="005E253B" w:rsidR="005E253B">
        <w:t>:</w:t>
      </w:r>
    </w:p>
    <w:p w:rsidRPr="00DF7C99" w:rsidR="006934A3" w:rsidP="00DF7C99" w:rsidRDefault="006934A3" w14:paraId="23FD9208" w14:textId="250CB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B0F0"/>
        </w:rPr>
      </w:pPr>
    </w:p>
    <w:p w:rsidR="00835866" w:rsidP="005E253B" w:rsidRDefault="00B40EE7" w14:paraId="51D7FCD2" w14:textId="59AF669B">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927BB">
        <w:t xml:space="preserve">Semi-Annual </w:t>
      </w:r>
      <w:r w:rsidRPr="003927BB" w:rsidR="00835866">
        <w:t>Progress Report Form:</w:t>
      </w:r>
      <w:r w:rsidR="005E253B">
        <w:t xml:space="preserve"> </w:t>
      </w:r>
      <w:r w:rsidRPr="00640098" w:rsidR="00AF682C">
        <w:t>298</w:t>
      </w:r>
      <w:r w:rsidRPr="005E253B" w:rsidR="004C6FD9">
        <w:rPr>
          <w:color w:val="FFC000"/>
        </w:rPr>
        <w:t xml:space="preserve"> </w:t>
      </w:r>
      <w:r w:rsidRPr="003927BB" w:rsidR="00C551BA">
        <w:t xml:space="preserve">Total Annual Burden Hours x </w:t>
      </w:r>
      <w:r w:rsidRPr="00F0749D" w:rsidR="00F0749D">
        <w:t>$</w:t>
      </w:r>
      <w:r w:rsidR="00AF682C">
        <w:t>63.</w:t>
      </w:r>
      <w:r w:rsidR="00A03209">
        <w:t>11</w:t>
      </w:r>
      <w:r w:rsidR="00640098">
        <w:t xml:space="preserve"> = </w:t>
      </w:r>
      <w:r w:rsidR="00AF682C">
        <w:t>$18</w:t>
      </w:r>
      <w:r w:rsidR="00640098">
        <w:t>,</w:t>
      </w:r>
      <w:r w:rsidR="00A03209">
        <w:t>806.78</w:t>
      </w:r>
    </w:p>
    <w:p w:rsidR="00DF7C99" w:rsidP="005E253B" w:rsidRDefault="00DF7C99" w14:paraId="390020A6" w14:textId="6531CE8F">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Quality </w:t>
      </w:r>
      <w:r w:rsidRPr="00DF7C99">
        <w:t>Assurance Reporting Form: 35 Total Annual Burden Hours x $63.11 = $2,208.85</w:t>
      </w:r>
    </w:p>
    <w:p w:rsidRPr="00F0749D" w:rsidR="004C6FD9" w:rsidP="005E253B" w:rsidRDefault="004C6FD9" w14:paraId="4B0BCE4E" w14:textId="3DFCAA26">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Final Progress Report Form: </w:t>
      </w:r>
      <w:r w:rsidR="00083EFD">
        <w:t>3</w:t>
      </w:r>
      <w:r w:rsidR="00AF682C">
        <w:t>6</w:t>
      </w:r>
      <w:r w:rsidR="00083EFD">
        <w:t xml:space="preserve"> Total Annual Burden hours x </w:t>
      </w:r>
      <w:r w:rsidR="00AF682C">
        <w:t>$63.</w:t>
      </w:r>
      <w:r w:rsidR="00DA4F96">
        <w:t>11</w:t>
      </w:r>
      <w:r w:rsidR="00AF682C">
        <w:t xml:space="preserve"> </w:t>
      </w:r>
      <w:r w:rsidR="00083EFD">
        <w:t>= $</w:t>
      </w:r>
      <w:bookmarkStart w:name="_Hlk66866599" w:id="9"/>
      <w:r w:rsidR="00AF682C">
        <w:t>2</w:t>
      </w:r>
      <w:r w:rsidR="00640098">
        <w:t>,</w:t>
      </w:r>
      <w:r w:rsidR="00AF682C">
        <w:t>2</w:t>
      </w:r>
      <w:bookmarkEnd w:id="9"/>
      <w:r w:rsidR="00A03209">
        <w:t>71.96</w:t>
      </w:r>
    </w:p>
    <w:p w:rsidR="00BC309B" w:rsidP="00BA6D69" w:rsidRDefault="00BC309B" w14:paraId="0E44CE17"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p w:rsidRPr="00437C6E" w:rsidR="00BA6D69" w:rsidP="00BA6D69" w:rsidRDefault="00891B05" w14:paraId="0CE2A3F6" w14:textId="1BBE1D7D">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437C6E">
        <w:rPr>
          <w:b/>
        </w:rPr>
        <w:t>Table 4 – Respondent Costs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29"/>
        <w:gridCol w:w="1589"/>
        <w:gridCol w:w="1216"/>
        <w:gridCol w:w="1666"/>
        <w:gridCol w:w="1450"/>
      </w:tblGrid>
      <w:tr w:rsidRPr="00C952D9" w:rsidR="00A03209" w:rsidTr="00DF7C99" w14:paraId="5946F4B3" w14:textId="04CF5D4C">
        <w:tc>
          <w:tcPr>
            <w:tcW w:w="3515" w:type="dxa"/>
            <w:shd w:val="clear" w:color="auto" w:fill="CCCCCC"/>
            <w:vAlign w:val="bottom"/>
          </w:tcPr>
          <w:p w:rsidRPr="00437C6E" w:rsidR="00083EFD" w:rsidP="004D0983" w:rsidRDefault="00083EFD" w14:paraId="6DB8DA46" w14:textId="615F349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437C6E">
              <w:rPr>
                <w:i/>
              </w:rPr>
              <w:t>Respondent Costs</w:t>
            </w:r>
            <w:r w:rsidR="00DF7C99">
              <w:rPr>
                <w:i/>
              </w:rPr>
              <w:t xml:space="preserve"> </w:t>
            </w:r>
          </w:p>
        </w:tc>
        <w:tc>
          <w:tcPr>
            <w:tcW w:w="1602" w:type="dxa"/>
            <w:shd w:val="clear" w:color="auto" w:fill="CCCCCC"/>
            <w:vAlign w:val="bottom"/>
          </w:tcPr>
          <w:p w:rsidRPr="00437C6E" w:rsidR="00083EFD" w:rsidP="00BD425E" w:rsidRDefault="00083EFD" w14:paraId="679A9B53" w14:textId="50D8436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437C6E">
              <w:rPr>
                <w:i/>
              </w:rPr>
              <w:t>Semi-Annual</w:t>
            </w:r>
          </w:p>
        </w:tc>
        <w:tc>
          <w:tcPr>
            <w:tcW w:w="1088" w:type="dxa"/>
            <w:shd w:val="clear" w:color="auto" w:fill="CCCCCC"/>
            <w:vAlign w:val="bottom"/>
          </w:tcPr>
          <w:p w:rsidRPr="00437C6E" w:rsidR="00083EFD" w:rsidP="004D0983" w:rsidRDefault="00083EFD" w14:paraId="3145AE92"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437C6E">
              <w:rPr>
                <w:i/>
              </w:rPr>
              <w:t>Quality Assurance</w:t>
            </w:r>
          </w:p>
        </w:tc>
        <w:tc>
          <w:tcPr>
            <w:tcW w:w="1688" w:type="dxa"/>
            <w:shd w:val="clear" w:color="auto" w:fill="CCCCCC"/>
          </w:tcPr>
          <w:p w:rsidRPr="00437C6E" w:rsidR="00083EFD" w:rsidP="004D0983" w:rsidRDefault="00083EFD" w14:paraId="1FBCE9A6" w14:textId="5FD27D90">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Pr>
                <w:i/>
              </w:rPr>
              <w:t>Final Progress</w:t>
            </w:r>
            <w:r w:rsidR="00DF7C99">
              <w:rPr>
                <w:i/>
              </w:rPr>
              <w:t xml:space="preserve"> Report</w:t>
            </w:r>
            <w:r>
              <w:rPr>
                <w:i/>
              </w:rPr>
              <w:t xml:space="preserve"> </w:t>
            </w:r>
          </w:p>
        </w:tc>
        <w:tc>
          <w:tcPr>
            <w:tcW w:w="1457" w:type="dxa"/>
            <w:shd w:val="clear" w:color="auto" w:fill="CCCCCC"/>
            <w:vAlign w:val="bottom"/>
          </w:tcPr>
          <w:p w:rsidRPr="00437C6E" w:rsidR="00083EFD" w:rsidP="004D0983" w:rsidRDefault="00083EFD" w14:paraId="223ADD9D" w14:textId="6494137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437C6E">
              <w:rPr>
                <w:i/>
              </w:rPr>
              <w:t>Total</w:t>
            </w:r>
          </w:p>
        </w:tc>
      </w:tr>
      <w:tr w:rsidRPr="00C952D9" w:rsidR="00A03209" w:rsidTr="00DF7C99" w14:paraId="04D46536" w14:textId="4754A1EF">
        <w:tc>
          <w:tcPr>
            <w:tcW w:w="3515" w:type="dxa"/>
          </w:tcPr>
          <w:p w:rsidRPr="00C90825" w:rsidR="00083EFD" w:rsidP="004D0983" w:rsidRDefault="00083EFD" w14:paraId="122652D1"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C90825">
              <w:t xml:space="preserve">Labor Cost </w:t>
            </w:r>
          </w:p>
        </w:tc>
        <w:tc>
          <w:tcPr>
            <w:tcW w:w="1602" w:type="dxa"/>
          </w:tcPr>
          <w:p w:rsidRPr="00C90825" w:rsidR="00083EFD" w:rsidP="00C90825" w:rsidRDefault="00083EFD" w14:paraId="6343E2F5" w14:textId="37B09BF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749D">
              <w:t>$</w:t>
            </w:r>
            <w:r w:rsidR="00D8402C">
              <w:t xml:space="preserve"> </w:t>
            </w:r>
            <w:r w:rsidRPr="00D8402C" w:rsidR="00D8402C">
              <w:t>18</w:t>
            </w:r>
            <w:r w:rsidR="00A03209">
              <w:t>,806.78</w:t>
            </w:r>
          </w:p>
        </w:tc>
        <w:tc>
          <w:tcPr>
            <w:tcW w:w="1088" w:type="dxa"/>
          </w:tcPr>
          <w:p w:rsidRPr="00C90825" w:rsidR="00083EFD" w:rsidP="00C90825" w:rsidRDefault="00083EFD" w14:paraId="3E66B256" w14:textId="0D5D49D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C90825">
              <w:t>$</w:t>
            </w:r>
            <w:r w:rsidR="00AF682C">
              <w:t xml:space="preserve"> </w:t>
            </w:r>
            <w:r w:rsidRPr="00AF682C" w:rsidR="00AF682C">
              <w:t>2</w:t>
            </w:r>
            <w:r w:rsidR="00A03209">
              <w:t>,</w:t>
            </w:r>
            <w:r w:rsidRPr="00AF682C" w:rsidR="00AF682C">
              <w:t>2</w:t>
            </w:r>
            <w:r w:rsidR="00A03209">
              <w:t>08.85</w:t>
            </w:r>
          </w:p>
        </w:tc>
        <w:tc>
          <w:tcPr>
            <w:tcW w:w="1688" w:type="dxa"/>
          </w:tcPr>
          <w:p w:rsidRPr="00C90825" w:rsidR="00083EFD" w:rsidP="00C90825" w:rsidRDefault="00083EFD" w14:paraId="45E1437E" w14:textId="709312C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w:t>
            </w:r>
            <w:r w:rsidRPr="00D8402C" w:rsidR="00D8402C">
              <w:t>2</w:t>
            </w:r>
            <w:r w:rsidR="00A03209">
              <w:t>,</w:t>
            </w:r>
            <w:r w:rsidRPr="00D8402C" w:rsidR="00D8402C">
              <w:t>2</w:t>
            </w:r>
            <w:r w:rsidR="00A03209">
              <w:t>71.96</w:t>
            </w:r>
          </w:p>
        </w:tc>
        <w:tc>
          <w:tcPr>
            <w:tcW w:w="1457" w:type="dxa"/>
          </w:tcPr>
          <w:p w:rsidR="00083EFD" w:rsidP="00C90825" w:rsidRDefault="00083EFD" w14:paraId="6D296B4E" w14:textId="4EE5E25E">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C90825">
              <w:t>$</w:t>
            </w:r>
          </w:p>
          <w:p w:rsidRPr="00C90825" w:rsidR="00D8402C" w:rsidP="00C90825" w:rsidRDefault="00D8402C" w14:paraId="14D515C2" w14:textId="4AE1950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23</w:t>
            </w:r>
            <w:r w:rsidR="00A03209">
              <w:t>,287.59</w:t>
            </w:r>
          </w:p>
        </w:tc>
      </w:tr>
      <w:tr w:rsidRPr="00C952D9" w:rsidR="00A03209" w:rsidTr="00DF7C99" w14:paraId="46A0E1B1" w14:textId="4DB07557">
        <w:tc>
          <w:tcPr>
            <w:tcW w:w="3515" w:type="dxa"/>
          </w:tcPr>
          <w:p w:rsidRPr="00F0403D" w:rsidR="00083EFD" w:rsidP="004D0983" w:rsidRDefault="00083EFD" w14:paraId="633B8588"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403D">
              <w:t>Capital/Start-up Cost</w:t>
            </w:r>
          </w:p>
        </w:tc>
        <w:tc>
          <w:tcPr>
            <w:tcW w:w="1602" w:type="dxa"/>
          </w:tcPr>
          <w:p w:rsidRPr="00F0403D" w:rsidR="00083EFD" w:rsidP="004D0983" w:rsidRDefault="00083EFD" w14:paraId="7D7EA618"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403D">
              <w:t>$0</w:t>
            </w:r>
          </w:p>
        </w:tc>
        <w:tc>
          <w:tcPr>
            <w:tcW w:w="1088" w:type="dxa"/>
          </w:tcPr>
          <w:p w:rsidRPr="00F0403D" w:rsidR="00083EFD" w:rsidP="004D0983" w:rsidRDefault="00083EFD" w14:paraId="7EB6D1F0"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403D">
              <w:t>$0</w:t>
            </w:r>
          </w:p>
        </w:tc>
        <w:tc>
          <w:tcPr>
            <w:tcW w:w="1688" w:type="dxa"/>
          </w:tcPr>
          <w:p w:rsidRPr="00F0403D" w:rsidR="00083EFD" w:rsidP="004D0983" w:rsidRDefault="00083EFD" w14:paraId="547FC5AE"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tc>
        <w:tc>
          <w:tcPr>
            <w:tcW w:w="1457" w:type="dxa"/>
          </w:tcPr>
          <w:p w:rsidRPr="00F0403D" w:rsidR="00083EFD" w:rsidP="004D0983" w:rsidRDefault="00083EFD" w14:paraId="0592577C" w14:textId="6DE710E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403D">
              <w:t>$0</w:t>
            </w:r>
          </w:p>
        </w:tc>
      </w:tr>
      <w:tr w:rsidRPr="00C952D9" w:rsidR="00A03209" w:rsidTr="00DF7C99" w14:paraId="38C10755" w14:textId="5A32F175">
        <w:tc>
          <w:tcPr>
            <w:tcW w:w="3515" w:type="dxa"/>
          </w:tcPr>
          <w:p w:rsidRPr="00F0403D" w:rsidR="00083EFD" w:rsidP="004D0983" w:rsidRDefault="00083EFD" w14:paraId="24FF26BC"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403D">
              <w:t>Operating and Maintenance</w:t>
            </w:r>
          </w:p>
        </w:tc>
        <w:tc>
          <w:tcPr>
            <w:tcW w:w="1602" w:type="dxa"/>
          </w:tcPr>
          <w:p w:rsidRPr="00F0403D" w:rsidR="00083EFD" w:rsidP="004D0983" w:rsidRDefault="00083EFD" w14:paraId="6B7DAF32"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403D">
              <w:t>$0</w:t>
            </w:r>
          </w:p>
        </w:tc>
        <w:tc>
          <w:tcPr>
            <w:tcW w:w="1088" w:type="dxa"/>
          </w:tcPr>
          <w:p w:rsidRPr="00F0403D" w:rsidR="00083EFD" w:rsidP="004D0983" w:rsidRDefault="00083EFD" w14:paraId="4FB6F425"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403D">
              <w:t>$0</w:t>
            </w:r>
          </w:p>
        </w:tc>
        <w:tc>
          <w:tcPr>
            <w:tcW w:w="1688" w:type="dxa"/>
          </w:tcPr>
          <w:p w:rsidRPr="00F0403D" w:rsidR="00083EFD" w:rsidP="004D0983" w:rsidRDefault="00083EFD" w14:paraId="69C9EBDF"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tc>
        <w:tc>
          <w:tcPr>
            <w:tcW w:w="1457" w:type="dxa"/>
          </w:tcPr>
          <w:p w:rsidRPr="00F0403D" w:rsidR="00083EFD" w:rsidP="004D0983" w:rsidRDefault="00083EFD" w14:paraId="6F66054B" w14:textId="44CF8FBC">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F0403D">
              <w:t>$0</w:t>
            </w:r>
          </w:p>
        </w:tc>
      </w:tr>
      <w:tr w:rsidRPr="00C952D9" w:rsidR="00A03209" w:rsidTr="00DF7C99" w14:paraId="7CE32060" w14:textId="520A5399">
        <w:tc>
          <w:tcPr>
            <w:tcW w:w="3515" w:type="dxa"/>
            <w:shd w:val="clear" w:color="auto" w:fill="D9D9D9"/>
          </w:tcPr>
          <w:p w:rsidRPr="00437C6E" w:rsidR="00083EFD" w:rsidP="004D0983" w:rsidRDefault="00083EFD" w14:paraId="676FA12B"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i/>
              </w:rPr>
            </w:pPr>
            <w:bookmarkStart w:name="_Hlk67595560" w:id="10"/>
            <w:r w:rsidRPr="00437C6E">
              <w:rPr>
                <w:b/>
                <w:i/>
              </w:rPr>
              <w:t>Total Costs</w:t>
            </w:r>
          </w:p>
        </w:tc>
        <w:tc>
          <w:tcPr>
            <w:tcW w:w="1602" w:type="dxa"/>
            <w:shd w:val="clear" w:color="auto" w:fill="D9D9D9"/>
          </w:tcPr>
          <w:p w:rsidRPr="00437C6E" w:rsidR="00083EFD" w:rsidP="00C90825" w:rsidRDefault="00083EFD" w14:paraId="4086CC22" w14:textId="5C3DAC9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C66826">
              <w:rPr>
                <w:b/>
              </w:rPr>
              <w:t>$</w:t>
            </w:r>
            <w:r w:rsidR="00212E25">
              <w:rPr>
                <w:b/>
              </w:rPr>
              <w:t>18</w:t>
            </w:r>
            <w:r w:rsidR="00A03209">
              <w:rPr>
                <w:b/>
              </w:rPr>
              <w:t>,806.78</w:t>
            </w:r>
          </w:p>
        </w:tc>
        <w:tc>
          <w:tcPr>
            <w:tcW w:w="1088" w:type="dxa"/>
            <w:shd w:val="clear" w:color="auto" w:fill="D9D9D9"/>
          </w:tcPr>
          <w:p w:rsidRPr="00437C6E" w:rsidR="00083EFD" w:rsidP="00C90825" w:rsidRDefault="00083EFD" w14:paraId="0E520DAB" w14:textId="47CEE9E8">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437C6E">
              <w:rPr>
                <w:b/>
              </w:rPr>
              <w:t>$</w:t>
            </w:r>
            <w:r w:rsidR="000E44C6">
              <w:rPr>
                <w:b/>
              </w:rPr>
              <w:t>2</w:t>
            </w:r>
            <w:r w:rsidR="00A03209">
              <w:rPr>
                <w:b/>
              </w:rPr>
              <w:t>,208.85</w:t>
            </w:r>
          </w:p>
        </w:tc>
        <w:tc>
          <w:tcPr>
            <w:tcW w:w="1688" w:type="dxa"/>
            <w:shd w:val="clear" w:color="auto" w:fill="D9D9D9"/>
          </w:tcPr>
          <w:p w:rsidRPr="00C66826" w:rsidR="00083EFD" w:rsidP="00C90825" w:rsidRDefault="00083EFD" w14:paraId="53C5C9B5" w14:textId="52D081F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Pr>
                <w:b/>
              </w:rPr>
              <w:t>$</w:t>
            </w:r>
            <w:r w:rsidR="000E44C6">
              <w:rPr>
                <w:b/>
              </w:rPr>
              <w:t>2</w:t>
            </w:r>
            <w:r w:rsidR="00A03209">
              <w:rPr>
                <w:b/>
              </w:rPr>
              <w:t>,271.96</w:t>
            </w:r>
          </w:p>
        </w:tc>
        <w:tc>
          <w:tcPr>
            <w:tcW w:w="1457" w:type="dxa"/>
            <w:shd w:val="clear" w:color="auto" w:fill="D9D9D9"/>
          </w:tcPr>
          <w:p w:rsidRPr="00437C6E" w:rsidR="00083EFD" w:rsidP="00C90825" w:rsidRDefault="00083EFD" w14:paraId="7136068C" w14:textId="67F03256">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C66826">
              <w:rPr>
                <w:b/>
              </w:rPr>
              <w:t>$</w:t>
            </w:r>
            <w:r w:rsidR="000E44C6">
              <w:rPr>
                <w:b/>
              </w:rPr>
              <w:t>23</w:t>
            </w:r>
            <w:r w:rsidR="00A03209">
              <w:rPr>
                <w:b/>
              </w:rPr>
              <w:t>,287.59</w:t>
            </w:r>
          </w:p>
        </w:tc>
      </w:tr>
    </w:tbl>
    <w:bookmarkEnd w:id="8"/>
    <w:bookmarkEnd w:id="10"/>
    <w:p w:rsidR="00E9542C" w:rsidP="00BA6D69" w:rsidRDefault="00BA6D69" w14:paraId="202A994A" w14:textId="7D875A3B">
      <w:pPr>
        <w:pStyle w:val="a"/>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tab/>
      </w:r>
    </w:p>
    <w:p w:rsidR="00BA6D69" w:rsidP="00C551BA" w:rsidRDefault="00FD4682" w14:paraId="1D4777DD" w14:textId="1E6CA403">
      <w:pPr>
        <w:pStyle w:val="a"/>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BA6D69">
        <w:t>(d) ESTIMATING AGENCY BURDEN AND COST</w:t>
      </w:r>
    </w:p>
    <w:p w:rsidR="00BA6D69" w:rsidP="00BA6D69" w:rsidRDefault="00BA6D69" w14:paraId="59CE13CE" w14:textId="77777777">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FD4682" w:rsidP="00BA6D69" w:rsidRDefault="00BA6D69" w14:paraId="495BAF7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036F38">
        <w:t xml:space="preserve">To estimate the cost and burden to </w:t>
      </w:r>
      <w:r w:rsidRPr="00036F38" w:rsidR="00E9542C">
        <w:t>the</w:t>
      </w:r>
      <w:r w:rsidRPr="00036F38" w:rsidR="00C551BA">
        <w:t xml:space="preserve"> RENC</w:t>
      </w:r>
      <w:r w:rsidRPr="00036F38">
        <w:t xml:space="preserve">s, </w:t>
      </w:r>
      <w:r w:rsidRPr="00036F38" w:rsidR="00C551BA">
        <w:t>EPA assumes</w:t>
      </w:r>
      <w:r w:rsidRPr="00036F38" w:rsidR="00E9542C">
        <w:t xml:space="preserve"> tha</w:t>
      </w:r>
      <w:r w:rsidRPr="00036F38" w:rsidR="00C551BA">
        <w:t xml:space="preserve">t each </w:t>
      </w:r>
      <w:r w:rsidR="00525C9B">
        <w:t xml:space="preserve">grant </w:t>
      </w:r>
      <w:r w:rsidRPr="00036F38" w:rsidR="00C551BA">
        <w:t xml:space="preserve">recipient will </w:t>
      </w:r>
      <w:r w:rsidRPr="00036F38" w:rsidR="00B40EE7">
        <w:t xml:space="preserve">submit two </w:t>
      </w:r>
      <w:r w:rsidRPr="00036F38" w:rsidR="00C551BA">
        <w:t>Semi-Annual Progress Report Forms</w:t>
      </w:r>
      <w:r w:rsidRPr="00036F38" w:rsidR="00DB040E">
        <w:t xml:space="preserve"> each year</w:t>
      </w:r>
      <w:r w:rsidR="00C82AC1">
        <w:t xml:space="preserve"> the grant is active</w:t>
      </w:r>
      <w:r w:rsidRPr="00036F38" w:rsidR="00DB040E">
        <w:t>, and that each new grant recipient will submit one Quality Assurance Report</w:t>
      </w:r>
      <w:r w:rsidRPr="00036F38" w:rsidR="00BD425E">
        <w:t>ing</w:t>
      </w:r>
      <w:r w:rsidRPr="00036F38" w:rsidR="00E9542C">
        <w:t xml:space="preserve"> </w:t>
      </w:r>
      <w:r w:rsidRPr="00036F38" w:rsidR="00DB040E">
        <w:t xml:space="preserve">Form </w:t>
      </w:r>
      <w:r w:rsidR="00CB169D">
        <w:t>within 90 days of award</w:t>
      </w:r>
      <w:r w:rsidRPr="00036F38" w:rsidR="00DB040E">
        <w:t xml:space="preserve">.  </w:t>
      </w:r>
      <w:r w:rsidR="00C82AC1">
        <w:t xml:space="preserve">In addition, </w:t>
      </w:r>
      <w:r w:rsidR="00CB169D">
        <w:t xml:space="preserve">the grantees will submit the Final Progress Report </w:t>
      </w:r>
      <w:r w:rsidR="00AA2F84">
        <w:t xml:space="preserve">to RENC </w:t>
      </w:r>
      <w:r w:rsidR="00CB169D">
        <w:t xml:space="preserve">no later than 90 days after the </w:t>
      </w:r>
      <w:r w:rsidR="00C4725E">
        <w:t>grant</w:t>
      </w:r>
      <w:r w:rsidR="00AA2F84">
        <w:t xml:space="preserve"> </w:t>
      </w:r>
      <w:r w:rsidR="00DF7C99">
        <w:t>performance</w:t>
      </w:r>
      <w:r w:rsidR="00D8402C">
        <w:t xml:space="preserve"> </w:t>
      </w:r>
      <w:r w:rsidR="00AA2F84">
        <w:t xml:space="preserve">period end date.  </w:t>
      </w:r>
      <w:r w:rsidRPr="00036F38" w:rsidR="00DB040E">
        <w:t>EPA assumes t</w:t>
      </w:r>
      <w:r w:rsidRPr="00036F38" w:rsidR="00E9542C">
        <w:t>hat</w:t>
      </w:r>
      <w:r w:rsidRPr="00036F38" w:rsidR="00E9542C">
        <w:rPr>
          <w:b/>
          <w:u w:val="single"/>
        </w:rPr>
        <w:t xml:space="preserve"> </w:t>
      </w:r>
      <w:r w:rsidRPr="00036F38" w:rsidR="00E9542C">
        <w:t>th</w:t>
      </w:r>
      <w:r w:rsidRPr="00036F38" w:rsidR="00B40EE7">
        <w:t>e</w:t>
      </w:r>
      <w:r w:rsidRPr="00036F38" w:rsidR="00C551BA">
        <w:t xml:space="preserve">re are </w:t>
      </w:r>
      <w:r w:rsidR="00D8402C">
        <w:t>149</w:t>
      </w:r>
      <w:r w:rsidRPr="00036F38" w:rsidR="00522C90">
        <w:t xml:space="preserve"> </w:t>
      </w:r>
      <w:r w:rsidRPr="00036F38" w:rsidR="00E9542C">
        <w:t>active g</w:t>
      </w:r>
      <w:r w:rsidRPr="00036F38">
        <w:t>rants</w:t>
      </w:r>
      <w:r w:rsidRPr="00036F38" w:rsidR="00E9542C">
        <w:t xml:space="preserve"> in any single</w:t>
      </w:r>
      <w:r w:rsidRPr="00036F38" w:rsidR="00C551BA">
        <w:t xml:space="preserve"> fiscal</w:t>
      </w:r>
      <w:r w:rsidRPr="00036F38" w:rsidR="00DB040E">
        <w:t xml:space="preserve"> year, </w:t>
      </w:r>
      <w:r w:rsidRPr="00036F38" w:rsidR="00042A8E">
        <w:t xml:space="preserve">that </w:t>
      </w:r>
      <w:r w:rsidR="00522C90">
        <w:t>35</w:t>
      </w:r>
      <w:r w:rsidRPr="00036F38" w:rsidR="00323B23">
        <w:t xml:space="preserve"> </w:t>
      </w:r>
      <w:r w:rsidRPr="00036F38" w:rsidR="00DB040E">
        <w:t>new grants</w:t>
      </w:r>
      <w:r w:rsidRPr="00036F38" w:rsidR="00042A8E">
        <w:t xml:space="preserve"> are</w:t>
      </w:r>
      <w:r w:rsidRPr="00036F38" w:rsidR="00DB040E">
        <w:t xml:space="preserve"> </w:t>
      </w:r>
      <w:r w:rsidRPr="00036F38" w:rsidR="00042A8E">
        <w:t>awarded each year</w:t>
      </w:r>
      <w:r w:rsidR="00DF7C99">
        <w:t>,</w:t>
      </w:r>
      <w:r w:rsidRPr="00036F38" w:rsidR="00042A8E">
        <w:t xml:space="preserve"> and </w:t>
      </w:r>
      <w:r w:rsidR="00DF7C99">
        <w:t>an e</w:t>
      </w:r>
      <w:r w:rsidR="00522C90">
        <w:t>stimated 3</w:t>
      </w:r>
      <w:r w:rsidR="00D8402C">
        <w:t>6</w:t>
      </w:r>
      <w:r w:rsidR="00522C90">
        <w:t xml:space="preserve"> grants close out each year.  In addition</w:t>
      </w:r>
      <w:r w:rsidR="00EF1CDB">
        <w:t>,</w:t>
      </w:r>
      <w:r w:rsidR="00522C90">
        <w:t xml:space="preserve"> </w:t>
      </w:r>
      <w:r w:rsidRPr="00036F38" w:rsidR="00042A8E">
        <w:t xml:space="preserve">there is an even distribution for each (active and new grants) across all 10 regions.  </w:t>
      </w:r>
      <w:r w:rsidRPr="00036F38" w:rsidR="00C551BA">
        <w:t xml:space="preserve"> </w:t>
      </w:r>
    </w:p>
    <w:p w:rsidR="00FD4682" w:rsidP="00BA6D69" w:rsidRDefault="00FD4682" w14:paraId="3625E1F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83846" w:rsidP="00BA6D69" w:rsidRDefault="00FD4682" w14:paraId="75B42FD6" w14:textId="6659E2E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DF7C99">
        <w:t>The burden numbers were collected by contacting 8 RENCs, 7 of which provided the burden estimates as follows:</w:t>
      </w:r>
    </w:p>
    <w:p w:rsidR="00DA1FD8" w:rsidP="00DA1FD8" w:rsidRDefault="00C551BA" w14:paraId="72DFBDCD" w14:textId="45D25A70">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36F38">
        <w:t>EPA estimates that it should take a</w:t>
      </w:r>
      <w:r w:rsidRPr="00C952D9">
        <w:t xml:space="preserve"> RENC 0.5 hours</w:t>
      </w:r>
      <w:r w:rsidR="00E2174E">
        <w:t xml:space="preserve"> </w:t>
      </w:r>
      <w:r w:rsidRPr="00036F38">
        <w:t>to review a Quality Assurance Report</w:t>
      </w:r>
      <w:r w:rsidRPr="00036F38" w:rsidR="00BD425E">
        <w:t>ing</w:t>
      </w:r>
      <w:r w:rsidRPr="00036F38">
        <w:t xml:space="preserve"> </w:t>
      </w:r>
      <w:r w:rsidRPr="00C66826">
        <w:t>For</w:t>
      </w:r>
      <w:r w:rsidRPr="00C66826" w:rsidR="00D66093">
        <w:t>m</w:t>
      </w:r>
      <w:r w:rsidR="003835D2">
        <w:t>,</w:t>
      </w:r>
      <w:r w:rsidRPr="00C66826" w:rsidR="00D66093">
        <w:t xml:space="preserve"> </w:t>
      </w:r>
      <w:r w:rsidRPr="00C952D9">
        <w:t>0.</w:t>
      </w:r>
      <w:r w:rsidR="00EF1CDB">
        <w:t xml:space="preserve">35 </w:t>
      </w:r>
      <w:r w:rsidRPr="00C952D9">
        <w:t>hours to review a Semi-Annual Progress Report Form</w:t>
      </w:r>
      <w:r w:rsidR="003835D2">
        <w:t>, and 0.5 hours to review the Final Progress Report</w:t>
      </w:r>
      <w:r w:rsidRPr="00C952D9">
        <w:t>.</w:t>
      </w:r>
    </w:p>
    <w:p w:rsidR="00DA1FD8" w:rsidP="00DA1FD8" w:rsidRDefault="00042A8E" w14:paraId="2A26CB8B" w14:textId="6E0CF565">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952D9">
        <w:t xml:space="preserve">EPA estimates that </w:t>
      </w:r>
      <w:r w:rsidR="000310CE">
        <w:t xml:space="preserve">Agency </w:t>
      </w:r>
      <w:r w:rsidRPr="00C952D9" w:rsidR="00DB040E">
        <w:t>RENC</w:t>
      </w:r>
      <w:r w:rsidR="000310CE">
        <w:t>s</w:t>
      </w:r>
      <w:r w:rsidRPr="00C952D9" w:rsidR="00DB040E">
        <w:t xml:space="preserve"> will review </w:t>
      </w:r>
      <w:r w:rsidR="0038264F">
        <w:t>149</w:t>
      </w:r>
      <w:r w:rsidRPr="00C952D9" w:rsidR="00EF1CDB">
        <w:t xml:space="preserve"> </w:t>
      </w:r>
      <w:r w:rsidRPr="00C952D9">
        <w:t xml:space="preserve">x 2 = </w:t>
      </w:r>
      <w:r w:rsidR="0038264F">
        <w:t>298</w:t>
      </w:r>
      <w:r w:rsidRPr="00C952D9" w:rsidR="00EF1CDB">
        <w:t xml:space="preserve"> </w:t>
      </w:r>
      <w:r w:rsidR="005C349B">
        <w:t>Semi-A</w:t>
      </w:r>
      <w:r w:rsidRPr="00C952D9">
        <w:t xml:space="preserve">nnual </w:t>
      </w:r>
      <w:r w:rsidRPr="00814A7B" w:rsidR="00C7147C">
        <w:t>forms</w:t>
      </w:r>
      <w:r w:rsidR="003835D2">
        <w:t>,</w:t>
      </w:r>
      <w:r w:rsidR="00DF7C99">
        <w:t xml:space="preserve"> </w:t>
      </w:r>
      <w:r w:rsidR="00EF1CDB">
        <w:t>35</w:t>
      </w:r>
      <w:r w:rsidRPr="00814A7B" w:rsidR="00EF1CDB">
        <w:t xml:space="preserve"> </w:t>
      </w:r>
      <w:r w:rsidRPr="00814A7B">
        <w:t xml:space="preserve">x </w:t>
      </w:r>
      <w:r w:rsidRPr="00C952D9">
        <w:t xml:space="preserve">1 = </w:t>
      </w:r>
      <w:r w:rsidR="00EF1CDB">
        <w:t>35</w:t>
      </w:r>
      <w:r w:rsidRPr="00C952D9" w:rsidR="00EF1CDB">
        <w:t xml:space="preserve"> </w:t>
      </w:r>
      <w:r w:rsidR="00E2174E">
        <w:t>Quality A</w:t>
      </w:r>
      <w:r w:rsidRPr="00C952D9">
        <w:t>ssurance</w:t>
      </w:r>
      <w:r w:rsidRPr="00C952D9" w:rsidR="00C7147C">
        <w:t xml:space="preserve"> f</w:t>
      </w:r>
      <w:r w:rsidRPr="00C952D9">
        <w:t>orms</w:t>
      </w:r>
      <w:r w:rsidR="003835D2">
        <w:t>, and 3</w:t>
      </w:r>
      <w:r w:rsidR="0038264F">
        <w:t>6</w:t>
      </w:r>
      <w:r w:rsidR="003835D2">
        <w:t xml:space="preserve"> Final Progress Reports</w:t>
      </w:r>
      <w:r w:rsidRPr="00C952D9">
        <w:t xml:space="preserve"> each year.  </w:t>
      </w:r>
    </w:p>
    <w:p w:rsidR="00FE55E9" w:rsidP="00FE55E9" w:rsidRDefault="00042A8E" w14:paraId="37CB63E0" w14:textId="4731EECE">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952D9">
        <w:t>RENC</w:t>
      </w:r>
      <w:r w:rsidR="000310CE">
        <w:t>s</w:t>
      </w:r>
      <w:r w:rsidRPr="00C952D9">
        <w:t xml:space="preserve"> will </w:t>
      </w:r>
      <w:r w:rsidRPr="00814A7B">
        <w:t xml:space="preserve">spend </w:t>
      </w:r>
      <w:r w:rsidR="0038264F">
        <w:t>298</w:t>
      </w:r>
      <w:r w:rsidR="00683D88">
        <w:t xml:space="preserve"> </w:t>
      </w:r>
      <w:r w:rsidRPr="00814A7B">
        <w:t>x 0.</w:t>
      </w:r>
      <w:r w:rsidR="00683D88">
        <w:t>35</w:t>
      </w:r>
      <w:r w:rsidR="00DF7C99">
        <w:t>hrs</w:t>
      </w:r>
      <w:r w:rsidRPr="00814A7B" w:rsidR="00683D88">
        <w:t xml:space="preserve"> </w:t>
      </w:r>
      <w:r w:rsidRPr="00814A7B" w:rsidR="00D74562">
        <w:t xml:space="preserve">= </w:t>
      </w:r>
      <w:r w:rsidR="0038264F">
        <w:t xml:space="preserve">104.3 </w:t>
      </w:r>
      <w:r w:rsidRPr="00814A7B">
        <w:t xml:space="preserve">hours reviewing </w:t>
      </w:r>
      <w:r w:rsidR="00E2174E">
        <w:t>Semi-A</w:t>
      </w:r>
      <w:r w:rsidRPr="00814A7B">
        <w:t>nnual</w:t>
      </w:r>
      <w:r w:rsidRPr="00D54358">
        <w:t xml:space="preserve"> </w:t>
      </w:r>
      <w:r w:rsidRPr="00814A7B">
        <w:t>forms</w:t>
      </w:r>
      <w:r w:rsidR="00683D88">
        <w:t>,</w:t>
      </w:r>
      <w:r w:rsidRPr="00814A7B">
        <w:t xml:space="preserve"> </w:t>
      </w:r>
      <w:r w:rsidR="00683D88">
        <w:t>35</w:t>
      </w:r>
      <w:r w:rsidRPr="00D54358" w:rsidR="00683D88">
        <w:t xml:space="preserve"> </w:t>
      </w:r>
      <w:r w:rsidRPr="00D54358">
        <w:t xml:space="preserve">x </w:t>
      </w:r>
      <w:r w:rsidR="00683D88">
        <w:t>0</w:t>
      </w:r>
      <w:r w:rsidR="00347847">
        <w:t>.5</w:t>
      </w:r>
      <w:r w:rsidR="00DF7C99">
        <w:t>hrs</w:t>
      </w:r>
      <w:r w:rsidRPr="00D54358">
        <w:t xml:space="preserve"> = </w:t>
      </w:r>
      <w:r w:rsidR="00683D88">
        <w:t>17.5</w:t>
      </w:r>
      <w:r w:rsidRPr="00D54358" w:rsidR="00683D88">
        <w:t xml:space="preserve"> </w:t>
      </w:r>
      <w:r w:rsidRPr="00D54358" w:rsidR="00D74562">
        <w:t>hour</w:t>
      </w:r>
      <w:r w:rsidR="00683D88">
        <w:t>s</w:t>
      </w:r>
      <w:r w:rsidRPr="00D54358" w:rsidR="00E66069">
        <w:t xml:space="preserve"> revi</w:t>
      </w:r>
      <w:r w:rsidR="00E2174E">
        <w:t>ewing Q</w:t>
      </w:r>
      <w:r w:rsidR="00D54358">
        <w:t xml:space="preserve">uality </w:t>
      </w:r>
      <w:r w:rsidR="00E2174E">
        <w:t>A</w:t>
      </w:r>
      <w:r w:rsidR="00D54358">
        <w:t>ssurance forms</w:t>
      </w:r>
      <w:r w:rsidR="00683D88">
        <w:t>, and 3</w:t>
      </w:r>
      <w:r w:rsidR="0038264F">
        <w:t>6</w:t>
      </w:r>
      <w:r w:rsidR="00683D88">
        <w:t xml:space="preserve"> x 0.5</w:t>
      </w:r>
      <w:r w:rsidR="00DF7C99">
        <w:t>hrs</w:t>
      </w:r>
      <w:r w:rsidR="008C40A9">
        <w:t xml:space="preserve">= </w:t>
      </w:r>
      <w:r w:rsidR="0038264F">
        <w:t xml:space="preserve">18 </w:t>
      </w:r>
      <w:r w:rsidR="00683D88">
        <w:t>hours reviewing the Final Progress Reports</w:t>
      </w:r>
      <w:r w:rsidR="00D54358">
        <w:t xml:space="preserve">. </w:t>
      </w:r>
    </w:p>
    <w:p w:rsidR="0036757E" w:rsidP="0036757E" w:rsidRDefault="0036757E" w14:paraId="36AF80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E55E9" w:rsidP="0036757E" w:rsidRDefault="00FE55E9" w14:paraId="65B5B060" w14:textId="5BD93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E55E9">
        <w:t>The total number of hours spent each year by the RENCs to review the forms is 139.8 hours</w:t>
      </w:r>
      <w:r>
        <w:t>.</w:t>
      </w:r>
    </w:p>
    <w:p w:rsidR="00FE55E9" w:rsidP="00FE55E9" w:rsidRDefault="00FE55E9" w14:paraId="6B9C1881"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Pr="00107B2F" w:rsidR="00107B2F" w:rsidP="00640098" w:rsidRDefault="00107B2F" w14:paraId="03C54F7E" w14:textId="52A36C6D">
      <w:pPr>
        <w:rPr>
          <w:bCs/>
        </w:rPr>
      </w:pPr>
      <w:r w:rsidRPr="00107B2F">
        <w:rPr>
          <w:bCs/>
        </w:rPr>
        <w:t>Table 5 reflects the total burden on the Agency.</w:t>
      </w:r>
    </w:p>
    <w:p w:rsidR="00107B2F" w:rsidP="00640098" w:rsidRDefault="00107B2F" w14:paraId="372DD975" w14:textId="77777777">
      <w:pPr>
        <w:rPr>
          <w:b/>
        </w:rPr>
      </w:pPr>
    </w:p>
    <w:p w:rsidR="00E25D90" w:rsidP="00640098" w:rsidRDefault="00891B05" w14:paraId="18CDEF0E" w14:textId="73E06D12">
      <w:pPr>
        <w:rPr>
          <w:b/>
        </w:rPr>
      </w:pPr>
      <w:r>
        <w:rPr>
          <w:b/>
        </w:rPr>
        <w:t>Table 5</w:t>
      </w:r>
      <w:r w:rsidR="005947BE">
        <w:rPr>
          <w:b/>
        </w:rPr>
        <w:t xml:space="preserve"> – Agency Burden</w:t>
      </w:r>
    </w:p>
    <w:tbl>
      <w:tblPr>
        <w:tblW w:w="10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9"/>
        <w:gridCol w:w="3346"/>
        <w:gridCol w:w="1440"/>
        <w:gridCol w:w="1620"/>
        <w:gridCol w:w="1530"/>
        <w:gridCol w:w="1170"/>
        <w:gridCol w:w="990"/>
      </w:tblGrid>
      <w:tr w:rsidRPr="004D0983" w:rsidR="00F930AC" w:rsidTr="00640098" w14:paraId="186DBD0D" w14:textId="77777777">
        <w:trPr>
          <w:trHeight w:val="801"/>
        </w:trPr>
        <w:tc>
          <w:tcPr>
            <w:tcW w:w="339" w:type="dxa"/>
            <w:shd w:val="clear" w:color="auto" w:fill="CCCCCC"/>
          </w:tcPr>
          <w:p w:rsidRPr="004D0983" w:rsidR="00F930AC" w:rsidP="005947BE" w:rsidRDefault="00F930AC" w14:paraId="7B2F4D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bookmarkStart w:name="_Hlk521528037" w:id="11"/>
          </w:p>
        </w:tc>
        <w:tc>
          <w:tcPr>
            <w:tcW w:w="3346" w:type="dxa"/>
            <w:shd w:val="clear" w:color="auto" w:fill="CCCCCC"/>
            <w:vAlign w:val="center"/>
          </w:tcPr>
          <w:p w:rsidRPr="00891B05" w:rsidR="00F930AC" w:rsidP="00891B05" w:rsidRDefault="00F930AC" w14:paraId="60BE8C0F" w14:textId="49D7AC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891B05">
              <w:rPr>
                <w:b/>
              </w:rPr>
              <w:t>EPA RENCs</w:t>
            </w:r>
          </w:p>
        </w:tc>
        <w:tc>
          <w:tcPr>
            <w:tcW w:w="1440" w:type="dxa"/>
            <w:shd w:val="clear" w:color="auto" w:fill="CCCCCC"/>
            <w:vAlign w:val="center"/>
          </w:tcPr>
          <w:p w:rsidRPr="007A455F" w:rsidR="00F930AC" w:rsidP="005947BE" w:rsidRDefault="00F930AC" w14:paraId="09100F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Calculation</w:t>
            </w:r>
          </w:p>
        </w:tc>
        <w:tc>
          <w:tcPr>
            <w:tcW w:w="1620" w:type="dxa"/>
            <w:shd w:val="clear" w:color="auto" w:fill="CCCCCC"/>
            <w:vAlign w:val="center"/>
          </w:tcPr>
          <w:p w:rsidRPr="007A455F" w:rsidR="00F930AC" w:rsidP="005947BE" w:rsidRDefault="00F930AC" w14:paraId="481EBD11" w14:textId="288059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Pr>
                <w:b/>
              </w:rPr>
              <w:t>Semi-Annual Progress Report</w:t>
            </w:r>
            <w:r w:rsidRPr="007A455F">
              <w:rPr>
                <w:b/>
              </w:rPr>
              <w:t xml:space="preserve"> Form</w:t>
            </w:r>
          </w:p>
        </w:tc>
        <w:tc>
          <w:tcPr>
            <w:tcW w:w="1530" w:type="dxa"/>
            <w:shd w:val="clear" w:color="auto" w:fill="CCCCCC"/>
            <w:vAlign w:val="center"/>
          </w:tcPr>
          <w:p w:rsidRPr="007A455F" w:rsidR="00F930AC" w:rsidP="005947BE" w:rsidRDefault="00F930AC" w14:paraId="5E4810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i/>
              </w:rPr>
            </w:pPr>
            <w:r w:rsidRPr="007A455F">
              <w:rPr>
                <w:b/>
              </w:rPr>
              <w:t>Quality Assurance Reporting Form</w:t>
            </w:r>
          </w:p>
        </w:tc>
        <w:tc>
          <w:tcPr>
            <w:tcW w:w="1170" w:type="dxa"/>
            <w:shd w:val="clear" w:color="auto" w:fill="CCCCCC"/>
          </w:tcPr>
          <w:p w:rsidR="00F930AC" w:rsidP="005947BE" w:rsidRDefault="00F930AC" w14:paraId="0DAE982F" w14:textId="5E2E34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Final Progress Report</w:t>
            </w:r>
          </w:p>
        </w:tc>
        <w:tc>
          <w:tcPr>
            <w:tcW w:w="990" w:type="dxa"/>
            <w:shd w:val="clear" w:color="auto" w:fill="CCCCCC"/>
            <w:vAlign w:val="center"/>
          </w:tcPr>
          <w:p w:rsidRPr="007A455F" w:rsidR="00F930AC" w:rsidP="005947BE" w:rsidRDefault="00F930AC" w14:paraId="0DA89BCD" w14:textId="63675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Total</w:t>
            </w:r>
          </w:p>
        </w:tc>
      </w:tr>
      <w:tr w:rsidRPr="00DB3A6F" w:rsidR="00F930AC" w:rsidTr="00640098" w14:paraId="51D86A30" w14:textId="77777777">
        <w:trPr>
          <w:trHeight w:val="262"/>
        </w:trPr>
        <w:tc>
          <w:tcPr>
            <w:tcW w:w="339" w:type="dxa"/>
            <w:vAlign w:val="bottom"/>
          </w:tcPr>
          <w:p w:rsidRPr="00120533" w:rsidR="00F930AC" w:rsidP="005947BE" w:rsidRDefault="00F930AC" w14:paraId="44FA4A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C00000"/>
              </w:rPr>
            </w:pPr>
            <w:r w:rsidRPr="00E67B22">
              <w:rPr>
                <w:b/>
              </w:rPr>
              <w:t>a</w:t>
            </w:r>
          </w:p>
        </w:tc>
        <w:tc>
          <w:tcPr>
            <w:tcW w:w="3346" w:type="dxa"/>
            <w:vAlign w:val="bottom"/>
          </w:tcPr>
          <w:p w:rsidRPr="00E67B22" w:rsidR="00F930AC" w:rsidP="005947BE" w:rsidRDefault="00F930AC" w14:paraId="5102519B" w14:textId="319BBE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7B22">
              <w:rPr>
                <w:i/>
              </w:rPr>
              <w:t>Estimated Hours per Form (Review/Upload)</w:t>
            </w:r>
          </w:p>
        </w:tc>
        <w:tc>
          <w:tcPr>
            <w:tcW w:w="1440" w:type="dxa"/>
            <w:vAlign w:val="bottom"/>
          </w:tcPr>
          <w:p w:rsidRPr="00E67B22" w:rsidR="00F930AC" w:rsidP="005947BE" w:rsidRDefault="00F930AC" w14:paraId="610180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vAlign w:val="bottom"/>
          </w:tcPr>
          <w:p w:rsidRPr="00E67B22" w:rsidR="00F930AC" w:rsidP="005D1FD7" w:rsidRDefault="00F930AC" w14:paraId="1199426B" w14:textId="442ACF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0.35</w:t>
            </w:r>
          </w:p>
        </w:tc>
        <w:tc>
          <w:tcPr>
            <w:tcW w:w="1530" w:type="dxa"/>
            <w:vAlign w:val="bottom"/>
          </w:tcPr>
          <w:p w:rsidRPr="00E67B22" w:rsidR="00F930AC" w:rsidP="005D1FD7" w:rsidRDefault="00F930AC" w14:paraId="3F95CD5A" w14:textId="7C2670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67B22">
              <w:t>0.5</w:t>
            </w:r>
          </w:p>
        </w:tc>
        <w:tc>
          <w:tcPr>
            <w:tcW w:w="1170" w:type="dxa"/>
          </w:tcPr>
          <w:p w:rsidR="005D1FD7" w:rsidP="005D1FD7" w:rsidRDefault="005D1FD7" w14:paraId="078897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Pr="00E67B22" w:rsidR="00F930AC" w:rsidP="005D1FD7" w:rsidRDefault="00F930AC" w14:paraId="6D3F4057" w14:textId="39623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0.5</w:t>
            </w:r>
          </w:p>
        </w:tc>
        <w:tc>
          <w:tcPr>
            <w:tcW w:w="990" w:type="dxa"/>
            <w:vAlign w:val="bottom"/>
          </w:tcPr>
          <w:p w:rsidRPr="00E67B22" w:rsidR="00F930AC" w:rsidP="005947BE" w:rsidRDefault="00F930AC" w14:paraId="70F3BE4C" w14:textId="7E1100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Pr="00DB3A6F" w:rsidR="00F930AC" w:rsidTr="00640098" w14:paraId="15E81AD3" w14:textId="77777777">
        <w:trPr>
          <w:trHeight w:val="262"/>
        </w:trPr>
        <w:tc>
          <w:tcPr>
            <w:tcW w:w="339" w:type="dxa"/>
            <w:vAlign w:val="bottom"/>
          </w:tcPr>
          <w:p w:rsidRPr="00120533" w:rsidR="00F930AC" w:rsidP="005947BE" w:rsidRDefault="00F930AC" w14:paraId="766E81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C00000"/>
              </w:rPr>
            </w:pPr>
            <w:r w:rsidRPr="0049197F">
              <w:rPr>
                <w:b/>
              </w:rPr>
              <w:t>b</w:t>
            </w:r>
          </w:p>
        </w:tc>
        <w:tc>
          <w:tcPr>
            <w:tcW w:w="3346" w:type="dxa"/>
            <w:vAlign w:val="bottom"/>
          </w:tcPr>
          <w:p w:rsidRPr="00E67B22" w:rsidR="00F930AC" w:rsidP="005947BE" w:rsidRDefault="00F930AC" w14:paraId="086E42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E67B22">
              <w:rPr>
                <w:i/>
              </w:rPr>
              <w:t>Frequency per Year</w:t>
            </w:r>
          </w:p>
        </w:tc>
        <w:tc>
          <w:tcPr>
            <w:tcW w:w="1440" w:type="dxa"/>
            <w:vAlign w:val="bottom"/>
          </w:tcPr>
          <w:p w:rsidRPr="00E67B22" w:rsidR="00F930AC" w:rsidP="005947BE" w:rsidRDefault="00F930AC" w14:paraId="08FF5D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vAlign w:val="bottom"/>
          </w:tcPr>
          <w:p w:rsidRPr="0049197F" w:rsidR="00F930AC" w:rsidP="005947BE" w:rsidRDefault="00F930AC" w14:paraId="47BF56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9197F">
              <w:t>2</w:t>
            </w:r>
          </w:p>
        </w:tc>
        <w:tc>
          <w:tcPr>
            <w:tcW w:w="1530" w:type="dxa"/>
            <w:vAlign w:val="bottom"/>
          </w:tcPr>
          <w:p w:rsidRPr="0049197F" w:rsidR="00F930AC" w:rsidP="005947BE" w:rsidRDefault="00F930AC" w14:paraId="1256CC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49197F">
              <w:t>1</w:t>
            </w:r>
          </w:p>
        </w:tc>
        <w:tc>
          <w:tcPr>
            <w:tcW w:w="1170" w:type="dxa"/>
          </w:tcPr>
          <w:p w:rsidRPr="00E67B22" w:rsidR="00F930AC" w:rsidP="005947BE" w:rsidRDefault="00E91D05" w14:paraId="05850E21" w14:textId="062F61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990" w:type="dxa"/>
            <w:vAlign w:val="bottom"/>
          </w:tcPr>
          <w:p w:rsidRPr="00E67B22" w:rsidR="00F930AC" w:rsidP="005947BE" w:rsidRDefault="00F930AC" w14:paraId="26FEBEBD" w14:textId="2E942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Pr="00DB3A6F" w:rsidR="00F930AC" w:rsidTr="00640098" w14:paraId="66385E34" w14:textId="77777777">
        <w:trPr>
          <w:trHeight w:val="262"/>
        </w:trPr>
        <w:tc>
          <w:tcPr>
            <w:tcW w:w="339" w:type="dxa"/>
            <w:vAlign w:val="bottom"/>
          </w:tcPr>
          <w:p w:rsidRPr="00E67B22" w:rsidR="00F930AC" w:rsidP="005947BE" w:rsidRDefault="00F930AC" w14:paraId="0459D3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67B22">
              <w:rPr>
                <w:b/>
              </w:rPr>
              <w:t>c</w:t>
            </w:r>
          </w:p>
        </w:tc>
        <w:tc>
          <w:tcPr>
            <w:tcW w:w="3346" w:type="dxa"/>
            <w:vAlign w:val="bottom"/>
          </w:tcPr>
          <w:p w:rsidRPr="00E67B22" w:rsidR="00F930AC" w:rsidP="005947BE" w:rsidRDefault="00F930AC" w14:paraId="0501FD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E67B22">
              <w:rPr>
                <w:i/>
              </w:rPr>
              <w:t>Annual Burden Hours per Form Type</w:t>
            </w:r>
          </w:p>
        </w:tc>
        <w:tc>
          <w:tcPr>
            <w:tcW w:w="1440" w:type="dxa"/>
            <w:vAlign w:val="bottom"/>
          </w:tcPr>
          <w:p w:rsidRPr="00E67B22" w:rsidR="00F930AC" w:rsidP="005947BE" w:rsidRDefault="00F930AC" w14:paraId="387738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67B22">
              <w:t>(a) x (b)</w:t>
            </w:r>
          </w:p>
        </w:tc>
        <w:tc>
          <w:tcPr>
            <w:tcW w:w="1620" w:type="dxa"/>
            <w:vAlign w:val="bottom"/>
          </w:tcPr>
          <w:p w:rsidRPr="00E67B22" w:rsidR="00F930AC" w:rsidP="005947BE" w:rsidRDefault="00F930AC" w14:paraId="50AD3098" w14:textId="425C43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0.7</w:t>
            </w:r>
          </w:p>
        </w:tc>
        <w:tc>
          <w:tcPr>
            <w:tcW w:w="1530" w:type="dxa"/>
            <w:vAlign w:val="bottom"/>
          </w:tcPr>
          <w:p w:rsidRPr="00E67B22" w:rsidR="00F930AC" w:rsidP="005947BE" w:rsidRDefault="00F930AC" w14:paraId="1F2E1F12" w14:textId="57FE7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67B22">
              <w:t>0.5</w:t>
            </w:r>
          </w:p>
        </w:tc>
        <w:tc>
          <w:tcPr>
            <w:tcW w:w="1170" w:type="dxa"/>
          </w:tcPr>
          <w:p w:rsidRPr="00E67B22" w:rsidR="00F930AC" w:rsidP="005947BE" w:rsidRDefault="00E91D05" w14:paraId="10F63FDD" w14:textId="2A90D5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0.5</w:t>
            </w:r>
          </w:p>
        </w:tc>
        <w:tc>
          <w:tcPr>
            <w:tcW w:w="990" w:type="dxa"/>
            <w:vAlign w:val="bottom"/>
          </w:tcPr>
          <w:p w:rsidRPr="00E67B22" w:rsidR="00F930AC" w:rsidP="005947BE" w:rsidRDefault="00F930AC" w14:paraId="476AC5F0" w14:textId="5C7BB5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Pr="00DB3A6F" w:rsidR="00F930AC" w:rsidTr="00640098" w14:paraId="62B43FC2" w14:textId="77777777">
        <w:trPr>
          <w:trHeight w:val="575"/>
        </w:trPr>
        <w:tc>
          <w:tcPr>
            <w:tcW w:w="339" w:type="dxa"/>
            <w:vAlign w:val="bottom"/>
          </w:tcPr>
          <w:p w:rsidRPr="00E67B22" w:rsidR="00F930AC" w:rsidP="005947BE" w:rsidRDefault="00F930AC" w14:paraId="5D238B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67B22">
              <w:rPr>
                <w:b/>
              </w:rPr>
              <w:t>d</w:t>
            </w:r>
          </w:p>
        </w:tc>
        <w:tc>
          <w:tcPr>
            <w:tcW w:w="3346" w:type="dxa"/>
            <w:vAlign w:val="bottom"/>
          </w:tcPr>
          <w:p w:rsidRPr="00E67B22" w:rsidR="00F930AC" w:rsidP="005947BE" w:rsidRDefault="00F930AC" w14:paraId="37A07DB8" w14:textId="474D51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E67B22">
              <w:rPr>
                <w:i/>
              </w:rPr>
              <w:t>Grants Subject to EPA Review/Upload per Year</w:t>
            </w:r>
          </w:p>
        </w:tc>
        <w:tc>
          <w:tcPr>
            <w:tcW w:w="1440" w:type="dxa"/>
            <w:vAlign w:val="bottom"/>
          </w:tcPr>
          <w:p w:rsidRPr="00E67B22" w:rsidR="00F930AC" w:rsidP="005947BE" w:rsidRDefault="00F930AC" w14:paraId="2303D3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c>
          <w:tcPr>
            <w:tcW w:w="1620" w:type="dxa"/>
            <w:vAlign w:val="bottom"/>
          </w:tcPr>
          <w:p w:rsidRPr="00E67B22" w:rsidR="00F930AC" w:rsidP="005947BE" w:rsidRDefault="00F930AC" w14:paraId="64CD7062" w14:textId="68A88A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149</w:t>
            </w:r>
          </w:p>
        </w:tc>
        <w:tc>
          <w:tcPr>
            <w:tcW w:w="1530" w:type="dxa"/>
            <w:vAlign w:val="bottom"/>
          </w:tcPr>
          <w:p w:rsidRPr="00E67B22" w:rsidR="00F930AC" w:rsidP="005947BE" w:rsidRDefault="00E91D05" w14:paraId="385D49C7" w14:textId="24DC62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35</w:t>
            </w:r>
          </w:p>
        </w:tc>
        <w:tc>
          <w:tcPr>
            <w:tcW w:w="1170" w:type="dxa"/>
          </w:tcPr>
          <w:p w:rsidRPr="00E67B22" w:rsidR="00F930AC" w:rsidP="005947BE" w:rsidRDefault="00E91D05" w14:paraId="682DBD4F" w14:textId="1C0721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36</w:t>
            </w:r>
          </w:p>
        </w:tc>
        <w:tc>
          <w:tcPr>
            <w:tcW w:w="990" w:type="dxa"/>
            <w:vAlign w:val="bottom"/>
          </w:tcPr>
          <w:p w:rsidRPr="00E67B22" w:rsidR="00F930AC" w:rsidP="005947BE" w:rsidRDefault="00F930AC" w14:paraId="6DE41987" w14:textId="51FCB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tc>
      </w:tr>
      <w:tr w:rsidRPr="00DB3A6F" w:rsidR="00F930AC" w:rsidTr="00640098" w14:paraId="479A58A6" w14:textId="77777777">
        <w:trPr>
          <w:trHeight w:val="262"/>
        </w:trPr>
        <w:tc>
          <w:tcPr>
            <w:tcW w:w="339" w:type="dxa"/>
            <w:vAlign w:val="bottom"/>
          </w:tcPr>
          <w:p w:rsidRPr="00E67B22" w:rsidR="00F930AC" w:rsidP="005947BE" w:rsidRDefault="00F930AC" w14:paraId="37FEEF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67B22">
              <w:rPr>
                <w:b/>
              </w:rPr>
              <w:t>e</w:t>
            </w:r>
          </w:p>
        </w:tc>
        <w:tc>
          <w:tcPr>
            <w:tcW w:w="3346" w:type="dxa"/>
            <w:vAlign w:val="bottom"/>
          </w:tcPr>
          <w:p w:rsidRPr="00E67B22" w:rsidR="00F930AC" w:rsidP="00F468A1" w:rsidRDefault="00F930AC" w14:paraId="4A26F143" w14:textId="59A91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E67B22">
              <w:rPr>
                <w:i/>
              </w:rPr>
              <w:t>EPA Reviews/Uploads per Year</w:t>
            </w:r>
          </w:p>
        </w:tc>
        <w:tc>
          <w:tcPr>
            <w:tcW w:w="1440" w:type="dxa"/>
            <w:vAlign w:val="bottom"/>
          </w:tcPr>
          <w:p w:rsidRPr="00E67B22" w:rsidR="00F930AC" w:rsidP="005947BE" w:rsidRDefault="00F930AC" w14:paraId="530282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sidRPr="00E67B22">
              <w:t>(b) x (d)</w:t>
            </w:r>
          </w:p>
        </w:tc>
        <w:tc>
          <w:tcPr>
            <w:tcW w:w="1620" w:type="dxa"/>
            <w:vAlign w:val="bottom"/>
          </w:tcPr>
          <w:p w:rsidRPr="00E67B22" w:rsidR="00F930AC" w:rsidP="005947BE" w:rsidRDefault="00F930AC" w14:paraId="22466628" w14:textId="44624B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298</w:t>
            </w:r>
          </w:p>
        </w:tc>
        <w:tc>
          <w:tcPr>
            <w:tcW w:w="1530" w:type="dxa"/>
            <w:vAlign w:val="bottom"/>
          </w:tcPr>
          <w:p w:rsidRPr="00E67B22" w:rsidR="00F930AC" w:rsidP="005947BE" w:rsidRDefault="00E91D05" w14:paraId="01C9DB49" w14:textId="09F49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35</w:t>
            </w:r>
          </w:p>
        </w:tc>
        <w:tc>
          <w:tcPr>
            <w:tcW w:w="1170" w:type="dxa"/>
          </w:tcPr>
          <w:p w:rsidRPr="00E67B22" w:rsidR="00F930AC" w:rsidP="005947BE" w:rsidRDefault="00E91D05" w14:paraId="34B3C661" w14:textId="38D3B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36</w:t>
            </w:r>
          </w:p>
        </w:tc>
        <w:tc>
          <w:tcPr>
            <w:tcW w:w="990" w:type="dxa"/>
            <w:vAlign w:val="bottom"/>
          </w:tcPr>
          <w:p w:rsidRPr="00E67B22" w:rsidR="00F930AC" w:rsidP="005947BE" w:rsidRDefault="0038264F" w14:paraId="37EE2F53" w14:textId="22F33B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369</w:t>
            </w:r>
          </w:p>
        </w:tc>
      </w:tr>
      <w:tr w:rsidRPr="00DB3A6F" w:rsidR="00F930AC" w:rsidTr="00640098" w14:paraId="611D97A0" w14:textId="77777777">
        <w:trPr>
          <w:trHeight w:val="262"/>
        </w:trPr>
        <w:tc>
          <w:tcPr>
            <w:tcW w:w="339" w:type="dxa"/>
            <w:vAlign w:val="bottom"/>
          </w:tcPr>
          <w:p w:rsidRPr="00E67B22" w:rsidR="00F930AC" w:rsidP="005947BE" w:rsidRDefault="00F930AC" w14:paraId="49A3DF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E67B22">
              <w:rPr>
                <w:b/>
              </w:rPr>
              <w:t>f</w:t>
            </w:r>
          </w:p>
        </w:tc>
        <w:tc>
          <w:tcPr>
            <w:tcW w:w="3346" w:type="dxa"/>
            <w:vAlign w:val="bottom"/>
          </w:tcPr>
          <w:p w:rsidRPr="00E67B22" w:rsidR="00F930AC" w:rsidP="005947BE" w:rsidRDefault="00F930AC" w14:paraId="2EB9CD0F" w14:textId="59621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
              </w:rPr>
            </w:pPr>
            <w:r w:rsidRPr="00E67B22">
              <w:rPr>
                <w:b/>
                <w:i/>
              </w:rPr>
              <w:t xml:space="preserve">Total Annual Burden Hours: EPA </w:t>
            </w:r>
          </w:p>
        </w:tc>
        <w:tc>
          <w:tcPr>
            <w:tcW w:w="1440" w:type="dxa"/>
            <w:vAlign w:val="bottom"/>
          </w:tcPr>
          <w:p w:rsidRPr="00E67B22" w:rsidR="00F930AC" w:rsidP="005947BE" w:rsidRDefault="00F930AC" w14:paraId="28FC94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E67B22">
              <w:rPr>
                <w:b/>
              </w:rPr>
              <w:t>(c) x (d)</w:t>
            </w:r>
          </w:p>
        </w:tc>
        <w:tc>
          <w:tcPr>
            <w:tcW w:w="1620" w:type="dxa"/>
            <w:vAlign w:val="bottom"/>
          </w:tcPr>
          <w:p w:rsidRPr="00E67B22" w:rsidR="00F930AC" w:rsidP="005947BE" w:rsidRDefault="00F930AC" w14:paraId="7CDE0E8B" w14:textId="6850AC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104.3</w:t>
            </w:r>
          </w:p>
        </w:tc>
        <w:tc>
          <w:tcPr>
            <w:tcW w:w="1530" w:type="dxa"/>
            <w:vAlign w:val="bottom"/>
          </w:tcPr>
          <w:p w:rsidRPr="0049197F" w:rsidR="00F930AC" w:rsidP="005947BE" w:rsidRDefault="0038264F" w14:paraId="6DE0DD95" w14:textId="79E46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17.5</w:t>
            </w:r>
          </w:p>
        </w:tc>
        <w:tc>
          <w:tcPr>
            <w:tcW w:w="1170" w:type="dxa"/>
          </w:tcPr>
          <w:p w:rsidR="005D1FD7" w:rsidP="0079111A" w:rsidRDefault="005D1FD7" w14:paraId="5A0232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F930AC" w:rsidP="0079111A" w:rsidRDefault="0038264F" w14:paraId="55B94416" w14:textId="1E1D02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18</w:t>
            </w:r>
          </w:p>
        </w:tc>
        <w:tc>
          <w:tcPr>
            <w:tcW w:w="990" w:type="dxa"/>
            <w:vAlign w:val="bottom"/>
          </w:tcPr>
          <w:p w:rsidRPr="00E67B22" w:rsidR="00F930AC" w:rsidP="0079111A" w:rsidRDefault="0038264F" w14:paraId="66A19D54" w14:textId="4AC16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139.8</w:t>
            </w:r>
          </w:p>
        </w:tc>
      </w:tr>
    </w:tbl>
    <w:p w:rsidRPr="00120533" w:rsidR="00E25D90" w:rsidP="00BA6D69" w:rsidRDefault="00E25D90" w14:paraId="2F58B60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C00000"/>
        </w:rPr>
      </w:pPr>
    </w:p>
    <w:p w:rsidR="00FE55E9" w:rsidP="00FE55E9" w:rsidRDefault="00FE55E9" w14:paraId="32646018" w14:textId="78F2F3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80C0D" w:rsidP="00FE55E9" w:rsidRDefault="0036757E" w14:paraId="714E35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5A5ECC" w:rsidR="00FE55E9">
        <w:t>Assuming a fully burdened hourly rate of $</w:t>
      </w:r>
      <w:r w:rsidR="00FE55E9">
        <w:t>76.50</w:t>
      </w:r>
      <w:r w:rsidRPr="005A5ECC" w:rsidR="00FE55E9">
        <w:t xml:space="preserve"> </w:t>
      </w:r>
      <w:r w:rsidR="00FE55E9">
        <w:rPr>
          <w:rStyle w:val="FootnoteReference"/>
        </w:rPr>
        <w:t>2</w:t>
      </w:r>
      <w:r w:rsidR="00FE55E9">
        <w:t xml:space="preserve"> </w:t>
      </w:r>
      <w:r w:rsidRPr="005A5ECC" w:rsidR="00FE55E9">
        <w:t>for each RENC, the cost to review</w:t>
      </w:r>
      <w:r w:rsidR="00080C0D">
        <w:t xml:space="preserve">: </w:t>
      </w:r>
    </w:p>
    <w:p w:rsidR="00080C0D" w:rsidP="00080C0D" w:rsidRDefault="00FE55E9" w14:paraId="62139FD1" w14:textId="25E6FA3B">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Semi</w:t>
      </w:r>
      <w:r w:rsidR="00FD4682">
        <w:t xml:space="preserve"> </w:t>
      </w:r>
      <w:r>
        <w:t xml:space="preserve">Annual Progress Report </w:t>
      </w:r>
      <w:r w:rsidRPr="005A5ECC">
        <w:t xml:space="preserve">forms is </w:t>
      </w:r>
      <w:r>
        <w:t>104.3 hrs.</w:t>
      </w:r>
      <w:r w:rsidRPr="005A5ECC">
        <w:t xml:space="preserve"> x $</w:t>
      </w:r>
      <w:r>
        <w:t>76.50</w:t>
      </w:r>
      <w:r w:rsidRPr="005A5ECC">
        <w:t xml:space="preserve"> = $</w:t>
      </w:r>
      <w:r>
        <w:t>7,978.95,</w:t>
      </w:r>
      <w:r w:rsidRPr="005A5ECC">
        <w:t xml:space="preserve"> </w:t>
      </w:r>
    </w:p>
    <w:p w:rsidR="00080C0D" w:rsidP="00080C0D" w:rsidRDefault="00FE55E9" w14:paraId="6F9282FB" w14:textId="77777777">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Quality Assurance Reporting Form is 17.5 hrs.</w:t>
      </w:r>
      <w:r w:rsidRPr="005A5ECC">
        <w:t xml:space="preserve"> x $</w:t>
      </w:r>
      <w:r>
        <w:t>76.50</w:t>
      </w:r>
      <w:r w:rsidRPr="005A5ECC">
        <w:t xml:space="preserve"> = $</w:t>
      </w:r>
      <w:r>
        <w:t xml:space="preserve">1,338.75, </w:t>
      </w:r>
      <w:r w:rsidR="00080C0D">
        <w:t>and</w:t>
      </w:r>
    </w:p>
    <w:p w:rsidR="00FE55E9" w:rsidP="00080C0D" w:rsidRDefault="00FE55E9" w14:paraId="4FC75182" w14:textId="787708A8">
      <w:pPr>
        <w:pStyle w:val="ListParagraph"/>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Final Progress Report is 18 hrs. x $76.50 = $1,377</w:t>
      </w:r>
      <w:r w:rsidRPr="005A5ECC">
        <w:t>, for a total of $</w:t>
      </w:r>
      <w:r>
        <w:t>10,694.7</w:t>
      </w:r>
      <w:r w:rsidRPr="005A5ECC">
        <w:t xml:space="preserve"> each year.</w:t>
      </w:r>
    </w:p>
    <w:p w:rsidR="00FE55E9" w:rsidP="00FE55E9" w:rsidRDefault="00FE55E9" w14:paraId="2AB79C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E55E9" w:rsidP="00FE55E9" w:rsidRDefault="00FE55E9" w14:paraId="2C8ECB6F" w14:textId="2EE03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Table 6 reflects the total Agency costs. </w:t>
      </w:r>
    </w:p>
    <w:p w:rsidR="00FE55E9" w:rsidP="00BA6D69" w:rsidRDefault="00FE55E9" w14:paraId="007CA71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Pr="00E2174E" w:rsidR="009B407B" w:rsidP="00BA6D69" w:rsidRDefault="00F468A1" w14:paraId="288D9F48" w14:textId="6108F66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E2174E">
        <w:rPr>
          <w:b/>
        </w:rPr>
        <w:t>Table</w:t>
      </w:r>
      <w:r w:rsidR="00D66093">
        <w:rPr>
          <w:b/>
        </w:rPr>
        <w:t xml:space="preserve"> </w:t>
      </w:r>
      <w:r w:rsidR="00FE55E9">
        <w:rPr>
          <w:b/>
        </w:rPr>
        <w:t xml:space="preserve">6 </w:t>
      </w:r>
      <w:r w:rsidR="00D66093">
        <w:rPr>
          <w:b/>
        </w:rPr>
        <w:t xml:space="preserve">- </w:t>
      </w:r>
      <w:r w:rsidRPr="00E2174E">
        <w:rPr>
          <w:b/>
        </w:rPr>
        <w:t xml:space="preserve">Agency </w:t>
      </w:r>
      <w:r w:rsidR="00D66093">
        <w:rPr>
          <w:b/>
        </w:rPr>
        <w:t>C</w:t>
      </w:r>
      <w:r w:rsidRPr="00E2174E">
        <w:rPr>
          <w:b/>
        </w:rPr>
        <w:t>ost</w:t>
      </w:r>
      <w:r w:rsidRPr="00E2174E" w:rsidR="00E2174E">
        <w:rPr>
          <w:b/>
        </w:rPr>
        <w:t>s</w:t>
      </w:r>
      <w:r w:rsidRPr="00E2174E">
        <w:rPr>
          <w: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73"/>
        <w:gridCol w:w="1956"/>
        <w:gridCol w:w="1496"/>
        <w:gridCol w:w="1369"/>
        <w:gridCol w:w="1956"/>
      </w:tblGrid>
      <w:tr w:rsidRPr="009B407B" w:rsidR="0067606D" w:rsidTr="005D1FD7" w14:paraId="772EF06E" w14:textId="77777777">
        <w:tc>
          <w:tcPr>
            <w:tcW w:w="2573" w:type="dxa"/>
            <w:shd w:val="clear" w:color="auto" w:fill="CCCCCC"/>
            <w:vAlign w:val="bottom"/>
          </w:tcPr>
          <w:p w:rsidRPr="009B407B" w:rsidR="0067606D" w:rsidP="00A112F5" w:rsidRDefault="0067606D" w14:paraId="5C244EF1"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9B407B">
              <w:rPr>
                <w:i/>
              </w:rPr>
              <w:t>EPA Costs</w:t>
            </w:r>
          </w:p>
        </w:tc>
        <w:tc>
          <w:tcPr>
            <w:tcW w:w="1956" w:type="dxa"/>
            <w:shd w:val="clear" w:color="auto" w:fill="CCCCCC"/>
            <w:vAlign w:val="bottom"/>
          </w:tcPr>
          <w:p w:rsidRPr="009B407B" w:rsidR="0067606D" w:rsidP="00A112F5" w:rsidRDefault="0067606D" w14:paraId="77F55FD2"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9B407B">
              <w:rPr>
                <w:i/>
              </w:rPr>
              <w:t>Semi-Annual</w:t>
            </w:r>
          </w:p>
        </w:tc>
        <w:tc>
          <w:tcPr>
            <w:tcW w:w="1496" w:type="dxa"/>
            <w:shd w:val="clear" w:color="auto" w:fill="CCCCCC"/>
            <w:vAlign w:val="bottom"/>
          </w:tcPr>
          <w:p w:rsidRPr="009B407B" w:rsidR="0067606D" w:rsidP="00A112F5" w:rsidRDefault="0067606D" w14:paraId="1B69E730"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9B407B">
              <w:rPr>
                <w:i/>
              </w:rPr>
              <w:t>Quality Assurance</w:t>
            </w:r>
          </w:p>
        </w:tc>
        <w:tc>
          <w:tcPr>
            <w:tcW w:w="1369" w:type="dxa"/>
            <w:shd w:val="clear" w:color="auto" w:fill="CCCCCC"/>
          </w:tcPr>
          <w:p w:rsidRPr="009B407B" w:rsidR="0067606D" w:rsidP="00A112F5" w:rsidRDefault="0067606D" w14:paraId="28C325B1" w14:textId="79D9D22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Pr>
                <w:i/>
              </w:rPr>
              <w:t>Final Progress Report</w:t>
            </w:r>
          </w:p>
        </w:tc>
        <w:tc>
          <w:tcPr>
            <w:tcW w:w="1956" w:type="dxa"/>
            <w:shd w:val="clear" w:color="auto" w:fill="CCCCCC"/>
            <w:vAlign w:val="bottom"/>
          </w:tcPr>
          <w:p w:rsidRPr="009B407B" w:rsidR="0067606D" w:rsidP="00A112F5" w:rsidRDefault="0067606D" w14:paraId="48D6E57E" w14:textId="3E99AE5E">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9B407B">
              <w:rPr>
                <w:i/>
              </w:rPr>
              <w:t>Total</w:t>
            </w:r>
          </w:p>
        </w:tc>
      </w:tr>
      <w:tr w:rsidRPr="009B407B" w:rsidR="0067606D" w:rsidTr="005D1FD7" w14:paraId="48F1F2C9" w14:textId="77777777">
        <w:tc>
          <w:tcPr>
            <w:tcW w:w="2573" w:type="dxa"/>
          </w:tcPr>
          <w:p w:rsidRPr="009B407B" w:rsidR="0067606D" w:rsidP="00A112F5" w:rsidRDefault="0067606D" w14:paraId="5ECAAE1C"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bookmarkStart w:name="_Hlk67162612" w:id="12"/>
            <w:r w:rsidRPr="009B407B">
              <w:t xml:space="preserve">Labor Cost </w:t>
            </w:r>
          </w:p>
        </w:tc>
        <w:tc>
          <w:tcPr>
            <w:tcW w:w="1956" w:type="dxa"/>
          </w:tcPr>
          <w:p w:rsidRPr="009B407B" w:rsidR="0067606D" w:rsidP="00A112F5" w:rsidRDefault="0067606D" w14:paraId="208655A5" w14:textId="31EE9C46">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5A5ECC">
              <w:t>$</w:t>
            </w:r>
            <w:r>
              <w:t>7</w:t>
            </w:r>
            <w:r w:rsidR="005D1FD7">
              <w:t>,</w:t>
            </w:r>
            <w:r>
              <w:t>978.95</w:t>
            </w:r>
            <w:r w:rsidRPr="005A5ECC">
              <w:t xml:space="preserve"> </w:t>
            </w:r>
          </w:p>
        </w:tc>
        <w:tc>
          <w:tcPr>
            <w:tcW w:w="1496" w:type="dxa"/>
          </w:tcPr>
          <w:p w:rsidRPr="009B407B" w:rsidR="0067606D" w:rsidP="00A112F5" w:rsidRDefault="0067606D" w14:paraId="5C905CE0" w14:textId="29EDF2E6">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5A5ECC">
              <w:t>$</w:t>
            </w:r>
            <w:r>
              <w:t>1</w:t>
            </w:r>
            <w:r w:rsidR="005D1FD7">
              <w:t>,</w:t>
            </w:r>
            <w:r>
              <w:t>338.75</w:t>
            </w:r>
          </w:p>
        </w:tc>
        <w:tc>
          <w:tcPr>
            <w:tcW w:w="1369" w:type="dxa"/>
          </w:tcPr>
          <w:p w:rsidR="0067606D" w:rsidP="00A112F5" w:rsidRDefault="0067606D" w14:paraId="79C281F4" w14:textId="288C2BF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$1</w:t>
            </w:r>
            <w:r w:rsidR="005D1FD7">
              <w:t>,</w:t>
            </w:r>
            <w:r>
              <w:t>377</w:t>
            </w:r>
          </w:p>
        </w:tc>
        <w:tc>
          <w:tcPr>
            <w:tcW w:w="1956" w:type="dxa"/>
          </w:tcPr>
          <w:p w:rsidRPr="009B407B" w:rsidR="0067606D" w:rsidP="00A112F5" w:rsidRDefault="0067606D" w14:paraId="2947F796" w14:textId="2480ADF1">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$10</w:t>
            </w:r>
            <w:r w:rsidR="005D1FD7">
              <w:t>,</w:t>
            </w:r>
            <w:r>
              <w:t>694.7</w:t>
            </w:r>
          </w:p>
        </w:tc>
      </w:tr>
      <w:bookmarkEnd w:id="12"/>
      <w:tr w:rsidRPr="009B407B" w:rsidR="0067606D" w:rsidTr="005D1FD7" w14:paraId="694AFF57" w14:textId="77777777">
        <w:tc>
          <w:tcPr>
            <w:tcW w:w="2573" w:type="dxa"/>
          </w:tcPr>
          <w:p w:rsidRPr="009B407B" w:rsidR="0067606D" w:rsidP="00A112F5" w:rsidRDefault="0067606D" w14:paraId="04FBD2D4"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Capital/Start-up Cost</w:t>
            </w:r>
          </w:p>
        </w:tc>
        <w:tc>
          <w:tcPr>
            <w:tcW w:w="1956" w:type="dxa"/>
          </w:tcPr>
          <w:p w:rsidRPr="009B407B" w:rsidR="0067606D" w:rsidP="00A112F5" w:rsidRDefault="0067606D" w14:paraId="4BD3BF45"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$0</w:t>
            </w:r>
          </w:p>
        </w:tc>
        <w:tc>
          <w:tcPr>
            <w:tcW w:w="1496" w:type="dxa"/>
          </w:tcPr>
          <w:p w:rsidRPr="009B407B" w:rsidR="0067606D" w:rsidP="00A112F5" w:rsidRDefault="0067606D" w14:paraId="155D9302"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$0</w:t>
            </w:r>
          </w:p>
        </w:tc>
        <w:tc>
          <w:tcPr>
            <w:tcW w:w="1369" w:type="dxa"/>
          </w:tcPr>
          <w:p w:rsidRPr="009B407B" w:rsidR="0067606D" w:rsidP="00A112F5" w:rsidRDefault="0067606D" w14:paraId="478BBFC6"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tc>
        <w:tc>
          <w:tcPr>
            <w:tcW w:w="1956" w:type="dxa"/>
          </w:tcPr>
          <w:p w:rsidRPr="009B407B" w:rsidR="0067606D" w:rsidP="00A112F5" w:rsidRDefault="0067606D" w14:paraId="41DD7E81" w14:textId="360060B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$0</w:t>
            </w:r>
          </w:p>
        </w:tc>
      </w:tr>
      <w:tr w:rsidRPr="009B407B" w:rsidR="0067606D" w:rsidTr="005D1FD7" w14:paraId="00CC3641" w14:textId="77777777">
        <w:tc>
          <w:tcPr>
            <w:tcW w:w="2573" w:type="dxa"/>
          </w:tcPr>
          <w:p w:rsidRPr="009B407B" w:rsidR="0067606D" w:rsidP="00A112F5" w:rsidRDefault="0067606D" w14:paraId="7D329CB2"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Operating and Maintenance</w:t>
            </w:r>
          </w:p>
        </w:tc>
        <w:tc>
          <w:tcPr>
            <w:tcW w:w="1956" w:type="dxa"/>
          </w:tcPr>
          <w:p w:rsidRPr="009B407B" w:rsidR="0067606D" w:rsidP="00A112F5" w:rsidRDefault="0067606D" w14:paraId="19B24EAE"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$0</w:t>
            </w:r>
          </w:p>
        </w:tc>
        <w:tc>
          <w:tcPr>
            <w:tcW w:w="1496" w:type="dxa"/>
          </w:tcPr>
          <w:p w:rsidRPr="009B407B" w:rsidR="0067606D" w:rsidP="00A112F5" w:rsidRDefault="0067606D" w14:paraId="68811FFB"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$0</w:t>
            </w:r>
          </w:p>
        </w:tc>
        <w:tc>
          <w:tcPr>
            <w:tcW w:w="1369" w:type="dxa"/>
          </w:tcPr>
          <w:p w:rsidRPr="009B407B" w:rsidR="0067606D" w:rsidP="00A112F5" w:rsidRDefault="0067606D" w14:paraId="21DD4D56"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tc>
        <w:tc>
          <w:tcPr>
            <w:tcW w:w="1956" w:type="dxa"/>
          </w:tcPr>
          <w:p w:rsidRPr="009B407B" w:rsidR="0067606D" w:rsidP="00A112F5" w:rsidRDefault="0067606D" w14:paraId="3CB4D7EB" w14:textId="5748E09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9B407B">
              <w:t>$0</w:t>
            </w:r>
          </w:p>
        </w:tc>
      </w:tr>
      <w:tr w:rsidRPr="009B407B" w:rsidR="0067606D" w:rsidTr="005D1FD7" w14:paraId="602C4DE0" w14:textId="77777777">
        <w:tc>
          <w:tcPr>
            <w:tcW w:w="2573" w:type="dxa"/>
            <w:shd w:val="clear" w:color="auto" w:fill="D9D9D9"/>
          </w:tcPr>
          <w:p w:rsidRPr="009B407B" w:rsidR="0067606D" w:rsidP="00A112F5" w:rsidRDefault="0067606D" w14:paraId="01FF1A4A"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i/>
              </w:rPr>
            </w:pPr>
            <w:r w:rsidRPr="009B407B">
              <w:rPr>
                <w:b/>
                <w:i/>
              </w:rPr>
              <w:t>Total Costs</w:t>
            </w:r>
          </w:p>
        </w:tc>
        <w:tc>
          <w:tcPr>
            <w:tcW w:w="1956" w:type="dxa"/>
            <w:shd w:val="clear" w:color="auto" w:fill="D9D9D9"/>
          </w:tcPr>
          <w:p w:rsidRPr="00C66826" w:rsidR="0067606D" w:rsidP="009B407B" w:rsidRDefault="0067606D" w14:paraId="32A046C6" w14:textId="660904D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C66826">
              <w:rPr>
                <w:b/>
              </w:rPr>
              <w:t>$</w:t>
            </w:r>
            <w:r w:rsidR="0047711F">
              <w:rPr>
                <w:b/>
              </w:rPr>
              <w:t>7</w:t>
            </w:r>
            <w:r w:rsidR="005D1FD7">
              <w:rPr>
                <w:b/>
              </w:rPr>
              <w:t>,</w:t>
            </w:r>
            <w:r w:rsidR="0047711F">
              <w:rPr>
                <w:b/>
              </w:rPr>
              <w:t>978.95</w:t>
            </w:r>
          </w:p>
        </w:tc>
        <w:tc>
          <w:tcPr>
            <w:tcW w:w="1496" w:type="dxa"/>
            <w:shd w:val="clear" w:color="auto" w:fill="D9D9D9"/>
          </w:tcPr>
          <w:p w:rsidRPr="00C66826" w:rsidR="0067606D" w:rsidP="009B407B" w:rsidRDefault="0067606D" w14:paraId="49C7F51F" w14:textId="030B1542">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C66826">
              <w:rPr>
                <w:b/>
              </w:rPr>
              <w:t>$</w:t>
            </w:r>
            <w:r w:rsidR="0047711F">
              <w:rPr>
                <w:b/>
              </w:rPr>
              <w:t>1</w:t>
            </w:r>
            <w:r w:rsidR="005D1FD7">
              <w:rPr>
                <w:b/>
              </w:rPr>
              <w:t>,</w:t>
            </w:r>
            <w:r w:rsidR="0047711F">
              <w:rPr>
                <w:b/>
              </w:rPr>
              <w:t>338.75</w:t>
            </w:r>
          </w:p>
        </w:tc>
        <w:tc>
          <w:tcPr>
            <w:tcW w:w="1369" w:type="dxa"/>
            <w:shd w:val="clear" w:color="auto" w:fill="D9D9D9"/>
          </w:tcPr>
          <w:p w:rsidRPr="00C66826" w:rsidR="0067606D" w:rsidP="009B407B" w:rsidRDefault="0047711F" w14:paraId="2F548959" w14:textId="5B3B291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Pr>
                <w:b/>
              </w:rPr>
              <w:t>$1</w:t>
            </w:r>
            <w:r w:rsidR="005D1FD7">
              <w:rPr>
                <w:b/>
              </w:rPr>
              <w:t>,</w:t>
            </w:r>
            <w:r>
              <w:rPr>
                <w:b/>
              </w:rPr>
              <w:t>377</w:t>
            </w:r>
          </w:p>
        </w:tc>
        <w:tc>
          <w:tcPr>
            <w:tcW w:w="1956" w:type="dxa"/>
            <w:shd w:val="clear" w:color="auto" w:fill="D9D9D9"/>
          </w:tcPr>
          <w:p w:rsidRPr="00C66826" w:rsidR="0067606D" w:rsidP="009B407B" w:rsidRDefault="0047711F" w14:paraId="171372EB" w14:textId="07A4465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Pr>
                <w:b/>
              </w:rPr>
              <w:t>$</w:t>
            </w:r>
            <w:r w:rsidR="0067606D">
              <w:rPr>
                <w:b/>
              </w:rPr>
              <w:t>10</w:t>
            </w:r>
            <w:r w:rsidR="005D1FD7">
              <w:rPr>
                <w:b/>
              </w:rPr>
              <w:t>,</w:t>
            </w:r>
            <w:r>
              <w:rPr>
                <w:b/>
              </w:rPr>
              <w:t>6</w:t>
            </w:r>
            <w:r w:rsidR="003D77FC">
              <w:rPr>
                <w:b/>
              </w:rPr>
              <w:t>9</w:t>
            </w:r>
            <w:r>
              <w:rPr>
                <w:b/>
              </w:rPr>
              <w:t>4.97</w:t>
            </w:r>
          </w:p>
        </w:tc>
      </w:tr>
      <w:bookmarkEnd w:id="11"/>
    </w:tbl>
    <w:p w:rsidR="00FE55E9" w:rsidRDefault="00FE55E9" w14:paraId="300B036D" w14:textId="1D9F93AE">
      <w:pPr>
        <w:rPr>
          <w:b/>
          <w:color w:val="00B0F0"/>
        </w:rPr>
      </w:pPr>
    </w:p>
    <w:p w:rsidR="00FE55E9" w:rsidRDefault="00FE55E9" w14:paraId="2D47D180" w14:textId="373CDB44">
      <w:pPr>
        <w:rPr>
          <w:b/>
          <w:color w:val="00B0F0"/>
        </w:rPr>
      </w:pPr>
    </w:p>
    <w:p w:rsidRPr="00FE55E9" w:rsidR="00FE55E9" w:rsidRDefault="00FE55E9" w14:paraId="34B48949" w14:textId="244F6E3C">
      <w:pPr>
        <w:rPr>
          <w:b/>
        </w:rPr>
      </w:pPr>
      <w:r w:rsidRPr="00FE55E9">
        <w:rPr>
          <w:b/>
        </w:rPr>
        <w:t>----------------------------------------------------------</w:t>
      </w:r>
    </w:p>
    <w:p w:rsidRPr="00FE55E9" w:rsidR="00FE55E9" w:rsidP="00FE55E9" w:rsidRDefault="00FE55E9" w14:paraId="743AEA5E" w14:textId="77777777">
      <w:pPr>
        <w:rPr>
          <w:bCs/>
          <w:sz w:val="20"/>
          <w:szCs w:val="20"/>
        </w:rPr>
      </w:pPr>
      <w:r w:rsidRPr="00FE55E9">
        <w:rPr>
          <w:bCs/>
          <w:sz w:val="20"/>
          <w:szCs w:val="20"/>
          <w:vertAlign w:val="superscript"/>
        </w:rPr>
        <w:t xml:space="preserve">2 </w:t>
      </w:r>
      <w:r w:rsidRPr="00FE55E9">
        <w:rPr>
          <w:bCs/>
          <w:sz w:val="20"/>
          <w:szCs w:val="20"/>
        </w:rPr>
        <w:t>The 2018 average hourly rate for a General Schedule (GS) 13, Step 1 for U.S. Locality Pay of the metro areas for the RENC’s ($47.815) was used to estimate burden costs for EPA’s RENCs.  This rate was also fully burdened (x 60 %), yielding a wage rate of $76.504.</w:t>
      </w:r>
    </w:p>
    <w:p w:rsidR="00BA6D69" w:rsidP="00FE55E9" w:rsidRDefault="00FE55E9" w14:paraId="38EF1150" w14:textId="48DCD0D2">
      <w:r w:rsidRPr="00FE55E9">
        <w:rPr>
          <w:bCs/>
          <w:sz w:val="20"/>
          <w:szCs w:val="20"/>
        </w:rPr>
        <w:br w:type="page"/>
      </w:r>
      <w:r w:rsidRPr="00DB3A6F" w:rsidR="00232CE3">
        <w:rPr>
          <w:color w:val="00B0F0"/>
        </w:rPr>
        <w:lastRenderedPageBreak/>
        <w:t xml:space="preserve"> </w:t>
      </w:r>
      <w:r w:rsidR="00FD4682">
        <w:rPr>
          <w:color w:val="00B0F0"/>
        </w:rPr>
        <w:tab/>
      </w:r>
      <w:r w:rsidRPr="0063651E" w:rsidR="00BA6D69">
        <w:t xml:space="preserve">(e) BOTTOM LINE </w:t>
      </w:r>
      <w:r w:rsidR="00FD4682">
        <w:t xml:space="preserve">SUMMARY </w:t>
      </w:r>
      <w:r w:rsidRPr="0063651E" w:rsidR="00BA6D69">
        <w:t>BURDEN HOURS AND COSTS</w:t>
      </w:r>
    </w:p>
    <w:p w:rsidR="00FD4682" w:rsidP="00FE55E9" w:rsidRDefault="00FD4682" w14:paraId="092D0F69" w14:textId="5A43D7F0">
      <w:pPr>
        <w:rPr>
          <w:bCs/>
          <w:sz w:val="20"/>
          <w:szCs w:val="20"/>
        </w:rPr>
      </w:pPr>
    </w:p>
    <w:p w:rsidR="00FD4682" w:rsidP="00FE55E9" w:rsidRDefault="00FD4682" w14:paraId="77BFEF3F" w14:textId="680EBD79">
      <w:pPr>
        <w:rPr>
          <w:bCs/>
        </w:rPr>
      </w:pPr>
      <w:r w:rsidRPr="00FD4682">
        <w:rPr>
          <w:bCs/>
        </w:rPr>
        <w:t>The total respondent Bur</w:t>
      </w:r>
      <w:r>
        <w:rPr>
          <w:bCs/>
        </w:rPr>
        <w:t>den and Costs discussed above are summarized in Table 7.</w:t>
      </w:r>
    </w:p>
    <w:p w:rsidR="00FD4682" w:rsidP="00FE55E9" w:rsidRDefault="00FD4682" w14:paraId="1887A7B9" w14:textId="273A12BD">
      <w:pPr>
        <w:rPr>
          <w:bCs/>
        </w:rPr>
      </w:pPr>
    </w:p>
    <w:p w:rsidRPr="00FD4682" w:rsidR="00FD4682" w:rsidP="00FE55E9" w:rsidRDefault="00FD4682" w14:paraId="79EDAEC7" w14:textId="150E8578">
      <w:pPr>
        <w:rPr>
          <w:bCs/>
        </w:rPr>
      </w:pPr>
      <w:r>
        <w:rPr>
          <w:bCs/>
        </w:rPr>
        <w:t xml:space="preserve">The total </w:t>
      </w:r>
      <w:r w:rsidR="00F97E03">
        <w:rPr>
          <w:bCs/>
        </w:rPr>
        <w:t>Agency Burden and Costs discussed above are summarized in Table 8.</w:t>
      </w:r>
    </w:p>
    <w:p w:rsidRPr="00FE55E9" w:rsidR="00FD4682" w:rsidP="00FE55E9" w:rsidRDefault="00FD4682" w14:paraId="5C700BD4" w14:textId="77777777">
      <w:pPr>
        <w:rPr>
          <w:bCs/>
          <w:sz w:val="20"/>
          <w:szCs w:val="20"/>
        </w:rPr>
      </w:pPr>
    </w:p>
    <w:p w:rsidRPr="00DB3A6F" w:rsidR="00BA6D69" w:rsidP="00BA6D69" w:rsidRDefault="00BA6D69" w14:paraId="4677EED9"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rPr>
          <w:color w:val="00B0F0"/>
        </w:rPr>
      </w:pPr>
    </w:p>
    <w:p w:rsidRPr="0063651E" w:rsidR="00BA6D69" w:rsidP="00BA6D69" w:rsidRDefault="00F40F4B" w14:paraId="0212CAEF" w14:textId="20875AA0">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63651E">
        <w:rPr>
          <w:b/>
        </w:rPr>
        <w:t>Table 7 – Summary</w:t>
      </w:r>
      <w:r w:rsidR="00112E88">
        <w:rPr>
          <w:b/>
        </w:rPr>
        <w:t xml:space="preserve"> Respondent</w:t>
      </w:r>
      <w:r w:rsidRPr="0063651E">
        <w:rPr>
          <w:b/>
        </w:rPr>
        <w:t xml:space="preserve"> Burden Hours and Costs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5"/>
        <w:gridCol w:w="1831"/>
        <w:gridCol w:w="1716"/>
        <w:gridCol w:w="1422"/>
        <w:gridCol w:w="2136"/>
      </w:tblGrid>
      <w:tr w:rsidRPr="00DB3A6F" w:rsidR="003D77FC" w:rsidTr="005D1FD7" w14:paraId="0DB32A09" w14:textId="77777777">
        <w:tc>
          <w:tcPr>
            <w:tcW w:w="2245" w:type="dxa"/>
            <w:shd w:val="clear" w:color="auto" w:fill="CCCCCC"/>
            <w:vAlign w:val="bottom"/>
          </w:tcPr>
          <w:p w:rsidRPr="00DB3A6F" w:rsidR="003D77FC" w:rsidP="003032B4" w:rsidRDefault="003D77FC" w14:paraId="662DCC13" w14:textId="6A1CBA0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color w:val="00B0F0"/>
              </w:rPr>
            </w:pPr>
          </w:p>
        </w:tc>
        <w:tc>
          <w:tcPr>
            <w:tcW w:w="1831" w:type="dxa"/>
            <w:shd w:val="clear" w:color="auto" w:fill="CCCCCC"/>
            <w:vAlign w:val="bottom"/>
          </w:tcPr>
          <w:p w:rsidRPr="00ED1FDB" w:rsidR="003D77FC" w:rsidP="00ED1FDB" w:rsidRDefault="003D77FC" w14:paraId="05FAE23A" w14:textId="4841850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center"/>
              <w:rPr>
                <w:b/>
                <w:bCs/>
                <w:i/>
              </w:rPr>
            </w:pPr>
            <w:r w:rsidRPr="00ED1FDB">
              <w:rPr>
                <w:b/>
                <w:bCs/>
                <w:i/>
              </w:rPr>
              <w:t>Semi-Annual</w:t>
            </w:r>
          </w:p>
        </w:tc>
        <w:tc>
          <w:tcPr>
            <w:tcW w:w="1716" w:type="dxa"/>
            <w:shd w:val="clear" w:color="auto" w:fill="CCCCCC"/>
            <w:vAlign w:val="bottom"/>
          </w:tcPr>
          <w:p w:rsidRPr="00ED1FDB" w:rsidR="003D77FC" w:rsidP="00ED1FDB" w:rsidRDefault="003D77FC" w14:paraId="04C57F13"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center"/>
              <w:rPr>
                <w:b/>
                <w:bCs/>
                <w:i/>
              </w:rPr>
            </w:pPr>
            <w:r w:rsidRPr="00ED1FDB">
              <w:rPr>
                <w:b/>
                <w:bCs/>
                <w:i/>
              </w:rPr>
              <w:t>Quality Assurance</w:t>
            </w:r>
          </w:p>
        </w:tc>
        <w:tc>
          <w:tcPr>
            <w:tcW w:w="1422" w:type="dxa"/>
            <w:shd w:val="clear" w:color="auto" w:fill="CCCCCC"/>
          </w:tcPr>
          <w:p w:rsidRPr="00ED1FDB" w:rsidR="003D77FC" w:rsidP="00ED1FDB" w:rsidRDefault="003D77FC" w14:paraId="2A20760F" w14:textId="2492D44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center"/>
              <w:rPr>
                <w:b/>
                <w:bCs/>
                <w:i/>
              </w:rPr>
            </w:pPr>
            <w:r w:rsidRPr="00ED1FDB">
              <w:rPr>
                <w:b/>
                <w:bCs/>
                <w:i/>
              </w:rPr>
              <w:t>Final Progress Report</w:t>
            </w:r>
          </w:p>
        </w:tc>
        <w:tc>
          <w:tcPr>
            <w:tcW w:w="2136" w:type="dxa"/>
            <w:shd w:val="clear" w:color="auto" w:fill="CCCCCC"/>
            <w:vAlign w:val="bottom"/>
          </w:tcPr>
          <w:p w:rsidRPr="00ED1FDB" w:rsidR="003D77FC" w:rsidP="00ED1FDB" w:rsidRDefault="003D77FC" w14:paraId="27A8B1A1" w14:textId="56D0FA5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center"/>
              <w:rPr>
                <w:b/>
                <w:bCs/>
                <w:i/>
              </w:rPr>
            </w:pPr>
            <w:r w:rsidRPr="00ED1FDB">
              <w:rPr>
                <w:b/>
                <w:bCs/>
                <w:i/>
              </w:rPr>
              <w:t>Total</w:t>
            </w:r>
          </w:p>
        </w:tc>
      </w:tr>
      <w:tr w:rsidRPr="00DB3A6F" w:rsidR="003D77FC" w:rsidTr="005D1FD7" w14:paraId="6F9E7D59" w14:textId="77777777">
        <w:tc>
          <w:tcPr>
            <w:tcW w:w="2245" w:type="dxa"/>
          </w:tcPr>
          <w:p w:rsidRPr="00015741" w:rsidR="003D77FC" w:rsidP="003032B4" w:rsidRDefault="003D77FC" w14:paraId="2D6045C1" w14:textId="29F2569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15741">
              <w:t>Total Annual Responses</w:t>
            </w:r>
          </w:p>
        </w:tc>
        <w:tc>
          <w:tcPr>
            <w:tcW w:w="1831" w:type="dxa"/>
          </w:tcPr>
          <w:p w:rsidRPr="00015741" w:rsidR="003D77FC" w:rsidP="003032B4" w:rsidRDefault="003D77FC" w14:paraId="6160D693" w14:textId="09BD903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298</w:t>
            </w:r>
          </w:p>
        </w:tc>
        <w:tc>
          <w:tcPr>
            <w:tcW w:w="1716" w:type="dxa"/>
          </w:tcPr>
          <w:p w:rsidRPr="00015741" w:rsidR="003D77FC" w:rsidP="003032B4" w:rsidRDefault="003D77FC" w14:paraId="5B14C0F5" w14:textId="48536740">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35</w:t>
            </w:r>
          </w:p>
        </w:tc>
        <w:tc>
          <w:tcPr>
            <w:tcW w:w="1422" w:type="dxa"/>
          </w:tcPr>
          <w:p w:rsidRPr="00015741" w:rsidR="003D77FC" w:rsidP="003032B4" w:rsidRDefault="003D77FC" w14:paraId="3CD43DE2" w14:textId="3F13E8B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36</w:t>
            </w:r>
          </w:p>
        </w:tc>
        <w:tc>
          <w:tcPr>
            <w:tcW w:w="2136" w:type="dxa"/>
          </w:tcPr>
          <w:p w:rsidRPr="00015741" w:rsidR="003D77FC" w:rsidP="003032B4" w:rsidRDefault="00ED1FDB" w14:paraId="463B6500" w14:textId="7C843006">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369</w:t>
            </w:r>
            <w:r w:rsidRPr="00015741" w:rsidR="003D77FC">
              <w:rPr>
                <w:vertAlign w:val="superscript"/>
              </w:rPr>
              <w:t>*</w:t>
            </w:r>
          </w:p>
        </w:tc>
      </w:tr>
      <w:tr w:rsidRPr="00DB3A6F" w:rsidR="003D77FC" w:rsidTr="005D1FD7" w14:paraId="34EBF74B" w14:textId="77777777">
        <w:tc>
          <w:tcPr>
            <w:tcW w:w="2245" w:type="dxa"/>
          </w:tcPr>
          <w:p w:rsidRPr="00015741" w:rsidR="003D77FC" w:rsidP="003032B4" w:rsidRDefault="003D77FC" w14:paraId="2E3BC30F" w14:textId="2D23306C">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15741">
              <w:t>Total Burden Hours for Respondents</w:t>
            </w:r>
          </w:p>
        </w:tc>
        <w:tc>
          <w:tcPr>
            <w:tcW w:w="1831" w:type="dxa"/>
          </w:tcPr>
          <w:p w:rsidRPr="00015741" w:rsidR="003D77FC" w:rsidP="003032B4" w:rsidRDefault="003D77FC" w14:paraId="45B6D683" w14:textId="2A748020">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357.6</w:t>
            </w:r>
            <w:r w:rsidRPr="00015741">
              <w:t xml:space="preserve"> hours</w:t>
            </w:r>
          </w:p>
        </w:tc>
        <w:tc>
          <w:tcPr>
            <w:tcW w:w="1716" w:type="dxa"/>
          </w:tcPr>
          <w:p w:rsidRPr="00015741" w:rsidR="003D77FC" w:rsidP="003032B4" w:rsidRDefault="003D77FC" w14:paraId="1250450C" w14:textId="65EFE40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91</w:t>
            </w:r>
            <w:r w:rsidRPr="00015741">
              <w:t xml:space="preserve"> hours</w:t>
            </w:r>
          </w:p>
        </w:tc>
        <w:tc>
          <w:tcPr>
            <w:tcW w:w="1422" w:type="dxa"/>
          </w:tcPr>
          <w:p w:rsidR="003D77FC" w:rsidP="003032B4" w:rsidRDefault="003D77FC" w14:paraId="5DC19499" w14:textId="0CC29B36">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59.4</w:t>
            </w:r>
          </w:p>
        </w:tc>
        <w:tc>
          <w:tcPr>
            <w:tcW w:w="2136" w:type="dxa"/>
          </w:tcPr>
          <w:p w:rsidRPr="00015741" w:rsidR="003D77FC" w:rsidP="003032B4" w:rsidRDefault="00ED1FDB" w14:paraId="2C758E97" w14:textId="6E767BDD">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508</w:t>
            </w:r>
            <w:r w:rsidRPr="00015741">
              <w:t xml:space="preserve"> </w:t>
            </w:r>
            <w:r w:rsidRPr="00015741" w:rsidR="003D77FC">
              <w:t>hours</w:t>
            </w:r>
          </w:p>
        </w:tc>
      </w:tr>
      <w:tr w:rsidRPr="00DB3A6F" w:rsidR="00ED1FDB" w:rsidTr="005D1FD7" w14:paraId="07749E54" w14:textId="77777777">
        <w:tc>
          <w:tcPr>
            <w:tcW w:w="2245" w:type="dxa"/>
          </w:tcPr>
          <w:p w:rsidRPr="00ED1FDB" w:rsidR="00ED1FDB" w:rsidP="00ED1FDB" w:rsidRDefault="00ED1FDB" w14:paraId="01C7102A" w14:textId="757AFF06">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ED1FDB">
              <w:t>Total Respondent Labor Cost</w:t>
            </w:r>
          </w:p>
        </w:tc>
        <w:tc>
          <w:tcPr>
            <w:tcW w:w="1831" w:type="dxa"/>
          </w:tcPr>
          <w:p w:rsidRPr="00ED1FDB" w:rsidR="00ED1FDB" w:rsidP="00ED1FDB" w:rsidRDefault="00ED1FDB" w14:paraId="4CC3BD46" w14:textId="527AB12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ED1FDB">
              <w:t>$18,</w:t>
            </w:r>
            <w:r w:rsidR="00A03209">
              <w:t>806.78</w:t>
            </w:r>
          </w:p>
        </w:tc>
        <w:tc>
          <w:tcPr>
            <w:tcW w:w="1716" w:type="dxa"/>
          </w:tcPr>
          <w:p w:rsidRPr="00ED1FDB" w:rsidR="00ED1FDB" w:rsidP="00ED1FDB" w:rsidRDefault="00ED1FDB" w14:paraId="0C41121C" w14:textId="47EB770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ED1FDB">
              <w:t>$2,2</w:t>
            </w:r>
            <w:r w:rsidR="00A03209">
              <w:t>08.85</w:t>
            </w:r>
          </w:p>
        </w:tc>
        <w:tc>
          <w:tcPr>
            <w:tcW w:w="1422" w:type="dxa"/>
          </w:tcPr>
          <w:p w:rsidRPr="00ED1FDB" w:rsidR="00ED1FDB" w:rsidP="00ED1FDB" w:rsidRDefault="00ED1FDB" w14:paraId="3A185DB5" w14:textId="3F5D889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ED1FDB">
              <w:t>$</w:t>
            </w:r>
            <w:r w:rsidR="00A03209">
              <w:t>2,271.96</w:t>
            </w:r>
          </w:p>
        </w:tc>
        <w:tc>
          <w:tcPr>
            <w:tcW w:w="2136" w:type="dxa"/>
          </w:tcPr>
          <w:p w:rsidRPr="00ED1FDB" w:rsidR="00ED1FDB" w:rsidP="00ED1FDB" w:rsidRDefault="00ED1FDB" w14:paraId="376060F6" w14:textId="2F42B238">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ED1FDB">
              <w:t>$23,</w:t>
            </w:r>
            <w:r w:rsidR="00A03209">
              <w:t>287.59</w:t>
            </w:r>
          </w:p>
        </w:tc>
      </w:tr>
      <w:tr w:rsidRPr="00112E88" w:rsidR="00ED1FDB" w:rsidTr="005D1FD7" w14:paraId="74CBF86B" w14:textId="77777777">
        <w:tc>
          <w:tcPr>
            <w:tcW w:w="2245" w:type="dxa"/>
            <w:shd w:val="clear" w:color="auto" w:fill="FFFFFF" w:themeFill="background1"/>
          </w:tcPr>
          <w:p w:rsidRPr="00C66826" w:rsidR="00ED1FDB" w:rsidP="00ED1FDB" w:rsidRDefault="00ED1FDB" w14:paraId="0254527C" w14:textId="47EA1C92">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Total Respondent Non-Labor Cost</w:t>
            </w:r>
          </w:p>
        </w:tc>
        <w:tc>
          <w:tcPr>
            <w:tcW w:w="1831" w:type="dxa"/>
            <w:shd w:val="clear" w:color="auto" w:fill="FFFFFF" w:themeFill="background1"/>
          </w:tcPr>
          <w:p w:rsidRPr="00C66826" w:rsidR="00ED1FDB" w:rsidP="00ED1FDB" w:rsidRDefault="00ED1FDB" w14:paraId="77ED1571" w14:textId="62E4F31C">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716" w:type="dxa"/>
            <w:shd w:val="clear" w:color="auto" w:fill="FFFFFF" w:themeFill="background1"/>
          </w:tcPr>
          <w:p w:rsidRPr="00C66826" w:rsidR="00ED1FDB" w:rsidP="00ED1FDB" w:rsidRDefault="00ED1FDB" w14:paraId="5D5C8B4F" w14:textId="5863A31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422" w:type="dxa"/>
            <w:shd w:val="clear" w:color="auto" w:fill="FFFFFF" w:themeFill="background1"/>
          </w:tcPr>
          <w:p w:rsidR="00ED1FDB" w:rsidP="00ED1FDB" w:rsidRDefault="00ED1FDB" w14:paraId="6557A828"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tc>
        <w:tc>
          <w:tcPr>
            <w:tcW w:w="2136" w:type="dxa"/>
            <w:shd w:val="clear" w:color="auto" w:fill="FFFFFF" w:themeFill="background1"/>
          </w:tcPr>
          <w:p w:rsidRPr="00C66826" w:rsidR="00ED1FDB" w:rsidP="00ED1FDB" w:rsidRDefault="00ED1FDB" w14:paraId="42593ED3" w14:textId="53CFC8D0">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r>
      <w:tr w:rsidRPr="00DB3A6F" w:rsidR="00ED1FDB" w:rsidTr="005D1FD7" w14:paraId="7BE76854" w14:textId="77777777">
        <w:tc>
          <w:tcPr>
            <w:tcW w:w="2245" w:type="dxa"/>
            <w:shd w:val="clear" w:color="auto" w:fill="D9D9D9"/>
          </w:tcPr>
          <w:p w:rsidRPr="00015741" w:rsidR="00ED1FDB" w:rsidP="00ED1FDB" w:rsidRDefault="00ED1FDB" w14:paraId="782AC464" w14:textId="488EE30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i/>
              </w:rPr>
            </w:pPr>
            <w:bookmarkStart w:name="_Hlk67160071" w:id="13"/>
            <w:r w:rsidRPr="00015741">
              <w:rPr>
                <w:b/>
                <w:i/>
              </w:rPr>
              <w:t>Total</w:t>
            </w:r>
            <w:r>
              <w:rPr>
                <w:b/>
                <w:i/>
              </w:rPr>
              <w:t xml:space="preserve"> Respondent</w:t>
            </w:r>
            <w:r w:rsidRPr="00015741">
              <w:rPr>
                <w:b/>
                <w:i/>
              </w:rPr>
              <w:t xml:space="preserve"> Costs</w:t>
            </w:r>
          </w:p>
        </w:tc>
        <w:tc>
          <w:tcPr>
            <w:tcW w:w="1831" w:type="dxa"/>
            <w:shd w:val="clear" w:color="auto" w:fill="D9D9D9"/>
          </w:tcPr>
          <w:p w:rsidRPr="00015741" w:rsidR="00ED1FDB" w:rsidP="00ED1FDB" w:rsidRDefault="00ED1FDB" w14:paraId="1BBD2AB0" w14:textId="2CBBE44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015741">
              <w:rPr>
                <w:b/>
              </w:rPr>
              <w:t>$</w:t>
            </w:r>
            <w:r w:rsidRPr="00ED1FDB">
              <w:rPr>
                <w:b/>
              </w:rPr>
              <w:t>18</w:t>
            </w:r>
            <w:r>
              <w:rPr>
                <w:b/>
              </w:rPr>
              <w:t>,</w:t>
            </w:r>
            <w:r w:rsidR="00A03209">
              <w:rPr>
                <w:b/>
              </w:rPr>
              <w:t>806.78</w:t>
            </w:r>
          </w:p>
        </w:tc>
        <w:tc>
          <w:tcPr>
            <w:tcW w:w="1716" w:type="dxa"/>
            <w:shd w:val="clear" w:color="auto" w:fill="D9D9D9"/>
          </w:tcPr>
          <w:p w:rsidRPr="00015741" w:rsidR="00ED1FDB" w:rsidP="00ED1FDB" w:rsidRDefault="00ED1FDB" w14:paraId="431B6D3E" w14:textId="3F31AB7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015741">
              <w:rPr>
                <w:b/>
              </w:rPr>
              <w:t>$</w:t>
            </w:r>
            <w:r w:rsidRPr="00ED1FDB">
              <w:rPr>
                <w:b/>
              </w:rPr>
              <w:t>2</w:t>
            </w:r>
            <w:r>
              <w:rPr>
                <w:b/>
              </w:rPr>
              <w:t>,</w:t>
            </w:r>
            <w:r w:rsidRPr="00ED1FDB">
              <w:rPr>
                <w:b/>
              </w:rPr>
              <w:t>2</w:t>
            </w:r>
            <w:r w:rsidR="00A03209">
              <w:rPr>
                <w:b/>
              </w:rPr>
              <w:t>08.85</w:t>
            </w:r>
          </w:p>
        </w:tc>
        <w:tc>
          <w:tcPr>
            <w:tcW w:w="1422" w:type="dxa"/>
            <w:shd w:val="clear" w:color="auto" w:fill="D9D9D9"/>
          </w:tcPr>
          <w:p w:rsidRPr="00015741" w:rsidR="00ED1FDB" w:rsidP="00ED1FDB" w:rsidRDefault="00ED1FDB" w14:paraId="5E48C966" w14:textId="0802C8A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rPr>
                <w:b/>
              </w:rPr>
            </w:pPr>
            <w:r w:rsidRPr="003D77FC">
              <w:rPr>
                <w:b/>
              </w:rPr>
              <w:t>$2</w:t>
            </w:r>
            <w:r w:rsidR="00A03209">
              <w:rPr>
                <w:b/>
              </w:rPr>
              <w:t>,271.96</w:t>
            </w:r>
          </w:p>
        </w:tc>
        <w:tc>
          <w:tcPr>
            <w:tcW w:w="2136" w:type="dxa"/>
            <w:shd w:val="clear" w:color="auto" w:fill="D9D9D9"/>
          </w:tcPr>
          <w:p w:rsidRPr="000E44C6" w:rsidR="000E44C6" w:rsidP="000E44C6" w:rsidRDefault="00ED1FDB" w14:paraId="01F0E5DE" w14:textId="6F8C0A76">
            <w:pPr>
              <w:tabs>
                <w:tab w:val="left" w:pos="540"/>
              </w:tabs>
              <w:jc w:val="both"/>
              <w:rPr>
                <w:b/>
              </w:rPr>
            </w:pPr>
            <w:r w:rsidRPr="00015741">
              <w:rPr>
                <w:b/>
              </w:rPr>
              <w:t>$</w:t>
            </w:r>
            <w:r w:rsidRPr="000E44C6" w:rsidR="000E44C6">
              <w:rPr>
                <w:b/>
              </w:rPr>
              <w:t>23</w:t>
            </w:r>
            <w:r w:rsidR="00A03209">
              <w:rPr>
                <w:b/>
              </w:rPr>
              <w:t>,287.59</w:t>
            </w:r>
          </w:p>
          <w:p w:rsidRPr="00015741" w:rsidR="00ED1FDB" w:rsidP="00ED1FDB" w:rsidRDefault="00ED1FDB" w14:paraId="0E3AAC0F" w14:textId="11AF236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jc w:val="both"/>
              <w:rPr>
                <w:b/>
              </w:rPr>
            </w:pPr>
          </w:p>
        </w:tc>
      </w:tr>
      <w:bookmarkEnd w:id="13"/>
    </w:tbl>
    <w:p w:rsidRPr="00DB3A6F" w:rsidR="00FD5B97" w:rsidP="00BA6D69" w:rsidRDefault="00FD5B97" w14:paraId="4A8C4A70"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color w:val="00B0F0"/>
          <w:sz w:val="8"/>
          <w:szCs w:val="8"/>
        </w:rPr>
      </w:pPr>
    </w:p>
    <w:p w:rsidR="00F40F4B" w:rsidP="00BA6D69" w:rsidRDefault="00FD5B97" w14:paraId="3986DF0C" w14:textId="2D54899C">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16"/>
          <w:szCs w:val="16"/>
        </w:rPr>
      </w:pPr>
      <w:r w:rsidRPr="002C4F41">
        <w:rPr>
          <w:sz w:val="16"/>
          <w:szCs w:val="16"/>
        </w:rPr>
        <w:t>*Not all respondents complete every activity, every year.</w:t>
      </w:r>
    </w:p>
    <w:p w:rsidR="00112E88" w:rsidP="00BA6D69" w:rsidRDefault="00112E88" w14:paraId="1F300043" w14:textId="5A48F34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16"/>
          <w:szCs w:val="16"/>
        </w:rPr>
      </w:pPr>
    </w:p>
    <w:p w:rsidR="00112E88" w:rsidP="00BA6D69" w:rsidRDefault="00112E88" w14:paraId="3BAA7876" w14:textId="6030A3DD">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16"/>
          <w:szCs w:val="16"/>
        </w:rPr>
      </w:pPr>
      <w:r w:rsidRPr="0063651E">
        <w:rPr>
          <w:b/>
        </w:rPr>
        <w:t xml:space="preserve">Table </w:t>
      </w:r>
      <w:r w:rsidR="00FE55E9">
        <w:rPr>
          <w:b/>
        </w:rPr>
        <w:t>8</w:t>
      </w:r>
      <w:r w:rsidRPr="0063651E">
        <w:rPr>
          <w:b/>
        </w:rPr>
        <w:t xml:space="preserve"> – Summary</w:t>
      </w:r>
      <w:r>
        <w:rPr>
          <w:b/>
        </w:rPr>
        <w:t xml:space="preserve"> Agency </w:t>
      </w:r>
      <w:r w:rsidRPr="0063651E">
        <w:rPr>
          <w:b/>
        </w:rPr>
        <w:t>Burden Hours and Costs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7"/>
        <w:gridCol w:w="1524"/>
        <w:gridCol w:w="1595"/>
        <w:gridCol w:w="1507"/>
        <w:gridCol w:w="1537"/>
      </w:tblGrid>
      <w:tr w:rsidRPr="00DB3A6F" w:rsidR="000A7B11" w:rsidTr="000A7B11" w14:paraId="629D7306" w14:textId="77777777">
        <w:tc>
          <w:tcPr>
            <w:tcW w:w="4155" w:type="dxa"/>
            <w:shd w:val="clear" w:color="auto" w:fill="CCCCCC"/>
            <w:vAlign w:val="bottom"/>
          </w:tcPr>
          <w:p w:rsidRPr="00DB3A6F" w:rsidR="000A7B11" w:rsidP="005B3BAB" w:rsidRDefault="000A7B11" w14:paraId="6E5E5CA7"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color w:val="00B0F0"/>
              </w:rPr>
            </w:pPr>
          </w:p>
        </w:tc>
        <w:tc>
          <w:tcPr>
            <w:tcW w:w="1696" w:type="dxa"/>
            <w:shd w:val="clear" w:color="auto" w:fill="CCCCCC"/>
            <w:vAlign w:val="bottom"/>
          </w:tcPr>
          <w:p w:rsidRPr="006A454C" w:rsidR="000A7B11" w:rsidP="005B3BAB" w:rsidRDefault="000A7B11" w14:paraId="35155A38"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6A454C">
              <w:rPr>
                <w:i/>
              </w:rPr>
              <w:t>Semi-Annual</w:t>
            </w:r>
          </w:p>
        </w:tc>
        <w:tc>
          <w:tcPr>
            <w:tcW w:w="1783" w:type="dxa"/>
            <w:shd w:val="clear" w:color="auto" w:fill="CCCCCC"/>
            <w:vAlign w:val="bottom"/>
          </w:tcPr>
          <w:p w:rsidRPr="006A454C" w:rsidR="000A7B11" w:rsidP="005B3BAB" w:rsidRDefault="000A7B11" w14:paraId="0F32F163"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6A454C">
              <w:rPr>
                <w:i/>
              </w:rPr>
              <w:t>Quality Assurance</w:t>
            </w:r>
          </w:p>
        </w:tc>
        <w:tc>
          <w:tcPr>
            <w:tcW w:w="1716" w:type="dxa"/>
            <w:shd w:val="clear" w:color="auto" w:fill="CCCCCC"/>
          </w:tcPr>
          <w:p w:rsidRPr="006A454C" w:rsidR="000A7B11" w:rsidP="005B3BAB" w:rsidRDefault="000A7B11" w14:paraId="4FB3F7E4" w14:textId="2F4841DC">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Pr>
                <w:i/>
              </w:rPr>
              <w:t>Final Progress Report</w:t>
            </w:r>
          </w:p>
        </w:tc>
        <w:tc>
          <w:tcPr>
            <w:tcW w:w="1716" w:type="dxa"/>
            <w:shd w:val="clear" w:color="auto" w:fill="CCCCCC"/>
            <w:vAlign w:val="bottom"/>
          </w:tcPr>
          <w:p w:rsidRPr="006A454C" w:rsidR="000A7B11" w:rsidP="005B3BAB" w:rsidRDefault="000A7B11" w14:paraId="30630AAE" w14:textId="4669461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i/>
              </w:rPr>
            </w:pPr>
            <w:r w:rsidRPr="006A454C">
              <w:rPr>
                <w:i/>
              </w:rPr>
              <w:t>Total</w:t>
            </w:r>
          </w:p>
        </w:tc>
      </w:tr>
      <w:tr w:rsidRPr="00DB3A6F" w:rsidR="000A7B11" w:rsidTr="000A7B11" w14:paraId="20BCF0C6" w14:textId="77777777">
        <w:tc>
          <w:tcPr>
            <w:tcW w:w="4155" w:type="dxa"/>
          </w:tcPr>
          <w:p w:rsidRPr="00015741" w:rsidR="000A7B11" w:rsidP="005B3BAB" w:rsidRDefault="000A7B11" w14:paraId="4D52A7C3"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15741">
              <w:t>Total Annual Responses</w:t>
            </w:r>
          </w:p>
        </w:tc>
        <w:tc>
          <w:tcPr>
            <w:tcW w:w="1696" w:type="dxa"/>
          </w:tcPr>
          <w:p w:rsidRPr="00015741" w:rsidR="000A7B11" w:rsidP="005B3BAB" w:rsidRDefault="000A7B11" w14:paraId="76FAC3F8" w14:textId="6A7A31F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298</w:t>
            </w:r>
          </w:p>
        </w:tc>
        <w:tc>
          <w:tcPr>
            <w:tcW w:w="1783" w:type="dxa"/>
          </w:tcPr>
          <w:p w:rsidRPr="00015741" w:rsidR="000A7B11" w:rsidP="005B3BAB" w:rsidRDefault="000A7B11" w14:paraId="0D3D0306" w14:textId="6CDC06E1">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35</w:t>
            </w:r>
          </w:p>
        </w:tc>
        <w:tc>
          <w:tcPr>
            <w:tcW w:w="1716" w:type="dxa"/>
          </w:tcPr>
          <w:p w:rsidRPr="00015741" w:rsidR="000A7B11" w:rsidP="005B3BAB" w:rsidRDefault="000A7B11" w14:paraId="3027788B" w14:textId="7B065ECF">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36</w:t>
            </w:r>
          </w:p>
        </w:tc>
        <w:tc>
          <w:tcPr>
            <w:tcW w:w="1716" w:type="dxa"/>
          </w:tcPr>
          <w:p w:rsidRPr="00015741" w:rsidR="000A7B11" w:rsidP="005B3BAB" w:rsidRDefault="000A7B11" w14:paraId="78A9AF74" w14:textId="6923147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369</w:t>
            </w:r>
          </w:p>
        </w:tc>
      </w:tr>
      <w:tr w:rsidRPr="00DB3A6F" w:rsidR="000A7B11" w:rsidTr="000A7B11" w14:paraId="2BC1D782" w14:textId="77777777">
        <w:tc>
          <w:tcPr>
            <w:tcW w:w="4155" w:type="dxa"/>
          </w:tcPr>
          <w:p w:rsidRPr="00015741" w:rsidR="000A7B11" w:rsidP="005B3BAB" w:rsidRDefault="000A7B11" w14:paraId="39313A3B"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15741">
              <w:t>Total Burden Hours for EPA</w:t>
            </w:r>
          </w:p>
        </w:tc>
        <w:tc>
          <w:tcPr>
            <w:tcW w:w="1696" w:type="dxa"/>
          </w:tcPr>
          <w:p w:rsidRPr="00015741" w:rsidR="000A7B11" w:rsidP="005B3BAB" w:rsidRDefault="000A7B11" w14:paraId="3093C1A0" w14:textId="6F249846">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 xml:space="preserve">104.3 </w:t>
            </w:r>
            <w:r w:rsidRPr="00015741">
              <w:t>hours</w:t>
            </w:r>
          </w:p>
        </w:tc>
        <w:tc>
          <w:tcPr>
            <w:tcW w:w="1783" w:type="dxa"/>
          </w:tcPr>
          <w:p w:rsidRPr="00015741" w:rsidR="000A7B11" w:rsidP="005B3BAB" w:rsidRDefault="000A7B11" w14:paraId="2F77E8F3" w14:textId="1ED5BD89">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17.5</w:t>
            </w:r>
            <w:r w:rsidRPr="00015741">
              <w:t xml:space="preserve"> hours </w:t>
            </w:r>
          </w:p>
        </w:tc>
        <w:tc>
          <w:tcPr>
            <w:tcW w:w="1716" w:type="dxa"/>
          </w:tcPr>
          <w:p w:rsidR="000A7B11" w:rsidP="005B3BAB" w:rsidRDefault="000A7B11" w14:paraId="71577C0F" w14:textId="5107301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18</w:t>
            </w:r>
          </w:p>
        </w:tc>
        <w:tc>
          <w:tcPr>
            <w:tcW w:w="1716" w:type="dxa"/>
          </w:tcPr>
          <w:p w:rsidRPr="00015741" w:rsidR="000A7B11" w:rsidP="005B3BAB" w:rsidRDefault="000A7B11" w14:paraId="2630733E" w14:textId="6C19A17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 xml:space="preserve">139.8 </w:t>
            </w:r>
            <w:r w:rsidRPr="00015741">
              <w:t>hours</w:t>
            </w:r>
          </w:p>
        </w:tc>
      </w:tr>
      <w:tr w:rsidRPr="00DB3A6F" w:rsidR="000A7B11" w:rsidTr="000A7B11" w14:paraId="75ED6264" w14:textId="77777777">
        <w:tc>
          <w:tcPr>
            <w:tcW w:w="4155" w:type="dxa"/>
          </w:tcPr>
          <w:p w:rsidRPr="00015741" w:rsidR="000A7B11" w:rsidP="000A7B11" w:rsidRDefault="000A7B11" w14:paraId="7BD4AB65" w14:textId="139AAF20">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015741">
              <w:t xml:space="preserve">Total EPA </w:t>
            </w:r>
            <w:r>
              <w:t xml:space="preserve">Labor </w:t>
            </w:r>
            <w:r w:rsidRPr="00015741">
              <w:t>Cost</w:t>
            </w:r>
          </w:p>
        </w:tc>
        <w:tc>
          <w:tcPr>
            <w:tcW w:w="1696" w:type="dxa"/>
          </w:tcPr>
          <w:p w:rsidRPr="00015741" w:rsidR="000A7B11" w:rsidP="000A7B11" w:rsidRDefault="000A7B11" w14:paraId="28C02E6A" w14:textId="3723D36D">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5A5ECC">
              <w:t>$</w:t>
            </w:r>
            <w:r>
              <w:t>7</w:t>
            </w:r>
            <w:r w:rsidR="00080C0D">
              <w:t>,</w:t>
            </w:r>
            <w:r>
              <w:t>978.95</w:t>
            </w:r>
            <w:r w:rsidRPr="005A5ECC">
              <w:t xml:space="preserve"> </w:t>
            </w:r>
          </w:p>
        </w:tc>
        <w:tc>
          <w:tcPr>
            <w:tcW w:w="1783" w:type="dxa"/>
          </w:tcPr>
          <w:p w:rsidRPr="00015741" w:rsidR="000A7B11" w:rsidP="000A7B11" w:rsidRDefault="000A7B11" w14:paraId="6FC1618F" w14:textId="6FBB1B8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rsidRPr="005A5ECC">
              <w:t>$</w:t>
            </w:r>
            <w:r>
              <w:t>1</w:t>
            </w:r>
            <w:r w:rsidR="00080C0D">
              <w:t>,</w:t>
            </w:r>
            <w:r>
              <w:t>338.75</w:t>
            </w:r>
          </w:p>
        </w:tc>
        <w:tc>
          <w:tcPr>
            <w:tcW w:w="1716" w:type="dxa"/>
          </w:tcPr>
          <w:p w:rsidR="000A7B11" w:rsidP="000A7B11" w:rsidRDefault="000A7B11" w14:paraId="473B45F9" w14:textId="781C649B">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$1</w:t>
            </w:r>
            <w:r w:rsidR="00080C0D">
              <w:t>,</w:t>
            </w:r>
            <w:r>
              <w:t>377</w:t>
            </w:r>
          </w:p>
        </w:tc>
        <w:tc>
          <w:tcPr>
            <w:tcW w:w="1716" w:type="dxa"/>
          </w:tcPr>
          <w:p w:rsidRPr="00015741" w:rsidR="000A7B11" w:rsidP="000A7B11" w:rsidRDefault="000A7B11" w14:paraId="68C8AEF9" w14:textId="07CF5F00">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$10</w:t>
            </w:r>
            <w:r w:rsidR="00080C0D">
              <w:t>,</w:t>
            </w:r>
            <w:r>
              <w:t>694.7</w:t>
            </w:r>
          </w:p>
        </w:tc>
      </w:tr>
      <w:tr w:rsidRPr="00DB3A6F" w:rsidR="000A7B11" w:rsidTr="000A7B11" w14:paraId="56CB085A" w14:textId="77777777">
        <w:tc>
          <w:tcPr>
            <w:tcW w:w="4155" w:type="dxa"/>
          </w:tcPr>
          <w:p w:rsidRPr="00015741" w:rsidR="000A7B11" w:rsidP="005B3BAB" w:rsidRDefault="000A7B11" w14:paraId="02142397" w14:textId="66D0A6C8">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Total EPA Non-Labor Cost</w:t>
            </w:r>
          </w:p>
        </w:tc>
        <w:tc>
          <w:tcPr>
            <w:tcW w:w="1696" w:type="dxa"/>
          </w:tcPr>
          <w:p w:rsidRPr="00015741" w:rsidR="000A7B11" w:rsidP="005B3BAB" w:rsidRDefault="000A7B11" w14:paraId="59A5FAFF" w14:textId="0BB6F544">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783" w:type="dxa"/>
          </w:tcPr>
          <w:p w:rsidRPr="00015741" w:rsidR="000A7B11" w:rsidP="005B3BAB" w:rsidRDefault="000A7B11" w14:paraId="4F9AE9BF" w14:textId="262AA57D">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c>
          <w:tcPr>
            <w:tcW w:w="1716" w:type="dxa"/>
          </w:tcPr>
          <w:p w:rsidR="000A7B11" w:rsidP="005B3BAB" w:rsidRDefault="000A7B11" w14:paraId="181ECEC2"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p>
        </w:tc>
        <w:tc>
          <w:tcPr>
            <w:tcW w:w="1716" w:type="dxa"/>
          </w:tcPr>
          <w:p w:rsidRPr="00015741" w:rsidR="000A7B11" w:rsidP="005B3BAB" w:rsidRDefault="000A7B11" w14:paraId="05061E74" w14:textId="47F8353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pPr>
            <w:r>
              <w:t>$0</w:t>
            </w:r>
          </w:p>
        </w:tc>
      </w:tr>
      <w:tr w:rsidRPr="00DB3A6F" w:rsidR="000A7B11" w:rsidTr="000A7B11" w14:paraId="0E45DD27" w14:textId="77777777">
        <w:tc>
          <w:tcPr>
            <w:tcW w:w="4155" w:type="dxa"/>
            <w:shd w:val="clear" w:color="auto" w:fill="D9D9D9"/>
          </w:tcPr>
          <w:p w:rsidRPr="00015741" w:rsidR="000A7B11" w:rsidP="000A7B11" w:rsidRDefault="000A7B11" w14:paraId="2EE491A9" w14:textId="64CDCA45">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i/>
              </w:rPr>
            </w:pPr>
            <w:r w:rsidRPr="00015741">
              <w:rPr>
                <w:b/>
                <w:i/>
              </w:rPr>
              <w:t xml:space="preserve">Total </w:t>
            </w:r>
            <w:r>
              <w:rPr>
                <w:b/>
                <w:i/>
              </w:rPr>
              <w:t xml:space="preserve">Agency </w:t>
            </w:r>
            <w:r w:rsidRPr="00015741">
              <w:rPr>
                <w:b/>
                <w:i/>
              </w:rPr>
              <w:t>Costs</w:t>
            </w:r>
          </w:p>
        </w:tc>
        <w:tc>
          <w:tcPr>
            <w:tcW w:w="1696" w:type="dxa"/>
            <w:shd w:val="clear" w:color="auto" w:fill="D9D9D9"/>
          </w:tcPr>
          <w:p w:rsidRPr="00015741" w:rsidR="000A7B11" w:rsidP="000A7B11" w:rsidRDefault="000A7B11" w14:paraId="11B4D9A3" w14:textId="7472C533">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5A5ECC">
              <w:t>$</w:t>
            </w:r>
            <w:r>
              <w:t>7</w:t>
            </w:r>
            <w:r w:rsidR="00080C0D">
              <w:t>,</w:t>
            </w:r>
            <w:r>
              <w:t>978.95</w:t>
            </w:r>
            <w:r w:rsidRPr="005A5ECC">
              <w:t xml:space="preserve"> </w:t>
            </w:r>
          </w:p>
        </w:tc>
        <w:tc>
          <w:tcPr>
            <w:tcW w:w="1783" w:type="dxa"/>
            <w:shd w:val="clear" w:color="auto" w:fill="D9D9D9"/>
          </w:tcPr>
          <w:p w:rsidRPr="00015741" w:rsidR="000A7B11" w:rsidP="000A7B11" w:rsidRDefault="000A7B11" w14:paraId="620E0280" w14:textId="397C46F6">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rsidRPr="005A5ECC">
              <w:t>$</w:t>
            </w:r>
            <w:r>
              <w:t>1</w:t>
            </w:r>
            <w:r w:rsidR="00080C0D">
              <w:t>,</w:t>
            </w:r>
            <w:r>
              <w:t>338.75</w:t>
            </w:r>
          </w:p>
        </w:tc>
        <w:tc>
          <w:tcPr>
            <w:tcW w:w="1716" w:type="dxa"/>
            <w:shd w:val="clear" w:color="auto" w:fill="D9D9D9"/>
          </w:tcPr>
          <w:p w:rsidRPr="00D02A81" w:rsidR="000A7B11" w:rsidP="000A7B11" w:rsidRDefault="000A7B11" w14:paraId="10D863AA" w14:textId="744C88AA">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t>$1</w:t>
            </w:r>
            <w:r w:rsidR="00080C0D">
              <w:t>,</w:t>
            </w:r>
            <w:r>
              <w:t>377</w:t>
            </w:r>
          </w:p>
        </w:tc>
        <w:tc>
          <w:tcPr>
            <w:tcW w:w="1716" w:type="dxa"/>
            <w:shd w:val="clear" w:color="auto" w:fill="D9D9D9"/>
          </w:tcPr>
          <w:p w:rsidRPr="00015741" w:rsidR="000A7B11" w:rsidP="000A7B11" w:rsidRDefault="000A7B11" w14:paraId="4E82E2DB" w14:textId="7F6CB101">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b/>
              </w:rPr>
            </w:pPr>
            <w:r>
              <w:t>$10</w:t>
            </w:r>
            <w:r w:rsidR="00080C0D">
              <w:t>,</w:t>
            </w:r>
            <w:r>
              <w:t>694.7</w:t>
            </w:r>
          </w:p>
        </w:tc>
      </w:tr>
    </w:tbl>
    <w:p w:rsidRPr="002C4F41" w:rsidR="00112E88" w:rsidP="00BA6D69" w:rsidRDefault="00112E88" w14:paraId="2AF01C98"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sz w:val="16"/>
          <w:szCs w:val="16"/>
        </w:rPr>
      </w:pPr>
    </w:p>
    <w:p w:rsidRPr="00120533" w:rsidR="00BC309B" w:rsidP="000A7B11" w:rsidRDefault="00BC309B" w14:paraId="3F30A00B"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rPr>
          <w:color w:val="C00000"/>
        </w:rPr>
      </w:pPr>
    </w:p>
    <w:p w:rsidRPr="002C4F41" w:rsidR="00BA6D69" w:rsidP="00BA6D69" w:rsidRDefault="00BA6D69" w14:paraId="6C14F5FA"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r w:rsidRPr="002C4F41">
        <w:t>(f) REASONS FOR CHANGE IN BURDEN</w:t>
      </w:r>
    </w:p>
    <w:p w:rsidRPr="002C4F41" w:rsidR="00BA6D69" w:rsidP="00BA6D69" w:rsidRDefault="00BA6D69" w14:paraId="7B2D5CE5"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D30A93" w:rsidP="00BA6D69" w:rsidRDefault="0020242F" w14:paraId="07C0440E" w14:textId="5BB2DD3A">
      <w:pPr>
        <w:autoSpaceDE w:val="0"/>
        <w:autoSpaceDN w:val="0"/>
        <w:adjustRightInd w:val="0"/>
      </w:pPr>
      <w:r w:rsidRPr="002C4F41">
        <w:tab/>
      </w:r>
      <w:r w:rsidRPr="0049197F">
        <w:t>There is a</w:t>
      </w:r>
      <w:r w:rsidR="0015055B">
        <w:t xml:space="preserve">n </w:t>
      </w:r>
      <w:r w:rsidR="001A5906">
        <w:t xml:space="preserve">increase of </w:t>
      </w:r>
      <w:r w:rsidR="0015055B">
        <w:t>228</w:t>
      </w:r>
      <w:r w:rsidR="00C97E1B">
        <w:t xml:space="preserve"> </w:t>
      </w:r>
      <w:r w:rsidR="001A5906">
        <w:t>(</w:t>
      </w:r>
      <w:r w:rsidR="0015055B">
        <w:t>508 hours in 2021 vs 280 hours in 2018</w:t>
      </w:r>
      <w:r w:rsidR="001A5906">
        <w:t xml:space="preserve">) </w:t>
      </w:r>
      <w:r w:rsidRPr="00A1627B">
        <w:t xml:space="preserve">hours </w:t>
      </w:r>
      <w:r w:rsidRPr="0049197F">
        <w:t xml:space="preserve">in the total estimated respondent burden </w:t>
      </w:r>
      <w:r w:rsidR="00C27208">
        <w:t xml:space="preserve">as </w:t>
      </w:r>
      <w:r w:rsidRPr="0049197F">
        <w:t xml:space="preserve">compared with the ICR currently approved by OMB. </w:t>
      </w:r>
      <w:r w:rsidR="00916933">
        <w:t xml:space="preserve"> On the other hand, the number of open active grants each year were estimated at 149, about 23 less than those projected for 2018.  </w:t>
      </w:r>
      <w:r w:rsidR="00CE4086">
        <w:t xml:space="preserve">The increase in burden </w:t>
      </w:r>
      <w:r w:rsidR="00916933">
        <w:t xml:space="preserve">hours for respondents </w:t>
      </w:r>
      <w:r w:rsidR="00CE4086">
        <w:t xml:space="preserve">can be attributed primarily to the fact that </w:t>
      </w:r>
      <w:r w:rsidR="00916933">
        <w:t xml:space="preserve">the 2021 </w:t>
      </w:r>
      <w:r w:rsidR="00CE4086">
        <w:t xml:space="preserve">ICR </w:t>
      </w:r>
      <w:r w:rsidR="00916933">
        <w:t xml:space="preserve">also </w:t>
      </w:r>
      <w:r w:rsidR="00CE4086">
        <w:t xml:space="preserve">accounts for </w:t>
      </w:r>
      <w:r w:rsidR="00916933">
        <w:t xml:space="preserve">59.4 hours of </w:t>
      </w:r>
      <w:r w:rsidR="00CE4086">
        <w:t xml:space="preserve">burden associated with the submission and review </w:t>
      </w:r>
      <w:r w:rsidR="0015055B">
        <w:t>of estimated</w:t>
      </w:r>
      <w:r w:rsidR="00CE4086">
        <w:t xml:space="preserve"> </w:t>
      </w:r>
      <w:r w:rsidR="00C51D74">
        <w:t>36</w:t>
      </w:r>
      <w:r w:rsidR="00CE4086">
        <w:t xml:space="preserve"> </w:t>
      </w:r>
      <w:r w:rsidR="00D30A93">
        <w:t>f</w:t>
      </w:r>
      <w:r w:rsidR="00CE4086">
        <w:t xml:space="preserve">inal </w:t>
      </w:r>
      <w:r w:rsidR="00D30A93">
        <w:t>p</w:t>
      </w:r>
      <w:r w:rsidR="00CE4086">
        <w:t xml:space="preserve">rogress </w:t>
      </w:r>
      <w:r w:rsidR="00D30A93">
        <w:t>r</w:t>
      </w:r>
      <w:r w:rsidR="00CE4086">
        <w:t xml:space="preserve">eports within 90 days </w:t>
      </w:r>
      <w:r w:rsidR="0015055B">
        <w:t xml:space="preserve">of </w:t>
      </w:r>
      <w:r w:rsidR="00CE4086">
        <w:t>the grant project period expiration</w:t>
      </w:r>
      <w:r w:rsidR="00A50DE9">
        <w:t xml:space="preserve">.  This </w:t>
      </w:r>
      <w:r w:rsidR="00D30A93">
        <w:t>f</w:t>
      </w:r>
      <w:r w:rsidR="0015055B">
        <w:t xml:space="preserve">inal </w:t>
      </w:r>
      <w:r w:rsidR="00D30A93">
        <w:t>p</w:t>
      </w:r>
      <w:r w:rsidR="0015055B">
        <w:t xml:space="preserve">rogress </w:t>
      </w:r>
      <w:r w:rsidR="00A50DE9">
        <w:t xml:space="preserve">report </w:t>
      </w:r>
      <w:r w:rsidR="00915328">
        <w:t xml:space="preserve">and the burden associated with </w:t>
      </w:r>
      <w:r w:rsidR="00A50DE9">
        <w:t xml:space="preserve">was inadvertently excluded from </w:t>
      </w:r>
      <w:r w:rsidR="0015055B">
        <w:t>consideration in the 2018</w:t>
      </w:r>
      <w:r w:rsidR="00A50DE9">
        <w:t xml:space="preserve"> ICR.  </w:t>
      </w:r>
      <w:r w:rsidR="00C51D74">
        <w:t xml:space="preserve">In addition, </w:t>
      </w:r>
      <w:r w:rsidR="00516860">
        <w:t>in 202</w:t>
      </w:r>
      <w:r w:rsidR="00080C0D">
        <w:t>1,</w:t>
      </w:r>
      <w:r w:rsidR="00516860">
        <w:t xml:space="preserve"> </w:t>
      </w:r>
      <w:r w:rsidR="00C51D74">
        <w:t xml:space="preserve">the burden hour estimates </w:t>
      </w:r>
      <w:r w:rsidR="00916933">
        <w:t xml:space="preserve">were </w:t>
      </w:r>
      <w:r w:rsidR="00C51D74">
        <w:t xml:space="preserve">provided by </w:t>
      </w:r>
      <w:r w:rsidR="00916933">
        <w:t>a</w:t>
      </w:r>
      <w:r w:rsidR="00915328">
        <w:t xml:space="preserve"> larger number of</w:t>
      </w:r>
      <w:r w:rsidR="00C51D74">
        <w:t xml:space="preserve"> respondents </w:t>
      </w:r>
      <w:r w:rsidR="002C12ED">
        <w:t>including 2 Tribes, 1 Territory, and 6 states</w:t>
      </w:r>
      <w:r w:rsidR="00516860">
        <w:t xml:space="preserve">, </w:t>
      </w:r>
      <w:r w:rsidRPr="00516860" w:rsidR="00DE27B8">
        <w:t xml:space="preserve">as compared to </w:t>
      </w:r>
      <w:r w:rsidRPr="00516860" w:rsidR="002C12ED">
        <w:t xml:space="preserve">a total of </w:t>
      </w:r>
      <w:r w:rsidRPr="00516860" w:rsidR="00516860">
        <w:t xml:space="preserve">4 </w:t>
      </w:r>
      <w:r w:rsidRPr="00516860" w:rsidR="002C12ED">
        <w:t xml:space="preserve">respondents </w:t>
      </w:r>
      <w:r w:rsidRPr="00516860" w:rsidR="00DE27B8">
        <w:t>in 2018</w:t>
      </w:r>
      <w:r w:rsidR="002C12ED">
        <w:t>.  Given the increased emphasis to make the reports more comprehensi</w:t>
      </w:r>
      <w:r w:rsidR="00292949">
        <w:t>ve,</w:t>
      </w:r>
      <w:r w:rsidR="002C12ED">
        <w:t xml:space="preserve"> the respondents </w:t>
      </w:r>
      <w:r w:rsidR="00916933">
        <w:t xml:space="preserve">indicated a slight increase </w:t>
      </w:r>
      <w:r w:rsidR="00D30A93">
        <w:t xml:space="preserve">of 0.45 hours to prepare and </w:t>
      </w:r>
      <w:r w:rsidR="00D30A93">
        <w:lastRenderedPageBreak/>
        <w:t xml:space="preserve">upload a semi-annual progress report, and an increase of 1.6 hours to prepare and upload the quality assurance </w:t>
      </w:r>
      <w:r w:rsidR="008074F1">
        <w:t>reporting form</w:t>
      </w:r>
      <w:r w:rsidR="00D30A93">
        <w:t xml:space="preserve">. </w:t>
      </w:r>
    </w:p>
    <w:p w:rsidR="008074F1" w:rsidP="00BA6D69" w:rsidRDefault="008074F1" w14:paraId="40567E43" w14:textId="5136A1F0">
      <w:pPr>
        <w:autoSpaceDE w:val="0"/>
        <w:autoSpaceDN w:val="0"/>
        <w:adjustRightInd w:val="0"/>
      </w:pPr>
    </w:p>
    <w:p w:rsidR="00D30A93" w:rsidP="00516860" w:rsidRDefault="008074F1" w14:paraId="67DC8FFF" w14:textId="3D904AB9">
      <w:pPr>
        <w:ind w:firstLine="540"/>
      </w:pPr>
      <w:r>
        <w:t>Th</w:t>
      </w:r>
      <w:r w:rsidR="002C12ED">
        <w:t>is</w:t>
      </w:r>
      <w:r>
        <w:t xml:space="preserve"> increase</w:t>
      </w:r>
      <w:r w:rsidR="002C12ED">
        <w:t xml:space="preserve"> in </w:t>
      </w:r>
      <w:r>
        <w:t xml:space="preserve">number of total reports </w:t>
      </w:r>
      <w:r w:rsidR="002C12ED">
        <w:t xml:space="preserve">along with </w:t>
      </w:r>
      <w:r>
        <w:t>increased burden hours</w:t>
      </w:r>
      <w:r w:rsidR="002C12ED">
        <w:t xml:space="preserve">, compounded by the slight </w:t>
      </w:r>
      <w:r>
        <w:t xml:space="preserve">inflation in labor rates also explains an increase of </w:t>
      </w:r>
      <w:r w:rsidR="00F22AD2">
        <w:t>$7</w:t>
      </w:r>
      <w:r w:rsidR="00A03209">
        <w:t>,100.6</w:t>
      </w:r>
      <w:r w:rsidR="00F22AD2">
        <w:t xml:space="preserve"> (up from $16,186.98 to </w:t>
      </w:r>
      <w:r w:rsidRPr="00F22AD2" w:rsidR="00F22AD2">
        <w:t>$</w:t>
      </w:r>
      <w:r w:rsidRPr="000E44C6" w:rsidR="000E44C6">
        <w:t>23</w:t>
      </w:r>
      <w:r w:rsidR="00030ACF">
        <w:t>,287.59</w:t>
      </w:r>
      <w:r w:rsidR="000E44C6">
        <w:t xml:space="preserve"> </w:t>
      </w:r>
      <w:r w:rsidRPr="00F22AD2" w:rsidR="00F22AD2">
        <w:t>in 2021</w:t>
      </w:r>
      <w:r w:rsidR="00F22AD2">
        <w:rPr>
          <w:b/>
        </w:rPr>
        <w:t>)</w:t>
      </w:r>
      <w:r w:rsidR="00F22AD2">
        <w:t xml:space="preserve"> </w:t>
      </w:r>
      <w:r>
        <w:t>in total annual respondent costs</w:t>
      </w:r>
      <w:r w:rsidR="002C12ED">
        <w:t xml:space="preserve"> for 2021</w:t>
      </w:r>
      <w:r>
        <w:t>.</w:t>
      </w:r>
    </w:p>
    <w:p w:rsidRPr="00DF09CE" w:rsidR="00B80FF5" w:rsidP="00BA6D69" w:rsidRDefault="00B80FF5" w14:paraId="39B62596" w14:textId="52C07D35">
      <w:pPr>
        <w:autoSpaceDE w:val="0"/>
        <w:autoSpaceDN w:val="0"/>
        <w:adjustRightInd w:val="0"/>
        <w:rPr>
          <w:color w:val="76923C" w:themeColor="accent3" w:themeShade="BF"/>
        </w:rPr>
      </w:pPr>
    </w:p>
    <w:p w:rsidRPr="002C4F41" w:rsidR="00BA6D69" w:rsidP="00BA6D69" w:rsidRDefault="00BA6D69" w14:paraId="590F5B1C" w14:textId="77777777">
      <w:pPr>
        <w:autoSpaceDE w:val="0"/>
        <w:autoSpaceDN w:val="0"/>
        <w:adjustRightInd w:val="0"/>
        <w:spacing w:line="240" w:lineRule="atLeast"/>
      </w:pPr>
    </w:p>
    <w:p w:rsidR="00BA6D69" w:rsidP="00BA6D69" w:rsidRDefault="00BA6D69" w14:paraId="3D272414" w14:textId="77777777">
      <w:pPr>
        <w:autoSpaceDE w:val="0"/>
        <w:autoSpaceDN w:val="0"/>
        <w:adjustRightInd w:val="0"/>
        <w:spacing w:line="240" w:lineRule="atLeast"/>
        <w:ind w:firstLine="540"/>
      </w:pPr>
      <w:r>
        <w:t xml:space="preserve">(g) </w:t>
      </w:r>
      <w:r w:rsidRPr="00D63CCD">
        <w:t>BURDEN STATEMENT</w:t>
      </w:r>
    </w:p>
    <w:p w:rsidRPr="002117B2" w:rsidR="00BA6D69" w:rsidP="00BA6D69" w:rsidRDefault="00BA6D69" w14:paraId="219FE41E" w14:textId="77777777">
      <w:pPr>
        <w:tabs>
          <w:tab w:val="left" w:pos="0"/>
          <w:tab w:val="left" w:pos="540"/>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540"/>
      </w:pPr>
    </w:p>
    <w:p w:rsidR="00D17328" w:rsidP="00724EC0" w:rsidRDefault="0051401C" w14:paraId="55CEA54F" w14:textId="7831A0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F83643" w:rsidR="00F83643">
        <w:t xml:space="preserve">The reporting burden </w:t>
      </w:r>
      <w:r w:rsidR="00F83643">
        <w:t xml:space="preserve">for States, Tribes, and Territories </w:t>
      </w:r>
      <w:r w:rsidRPr="00F83643" w:rsidR="00F83643">
        <w:t xml:space="preserve">is estimated to be </w:t>
      </w:r>
      <w:r w:rsidR="00F83643">
        <w:t xml:space="preserve">1.20 hours </w:t>
      </w:r>
      <w:r w:rsidR="00D17328">
        <w:t>for</w:t>
      </w:r>
      <w:r w:rsidR="00F83643">
        <w:t xml:space="preserve"> </w:t>
      </w:r>
      <w:r w:rsidR="00292949">
        <w:t>s</w:t>
      </w:r>
      <w:r w:rsidR="00F83643">
        <w:t>emi-</w:t>
      </w:r>
      <w:r w:rsidR="00292949">
        <w:t>a</w:t>
      </w:r>
      <w:r w:rsidR="00F83643">
        <w:t xml:space="preserve">nnual </w:t>
      </w:r>
      <w:r w:rsidR="00292949">
        <w:t>p</w:t>
      </w:r>
      <w:r w:rsidR="00F83643">
        <w:t xml:space="preserve">rogress </w:t>
      </w:r>
      <w:r w:rsidR="00292949">
        <w:t>r</w:t>
      </w:r>
      <w:r w:rsidR="00F83643">
        <w:t xml:space="preserve">eport, 2.6 hours to submit a </w:t>
      </w:r>
      <w:r w:rsidR="00292949">
        <w:t>q</w:t>
      </w:r>
      <w:r w:rsidR="00F83643">
        <w:t xml:space="preserve">uarterly </w:t>
      </w:r>
      <w:r w:rsidR="00292949">
        <w:t>a</w:t>
      </w:r>
      <w:r w:rsidR="00F83643">
        <w:t xml:space="preserve">ssurance </w:t>
      </w:r>
      <w:r w:rsidR="00080C0D">
        <w:t>reporting form</w:t>
      </w:r>
      <w:r w:rsidR="00F83643">
        <w:t xml:space="preserve">, and 1.65 hours to submit the </w:t>
      </w:r>
      <w:r w:rsidR="00292949">
        <w:t>f</w:t>
      </w:r>
      <w:r w:rsidR="00F83643">
        <w:t xml:space="preserve">inal </w:t>
      </w:r>
      <w:r w:rsidR="00292949">
        <w:t>pr</w:t>
      </w:r>
      <w:r w:rsidR="00F83643">
        <w:t xml:space="preserve">ogress </w:t>
      </w:r>
      <w:r w:rsidR="00292949">
        <w:t>r</w:t>
      </w:r>
      <w:r w:rsidR="00F83643">
        <w:t>eport</w:t>
      </w:r>
      <w:r w:rsidR="00D17328">
        <w:t xml:space="preserve">. </w:t>
      </w:r>
      <w:r w:rsidR="00F83643">
        <w:t xml:space="preserve"> </w:t>
      </w:r>
      <w:r w:rsidRPr="00F83643" w:rsidR="00F83643">
        <w:t xml:space="preserve">This includes time for </w:t>
      </w:r>
      <w:r w:rsidR="00D17328">
        <w:t xml:space="preserve">reviewing instructions, completing the form, and submitting it by uploading it electronically through the Central Data Exchange.   </w:t>
      </w:r>
    </w:p>
    <w:p w:rsidR="00D17328" w:rsidP="00724EC0" w:rsidRDefault="00D17328" w14:paraId="28B9EC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92949" w:rsidR="00724EC0" w:rsidP="00724EC0" w:rsidRDefault="00D17328" w14:paraId="0DFF0601" w14:textId="7FA936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49197F" w:rsidR="00724EC0">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r w:rsidRPr="00DF09CE" w:rsidR="00724EC0">
        <w:rPr>
          <w:color w:val="76923C" w:themeColor="accent3" w:themeShade="BF"/>
        </w:rPr>
        <w:t xml:space="preserve">     </w:t>
      </w:r>
    </w:p>
    <w:p w:rsidRPr="00DF09CE" w:rsidR="0051401C" w:rsidP="0051401C" w:rsidRDefault="0051401C" w14:paraId="0B960332" w14:textId="77777777">
      <w:pPr>
        <w:autoSpaceDE w:val="0"/>
        <w:autoSpaceDN w:val="0"/>
        <w:adjustRightInd w:val="0"/>
        <w:spacing w:line="240" w:lineRule="atLeast"/>
        <w:ind w:firstLine="540"/>
        <w:rPr>
          <w:rFonts w:ascii="Tms Rmn" w:hAnsi="Tms Rmn"/>
          <w:color w:val="76923C" w:themeColor="accent3" w:themeShade="BF"/>
        </w:rPr>
      </w:pPr>
    </w:p>
    <w:p w:rsidR="00A0468A" w:rsidP="00C66826" w:rsidRDefault="00724EC0" w14:paraId="7D273389" w14:textId="6D6E880F">
      <w:r w:rsidRPr="00DF09CE">
        <w:rPr>
          <w:color w:val="76923C" w:themeColor="accent3" w:themeShade="BF"/>
        </w:rPr>
        <w:tab/>
      </w:r>
      <w:r w:rsidRPr="0049197F">
        <w:t>To comment on the Agency's need for this information, the accuracy of the provided burden estimates, and any suggested methods for minimizing respondent burden, including the use of automated collection techniques, EPA has established a public docket for this ICR under Docket I</w:t>
      </w:r>
      <w:r w:rsidRPr="0049197F" w:rsidR="001D056D">
        <w:t>D Number EPA-HQ-OEI-2006-0037</w:t>
      </w:r>
      <w:r w:rsidRPr="0049197F">
        <w:t xml:space="preserve">, which is available for online viewing at </w:t>
      </w:r>
      <w:hyperlink w:history="1" r:id="rId21">
        <w:r w:rsidRPr="0049197F" w:rsidR="001D056D">
          <w:rPr>
            <w:rStyle w:val="Hyperlink"/>
            <w:color w:val="auto"/>
          </w:rPr>
          <w:t>www.regulations.gov</w:t>
        </w:r>
      </w:hyperlink>
      <w:r w:rsidRPr="0049197F">
        <w:t xml:space="preserve">, or in person viewing at the Office of Environmental Information Docket in the EPA Docket Center (EPA/DC), EPA West, Room </w:t>
      </w:r>
      <w:r w:rsidRPr="0049197F" w:rsidR="003E30E6">
        <w:t>3334</w:t>
      </w:r>
      <w:r w:rsidRPr="0049197F">
        <w:t xml:space="preserve">, 1301 Constitution Avenue, NW, Washington, D.C.  The EPA Docket Center Public Reading Room is open from 8:30 a.m. to 4:30 p.m., Monday through Friday, excluding legal holidays.  The telephone number for the Reading Room is (202) 566-1744, and the telephone number for the Office of </w:t>
      </w:r>
      <w:r w:rsidR="00D17328">
        <w:t>Mission Support</w:t>
      </w:r>
      <w:r w:rsidRPr="0049197F">
        <w:t xml:space="preserve"> Docket is (202) 566-1752.  </w:t>
      </w:r>
      <w:r w:rsidR="00F97E03">
        <w:t xml:space="preserve">Please call and make an appointment with the Docket Center before visiting. </w:t>
      </w:r>
      <w:r w:rsidRPr="0049197F">
        <w:t xml:space="preserve">An electronic version of the public docket is available at </w:t>
      </w:r>
      <w:hyperlink w:history="1" r:id="rId22">
        <w:r w:rsidRPr="0049197F" w:rsidR="00E80B5F">
          <w:rPr>
            <w:rStyle w:val="Hyperlink"/>
            <w:color w:val="auto"/>
          </w:rPr>
          <w:t>www.regulations.gov</w:t>
        </w:r>
      </w:hyperlink>
      <w:r w:rsidRPr="0049197F">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49197F">
            <w:t>725 17th Street, NW</w:t>
          </w:r>
        </w:smartTag>
        <w:r w:rsidRPr="0049197F">
          <w:t xml:space="preserve">, </w:t>
        </w:r>
        <w:smartTag w:uri="urn:schemas-microsoft-com:office:smarttags" w:element="City">
          <w:r w:rsidRPr="0049197F">
            <w:t>Washington</w:t>
          </w:r>
        </w:smartTag>
        <w:r w:rsidRPr="0049197F">
          <w:t xml:space="preserve">, </w:t>
        </w:r>
        <w:smartTag w:uri="urn:schemas-microsoft-com:office:smarttags" w:element="State">
          <w:r w:rsidRPr="0049197F">
            <w:t>D.C.</w:t>
          </w:r>
        </w:smartTag>
        <w:r w:rsidRPr="0049197F">
          <w:t xml:space="preserve"> </w:t>
        </w:r>
        <w:smartTag w:uri="urn:schemas-microsoft-com:office:smarttags" w:element="PostalCode">
          <w:r w:rsidRPr="0049197F">
            <w:t>20503</w:t>
          </w:r>
        </w:smartTag>
      </w:smartTag>
      <w:r w:rsidRPr="0049197F">
        <w:t>, Attention: Desk Officer for EPA.  Please include the EPA Docket ID</w:t>
      </w:r>
      <w:r w:rsidRPr="0049197F" w:rsidR="00607CEE">
        <w:t xml:space="preserve"> </w:t>
      </w:r>
      <w:r w:rsidRPr="0049197F">
        <w:t>Number EPA-HQ-OEI-2006-0037 and OMB Control Number 2025-0006 in any correspondence</w:t>
      </w:r>
      <w:r w:rsidR="001634F5">
        <w:t>.</w:t>
      </w:r>
    </w:p>
    <w:p w:rsidRPr="00C66826" w:rsidR="00A96488" w:rsidP="00C66826" w:rsidRDefault="00A96488" w14:paraId="652D933E" w14:textId="7B1D6ED0">
      <w:pPr>
        <w:pBdr>
          <w:bottom w:val="single" w:color="auto" w:sz="4" w:space="1"/>
        </w:pBdr>
        <w:rPr>
          <w:b/>
        </w:rPr>
      </w:pPr>
      <w:r>
        <w:br w:type="page"/>
      </w:r>
      <w:bookmarkStart w:name="_Toc399793763" w:id="14"/>
      <w:bookmarkStart w:name="_Toc485303840" w:id="15"/>
      <w:bookmarkStart w:name="_Toc485722211" w:id="16"/>
      <w:bookmarkStart w:name="_Toc485722567" w:id="17"/>
      <w:bookmarkStart w:name="_Toc498498217" w:id="18"/>
      <w:r w:rsidRPr="00C66826">
        <w:rPr>
          <w:b/>
        </w:rPr>
        <w:lastRenderedPageBreak/>
        <w:t>Appendix – 1</w:t>
      </w:r>
    </w:p>
    <w:p w:rsidR="00A96488" w:rsidP="00C66826" w:rsidRDefault="00A96488" w14:paraId="1969BD91" w14:textId="77777777"/>
    <w:p w:rsidRPr="0006644B" w:rsidR="00A96488" w:rsidP="00C66826" w:rsidRDefault="00A96488" w14:paraId="4B9CB65C" w14:textId="2809C225">
      <w:pPr>
        <w:rPr>
          <w:b/>
          <w:bCs/>
        </w:rPr>
      </w:pPr>
      <w:r w:rsidRPr="0006644B">
        <w:rPr>
          <w:b/>
          <w:bCs/>
        </w:rPr>
        <w:t>VI-B. Administration and National Policy Requirements</w:t>
      </w:r>
      <w:bookmarkEnd w:id="14"/>
      <w:bookmarkEnd w:id="15"/>
      <w:bookmarkEnd w:id="16"/>
      <w:bookmarkEnd w:id="17"/>
      <w:bookmarkEnd w:id="18"/>
    </w:p>
    <w:p w:rsidRPr="00C5457A" w:rsidR="00A96488" w:rsidP="00A96488" w:rsidRDefault="00A96488" w14:paraId="560CC036" w14:textId="77777777">
      <w:pPr>
        <w:rPr>
          <w:color w:val="000000" w:themeColor="text1"/>
        </w:rPr>
      </w:pPr>
      <w:r w:rsidRPr="00C5457A">
        <w:rPr>
          <w:color w:val="000000" w:themeColor="text1"/>
          <w:w w:val="90"/>
        </w:rPr>
        <w:t>Each assistance agreement will include a set of Administrative Terms and Programmatic Conditions, such as requirements for electronic funding transfers, additional financial status reporting, limitations on payments to consultants and application of indirect cost rates. These terms and conditions form the basis for the final award of Exchange Network grant funding. Failure to concur with the included terms and conditions will invalidate the award.</w:t>
      </w:r>
    </w:p>
    <w:p w:rsidRPr="00C5457A" w:rsidR="00A96488" w:rsidP="00A96488" w:rsidRDefault="00A96488" w14:paraId="4236BAD3" w14:textId="77777777">
      <w:pPr>
        <w:ind w:left="144" w:right="576"/>
        <w:rPr>
          <w:color w:val="000000" w:themeColor="text1"/>
          <w:w w:val="90"/>
          <w:sz w:val="26"/>
        </w:rPr>
      </w:pPr>
    </w:p>
    <w:p w:rsidRPr="00DA4F96" w:rsidR="00DA4F96" w:rsidP="00DA4F96" w:rsidRDefault="00DA4F96" w14:paraId="185DFE8E" w14:textId="77777777">
      <w:pPr>
        <w:rPr>
          <w:color w:val="000000" w:themeColor="text1"/>
          <w:w w:val="90"/>
        </w:rPr>
      </w:pPr>
      <w:r w:rsidRPr="00DA4F96">
        <w:rPr>
          <w:color w:val="000000" w:themeColor="text1"/>
          <w:w w:val="90"/>
        </w:rPr>
        <w:t xml:space="preserve">  In accordance with the Exchange Network Interoperability Policy, applicants must commit, in writing, to reuse existing data flows, EN services, and other IT resources such as widgets and RESTful web services. Please see Appendix D in the FY21 Exchange Network Solicitation Notice for further information on reuse and links to helpful resources. Applicants must also commit to register any newly developed resources and the reuse of existing resources. At the time of grant close-out, EN grantees must work with the Regional Exchange Network Coordinator (RENC) in the region that their organization is located to complete this registration. A current list of RENCs can be found </w:t>
      </w:r>
      <w:hyperlink w:history="1" r:id="rId23">
        <w:r w:rsidRPr="00DA4F96">
          <w:rPr>
            <w:rStyle w:val="Hyperlink"/>
            <w:w w:val="90"/>
          </w:rPr>
          <w:t xml:space="preserve">here. </w:t>
        </w:r>
      </w:hyperlink>
      <w:r w:rsidRPr="00DA4F96">
        <w:rPr>
          <w:color w:val="000000" w:themeColor="text1"/>
          <w:w w:val="90"/>
        </w:rPr>
        <w:t>EPA requires all grant recipients issued under this solicitation notice to meet these terms and conditions.</w:t>
      </w:r>
    </w:p>
    <w:p w:rsidRPr="00DA4F96" w:rsidR="00DA4F96" w:rsidP="00DA4F96" w:rsidRDefault="00DA4F96" w14:paraId="68FB3F30" w14:textId="77777777">
      <w:pPr>
        <w:rPr>
          <w:color w:val="000000" w:themeColor="text1"/>
          <w:w w:val="90"/>
        </w:rPr>
      </w:pPr>
    </w:p>
    <w:p w:rsidRPr="00DA4F96" w:rsidR="00DA4F96" w:rsidP="00DA4F96" w:rsidRDefault="00DA4F96" w14:paraId="09B3F7B9" w14:textId="77777777">
      <w:pPr>
        <w:rPr>
          <w:color w:val="000000" w:themeColor="text1"/>
          <w:w w:val="90"/>
        </w:rPr>
      </w:pPr>
      <w:r w:rsidRPr="00DA4F96">
        <w:rPr>
          <w:color w:val="000000" w:themeColor="text1"/>
          <w:w w:val="90"/>
        </w:rPr>
        <w:t>EPA will include a grant condition in the assistance agreement requiring the recipient to submit the Exchange Network Quality Assurance Reporting Form (QARF) to the EPA Regional Project Officer within 90 days of the award issuance date. The QARF is a tailored Quality Assurance Project Plan (QAPP) tailored specifically to satisfy the unique Quality Assurance needs of the EN Grant Program. The QARF must describe for each goal and output:</w:t>
      </w:r>
    </w:p>
    <w:p w:rsidRPr="00DA4F96" w:rsidR="00DA4F96" w:rsidP="00DA4F96" w:rsidRDefault="00DA4F96" w14:paraId="58331B2B" w14:textId="77777777">
      <w:pPr>
        <w:rPr>
          <w:color w:val="000000" w:themeColor="text1"/>
          <w:w w:val="90"/>
        </w:rPr>
      </w:pPr>
    </w:p>
    <w:p w:rsidRPr="00DA4F96" w:rsidR="00DA4F96" w:rsidP="00DA4F96" w:rsidRDefault="00DA4F96" w14:paraId="3BA62BD8" w14:textId="77777777">
      <w:pPr>
        <w:numPr>
          <w:ilvl w:val="0"/>
          <w:numId w:val="16"/>
        </w:numPr>
        <w:rPr>
          <w:color w:val="000000" w:themeColor="text1"/>
          <w:w w:val="90"/>
        </w:rPr>
      </w:pPr>
      <w:r w:rsidRPr="00DA4F96">
        <w:rPr>
          <w:color w:val="000000" w:themeColor="text1"/>
          <w:w w:val="90"/>
        </w:rPr>
        <w:t>the relevant task-specific Quality Assurance (QA) criteria.</w:t>
      </w:r>
    </w:p>
    <w:p w:rsidRPr="00DA4F96" w:rsidR="00DA4F96" w:rsidP="00DA4F96" w:rsidRDefault="00DA4F96" w14:paraId="70ECD488" w14:textId="77777777">
      <w:pPr>
        <w:numPr>
          <w:ilvl w:val="0"/>
          <w:numId w:val="16"/>
        </w:numPr>
        <w:rPr>
          <w:color w:val="000000" w:themeColor="text1"/>
          <w:w w:val="90"/>
        </w:rPr>
      </w:pPr>
      <w:r w:rsidRPr="00DA4F96">
        <w:rPr>
          <w:color w:val="000000" w:themeColor="text1"/>
          <w:w w:val="90"/>
        </w:rPr>
        <w:t>how the recipient will ensure adherence with the QA criteria.</w:t>
      </w:r>
    </w:p>
    <w:p w:rsidRPr="00DA4F96" w:rsidR="00DA4F96" w:rsidP="00DA4F96" w:rsidRDefault="00DA4F96" w14:paraId="48A26828" w14:textId="77777777">
      <w:pPr>
        <w:numPr>
          <w:ilvl w:val="0"/>
          <w:numId w:val="16"/>
        </w:numPr>
        <w:rPr>
          <w:color w:val="000000" w:themeColor="text1"/>
          <w:w w:val="90"/>
        </w:rPr>
      </w:pPr>
      <w:r w:rsidRPr="00DA4F96">
        <w:rPr>
          <w:color w:val="000000" w:themeColor="text1"/>
          <w:w w:val="90"/>
        </w:rPr>
        <w:t>how the recipient will confirm and document the project deliverables meet the QA criteria.</w:t>
      </w:r>
    </w:p>
    <w:p w:rsidRPr="00DA4F96" w:rsidR="00DA4F96" w:rsidP="00DA4F96" w:rsidRDefault="00DA4F96" w14:paraId="19829F06" w14:textId="77777777">
      <w:pPr>
        <w:rPr>
          <w:color w:val="000000" w:themeColor="text1"/>
          <w:w w:val="90"/>
        </w:rPr>
      </w:pPr>
    </w:p>
    <w:p w:rsidRPr="00DA4F96" w:rsidR="00DA4F96" w:rsidP="00DA4F96" w:rsidRDefault="00DA4F96" w14:paraId="431B7083" w14:textId="11BE235D">
      <w:pPr>
        <w:rPr>
          <w:color w:val="000000" w:themeColor="text1"/>
          <w:w w:val="90"/>
        </w:rPr>
      </w:pPr>
      <w:r w:rsidRPr="00DA4F96">
        <w:rPr>
          <w:color w:val="000000" w:themeColor="text1"/>
          <w:w w:val="90"/>
        </w:rPr>
        <w:t xml:space="preserve">The QA criteria information specified above must be documented for each goal and task under the Quality Assurance Measures section of the Exchange Network QARF. The template for the Exchange Network QARF can be found at: </w:t>
      </w:r>
      <w:hyperlink w:history="1" w:anchor="QARF" r:id="rId24">
        <w:r w:rsidRPr="00DA4F96">
          <w:rPr>
            <w:rStyle w:val="Hyperlink"/>
            <w:w w:val="90"/>
          </w:rPr>
          <w:t>https://www.epa.gov/exchangenetwork/exchange-network-grant-program#QARF</w:t>
        </w:r>
      </w:hyperlink>
      <w:r w:rsidRPr="00DA4F96">
        <w:rPr>
          <w:color w:val="000000" w:themeColor="text1"/>
          <w:w w:val="90"/>
        </w:rPr>
        <w:t>. Please note that if an EN grantee’s project includes data collection and/or data monitoring, they should work with their RENCs to determine if a Q</w:t>
      </w:r>
      <w:r w:rsidR="0006644B">
        <w:rPr>
          <w:color w:val="000000" w:themeColor="text1"/>
          <w:w w:val="90"/>
        </w:rPr>
        <w:t>ARF</w:t>
      </w:r>
      <w:r w:rsidRPr="00DA4F96">
        <w:rPr>
          <w:color w:val="000000" w:themeColor="text1"/>
          <w:w w:val="90"/>
        </w:rPr>
        <w:t xml:space="preserve"> is also required.</w:t>
      </w:r>
    </w:p>
    <w:p w:rsidRPr="00DA4F96" w:rsidR="00DA4F96" w:rsidP="00DA4F96" w:rsidRDefault="00DA4F96" w14:paraId="0EB8286F" w14:textId="77777777">
      <w:pPr>
        <w:rPr>
          <w:color w:val="000000" w:themeColor="text1"/>
          <w:w w:val="90"/>
        </w:rPr>
      </w:pPr>
    </w:p>
    <w:p w:rsidRPr="00C26884" w:rsidR="00DA4F96" w:rsidP="00DA4F96" w:rsidRDefault="00DA4F96" w14:paraId="49F3F1CE" w14:textId="185CC1DB">
      <w:pPr>
        <w:rPr>
          <w:color w:val="000000" w:themeColor="text1"/>
          <w:w w:val="90"/>
        </w:rPr>
      </w:pPr>
      <w:r w:rsidRPr="00C26884">
        <w:rPr>
          <w:color w:val="000000" w:themeColor="text1"/>
          <w:w w:val="90"/>
        </w:rPr>
        <w:t>Semi-Annual Performance Progress Reports</w:t>
      </w:r>
      <w:r w:rsidR="00F97E03">
        <w:rPr>
          <w:color w:val="000000" w:themeColor="text1"/>
          <w:w w:val="90"/>
        </w:rPr>
        <w:t xml:space="preserve"> and Final Progress Reports</w:t>
      </w:r>
      <w:r w:rsidRPr="00C26884">
        <w:rPr>
          <w:color w:val="000000" w:themeColor="text1"/>
          <w:w w:val="90"/>
        </w:rPr>
        <w:t>:</w:t>
      </w:r>
    </w:p>
    <w:p w:rsidRPr="00DA4F96" w:rsidR="00DA4F96" w:rsidP="00DA4F96" w:rsidRDefault="00DA4F96" w14:paraId="2E90509E" w14:textId="77777777">
      <w:pPr>
        <w:rPr>
          <w:color w:val="000000" w:themeColor="text1"/>
          <w:w w:val="90"/>
        </w:rPr>
      </w:pPr>
    </w:p>
    <w:p w:rsidRPr="00DA4F96" w:rsidR="00DA4F96" w:rsidP="00DA4F96" w:rsidRDefault="00DA4F96" w14:paraId="71717CA3" w14:textId="18415034">
      <w:pPr>
        <w:rPr>
          <w:color w:val="000000" w:themeColor="text1"/>
          <w:w w:val="90"/>
        </w:rPr>
      </w:pPr>
      <w:r w:rsidRPr="00DA4F96">
        <w:rPr>
          <w:color w:val="000000" w:themeColor="text1"/>
          <w:w w:val="90"/>
        </w:rPr>
        <w:t xml:space="preserve">All grantees, regardless of the funding vehicle, are expected to submit semi-annual progress reports in a timely fashion. Award recipients will submit semi-annual and final </w:t>
      </w:r>
      <w:r w:rsidR="00F97E03">
        <w:rPr>
          <w:color w:val="000000" w:themeColor="text1"/>
          <w:w w:val="90"/>
        </w:rPr>
        <w:t xml:space="preserve">progress </w:t>
      </w:r>
      <w:r w:rsidRPr="00DA4F96">
        <w:rPr>
          <w:color w:val="000000" w:themeColor="text1"/>
          <w:w w:val="90"/>
        </w:rPr>
        <w:t xml:space="preserve">reports electronically through EPA’s </w:t>
      </w:r>
      <w:hyperlink w:history="1" r:id="rId25">
        <w:r w:rsidRPr="00DA4F96">
          <w:rPr>
            <w:rStyle w:val="Hyperlink"/>
            <w:w w:val="90"/>
          </w:rPr>
          <w:t>Central Data Exchange (CDX).</w:t>
        </w:r>
      </w:hyperlink>
    </w:p>
    <w:p w:rsidR="00A96488" w:rsidP="00A96488" w:rsidRDefault="00A96488" w14:paraId="45038658" w14:textId="38DF559F">
      <w:pPr>
        <w:pStyle w:val="Heading2"/>
      </w:pPr>
      <w:bookmarkStart w:name="_Toc399793764" w:id="19"/>
      <w:bookmarkStart w:name="_Toc485303841" w:id="20"/>
      <w:bookmarkStart w:name="_Toc485722212" w:id="21"/>
      <w:bookmarkStart w:name="_Toc485722568" w:id="22"/>
    </w:p>
    <w:p w:rsidRPr="0006644B" w:rsidR="00A96488" w:rsidP="00A96488" w:rsidRDefault="00A96488" w14:paraId="3345A706" w14:textId="77777777">
      <w:pPr>
        <w:pStyle w:val="Heading2"/>
        <w:rPr>
          <w:sz w:val="24"/>
          <w:szCs w:val="24"/>
        </w:rPr>
      </w:pPr>
      <w:bookmarkStart w:name="_Toc498498218" w:id="23"/>
      <w:r w:rsidRPr="0006644B">
        <w:rPr>
          <w:sz w:val="24"/>
          <w:szCs w:val="24"/>
        </w:rPr>
        <w:t>VI-C. Reporting</w:t>
      </w:r>
      <w:bookmarkEnd w:id="19"/>
      <w:bookmarkEnd w:id="20"/>
      <w:bookmarkEnd w:id="21"/>
      <w:bookmarkEnd w:id="22"/>
      <w:bookmarkEnd w:id="23"/>
    </w:p>
    <w:p w:rsidRPr="00C5457A" w:rsidR="00A96488" w:rsidP="00A96488" w:rsidRDefault="00A96488" w14:paraId="12256ED8" w14:textId="0CEE4788">
      <w:pPr>
        <w:spacing w:line="270" w:lineRule="exact"/>
        <w:ind w:right="64"/>
        <w:rPr>
          <w:color w:val="000000" w:themeColor="text1"/>
        </w:rPr>
      </w:pPr>
      <w:r w:rsidRPr="2C5945B1">
        <w:rPr>
          <w:b/>
          <w:bCs/>
          <w:color w:val="000000" w:themeColor="text1"/>
          <w:w w:val="90"/>
        </w:rPr>
        <w:t xml:space="preserve">Semi-Annual Performance Progress Reports: </w:t>
      </w:r>
      <w:r w:rsidRPr="00C5457A">
        <w:rPr>
          <w:color w:val="000000" w:themeColor="text1"/>
          <w:w w:val="90"/>
        </w:rPr>
        <w:t>Reporting is an important obligation that award recipients agree to undertake when they sign an assistance agreement. Both EPA and recipients are accountable to Congress and to the public for the proper and effective use of Exchange Network assistance funds.</w:t>
      </w:r>
      <w:r w:rsidRPr="005A736B">
        <w:rPr>
          <w:color w:val="000000" w:themeColor="text1"/>
          <w:w w:val="90"/>
        </w:rPr>
        <w:t xml:space="preserve"> </w:t>
      </w:r>
      <w:r>
        <w:rPr>
          <w:color w:val="000000" w:themeColor="text1"/>
          <w:w w:val="90"/>
        </w:rPr>
        <w:t xml:space="preserve">All grantees, regardless of the funding vehicle, are expected to submit semi-annual progress reports in a timely </w:t>
      </w:r>
      <w:r>
        <w:rPr>
          <w:color w:val="000000" w:themeColor="text1"/>
          <w:w w:val="90"/>
        </w:rPr>
        <w:lastRenderedPageBreak/>
        <w:t xml:space="preserve">fashion. </w:t>
      </w:r>
      <w:r w:rsidRPr="00C5457A">
        <w:rPr>
          <w:color w:val="000000" w:themeColor="text1"/>
          <w:w w:val="90"/>
        </w:rPr>
        <w:t xml:space="preserve">Award recipients will submit semi-annual and final </w:t>
      </w:r>
      <w:r w:rsidR="00D17328">
        <w:rPr>
          <w:color w:val="000000" w:themeColor="text1"/>
          <w:w w:val="90"/>
        </w:rPr>
        <w:t>Progress</w:t>
      </w:r>
      <w:r w:rsidRPr="00C5457A" w:rsidR="00D17328">
        <w:rPr>
          <w:color w:val="000000" w:themeColor="text1"/>
          <w:w w:val="90"/>
        </w:rPr>
        <w:t xml:space="preserve"> </w:t>
      </w:r>
      <w:r w:rsidRPr="00C5457A">
        <w:rPr>
          <w:color w:val="000000" w:themeColor="text1"/>
          <w:w w:val="90"/>
        </w:rPr>
        <w:t xml:space="preserve">reports electronically through EPA’s Central Data Exchange (CDX) using a </w:t>
      </w:r>
      <w:r>
        <w:rPr>
          <w:color w:val="000000" w:themeColor="text1"/>
          <w:w w:val="90"/>
        </w:rPr>
        <w:t>w</w:t>
      </w:r>
      <w:r w:rsidRPr="00C5457A">
        <w:rPr>
          <w:color w:val="000000" w:themeColor="text1"/>
          <w:w w:val="90"/>
        </w:rPr>
        <w:t xml:space="preserve">eb form. </w:t>
      </w:r>
      <w:r w:rsidR="00D17328">
        <w:rPr>
          <w:color w:val="000000" w:themeColor="text1"/>
          <w:w w:val="90"/>
        </w:rPr>
        <w:t xml:space="preserve">In addition, the new award recipient shall submit quality assurance </w:t>
      </w:r>
      <w:r w:rsidR="00097DE1">
        <w:rPr>
          <w:color w:val="000000" w:themeColor="text1"/>
          <w:w w:val="90"/>
        </w:rPr>
        <w:t>reporting form</w:t>
      </w:r>
      <w:r w:rsidR="00D17328">
        <w:rPr>
          <w:color w:val="000000" w:themeColor="text1"/>
          <w:w w:val="90"/>
        </w:rPr>
        <w:t xml:space="preserve"> within 90 days of the grant award electronically </w:t>
      </w:r>
      <w:r w:rsidRPr="0006644B" w:rsidR="00D17328">
        <w:rPr>
          <w:color w:val="000000" w:themeColor="text1"/>
          <w:w w:val="90"/>
        </w:rPr>
        <w:t>through CDX using a web form.</w:t>
      </w:r>
      <w:r w:rsidR="00D17328">
        <w:rPr>
          <w:color w:val="000000" w:themeColor="text1"/>
          <w:w w:val="90"/>
        </w:rPr>
        <w:t xml:space="preserve"> </w:t>
      </w:r>
      <w:r w:rsidRPr="00C5457A">
        <w:rPr>
          <w:color w:val="000000" w:themeColor="text1"/>
          <w:w w:val="90"/>
        </w:rPr>
        <w:t>EPA will provide successful applicants with detailed instructions for registering with and reporting through CDX at the time of award.</w:t>
      </w:r>
    </w:p>
    <w:p w:rsidR="00A96488" w:rsidP="00C66826" w:rsidRDefault="00A96488" w14:paraId="48ED358E" w14:textId="77777777"/>
    <w:sectPr w:rsidR="00A96488" w:rsidSect="00FE537D">
      <w:headerReference w:type="default" r:id="rId26"/>
      <w:footerReference w:type="default" r:id="rId27"/>
      <w:type w:val="continuous"/>
      <w:pgSz w:w="12240" w:h="15840" w:code="1"/>
      <w:pgMar w:top="1440" w:right="1440" w:bottom="1440" w:left="1440" w:header="720" w:footer="720" w:gutter="0"/>
      <w:pgNumType w:start="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Purdy, Mark" w:date="2021-05-24T14:56:00Z" w:initials="PM">
    <w:p w14:paraId="78C93B5C" w14:textId="1140D669" w:rsidR="00A277C0" w:rsidRDefault="00A277C0">
      <w:pPr>
        <w:pStyle w:val="CommentText"/>
      </w:pPr>
      <w:r>
        <w:rPr>
          <w:rStyle w:val="CommentReference"/>
        </w:rPr>
        <w:annotationRef/>
      </w:r>
      <w:r>
        <w:t>Consultations need to be completed with respondents, not EPA staff. Have you consulted with respondents?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8C93B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63D2C" w16cex:dateUtc="2021-05-24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C93B5C" w16cid:durableId="24563D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125E4" w14:textId="77777777" w:rsidR="00A277C0" w:rsidRDefault="00A277C0">
      <w:r>
        <w:separator/>
      </w:r>
    </w:p>
  </w:endnote>
  <w:endnote w:type="continuationSeparator" w:id="0">
    <w:p w14:paraId="6C0296A7" w14:textId="77777777" w:rsidR="00A277C0" w:rsidRDefault="00A27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ABAD7" w14:textId="77777777" w:rsidR="00A277C0" w:rsidRDefault="00A277C0" w:rsidP="008F6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DEA632" w14:textId="77777777" w:rsidR="00A277C0" w:rsidRDefault="00A277C0" w:rsidP="008F66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42C6F" w14:textId="4C75A0F3" w:rsidR="00A277C0" w:rsidRDefault="003D1908">
    <w:pPr>
      <w:pStyle w:val="Footer"/>
      <w:jc w:val="right"/>
    </w:pPr>
    <w:sdt>
      <w:sdtPr>
        <w:id w:val="-1168936385"/>
        <w:docPartObj>
          <w:docPartGallery w:val="Page Numbers (Bottom of Page)"/>
          <w:docPartUnique/>
        </w:docPartObj>
      </w:sdtPr>
      <w:sdtEndPr>
        <w:rPr>
          <w:noProof/>
        </w:rPr>
      </w:sdtEndPr>
      <w:sdtContent>
        <w:r w:rsidR="00A277C0">
          <w:fldChar w:fldCharType="begin"/>
        </w:r>
        <w:r w:rsidR="00A277C0">
          <w:instrText xml:space="preserve"> PAGE   \* MERGEFORMAT </w:instrText>
        </w:r>
        <w:r w:rsidR="00A277C0">
          <w:fldChar w:fldCharType="separate"/>
        </w:r>
        <w:r w:rsidR="00A277C0">
          <w:rPr>
            <w:noProof/>
          </w:rPr>
          <w:t>2</w:t>
        </w:r>
        <w:r w:rsidR="00A277C0">
          <w:rPr>
            <w:noProof/>
          </w:rPr>
          <w:fldChar w:fldCharType="end"/>
        </w:r>
      </w:sdtContent>
    </w:sdt>
  </w:p>
  <w:p w14:paraId="7E193C71" w14:textId="3A0FE980" w:rsidR="00A277C0" w:rsidRDefault="00A277C0" w:rsidP="001E129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3361290"/>
      <w:docPartObj>
        <w:docPartGallery w:val="Page Numbers (Bottom of Page)"/>
        <w:docPartUnique/>
      </w:docPartObj>
    </w:sdtPr>
    <w:sdtEndPr>
      <w:rPr>
        <w:noProof/>
      </w:rPr>
    </w:sdtEndPr>
    <w:sdtContent>
      <w:p w14:paraId="34CDBE7D" w14:textId="425B3979" w:rsidR="00A277C0" w:rsidRDefault="00A277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05809A" w14:textId="77777777" w:rsidR="00A277C0" w:rsidRDefault="00A277C0" w:rsidP="001E129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5473570"/>
      <w:docPartObj>
        <w:docPartGallery w:val="Page Numbers (Bottom of Page)"/>
        <w:docPartUnique/>
      </w:docPartObj>
    </w:sdtPr>
    <w:sdtEndPr>
      <w:rPr>
        <w:noProof/>
      </w:rPr>
    </w:sdtEndPr>
    <w:sdtContent>
      <w:p w14:paraId="346BD68C" w14:textId="6B5EF106" w:rsidR="00A277C0" w:rsidRDefault="00A277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33396F" w14:textId="40528B09" w:rsidR="00A277C0" w:rsidRDefault="00A277C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7E774" w14:textId="77777777" w:rsidR="00A277C0" w:rsidRDefault="00A277C0">
      <w:r>
        <w:separator/>
      </w:r>
    </w:p>
  </w:footnote>
  <w:footnote w:type="continuationSeparator" w:id="0">
    <w:p w14:paraId="64669D3E" w14:textId="77777777" w:rsidR="00A277C0" w:rsidRDefault="00A277C0">
      <w:r>
        <w:continuationSeparator/>
      </w:r>
    </w:p>
  </w:footnote>
  <w:footnote w:id="1">
    <w:p w14:paraId="3B90E78C" w14:textId="61C8597A" w:rsidR="00A277C0" w:rsidRDefault="00A277C0">
      <w:pPr>
        <w:pStyle w:val="FootnoteText"/>
      </w:pPr>
      <w:r w:rsidRPr="00107B2F">
        <w:rPr>
          <w:vertAlign w:val="superscript"/>
        </w:rPr>
        <w:t>1</w:t>
      </w:r>
      <w:r w:rsidRPr="00E07802">
        <w:t>Using the most recent data from Bureau of Labor Statistics,</w:t>
      </w:r>
      <w:r>
        <w:t xml:space="preserve"> </w:t>
      </w:r>
      <w:hyperlink r:id="rId1" w:history="1">
        <w:r w:rsidRPr="00E07802">
          <w:rPr>
            <w:rStyle w:val="Hyperlink"/>
          </w:rPr>
          <w:t>https://www.bls.gov/news.release/pdf/ecec.pdf</w:t>
        </w:r>
      </w:hyperlink>
      <w:r w:rsidRPr="00E07802">
        <w:t xml:space="preserve">, </w:t>
      </w:r>
      <w:r>
        <w:t xml:space="preserve"> </w:t>
      </w:r>
      <w:r w:rsidRPr="00E07802">
        <w:t>page 6, Table 3. Employer Costs for Employee Compensation for state and local government workers by occupational and industry group, identifies a</w:t>
      </w:r>
      <w:r>
        <w:t>n average</w:t>
      </w:r>
      <w:r w:rsidRPr="00E07802">
        <w:t xml:space="preserve"> loaded rate of $63.</w:t>
      </w:r>
      <w:r>
        <w:t>11</w:t>
      </w:r>
      <w:r w:rsidRPr="00E07802">
        <w:t xml:space="preserve"> for wages, salaries, and benefits for several occupations for state and local agencies expected to apply for grants or fellowships.</w:t>
      </w:r>
    </w:p>
    <w:p w14:paraId="28E0B90A" w14:textId="77777777" w:rsidR="00A277C0" w:rsidRDefault="00A277C0">
      <w:r w:rsidRPr="00E07802">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38B39" w14:textId="19961552" w:rsidR="00A277C0" w:rsidRDefault="00A277C0" w:rsidP="000067F4">
    <w:pPr>
      <w:pStyle w:val="Header"/>
    </w:pPr>
  </w:p>
  <w:p w14:paraId="4BFB9F78" w14:textId="0131BCC5" w:rsidR="00A277C0" w:rsidRDefault="00A27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91057" w14:textId="31EE97D8" w:rsidR="00A277C0" w:rsidRDefault="00A277C0" w:rsidP="00A0468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D14A7"/>
    <w:multiLevelType w:val="hybridMultilevel"/>
    <w:tmpl w:val="DA80230C"/>
    <w:lvl w:ilvl="0" w:tplc="0409000F">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360"/>
        </w:tabs>
        <w:ind w:left="360" w:hanging="360"/>
      </w:pPr>
      <w:rPr>
        <w:rFonts w:hint="default"/>
      </w:rPr>
    </w:lvl>
    <w:lvl w:ilvl="2" w:tplc="023C1B9C">
      <w:start w:val="1"/>
      <w:numFmt w:val="bullet"/>
      <w:lvlText w:val=""/>
      <w:lvlJc w:val="left"/>
      <w:pPr>
        <w:tabs>
          <w:tab w:val="num" w:pos="2160"/>
        </w:tabs>
        <w:ind w:left="2160" w:hanging="360"/>
      </w:pPr>
      <w:rPr>
        <w:rFonts w:ascii="Symbol" w:hAnsi="Symbol" w:hint="default"/>
        <w:sz w:val="20"/>
        <w:szCs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D4138"/>
    <w:multiLevelType w:val="hybridMultilevel"/>
    <w:tmpl w:val="6B7264D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DEB03D7"/>
    <w:multiLevelType w:val="hybridMultilevel"/>
    <w:tmpl w:val="ED905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1A76BD"/>
    <w:multiLevelType w:val="hybridMultilevel"/>
    <w:tmpl w:val="BBAE7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666607"/>
    <w:multiLevelType w:val="hybridMultilevel"/>
    <w:tmpl w:val="E446D5F6"/>
    <w:lvl w:ilvl="0" w:tplc="D60E524C">
      <w:numFmt w:val="bullet"/>
      <w:lvlText w:val=""/>
      <w:lvlJc w:val="left"/>
      <w:pPr>
        <w:ind w:left="1000" w:hanging="361"/>
      </w:pPr>
      <w:rPr>
        <w:rFonts w:ascii="Wingdings" w:eastAsia="Wingdings" w:hAnsi="Wingdings" w:cs="Wingdings" w:hint="default"/>
        <w:w w:val="100"/>
        <w:sz w:val="24"/>
        <w:szCs w:val="24"/>
        <w:lang w:val="en-US" w:eastAsia="en-US" w:bidi="ar-SA"/>
      </w:rPr>
    </w:lvl>
    <w:lvl w:ilvl="1" w:tplc="A8D23544">
      <w:numFmt w:val="bullet"/>
      <w:lvlText w:val="•"/>
      <w:lvlJc w:val="left"/>
      <w:pPr>
        <w:ind w:left="1912" w:hanging="361"/>
      </w:pPr>
      <w:rPr>
        <w:lang w:val="en-US" w:eastAsia="en-US" w:bidi="ar-SA"/>
      </w:rPr>
    </w:lvl>
    <w:lvl w:ilvl="2" w:tplc="E952B2D0">
      <w:numFmt w:val="bullet"/>
      <w:lvlText w:val="•"/>
      <w:lvlJc w:val="left"/>
      <w:pPr>
        <w:ind w:left="2824" w:hanging="361"/>
      </w:pPr>
      <w:rPr>
        <w:lang w:val="en-US" w:eastAsia="en-US" w:bidi="ar-SA"/>
      </w:rPr>
    </w:lvl>
    <w:lvl w:ilvl="3" w:tplc="6986A52E">
      <w:numFmt w:val="bullet"/>
      <w:lvlText w:val="•"/>
      <w:lvlJc w:val="left"/>
      <w:pPr>
        <w:ind w:left="3736" w:hanging="361"/>
      </w:pPr>
      <w:rPr>
        <w:lang w:val="en-US" w:eastAsia="en-US" w:bidi="ar-SA"/>
      </w:rPr>
    </w:lvl>
    <w:lvl w:ilvl="4" w:tplc="497A5D62">
      <w:numFmt w:val="bullet"/>
      <w:lvlText w:val="•"/>
      <w:lvlJc w:val="left"/>
      <w:pPr>
        <w:ind w:left="4648" w:hanging="361"/>
      </w:pPr>
      <w:rPr>
        <w:lang w:val="en-US" w:eastAsia="en-US" w:bidi="ar-SA"/>
      </w:rPr>
    </w:lvl>
    <w:lvl w:ilvl="5" w:tplc="D98207E2">
      <w:numFmt w:val="bullet"/>
      <w:lvlText w:val="•"/>
      <w:lvlJc w:val="left"/>
      <w:pPr>
        <w:ind w:left="5560" w:hanging="361"/>
      </w:pPr>
      <w:rPr>
        <w:lang w:val="en-US" w:eastAsia="en-US" w:bidi="ar-SA"/>
      </w:rPr>
    </w:lvl>
    <w:lvl w:ilvl="6" w:tplc="E99EF2AC">
      <w:numFmt w:val="bullet"/>
      <w:lvlText w:val="•"/>
      <w:lvlJc w:val="left"/>
      <w:pPr>
        <w:ind w:left="6472" w:hanging="361"/>
      </w:pPr>
      <w:rPr>
        <w:lang w:val="en-US" w:eastAsia="en-US" w:bidi="ar-SA"/>
      </w:rPr>
    </w:lvl>
    <w:lvl w:ilvl="7" w:tplc="62CA48BC">
      <w:numFmt w:val="bullet"/>
      <w:lvlText w:val="•"/>
      <w:lvlJc w:val="left"/>
      <w:pPr>
        <w:ind w:left="7384" w:hanging="361"/>
      </w:pPr>
      <w:rPr>
        <w:lang w:val="en-US" w:eastAsia="en-US" w:bidi="ar-SA"/>
      </w:rPr>
    </w:lvl>
    <w:lvl w:ilvl="8" w:tplc="B76672B0">
      <w:numFmt w:val="bullet"/>
      <w:lvlText w:val="•"/>
      <w:lvlJc w:val="left"/>
      <w:pPr>
        <w:ind w:left="8296" w:hanging="361"/>
      </w:pPr>
      <w:rPr>
        <w:lang w:val="en-US" w:eastAsia="en-US" w:bidi="ar-SA"/>
      </w:rPr>
    </w:lvl>
  </w:abstractNum>
  <w:abstractNum w:abstractNumId="5" w15:restartNumberingAfterBreak="0">
    <w:nsid w:val="34304456"/>
    <w:multiLevelType w:val="hybridMultilevel"/>
    <w:tmpl w:val="ABF8EB6C"/>
    <w:lvl w:ilvl="0" w:tplc="C24C6DD4">
      <w:start w:val="1"/>
      <w:numFmt w:val="bullet"/>
      <w:lvlText w:val="•"/>
      <w:lvlJc w:val="left"/>
      <w:pPr>
        <w:ind w:left="420" w:hanging="360"/>
      </w:pPr>
      <w:rPr>
        <w:rFonts w:ascii="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BDB006B"/>
    <w:multiLevelType w:val="hybridMultilevel"/>
    <w:tmpl w:val="25F0D746"/>
    <w:lvl w:ilvl="0" w:tplc="EF7050C6">
      <w:start w:val="1"/>
      <w:numFmt w:val="lowerLetter"/>
      <w:lvlText w:val="(%1)"/>
      <w:lvlJc w:val="left"/>
      <w:pPr>
        <w:tabs>
          <w:tab w:val="num" w:pos="1151"/>
        </w:tabs>
        <w:ind w:left="1151" w:hanging="435"/>
      </w:pPr>
      <w:rPr>
        <w:rFonts w:hint="default"/>
      </w:rPr>
    </w:lvl>
    <w:lvl w:ilvl="1" w:tplc="04090019" w:tentative="1">
      <w:start w:val="1"/>
      <w:numFmt w:val="lowerLetter"/>
      <w:lvlText w:val="%2."/>
      <w:lvlJc w:val="left"/>
      <w:pPr>
        <w:tabs>
          <w:tab w:val="num" w:pos="1796"/>
        </w:tabs>
        <w:ind w:left="1796" w:hanging="360"/>
      </w:pPr>
    </w:lvl>
    <w:lvl w:ilvl="2" w:tplc="0409001B" w:tentative="1">
      <w:start w:val="1"/>
      <w:numFmt w:val="lowerRoman"/>
      <w:lvlText w:val="%3."/>
      <w:lvlJc w:val="right"/>
      <w:pPr>
        <w:tabs>
          <w:tab w:val="num" w:pos="2516"/>
        </w:tabs>
        <w:ind w:left="2516" w:hanging="180"/>
      </w:pPr>
    </w:lvl>
    <w:lvl w:ilvl="3" w:tplc="0409000F" w:tentative="1">
      <w:start w:val="1"/>
      <w:numFmt w:val="decimal"/>
      <w:lvlText w:val="%4."/>
      <w:lvlJc w:val="left"/>
      <w:pPr>
        <w:tabs>
          <w:tab w:val="num" w:pos="3236"/>
        </w:tabs>
        <w:ind w:left="3236" w:hanging="360"/>
      </w:pPr>
    </w:lvl>
    <w:lvl w:ilvl="4" w:tplc="04090019" w:tentative="1">
      <w:start w:val="1"/>
      <w:numFmt w:val="lowerLetter"/>
      <w:lvlText w:val="%5."/>
      <w:lvlJc w:val="left"/>
      <w:pPr>
        <w:tabs>
          <w:tab w:val="num" w:pos="3956"/>
        </w:tabs>
        <w:ind w:left="3956" w:hanging="360"/>
      </w:pPr>
    </w:lvl>
    <w:lvl w:ilvl="5" w:tplc="0409001B" w:tentative="1">
      <w:start w:val="1"/>
      <w:numFmt w:val="lowerRoman"/>
      <w:lvlText w:val="%6."/>
      <w:lvlJc w:val="right"/>
      <w:pPr>
        <w:tabs>
          <w:tab w:val="num" w:pos="4676"/>
        </w:tabs>
        <w:ind w:left="4676" w:hanging="180"/>
      </w:pPr>
    </w:lvl>
    <w:lvl w:ilvl="6" w:tplc="0409000F" w:tentative="1">
      <w:start w:val="1"/>
      <w:numFmt w:val="decimal"/>
      <w:lvlText w:val="%7."/>
      <w:lvlJc w:val="left"/>
      <w:pPr>
        <w:tabs>
          <w:tab w:val="num" w:pos="5396"/>
        </w:tabs>
        <w:ind w:left="5396" w:hanging="360"/>
      </w:pPr>
    </w:lvl>
    <w:lvl w:ilvl="7" w:tplc="04090019" w:tentative="1">
      <w:start w:val="1"/>
      <w:numFmt w:val="lowerLetter"/>
      <w:lvlText w:val="%8."/>
      <w:lvlJc w:val="left"/>
      <w:pPr>
        <w:tabs>
          <w:tab w:val="num" w:pos="6116"/>
        </w:tabs>
        <w:ind w:left="6116" w:hanging="360"/>
      </w:pPr>
    </w:lvl>
    <w:lvl w:ilvl="8" w:tplc="0409001B" w:tentative="1">
      <w:start w:val="1"/>
      <w:numFmt w:val="lowerRoman"/>
      <w:lvlText w:val="%9."/>
      <w:lvlJc w:val="right"/>
      <w:pPr>
        <w:tabs>
          <w:tab w:val="num" w:pos="6836"/>
        </w:tabs>
        <w:ind w:left="6836" w:hanging="180"/>
      </w:pPr>
    </w:lvl>
  </w:abstractNum>
  <w:abstractNum w:abstractNumId="7" w15:restartNumberingAfterBreak="0">
    <w:nsid w:val="56C62EF1"/>
    <w:multiLevelType w:val="hybridMultilevel"/>
    <w:tmpl w:val="0AC8F2F4"/>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8" w15:restartNumberingAfterBreak="0">
    <w:nsid w:val="5A2755F1"/>
    <w:multiLevelType w:val="hybridMultilevel"/>
    <w:tmpl w:val="7FB8330E"/>
    <w:lvl w:ilvl="0" w:tplc="0409000B">
      <w:start w:val="1"/>
      <w:numFmt w:val="bullet"/>
      <w:lvlText w:val=""/>
      <w:lvlJc w:val="left"/>
      <w:pPr>
        <w:ind w:left="840" w:hanging="360"/>
      </w:pPr>
      <w:rPr>
        <w:rFonts w:ascii="Wingdings" w:hAnsi="Wingdings"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15:restartNumberingAfterBreak="0">
    <w:nsid w:val="5BD004A3"/>
    <w:multiLevelType w:val="hybridMultilevel"/>
    <w:tmpl w:val="956029B8"/>
    <w:lvl w:ilvl="0" w:tplc="023C1B9C">
      <w:start w:val="1"/>
      <w:numFmt w:val="bullet"/>
      <w:lvlText w:val=""/>
      <w:lvlJc w:val="left"/>
      <w:pPr>
        <w:tabs>
          <w:tab w:val="num" w:pos="360"/>
        </w:tabs>
        <w:ind w:left="360" w:hanging="360"/>
      </w:pPr>
      <w:rPr>
        <w:rFonts w:ascii="Symbol" w:hAnsi="Symbol" w:hint="default"/>
        <w:sz w:val="20"/>
        <w:szCs w:val="20"/>
      </w:rPr>
    </w:lvl>
    <w:lvl w:ilvl="1" w:tplc="04090011">
      <w:start w:val="1"/>
      <w:numFmt w:val="decimal"/>
      <w:lvlText w:val="%2)"/>
      <w:lvlJc w:val="left"/>
      <w:pPr>
        <w:tabs>
          <w:tab w:val="num" w:pos="1440"/>
        </w:tabs>
        <w:ind w:left="1440" w:hanging="360"/>
      </w:pPr>
      <w:rPr>
        <w:rFont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2B3307"/>
    <w:multiLevelType w:val="hybridMultilevel"/>
    <w:tmpl w:val="CE288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7D54E3"/>
    <w:multiLevelType w:val="hybridMultilevel"/>
    <w:tmpl w:val="B0D0984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0BF5660"/>
    <w:multiLevelType w:val="hybridMultilevel"/>
    <w:tmpl w:val="11927ED0"/>
    <w:lvl w:ilvl="0" w:tplc="B9768924">
      <w:start w:val="1"/>
      <w:numFmt w:val="lowerLetter"/>
      <w:lvlText w:val="(%1)"/>
      <w:lvlJc w:val="left"/>
      <w:pPr>
        <w:tabs>
          <w:tab w:val="num" w:pos="915"/>
        </w:tabs>
        <w:ind w:left="915" w:hanging="37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69215892"/>
    <w:multiLevelType w:val="hybridMultilevel"/>
    <w:tmpl w:val="0E122346"/>
    <w:lvl w:ilvl="0" w:tplc="8B32A0F4">
      <w:start w:val="1"/>
      <w:numFmt w:val="decimal"/>
      <w:lvlText w:val="%1."/>
      <w:lvlJc w:val="left"/>
      <w:pPr>
        <w:tabs>
          <w:tab w:val="num" w:pos="1080"/>
        </w:tabs>
        <w:ind w:left="1080" w:hanging="720"/>
      </w:pPr>
      <w:rPr>
        <w:rFonts w:hint="default"/>
        <w:u w:val="none"/>
      </w:rPr>
    </w:lvl>
    <w:lvl w:ilvl="1" w:tplc="A0C637C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DAB0C11"/>
    <w:multiLevelType w:val="hybridMultilevel"/>
    <w:tmpl w:val="2DC2B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DE3E13"/>
    <w:multiLevelType w:val="hybridMultilevel"/>
    <w:tmpl w:val="BB8EBA36"/>
    <w:lvl w:ilvl="0" w:tplc="E5FED0C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FF1096"/>
    <w:multiLevelType w:val="hybridMultilevel"/>
    <w:tmpl w:val="99863964"/>
    <w:lvl w:ilvl="0" w:tplc="8018AC8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15"/>
  </w:num>
  <w:num w:numId="3">
    <w:abstractNumId w:val="6"/>
  </w:num>
  <w:num w:numId="4">
    <w:abstractNumId w:val="11"/>
  </w:num>
  <w:num w:numId="5">
    <w:abstractNumId w:val="12"/>
  </w:num>
  <w:num w:numId="6">
    <w:abstractNumId w:val="16"/>
  </w:num>
  <w:num w:numId="7">
    <w:abstractNumId w:val="0"/>
  </w:num>
  <w:num w:numId="8">
    <w:abstractNumId w:val="9"/>
  </w:num>
  <w:num w:numId="9">
    <w:abstractNumId w:val="7"/>
  </w:num>
  <w:num w:numId="10">
    <w:abstractNumId w:val="1"/>
  </w:num>
  <w:num w:numId="11">
    <w:abstractNumId w:val="5"/>
  </w:num>
  <w:num w:numId="12">
    <w:abstractNumId w:val="10"/>
  </w:num>
  <w:num w:numId="13">
    <w:abstractNumId w:val="2"/>
  </w:num>
  <w:num w:numId="14">
    <w:abstractNumId w:val="14"/>
  </w:num>
  <w:num w:numId="15">
    <w:abstractNumId w:val="8"/>
  </w:num>
  <w:num w:numId="16">
    <w:abstractNumId w:val="4"/>
  </w:num>
  <w:num w:numId="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urdy, Mark">
    <w15:presenceInfo w15:providerId="AD" w15:userId="S::purdy.mark@epa.gov::f2361a02-fee2-42ac-908e-607b757e00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C3MDQzNDc1MTE3MTJT0lEKTi0uzszPAykwqgUAPjuSSiwAAAA="/>
  </w:docVars>
  <w:rsids>
    <w:rsidRoot w:val="00BA6D69"/>
    <w:rsid w:val="000067F4"/>
    <w:rsid w:val="000069D0"/>
    <w:rsid w:val="000104F4"/>
    <w:rsid w:val="00011A69"/>
    <w:rsid w:val="00015741"/>
    <w:rsid w:val="00026D80"/>
    <w:rsid w:val="00030ACF"/>
    <w:rsid w:val="00030E4D"/>
    <w:rsid w:val="000310CE"/>
    <w:rsid w:val="00032623"/>
    <w:rsid w:val="00033ECD"/>
    <w:rsid w:val="00033FAA"/>
    <w:rsid w:val="00036ED1"/>
    <w:rsid w:val="00036F38"/>
    <w:rsid w:val="00042A8E"/>
    <w:rsid w:val="0004527C"/>
    <w:rsid w:val="000479BC"/>
    <w:rsid w:val="00047F37"/>
    <w:rsid w:val="000546E8"/>
    <w:rsid w:val="0005488B"/>
    <w:rsid w:val="00063E41"/>
    <w:rsid w:val="0006644B"/>
    <w:rsid w:val="000702E7"/>
    <w:rsid w:val="00080C0D"/>
    <w:rsid w:val="00083632"/>
    <w:rsid w:val="00083EFD"/>
    <w:rsid w:val="000920C9"/>
    <w:rsid w:val="00095EFA"/>
    <w:rsid w:val="000963AA"/>
    <w:rsid w:val="0009745F"/>
    <w:rsid w:val="00097DE1"/>
    <w:rsid w:val="000A16E1"/>
    <w:rsid w:val="000A3520"/>
    <w:rsid w:val="000A530C"/>
    <w:rsid w:val="000A6474"/>
    <w:rsid w:val="000A7B11"/>
    <w:rsid w:val="000C1777"/>
    <w:rsid w:val="000C17C1"/>
    <w:rsid w:val="000C4EB3"/>
    <w:rsid w:val="000C6732"/>
    <w:rsid w:val="000D57C2"/>
    <w:rsid w:val="000E44C6"/>
    <w:rsid w:val="000F026B"/>
    <w:rsid w:val="000F03A7"/>
    <w:rsid w:val="000F2A48"/>
    <w:rsid w:val="000F2AB5"/>
    <w:rsid w:val="000F5A25"/>
    <w:rsid w:val="000F5D4D"/>
    <w:rsid w:val="00100151"/>
    <w:rsid w:val="00100F19"/>
    <w:rsid w:val="00107B2F"/>
    <w:rsid w:val="001103B6"/>
    <w:rsid w:val="00112E88"/>
    <w:rsid w:val="001140F2"/>
    <w:rsid w:val="00117AED"/>
    <w:rsid w:val="00120533"/>
    <w:rsid w:val="001222D7"/>
    <w:rsid w:val="001352F5"/>
    <w:rsid w:val="00140663"/>
    <w:rsid w:val="0015055B"/>
    <w:rsid w:val="0015110B"/>
    <w:rsid w:val="001512E4"/>
    <w:rsid w:val="00157D9C"/>
    <w:rsid w:val="00161738"/>
    <w:rsid w:val="001634F5"/>
    <w:rsid w:val="00166238"/>
    <w:rsid w:val="00181D40"/>
    <w:rsid w:val="001845E9"/>
    <w:rsid w:val="0018510B"/>
    <w:rsid w:val="00192286"/>
    <w:rsid w:val="001A0D1C"/>
    <w:rsid w:val="001A1E4C"/>
    <w:rsid w:val="001A4422"/>
    <w:rsid w:val="001A5906"/>
    <w:rsid w:val="001B3898"/>
    <w:rsid w:val="001B6CE8"/>
    <w:rsid w:val="001B7EBE"/>
    <w:rsid w:val="001C4F0C"/>
    <w:rsid w:val="001D056D"/>
    <w:rsid w:val="001D280A"/>
    <w:rsid w:val="001E129B"/>
    <w:rsid w:val="001F1396"/>
    <w:rsid w:val="001F5222"/>
    <w:rsid w:val="0020125B"/>
    <w:rsid w:val="0020242F"/>
    <w:rsid w:val="002024FE"/>
    <w:rsid w:val="002067F3"/>
    <w:rsid w:val="00210143"/>
    <w:rsid w:val="00211DFF"/>
    <w:rsid w:val="00212E25"/>
    <w:rsid w:val="00215427"/>
    <w:rsid w:val="0022127D"/>
    <w:rsid w:val="00223B63"/>
    <w:rsid w:val="002252AE"/>
    <w:rsid w:val="00225E64"/>
    <w:rsid w:val="00232CE3"/>
    <w:rsid w:val="00233376"/>
    <w:rsid w:val="002341B1"/>
    <w:rsid w:val="00234AB1"/>
    <w:rsid w:val="0023535D"/>
    <w:rsid w:val="00236643"/>
    <w:rsid w:val="002373E2"/>
    <w:rsid w:val="00241AA2"/>
    <w:rsid w:val="002439FA"/>
    <w:rsid w:val="00245026"/>
    <w:rsid w:val="0024792F"/>
    <w:rsid w:val="00247E63"/>
    <w:rsid w:val="00273280"/>
    <w:rsid w:val="0028693F"/>
    <w:rsid w:val="00287279"/>
    <w:rsid w:val="00287938"/>
    <w:rsid w:val="002926CB"/>
    <w:rsid w:val="00292949"/>
    <w:rsid w:val="00293094"/>
    <w:rsid w:val="0029363A"/>
    <w:rsid w:val="00296485"/>
    <w:rsid w:val="002B3208"/>
    <w:rsid w:val="002B4B40"/>
    <w:rsid w:val="002B5196"/>
    <w:rsid w:val="002C1242"/>
    <w:rsid w:val="002C12ED"/>
    <w:rsid w:val="002C4F41"/>
    <w:rsid w:val="002C7186"/>
    <w:rsid w:val="002D1C2F"/>
    <w:rsid w:val="002D3D6E"/>
    <w:rsid w:val="002D43A6"/>
    <w:rsid w:val="002E34C6"/>
    <w:rsid w:val="00302FA1"/>
    <w:rsid w:val="003032B4"/>
    <w:rsid w:val="003053FE"/>
    <w:rsid w:val="00323B23"/>
    <w:rsid w:val="003268DC"/>
    <w:rsid w:val="003270B7"/>
    <w:rsid w:val="00327729"/>
    <w:rsid w:val="00337855"/>
    <w:rsid w:val="003427AC"/>
    <w:rsid w:val="00347847"/>
    <w:rsid w:val="00352850"/>
    <w:rsid w:val="003541ED"/>
    <w:rsid w:val="003570BE"/>
    <w:rsid w:val="003641B8"/>
    <w:rsid w:val="00366887"/>
    <w:rsid w:val="00367541"/>
    <w:rsid w:val="0036757E"/>
    <w:rsid w:val="0038264F"/>
    <w:rsid w:val="003835D2"/>
    <w:rsid w:val="003857A4"/>
    <w:rsid w:val="00390C5B"/>
    <w:rsid w:val="003927BB"/>
    <w:rsid w:val="00392995"/>
    <w:rsid w:val="003A18B0"/>
    <w:rsid w:val="003A2EFE"/>
    <w:rsid w:val="003A7650"/>
    <w:rsid w:val="003B1B94"/>
    <w:rsid w:val="003B1C39"/>
    <w:rsid w:val="003C25D4"/>
    <w:rsid w:val="003C51F5"/>
    <w:rsid w:val="003D1908"/>
    <w:rsid w:val="003D77FC"/>
    <w:rsid w:val="003E30E6"/>
    <w:rsid w:val="003E3360"/>
    <w:rsid w:val="003E45C4"/>
    <w:rsid w:val="003F5D4C"/>
    <w:rsid w:val="00421ECD"/>
    <w:rsid w:val="004236C2"/>
    <w:rsid w:val="0042423A"/>
    <w:rsid w:val="0042465F"/>
    <w:rsid w:val="00432F19"/>
    <w:rsid w:val="00433F7E"/>
    <w:rsid w:val="00437C6E"/>
    <w:rsid w:val="004421C5"/>
    <w:rsid w:val="00446A35"/>
    <w:rsid w:val="00446EA0"/>
    <w:rsid w:val="00450075"/>
    <w:rsid w:val="00451A2C"/>
    <w:rsid w:val="00453C80"/>
    <w:rsid w:val="0046580A"/>
    <w:rsid w:val="00465A24"/>
    <w:rsid w:val="00472F42"/>
    <w:rsid w:val="00474587"/>
    <w:rsid w:val="0047711F"/>
    <w:rsid w:val="0049197F"/>
    <w:rsid w:val="004A1086"/>
    <w:rsid w:val="004A1FAE"/>
    <w:rsid w:val="004A25BA"/>
    <w:rsid w:val="004A3D40"/>
    <w:rsid w:val="004A526F"/>
    <w:rsid w:val="004B6A0E"/>
    <w:rsid w:val="004C4E24"/>
    <w:rsid w:val="004C6FD9"/>
    <w:rsid w:val="004D0983"/>
    <w:rsid w:val="004D3A3B"/>
    <w:rsid w:val="004D42D6"/>
    <w:rsid w:val="004D7028"/>
    <w:rsid w:val="004E3CE4"/>
    <w:rsid w:val="004F107A"/>
    <w:rsid w:val="004F421C"/>
    <w:rsid w:val="004F7DC5"/>
    <w:rsid w:val="0050138A"/>
    <w:rsid w:val="005074C3"/>
    <w:rsid w:val="005104A7"/>
    <w:rsid w:val="0051401C"/>
    <w:rsid w:val="005141EC"/>
    <w:rsid w:val="00516860"/>
    <w:rsid w:val="00522A80"/>
    <w:rsid w:val="00522C90"/>
    <w:rsid w:val="005244DE"/>
    <w:rsid w:val="00525C61"/>
    <w:rsid w:val="00525C9B"/>
    <w:rsid w:val="005363A1"/>
    <w:rsid w:val="0053709D"/>
    <w:rsid w:val="0053768B"/>
    <w:rsid w:val="00540F8A"/>
    <w:rsid w:val="00543321"/>
    <w:rsid w:val="00546AA5"/>
    <w:rsid w:val="00547942"/>
    <w:rsid w:val="00554A1B"/>
    <w:rsid w:val="005562F5"/>
    <w:rsid w:val="00557079"/>
    <w:rsid w:val="00557832"/>
    <w:rsid w:val="00560248"/>
    <w:rsid w:val="005628F3"/>
    <w:rsid w:val="00564FFA"/>
    <w:rsid w:val="00566E6D"/>
    <w:rsid w:val="00580278"/>
    <w:rsid w:val="005844D5"/>
    <w:rsid w:val="005947BE"/>
    <w:rsid w:val="005A284C"/>
    <w:rsid w:val="005A5ECC"/>
    <w:rsid w:val="005A65E8"/>
    <w:rsid w:val="005A7692"/>
    <w:rsid w:val="005B3BAB"/>
    <w:rsid w:val="005B464C"/>
    <w:rsid w:val="005C349B"/>
    <w:rsid w:val="005C6AFC"/>
    <w:rsid w:val="005D1FD7"/>
    <w:rsid w:val="005D41CF"/>
    <w:rsid w:val="005D54EE"/>
    <w:rsid w:val="005E253B"/>
    <w:rsid w:val="005F312A"/>
    <w:rsid w:val="00607CEE"/>
    <w:rsid w:val="00610B2D"/>
    <w:rsid w:val="00614827"/>
    <w:rsid w:val="006157B3"/>
    <w:rsid w:val="00622EE3"/>
    <w:rsid w:val="0062303A"/>
    <w:rsid w:val="0062446B"/>
    <w:rsid w:val="0062686E"/>
    <w:rsid w:val="006304A3"/>
    <w:rsid w:val="00631B0D"/>
    <w:rsid w:val="00632936"/>
    <w:rsid w:val="0063651E"/>
    <w:rsid w:val="006371B9"/>
    <w:rsid w:val="00640098"/>
    <w:rsid w:val="00640C27"/>
    <w:rsid w:val="00640DA4"/>
    <w:rsid w:val="00641EC8"/>
    <w:rsid w:val="00643B55"/>
    <w:rsid w:val="00644637"/>
    <w:rsid w:val="00645D0F"/>
    <w:rsid w:val="006460A2"/>
    <w:rsid w:val="00646BE1"/>
    <w:rsid w:val="00646EDC"/>
    <w:rsid w:val="006667B8"/>
    <w:rsid w:val="00666C06"/>
    <w:rsid w:val="00673019"/>
    <w:rsid w:val="00673FD8"/>
    <w:rsid w:val="0067606D"/>
    <w:rsid w:val="00683D88"/>
    <w:rsid w:val="00686524"/>
    <w:rsid w:val="00692FA4"/>
    <w:rsid w:val="006934A3"/>
    <w:rsid w:val="006A454C"/>
    <w:rsid w:val="006A49EE"/>
    <w:rsid w:val="006C5D2D"/>
    <w:rsid w:val="006C6403"/>
    <w:rsid w:val="006C6D2A"/>
    <w:rsid w:val="006D1A2B"/>
    <w:rsid w:val="006D1FFE"/>
    <w:rsid w:val="006E1FDD"/>
    <w:rsid w:val="006E3EEE"/>
    <w:rsid w:val="006E72D7"/>
    <w:rsid w:val="00705F06"/>
    <w:rsid w:val="00706469"/>
    <w:rsid w:val="00706673"/>
    <w:rsid w:val="00710912"/>
    <w:rsid w:val="00724EC0"/>
    <w:rsid w:val="007264B8"/>
    <w:rsid w:val="00730CD8"/>
    <w:rsid w:val="00731DEA"/>
    <w:rsid w:val="0073275B"/>
    <w:rsid w:val="00735444"/>
    <w:rsid w:val="007415F8"/>
    <w:rsid w:val="00743282"/>
    <w:rsid w:val="007513EA"/>
    <w:rsid w:val="00752519"/>
    <w:rsid w:val="00754F79"/>
    <w:rsid w:val="0075743B"/>
    <w:rsid w:val="00774D6D"/>
    <w:rsid w:val="00776E59"/>
    <w:rsid w:val="0078011A"/>
    <w:rsid w:val="00781863"/>
    <w:rsid w:val="0079111A"/>
    <w:rsid w:val="00795E6C"/>
    <w:rsid w:val="007A455F"/>
    <w:rsid w:val="007A4E27"/>
    <w:rsid w:val="007B01B9"/>
    <w:rsid w:val="007B78AA"/>
    <w:rsid w:val="007B7B44"/>
    <w:rsid w:val="007C4B7C"/>
    <w:rsid w:val="007C565D"/>
    <w:rsid w:val="007D033B"/>
    <w:rsid w:val="007D4DA3"/>
    <w:rsid w:val="007D65CB"/>
    <w:rsid w:val="007D6627"/>
    <w:rsid w:val="007D6BDA"/>
    <w:rsid w:val="007E0632"/>
    <w:rsid w:val="007E3B9F"/>
    <w:rsid w:val="007E753A"/>
    <w:rsid w:val="007E7D3B"/>
    <w:rsid w:val="007F1B14"/>
    <w:rsid w:val="007F23B0"/>
    <w:rsid w:val="007F3F1E"/>
    <w:rsid w:val="007F569F"/>
    <w:rsid w:val="008020D9"/>
    <w:rsid w:val="00802F20"/>
    <w:rsid w:val="008074F1"/>
    <w:rsid w:val="00814011"/>
    <w:rsid w:val="0081444C"/>
    <w:rsid w:val="00814A7B"/>
    <w:rsid w:val="00822EC7"/>
    <w:rsid w:val="00825E63"/>
    <w:rsid w:val="00832A7E"/>
    <w:rsid w:val="00833A86"/>
    <w:rsid w:val="00835866"/>
    <w:rsid w:val="00841A00"/>
    <w:rsid w:val="00845FC0"/>
    <w:rsid w:val="0084694D"/>
    <w:rsid w:val="00854F28"/>
    <w:rsid w:val="00855766"/>
    <w:rsid w:val="0086119E"/>
    <w:rsid w:val="0086345E"/>
    <w:rsid w:val="008643EE"/>
    <w:rsid w:val="00867540"/>
    <w:rsid w:val="00870BB4"/>
    <w:rsid w:val="0087451C"/>
    <w:rsid w:val="00880F82"/>
    <w:rsid w:val="00891B05"/>
    <w:rsid w:val="0089321E"/>
    <w:rsid w:val="00894D72"/>
    <w:rsid w:val="008A0F27"/>
    <w:rsid w:val="008A1F43"/>
    <w:rsid w:val="008A6D40"/>
    <w:rsid w:val="008B2B26"/>
    <w:rsid w:val="008C0CDF"/>
    <w:rsid w:val="008C1903"/>
    <w:rsid w:val="008C226C"/>
    <w:rsid w:val="008C40A9"/>
    <w:rsid w:val="008C4DFD"/>
    <w:rsid w:val="008D41E8"/>
    <w:rsid w:val="008E2908"/>
    <w:rsid w:val="008E36F7"/>
    <w:rsid w:val="008E7D3C"/>
    <w:rsid w:val="008F232D"/>
    <w:rsid w:val="008F3DA4"/>
    <w:rsid w:val="008F6694"/>
    <w:rsid w:val="00902BF8"/>
    <w:rsid w:val="00914F40"/>
    <w:rsid w:val="00915328"/>
    <w:rsid w:val="00916933"/>
    <w:rsid w:val="00941E6D"/>
    <w:rsid w:val="009427BE"/>
    <w:rsid w:val="00951C1A"/>
    <w:rsid w:val="00952849"/>
    <w:rsid w:val="00953BA4"/>
    <w:rsid w:val="00957CBB"/>
    <w:rsid w:val="009637DF"/>
    <w:rsid w:val="00974099"/>
    <w:rsid w:val="00974B1F"/>
    <w:rsid w:val="009754F2"/>
    <w:rsid w:val="00976213"/>
    <w:rsid w:val="00986077"/>
    <w:rsid w:val="00986098"/>
    <w:rsid w:val="0099212B"/>
    <w:rsid w:val="00993C95"/>
    <w:rsid w:val="009A0B15"/>
    <w:rsid w:val="009A1FE6"/>
    <w:rsid w:val="009A3560"/>
    <w:rsid w:val="009A61DA"/>
    <w:rsid w:val="009A76F8"/>
    <w:rsid w:val="009A790B"/>
    <w:rsid w:val="009B1707"/>
    <w:rsid w:val="009B1A73"/>
    <w:rsid w:val="009B407B"/>
    <w:rsid w:val="009C4156"/>
    <w:rsid w:val="009C5DD0"/>
    <w:rsid w:val="009C64A6"/>
    <w:rsid w:val="009D04D0"/>
    <w:rsid w:val="009D4533"/>
    <w:rsid w:val="009D6FA7"/>
    <w:rsid w:val="009E33FC"/>
    <w:rsid w:val="009E55D5"/>
    <w:rsid w:val="009F2F0C"/>
    <w:rsid w:val="009F7072"/>
    <w:rsid w:val="00A03209"/>
    <w:rsid w:val="00A0468A"/>
    <w:rsid w:val="00A07548"/>
    <w:rsid w:val="00A07A28"/>
    <w:rsid w:val="00A112F5"/>
    <w:rsid w:val="00A1627B"/>
    <w:rsid w:val="00A212BE"/>
    <w:rsid w:val="00A277C0"/>
    <w:rsid w:val="00A30856"/>
    <w:rsid w:val="00A31BEB"/>
    <w:rsid w:val="00A3268F"/>
    <w:rsid w:val="00A37213"/>
    <w:rsid w:val="00A50DE9"/>
    <w:rsid w:val="00A5267E"/>
    <w:rsid w:val="00A54DE3"/>
    <w:rsid w:val="00A63A12"/>
    <w:rsid w:val="00A64413"/>
    <w:rsid w:val="00A65E6E"/>
    <w:rsid w:val="00A80758"/>
    <w:rsid w:val="00A83D26"/>
    <w:rsid w:val="00A85937"/>
    <w:rsid w:val="00A86D0A"/>
    <w:rsid w:val="00A93F6C"/>
    <w:rsid w:val="00A96488"/>
    <w:rsid w:val="00AA2F84"/>
    <w:rsid w:val="00AA4D6D"/>
    <w:rsid w:val="00AA6A98"/>
    <w:rsid w:val="00AB0311"/>
    <w:rsid w:val="00AB5AD4"/>
    <w:rsid w:val="00AC1E6F"/>
    <w:rsid w:val="00AC4ED7"/>
    <w:rsid w:val="00AC757A"/>
    <w:rsid w:val="00AC7B38"/>
    <w:rsid w:val="00AE026E"/>
    <w:rsid w:val="00AE1456"/>
    <w:rsid w:val="00AE4E25"/>
    <w:rsid w:val="00AF682C"/>
    <w:rsid w:val="00AF73A7"/>
    <w:rsid w:val="00B02366"/>
    <w:rsid w:val="00B02E4B"/>
    <w:rsid w:val="00B03033"/>
    <w:rsid w:val="00B03AE3"/>
    <w:rsid w:val="00B1105F"/>
    <w:rsid w:val="00B13E1F"/>
    <w:rsid w:val="00B164D5"/>
    <w:rsid w:val="00B22B9F"/>
    <w:rsid w:val="00B33FE9"/>
    <w:rsid w:val="00B40EE7"/>
    <w:rsid w:val="00B421F8"/>
    <w:rsid w:val="00B43A6A"/>
    <w:rsid w:val="00B50E76"/>
    <w:rsid w:val="00B547CC"/>
    <w:rsid w:val="00B60B8C"/>
    <w:rsid w:val="00B7097E"/>
    <w:rsid w:val="00B72FB7"/>
    <w:rsid w:val="00B7301E"/>
    <w:rsid w:val="00B80FF5"/>
    <w:rsid w:val="00B8242F"/>
    <w:rsid w:val="00B83846"/>
    <w:rsid w:val="00B8425B"/>
    <w:rsid w:val="00B87F53"/>
    <w:rsid w:val="00B93972"/>
    <w:rsid w:val="00B970A8"/>
    <w:rsid w:val="00BA6D69"/>
    <w:rsid w:val="00BB2787"/>
    <w:rsid w:val="00BB4C53"/>
    <w:rsid w:val="00BB7C71"/>
    <w:rsid w:val="00BC0247"/>
    <w:rsid w:val="00BC1344"/>
    <w:rsid w:val="00BC26C4"/>
    <w:rsid w:val="00BC309B"/>
    <w:rsid w:val="00BC3D01"/>
    <w:rsid w:val="00BC4AF0"/>
    <w:rsid w:val="00BC78F5"/>
    <w:rsid w:val="00BD425E"/>
    <w:rsid w:val="00BD6F69"/>
    <w:rsid w:val="00BF0025"/>
    <w:rsid w:val="00BF21F5"/>
    <w:rsid w:val="00C06F2A"/>
    <w:rsid w:val="00C13966"/>
    <w:rsid w:val="00C16977"/>
    <w:rsid w:val="00C238F6"/>
    <w:rsid w:val="00C26884"/>
    <w:rsid w:val="00C27208"/>
    <w:rsid w:val="00C31385"/>
    <w:rsid w:val="00C33226"/>
    <w:rsid w:val="00C332ED"/>
    <w:rsid w:val="00C40ED7"/>
    <w:rsid w:val="00C43B73"/>
    <w:rsid w:val="00C4415F"/>
    <w:rsid w:val="00C4725E"/>
    <w:rsid w:val="00C51D74"/>
    <w:rsid w:val="00C551BA"/>
    <w:rsid w:val="00C60D18"/>
    <w:rsid w:val="00C65E31"/>
    <w:rsid w:val="00C66826"/>
    <w:rsid w:val="00C7147C"/>
    <w:rsid w:val="00C72062"/>
    <w:rsid w:val="00C73F06"/>
    <w:rsid w:val="00C8117C"/>
    <w:rsid w:val="00C812F9"/>
    <w:rsid w:val="00C826FC"/>
    <w:rsid w:val="00C82AC1"/>
    <w:rsid w:val="00C90825"/>
    <w:rsid w:val="00C91187"/>
    <w:rsid w:val="00C94514"/>
    <w:rsid w:val="00C95116"/>
    <w:rsid w:val="00C952D9"/>
    <w:rsid w:val="00C97E1B"/>
    <w:rsid w:val="00CB169D"/>
    <w:rsid w:val="00CB3E43"/>
    <w:rsid w:val="00CC18C3"/>
    <w:rsid w:val="00CC3B0A"/>
    <w:rsid w:val="00CC49FC"/>
    <w:rsid w:val="00CC77B2"/>
    <w:rsid w:val="00CE2E9A"/>
    <w:rsid w:val="00CE4086"/>
    <w:rsid w:val="00CF0B72"/>
    <w:rsid w:val="00CF52A7"/>
    <w:rsid w:val="00D17328"/>
    <w:rsid w:val="00D24E56"/>
    <w:rsid w:val="00D26302"/>
    <w:rsid w:val="00D26EC2"/>
    <w:rsid w:val="00D30A93"/>
    <w:rsid w:val="00D311D9"/>
    <w:rsid w:val="00D3152C"/>
    <w:rsid w:val="00D333B5"/>
    <w:rsid w:val="00D44131"/>
    <w:rsid w:val="00D4799A"/>
    <w:rsid w:val="00D514E5"/>
    <w:rsid w:val="00D54358"/>
    <w:rsid w:val="00D5719F"/>
    <w:rsid w:val="00D579CC"/>
    <w:rsid w:val="00D621BC"/>
    <w:rsid w:val="00D63CCD"/>
    <w:rsid w:val="00D66093"/>
    <w:rsid w:val="00D66CBF"/>
    <w:rsid w:val="00D7057C"/>
    <w:rsid w:val="00D74562"/>
    <w:rsid w:val="00D74CCD"/>
    <w:rsid w:val="00D81AD6"/>
    <w:rsid w:val="00D8296C"/>
    <w:rsid w:val="00D8402C"/>
    <w:rsid w:val="00D87C4D"/>
    <w:rsid w:val="00D90F5D"/>
    <w:rsid w:val="00D94434"/>
    <w:rsid w:val="00DA1FD8"/>
    <w:rsid w:val="00DA3B64"/>
    <w:rsid w:val="00DA4F96"/>
    <w:rsid w:val="00DA5AA9"/>
    <w:rsid w:val="00DB040E"/>
    <w:rsid w:val="00DB1435"/>
    <w:rsid w:val="00DB3A6F"/>
    <w:rsid w:val="00DC171B"/>
    <w:rsid w:val="00DD2CBD"/>
    <w:rsid w:val="00DD35E6"/>
    <w:rsid w:val="00DD3C25"/>
    <w:rsid w:val="00DE27B8"/>
    <w:rsid w:val="00DE4C1E"/>
    <w:rsid w:val="00DE60F0"/>
    <w:rsid w:val="00DE70A9"/>
    <w:rsid w:val="00DE7711"/>
    <w:rsid w:val="00DF01FA"/>
    <w:rsid w:val="00DF075B"/>
    <w:rsid w:val="00DF09CE"/>
    <w:rsid w:val="00DF0E6D"/>
    <w:rsid w:val="00DF1D13"/>
    <w:rsid w:val="00DF437A"/>
    <w:rsid w:val="00DF7C99"/>
    <w:rsid w:val="00E0031C"/>
    <w:rsid w:val="00E07802"/>
    <w:rsid w:val="00E11AE8"/>
    <w:rsid w:val="00E141EF"/>
    <w:rsid w:val="00E1540C"/>
    <w:rsid w:val="00E17D50"/>
    <w:rsid w:val="00E2174E"/>
    <w:rsid w:val="00E24749"/>
    <w:rsid w:val="00E25D90"/>
    <w:rsid w:val="00E35A46"/>
    <w:rsid w:val="00E40602"/>
    <w:rsid w:val="00E475E8"/>
    <w:rsid w:val="00E56061"/>
    <w:rsid w:val="00E5761B"/>
    <w:rsid w:val="00E66069"/>
    <w:rsid w:val="00E676EE"/>
    <w:rsid w:val="00E67B22"/>
    <w:rsid w:val="00E72341"/>
    <w:rsid w:val="00E7727C"/>
    <w:rsid w:val="00E80663"/>
    <w:rsid w:val="00E80B5F"/>
    <w:rsid w:val="00E91D05"/>
    <w:rsid w:val="00E9542C"/>
    <w:rsid w:val="00E96D96"/>
    <w:rsid w:val="00EC58AF"/>
    <w:rsid w:val="00ED1FDB"/>
    <w:rsid w:val="00EE5FCE"/>
    <w:rsid w:val="00EF1CDB"/>
    <w:rsid w:val="00EF29C5"/>
    <w:rsid w:val="00EF32D9"/>
    <w:rsid w:val="00EF3BE8"/>
    <w:rsid w:val="00EF44F0"/>
    <w:rsid w:val="00EF56E4"/>
    <w:rsid w:val="00F0403D"/>
    <w:rsid w:val="00F0749D"/>
    <w:rsid w:val="00F211ED"/>
    <w:rsid w:val="00F22AD2"/>
    <w:rsid w:val="00F30336"/>
    <w:rsid w:val="00F32C92"/>
    <w:rsid w:val="00F3605F"/>
    <w:rsid w:val="00F40F4B"/>
    <w:rsid w:val="00F46596"/>
    <w:rsid w:val="00F468A1"/>
    <w:rsid w:val="00F46F38"/>
    <w:rsid w:val="00F549E8"/>
    <w:rsid w:val="00F5608A"/>
    <w:rsid w:val="00F70D9B"/>
    <w:rsid w:val="00F73B24"/>
    <w:rsid w:val="00F76EF5"/>
    <w:rsid w:val="00F83643"/>
    <w:rsid w:val="00F8431E"/>
    <w:rsid w:val="00F91F86"/>
    <w:rsid w:val="00F930AC"/>
    <w:rsid w:val="00F97E03"/>
    <w:rsid w:val="00FA1644"/>
    <w:rsid w:val="00FB3C48"/>
    <w:rsid w:val="00FB415F"/>
    <w:rsid w:val="00FB541E"/>
    <w:rsid w:val="00FB62D5"/>
    <w:rsid w:val="00FD1782"/>
    <w:rsid w:val="00FD4682"/>
    <w:rsid w:val="00FD5B97"/>
    <w:rsid w:val="00FE0371"/>
    <w:rsid w:val="00FE537D"/>
    <w:rsid w:val="00FE55E9"/>
    <w:rsid w:val="00FE717F"/>
    <w:rsid w:val="00FF360F"/>
    <w:rsid w:val="00FF6D00"/>
    <w:rsid w:val="00FF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8193"/>
    <o:shapelayout v:ext="edit">
      <o:idmap v:ext="edit" data="1"/>
    </o:shapelayout>
  </w:shapeDefaults>
  <w:decimalSymbol w:val="."/>
  <w:listSeparator w:val=","/>
  <w14:docId w14:val="5BC7DC5E"/>
  <w15:docId w15:val="{B20A7693-D726-4452-93C5-C78989B5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D90"/>
    <w:rPr>
      <w:sz w:val="24"/>
      <w:szCs w:val="24"/>
    </w:rPr>
  </w:style>
  <w:style w:type="paragraph" w:styleId="Heading2">
    <w:name w:val="heading 2"/>
    <w:basedOn w:val="Normal"/>
    <w:next w:val="Normal"/>
    <w:link w:val="Heading2Char"/>
    <w:uiPriority w:val="1"/>
    <w:unhideWhenUsed/>
    <w:qFormat/>
    <w:rsid w:val="00A96488"/>
    <w:pPr>
      <w:keepNext/>
      <w:keepLines/>
      <w:widowControl w:val="0"/>
      <w:spacing w:before="200" w:line="296" w:lineRule="exact"/>
      <w:outlineLvl w:val="1"/>
    </w:pPr>
    <w:rPr>
      <w:b/>
      <w:bCs/>
      <w:w w:val="9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BA6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
    <w:name w:val="!"/>
    <w:rsid w:val="00BA6D69"/>
    <w:pPr>
      <w:autoSpaceDE w:val="0"/>
      <w:autoSpaceDN w:val="0"/>
      <w:adjustRightInd w:val="0"/>
      <w:ind w:left="-1440"/>
    </w:pPr>
    <w:rPr>
      <w:sz w:val="24"/>
      <w:szCs w:val="24"/>
    </w:rPr>
  </w:style>
  <w:style w:type="paragraph" w:styleId="Footer">
    <w:name w:val="footer"/>
    <w:basedOn w:val="Normal"/>
    <w:link w:val="FooterChar"/>
    <w:uiPriority w:val="99"/>
    <w:rsid w:val="00BA6D69"/>
    <w:pPr>
      <w:tabs>
        <w:tab w:val="center" w:pos="4320"/>
        <w:tab w:val="right" w:pos="8640"/>
      </w:tabs>
    </w:pPr>
  </w:style>
  <w:style w:type="character" w:styleId="PageNumber">
    <w:name w:val="page number"/>
    <w:basedOn w:val="DefaultParagraphFont"/>
    <w:rsid w:val="00BA6D69"/>
  </w:style>
  <w:style w:type="table" w:styleId="TableGrid">
    <w:name w:val="Table Grid"/>
    <w:basedOn w:val="TableNormal"/>
    <w:rsid w:val="00BA6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24EC0"/>
    <w:rPr>
      <w:color w:val="0000FF"/>
      <w:u w:val="single"/>
    </w:rPr>
  </w:style>
  <w:style w:type="paragraph" w:styleId="BalloonText">
    <w:name w:val="Balloon Text"/>
    <w:basedOn w:val="Normal"/>
    <w:semiHidden/>
    <w:rsid w:val="00C31385"/>
    <w:rPr>
      <w:rFonts w:ascii="Tahoma" w:hAnsi="Tahoma" w:cs="Tahoma"/>
      <w:sz w:val="16"/>
      <w:szCs w:val="16"/>
    </w:rPr>
  </w:style>
  <w:style w:type="paragraph" w:styleId="Header">
    <w:name w:val="header"/>
    <w:basedOn w:val="Normal"/>
    <w:link w:val="HeaderChar"/>
    <w:uiPriority w:val="99"/>
    <w:rsid w:val="00A0468A"/>
    <w:pPr>
      <w:tabs>
        <w:tab w:val="center" w:pos="4320"/>
        <w:tab w:val="right" w:pos="8640"/>
      </w:tabs>
    </w:pPr>
  </w:style>
  <w:style w:type="paragraph" w:styleId="ListParagraph">
    <w:name w:val="List Paragraph"/>
    <w:basedOn w:val="Normal"/>
    <w:uiPriority w:val="34"/>
    <w:qFormat/>
    <w:rsid w:val="001B6CE8"/>
    <w:pPr>
      <w:ind w:left="720"/>
      <w:contextualSpacing/>
    </w:pPr>
  </w:style>
  <w:style w:type="character" w:styleId="CommentReference">
    <w:name w:val="annotation reference"/>
    <w:basedOn w:val="DefaultParagraphFont"/>
    <w:semiHidden/>
    <w:unhideWhenUsed/>
    <w:rsid w:val="00C13966"/>
    <w:rPr>
      <w:sz w:val="16"/>
      <w:szCs w:val="16"/>
    </w:rPr>
  </w:style>
  <w:style w:type="paragraph" w:styleId="CommentText">
    <w:name w:val="annotation text"/>
    <w:basedOn w:val="Normal"/>
    <w:link w:val="CommentTextChar"/>
    <w:semiHidden/>
    <w:unhideWhenUsed/>
    <w:rsid w:val="00C13966"/>
    <w:rPr>
      <w:sz w:val="20"/>
      <w:szCs w:val="20"/>
    </w:rPr>
  </w:style>
  <w:style w:type="character" w:customStyle="1" w:styleId="CommentTextChar">
    <w:name w:val="Comment Text Char"/>
    <w:basedOn w:val="DefaultParagraphFont"/>
    <w:link w:val="CommentText"/>
    <w:semiHidden/>
    <w:rsid w:val="00C13966"/>
  </w:style>
  <w:style w:type="paragraph" w:styleId="CommentSubject">
    <w:name w:val="annotation subject"/>
    <w:basedOn w:val="CommentText"/>
    <w:next w:val="CommentText"/>
    <w:link w:val="CommentSubjectChar"/>
    <w:semiHidden/>
    <w:unhideWhenUsed/>
    <w:rsid w:val="00C13966"/>
    <w:rPr>
      <w:b/>
      <w:bCs/>
    </w:rPr>
  </w:style>
  <w:style w:type="character" w:customStyle="1" w:styleId="CommentSubjectChar">
    <w:name w:val="Comment Subject Char"/>
    <w:basedOn w:val="CommentTextChar"/>
    <w:link w:val="CommentSubject"/>
    <w:semiHidden/>
    <w:rsid w:val="00C13966"/>
    <w:rPr>
      <w:b/>
      <w:bCs/>
    </w:rPr>
  </w:style>
  <w:style w:type="paragraph" w:styleId="FootnoteText">
    <w:name w:val="footnote text"/>
    <w:basedOn w:val="Normal"/>
    <w:link w:val="FootnoteTextChar"/>
    <w:semiHidden/>
    <w:unhideWhenUsed/>
    <w:rsid w:val="00232CE3"/>
    <w:rPr>
      <w:sz w:val="20"/>
      <w:szCs w:val="20"/>
    </w:rPr>
  </w:style>
  <w:style w:type="character" w:customStyle="1" w:styleId="FootnoteTextChar">
    <w:name w:val="Footnote Text Char"/>
    <w:basedOn w:val="DefaultParagraphFont"/>
    <w:link w:val="FootnoteText"/>
    <w:semiHidden/>
    <w:rsid w:val="00232CE3"/>
  </w:style>
  <w:style w:type="character" w:styleId="FootnoteReference">
    <w:name w:val="footnote reference"/>
    <w:basedOn w:val="DefaultParagraphFont"/>
    <w:semiHidden/>
    <w:unhideWhenUsed/>
    <w:rsid w:val="00232CE3"/>
    <w:rPr>
      <w:vertAlign w:val="superscript"/>
    </w:rPr>
  </w:style>
  <w:style w:type="character" w:customStyle="1" w:styleId="FooterChar">
    <w:name w:val="Footer Char"/>
    <w:basedOn w:val="DefaultParagraphFont"/>
    <w:link w:val="Footer"/>
    <w:uiPriority w:val="99"/>
    <w:rsid w:val="006371B9"/>
    <w:rPr>
      <w:sz w:val="24"/>
      <w:szCs w:val="24"/>
    </w:rPr>
  </w:style>
  <w:style w:type="character" w:customStyle="1" w:styleId="volume">
    <w:name w:val="volume"/>
    <w:basedOn w:val="DefaultParagraphFont"/>
    <w:rsid w:val="000A3520"/>
  </w:style>
  <w:style w:type="character" w:customStyle="1" w:styleId="page">
    <w:name w:val="page"/>
    <w:basedOn w:val="DefaultParagraphFont"/>
    <w:rsid w:val="000A3520"/>
  </w:style>
  <w:style w:type="character" w:styleId="FollowedHyperlink">
    <w:name w:val="FollowedHyperlink"/>
    <w:basedOn w:val="DefaultParagraphFont"/>
    <w:semiHidden/>
    <w:unhideWhenUsed/>
    <w:rsid w:val="000A3520"/>
    <w:rPr>
      <w:color w:val="800080" w:themeColor="followedHyperlink"/>
      <w:u w:val="single"/>
    </w:rPr>
  </w:style>
  <w:style w:type="paragraph" w:styleId="Revision">
    <w:name w:val="Revision"/>
    <w:hidden/>
    <w:uiPriority w:val="99"/>
    <w:semiHidden/>
    <w:rsid w:val="00C812F9"/>
    <w:rPr>
      <w:sz w:val="24"/>
      <w:szCs w:val="24"/>
    </w:rPr>
  </w:style>
  <w:style w:type="character" w:customStyle="1" w:styleId="Heading2Char">
    <w:name w:val="Heading 2 Char"/>
    <w:basedOn w:val="DefaultParagraphFont"/>
    <w:link w:val="Heading2"/>
    <w:uiPriority w:val="1"/>
    <w:rsid w:val="00A96488"/>
    <w:rPr>
      <w:b/>
      <w:bCs/>
      <w:w w:val="90"/>
      <w:sz w:val="26"/>
      <w:szCs w:val="26"/>
    </w:rPr>
  </w:style>
  <w:style w:type="character" w:styleId="UnresolvedMention">
    <w:name w:val="Unresolved Mention"/>
    <w:basedOn w:val="DefaultParagraphFont"/>
    <w:uiPriority w:val="99"/>
    <w:semiHidden/>
    <w:unhideWhenUsed/>
    <w:rsid w:val="00E07802"/>
    <w:rPr>
      <w:color w:val="605E5C"/>
      <w:shd w:val="clear" w:color="auto" w:fill="E1DFDD"/>
    </w:rPr>
  </w:style>
  <w:style w:type="character" w:customStyle="1" w:styleId="HeaderChar">
    <w:name w:val="Header Char"/>
    <w:basedOn w:val="DefaultParagraphFont"/>
    <w:link w:val="Header"/>
    <w:uiPriority w:val="99"/>
    <w:rsid w:val="00157D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7660">
      <w:bodyDiv w:val="1"/>
      <w:marLeft w:val="0"/>
      <w:marRight w:val="0"/>
      <w:marTop w:val="0"/>
      <w:marBottom w:val="0"/>
      <w:divBdr>
        <w:top w:val="none" w:sz="0" w:space="0" w:color="auto"/>
        <w:left w:val="none" w:sz="0" w:space="0" w:color="auto"/>
        <w:bottom w:val="none" w:sz="0" w:space="0" w:color="auto"/>
        <w:right w:val="none" w:sz="0" w:space="0" w:color="auto"/>
      </w:divBdr>
    </w:div>
    <w:div w:id="119999756">
      <w:bodyDiv w:val="1"/>
      <w:marLeft w:val="0"/>
      <w:marRight w:val="0"/>
      <w:marTop w:val="0"/>
      <w:marBottom w:val="0"/>
      <w:divBdr>
        <w:top w:val="none" w:sz="0" w:space="0" w:color="auto"/>
        <w:left w:val="none" w:sz="0" w:space="0" w:color="auto"/>
        <w:bottom w:val="none" w:sz="0" w:space="0" w:color="auto"/>
        <w:right w:val="none" w:sz="0" w:space="0" w:color="auto"/>
      </w:divBdr>
    </w:div>
    <w:div w:id="142241763">
      <w:bodyDiv w:val="1"/>
      <w:marLeft w:val="0"/>
      <w:marRight w:val="0"/>
      <w:marTop w:val="0"/>
      <w:marBottom w:val="0"/>
      <w:divBdr>
        <w:top w:val="none" w:sz="0" w:space="0" w:color="auto"/>
        <w:left w:val="none" w:sz="0" w:space="0" w:color="auto"/>
        <w:bottom w:val="none" w:sz="0" w:space="0" w:color="auto"/>
        <w:right w:val="none" w:sz="0" w:space="0" w:color="auto"/>
      </w:divBdr>
    </w:div>
    <w:div w:id="195628519">
      <w:bodyDiv w:val="1"/>
      <w:marLeft w:val="0"/>
      <w:marRight w:val="0"/>
      <w:marTop w:val="0"/>
      <w:marBottom w:val="0"/>
      <w:divBdr>
        <w:top w:val="none" w:sz="0" w:space="0" w:color="auto"/>
        <w:left w:val="none" w:sz="0" w:space="0" w:color="auto"/>
        <w:bottom w:val="none" w:sz="0" w:space="0" w:color="auto"/>
        <w:right w:val="none" w:sz="0" w:space="0" w:color="auto"/>
      </w:divBdr>
    </w:div>
    <w:div w:id="458108603">
      <w:bodyDiv w:val="1"/>
      <w:marLeft w:val="0"/>
      <w:marRight w:val="0"/>
      <w:marTop w:val="0"/>
      <w:marBottom w:val="0"/>
      <w:divBdr>
        <w:top w:val="none" w:sz="0" w:space="0" w:color="auto"/>
        <w:left w:val="none" w:sz="0" w:space="0" w:color="auto"/>
        <w:bottom w:val="none" w:sz="0" w:space="0" w:color="auto"/>
        <w:right w:val="none" w:sz="0" w:space="0" w:color="auto"/>
      </w:divBdr>
    </w:div>
    <w:div w:id="620647731">
      <w:bodyDiv w:val="1"/>
      <w:marLeft w:val="0"/>
      <w:marRight w:val="0"/>
      <w:marTop w:val="0"/>
      <w:marBottom w:val="0"/>
      <w:divBdr>
        <w:top w:val="none" w:sz="0" w:space="0" w:color="auto"/>
        <w:left w:val="none" w:sz="0" w:space="0" w:color="auto"/>
        <w:bottom w:val="none" w:sz="0" w:space="0" w:color="auto"/>
        <w:right w:val="none" w:sz="0" w:space="0" w:color="auto"/>
      </w:divBdr>
    </w:div>
    <w:div w:id="656999574">
      <w:bodyDiv w:val="1"/>
      <w:marLeft w:val="0"/>
      <w:marRight w:val="0"/>
      <w:marTop w:val="0"/>
      <w:marBottom w:val="0"/>
      <w:divBdr>
        <w:top w:val="none" w:sz="0" w:space="0" w:color="auto"/>
        <w:left w:val="none" w:sz="0" w:space="0" w:color="auto"/>
        <w:bottom w:val="none" w:sz="0" w:space="0" w:color="auto"/>
        <w:right w:val="none" w:sz="0" w:space="0" w:color="auto"/>
      </w:divBdr>
    </w:div>
    <w:div w:id="779181348">
      <w:bodyDiv w:val="1"/>
      <w:marLeft w:val="0"/>
      <w:marRight w:val="0"/>
      <w:marTop w:val="0"/>
      <w:marBottom w:val="0"/>
      <w:divBdr>
        <w:top w:val="none" w:sz="0" w:space="0" w:color="auto"/>
        <w:left w:val="none" w:sz="0" w:space="0" w:color="auto"/>
        <w:bottom w:val="none" w:sz="0" w:space="0" w:color="auto"/>
        <w:right w:val="none" w:sz="0" w:space="0" w:color="auto"/>
      </w:divBdr>
    </w:div>
    <w:div w:id="833489550">
      <w:bodyDiv w:val="1"/>
      <w:marLeft w:val="0"/>
      <w:marRight w:val="0"/>
      <w:marTop w:val="0"/>
      <w:marBottom w:val="0"/>
      <w:divBdr>
        <w:top w:val="none" w:sz="0" w:space="0" w:color="auto"/>
        <w:left w:val="none" w:sz="0" w:space="0" w:color="auto"/>
        <w:bottom w:val="none" w:sz="0" w:space="0" w:color="auto"/>
        <w:right w:val="none" w:sz="0" w:space="0" w:color="auto"/>
      </w:divBdr>
    </w:div>
    <w:div w:id="962808110">
      <w:bodyDiv w:val="1"/>
      <w:marLeft w:val="0"/>
      <w:marRight w:val="0"/>
      <w:marTop w:val="0"/>
      <w:marBottom w:val="0"/>
      <w:divBdr>
        <w:top w:val="none" w:sz="0" w:space="0" w:color="auto"/>
        <w:left w:val="none" w:sz="0" w:space="0" w:color="auto"/>
        <w:bottom w:val="none" w:sz="0" w:space="0" w:color="auto"/>
        <w:right w:val="none" w:sz="0" w:space="0" w:color="auto"/>
      </w:divBdr>
    </w:div>
    <w:div w:id="968629336">
      <w:bodyDiv w:val="1"/>
      <w:marLeft w:val="0"/>
      <w:marRight w:val="0"/>
      <w:marTop w:val="0"/>
      <w:marBottom w:val="0"/>
      <w:divBdr>
        <w:top w:val="none" w:sz="0" w:space="0" w:color="auto"/>
        <w:left w:val="none" w:sz="0" w:space="0" w:color="auto"/>
        <w:bottom w:val="none" w:sz="0" w:space="0" w:color="auto"/>
        <w:right w:val="none" w:sz="0" w:space="0" w:color="auto"/>
      </w:divBdr>
    </w:div>
    <w:div w:id="1034427197">
      <w:bodyDiv w:val="1"/>
      <w:marLeft w:val="0"/>
      <w:marRight w:val="0"/>
      <w:marTop w:val="30"/>
      <w:marBottom w:val="750"/>
      <w:divBdr>
        <w:top w:val="none" w:sz="0" w:space="0" w:color="auto"/>
        <w:left w:val="none" w:sz="0" w:space="0" w:color="auto"/>
        <w:bottom w:val="none" w:sz="0" w:space="0" w:color="auto"/>
        <w:right w:val="none" w:sz="0" w:space="0" w:color="auto"/>
      </w:divBdr>
      <w:divsChild>
        <w:div w:id="619728636">
          <w:marLeft w:val="0"/>
          <w:marRight w:val="0"/>
          <w:marTop w:val="0"/>
          <w:marBottom w:val="0"/>
          <w:divBdr>
            <w:top w:val="none" w:sz="0" w:space="0" w:color="auto"/>
            <w:left w:val="none" w:sz="0" w:space="0" w:color="auto"/>
            <w:bottom w:val="none" w:sz="0" w:space="0" w:color="auto"/>
            <w:right w:val="none" w:sz="0" w:space="0" w:color="auto"/>
          </w:divBdr>
        </w:div>
      </w:divsChild>
    </w:div>
    <w:div w:id="1061446550">
      <w:bodyDiv w:val="1"/>
      <w:marLeft w:val="0"/>
      <w:marRight w:val="0"/>
      <w:marTop w:val="0"/>
      <w:marBottom w:val="0"/>
      <w:divBdr>
        <w:top w:val="none" w:sz="0" w:space="0" w:color="auto"/>
        <w:left w:val="none" w:sz="0" w:space="0" w:color="auto"/>
        <w:bottom w:val="none" w:sz="0" w:space="0" w:color="auto"/>
        <w:right w:val="none" w:sz="0" w:space="0" w:color="auto"/>
      </w:divBdr>
    </w:div>
    <w:div w:id="1340236318">
      <w:bodyDiv w:val="1"/>
      <w:marLeft w:val="0"/>
      <w:marRight w:val="0"/>
      <w:marTop w:val="0"/>
      <w:marBottom w:val="0"/>
      <w:divBdr>
        <w:top w:val="none" w:sz="0" w:space="0" w:color="auto"/>
        <w:left w:val="none" w:sz="0" w:space="0" w:color="auto"/>
        <w:bottom w:val="none" w:sz="0" w:space="0" w:color="auto"/>
        <w:right w:val="none" w:sz="0" w:space="0" w:color="auto"/>
      </w:divBdr>
    </w:div>
    <w:div w:id="1484925361">
      <w:bodyDiv w:val="1"/>
      <w:marLeft w:val="0"/>
      <w:marRight w:val="0"/>
      <w:marTop w:val="30"/>
      <w:marBottom w:val="750"/>
      <w:divBdr>
        <w:top w:val="none" w:sz="0" w:space="0" w:color="auto"/>
        <w:left w:val="none" w:sz="0" w:space="0" w:color="auto"/>
        <w:bottom w:val="none" w:sz="0" w:space="0" w:color="auto"/>
        <w:right w:val="none" w:sz="0" w:space="0" w:color="auto"/>
      </w:divBdr>
      <w:divsChild>
        <w:div w:id="914244424">
          <w:marLeft w:val="0"/>
          <w:marRight w:val="0"/>
          <w:marTop w:val="0"/>
          <w:marBottom w:val="0"/>
          <w:divBdr>
            <w:top w:val="none" w:sz="0" w:space="0" w:color="auto"/>
            <w:left w:val="none" w:sz="0" w:space="0" w:color="auto"/>
            <w:bottom w:val="none" w:sz="0" w:space="0" w:color="auto"/>
            <w:right w:val="none" w:sz="0" w:space="0" w:color="auto"/>
          </w:divBdr>
        </w:div>
      </w:divsChild>
    </w:div>
    <w:div w:id="1500071900">
      <w:bodyDiv w:val="1"/>
      <w:marLeft w:val="0"/>
      <w:marRight w:val="0"/>
      <w:marTop w:val="0"/>
      <w:marBottom w:val="0"/>
      <w:divBdr>
        <w:top w:val="none" w:sz="0" w:space="0" w:color="auto"/>
        <w:left w:val="none" w:sz="0" w:space="0" w:color="auto"/>
        <w:bottom w:val="none" w:sz="0" w:space="0" w:color="auto"/>
        <w:right w:val="none" w:sz="0" w:space="0" w:color="auto"/>
      </w:divBdr>
    </w:div>
    <w:div w:id="1618293702">
      <w:bodyDiv w:val="1"/>
      <w:marLeft w:val="0"/>
      <w:marRight w:val="0"/>
      <w:marTop w:val="0"/>
      <w:marBottom w:val="0"/>
      <w:divBdr>
        <w:top w:val="none" w:sz="0" w:space="0" w:color="auto"/>
        <w:left w:val="none" w:sz="0" w:space="0" w:color="auto"/>
        <w:bottom w:val="none" w:sz="0" w:space="0" w:color="auto"/>
        <w:right w:val="none" w:sz="0" w:space="0" w:color="auto"/>
      </w:divBdr>
    </w:div>
    <w:div w:id="1834419049">
      <w:bodyDiv w:val="1"/>
      <w:marLeft w:val="0"/>
      <w:marRight w:val="0"/>
      <w:marTop w:val="0"/>
      <w:marBottom w:val="0"/>
      <w:divBdr>
        <w:top w:val="none" w:sz="0" w:space="0" w:color="auto"/>
        <w:left w:val="none" w:sz="0" w:space="0" w:color="auto"/>
        <w:bottom w:val="none" w:sz="0" w:space="0" w:color="auto"/>
        <w:right w:val="none" w:sz="0" w:space="0" w:color="auto"/>
      </w:divBdr>
    </w:div>
    <w:div w:id="2010671017">
      <w:bodyDiv w:val="1"/>
      <w:marLeft w:val="0"/>
      <w:marRight w:val="0"/>
      <w:marTop w:val="0"/>
      <w:marBottom w:val="0"/>
      <w:divBdr>
        <w:top w:val="none" w:sz="0" w:space="0" w:color="auto"/>
        <w:left w:val="none" w:sz="0" w:space="0" w:color="auto"/>
        <w:bottom w:val="none" w:sz="0" w:space="0" w:color="auto"/>
        <w:right w:val="none" w:sz="0" w:space="0" w:color="auto"/>
      </w:divBdr>
    </w:div>
    <w:div w:id="202193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regulations.gov" TargetMode="Externa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commentsExtended" Target="commentsExtended.xml"/><Relationship Id="rId25" Type="http://schemas.openxmlformats.org/officeDocument/2006/relationships/hyperlink" Target="https://cdx.epa.gov/"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naics.com"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pa.gov/exchangenetwork/exchange-network-grant-program"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epa.gov/exchangenetwork/forms/contact-us-about-environmental-information-exchange-networ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regulations.gov" TargetMode="Externa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79E43E1135F9A5409C6E9B551286CDDD" ma:contentTypeVersion="34" ma:contentTypeDescription="Create a new document." ma:contentTypeScope="" ma:versionID="5316c83930b4adeb6cd7a3b1ba7993f7">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b5b24329-59ac-4a9d-81bd-95df2c8e545c" xmlns:ns7="a77c79ea-c886-4507-8467-5b58ad2def1c" targetNamespace="http://schemas.microsoft.com/office/2006/metadata/properties" ma:root="true" ma:fieldsID="8fe7a0731196ed16c4cdb39adbe183b5" ns1:_="" ns3:_="" ns4:_="" ns5:_="" ns6:_="" ns7:_="">
    <xsd:import namespace="http://schemas.microsoft.com/sharepoint/v3"/>
    <xsd:import namespace="4ffa91fb-a0ff-4ac5-b2db-65c790d184a4"/>
    <xsd:import namespace="http://schemas.microsoft.com/sharepoint.v3"/>
    <xsd:import namespace="http://schemas.microsoft.com/sharepoint/v3/fields"/>
    <xsd:import namespace="b5b24329-59ac-4a9d-81bd-95df2c8e545c"/>
    <xsd:import namespace="a77c79ea-c886-4507-8467-5b58ad2def1c"/>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DateTaken" minOccurs="0"/>
                <xsd:element ref="ns7:MediaServiceLocation" minOccurs="0"/>
                <xsd:element ref="ns7:MediaServiceEventHashCode" minOccurs="0"/>
                <xsd:element ref="ns7:MediaServiceGenerationTim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4b544d8-3fbe-42ae-b744-2a6aeafbc3ce}" ma:internalName="TaxCatchAllLabel" ma:readOnly="true" ma:showField="CatchAllDataLabel" ma:web="b5b24329-59ac-4a9d-81bd-95df2c8e545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4b544d8-3fbe-42ae-b744-2a6aeafbc3ce}" ma:internalName="TaxCatchAll" ma:showField="CatchAllData" ma:web="b5b24329-59ac-4a9d-81bd-95df2c8e54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b24329-59ac-4a9d-81bd-95df2c8e545c"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77c79ea-c886-4507-8467-5b58ad2def1c"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MediaServiceLocation" ma:internalName="MediaServiceLocation"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b5b24329-59ac-4a9d-81bd-95df2c8e545c"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2021-02-11T15:34:02+00:00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b5b24329-59ac-4a9d-81bd-95df2c8e545c">Pending</Records_x0020_Status>
  </documentManagement>
</p:properties>
</file>

<file path=customXml/itemProps1.xml><?xml version="1.0" encoding="utf-8"?>
<ds:datastoreItem xmlns:ds="http://schemas.openxmlformats.org/officeDocument/2006/customXml" ds:itemID="{08238501-6394-4704-9816-E41E9C29AA77}">
  <ds:schemaRefs>
    <ds:schemaRef ds:uri="http://schemas.microsoft.com/sharepoint/v3/contenttype/forms"/>
  </ds:schemaRefs>
</ds:datastoreItem>
</file>

<file path=customXml/itemProps2.xml><?xml version="1.0" encoding="utf-8"?>
<ds:datastoreItem xmlns:ds="http://schemas.openxmlformats.org/officeDocument/2006/customXml" ds:itemID="{91FF8346-B1EF-4B52-9AF4-2BB360145E57}">
  <ds:schemaRefs>
    <ds:schemaRef ds:uri="Microsoft.SharePoint.Taxonomy.ContentTypeSync"/>
  </ds:schemaRefs>
</ds:datastoreItem>
</file>

<file path=customXml/itemProps3.xml><?xml version="1.0" encoding="utf-8"?>
<ds:datastoreItem xmlns:ds="http://schemas.openxmlformats.org/officeDocument/2006/customXml" ds:itemID="{3F0EBEFB-AB04-4B1B-BA4F-1F43D3365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5b24329-59ac-4a9d-81bd-95df2c8e545c"/>
    <ds:schemaRef ds:uri="a77c79ea-c886-4507-8467-5b58ad2d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BFD76-C4B3-4039-9C51-E90E030E6D16}">
  <ds:schemaRefs>
    <ds:schemaRef ds:uri="http://schemas.openxmlformats.org/officeDocument/2006/bibliography"/>
  </ds:schemaRefs>
</ds:datastoreItem>
</file>

<file path=customXml/itemProps5.xml><?xml version="1.0" encoding="utf-8"?>
<ds:datastoreItem xmlns:ds="http://schemas.openxmlformats.org/officeDocument/2006/customXml" ds:itemID="{5A07062B-AFC7-480B-8734-D9704678DFB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b5b24329-59ac-4a9d-81bd-95df2c8e545c"/>
    <ds:schemaRef ds:uri="4ffa91fb-a0ff-4ac5-b2db-65c790d184a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4795</Words>
  <Characters>27334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EPA</Company>
  <LinksUpToDate>false</LinksUpToDate>
  <CharactersWithSpaces>32065</CharactersWithSpaces>
  <SharedDoc>false</SharedDoc>
  <HLinks>
    <vt:vector size="6" baseType="variant">
      <vt:variant>
        <vt:i4>2818151</vt:i4>
      </vt:variant>
      <vt:variant>
        <vt:i4>4</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Rachel</dc:creator>
  <cp:keywords/>
  <dc:description/>
  <cp:lastModifiedBy>Kerwin, Courtney</cp:lastModifiedBy>
  <cp:revision>2</cp:revision>
  <cp:lastPrinted>2018-05-23T13:44:00Z</cp:lastPrinted>
  <dcterms:created xsi:type="dcterms:W3CDTF">2021-07-22T16:34:00Z</dcterms:created>
  <dcterms:modified xsi:type="dcterms:W3CDTF">2021-07-22T16:34:00Z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0x01010079E43E1135F9A5409C6E9B551286CDDD</vt:lpwstr>
  </property>
</Properties>
</file>