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2604E" w:rsidP="00A2604E" w:rsidRDefault="00A2604E" w14:paraId="39F14EF8" w14:textId="157B5BD0">
      <w:pPr>
        <w:jc w:val="center"/>
      </w:pPr>
      <w:r>
        <w:t>UNITED STATES OF AMERICA</w:t>
      </w:r>
    </w:p>
    <w:p w:rsidR="00A2604E" w:rsidP="00A2604E" w:rsidRDefault="00A2604E" w14:paraId="796F63BF" w14:textId="77777777">
      <w:pPr>
        <w:jc w:val="center"/>
      </w:pPr>
      <w:r>
        <w:t>FEDERAL ENERGY REGULATORY COMMISSION</w:t>
      </w:r>
    </w:p>
    <w:p w:rsidR="00A2604E" w:rsidP="00A2604E" w:rsidRDefault="00A2604E" w14:paraId="4152868E" w14:textId="77777777"/>
    <w:p w:rsidR="00A2604E" w:rsidP="00A2604E" w:rsidRDefault="00A2604E" w14:paraId="1600CC48" w14:textId="44278E80">
      <w:pPr>
        <w:jc w:val="center"/>
      </w:pPr>
      <w:r w:rsidRPr="00AC750B">
        <w:t>[</w:t>
      </w:r>
      <w:r w:rsidR="004E4EAD">
        <w:t xml:space="preserve">Docket No. </w:t>
      </w:r>
      <w:r w:rsidR="003062C2">
        <w:t>IC21-</w:t>
      </w:r>
      <w:r w:rsidR="00024285">
        <w:t>36</w:t>
      </w:r>
      <w:r w:rsidR="004E4EAD">
        <w:t>-000</w:t>
      </w:r>
      <w:r w:rsidRPr="00AC750B">
        <w:t>]</w:t>
      </w:r>
    </w:p>
    <w:p w:rsidR="00A2604E" w:rsidP="00A2604E" w:rsidRDefault="00A2604E" w14:paraId="37A99FB4" w14:textId="77777777"/>
    <w:p w:rsidRPr="00466D3F" w:rsidR="005A7903" w:rsidP="005A7903" w:rsidRDefault="005A7903" w14:paraId="465B32C7" w14:textId="7002B7E2">
      <w:pPr>
        <w:jc w:val="center"/>
      </w:pPr>
      <w:r w:rsidRPr="00466D3F">
        <w:t>COMMISSION INFORMATION COLLECTION ACTIVITIES (FERC-</w:t>
      </w:r>
      <w:r w:rsidR="00A31127">
        <w:t>725G1 and FERC-725G4</w:t>
      </w:r>
      <w:r w:rsidRPr="00466D3F">
        <w:t>);</w:t>
      </w:r>
      <w:r>
        <w:t xml:space="preserve"> </w:t>
      </w:r>
      <w:r w:rsidRPr="00466D3F">
        <w:t>COMMENT REQUEST; EXTENSION</w:t>
      </w:r>
    </w:p>
    <w:p w:rsidR="00810D18" w:rsidP="00810D18" w:rsidRDefault="00810D18" w14:paraId="6FC67CE5" w14:textId="1157AFF8"/>
    <w:p w:rsidR="007356B8" w:rsidP="00813324" w:rsidRDefault="00813324" w14:paraId="1C382AA4" w14:textId="07FCBDA6">
      <w:pPr>
        <w:jc w:val="center"/>
      </w:pPr>
      <w:r w:rsidRPr="00813324">
        <w:t>(November 5, 2021)</w:t>
      </w:r>
    </w:p>
    <w:p w:rsidRPr="00813324" w:rsidR="00813324" w:rsidP="00813324" w:rsidRDefault="00813324" w14:paraId="06043B49" w14:textId="77777777"/>
    <w:p w:rsidR="00A2604E" w:rsidP="00A2604E" w:rsidRDefault="00A2604E" w14:paraId="2B06BEDA" w14:textId="77777777">
      <w:r w:rsidRPr="00AB4DBF">
        <w:rPr>
          <w:b/>
        </w:rPr>
        <w:t>AGENCY:</w:t>
      </w:r>
      <w:r w:rsidRPr="00AB4DBF">
        <w:t xml:space="preserve">  Federal Energy Regulatory Commission.</w:t>
      </w:r>
    </w:p>
    <w:p w:rsidRPr="00AB4DBF" w:rsidR="00A2604E" w:rsidP="00A2604E" w:rsidRDefault="00A2604E" w14:paraId="3CD46B7D" w14:textId="77777777"/>
    <w:p w:rsidR="00A2604E" w:rsidP="00A2604E" w:rsidRDefault="00A2604E" w14:paraId="3C2C8063" w14:textId="77777777">
      <w:pPr>
        <w:spacing w:line="480" w:lineRule="auto"/>
      </w:pPr>
      <w:r w:rsidRPr="00CE64F2">
        <w:rPr>
          <w:b/>
        </w:rPr>
        <w:t>ACTION:</w:t>
      </w:r>
      <w:r>
        <w:t xml:space="preserve">  Notice of information collection and request for comments.</w:t>
      </w:r>
    </w:p>
    <w:p w:rsidR="00A2604E" w:rsidP="00F8646E" w:rsidRDefault="00A2604E" w14:paraId="124637F9" w14:textId="0885C713">
      <w:pPr>
        <w:spacing w:line="480" w:lineRule="auto"/>
      </w:pPr>
      <w:r w:rsidRPr="00CE64F2">
        <w:rPr>
          <w:b/>
        </w:rPr>
        <w:t>SUMMARY:</w:t>
      </w:r>
      <w:r>
        <w:t xml:space="preserve">  </w:t>
      </w:r>
      <w:r w:rsidRPr="005A7903" w:rsidR="005A7903">
        <w:t xml:space="preserve">In compliance with the requirements of the Paperwork Reduction Act of 1995, the Federal Energy Regulatory Commission (Commission or FERC) is soliciting public comment on the currently approved information </w:t>
      </w:r>
      <w:r w:rsidRPr="00146110" w:rsidR="00146110">
        <w:t>collections, FERC-725G1</w:t>
      </w:r>
      <w:r w:rsidR="00AD4632">
        <w:t xml:space="preserve">, </w:t>
      </w:r>
      <w:r w:rsidRPr="00146110" w:rsidR="00146110">
        <w:t>Mandatory Reliability Standards for the Bulk-Power System: Reliability Standard PRC-004-6</w:t>
      </w:r>
      <w:r w:rsidR="00853F85">
        <w:t xml:space="preserve"> (Protection System Misoperation Identification and Correction),</w:t>
      </w:r>
      <w:r w:rsidR="00AE0B07">
        <w:t xml:space="preserve"> </w:t>
      </w:r>
      <w:r w:rsidRPr="00146110" w:rsidR="00146110">
        <w:t>and FERC-725G4</w:t>
      </w:r>
      <w:r w:rsidR="00AD4632">
        <w:t>,</w:t>
      </w:r>
      <w:r w:rsidRPr="00146110" w:rsidR="00146110">
        <w:t xml:space="preserve"> Mandatory Reliability Standards:  Reliability Standard PRC-010-2 (Under</w:t>
      </w:r>
      <w:r w:rsidR="00AE0B07">
        <w:t xml:space="preserve"> V</w:t>
      </w:r>
      <w:r w:rsidRPr="00146110" w:rsidR="00146110">
        <w:t>oltage Load Shedding)</w:t>
      </w:r>
      <w:r w:rsidR="008154B7">
        <w:t xml:space="preserve">.  The Commission </w:t>
      </w:r>
      <w:r w:rsidRPr="005A7903" w:rsidR="005A7903">
        <w:t>will submit</w:t>
      </w:r>
      <w:r w:rsidR="008154B7">
        <w:t xml:space="preserve"> these </w:t>
      </w:r>
      <w:r w:rsidR="00971018">
        <w:t>information collections</w:t>
      </w:r>
      <w:r w:rsidRPr="005A7903" w:rsidR="005A7903">
        <w:t xml:space="preserve"> to the Office of Management and Budget (OMB) </w:t>
      </w:r>
      <w:r w:rsidR="002426B5">
        <w:t xml:space="preserve">in connection with a request for </w:t>
      </w:r>
      <w:r w:rsidRPr="005A7903" w:rsidR="005A7903">
        <w:t xml:space="preserve">review </w:t>
      </w:r>
      <w:r w:rsidR="002426B5">
        <w:t>and renewal</w:t>
      </w:r>
      <w:r w:rsidR="0091389D">
        <w:t>.</w:t>
      </w:r>
    </w:p>
    <w:p w:rsidRPr="007C1916" w:rsidR="007C1916" w:rsidP="007C1916" w:rsidRDefault="00A2604E" w14:paraId="442CCE36" w14:textId="4EBC3054">
      <w:pPr>
        <w:spacing w:line="480" w:lineRule="auto"/>
      </w:pPr>
      <w:r w:rsidRPr="00CE64F2">
        <w:rPr>
          <w:b/>
        </w:rPr>
        <w:t>DATES:</w:t>
      </w:r>
      <w:r>
        <w:t xml:space="preserve">  Comments on the collection of information are due </w:t>
      </w:r>
      <w:bookmarkStart w:name="OLE_LINK1" w:id="0"/>
      <w:r w:rsidRPr="007C1916" w:rsidR="007C1916">
        <w:rPr>
          <w:b/>
        </w:rPr>
        <w:t>[</w:t>
      </w:r>
      <w:r w:rsidRPr="00F11631" w:rsidR="007C1916">
        <w:rPr>
          <w:b/>
          <w:caps/>
        </w:rPr>
        <w:t xml:space="preserve">Insert Date 30 days after </w:t>
      </w:r>
      <w:r w:rsidR="00B65A09">
        <w:rPr>
          <w:b/>
          <w:caps/>
        </w:rPr>
        <w:t xml:space="preserve">date of </w:t>
      </w:r>
      <w:r w:rsidRPr="00F11631" w:rsidR="007C1916">
        <w:rPr>
          <w:b/>
          <w:caps/>
        </w:rPr>
        <w:t>publication in the Federal Register]</w:t>
      </w:r>
      <w:r w:rsidRPr="00F11631" w:rsidR="00B65A09">
        <w:rPr>
          <w:b/>
          <w:caps/>
        </w:rPr>
        <w:t>.</w:t>
      </w:r>
      <w:r w:rsidRPr="00F11631" w:rsidR="00B65A09">
        <w:rPr>
          <w:caps/>
        </w:rPr>
        <w:t xml:space="preserve">  </w:t>
      </w:r>
    </w:p>
    <w:p w:rsidR="00343A03" w:rsidP="00D50830" w:rsidRDefault="007C1916" w14:paraId="2AFF287E" w14:textId="01C2FA27">
      <w:pPr>
        <w:spacing w:line="480" w:lineRule="auto"/>
      </w:pPr>
      <w:r w:rsidRPr="007C1916">
        <w:rPr>
          <w:b/>
        </w:rPr>
        <w:t>ADDRESSES:</w:t>
      </w:r>
      <w:r w:rsidRPr="007C1916">
        <w:t xml:space="preserve">  </w:t>
      </w:r>
      <w:r w:rsidRPr="00096CAD" w:rsidR="00343A03">
        <w:rPr>
          <w:iCs/>
          <w:szCs w:val="26"/>
        </w:rPr>
        <w:t xml:space="preserve">Send written comments on </w:t>
      </w:r>
      <w:r w:rsidR="00016EDB">
        <w:rPr>
          <w:iCs/>
          <w:szCs w:val="26"/>
        </w:rPr>
        <w:t>FERC-</w:t>
      </w:r>
      <w:r w:rsidR="000472F6">
        <w:rPr>
          <w:iCs/>
          <w:szCs w:val="26"/>
        </w:rPr>
        <w:t>725G1 and/or FERC-725G4</w:t>
      </w:r>
      <w:r w:rsidRPr="00096CAD" w:rsidR="00343A03">
        <w:rPr>
          <w:iCs/>
          <w:szCs w:val="26"/>
        </w:rPr>
        <w:t xml:space="preserve"> to OMB through </w:t>
      </w:r>
      <w:hyperlink w:history="1" r:id="rId12">
        <w:r w:rsidRPr="00096CAD" w:rsidR="00343A03">
          <w:rPr>
            <w:rStyle w:val="Hyperlink"/>
            <w:szCs w:val="26"/>
          </w:rPr>
          <w:t>www.reginfo.gov/public/do/PRAMain</w:t>
        </w:r>
      </w:hyperlink>
      <w:r w:rsidRPr="00096CAD" w:rsidR="00343A03">
        <w:rPr>
          <w:szCs w:val="26"/>
        </w:rPr>
        <w:t>,</w:t>
      </w:r>
      <w:r w:rsidRPr="00096CAD" w:rsidR="00343A03">
        <w:rPr>
          <w:iCs/>
          <w:szCs w:val="26"/>
        </w:rPr>
        <w:t xml:space="preserve"> Attention:  Federal Energy Regulatory Commission Desk Officer.  Please identify the OMB control number</w:t>
      </w:r>
      <w:r w:rsidR="00217F4B">
        <w:rPr>
          <w:iCs/>
          <w:szCs w:val="26"/>
        </w:rPr>
        <w:t>(</w:t>
      </w:r>
      <w:r w:rsidR="00E25601">
        <w:rPr>
          <w:iCs/>
          <w:szCs w:val="26"/>
        </w:rPr>
        <w:t>s</w:t>
      </w:r>
      <w:r w:rsidR="00217F4B">
        <w:rPr>
          <w:iCs/>
          <w:szCs w:val="26"/>
        </w:rPr>
        <w:t>)</w:t>
      </w:r>
      <w:r w:rsidRPr="00096CAD" w:rsidR="00343A03">
        <w:rPr>
          <w:iCs/>
          <w:szCs w:val="26"/>
        </w:rPr>
        <w:t xml:space="preserve"> (</w:t>
      </w:r>
      <w:r w:rsidRPr="0014216B" w:rsidR="0014216B">
        <w:rPr>
          <w:iCs/>
          <w:szCs w:val="26"/>
        </w:rPr>
        <w:t>1902-0284</w:t>
      </w:r>
      <w:r w:rsidR="006B2FDE">
        <w:rPr>
          <w:iCs/>
          <w:szCs w:val="26"/>
        </w:rPr>
        <w:t xml:space="preserve"> for FERC-725G1</w:t>
      </w:r>
      <w:r w:rsidRPr="00096CAD" w:rsidR="00343A03">
        <w:rPr>
          <w:iCs/>
          <w:szCs w:val="26"/>
        </w:rPr>
        <w:t xml:space="preserve">) </w:t>
      </w:r>
      <w:r w:rsidR="006B2FDE">
        <w:rPr>
          <w:iCs/>
          <w:szCs w:val="26"/>
        </w:rPr>
        <w:t>and</w:t>
      </w:r>
      <w:r w:rsidR="002A1C24">
        <w:rPr>
          <w:iCs/>
          <w:szCs w:val="26"/>
        </w:rPr>
        <w:t>/</w:t>
      </w:r>
      <w:r w:rsidR="006B2FDE">
        <w:rPr>
          <w:iCs/>
          <w:szCs w:val="26"/>
        </w:rPr>
        <w:t>or (1902-</w:t>
      </w:r>
      <w:r w:rsidR="00000341">
        <w:rPr>
          <w:iCs/>
          <w:szCs w:val="26"/>
        </w:rPr>
        <w:t>0282</w:t>
      </w:r>
      <w:r w:rsidR="006B2FDE">
        <w:rPr>
          <w:iCs/>
          <w:szCs w:val="26"/>
        </w:rPr>
        <w:t xml:space="preserve"> for FERC-725G4) </w:t>
      </w:r>
      <w:r w:rsidRPr="00096CAD" w:rsidR="00343A03">
        <w:rPr>
          <w:iCs/>
          <w:szCs w:val="26"/>
        </w:rPr>
        <w:t>in the subject line</w:t>
      </w:r>
      <w:r w:rsidR="00343A03">
        <w:rPr>
          <w:iCs/>
          <w:szCs w:val="26"/>
        </w:rPr>
        <w:t>.  Y</w:t>
      </w:r>
      <w:r w:rsidRPr="00096CAD" w:rsidR="00343A03">
        <w:rPr>
          <w:iCs/>
          <w:szCs w:val="26"/>
        </w:rPr>
        <w:t xml:space="preserve">our comments </w:t>
      </w:r>
      <w:r w:rsidRPr="00096CAD" w:rsidR="00343A03">
        <w:rPr>
          <w:szCs w:val="26"/>
        </w:rPr>
        <w:t xml:space="preserve">should be sent within 30 days of publication of this notice </w:t>
      </w:r>
      <w:r w:rsidR="00343A03">
        <w:rPr>
          <w:szCs w:val="26"/>
        </w:rPr>
        <w:t>in the Federal Register.</w:t>
      </w:r>
    </w:p>
    <w:p w:rsidR="00D65D56" w:rsidP="00D65D56" w:rsidRDefault="00F12A43" w14:paraId="6073EEC6" w14:textId="0082BE1B">
      <w:pPr>
        <w:spacing w:line="480" w:lineRule="auto"/>
      </w:pPr>
      <w:r>
        <w:lastRenderedPageBreak/>
        <w:t xml:space="preserve">Please submit copies of your comments </w:t>
      </w:r>
      <w:r w:rsidR="00D65D56">
        <w:t xml:space="preserve">(identified by Docket No. </w:t>
      </w:r>
      <w:r w:rsidR="00BE3392">
        <w:t>IC21-</w:t>
      </w:r>
      <w:r w:rsidR="002A1C24">
        <w:t>36</w:t>
      </w:r>
      <w:r w:rsidR="00D65D56">
        <w:t xml:space="preserve">-000) </w:t>
      </w:r>
      <w:r>
        <w:t>to the Commission as noted below</w:t>
      </w:r>
      <w:r w:rsidR="00D65D56">
        <w:t xml:space="preserve">.  Electronic filing through </w:t>
      </w:r>
      <w:hyperlink w:history="1" r:id="rId13">
        <w:r w:rsidRPr="005728E4" w:rsidR="00D65D56">
          <w:rPr>
            <w:rStyle w:val="Hyperlink"/>
          </w:rPr>
          <w:t>http://www.ferc.gov</w:t>
        </w:r>
      </w:hyperlink>
      <w:r w:rsidR="00D65D56">
        <w:t>, is preferred.</w:t>
      </w:r>
    </w:p>
    <w:p w:rsidR="00D65D56" w:rsidP="0027045E" w:rsidRDefault="00D65D56" w14:paraId="5A9C0A3B" w14:textId="5B836784">
      <w:pPr>
        <w:pStyle w:val="ListParagraph"/>
        <w:numPr>
          <w:ilvl w:val="0"/>
          <w:numId w:val="6"/>
        </w:numPr>
        <w:spacing w:line="480" w:lineRule="auto"/>
      </w:pPr>
      <w:r>
        <w:t xml:space="preserve">Electronic Filing: Documents must be filed in acceptable native applications and print-to-PDF, but not in scanned or picture format. </w:t>
      </w:r>
    </w:p>
    <w:p w:rsidR="00D65D56" w:rsidP="0027045E" w:rsidRDefault="00D65D56" w14:paraId="2F414D48" w14:textId="221667DA">
      <w:pPr>
        <w:pStyle w:val="ListParagraph"/>
        <w:numPr>
          <w:ilvl w:val="0"/>
          <w:numId w:val="6"/>
        </w:numPr>
        <w:spacing w:line="480" w:lineRule="auto"/>
      </w:pPr>
      <w:r>
        <w:t>For those unable to file electronically, comments may be filed by USPS mail or by hand (including courier) delivery.</w:t>
      </w:r>
    </w:p>
    <w:p w:rsidR="00D65D56" w:rsidP="00BE3392" w:rsidRDefault="00D65D56" w14:paraId="773E8072" w14:textId="2034CC54">
      <w:pPr>
        <w:pStyle w:val="ListParagraph"/>
        <w:numPr>
          <w:ilvl w:val="1"/>
          <w:numId w:val="6"/>
        </w:numPr>
        <w:spacing w:line="480" w:lineRule="auto"/>
      </w:pPr>
      <w:r>
        <w:t>Mail via U.S. Postal Service Only: Addressed to: Federal Energy Regulatory Commission, Secretary of the Commission, 888 First Street, N.E., Washington, DC 20426.</w:t>
      </w:r>
    </w:p>
    <w:p w:rsidR="00D50830" w:rsidP="00BE3392" w:rsidRDefault="00D65D56" w14:paraId="40619756" w14:textId="759020BE">
      <w:pPr>
        <w:pStyle w:val="ListParagraph"/>
        <w:numPr>
          <w:ilvl w:val="1"/>
          <w:numId w:val="6"/>
        </w:numPr>
        <w:spacing w:line="480" w:lineRule="auto"/>
      </w:pPr>
      <w:r>
        <w:t xml:space="preserve">Hand (including courier) delivery: Deliver to: Federal Energy Regulatory Commission, 12225 Wilkins Avenue, Rockville, MD 20852. </w:t>
      </w:r>
    </w:p>
    <w:p w:rsidRPr="00CB7448" w:rsidR="00310EFC" w:rsidP="007C1916" w:rsidRDefault="00A2604E" w14:paraId="1D7D8F0D" w14:textId="77777777">
      <w:pPr>
        <w:spacing w:line="480" w:lineRule="auto"/>
        <w:rPr>
          <w:i/>
          <w:szCs w:val="26"/>
        </w:rPr>
      </w:pPr>
      <w:r w:rsidRPr="00CB7448">
        <w:rPr>
          <w:i/>
          <w:szCs w:val="26"/>
        </w:rPr>
        <w:t xml:space="preserve">Instructions: </w:t>
      </w:r>
    </w:p>
    <w:p w:rsidRPr="00CB7448" w:rsidR="008E5123" w:rsidP="008E5123" w:rsidRDefault="008E5123" w14:paraId="2BAFDB88" w14:textId="77777777">
      <w:pPr>
        <w:spacing w:line="480" w:lineRule="auto"/>
        <w:rPr>
          <w:szCs w:val="26"/>
        </w:rPr>
      </w:pPr>
      <w:r w:rsidRPr="00CB7448">
        <w:rPr>
          <w:i/>
          <w:szCs w:val="26"/>
        </w:rPr>
        <w:t>OMB submissions</w:t>
      </w:r>
      <w:r w:rsidRPr="00096CAD">
        <w:rPr>
          <w:iCs/>
          <w:szCs w:val="26"/>
        </w:rPr>
        <w:t xml:space="preserve"> </w:t>
      </w:r>
      <w:r w:rsidRPr="00CB7448">
        <w:rPr>
          <w:szCs w:val="26"/>
        </w:rPr>
        <w:t>must be formatted and filed in accordance with submission guidelines at</w:t>
      </w:r>
      <w:r w:rsidRPr="00CB7448">
        <w:rPr>
          <w:i/>
          <w:szCs w:val="26"/>
        </w:rPr>
        <w:t xml:space="preserve"> </w:t>
      </w:r>
      <w:hyperlink w:history="1" r:id="rId14">
        <w:r w:rsidRPr="00096CAD">
          <w:rPr>
            <w:rStyle w:val="Hyperlink"/>
            <w:szCs w:val="26"/>
          </w:rPr>
          <w:t>www.reginfo.gov/public/do/PRAMain</w:t>
        </w:r>
      </w:hyperlink>
      <w:r w:rsidRPr="00096CAD">
        <w:rPr>
          <w:szCs w:val="26"/>
        </w:rPr>
        <w:t>;  Using the search function under the “Currently Under Review field</w:t>
      </w:r>
      <w:r>
        <w:rPr>
          <w:szCs w:val="26"/>
        </w:rPr>
        <w:t>,</w:t>
      </w:r>
      <w:r w:rsidRPr="00096CAD">
        <w:rPr>
          <w:szCs w:val="26"/>
        </w:rPr>
        <w:t>” select Federal Energy Regulatory Commission; click “submit” and select “comment” to the right of the subject collection.</w:t>
      </w:r>
      <w:r w:rsidRPr="00CB7448">
        <w:rPr>
          <w:szCs w:val="26"/>
        </w:rPr>
        <w:t xml:space="preserve"> </w:t>
      </w:r>
    </w:p>
    <w:p w:rsidRPr="00CB7447" w:rsidR="00D50830" w:rsidP="00D50830" w:rsidRDefault="00D50830" w14:paraId="7554CFE1" w14:textId="62C145F5">
      <w:pPr>
        <w:spacing w:line="480" w:lineRule="auto"/>
        <w:rPr>
          <w:sz w:val="24"/>
        </w:rPr>
      </w:pPr>
      <w:r w:rsidRPr="0027045E">
        <w:t>FERC submissions must</w:t>
      </w:r>
      <w:r>
        <w:t xml:space="preserve"> be formatted and filed in accordance with submission guidelines at: </w:t>
      </w:r>
      <w:hyperlink w:history="1" r:id="rId15">
        <w:r w:rsidRPr="00866BB4">
          <w:rPr>
            <w:rStyle w:val="Hyperlink"/>
          </w:rPr>
          <w:t>http://www.ferc.gov</w:t>
        </w:r>
      </w:hyperlink>
      <w:r>
        <w:t>.</w:t>
      </w:r>
      <w:r w:rsidR="00C44372">
        <w:t xml:space="preserve"> </w:t>
      </w:r>
      <w:r>
        <w:t>For user assistance, contact FERC Online Support by e-mail at ferconlinesupport@ferc.gov, or by phone at:  (866) 208-3676 (toll-free).</w:t>
      </w:r>
    </w:p>
    <w:p w:rsidR="00C44372" w:rsidP="00A2604E" w:rsidRDefault="00A2604E" w14:paraId="0A8B7F1C" w14:textId="77777777">
      <w:pPr>
        <w:spacing w:line="480" w:lineRule="auto"/>
      </w:pPr>
      <w:r>
        <w:rPr>
          <w:i/>
        </w:rPr>
        <w:t>Docket:</w:t>
      </w:r>
      <w:r>
        <w:t xml:space="preserve"> Users interested in receiving automatic notification of activity in this docket or in viewing/downloading comments and issuances in this docket may do so at </w:t>
      </w:r>
      <w:bookmarkEnd w:id="0"/>
      <w:r w:rsidR="00C44372">
        <w:fldChar w:fldCharType="begin"/>
      </w:r>
      <w:r w:rsidR="00C44372">
        <w:instrText xml:space="preserve"> HYPERLINK "http://www.ferc.gov/help/submission-guide.asp" </w:instrText>
      </w:r>
      <w:r w:rsidR="00C44372">
        <w:fldChar w:fldCharType="separate"/>
      </w:r>
      <w:r w:rsidRPr="00866BB4" w:rsidR="00C44372">
        <w:rPr>
          <w:rStyle w:val="Hyperlink"/>
        </w:rPr>
        <w:t>http://www.ferc.gov</w:t>
      </w:r>
      <w:r w:rsidR="00C44372">
        <w:rPr>
          <w:rStyle w:val="Hyperlink"/>
        </w:rPr>
        <w:fldChar w:fldCharType="end"/>
      </w:r>
      <w:r w:rsidR="00C44372">
        <w:t xml:space="preserve">. </w:t>
      </w:r>
    </w:p>
    <w:p w:rsidR="00A2604E" w:rsidP="00A2604E" w:rsidRDefault="00A2604E" w14:paraId="5D1F4BEC" w14:textId="684004F9">
      <w:pPr>
        <w:spacing w:line="480" w:lineRule="auto"/>
      </w:pPr>
      <w:r w:rsidRPr="00656DF0">
        <w:rPr>
          <w:b/>
        </w:rPr>
        <w:lastRenderedPageBreak/>
        <w:t>FOR FURTHER INFORMATION:</w:t>
      </w:r>
      <w:r>
        <w:t xml:space="preserve">  </w:t>
      </w:r>
      <w:r w:rsidRPr="007731D6">
        <w:t>Ellen Brown</w:t>
      </w:r>
      <w:r>
        <w:t xml:space="preserve"> may be reached by e-mail at </w:t>
      </w:r>
      <w:hyperlink w:history="1" r:id="rId16">
        <w:r w:rsidRPr="00006D4B">
          <w:rPr>
            <w:rStyle w:val="Hyperlink"/>
          </w:rPr>
          <w:t>DataClearance@FERC.gov</w:t>
        </w:r>
      </w:hyperlink>
      <w:r w:rsidR="00034C49">
        <w:t xml:space="preserve"> and</w:t>
      </w:r>
      <w:r>
        <w:t xml:space="preserve"> telephone at (202) 502-8663</w:t>
      </w:r>
      <w:r w:rsidR="00754526">
        <w:t>.</w:t>
      </w:r>
    </w:p>
    <w:p w:rsidRPr="00425DA2" w:rsidR="005A7903" w:rsidP="005A7903" w:rsidRDefault="005A7903" w14:paraId="4553AE5A" w14:textId="37157A14">
      <w:pPr>
        <w:spacing w:line="480" w:lineRule="auto"/>
      </w:pPr>
      <w:r w:rsidRPr="00466D3F">
        <w:rPr>
          <w:b/>
        </w:rPr>
        <w:t>SUPPLEMENTARY INFORMATION:</w:t>
      </w:r>
      <w:r w:rsidRPr="00466D3F">
        <w:t xml:space="preserve">  </w:t>
      </w:r>
    </w:p>
    <w:p w:rsidRPr="00EA3A03" w:rsidR="00EA3A03" w:rsidP="00EA3A03" w:rsidRDefault="00EA3A03" w14:paraId="0F812AB9" w14:textId="77777777">
      <w:pPr>
        <w:spacing w:line="480" w:lineRule="auto"/>
        <w:rPr>
          <w:b/>
          <w:bCs/>
          <w:iCs/>
          <w:szCs w:val="26"/>
        </w:rPr>
      </w:pPr>
      <w:r w:rsidRPr="00EA3A03">
        <w:rPr>
          <w:b/>
          <w:bCs/>
          <w:iCs/>
          <w:szCs w:val="26"/>
        </w:rPr>
        <w:t>FERC-725G1</w:t>
      </w:r>
      <w:r w:rsidRPr="00EA3A03">
        <w:rPr>
          <w:iCs/>
          <w:szCs w:val="26"/>
        </w:rPr>
        <w:t>:</w:t>
      </w:r>
      <w:r w:rsidRPr="00EA3A03">
        <w:rPr>
          <w:b/>
          <w:bCs/>
          <w:iCs/>
          <w:szCs w:val="26"/>
        </w:rPr>
        <w:t xml:space="preserve"> </w:t>
      </w:r>
    </w:p>
    <w:p w:rsidRPr="00EA3A03" w:rsidR="00EA3A03" w:rsidP="00EA3A03" w:rsidRDefault="00EA3A03" w14:paraId="6950AB02" w14:textId="77777777">
      <w:pPr>
        <w:spacing w:line="480" w:lineRule="auto"/>
        <w:rPr>
          <w:i/>
          <w:szCs w:val="26"/>
        </w:rPr>
      </w:pPr>
      <w:r w:rsidRPr="00EA3A03">
        <w:rPr>
          <w:i/>
          <w:iCs/>
          <w:szCs w:val="26"/>
        </w:rPr>
        <w:t>Title</w:t>
      </w:r>
      <w:r w:rsidRPr="00EA3A03">
        <w:rPr>
          <w:iCs/>
          <w:szCs w:val="26"/>
        </w:rPr>
        <w:t>: Mandatory Reliability Standards for the Bulk-Power System: Reliability Standard PRC-004-6.</w:t>
      </w:r>
    </w:p>
    <w:p w:rsidRPr="00EA3A03" w:rsidR="00EA3A03" w:rsidP="00EA3A03" w:rsidRDefault="00EA3A03" w14:paraId="56BD6795" w14:textId="77777777">
      <w:pPr>
        <w:spacing w:line="480" w:lineRule="auto"/>
        <w:rPr>
          <w:i/>
          <w:szCs w:val="26"/>
        </w:rPr>
      </w:pPr>
      <w:r w:rsidRPr="00EA3A03">
        <w:rPr>
          <w:i/>
          <w:iCs/>
          <w:szCs w:val="26"/>
        </w:rPr>
        <w:t>OMB Control No</w:t>
      </w:r>
      <w:r w:rsidRPr="00EA3A03">
        <w:rPr>
          <w:szCs w:val="26"/>
        </w:rPr>
        <w:t>.: 1902-0284.</w:t>
      </w:r>
    </w:p>
    <w:p w:rsidRPr="00EA3A03" w:rsidR="00EA3A03" w:rsidP="00EA3A03" w:rsidRDefault="00EA3A03" w14:paraId="3B3BA2A2" w14:textId="77777777">
      <w:pPr>
        <w:spacing w:line="480" w:lineRule="auto"/>
        <w:rPr>
          <w:iCs/>
          <w:szCs w:val="26"/>
        </w:rPr>
      </w:pPr>
      <w:r w:rsidRPr="00EA3A03">
        <w:rPr>
          <w:i/>
          <w:iCs/>
          <w:szCs w:val="26"/>
        </w:rPr>
        <w:t>Type of Request</w:t>
      </w:r>
      <w:r w:rsidRPr="00EA3A03">
        <w:rPr>
          <w:iCs/>
          <w:szCs w:val="26"/>
        </w:rPr>
        <w:t>: Three-year extension of the FERC-725G1 information collection requirements.</w:t>
      </w:r>
    </w:p>
    <w:p w:rsidRPr="00EA3A03" w:rsidR="00EA3A03" w:rsidP="00EA3A03" w:rsidRDefault="00EA3A03" w14:paraId="79DB0314" w14:textId="77777777">
      <w:pPr>
        <w:spacing w:line="480" w:lineRule="auto"/>
        <w:rPr>
          <w:iCs/>
          <w:szCs w:val="26"/>
        </w:rPr>
      </w:pPr>
      <w:r w:rsidRPr="00EA3A03">
        <w:rPr>
          <w:i/>
          <w:iCs/>
          <w:szCs w:val="26"/>
        </w:rPr>
        <w:t>Abstract</w:t>
      </w:r>
      <w:r w:rsidRPr="00EA3A03">
        <w:rPr>
          <w:iCs/>
          <w:szCs w:val="26"/>
        </w:rPr>
        <w:t>:  The Commission collects information under FERC-725G1 in accordance with section 215 of the Federal Power Act (FPA)</w:t>
      </w:r>
      <w:r w:rsidRPr="00EA3A03">
        <w:rPr>
          <w:b/>
          <w:iCs/>
          <w:szCs w:val="26"/>
          <w:vertAlign w:val="superscript"/>
        </w:rPr>
        <w:footnoteReference w:id="2"/>
      </w:r>
      <w:r w:rsidRPr="00EA3A03">
        <w:rPr>
          <w:iCs/>
          <w:szCs w:val="26"/>
        </w:rPr>
        <w:t xml:space="preserve">  and 18 CFR Parts 39 and 40.  Section 215 of the FPA gives the Commission and the North American Electric Reliability Corporation (as the Commission-approved Electric Reliability Organization) to establish and enforce reliability standards for all users, owners, and operators of the bulk-power system.</w:t>
      </w:r>
      <w:r w:rsidRPr="00EA3A03">
        <w:rPr>
          <w:b/>
          <w:iCs/>
          <w:szCs w:val="26"/>
          <w:vertAlign w:val="superscript"/>
        </w:rPr>
        <w:footnoteReference w:id="3"/>
      </w:r>
      <w:r w:rsidRPr="00EA3A03">
        <w:rPr>
          <w:iCs/>
          <w:szCs w:val="26"/>
        </w:rPr>
        <w:t xml:space="preserve">  Once approved, the Reliability Standards may be enforced by the Electric Reliability Organization subject to Commission oversight, or by the Commission independently.</w:t>
      </w:r>
      <w:r w:rsidRPr="00EA3A03">
        <w:rPr>
          <w:b/>
          <w:iCs/>
          <w:szCs w:val="26"/>
          <w:vertAlign w:val="superscript"/>
        </w:rPr>
        <w:footnoteReference w:id="4"/>
      </w:r>
    </w:p>
    <w:p w:rsidRPr="00EA3A03" w:rsidR="00EA3A03" w:rsidP="00EA3A03" w:rsidRDefault="00EA3A03" w14:paraId="62121B7D" w14:textId="77777777">
      <w:pPr>
        <w:spacing w:line="480" w:lineRule="auto"/>
        <w:rPr>
          <w:iCs/>
          <w:szCs w:val="26"/>
        </w:rPr>
      </w:pPr>
      <w:r w:rsidRPr="00EA3A03">
        <w:rPr>
          <w:iCs/>
          <w:szCs w:val="26"/>
        </w:rPr>
        <w:lastRenderedPageBreak/>
        <w:t>Reliability Standard PRC-004-6 requires transmission owners, generator owners, and distribution providers to identify and correct causes of misoperations of certain protection systems for bulk-power system elements.  It also requires retention of evidence of misoperations for a minimum of 12 calendar months.</w:t>
      </w:r>
    </w:p>
    <w:p w:rsidRPr="00EA3A03" w:rsidR="00EA3A03" w:rsidP="00EA3A03" w:rsidRDefault="00EA3A03" w14:paraId="6BB562C0" w14:textId="044D76DA">
      <w:pPr>
        <w:spacing w:line="480" w:lineRule="auto"/>
        <w:rPr>
          <w:szCs w:val="26"/>
        </w:rPr>
      </w:pPr>
      <w:r w:rsidRPr="00EA3A03">
        <w:rPr>
          <w:i/>
          <w:iCs/>
          <w:szCs w:val="26"/>
        </w:rPr>
        <w:t>Types of Respondent</w:t>
      </w:r>
      <w:r w:rsidRPr="00EA3A03">
        <w:rPr>
          <w:szCs w:val="26"/>
        </w:rPr>
        <w:t>s: Transmission Owners, Generator Owners, and Distribution Providers</w:t>
      </w:r>
      <w:r w:rsidR="004F04C4">
        <w:rPr>
          <w:szCs w:val="26"/>
        </w:rPr>
        <w:t>.</w:t>
      </w:r>
      <w:r w:rsidRPr="00EA3A03">
        <w:rPr>
          <w:szCs w:val="26"/>
        </w:rPr>
        <w:t xml:space="preserve"> </w:t>
      </w:r>
    </w:p>
    <w:p w:rsidRPr="00EA3A03" w:rsidR="00EA3A03" w:rsidP="00EA3A03" w:rsidRDefault="00EA3A03" w14:paraId="289A3F83" w14:textId="77777777">
      <w:pPr>
        <w:spacing w:line="480" w:lineRule="auto"/>
        <w:rPr>
          <w:b/>
          <w:bCs/>
          <w:i/>
          <w:szCs w:val="26"/>
        </w:rPr>
      </w:pPr>
      <w:r w:rsidRPr="00EA3A03">
        <w:rPr>
          <w:i/>
          <w:iCs/>
          <w:szCs w:val="26"/>
        </w:rPr>
        <w:t>Frequency of Response</w:t>
      </w:r>
      <w:r w:rsidRPr="00EA3A03">
        <w:rPr>
          <w:iCs/>
          <w:szCs w:val="26"/>
        </w:rPr>
        <w:t>:  On occasion.</w:t>
      </w:r>
    </w:p>
    <w:p w:rsidR="001C1289" w:rsidP="00EA3A03" w:rsidRDefault="00EA3A03" w14:paraId="40833D76" w14:textId="359BCB3B">
      <w:pPr>
        <w:spacing w:line="480" w:lineRule="auto"/>
        <w:rPr>
          <w:szCs w:val="26"/>
        </w:rPr>
      </w:pPr>
      <w:r w:rsidRPr="00EA3A03">
        <w:rPr>
          <w:i/>
          <w:iCs/>
          <w:szCs w:val="26"/>
        </w:rPr>
        <w:t>Estimate of Annual Burden</w:t>
      </w:r>
      <w:r w:rsidRPr="00EA3A03">
        <w:rPr>
          <w:szCs w:val="26"/>
        </w:rPr>
        <w:t>:  The Commission estimates 703 responses annually, and per-response burdens of 16.5 hours and $1,435.50.</w:t>
      </w:r>
      <w:r w:rsidRPr="00EA3A03">
        <w:rPr>
          <w:b/>
          <w:szCs w:val="26"/>
          <w:vertAlign w:val="superscript"/>
        </w:rPr>
        <w:footnoteReference w:id="5"/>
      </w:r>
      <w:r w:rsidRPr="00EA3A03">
        <w:rPr>
          <w:szCs w:val="26"/>
        </w:rPr>
        <w:t xml:space="preserve">  The total estimated burdens per year are 703 responses, 11,599.5 hours, and </w:t>
      </w:r>
      <w:r w:rsidRPr="00EA3A03">
        <w:rPr>
          <w:bCs/>
          <w:szCs w:val="26"/>
        </w:rPr>
        <w:t>$1,009,156.50</w:t>
      </w:r>
      <w:r w:rsidRPr="00EA3A03">
        <w:rPr>
          <w:szCs w:val="26"/>
        </w:rPr>
        <w:t>.  These burdens are itemized in the following table:</w:t>
      </w:r>
    </w:p>
    <w:p w:rsidR="001C1289" w:rsidRDefault="001C1289" w14:paraId="34D06064" w14:textId="77777777">
      <w:pPr>
        <w:spacing w:after="160" w:line="259" w:lineRule="auto"/>
        <w:rPr>
          <w:szCs w:val="26"/>
        </w:rPr>
      </w:pPr>
      <w:r>
        <w:rPr>
          <w:szCs w:val="26"/>
        </w:rPr>
        <w:br w:type="page"/>
      </w:r>
    </w:p>
    <w:tbl>
      <w:tblPr>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32"/>
        <w:gridCol w:w="1532"/>
        <w:gridCol w:w="1578"/>
        <w:gridCol w:w="1492"/>
        <w:gridCol w:w="1591"/>
        <w:gridCol w:w="1597"/>
      </w:tblGrid>
      <w:tr w:rsidRPr="00EA3A03" w:rsidR="00EA3A03" w:rsidTr="00E630D7" w14:paraId="0C042A89" w14:textId="77777777">
        <w:trPr>
          <w:cantSplit/>
        </w:trPr>
        <w:tc>
          <w:tcPr>
            <w:tcW w:w="9422" w:type="dxa"/>
            <w:gridSpan w:val="6"/>
            <w:shd w:val="clear" w:color="auto" w:fill="D9D9D9"/>
            <w:vAlign w:val="center"/>
          </w:tcPr>
          <w:p w:rsidRPr="00EA3A03" w:rsidR="00EA3A03" w:rsidP="00E630D7" w:rsidRDefault="00CE4B75" w14:paraId="05D9AC8A" w14:textId="7D82F2E5">
            <w:pPr>
              <w:jc w:val="center"/>
              <w:rPr>
                <w:b/>
                <w:iCs/>
                <w:szCs w:val="26"/>
              </w:rPr>
            </w:pPr>
            <w:r w:rsidRPr="00CE4B75">
              <w:rPr>
                <w:b/>
                <w:bCs/>
                <w:iCs/>
                <w:szCs w:val="26"/>
              </w:rPr>
              <w:lastRenderedPageBreak/>
              <w:t xml:space="preserve">Mandatory Reliability Standards for the Bulk-Power System: Reliability Standard PRC-004-6 </w:t>
            </w:r>
            <w:r>
              <w:rPr>
                <w:iCs/>
                <w:szCs w:val="26"/>
              </w:rPr>
              <w:t>(</w:t>
            </w:r>
            <w:r w:rsidRPr="00EA3A03" w:rsidR="00EA3A03">
              <w:rPr>
                <w:b/>
                <w:iCs/>
                <w:szCs w:val="26"/>
              </w:rPr>
              <w:t>FERC-725G1</w:t>
            </w:r>
            <w:r>
              <w:rPr>
                <w:b/>
                <w:iCs/>
                <w:szCs w:val="26"/>
              </w:rPr>
              <w:t>)</w:t>
            </w:r>
          </w:p>
          <w:p w:rsidRPr="00EA3A03" w:rsidR="00EA3A03" w:rsidP="00E630D7" w:rsidRDefault="00EA3A03" w14:paraId="0ABCE75A" w14:textId="77777777">
            <w:pPr>
              <w:jc w:val="center"/>
              <w:rPr>
                <w:b/>
                <w:iCs/>
                <w:szCs w:val="26"/>
              </w:rPr>
            </w:pPr>
            <w:r w:rsidRPr="00EA3A03">
              <w:rPr>
                <w:b/>
                <w:iCs/>
                <w:szCs w:val="26"/>
              </w:rPr>
              <w:t>Annual Estimates of Respondents’ Burdens</w:t>
            </w:r>
          </w:p>
        </w:tc>
      </w:tr>
      <w:tr w:rsidRPr="00EA3A03" w:rsidR="00EA3A03" w:rsidTr="00E630D7" w14:paraId="3056551D" w14:textId="77777777">
        <w:trPr>
          <w:cantSplit/>
        </w:trPr>
        <w:tc>
          <w:tcPr>
            <w:tcW w:w="1632" w:type="dxa"/>
            <w:shd w:val="clear" w:color="auto" w:fill="D9D9D9"/>
            <w:vAlign w:val="center"/>
          </w:tcPr>
          <w:p w:rsidRPr="00EA3A03" w:rsidR="00EA3A03" w:rsidP="00E630D7" w:rsidRDefault="00EA3A03" w14:paraId="16E07E26" w14:textId="77777777">
            <w:pPr>
              <w:jc w:val="center"/>
              <w:rPr>
                <w:b/>
                <w:iCs/>
                <w:szCs w:val="26"/>
              </w:rPr>
            </w:pPr>
            <w:r w:rsidRPr="00EA3A03">
              <w:rPr>
                <w:b/>
                <w:iCs/>
                <w:szCs w:val="26"/>
              </w:rPr>
              <w:t>A.</w:t>
            </w:r>
          </w:p>
          <w:p w:rsidRPr="00EA3A03" w:rsidR="00EA3A03" w:rsidP="00E630D7" w:rsidRDefault="00EA3A03" w14:paraId="3D542A02" w14:textId="77777777">
            <w:pPr>
              <w:jc w:val="center"/>
              <w:rPr>
                <w:b/>
                <w:iCs/>
                <w:szCs w:val="26"/>
              </w:rPr>
            </w:pPr>
            <w:r w:rsidRPr="00EA3A03">
              <w:rPr>
                <w:b/>
                <w:iCs/>
                <w:szCs w:val="26"/>
              </w:rPr>
              <w:t>Number of Respondents</w:t>
            </w:r>
            <w:r w:rsidRPr="00EA3A03">
              <w:rPr>
                <w:b/>
                <w:iCs/>
                <w:szCs w:val="26"/>
              </w:rPr>
              <w:br/>
            </w:r>
          </w:p>
        </w:tc>
        <w:tc>
          <w:tcPr>
            <w:tcW w:w="1532" w:type="dxa"/>
            <w:shd w:val="clear" w:color="auto" w:fill="D9D9D9"/>
            <w:vAlign w:val="center"/>
          </w:tcPr>
          <w:p w:rsidRPr="00EA3A03" w:rsidR="00EA3A03" w:rsidP="00E630D7" w:rsidRDefault="00EA3A03" w14:paraId="60DC5D06" w14:textId="77777777">
            <w:pPr>
              <w:jc w:val="center"/>
              <w:rPr>
                <w:b/>
                <w:iCs/>
                <w:szCs w:val="26"/>
              </w:rPr>
            </w:pPr>
            <w:r w:rsidRPr="00EA3A03">
              <w:rPr>
                <w:b/>
                <w:iCs/>
                <w:szCs w:val="26"/>
              </w:rPr>
              <w:t>B.</w:t>
            </w:r>
          </w:p>
          <w:p w:rsidRPr="00EA3A03" w:rsidR="00EA3A03" w:rsidP="00E630D7" w:rsidRDefault="00EA3A03" w14:paraId="00E9A845" w14:textId="77777777">
            <w:pPr>
              <w:jc w:val="center"/>
              <w:rPr>
                <w:b/>
                <w:iCs/>
                <w:szCs w:val="26"/>
              </w:rPr>
            </w:pPr>
            <w:r w:rsidRPr="00EA3A03">
              <w:rPr>
                <w:b/>
                <w:iCs/>
                <w:szCs w:val="26"/>
              </w:rPr>
              <w:t>Annual Number of Responses per Respondent</w:t>
            </w:r>
          </w:p>
          <w:p w:rsidRPr="00EA3A03" w:rsidR="00EA3A03" w:rsidP="00E630D7" w:rsidRDefault="00EA3A03" w14:paraId="1EE90090" w14:textId="77777777">
            <w:pPr>
              <w:jc w:val="center"/>
              <w:rPr>
                <w:b/>
                <w:iCs/>
                <w:szCs w:val="26"/>
              </w:rPr>
            </w:pPr>
          </w:p>
        </w:tc>
        <w:tc>
          <w:tcPr>
            <w:tcW w:w="0" w:type="auto"/>
            <w:shd w:val="clear" w:color="auto" w:fill="D9D9D9"/>
            <w:vAlign w:val="center"/>
          </w:tcPr>
          <w:p w:rsidRPr="00EA3A03" w:rsidR="00EA3A03" w:rsidP="00E630D7" w:rsidRDefault="00EA3A03" w14:paraId="6BC74F34" w14:textId="77777777">
            <w:pPr>
              <w:jc w:val="center"/>
              <w:rPr>
                <w:b/>
                <w:iCs/>
                <w:szCs w:val="26"/>
              </w:rPr>
            </w:pPr>
            <w:r w:rsidRPr="00EA3A03">
              <w:rPr>
                <w:b/>
                <w:iCs/>
                <w:szCs w:val="26"/>
              </w:rPr>
              <w:t>C.</w:t>
            </w:r>
          </w:p>
          <w:p w:rsidRPr="00EA3A03" w:rsidR="00EA3A03" w:rsidP="00E630D7" w:rsidRDefault="00EA3A03" w14:paraId="583680C0" w14:textId="77777777">
            <w:pPr>
              <w:jc w:val="center"/>
              <w:rPr>
                <w:b/>
                <w:iCs/>
                <w:szCs w:val="26"/>
              </w:rPr>
            </w:pPr>
            <w:r w:rsidRPr="00EA3A03">
              <w:rPr>
                <w:b/>
                <w:iCs/>
                <w:szCs w:val="26"/>
              </w:rPr>
              <w:t>Total Number of Responses (Column A x Column B)</w:t>
            </w:r>
          </w:p>
        </w:tc>
        <w:tc>
          <w:tcPr>
            <w:tcW w:w="0" w:type="auto"/>
            <w:shd w:val="clear" w:color="auto" w:fill="D9D9D9"/>
            <w:vAlign w:val="center"/>
          </w:tcPr>
          <w:p w:rsidRPr="00EA3A03" w:rsidR="00EA3A03" w:rsidP="00E630D7" w:rsidRDefault="00EA3A03" w14:paraId="3DF63BEA" w14:textId="77777777">
            <w:pPr>
              <w:jc w:val="center"/>
              <w:rPr>
                <w:b/>
                <w:iCs/>
                <w:szCs w:val="26"/>
              </w:rPr>
            </w:pPr>
            <w:r w:rsidRPr="00EA3A03">
              <w:rPr>
                <w:b/>
                <w:iCs/>
                <w:szCs w:val="26"/>
              </w:rPr>
              <w:t>D.</w:t>
            </w:r>
          </w:p>
          <w:p w:rsidRPr="00EA3A03" w:rsidR="00EA3A03" w:rsidP="00E630D7" w:rsidRDefault="00EA3A03" w14:paraId="2A6544A5" w14:textId="77777777">
            <w:pPr>
              <w:jc w:val="center"/>
              <w:rPr>
                <w:b/>
                <w:iCs/>
                <w:szCs w:val="26"/>
              </w:rPr>
            </w:pPr>
            <w:r w:rsidRPr="00EA3A03">
              <w:rPr>
                <w:b/>
                <w:iCs/>
                <w:szCs w:val="26"/>
              </w:rPr>
              <w:t>Average Burden &amp; Cost Per Response</w:t>
            </w:r>
            <w:r w:rsidRPr="00EA3A03">
              <w:rPr>
                <w:iCs/>
                <w:szCs w:val="26"/>
                <w:vertAlign w:val="superscript"/>
              </w:rPr>
              <w:footnoteReference w:id="6"/>
            </w:r>
          </w:p>
        </w:tc>
        <w:tc>
          <w:tcPr>
            <w:tcW w:w="0" w:type="auto"/>
            <w:shd w:val="clear" w:color="auto" w:fill="D9D9D9"/>
            <w:vAlign w:val="center"/>
          </w:tcPr>
          <w:p w:rsidRPr="00EA3A03" w:rsidR="00EA3A03" w:rsidP="00E630D7" w:rsidRDefault="00EA3A03" w14:paraId="0A07301B" w14:textId="77777777">
            <w:pPr>
              <w:jc w:val="center"/>
              <w:rPr>
                <w:b/>
                <w:iCs/>
                <w:szCs w:val="26"/>
              </w:rPr>
            </w:pPr>
            <w:r w:rsidRPr="00EA3A03">
              <w:rPr>
                <w:b/>
                <w:iCs/>
                <w:szCs w:val="26"/>
              </w:rPr>
              <w:t>E.</w:t>
            </w:r>
          </w:p>
          <w:p w:rsidRPr="00EA3A03" w:rsidR="00EA3A03" w:rsidP="00E630D7" w:rsidRDefault="00EA3A03" w14:paraId="50CD3E32" w14:textId="77777777">
            <w:pPr>
              <w:jc w:val="center"/>
              <w:rPr>
                <w:b/>
                <w:iCs/>
                <w:szCs w:val="26"/>
              </w:rPr>
            </w:pPr>
            <w:r w:rsidRPr="00EA3A03">
              <w:rPr>
                <w:b/>
                <w:iCs/>
                <w:szCs w:val="26"/>
              </w:rPr>
              <w:t>Total Annual Burden Hours &amp; Total Annual Cost</w:t>
            </w:r>
          </w:p>
          <w:p w:rsidRPr="00EA3A03" w:rsidR="00EA3A03" w:rsidP="00E630D7" w:rsidRDefault="00EA3A03" w14:paraId="6CD7DB74" w14:textId="77777777">
            <w:pPr>
              <w:jc w:val="center"/>
              <w:rPr>
                <w:b/>
                <w:iCs/>
                <w:szCs w:val="26"/>
              </w:rPr>
            </w:pPr>
            <w:r w:rsidRPr="00EA3A03">
              <w:rPr>
                <w:b/>
                <w:iCs/>
                <w:szCs w:val="26"/>
              </w:rPr>
              <w:t>(Column C x Column D)</w:t>
            </w:r>
          </w:p>
        </w:tc>
        <w:tc>
          <w:tcPr>
            <w:tcW w:w="0" w:type="auto"/>
            <w:shd w:val="clear" w:color="auto" w:fill="D9D9D9"/>
            <w:vAlign w:val="center"/>
          </w:tcPr>
          <w:p w:rsidRPr="00EA3A03" w:rsidR="00EA3A03" w:rsidP="00E630D7" w:rsidRDefault="00EA3A03" w14:paraId="300AE26F" w14:textId="77777777">
            <w:pPr>
              <w:jc w:val="center"/>
              <w:rPr>
                <w:b/>
                <w:iCs/>
                <w:szCs w:val="26"/>
              </w:rPr>
            </w:pPr>
            <w:r w:rsidRPr="00EA3A03">
              <w:rPr>
                <w:b/>
                <w:iCs/>
                <w:szCs w:val="26"/>
              </w:rPr>
              <w:t>F.</w:t>
            </w:r>
          </w:p>
          <w:p w:rsidRPr="00EA3A03" w:rsidR="00EA3A03" w:rsidP="00E630D7" w:rsidRDefault="00EA3A03" w14:paraId="2C9D8861" w14:textId="77777777">
            <w:pPr>
              <w:jc w:val="center"/>
              <w:rPr>
                <w:b/>
                <w:iCs/>
                <w:szCs w:val="26"/>
              </w:rPr>
            </w:pPr>
            <w:r w:rsidRPr="00EA3A03">
              <w:rPr>
                <w:b/>
                <w:iCs/>
                <w:szCs w:val="26"/>
              </w:rPr>
              <w:t>Cost per Respondent</w:t>
            </w:r>
          </w:p>
          <w:p w:rsidRPr="00EA3A03" w:rsidR="00EA3A03" w:rsidP="00E630D7" w:rsidRDefault="00EA3A03" w14:paraId="3285B2BA" w14:textId="77777777">
            <w:pPr>
              <w:jc w:val="center"/>
              <w:rPr>
                <w:b/>
                <w:iCs/>
                <w:szCs w:val="26"/>
              </w:rPr>
            </w:pPr>
            <w:r w:rsidRPr="00EA3A03">
              <w:rPr>
                <w:b/>
                <w:iCs/>
                <w:szCs w:val="26"/>
              </w:rPr>
              <w:t>($)</w:t>
            </w:r>
          </w:p>
          <w:p w:rsidRPr="00EA3A03" w:rsidR="00EA3A03" w:rsidP="00E630D7" w:rsidRDefault="00EA3A03" w14:paraId="4E2659F8" w14:textId="77777777">
            <w:pPr>
              <w:jc w:val="center"/>
              <w:rPr>
                <w:b/>
                <w:iCs/>
                <w:szCs w:val="26"/>
              </w:rPr>
            </w:pPr>
            <w:r w:rsidRPr="00EA3A03">
              <w:rPr>
                <w:b/>
                <w:iCs/>
                <w:szCs w:val="26"/>
              </w:rPr>
              <w:t>(Column E ÷ Column A)</w:t>
            </w:r>
          </w:p>
        </w:tc>
      </w:tr>
      <w:tr w:rsidRPr="00EA3A03" w:rsidR="00EA3A03" w:rsidTr="00E630D7" w14:paraId="1E46BDA5" w14:textId="77777777">
        <w:trPr>
          <w:cantSplit/>
        </w:trPr>
        <w:tc>
          <w:tcPr>
            <w:tcW w:w="1632" w:type="dxa"/>
            <w:shd w:val="clear" w:color="auto" w:fill="D9D9D9"/>
            <w:vAlign w:val="bottom"/>
          </w:tcPr>
          <w:p w:rsidRPr="00EA3A03" w:rsidR="00EA3A03" w:rsidP="00E630D7" w:rsidRDefault="00EA3A03" w14:paraId="7B0C0117" w14:textId="77777777">
            <w:pPr>
              <w:jc w:val="right"/>
              <w:rPr>
                <w:bCs/>
                <w:iCs/>
                <w:szCs w:val="26"/>
              </w:rPr>
            </w:pPr>
            <w:r w:rsidRPr="00EA3A03">
              <w:rPr>
                <w:bCs/>
                <w:iCs/>
                <w:szCs w:val="26"/>
              </w:rPr>
              <w:t>703</w:t>
            </w:r>
          </w:p>
        </w:tc>
        <w:tc>
          <w:tcPr>
            <w:tcW w:w="1532" w:type="dxa"/>
            <w:shd w:val="clear" w:color="auto" w:fill="D9D9D9"/>
            <w:vAlign w:val="bottom"/>
          </w:tcPr>
          <w:p w:rsidRPr="00EA3A03" w:rsidR="00EA3A03" w:rsidP="00E630D7" w:rsidRDefault="00EA3A03" w14:paraId="1692BB1B" w14:textId="77777777">
            <w:pPr>
              <w:jc w:val="right"/>
              <w:rPr>
                <w:bCs/>
                <w:iCs/>
                <w:szCs w:val="26"/>
              </w:rPr>
            </w:pPr>
            <w:r w:rsidRPr="00EA3A03">
              <w:rPr>
                <w:bCs/>
                <w:iCs/>
                <w:szCs w:val="26"/>
              </w:rPr>
              <w:t>1</w:t>
            </w:r>
          </w:p>
        </w:tc>
        <w:tc>
          <w:tcPr>
            <w:tcW w:w="0" w:type="auto"/>
            <w:shd w:val="clear" w:color="auto" w:fill="D9D9D9"/>
            <w:vAlign w:val="bottom"/>
          </w:tcPr>
          <w:p w:rsidRPr="00EA3A03" w:rsidR="00EA3A03" w:rsidP="00E630D7" w:rsidRDefault="00EA3A03" w14:paraId="1620B614" w14:textId="77777777">
            <w:pPr>
              <w:jc w:val="right"/>
              <w:rPr>
                <w:bCs/>
                <w:iCs/>
                <w:szCs w:val="26"/>
              </w:rPr>
            </w:pPr>
            <w:r w:rsidRPr="00EA3A03">
              <w:rPr>
                <w:bCs/>
                <w:iCs/>
                <w:szCs w:val="26"/>
              </w:rPr>
              <w:t>703</w:t>
            </w:r>
          </w:p>
        </w:tc>
        <w:tc>
          <w:tcPr>
            <w:tcW w:w="0" w:type="auto"/>
            <w:shd w:val="clear" w:color="auto" w:fill="D9D9D9"/>
            <w:vAlign w:val="bottom"/>
          </w:tcPr>
          <w:p w:rsidRPr="00EA3A03" w:rsidR="00EA3A03" w:rsidP="00E630D7" w:rsidRDefault="00EA3A03" w14:paraId="7FF5EABD" w14:textId="248BE277">
            <w:pPr>
              <w:jc w:val="right"/>
              <w:rPr>
                <w:bCs/>
                <w:iCs/>
                <w:szCs w:val="26"/>
              </w:rPr>
            </w:pPr>
            <w:r w:rsidRPr="00EA3A03">
              <w:rPr>
                <w:bCs/>
                <w:iCs/>
                <w:szCs w:val="26"/>
              </w:rPr>
              <w:t>16</w:t>
            </w:r>
            <w:r w:rsidR="00CE4B75">
              <w:rPr>
                <w:bCs/>
                <w:iCs/>
                <w:szCs w:val="26"/>
              </w:rPr>
              <w:t>.5</w:t>
            </w:r>
            <w:r w:rsidRPr="00EA3A03">
              <w:rPr>
                <w:bCs/>
                <w:iCs/>
                <w:szCs w:val="26"/>
              </w:rPr>
              <w:t xml:space="preserve"> hrs.;</w:t>
            </w:r>
          </w:p>
          <w:p w:rsidRPr="00EA3A03" w:rsidR="00EA3A03" w:rsidP="00E630D7" w:rsidRDefault="00EA3A03" w14:paraId="183B4DD2" w14:textId="77777777">
            <w:pPr>
              <w:jc w:val="right"/>
              <w:rPr>
                <w:bCs/>
                <w:iCs/>
                <w:szCs w:val="26"/>
              </w:rPr>
            </w:pPr>
            <w:r w:rsidRPr="00EA3A03">
              <w:rPr>
                <w:bCs/>
                <w:iCs/>
                <w:szCs w:val="26"/>
              </w:rPr>
              <w:t>$1,435.50</w:t>
            </w:r>
          </w:p>
        </w:tc>
        <w:tc>
          <w:tcPr>
            <w:tcW w:w="0" w:type="auto"/>
            <w:shd w:val="clear" w:color="auto" w:fill="D9D9D9"/>
            <w:vAlign w:val="bottom"/>
          </w:tcPr>
          <w:p w:rsidRPr="00EA3A03" w:rsidR="00EA3A03" w:rsidP="00CE4B75" w:rsidRDefault="00EA3A03" w14:paraId="36254031" w14:textId="1B76D2A7">
            <w:pPr>
              <w:jc w:val="right"/>
              <w:rPr>
                <w:bCs/>
                <w:iCs/>
                <w:szCs w:val="26"/>
              </w:rPr>
            </w:pPr>
            <w:r w:rsidRPr="00EA3A03">
              <w:rPr>
                <w:bCs/>
                <w:iCs/>
                <w:szCs w:val="26"/>
              </w:rPr>
              <w:t>11,</w:t>
            </w:r>
            <w:r w:rsidR="00CE4B75">
              <w:rPr>
                <w:bCs/>
                <w:iCs/>
                <w:szCs w:val="26"/>
              </w:rPr>
              <w:t xml:space="preserve">600 </w:t>
            </w:r>
            <w:r w:rsidRPr="00EA3A03">
              <w:rPr>
                <w:bCs/>
                <w:iCs/>
                <w:szCs w:val="26"/>
              </w:rPr>
              <w:t>hrs.</w:t>
            </w:r>
            <w:r w:rsidR="00CE4B75">
              <w:rPr>
                <w:bCs/>
                <w:iCs/>
                <w:szCs w:val="26"/>
              </w:rPr>
              <w:t>;</w:t>
            </w:r>
          </w:p>
          <w:p w:rsidR="00EA3A03" w:rsidP="00E630D7" w:rsidRDefault="00EA3A03" w14:paraId="193178B4" w14:textId="77777777">
            <w:pPr>
              <w:jc w:val="right"/>
              <w:rPr>
                <w:bCs/>
                <w:iCs/>
                <w:szCs w:val="26"/>
              </w:rPr>
            </w:pPr>
            <w:r w:rsidRPr="00EA3A03">
              <w:rPr>
                <w:bCs/>
                <w:iCs/>
                <w:szCs w:val="26"/>
              </w:rPr>
              <w:t>$1,009,</w:t>
            </w:r>
            <w:r w:rsidR="00CE4B75">
              <w:rPr>
                <w:bCs/>
                <w:iCs/>
                <w:szCs w:val="26"/>
              </w:rPr>
              <w:t>200</w:t>
            </w:r>
          </w:p>
          <w:p w:rsidRPr="00EA3A03" w:rsidR="00CE4B75" w:rsidP="00E630D7" w:rsidRDefault="00CE4B75" w14:paraId="4E1C558B" w14:textId="2DF0263B">
            <w:pPr>
              <w:jc w:val="right"/>
              <w:rPr>
                <w:bCs/>
                <w:iCs/>
                <w:szCs w:val="26"/>
              </w:rPr>
            </w:pPr>
            <w:r>
              <w:rPr>
                <w:bCs/>
                <w:iCs/>
                <w:szCs w:val="26"/>
              </w:rPr>
              <w:t>(rounded)</w:t>
            </w:r>
          </w:p>
        </w:tc>
        <w:tc>
          <w:tcPr>
            <w:tcW w:w="0" w:type="auto"/>
            <w:shd w:val="clear" w:color="auto" w:fill="D9D9D9"/>
            <w:vAlign w:val="bottom"/>
          </w:tcPr>
          <w:p w:rsidRPr="00EA3A03" w:rsidR="00EA3A03" w:rsidP="00E630D7" w:rsidRDefault="00EA3A03" w14:paraId="300A82C0" w14:textId="77777777">
            <w:pPr>
              <w:jc w:val="right"/>
              <w:rPr>
                <w:bCs/>
                <w:iCs/>
                <w:szCs w:val="26"/>
              </w:rPr>
            </w:pPr>
            <w:r w:rsidRPr="00EA3A03">
              <w:rPr>
                <w:bCs/>
                <w:iCs/>
                <w:szCs w:val="26"/>
              </w:rPr>
              <w:t>$1,435.50</w:t>
            </w:r>
          </w:p>
        </w:tc>
      </w:tr>
    </w:tbl>
    <w:p w:rsidRPr="001C1289" w:rsidR="00EA3A03" w:rsidP="00EA3A03" w:rsidRDefault="00EA3A03" w14:paraId="1AE617C5" w14:textId="77777777">
      <w:pPr>
        <w:spacing w:line="480" w:lineRule="auto"/>
        <w:rPr>
          <w:iCs/>
          <w:szCs w:val="26"/>
        </w:rPr>
      </w:pPr>
    </w:p>
    <w:p w:rsidRPr="00EA3A03" w:rsidR="00EA3A03" w:rsidP="00EA3A03" w:rsidRDefault="00EA3A03" w14:paraId="082A9638" w14:textId="77777777">
      <w:pPr>
        <w:spacing w:line="480" w:lineRule="auto"/>
        <w:rPr>
          <w:iCs/>
          <w:szCs w:val="26"/>
        </w:rPr>
      </w:pPr>
      <w:r w:rsidRPr="00EA3A03">
        <w:rPr>
          <w:b/>
          <w:bCs/>
          <w:iCs/>
          <w:szCs w:val="26"/>
        </w:rPr>
        <w:t>FERC-725G4</w:t>
      </w:r>
      <w:r w:rsidRPr="00EA3A03">
        <w:rPr>
          <w:iCs/>
          <w:szCs w:val="26"/>
        </w:rPr>
        <w:t>:</w:t>
      </w:r>
    </w:p>
    <w:p w:rsidRPr="00EA3A03" w:rsidR="00EA3A03" w:rsidP="00EA3A03" w:rsidRDefault="00EA3A03" w14:paraId="64D197EA" w14:textId="43A8255F">
      <w:pPr>
        <w:spacing w:line="480" w:lineRule="auto"/>
        <w:rPr>
          <w:i/>
          <w:szCs w:val="26"/>
        </w:rPr>
      </w:pPr>
      <w:r w:rsidRPr="00EA3A03">
        <w:rPr>
          <w:i/>
          <w:iCs/>
          <w:szCs w:val="26"/>
        </w:rPr>
        <w:t>Title</w:t>
      </w:r>
      <w:r w:rsidRPr="00EA3A03">
        <w:rPr>
          <w:iCs/>
          <w:szCs w:val="26"/>
        </w:rPr>
        <w:t>: Mandatory Reliability Standards:  Reliability Standard PRC-010-2 (Under</w:t>
      </w:r>
      <w:r w:rsidR="004840C1">
        <w:rPr>
          <w:iCs/>
          <w:szCs w:val="26"/>
        </w:rPr>
        <w:t xml:space="preserve"> V</w:t>
      </w:r>
      <w:r w:rsidRPr="00EA3A03">
        <w:rPr>
          <w:iCs/>
          <w:szCs w:val="26"/>
        </w:rPr>
        <w:t>oltage Load Shedding).</w:t>
      </w:r>
    </w:p>
    <w:p w:rsidRPr="00EA3A03" w:rsidR="00EA3A03" w:rsidP="00EA3A03" w:rsidRDefault="00EA3A03" w14:paraId="57BDE757" w14:textId="77777777">
      <w:pPr>
        <w:spacing w:line="480" w:lineRule="auto"/>
        <w:rPr>
          <w:i/>
          <w:szCs w:val="26"/>
        </w:rPr>
      </w:pPr>
      <w:r w:rsidRPr="00EA3A03">
        <w:rPr>
          <w:i/>
          <w:iCs/>
          <w:szCs w:val="26"/>
        </w:rPr>
        <w:t>OMB Control No</w:t>
      </w:r>
      <w:r w:rsidRPr="00EA3A03">
        <w:rPr>
          <w:szCs w:val="26"/>
        </w:rPr>
        <w:t>.: 1902-0282.</w:t>
      </w:r>
    </w:p>
    <w:p w:rsidRPr="00EA3A03" w:rsidR="00EA3A03" w:rsidP="00EA3A03" w:rsidRDefault="00EA3A03" w14:paraId="2B60CDB2" w14:textId="77777777">
      <w:pPr>
        <w:spacing w:line="480" w:lineRule="auto"/>
        <w:rPr>
          <w:iCs/>
          <w:szCs w:val="26"/>
        </w:rPr>
      </w:pPr>
      <w:r w:rsidRPr="00EA3A03">
        <w:rPr>
          <w:i/>
          <w:iCs/>
          <w:szCs w:val="26"/>
        </w:rPr>
        <w:t>Type of Request</w:t>
      </w:r>
      <w:r w:rsidRPr="00EA3A03">
        <w:rPr>
          <w:iCs/>
          <w:szCs w:val="26"/>
        </w:rPr>
        <w:t>: Three-year extension of the FERC-725G4 information collection requirements.</w:t>
      </w:r>
      <w:r w:rsidRPr="00EA3A03">
        <w:rPr>
          <w:b/>
          <w:iCs/>
          <w:szCs w:val="26"/>
          <w:vertAlign w:val="superscript"/>
        </w:rPr>
        <w:footnoteReference w:id="7"/>
      </w:r>
    </w:p>
    <w:p w:rsidRPr="00EA3A03" w:rsidR="00EA3A03" w:rsidP="00EA3A03" w:rsidRDefault="00EA3A03" w14:paraId="3BBFFE61" w14:textId="77777777">
      <w:pPr>
        <w:spacing w:line="480" w:lineRule="auto"/>
        <w:rPr>
          <w:i/>
          <w:szCs w:val="26"/>
        </w:rPr>
      </w:pPr>
      <w:r w:rsidRPr="00EA3A03">
        <w:rPr>
          <w:i/>
          <w:iCs/>
          <w:szCs w:val="26"/>
        </w:rPr>
        <w:t>Abstract</w:t>
      </w:r>
      <w:r w:rsidRPr="00EA3A03">
        <w:rPr>
          <w:iCs/>
          <w:szCs w:val="26"/>
        </w:rPr>
        <w:t xml:space="preserve">:  The Commission collects information under FERC-725G4 in accordance with section 215 of the FPA and 18 CFR Parts 39 and 40.  Reliability Standard PRC-010-2 </w:t>
      </w:r>
      <w:r w:rsidRPr="00EA3A03">
        <w:rPr>
          <w:iCs/>
          <w:szCs w:val="26"/>
        </w:rPr>
        <w:lastRenderedPageBreak/>
        <w:t>requires respondents to submit date-stamped documentation of their compliance with the relevant UVLS Program.</w:t>
      </w:r>
      <w:r w:rsidRPr="00EA3A03">
        <w:rPr>
          <w:b/>
          <w:iCs/>
          <w:szCs w:val="26"/>
          <w:vertAlign w:val="superscript"/>
        </w:rPr>
        <w:footnoteReference w:id="8"/>
      </w:r>
    </w:p>
    <w:p w:rsidRPr="00EA3A03" w:rsidR="00EA3A03" w:rsidP="00EA3A03" w:rsidRDefault="00EA3A03" w14:paraId="4F8EAB79" w14:textId="77777777">
      <w:pPr>
        <w:spacing w:line="480" w:lineRule="auto"/>
        <w:rPr>
          <w:i/>
          <w:szCs w:val="26"/>
        </w:rPr>
      </w:pPr>
      <w:r w:rsidRPr="00EA3A03">
        <w:rPr>
          <w:i/>
          <w:iCs/>
          <w:szCs w:val="26"/>
        </w:rPr>
        <w:t>Types of Respondents</w:t>
      </w:r>
      <w:r w:rsidRPr="00EA3A03">
        <w:rPr>
          <w:iCs/>
          <w:szCs w:val="26"/>
        </w:rPr>
        <w:t>: UVLS Entities.</w:t>
      </w:r>
      <w:r w:rsidRPr="00EA3A03">
        <w:rPr>
          <w:b/>
          <w:iCs/>
          <w:szCs w:val="26"/>
          <w:vertAlign w:val="superscript"/>
        </w:rPr>
        <w:footnoteReference w:id="9"/>
      </w:r>
    </w:p>
    <w:p w:rsidRPr="00EA3A03" w:rsidR="00EA3A03" w:rsidP="00EA3A03" w:rsidRDefault="00EA3A03" w14:paraId="2F5531CD" w14:textId="77777777">
      <w:pPr>
        <w:spacing w:line="480" w:lineRule="auto"/>
        <w:rPr>
          <w:i/>
          <w:szCs w:val="26"/>
        </w:rPr>
      </w:pPr>
      <w:r w:rsidRPr="00EA3A03">
        <w:rPr>
          <w:i/>
          <w:iCs/>
          <w:szCs w:val="26"/>
        </w:rPr>
        <w:t>Frequency of Response</w:t>
      </w:r>
      <w:r w:rsidRPr="00EA3A03">
        <w:rPr>
          <w:iCs/>
          <w:szCs w:val="26"/>
        </w:rPr>
        <w:t>:  On occasion.</w:t>
      </w:r>
    </w:p>
    <w:p w:rsidRPr="00EA3A03" w:rsidR="00EA3A03" w:rsidP="00EA3A03" w:rsidRDefault="00EA3A03" w14:paraId="72644E13" w14:textId="77777777">
      <w:pPr>
        <w:spacing w:line="480" w:lineRule="auto"/>
        <w:rPr>
          <w:szCs w:val="26"/>
        </w:rPr>
      </w:pPr>
      <w:r w:rsidRPr="00EA3A03">
        <w:rPr>
          <w:i/>
          <w:iCs/>
          <w:szCs w:val="26"/>
        </w:rPr>
        <w:t>Estimate of Annual Burden</w:t>
      </w:r>
      <w:r w:rsidRPr="00EA3A03">
        <w:rPr>
          <w:szCs w:val="26"/>
        </w:rPr>
        <w:t>:  The Commission estimates 25 responses annually, and per-response burdens of 48 hours and $4,176.</w:t>
      </w:r>
      <w:r w:rsidRPr="00EA3A03">
        <w:rPr>
          <w:b/>
          <w:szCs w:val="26"/>
          <w:vertAlign w:val="superscript"/>
        </w:rPr>
        <w:footnoteReference w:id="10"/>
      </w:r>
      <w:r w:rsidRPr="00EA3A03">
        <w:rPr>
          <w:szCs w:val="26"/>
        </w:rPr>
        <w:t xml:space="preserve">  The total estimated burdens per year are 25 responses, 1,200 hours, and </w:t>
      </w:r>
      <w:r w:rsidRPr="00EA3A03">
        <w:rPr>
          <w:bCs/>
          <w:szCs w:val="26"/>
        </w:rPr>
        <w:t>$104,400</w:t>
      </w:r>
      <w:r w:rsidRPr="00EA3A03">
        <w:rPr>
          <w:szCs w:val="26"/>
        </w:rPr>
        <w:t>.  These burdens are itemized in the following table:</w:t>
      </w:r>
    </w:p>
    <w:p w:rsidRPr="00EA3A03" w:rsidR="00EA3A03" w:rsidP="00EA3A03" w:rsidRDefault="00EA3A03" w14:paraId="0D142F7C" w14:textId="77777777">
      <w:pPr>
        <w:spacing w:line="480" w:lineRule="auto"/>
        <w:rPr>
          <w:szCs w:val="26"/>
        </w:rPr>
      </w:pPr>
      <w:r w:rsidRPr="00EA3A03">
        <w:rPr>
          <w:szCs w:val="26"/>
        </w:rPr>
        <w:br w:type="page"/>
      </w:r>
    </w:p>
    <w:tbl>
      <w:tblPr>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82"/>
        <w:gridCol w:w="1680"/>
        <w:gridCol w:w="1543"/>
        <w:gridCol w:w="1553"/>
        <w:gridCol w:w="1378"/>
        <w:gridCol w:w="1586"/>
      </w:tblGrid>
      <w:tr w:rsidRPr="00EA3A03" w:rsidR="00EA3A03" w:rsidTr="00B117AD" w14:paraId="041DD025" w14:textId="77777777">
        <w:trPr>
          <w:cantSplit/>
        </w:trPr>
        <w:tc>
          <w:tcPr>
            <w:tcW w:w="9422" w:type="dxa"/>
            <w:gridSpan w:val="6"/>
            <w:shd w:val="clear" w:color="auto" w:fill="D9D9D9"/>
            <w:vAlign w:val="center"/>
          </w:tcPr>
          <w:p w:rsidRPr="00CE4B75" w:rsidR="00EA3A03" w:rsidP="00B117AD" w:rsidRDefault="00CE4B75" w14:paraId="5A6E4FD5" w14:textId="4A16E7E0">
            <w:pPr>
              <w:jc w:val="center"/>
              <w:rPr>
                <w:b/>
                <w:bCs/>
                <w:szCs w:val="26"/>
              </w:rPr>
            </w:pPr>
            <w:r w:rsidRPr="00CE4B75">
              <w:rPr>
                <w:b/>
                <w:bCs/>
                <w:iCs/>
                <w:szCs w:val="26"/>
              </w:rPr>
              <w:lastRenderedPageBreak/>
              <w:t>Mandatory Reliability Standards:  Reliability Standard PRC-010-2 (Under Voltage Load Shedding) (</w:t>
            </w:r>
            <w:r w:rsidRPr="00CE4B75" w:rsidR="00EA3A03">
              <w:rPr>
                <w:b/>
                <w:bCs/>
                <w:szCs w:val="26"/>
              </w:rPr>
              <w:t>FERC-725G4</w:t>
            </w:r>
            <w:r w:rsidRPr="00CE4B75">
              <w:rPr>
                <w:b/>
                <w:bCs/>
                <w:szCs w:val="26"/>
              </w:rPr>
              <w:t>)</w:t>
            </w:r>
          </w:p>
          <w:p w:rsidRPr="00EA3A03" w:rsidR="00EA3A03" w:rsidP="00B117AD" w:rsidRDefault="00EA3A03" w14:paraId="54F98987" w14:textId="77777777">
            <w:pPr>
              <w:jc w:val="center"/>
              <w:rPr>
                <w:bCs/>
                <w:szCs w:val="26"/>
              </w:rPr>
            </w:pPr>
            <w:r w:rsidRPr="00EA3A03">
              <w:rPr>
                <w:b/>
                <w:szCs w:val="26"/>
              </w:rPr>
              <w:t>Annual Estimates of Respondents’ Burdens</w:t>
            </w:r>
          </w:p>
        </w:tc>
      </w:tr>
      <w:tr w:rsidRPr="00EA3A03" w:rsidR="00EA3A03" w:rsidTr="00B117AD" w14:paraId="23CF6828" w14:textId="77777777">
        <w:trPr>
          <w:cantSplit/>
        </w:trPr>
        <w:tc>
          <w:tcPr>
            <w:tcW w:w="0" w:type="auto"/>
            <w:shd w:val="clear" w:color="auto" w:fill="D9D9D9"/>
            <w:vAlign w:val="center"/>
          </w:tcPr>
          <w:p w:rsidRPr="00EA3A03" w:rsidR="00EA3A03" w:rsidP="00B117AD" w:rsidRDefault="00EA3A03" w14:paraId="06C6D597" w14:textId="77777777">
            <w:pPr>
              <w:jc w:val="center"/>
              <w:rPr>
                <w:b/>
                <w:szCs w:val="26"/>
              </w:rPr>
            </w:pPr>
            <w:r w:rsidRPr="00EA3A03">
              <w:rPr>
                <w:b/>
                <w:szCs w:val="26"/>
              </w:rPr>
              <w:t>A.</w:t>
            </w:r>
          </w:p>
          <w:p w:rsidRPr="00EA3A03" w:rsidR="00EA3A03" w:rsidP="00B117AD" w:rsidRDefault="00EA3A03" w14:paraId="14FCB389" w14:textId="77777777">
            <w:pPr>
              <w:jc w:val="center"/>
              <w:rPr>
                <w:b/>
                <w:szCs w:val="26"/>
              </w:rPr>
            </w:pPr>
            <w:r w:rsidRPr="00EA3A03">
              <w:rPr>
                <w:b/>
                <w:szCs w:val="26"/>
              </w:rPr>
              <w:t>Number of Respondents</w:t>
            </w:r>
            <w:r w:rsidRPr="00EA3A03">
              <w:rPr>
                <w:b/>
                <w:szCs w:val="26"/>
              </w:rPr>
              <w:br/>
            </w:r>
          </w:p>
        </w:tc>
        <w:tc>
          <w:tcPr>
            <w:tcW w:w="0" w:type="auto"/>
            <w:shd w:val="clear" w:color="auto" w:fill="D9D9D9"/>
            <w:vAlign w:val="center"/>
          </w:tcPr>
          <w:p w:rsidRPr="00EA3A03" w:rsidR="00EA3A03" w:rsidP="00B117AD" w:rsidRDefault="00EA3A03" w14:paraId="3D8052A8" w14:textId="77777777">
            <w:pPr>
              <w:jc w:val="center"/>
              <w:rPr>
                <w:b/>
                <w:szCs w:val="26"/>
              </w:rPr>
            </w:pPr>
            <w:r w:rsidRPr="00EA3A03">
              <w:rPr>
                <w:b/>
                <w:szCs w:val="26"/>
              </w:rPr>
              <w:t>B.</w:t>
            </w:r>
          </w:p>
          <w:p w:rsidRPr="00EA3A03" w:rsidR="00EA3A03" w:rsidP="00B117AD" w:rsidRDefault="00EA3A03" w14:paraId="7EEFC03C" w14:textId="77777777">
            <w:pPr>
              <w:jc w:val="center"/>
              <w:rPr>
                <w:b/>
                <w:szCs w:val="26"/>
              </w:rPr>
            </w:pPr>
            <w:r w:rsidRPr="00EA3A03">
              <w:rPr>
                <w:b/>
                <w:szCs w:val="26"/>
              </w:rPr>
              <w:t>Annual Number of Responses per Respondent</w:t>
            </w:r>
          </w:p>
          <w:p w:rsidRPr="00EA3A03" w:rsidR="00EA3A03" w:rsidP="00B117AD" w:rsidRDefault="00EA3A03" w14:paraId="4EAEA965" w14:textId="77777777">
            <w:pPr>
              <w:jc w:val="center"/>
              <w:rPr>
                <w:b/>
                <w:szCs w:val="26"/>
              </w:rPr>
            </w:pPr>
          </w:p>
        </w:tc>
        <w:tc>
          <w:tcPr>
            <w:tcW w:w="0" w:type="auto"/>
            <w:shd w:val="clear" w:color="auto" w:fill="D9D9D9"/>
            <w:vAlign w:val="center"/>
          </w:tcPr>
          <w:p w:rsidRPr="00EA3A03" w:rsidR="00EA3A03" w:rsidP="00B117AD" w:rsidRDefault="00EA3A03" w14:paraId="1DA55B3D" w14:textId="77777777">
            <w:pPr>
              <w:jc w:val="center"/>
              <w:rPr>
                <w:b/>
                <w:szCs w:val="26"/>
              </w:rPr>
            </w:pPr>
            <w:r w:rsidRPr="00EA3A03">
              <w:rPr>
                <w:b/>
                <w:szCs w:val="26"/>
              </w:rPr>
              <w:t>C.</w:t>
            </w:r>
          </w:p>
          <w:p w:rsidRPr="00EA3A03" w:rsidR="00EA3A03" w:rsidP="00B117AD" w:rsidRDefault="00EA3A03" w14:paraId="6BA9FAF0" w14:textId="77777777">
            <w:pPr>
              <w:jc w:val="center"/>
              <w:rPr>
                <w:b/>
                <w:szCs w:val="26"/>
              </w:rPr>
            </w:pPr>
            <w:r w:rsidRPr="00EA3A03">
              <w:rPr>
                <w:b/>
                <w:szCs w:val="26"/>
              </w:rPr>
              <w:t>Total Number of Responses (Column A x Column B)</w:t>
            </w:r>
          </w:p>
        </w:tc>
        <w:tc>
          <w:tcPr>
            <w:tcW w:w="0" w:type="auto"/>
            <w:shd w:val="clear" w:color="auto" w:fill="D9D9D9"/>
            <w:vAlign w:val="center"/>
          </w:tcPr>
          <w:p w:rsidRPr="00EA3A03" w:rsidR="00EA3A03" w:rsidP="00B117AD" w:rsidRDefault="00EA3A03" w14:paraId="730CC9D6" w14:textId="77777777">
            <w:pPr>
              <w:jc w:val="center"/>
              <w:rPr>
                <w:b/>
                <w:szCs w:val="26"/>
              </w:rPr>
            </w:pPr>
            <w:r w:rsidRPr="00EA3A03">
              <w:rPr>
                <w:b/>
                <w:szCs w:val="26"/>
              </w:rPr>
              <w:t>D.</w:t>
            </w:r>
          </w:p>
          <w:p w:rsidRPr="00EA3A03" w:rsidR="00EA3A03" w:rsidP="00B117AD" w:rsidRDefault="00EA3A03" w14:paraId="4CA8124C" w14:textId="77777777">
            <w:pPr>
              <w:jc w:val="center"/>
              <w:rPr>
                <w:b/>
                <w:szCs w:val="26"/>
              </w:rPr>
            </w:pPr>
            <w:r w:rsidRPr="00EA3A03">
              <w:rPr>
                <w:b/>
                <w:szCs w:val="26"/>
              </w:rPr>
              <w:t>Average Burden &amp; Cost Per Response</w:t>
            </w:r>
            <w:r w:rsidRPr="00EA3A03">
              <w:rPr>
                <w:szCs w:val="26"/>
                <w:vertAlign w:val="superscript"/>
              </w:rPr>
              <w:footnoteReference w:id="11"/>
            </w:r>
          </w:p>
        </w:tc>
        <w:tc>
          <w:tcPr>
            <w:tcW w:w="0" w:type="auto"/>
            <w:shd w:val="clear" w:color="auto" w:fill="D9D9D9"/>
            <w:vAlign w:val="center"/>
          </w:tcPr>
          <w:p w:rsidRPr="00EA3A03" w:rsidR="00EA3A03" w:rsidP="00B117AD" w:rsidRDefault="00EA3A03" w14:paraId="66D2DBAD" w14:textId="77777777">
            <w:pPr>
              <w:jc w:val="center"/>
              <w:rPr>
                <w:b/>
                <w:szCs w:val="26"/>
              </w:rPr>
            </w:pPr>
            <w:r w:rsidRPr="00EA3A03">
              <w:rPr>
                <w:b/>
                <w:szCs w:val="26"/>
              </w:rPr>
              <w:t>E.</w:t>
            </w:r>
          </w:p>
          <w:p w:rsidRPr="00EA3A03" w:rsidR="00EA3A03" w:rsidP="00B117AD" w:rsidRDefault="00EA3A03" w14:paraId="42427588" w14:textId="77777777">
            <w:pPr>
              <w:jc w:val="center"/>
              <w:rPr>
                <w:b/>
                <w:szCs w:val="26"/>
              </w:rPr>
            </w:pPr>
            <w:r w:rsidRPr="00EA3A03">
              <w:rPr>
                <w:b/>
                <w:szCs w:val="26"/>
              </w:rPr>
              <w:t>Total Annual Burden Hours &amp; Total Annual Cost</w:t>
            </w:r>
          </w:p>
          <w:p w:rsidRPr="00EA3A03" w:rsidR="00EA3A03" w:rsidP="00B117AD" w:rsidRDefault="00EA3A03" w14:paraId="0AA3BBA6" w14:textId="77777777">
            <w:pPr>
              <w:jc w:val="center"/>
              <w:rPr>
                <w:b/>
                <w:szCs w:val="26"/>
              </w:rPr>
            </w:pPr>
            <w:r w:rsidRPr="00EA3A03">
              <w:rPr>
                <w:b/>
                <w:szCs w:val="26"/>
              </w:rPr>
              <w:t>(Column C x Column D)</w:t>
            </w:r>
          </w:p>
        </w:tc>
        <w:tc>
          <w:tcPr>
            <w:tcW w:w="0" w:type="auto"/>
            <w:shd w:val="clear" w:color="auto" w:fill="D9D9D9"/>
            <w:vAlign w:val="center"/>
          </w:tcPr>
          <w:p w:rsidRPr="00EA3A03" w:rsidR="00EA3A03" w:rsidP="00B117AD" w:rsidRDefault="00EA3A03" w14:paraId="46628F98" w14:textId="77777777">
            <w:pPr>
              <w:jc w:val="center"/>
              <w:rPr>
                <w:b/>
                <w:szCs w:val="26"/>
              </w:rPr>
            </w:pPr>
            <w:r w:rsidRPr="00EA3A03">
              <w:rPr>
                <w:b/>
                <w:szCs w:val="26"/>
              </w:rPr>
              <w:t>F.</w:t>
            </w:r>
          </w:p>
          <w:p w:rsidRPr="00EA3A03" w:rsidR="00EA3A03" w:rsidP="00B117AD" w:rsidRDefault="00EA3A03" w14:paraId="4E2B8E36" w14:textId="77777777">
            <w:pPr>
              <w:jc w:val="center"/>
              <w:rPr>
                <w:b/>
                <w:szCs w:val="26"/>
              </w:rPr>
            </w:pPr>
            <w:r w:rsidRPr="00EA3A03">
              <w:rPr>
                <w:b/>
                <w:szCs w:val="26"/>
              </w:rPr>
              <w:t>Cost per Respondent</w:t>
            </w:r>
          </w:p>
          <w:p w:rsidRPr="00EA3A03" w:rsidR="00EA3A03" w:rsidP="00B117AD" w:rsidRDefault="00EA3A03" w14:paraId="77FB9F35" w14:textId="77777777">
            <w:pPr>
              <w:jc w:val="center"/>
              <w:rPr>
                <w:b/>
                <w:szCs w:val="26"/>
              </w:rPr>
            </w:pPr>
            <w:r w:rsidRPr="00EA3A03">
              <w:rPr>
                <w:b/>
                <w:szCs w:val="26"/>
              </w:rPr>
              <w:t>($)</w:t>
            </w:r>
          </w:p>
          <w:p w:rsidRPr="00EA3A03" w:rsidR="00EA3A03" w:rsidP="00B117AD" w:rsidRDefault="00EA3A03" w14:paraId="0B179C2F" w14:textId="77777777">
            <w:pPr>
              <w:jc w:val="center"/>
              <w:rPr>
                <w:b/>
                <w:szCs w:val="26"/>
              </w:rPr>
            </w:pPr>
            <w:r w:rsidRPr="00EA3A03">
              <w:rPr>
                <w:b/>
                <w:szCs w:val="26"/>
              </w:rPr>
              <w:t>(Column E ÷ Column A)</w:t>
            </w:r>
          </w:p>
        </w:tc>
      </w:tr>
      <w:tr w:rsidRPr="00EA3A03" w:rsidR="00EA3A03" w:rsidTr="00B117AD" w14:paraId="3C70A099" w14:textId="77777777">
        <w:trPr>
          <w:cantSplit/>
        </w:trPr>
        <w:tc>
          <w:tcPr>
            <w:tcW w:w="0" w:type="auto"/>
            <w:shd w:val="clear" w:color="auto" w:fill="D9D9D9"/>
            <w:vAlign w:val="bottom"/>
          </w:tcPr>
          <w:p w:rsidRPr="00EA3A03" w:rsidR="00EA3A03" w:rsidP="00B117AD" w:rsidRDefault="00EA3A03" w14:paraId="66DB7908" w14:textId="77777777">
            <w:pPr>
              <w:jc w:val="right"/>
              <w:rPr>
                <w:bCs/>
                <w:szCs w:val="26"/>
              </w:rPr>
            </w:pPr>
            <w:r w:rsidRPr="00EA3A03">
              <w:rPr>
                <w:bCs/>
                <w:szCs w:val="26"/>
              </w:rPr>
              <w:t>25</w:t>
            </w:r>
          </w:p>
        </w:tc>
        <w:tc>
          <w:tcPr>
            <w:tcW w:w="0" w:type="auto"/>
            <w:shd w:val="clear" w:color="auto" w:fill="D9D9D9"/>
            <w:vAlign w:val="bottom"/>
          </w:tcPr>
          <w:p w:rsidRPr="00EA3A03" w:rsidR="00EA3A03" w:rsidP="00B117AD" w:rsidRDefault="00EA3A03" w14:paraId="0CBF1215" w14:textId="77777777">
            <w:pPr>
              <w:jc w:val="right"/>
              <w:rPr>
                <w:bCs/>
                <w:szCs w:val="26"/>
              </w:rPr>
            </w:pPr>
            <w:r w:rsidRPr="00EA3A03">
              <w:rPr>
                <w:bCs/>
                <w:szCs w:val="26"/>
              </w:rPr>
              <w:t>1</w:t>
            </w:r>
          </w:p>
        </w:tc>
        <w:tc>
          <w:tcPr>
            <w:tcW w:w="0" w:type="auto"/>
            <w:shd w:val="clear" w:color="auto" w:fill="D9D9D9"/>
            <w:vAlign w:val="bottom"/>
          </w:tcPr>
          <w:p w:rsidRPr="00EA3A03" w:rsidR="00EA3A03" w:rsidP="00B117AD" w:rsidRDefault="00EA3A03" w14:paraId="192571DE" w14:textId="77777777">
            <w:pPr>
              <w:jc w:val="right"/>
              <w:rPr>
                <w:bCs/>
                <w:szCs w:val="26"/>
              </w:rPr>
            </w:pPr>
            <w:r w:rsidRPr="00EA3A03">
              <w:rPr>
                <w:bCs/>
                <w:szCs w:val="26"/>
              </w:rPr>
              <w:t>25</w:t>
            </w:r>
          </w:p>
        </w:tc>
        <w:tc>
          <w:tcPr>
            <w:tcW w:w="0" w:type="auto"/>
            <w:shd w:val="clear" w:color="auto" w:fill="D9D9D9"/>
            <w:vAlign w:val="bottom"/>
          </w:tcPr>
          <w:p w:rsidRPr="00EA3A03" w:rsidR="00EA3A03" w:rsidP="00B117AD" w:rsidRDefault="00EA3A03" w14:paraId="4C8E1B01" w14:textId="77777777">
            <w:pPr>
              <w:jc w:val="right"/>
              <w:rPr>
                <w:bCs/>
                <w:szCs w:val="26"/>
              </w:rPr>
            </w:pPr>
            <w:r w:rsidRPr="00EA3A03">
              <w:rPr>
                <w:bCs/>
                <w:szCs w:val="26"/>
              </w:rPr>
              <w:t>48 hrs.;</w:t>
            </w:r>
          </w:p>
          <w:p w:rsidRPr="00EA3A03" w:rsidR="00EA3A03" w:rsidP="00B117AD" w:rsidRDefault="00EA3A03" w14:paraId="02AEC88A" w14:textId="77777777">
            <w:pPr>
              <w:jc w:val="right"/>
              <w:rPr>
                <w:bCs/>
                <w:szCs w:val="26"/>
              </w:rPr>
            </w:pPr>
            <w:r w:rsidRPr="00EA3A03">
              <w:rPr>
                <w:bCs/>
                <w:szCs w:val="26"/>
              </w:rPr>
              <w:t>$4,176</w:t>
            </w:r>
          </w:p>
        </w:tc>
        <w:tc>
          <w:tcPr>
            <w:tcW w:w="0" w:type="auto"/>
            <w:shd w:val="clear" w:color="auto" w:fill="D9D9D9"/>
            <w:vAlign w:val="bottom"/>
          </w:tcPr>
          <w:p w:rsidRPr="00EA3A03" w:rsidR="00EA3A03" w:rsidP="00B117AD" w:rsidRDefault="00EA3A03" w14:paraId="064FFB14" w14:textId="77777777">
            <w:pPr>
              <w:jc w:val="right"/>
              <w:rPr>
                <w:bCs/>
                <w:szCs w:val="26"/>
              </w:rPr>
            </w:pPr>
            <w:r w:rsidRPr="00EA3A03">
              <w:rPr>
                <w:bCs/>
                <w:szCs w:val="26"/>
              </w:rPr>
              <w:t>1,200 hrs.;</w:t>
            </w:r>
          </w:p>
          <w:p w:rsidRPr="00EA3A03" w:rsidR="00EA3A03" w:rsidP="00B117AD" w:rsidRDefault="00EA3A03" w14:paraId="455FD06F" w14:textId="77777777">
            <w:pPr>
              <w:jc w:val="right"/>
              <w:rPr>
                <w:bCs/>
                <w:szCs w:val="26"/>
              </w:rPr>
            </w:pPr>
            <w:r w:rsidRPr="00EA3A03">
              <w:rPr>
                <w:bCs/>
                <w:szCs w:val="26"/>
              </w:rPr>
              <w:t>$104,400</w:t>
            </w:r>
          </w:p>
        </w:tc>
        <w:tc>
          <w:tcPr>
            <w:tcW w:w="0" w:type="auto"/>
            <w:shd w:val="clear" w:color="auto" w:fill="D9D9D9"/>
            <w:vAlign w:val="bottom"/>
          </w:tcPr>
          <w:p w:rsidRPr="00EA3A03" w:rsidR="00EA3A03" w:rsidP="00B117AD" w:rsidRDefault="00EA3A03" w14:paraId="07CC1C91" w14:textId="77777777">
            <w:pPr>
              <w:jc w:val="right"/>
              <w:rPr>
                <w:bCs/>
                <w:szCs w:val="26"/>
              </w:rPr>
            </w:pPr>
            <w:r w:rsidRPr="00EA3A03">
              <w:rPr>
                <w:bCs/>
                <w:szCs w:val="26"/>
              </w:rPr>
              <w:t>$4,176</w:t>
            </w:r>
          </w:p>
        </w:tc>
      </w:tr>
    </w:tbl>
    <w:p w:rsidRPr="00EA3A03" w:rsidR="00EA3A03" w:rsidP="00EA3A03" w:rsidRDefault="00EA3A03" w14:paraId="47CDD0B8" w14:textId="77777777">
      <w:pPr>
        <w:spacing w:line="480" w:lineRule="auto"/>
        <w:rPr>
          <w:b/>
          <w:bCs/>
          <w:szCs w:val="26"/>
        </w:rPr>
      </w:pPr>
    </w:p>
    <w:p w:rsidRPr="00EA3A03" w:rsidR="00EA3A03" w:rsidP="00EA3A03" w:rsidRDefault="00EA3A03" w14:paraId="3DCCF318" w14:textId="77777777">
      <w:pPr>
        <w:spacing w:line="480" w:lineRule="auto"/>
        <w:rPr>
          <w:szCs w:val="26"/>
        </w:rPr>
      </w:pPr>
      <w:r w:rsidRPr="00EA3A03">
        <w:rPr>
          <w:szCs w:val="26"/>
        </w:rP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w:t>
      </w:r>
      <w:r w:rsidRPr="00EA3A03">
        <w:rPr>
          <w:szCs w:val="26"/>
        </w:rPr>
        <w:br/>
      </w:r>
    </w:p>
    <w:p w:rsidRPr="00EA3A03" w:rsidR="00EA3A03" w:rsidP="00EA3A03" w:rsidRDefault="00EA3A03" w14:paraId="7A96A7CC" w14:textId="77777777">
      <w:pPr>
        <w:spacing w:line="480" w:lineRule="auto"/>
        <w:rPr>
          <w:szCs w:val="26"/>
        </w:rPr>
      </w:pPr>
      <w:r w:rsidRPr="00EA3A03">
        <w:rPr>
          <w:szCs w:val="26"/>
        </w:rPr>
        <w:br w:type="page"/>
      </w:r>
    </w:p>
    <w:p w:rsidRPr="00EA3A03" w:rsidR="00EA3A03" w:rsidP="00EA3A03" w:rsidRDefault="00EA3A03" w14:paraId="00B03347" w14:textId="77777777">
      <w:pPr>
        <w:spacing w:line="480" w:lineRule="auto"/>
        <w:rPr>
          <w:szCs w:val="26"/>
        </w:rPr>
      </w:pPr>
      <w:r w:rsidRPr="00EA3A03">
        <w:rPr>
          <w:szCs w:val="26"/>
        </w:rPr>
        <w:lastRenderedPageBreak/>
        <w:t>of the information collection; and (4) ways to minimize the burden of the collection of information on those who are to respond, including the use of automated collection techniques or other forms of information technology.</w:t>
      </w:r>
    </w:p>
    <w:p w:rsidRPr="00EA3A03" w:rsidR="00EA3A03" w:rsidP="00EA3A03" w:rsidRDefault="00EA3A03" w14:paraId="02ABC925" w14:textId="77777777">
      <w:pPr>
        <w:spacing w:line="480" w:lineRule="auto"/>
        <w:rPr>
          <w:szCs w:val="26"/>
        </w:rPr>
      </w:pPr>
    </w:p>
    <w:p w:rsidR="00EA3A03" w:rsidP="00813324" w:rsidRDefault="00EA3A03" w14:paraId="13503336" w14:textId="206E36F0">
      <w:pPr>
        <w:rPr>
          <w:szCs w:val="26"/>
        </w:rPr>
      </w:pPr>
    </w:p>
    <w:p w:rsidR="00813324" w:rsidP="00813324" w:rsidRDefault="00813324" w14:paraId="32B8C5F9" w14:textId="49BD2126">
      <w:pPr>
        <w:rPr>
          <w:szCs w:val="26"/>
        </w:rPr>
      </w:pPr>
    </w:p>
    <w:p w:rsidRPr="00813324" w:rsidR="00813324" w:rsidP="00813324" w:rsidRDefault="00813324" w14:paraId="77AD9C7F" w14:textId="58D84F42">
      <w:pPr>
        <w:ind w:firstLine="2174"/>
        <w:jc w:val="center"/>
      </w:pPr>
      <w:r w:rsidRPr="00813324">
        <w:t>Kimberly D. Bose,</w:t>
      </w:r>
    </w:p>
    <w:p w:rsidRPr="00813324" w:rsidR="00813324" w:rsidP="00813324" w:rsidRDefault="00813324" w14:paraId="43A030A9" w14:textId="7D658EC9">
      <w:pPr>
        <w:ind w:firstLine="2174"/>
        <w:jc w:val="center"/>
      </w:pPr>
      <w:r w:rsidRPr="00813324">
        <w:t>Secretary.</w:t>
      </w:r>
    </w:p>
    <w:p w:rsidRPr="00EA3A03" w:rsidR="00813324" w:rsidP="00813324" w:rsidRDefault="00813324" w14:paraId="51EDDD84" w14:textId="77777777">
      <w:pPr>
        <w:rPr>
          <w:szCs w:val="26"/>
        </w:rPr>
      </w:pPr>
    </w:p>
    <w:sectPr w:rsidRPr="00EA3A03" w:rsidR="00813324" w:rsidSect="00BF2D74">
      <w:headerReference w:type="defaul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718A92" w14:textId="77777777" w:rsidR="00A370E8" w:rsidRDefault="00A370E8" w:rsidP="00B01B16">
      <w:r>
        <w:separator/>
      </w:r>
    </w:p>
  </w:endnote>
  <w:endnote w:type="continuationSeparator" w:id="0">
    <w:p w14:paraId="0292A1E7" w14:textId="77777777" w:rsidR="00A370E8" w:rsidRDefault="00A370E8" w:rsidP="00B01B16">
      <w:r>
        <w:continuationSeparator/>
      </w:r>
    </w:p>
  </w:endnote>
  <w:endnote w:type="continuationNotice" w:id="1">
    <w:p w14:paraId="65F98E3E" w14:textId="77777777" w:rsidR="00A370E8" w:rsidRDefault="00A370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97C203" w14:textId="77777777" w:rsidR="00A370E8" w:rsidRDefault="00A370E8" w:rsidP="00B01B16">
      <w:r>
        <w:separator/>
      </w:r>
    </w:p>
  </w:footnote>
  <w:footnote w:type="continuationSeparator" w:id="0">
    <w:p w14:paraId="315579A7" w14:textId="77777777" w:rsidR="00A370E8" w:rsidRDefault="00A370E8" w:rsidP="00B01B16">
      <w:r>
        <w:continuationSeparator/>
      </w:r>
    </w:p>
  </w:footnote>
  <w:footnote w:type="continuationNotice" w:id="1">
    <w:p w14:paraId="33E175EB" w14:textId="77777777" w:rsidR="00A370E8" w:rsidRDefault="00A370E8"/>
  </w:footnote>
  <w:footnote w:id="2">
    <w:p w14:paraId="60C4CDFE" w14:textId="77777777" w:rsidR="00EA3A03" w:rsidRPr="003B77D8" w:rsidRDefault="00EA3A03" w:rsidP="00EA3A03">
      <w:pPr>
        <w:pStyle w:val="FootnoteText"/>
        <w:rPr>
          <w:sz w:val="26"/>
        </w:rPr>
      </w:pPr>
      <w:r w:rsidRPr="003B77D8">
        <w:rPr>
          <w:rStyle w:val="FootnoteReference"/>
        </w:rPr>
        <w:footnoteRef/>
      </w:r>
      <w:r w:rsidRPr="003B77D8">
        <w:rPr>
          <w:sz w:val="26"/>
        </w:rPr>
        <w:t xml:space="preserve"> 16 U.S.C.824</w:t>
      </w:r>
      <w:r w:rsidRPr="003B77D8">
        <w:rPr>
          <w:i/>
          <w:iCs/>
          <w:sz w:val="26"/>
        </w:rPr>
        <w:t>o</w:t>
      </w:r>
      <w:r w:rsidRPr="003B77D8">
        <w:rPr>
          <w:sz w:val="26"/>
        </w:rPr>
        <w:t>.</w:t>
      </w:r>
    </w:p>
  </w:footnote>
  <w:footnote w:id="3">
    <w:p w14:paraId="791F8640" w14:textId="77777777" w:rsidR="00EA3A03" w:rsidRPr="006C01D0" w:rsidRDefault="00EA3A03" w:rsidP="00EA3A03">
      <w:pPr>
        <w:pStyle w:val="FootnoteText"/>
        <w:rPr>
          <w:sz w:val="26"/>
          <w:szCs w:val="26"/>
        </w:rPr>
      </w:pPr>
      <w:r w:rsidRPr="00F100E2">
        <w:rPr>
          <w:rStyle w:val="FootnoteReference"/>
        </w:rPr>
        <w:footnoteRef/>
      </w:r>
      <w:r w:rsidRPr="00F100E2">
        <w:rPr>
          <w:sz w:val="26"/>
          <w:szCs w:val="26"/>
        </w:rPr>
        <w:t xml:space="preserve"> </w:t>
      </w:r>
      <w:r>
        <w:rPr>
          <w:sz w:val="26"/>
          <w:szCs w:val="26"/>
        </w:rPr>
        <w:t>As defined at 16 U.S.C. 824</w:t>
      </w:r>
      <w:r w:rsidRPr="006C01D0">
        <w:rPr>
          <w:i/>
          <w:iCs/>
          <w:sz w:val="26"/>
          <w:szCs w:val="26"/>
        </w:rPr>
        <w:t>o</w:t>
      </w:r>
      <w:r>
        <w:rPr>
          <w:sz w:val="26"/>
          <w:szCs w:val="26"/>
        </w:rPr>
        <w:t>(a)(1) and 18 CFR 39.1, the term “bulk-power system”  means facilities and control systems necessary for operating an interconnected electric energy transmission network (or any portion thereof), and electric energy from generating facilities needed to maintain transmission system reliability.  The term does not include facilities used in the local distribution of electric energy.</w:t>
      </w:r>
    </w:p>
  </w:footnote>
  <w:footnote w:id="4">
    <w:p w14:paraId="496E448E" w14:textId="77777777" w:rsidR="00EA3A03" w:rsidRPr="00F100E2" w:rsidRDefault="00EA3A03" w:rsidP="00EA3A03">
      <w:pPr>
        <w:pStyle w:val="FootnoteText"/>
        <w:rPr>
          <w:sz w:val="26"/>
          <w:szCs w:val="26"/>
        </w:rPr>
      </w:pPr>
      <w:r w:rsidRPr="00F100E2">
        <w:rPr>
          <w:rStyle w:val="FootnoteReference"/>
        </w:rPr>
        <w:footnoteRef/>
      </w:r>
      <w:r w:rsidRPr="00F100E2">
        <w:rPr>
          <w:sz w:val="26"/>
          <w:szCs w:val="26"/>
        </w:rPr>
        <w:t xml:space="preserve"> </w:t>
      </w:r>
      <w:r>
        <w:rPr>
          <w:sz w:val="26"/>
          <w:szCs w:val="26"/>
        </w:rPr>
        <w:t xml:space="preserve">16 U.S.C. </w:t>
      </w:r>
      <w:r w:rsidRPr="00F100E2">
        <w:rPr>
          <w:sz w:val="26"/>
          <w:szCs w:val="26"/>
        </w:rPr>
        <w:t>824</w:t>
      </w:r>
      <w:r w:rsidRPr="00E12518">
        <w:rPr>
          <w:i/>
          <w:iCs/>
          <w:sz w:val="26"/>
          <w:szCs w:val="26"/>
        </w:rPr>
        <w:t>o</w:t>
      </w:r>
      <w:r w:rsidRPr="00F100E2">
        <w:rPr>
          <w:sz w:val="26"/>
          <w:szCs w:val="26"/>
        </w:rPr>
        <w:t>(e).</w:t>
      </w:r>
    </w:p>
  </w:footnote>
  <w:footnote w:id="5">
    <w:p w14:paraId="2648C671" w14:textId="77777777" w:rsidR="00EA3A03" w:rsidRDefault="00EA3A03" w:rsidP="00EA3A03">
      <w:pPr>
        <w:pStyle w:val="FootnoteText"/>
      </w:pPr>
      <w:r>
        <w:rPr>
          <w:rStyle w:val="FootnoteReference"/>
        </w:rPr>
        <w:footnoteRef/>
      </w:r>
      <w:r>
        <w:t xml:space="preserve"> </w:t>
      </w:r>
      <w:r w:rsidRPr="00CD7B93">
        <w:rPr>
          <w:sz w:val="26"/>
          <w:szCs w:val="26"/>
        </w:rPr>
        <w:t xml:space="preserve">Using the May 14,2021 NERC compliance registration information for </w:t>
      </w:r>
      <w:r>
        <w:rPr>
          <w:sz w:val="26"/>
          <w:szCs w:val="26"/>
        </w:rPr>
        <w:t>entities that are Generator Owners, Transmission Owners, and Distribution Providers</w:t>
      </w:r>
      <w:r w:rsidRPr="00CD7B93">
        <w:rPr>
          <w:sz w:val="26"/>
          <w:szCs w:val="26"/>
        </w:rPr>
        <w:t xml:space="preserve"> (in the US)</w:t>
      </w:r>
      <w:r>
        <w:rPr>
          <w:sz w:val="26"/>
          <w:szCs w:val="26"/>
        </w:rPr>
        <w:t>, the number of potential respondents is</w:t>
      </w:r>
      <w:r w:rsidRPr="00CD7B93">
        <w:rPr>
          <w:sz w:val="26"/>
          <w:szCs w:val="26"/>
        </w:rPr>
        <w:t xml:space="preserve"> 1,40</w:t>
      </w:r>
      <w:r>
        <w:rPr>
          <w:sz w:val="26"/>
          <w:szCs w:val="26"/>
        </w:rPr>
        <w:t xml:space="preserve">5, </w:t>
      </w:r>
      <w:r w:rsidRPr="00CD7B93">
        <w:rPr>
          <w:sz w:val="26"/>
          <w:szCs w:val="26"/>
        </w:rPr>
        <w:t xml:space="preserve">taking into account overlap between functions.  </w:t>
      </w:r>
      <w:r>
        <w:rPr>
          <w:sz w:val="26"/>
          <w:szCs w:val="26"/>
        </w:rPr>
        <w:t>However, n</w:t>
      </w:r>
      <w:r w:rsidRPr="00CD7B93">
        <w:rPr>
          <w:sz w:val="26"/>
          <w:szCs w:val="26"/>
        </w:rPr>
        <w:t>ot every entity will have a misoperation event during a year</w:t>
      </w:r>
      <w:r>
        <w:rPr>
          <w:sz w:val="26"/>
          <w:szCs w:val="26"/>
        </w:rPr>
        <w:t xml:space="preserve">.  Based on our previous experience with this information collection, </w:t>
      </w:r>
      <w:r w:rsidRPr="00CD7B93">
        <w:rPr>
          <w:sz w:val="26"/>
          <w:szCs w:val="26"/>
        </w:rPr>
        <w:t xml:space="preserve">we are estimating that </w:t>
      </w:r>
      <w:r>
        <w:rPr>
          <w:sz w:val="26"/>
          <w:szCs w:val="26"/>
        </w:rPr>
        <w:t xml:space="preserve">approximately </w:t>
      </w:r>
      <w:r w:rsidRPr="00CD7B93">
        <w:rPr>
          <w:sz w:val="26"/>
          <w:szCs w:val="26"/>
        </w:rPr>
        <w:t>half of</w:t>
      </w:r>
      <w:r>
        <w:rPr>
          <w:sz w:val="26"/>
          <w:szCs w:val="26"/>
        </w:rPr>
        <w:t xml:space="preserve"> the 1,405 potential respondents</w:t>
      </w:r>
      <w:r w:rsidRPr="00CD7B93">
        <w:rPr>
          <w:sz w:val="26"/>
          <w:szCs w:val="26"/>
        </w:rPr>
        <w:t xml:space="preserve"> </w:t>
      </w:r>
      <w:r>
        <w:rPr>
          <w:sz w:val="26"/>
          <w:szCs w:val="26"/>
        </w:rPr>
        <w:t xml:space="preserve">annually </w:t>
      </w:r>
      <w:r w:rsidRPr="00CD7B93">
        <w:rPr>
          <w:sz w:val="26"/>
          <w:szCs w:val="26"/>
        </w:rPr>
        <w:t xml:space="preserve">will have a reportable misoperation, </w:t>
      </w:r>
      <w:r>
        <w:rPr>
          <w:sz w:val="26"/>
          <w:szCs w:val="26"/>
        </w:rPr>
        <w:t>i.e., 703 responses per year for FERC-725G1.</w:t>
      </w:r>
    </w:p>
  </w:footnote>
  <w:footnote w:id="6">
    <w:p w14:paraId="50F1A222" w14:textId="77777777" w:rsidR="00EA3A03" w:rsidRPr="00506BF1" w:rsidRDefault="00EA3A03" w:rsidP="00EA3A03">
      <w:pPr>
        <w:pStyle w:val="FootnoteText"/>
        <w:rPr>
          <w:sz w:val="26"/>
        </w:rPr>
      </w:pPr>
      <w:r w:rsidRPr="00506BF1">
        <w:rPr>
          <w:rStyle w:val="FootnoteReference"/>
        </w:rPr>
        <w:footnoteRef/>
      </w:r>
      <w:r w:rsidRPr="00506BF1">
        <w:rPr>
          <w:sz w:val="26"/>
        </w:rPr>
        <w:t xml:space="preserve"> Commission staff estimates that the average industry hourly cost for this information collection is approximated by the current FERC 2021 average hourly costs for wages and benefits, i.e., $87.00/hour.</w:t>
      </w:r>
    </w:p>
  </w:footnote>
  <w:footnote w:id="7">
    <w:p w14:paraId="60E5DE52" w14:textId="77777777" w:rsidR="00EA3A03" w:rsidRPr="00A878DF" w:rsidRDefault="00EA3A03" w:rsidP="00EA3A03">
      <w:pPr>
        <w:pStyle w:val="FootnoteText"/>
        <w:rPr>
          <w:sz w:val="26"/>
        </w:rPr>
      </w:pPr>
      <w:r w:rsidRPr="00A878DF">
        <w:rPr>
          <w:rStyle w:val="FootnoteReference"/>
        </w:rPr>
        <w:footnoteRef/>
      </w:r>
      <w:r w:rsidRPr="00A878DF">
        <w:rPr>
          <w:sz w:val="26"/>
        </w:rPr>
        <w:t xml:space="preserve"> If OMB </w:t>
      </w:r>
      <w:r>
        <w:rPr>
          <w:sz w:val="26"/>
        </w:rPr>
        <w:t xml:space="preserve">renews </w:t>
      </w:r>
      <w:r w:rsidRPr="00A878DF">
        <w:rPr>
          <w:sz w:val="26"/>
        </w:rPr>
        <w:t xml:space="preserve">FERC-725G4, the Commission </w:t>
      </w:r>
      <w:r>
        <w:rPr>
          <w:sz w:val="26"/>
        </w:rPr>
        <w:t xml:space="preserve">subsequently may </w:t>
      </w:r>
      <w:r w:rsidRPr="00A878DF">
        <w:rPr>
          <w:sz w:val="26"/>
        </w:rPr>
        <w:t>consider requesting th</w:t>
      </w:r>
      <w:r>
        <w:rPr>
          <w:sz w:val="26"/>
        </w:rPr>
        <w:t xml:space="preserve">at OMB combine </w:t>
      </w:r>
      <w:r w:rsidRPr="00A878DF">
        <w:rPr>
          <w:sz w:val="26"/>
        </w:rPr>
        <w:t xml:space="preserve">that information collection activity </w:t>
      </w:r>
      <w:r>
        <w:rPr>
          <w:sz w:val="26"/>
        </w:rPr>
        <w:t>with</w:t>
      </w:r>
      <w:r w:rsidRPr="00A878DF">
        <w:rPr>
          <w:sz w:val="26"/>
        </w:rPr>
        <w:t xml:space="preserve"> FERC-725G1.  Such action would </w:t>
      </w:r>
      <w:r>
        <w:rPr>
          <w:sz w:val="26"/>
        </w:rPr>
        <w:t xml:space="preserve">be administrative only and would </w:t>
      </w:r>
      <w:r w:rsidRPr="00A878DF">
        <w:rPr>
          <w:sz w:val="26"/>
        </w:rPr>
        <w:t xml:space="preserve">not indicate the discontinuation of the information collection </w:t>
      </w:r>
      <w:r>
        <w:rPr>
          <w:sz w:val="26"/>
        </w:rPr>
        <w:t xml:space="preserve">requirements </w:t>
      </w:r>
      <w:r w:rsidRPr="00A878DF">
        <w:rPr>
          <w:sz w:val="26"/>
        </w:rPr>
        <w:t>in FERC-725G4.</w:t>
      </w:r>
    </w:p>
  </w:footnote>
  <w:footnote w:id="8">
    <w:p w14:paraId="6D8EE62C" w14:textId="77777777" w:rsidR="00EA3A03" w:rsidRPr="00AA7FDE" w:rsidRDefault="00EA3A03" w:rsidP="00EA3A03">
      <w:pPr>
        <w:pStyle w:val="FootnoteText"/>
        <w:rPr>
          <w:sz w:val="26"/>
        </w:rPr>
      </w:pPr>
      <w:r w:rsidRPr="00AA7FDE">
        <w:rPr>
          <w:rStyle w:val="FootnoteReference"/>
        </w:rPr>
        <w:footnoteRef/>
      </w:r>
      <w:r w:rsidRPr="00AA7FDE">
        <w:rPr>
          <w:sz w:val="26"/>
        </w:rPr>
        <w:t xml:space="preserve"> “Load shedding” means disconnecting consumers from the grid</w:t>
      </w:r>
      <w:r>
        <w:rPr>
          <w:sz w:val="26"/>
        </w:rPr>
        <w:t xml:space="preserve"> </w:t>
      </w:r>
      <w:r w:rsidRPr="00AA7FDE">
        <w:rPr>
          <w:sz w:val="26"/>
        </w:rPr>
        <w:t>to prevent demand from exceeding supply, which can cause widespread grid collapse.  A “UVLS Program” provides for automatic load shedding</w:t>
      </w:r>
      <w:r>
        <w:rPr>
          <w:sz w:val="26"/>
        </w:rPr>
        <w:t>,</w:t>
      </w:r>
      <w:r w:rsidRPr="00AA7FDE">
        <w:rPr>
          <w:sz w:val="26"/>
        </w:rPr>
        <w:t xml:space="preserve"> </w:t>
      </w:r>
      <w:r>
        <w:rPr>
          <w:sz w:val="26"/>
        </w:rPr>
        <w:t xml:space="preserve">utilizing voltage inputs, </w:t>
      </w:r>
      <w:r w:rsidRPr="00AA7FDE">
        <w:rPr>
          <w:sz w:val="26"/>
        </w:rPr>
        <w:t>in specific circumstances and locations.</w:t>
      </w:r>
    </w:p>
  </w:footnote>
  <w:footnote w:id="9">
    <w:p w14:paraId="1E2125E4" w14:textId="77777777" w:rsidR="00EA3A03" w:rsidRPr="003239B0" w:rsidRDefault="00EA3A03" w:rsidP="00EA3A03">
      <w:pPr>
        <w:pStyle w:val="FootnoteText"/>
        <w:rPr>
          <w:sz w:val="26"/>
        </w:rPr>
      </w:pPr>
      <w:r w:rsidRPr="003239B0">
        <w:rPr>
          <w:rStyle w:val="FootnoteReference"/>
        </w:rPr>
        <w:footnoteRef/>
      </w:r>
      <w:r w:rsidRPr="003239B0">
        <w:rPr>
          <w:sz w:val="26"/>
        </w:rPr>
        <w:t xml:space="preserve"> </w:t>
      </w:r>
      <w:r>
        <w:rPr>
          <w:sz w:val="26"/>
        </w:rPr>
        <w:t>“UVLS Entities,” as defined at the NERC Website at</w:t>
      </w:r>
      <w:r w:rsidRPr="00FF410C">
        <w:t xml:space="preserve"> </w:t>
      </w:r>
      <w:hyperlink r:id="rId1" w:history="1">
        <w:r w:rsidRPr="00064475">
          <w:rPr>
            <w:rStyle w:val="Hyperlink"/>
            <w:sz w:val="26"/>
          </w:rPr>
          <w:t>https://www.nerc.com/pa/Stand/Reliability%20Standards/PRC-010-2.pdf</w:t>
        </w:r>
      </w:hyperlink>
      <w:r>
        <w:rPr>
          <w:rStyle w:val="Hyperlink"/>
          <w:sz w:val="26"/>
        </w:rPr>
        <w:t>,</w:t>
      </w:r>
      <w:r>
        <w:rPr>
          <w:sz w:val="26"/>
        </w:rPr>
        <w:t xml:space="preserve"> </w:t>
      </w:r>
      <w:r w:rsidRPr="003239B0">
        <w:rPr>
          <w:sz w:val="26"/>
        </w:rPr>
        <w:t>are distribution providers and transmission owners responsible for the ownership, operation, or control of UVLS equipment</w:t>
      </w:r>
      <w:r>
        <w:rPr>
          <w:sz w:val="26"/>
        </w:rPr>
        <w:t>, as required by a UVLS Program.</w:t>
      </w:r>
    </w:p>
  </w:footnote>
  <w:footnote w:id="10">
    <w:p w14:paraId="78B751B3" w14:textId="5E1132DB" w:rsidR="00EA3A03" w:rsidRDefault="00EA3A03" w:rsidP="00EA3A03">
      <w:pPr>
        <w:pStyle w:val="FootnoteText"/>
      </w:pPr>
      <w:r>
        <w:rPr>
          <w:rStyle w:val="FootnoteReference"/>
        </w:rPr>
        <w:footnoteRef/>
      </w:r>
      <w:r>
        <w:t xml:space="preserve"> </w:t>
      </w:r>
      <w:r w:rsidRPr="00420F23">
        <w:rPr>
          <w:sz w:val="26"/>
          <w:szCs w:val="26"/>
        </w:rPr>
        <w:t xml:space="preserve">Using the May 14,2021 NERC compliance registration information for </w:t>
      </w:r>
      <w:r>
        <w:rPr>
          <w:sz w:val="26"/>
          <w:szCs w:val="26"/>
        </w:rPr>
        <w:t>entities that are Transmission Owners and Distribution Providers</w:t>
      </w:r>
      <w:r w:rsidRPr="001D0C18">
        <w:rPr>
          <w:sz w:val="26"/>
          <w:szCs w:val="26"/>
        </w:rPr>
        <w:t xml:space="preserve"> (in the US)</w:t>
      </w:r>
      <w:r>
        <w:rPr>
          <w:sz w:val="26"/>
          <w:szCs w:val="26"/>
        </w:rPr>
        <w:t xml:space="preserve">, the number of potential respondents is </w:t>
      </w:r>
      <w:r w:rsidRPr="00A819BA">
        <w:rPr>
          <w:sz w:val="26"/>
          <w:szCs w:val="26"/>
        </w:rPr>
        <w:t>494</w:t>
      </w:r>
      <w:r>
        <w:rPr>
          <w:sz w:val="26"/>
          <w:szCs w:val="26"/>
        </w:rPr>
        <w:t>,</w:t>
      </w:r>
      <w:r w:rsidRPr="00231025">
        <w:rPr>
          <w:sz w:val="26"/>
          <w:szCs w:val="26"/>
        </w:rPr>
        <w:t xml:space="preserve"> taking into account overlap between functions.  </w:t>
      </w:r>
      <w:r>
        <w:rPr>
          <w:sz w:val="26"/>
          <w:szCs w:val="26"/>
        </w:rPr>
        <w:t>However, n</w:t>
      </w:r>
      <w:r w:rsidRPr="00231025">
        <w:rPr>
          <w:sz w:val="26"/>
          <w:szCs w:val="26"/>
        </w:rPr>
        <w:t>ot every entity has an under</w:t>
      </w:r>
      <w:r w:rsidR="00544619">
        <w:rPr>
          <w:sz w:val="26"/>
          <w:szCs w:val="26"/>
        </w:rPr>
        <w:t xml:space="preserve"> </w:t>
      </w:r>
      <w:r w:rsidRPr="00231025">
        <w:rPr>
          <w:sz w:val="26"/>
          <w:szCs w:val="26"/>
        </w:rPr>
        <w:t>voltage load shedding program</w:t>
      </w:r>
      <w:r>
        <w:rPr>
          <w:sz w:val="26"/>
          <w:szCs w:val="26"/>
        </w:rPr>
        <w:t xml:space="preserve">.  Approximately </w:t>
      </w:r>
      <w:r w:rsidRPr="00231025">
        <w:rPr>
          <w:sz w:val="26"/>
          <w:szCs w:val="26"/>
        </w:rPr>
        <w:t xml:space="preserve">five percent of the </w:t>
      </w:r>
      <w:r>
        <w:rPr>
          <w:sz w:val="26"/>
          <w:szCs w:val="26"/>
        </w:rPr>
        <w:t>potential respondents</w:t>
      </w:r>
      <w:r w:rsidRPr="00231025">
        <w:rPr>
          <w:sz w:val="26"/>
          <w:szCs w:val="26"/>
        </w:rPr>
        <w:t xml:space="preserve"> have such a program</w:t>
      </w:r>
      <w:r>
        <w:rPr>
          <w:sz w:val="26"/>
          <w:szCs w:val="26"/>
        </w:rPr>
        <w:t>.  Therefore, we estimate 25 responses per year for FERC-725G4.</w:t>
      </w:r>
    </w:p>
  </w:footnote>
  <w:footnote w:id="11">
    <w:p w14:paraId="2BC630DF" w14:textId="77777777" w:rsidR="00EA3A03" w:rsidRPr="00506BF1" w:rsidRDefault="00EA3A03" w:rsidP="00EA3A03">
      <w:pPr>
        <w:pStyle w:val="FootnoteText"/>
        <w:rPr>
          <w:sz w:val="26"/>
        </w:rPr>
      </w:pPr>
      <w:r w:rsidRPr="00506BF1">
        <w:rPr>
          <w:rStyle w:val="FootnoteReference"/>
        </w:rPr>
        <w:footnoteRef/>
      </w:r>
      <w:r w:rsidRPr="00506BF1">
        <w:rPr>
          <w:sz w:val="26"/>
        </w:rPr>
        <w:t xml:space="preserve"> Commission staff estimates that the average industry hourly cost for this information collection is approximated by the current FERC 2021 average hourly costs for wages and benefits, i.e., $87.00/hour.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0597F" w14:textId="402DDF03" w:rsidR="00D43B63" w:rsidRDefault="00D43B63" w:rsidP="00810D18">
    <w:pPr>
      <w:pStyle w:val="Header"/>
    </w:pPr>
    <w:r>
      <w:t xml:space="preserve">Docket No. </w:t>
    </w:r>
    <w:r w:rsidR="00A8344E">
      <w:t>IC2</w:t>
    </w:r>
    <w:r>
      <w:t>1-</w:t>
    </w:r>
    <w:r w:rsidR="00B46B19">
      <w:t>36</w:t>
    </w:r>
    <w:r>
      <w:t>-000</w:t>
    </w:r>
    <w:r>
      <w:tab/>
    </w:r>
    <w:sdt>
      <w:sdtPr>
        <w:id w:val="151588624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8</w:t>
        </w:r>
        <w:r>
          <w:rPr>
            <w:noProof/>
          </w:rPr>
          <w:fldChar w:fldCharType="end"/>
        </w:r>
      </w:sdtContent>
    </w:sdt>
  </w:p>
  <w:p w14:paraId="10170C13" w14:textId="76D2DB34" w:rsidR="00D43B63" w:rsidRDefault="00D43B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F0CC7"/>
    <w:multiLevelType w:val="hybridMultilevel"/>
    <w:tmpl w:val="A6B62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D76AFC"/>
    <w:multiLevelType w:val="hybridMultilevel"/>
    <w:tmpl w:val="0B32E7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 w15:restartNumberingAfterBreak="0">
    <w:nsid w:val="339764E2"/>
    <w:multiLevelType w:val="hybridMultilevel"/>
    <w:tmpl w:val="DC567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546A19"/>
    <w:multiLevelType w:val="hybridMultilevel"/>
    <w:tmpl w:val="30881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A92585"/>
    <w:multiLevelType w:val="hybridMultilevel"/>
    <w:tmpl w:val="37181A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2"/>
  </w:num>
  <w:num w:numId="4">
    <w:abstractNumId w:val="1"/>
  </w:num>
  <w:num w:numId="5">
    <w:abstractNumId w:val="6"/>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revisionView w:inkAnnotations="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B16"/>
    <w:rsid w:val="00000341"/>
    <w:rsid w:val="000122E1"/>
    <w:rsid w:val="00016EDB"/>
    <w:rsid w:val="00023EA9"/>
    <w:rsid w:val="000241AE"/>
    <w:rsid w:val="00024285"/>
    <w:rsid w:val="0003365C"/>
    <w:rsid w:val="00034C49"/>
    <w:rsid w:val="000459B6"/>
    <w:rsid w:val="000472F6"/>
    <w:rsid w:val="00056C5D"/>
    <w:rsid w:val="00062427"/>
    <w:rsid w:val="000633EE"/>
    <w:rsid w:val="000861D3"/>
    <w:rsid w:val="00096CAD"/>
    <w:rsid w:val="000A0250"/>
    <w:rsid w:val="000A7E68"/>
    <w:rsid w:val="000E2568"/>
    <w:rsid w:val="000F0B0E"/>
    <w:rsid w:val="0010087B"/>
    <w:rsid w:val="00105C4D"/>
    <w:rsid w:val="00112C9F"/>
    <w:rsid w:val="001240C7"/>
    <w:rsid w:val="0014216B"/>
    <w:rsid w:val="00146110"/>
    <w:rsid w:val="001479DF"/>
    <w:rsid w:val="0015578A"/>
    <w:rsid w:val="00155DE9"/>
    <w:rsid w:val="00156BBB"/>
    <w:rsid w:val="001600DF"/>
    <w:rsid w:val="00171725"/>
    <w:rsid w:val="00181BF7"/>
    <w:rsid w:val="001850B4"/>
    <w:rsid w:val="00191376"/>
    <w:rsid w:val="001A6AD6"/>
    <w:rsid w:val="001B78B8"/>
    <w:rsid w:val="001C1289"/>
    <w:rsid w:val="001E6510"/>
    <w:rsid w:val="00200437"/>
    <w:rsid w:val="002023A4"/>
    <w:rsid w:val="00217F4B"/>
    <w:rsid w:val="00224BF2"/>
    <w:rsid w:val="002373C7"/>
    <w:rsid w:val="002426B5"/>
    <w:rsid w:val="00254C99"/>
    <w:rsid w:val="0027045E"/>
    <w:rsid w:val="0027452E"/>
    <w:rsid w:val="00293D56"/>
    <w:rsid w:val="002A1C24"/>
    <w:rsid w:val="002B531B"/>
    <w:rsid w:val="002B7AA8"/>
    <w:rsid w:val="002D5237"/>
    <w:rsid w:val="002E0351"/>
    <w:rsid w:val="002F24E8"/>
    <w:rsid w:val="002F3E94"/>
    <w:rsid w:val="002F697A"/>
    <w:rsid w:val="00302F75"/>
    <w:rsid w:val="00303717"/>
    <w:rsid w:val="003060F0"/>
    <w:rsid w:val="003062C2"/>
    <w:rsid w:val="00310EFC"/>
    <w:rsid w:val="00311D90"/>
    <w:rsid w:val="00314815"/>
    <w:rsid w:val="003149BC"/>
    <w:rsid w:val="003321DB"/>
    <w:rsid w:val="00334F14"/>
    <w:rsid w:val="00337BA7"/>
    <w:rsid w:val="0034195C"/>
    <w:rsid w:val="00343A03"/>
    <w:rsid w:val="00347056"/>
    <w:rsid w:val="00361371"/>
    <w:rsid w:val="00363638"/>
    <w:rsid w:val="00363F79"/>
    <w:rsid w:val="003673EC"/>
    <w:rsid w:val="00376525"/>
    <w:rsid w:val="0038431F"/>
    <w:rsid w:val="0039502D"/>
    <w:rsid w:val="003960E0"/>
    <w:rsid w:val="003A1A72"/>
    <w:rsid w:val="003A3189"/>
    <w:rsid w:val="003A61B1"/>
    <w:rsid w:val="003C3E7A"/>
    <w:rsid w:val="003C5CBE"/>
    <w:rsid w:val="003C7BC3"/>
    <w:rsid w:val="003E44AD"/>
    <w:rsid w:val="003F5968"/>
    <w:rsid w:val="00406999"/>
    <w:rsid w:val="0040718A"/>
    <w:rsid w:val="00425DA2"/>
    <w:rsid w:val="00426898"/>
    <w:rsid w:val="00443282"/>
    <w:rsid w:val="0044338D"/>
    <w:rsid w:val="0045734B"/>
    <w:rsid w:val="004609EE"/>
    <w:rsid w:val="004759C4"/>
    <w:rsid w:val="004840C1"/>
    <w:rsid w:val="00485A51"/>
    <w:rsid w:val="004879AA"/>
    <w:rsid w:val="0049480F"/>
    <w:rsid w:val="004B7B57"/>
    <w:rsid w:val="004C70C8"/>
    <w:rsid w:val="004C77EF"/>
    <w:rsid w:val="004D27A2"/>
    <w:rsid w:val="004E3211"/>
    <w:rsid w:val="004E4EAD"/>
    <w:rsid w:val="004F04C4"/>
    <w:rsid w:val="004F26DA"/>
    <w:rsid w:val="00513DA8"/>
    <w:rsid w:val="00514B50"/>
    <w:rsid w:val="00516493"/>
    <w:rsid w:val="0054073B"/>
    <w:rsid w:val="00544619"/>
    <w:rsid w:val="0054746C"/>
    <w:rsid w:val="005648E2"/>
    <w:rsid w:val="00566C57"/>
    <w:rsid w:val="0058081B"/>
    <w:rsid w:val="00585F73"/>
    <w:rsid w:val="005A0148"/>
    <w:rsid w:val="005A2F24"/>
    <w:rsid w:val="005A3F56"/>
    <w:rsid w:val="005A7903"/>
    <w:rsid w:val="005A7C58"/>
    <w:rsid w:val="005B4DA4"/>
    <w:rsid w:val="005C6D4E"/>
    <w:rsid w:val="005D16A1"/>
    <w:rsid w:val="005E6D8A"/>
    <w:rsid w:val="005F3DAA"/>
    <w:rsid w:val="005F726F"/>
    <w:rsid w:val="005F729D"/>
    <w:rsid w:val="00612820"/>
    <w:rsid w:val="006128A5"/>
    <w:rsid w:val="006144F3"/>
    <w:rsid w:val="0062085E"/>
    <w:rsid w:val="00634374"/>
    <w:rsid w:val="0063716C"/>
    <w:rsid w:val="006374BA"/>
    <w:rsid w:val="00637F43"/>
    <w:rsid w:val="00642602"/>
    <w:rsid w:val="00644A1B"/>
    <w:rsid w:val="00650FA1"/>
    <w:rsid w:val="006536D8"/>
    <w:rsid w:val="00654BA4"/>
    <w:rsid w:val="00666A01"/>
    <w:rsid w:val="006715F6"/>
    <w:rsid w:val="00680D78"/>
    <w:rsid w:val="00692352"/>
    <w:rsid w:val="00695E65"/>
    <w:rsid w:val="006963BC"/>
    <w:rsid w:val="006A34AE"/>
    <w:rsid w:val="006A423E"/>
    <w:rsid w:val="006B2FDE"/>
    <w:rsid w:val="006C6B0C"/>
    <w:rsid w:val="006D5210"/>
    <w:rsid w:val="006D552E"/>
    <w:rsid w:val="006E10F4"/>
    <w:rsid w:val="006E75AA"/>
    <w:rsid w:val="006E7CBB"/>
    <w:rsid w:val="006F3647"/>
    <w:rsid w:val="00714E6E"/>
    <w:rsid w:val="00714F57"/>
    <w:rsid w:val="00727594"/>
    <w:rsid w:val="00727C5E"/>
    <w:rsid w:val="007349A2"/>
    <w:rsid w:val="007356B8"/>
    <w:rsid w:val="00741C80"/>
    <w:rsid w:val="0074219E"/>
    <w:rsid w:val="0075009F"/>
    <w:rsid w:val="00754526"/>
    <w:rsid w:val="00777183"/>
    <w:rsid w:val="00782ACA"/>
    <w:rsid w:val="007B588C"/>
    <w:rsid w:val="007C1916"/>
    <w:rsid w:val="007C6AC2"/>
    <w:rsid w:val="007C729C"/>
    <w:rsid w:val="007E2F40"/>
    <w:rsid w:val="007F64F2"/>
    <w:rsid w:val="00803CA2"/>
    <w:rsid w:val="00807CAC"/>
    <w:rsid w:val="00810D18"/>
    <w:rsid w:val="008115BF"/>
    <w:rsid w:val="00812B30"/>
    <w:rsid w:val="00813324"/>
    <w:rsid w:val="008154B7"/>
    <w:rsid w:val="00821DAB"/>
    <w:rsid w:val="00824D81"/>
    <w:rsid w:val="00836DF9"/>
    <w:rsid w:val="0084158A"/>
    <w:rsid w:val="008447AF"/>
    <w:rsid w:val="00847229"/>
    <w:rsid w:val="00853ABC"/>
    <w:rsid w:val="00853F85"/>
    <w:rsid w:val="0085755E"/>
    <w:rsid w:val="00872AB9"/>
    <w:rsid w:val="00881405"/>
    <w:rsid w:val="0089069F"/>
    <w:rsid w:val="00895DA2"/>
    <w:rsid w:val="00897359"/>
    <w:rsid w:val="008A020E"/>
    <w:rsid w:val="008B5B87"/>
    <w:rsid w:val="008B6E06"/>
    <w:rsid w:val="008C572B"/>
    <w:rsid w:val="008D25B7"/>
    <w:rsid w:val="008D300A"/>
    <w:rsid w:val="008D5479"/>
    <w:rsid w:val="008D5932"/>
    <w:rsid w:val="008E0B8C"/>
    <w:rsid w:val="008E0DF5"/>
    <w:rsid w:val="008E3273"/>
    <w:rsid w:val="008E5123"/>
    <w:rsid w:val="008E7400"/>
    <w:rsid w:val="00901C05"/>
    <w:rsid w:val="0091389D"/>
    <w:rsid w:val="009179E9"/>
    <w:rsid w:val="00937284"/>
    <w:rsid w:val="00940C0F"/>
    <w:rsid w:val="00942867"/>
    <w:rsid w:val="0095311D"/>
    <w:rsid w:val="00954CCB"/>
    <w:rsid w:val="00971018"/>
    <w:rsid w:val="009744C8"/>
    <w:rsid w:val="00981886"/>
    <w:rsid w:val="00990FEC"/>
    <w:rsid w:val="009A1B08"/>
    <w:rsid w:val="009A6E91"/>
    <w:rsid w:val="009B4450"/>
    <w:rsid w:val="009B747B"/>
    <w:rsid w:val="009C25C4"/>
    <w:rsid w:val="009C4A13"/>
    <w:rsid w:val="009E0F58"/>
    <w:rsid w:val="009E5557"/>
    <w:rsid w:val="009E66F8"/>
    <w:rsid w:val="009F7DE3"/>
    <w:rsid w:val="00A038F9"/>
    <w:rsid w:val="00A1585A"/>
    <w:rsid w:val="00A2534D"/>
    <w:rsid w:val="00A2604E"/>
    <w:rsid w:val="00A31127"/>
    <w:rsid w:val="00A370E8"/>
    <w:rsid w:val="00A43A4A"/>
    <w:rsid w:val="00A507F0"/>
    <w:rsid w:val="00A664DF"/>
    <w:rsid w:val="00A713D0"/>
    <w:rsid w:val="00A72814"/>
    <w:rsid w:val="00A759B3"/>
    <w:rsid w:val="00A82A29"/>
    <w:rsid w:val="00A8344E"/>
    <w:rsid w:val="00A8690F"/>
    <w:rsid w:val="00A86D9E"/>
    <w:rsid w:val="00AA4050"/>
    <w:rsid w:val="00AA516A"/>
    <w:rsid w:val="00AA5B0E"/>
    <w:rsid w:val="00AC750B"/>
    <w:rsid w:val="00AC77B8"/>
    <w:rsid w:val="00AD4128"/>
    <w:rsid w:val="00AD4632"/>
    <w:rsid w:val="00AE0B07"/>
    <w:rsid w:val="00AE1F12"/>
    <w:rsid w:val="00AE3A78"/>
    <w:rsid w:val="00AE4155"/>
    <w:rsid w:val="00AE4B7C"/>
    <w:rsid w:val="00AF349B"/>
    <w:rsid w:val="00B01B16"/>
    <w:rsid w:val="00B117AD"/>
    <w:rsid w:val="00B13EE3"/>
    <w:rsid w:val="00B22DCB"/>
    <w:rsid w:val="00B2382E"/>
    <w:rsid w:val="00B34A0B"/>
    <w:rsid w:val="00B447D7"/>
    <w:rsid w:val="00B46B19"/>
    <w:rsid w:val="00B46E93"/>
    <w:rsid w:val="00B46F03"/>
    <w:rsid w:val="00B5066A"/>
    <w:rsid w:val="00B55B8C"/>
    <w:rsid w:val="00B56882"/>
    <w:rsid w:val="00B61138"/>
    <w:rsid w:val="00B65A09"/>
    <w:rsid w:val="00B76A1F"/>
    <w:rsid w:val="00B82F8C"/>
    <w:rsid w:val="00B961C3"/>
    <w:rsid w:val="00BA0FBC"/>
    <w:rsid w:val="00BA218C"/>
    <w:rsid w:val="00BA5479"/>
    <w:rsid w:val="00BB179A"/>
    <w:rsid w:val="00BB7D82"/>
    <w:rsid w:val="00BC200B"/>
    <w:rsid w:val="00BD74AE"/>
    <w:rsid w:val="00BE3392"/>
    <w:rsid w:val="00BE3FE7"/>
    <w:rsid w:val="00BF29D8"/>
    <w:rsid w:val="00BF2D74"/>
    <w:rsid w:val="00BF38BC"/>
    <w:rsid w:val="00BF4CC8"/>
    <w:rsid w:val="00BF7AC7"/>
    <w:rsid w:val="00C1124F"/>
    <w:rsid w:val="00C37BFF"/>
    <w:rsid w:val="00C44372"/>
    <w:rsid w:val="00C51458"/>
    <w:rsid w:val="00C53580"/>
    <w:rsid w:val="00C55838"/>
    <w:rsid w:val="00C55F30"/>
    <w:rsid w:val="00C728C5"/>
    <w:rsid w:val="00C77EF7"/>
    <w:rsid w:val="00C81A97"/>
    <w:rsid w:val="00C820F1"/>
    <w:rsid w:val="00C91512"/>
    <w:rsid w:val="00CA6636"/>
    <w:rsid w:val="00CA6D76"/>
    <w:rsid w:val="00CB7448"/>
    <w:rsid w:val="00CB769C"/>
    <w:rsid w:val="00CC431F"/>
    <w:rsid w:val="00CD37C7"/>
    <w:rsid w:val="00CD57EB"/>
    <w:rsid w:val="00CD5C97"/>
    <w:rsid w:val="00CD786C"/>
    <w:rsid w:val="00CE3598"/>
    <w:rsid w:val="00CE4B75"/>
    <w:rsid w:val="00CF4753"/>
    <w:rsid w:val="00CF71E0"/>
    <w:rsid w:val="00D0083B"/>
    <w:rsid w:val="00D42209"/>
    <w:rsid w:val="00D43B63"/>
    <w:rsid w:val="00D44183"/>
    <w:rsid w:val="00D50830"/>
    <w:rsid w:val="00D65D56"/>
    <w:rsid w:val="00D9761F"/>
    <w:rsid w:val="00DA529F"/>
    <w:rsid w:val="00DC5017"/>
    <w:rsid w:val="00DD18FF"/>
    <w:rsid w:val="00DD2ED3"/>
    <w:rsid w:val="00DD7F1B"/>
    <w:rsid w:val="00DE09FF"/>
    <w:rsid w:val="00E024B6"/>
    <w:rsid w:val="00E13A02"/>
    <w:rsid w:val="00E25601"/>
    <w:rsid w:val="00E31680"/>
    <w:rsid w:val="00E34382"/>
    <w:rsid w:val="00E3662E"/>
    <w:rsid w:val="00E41DB9"/>
    <w:rsid w:val="00E630D7"/>
    <w:rsid w:val="00E655BE"/>
    <w:rsid w:val="00E75CE9"/>
    <w:rsid w:val="00E762BB"/>
    <w:rsid w:val="00E77B33"/>
    <w:rsid w:val="00E808B6"/>
    <w:rsid w:val="00E8661B"/>
    <w:rsid w:val="00E91FD5"/>
    <w:rsid w:val="00E92E09"/>
    <w:rsid w:val="00E9354B"/>
    <w:rsid w:val="00EA3A03"/>
    <w:rsid w:val="00EA6337"/>
    <w:rsid w:val="00EA689F"/>
    <w:rsid w:val="00EB119D"/>
    <w:rsid w:val="00EB749E"/>
    <w:rsid w:val="00EF1D00"/>
    <w:rsid w:val="00EF2866"/>
    <w:rsid w:val="00EF33BE"/>
    <w:rsid w:val="00F0383C"/>
    <w:rsid w:val="00F0669A"/>
    <w:rsid w:val="00F11631"/>
    <w:rsid w:val="00F12A43"/>
    <w:rsid w:val="00F24AB0"/>
    <w:rsid w:val="00F309CB"/>
    <w:rsid w:val="00F33E2E"/>
    <w:rsid w:val="00F44A0E"/>
    <w:rsid w:val="00F60C79"/>
    <w:rsid w:val="00F62A51"/>
    <w:rsid w:val="00F75755"/>
    <w:rsid w:val="00F8646E"/>
    <w:rsid w:val="00F9675E"/>
    <w:rsid w:val="00FC2502"/>
    <w:rsid w:val="00FC3F00"/>
    <w:rsid w:val="00FE4B8E"/>
    <w:rsid w:val="00FF1D71"/>
    <w:rsid w:val="00FF3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C239FB7"/>
  <w15:docId w15:val="{D22810CA-EDC0-4953-B099-061261069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B01B16"/>
    <w:rPr>
      <w:rFonts w:ascii="Times New Roman" w:hAnsi="Times New Roman"/>
      <w:b/>
      <w:sz w:val="26"/>
      <w:szCs w:val="26"/>
      <w:vertAlign w:val="superscript"/>
    </w:rPr>
  </w:style>
  <w:style w:type="paragraph" w:styleId="FootnoteText">
    <w:name w:val="footnote text"/>
    <w:aliases w:val="fn,Footnote Text Char Char,Footnote Text Char1 Char,Footnote Text Char Char Char,Footnote Text MRP,Footnote Text Char1 Char Char,Footnote Text Char1 Char1,Footnote Text Char3,Footnote Text Char2 Char,ft,fn1,fn3,fn4,Footnote Text Char1"/>
    <w:basedOn w:val="Normal"/>
    <w:link w:val="FootnoteTextChar"/>
    <w:uiPriority w:val="99"/>
    <w:rsid w:val="00B01B16"/>
    <w:rPr>
      <w:sz w:val="22"/>
      <w:szCs w:val="20"/>
    </w:rPr>
  </w:style>
  <w:style w:type="character" w:customStyle="1" w:styleId="FootnoteTextChar">
    <w:name w:val="Footnote Text Char"/>
    <w:aliases w:val="fn Char,Footnote Text Char Char Char1,Footnote Text Char1 Char Char1,Footnote Text Char Char Char Char,Footnote Text MRP Char,Footnote Text Char1 Char Char Char,Footnote Text Char1 Char1 Char,Footnote Text Char3 Char,ft Char,fn1 Char"/>
    <w:basedOn w:val="DefaultParagraphFont"/>
    <w:link w:val="FootnoteText"/>
    <w:uiPriority w:val="99"/>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5D16A1"/>
    <w:rPr>
      <w:color w:val="954F72" w:themeColor="followedHyperlink"/>
      <w:u w:val="single"/>
    </w:rPr>
  </w:style>
  <w:style w:type="character" w:styleId="UnresolvedMention">
    <w:name w:val="Unresolved Mention"/>
    <w:basedOn w:val="DefaultParagraphFont"/>
    <w:uiPriority w:val="99"/>
    <w:semiHidden/>
    <w:unhideWhenUsed/>
    <w:rsid w:val="005F729D"/>
    <w:rPr>
      <w:color w:val="605E5C"/>
      <w:shd w:val="clear" w:color="auto" w:fill="E1DFDD"/>
    </w:rPr>
  </w:style>
  <w:style w:type="paragraph" w:styleId="ListParagraph">
    <w:name w:val="List Paragraph"/>
    <w:basedOn w:val="Normal"/>
    <w:uiPriority w:val="34"/>
    <w:qFormat/>
    <w:rsid w:val="00EB119D"/>
    <w:pPr>
      <w:ind w:left="720"/>
      <w:contextualSpacing/>
    </w:pPr>
  </w:style>
  <w:style w:type="table" w:customStyle="1" w:styleId="TableGrid1">
    <w:name w:val="Table Grid1"/>
    <w:basedOn w:val="TableNormal"/>
    <w:next w:val="TableGrid"/>
    <w:uiPriority w:val="39"/>
    <w:rsid w:val="00BE339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E33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191175">
      <w:bodyDiv w:val="1"/>
      <w:marLeft w:val="0"/>
      <w:marRight w:val="0"/>
      <w:marTop w:val="0"/>
      <w:marBottom w:val="0"/>
      <w:divBdr>
        <w:top w:val="none" w:sz="0" w:space="0" w:color="auto"/>
        <w:left w:val="none" w:sz="0" w:space="0" w:color="auto"/>
        <w:bottom w:val="none" w:sz="0" w:space="0" w:color="auto"/>
        <w:right w:val="none" w:sz="0" w:space="0" w:color="auto"/>
      </w:divBdr>
    </w:div>
    <w:div w:id="170293796">
      <w:bodyDiv w:val="1"/>
      <w:marLeft w:val="0"/>
      <w:marRight w:val="0"/>
      <w:marTop w:val="0"/>
      <w:marBottom w:val="0"/>
      <w:divBdr>
        <w:top w:val="none" w:sz="0" w:space="0" w:color="auto"/>
        <w:left w:val="none" w:sz="0" w:space="0" w:color="auto"/>
        <w:bottom w:val="none" w:sz="0" w:space="0" w:color="auto"/>
        <w:right w:val="none" w:sz="0" w:space="0" w:color="auto"/>
      </w:divBdr>
    </w:div>
    <w:div w:id="251165813">
      <w:bodyDiv w:val="1"/>
      <w:marLeft w:val="0"/>
      <w:marRight w:val="0"/>
      <w:marTop w:val="0"/>
      <w:marBottom w:val="0"/>
      <w:divBdr>
        <w:top w:val="none" w:sz="0" w:space="0" w:color="auto"/>
        <w:left w:val="none" w:sz="0" w:space="0" w:color="auto"/>
        <w:bottom w:val="none" w:sz="0" w:space="0" w:color="auto"/>
        <w:right w:val="none" w:sz="0" w:space="0" w:color="auto"/>
      </w:divBdr>
    </w:div>
    <w:div w:id="538980040">
      <w:bodyDiv w:val="1"/>
      <w:marLeft w:val="0"/>
      <w:marRight w:val="0"/>
      <w:marTop w:val="0"/>
      <w:marBottom w:val="0"/>
      <w:divBdr>
        <w:top w:val="none" w:sz="0" w:space="0" w:color="auto"/>
        <w:left w:val="none" w:sz="0" w:space="0" w:color="auto"/>
        <w:bottom w:val="none" w:sz="0" w:space="0" w:color="auto"/>
        <w:right w:val="none" w:sz="0" w:space="0" w:color="auto"/>
      </w:divBdr>
    </w:div>
    <w:div w:id="703942100">
      <w:bodyDiv w:val="1"/>
      <w:marLeft w:val="0"/>
      <w:marRight w:val="0"/>
      <w:marTop w:val="0"/>
      <w:marBottom w:val="0"/>
      <w:divBdr>
        <w:top w:val="none" w:sz="0" w:space="0" w:color="auto"/>
        <w:left w:val="none" w:sz="0" w:space="0" w:color="auto"/>
        <w:bottom w:val="none" w:sz="0" w:space="0" w:color="auto"/>
        <w:right w:val="none" w:sz="0" w:space="0" w:color="auto"/>
      </w:divBdr>
    </w:div>
    <w:div w:id="816192080">
      <w:bodyDiv w:val="1"/>
      <w:marLeft w:val="0"/>
      <w:marRight w:val="0"/>
      <w:marTop w:val="0"/>
      <w:marBottom w:val="0"/>
      <w:divBdr>
        <w:top w:val="none" w:sz="0" w:space="0" w:color="auto"/>
        <w:left w:val="none" w:sz="0" w:space="0" w:color="auto"/>
        <w:bottom w:val="none" w:sz="0" w:space="0" w:color="auto"/>
        <w:right w:val="none" w:sz="0" w:space="0" w:color="auto"/>
      </w:divBdr>
    </w:div>
    <w:div w:id="854540906">
      <w:bodyDiv w:val="1"/>
      <w:marLeft w:val="0"/>
      <w:marRight w:val="0"/>
      <w:marTop w:val="0"/>
      <w:marBottom w:val="0"/>
      <w:divBdr>
        <w:top w:val="none" w:sz="0" w:space="0" w:color="auto"/>
        <w:left w:val="none" w:sz="0" w:space="0" w:color="auto"/>
        <w:bottom w:val="none" w:sz="0" w:space="0" w:color="auto"/>
        <w:right w:val="none" w:sz="0" w:space="0" w:color="auto"/>
      </w:divBdr>
      <w:divsChild>
        <w:div w:id="888078948">
          <w:marLeft w:val="0"/>
          <w:marRight w:val="0"/>
          <w:marTop w:val="0"/>
          <w:marBottom w:val="0"/>
          <w:divBdr>
            <w:top w:val="none" w:sz="0" w:space="0" w:color="auto"/>
            <w:left w:val="none" w:sz="0" w:space="0" w:color="auto"/>
            <w:bottom w:val="none" w:sz="0" w:space="0" w:color="auto"/>
            <w:right w:val="none" w:sz="0" w:space="0" w:color="auto"/>
          </w:divBdr>
          <w:divsChild>
            <w:div w:id="683243073">
              <w:marLeft w:val="0"/>
              <w:marRight w:val="0"/>
              <w:marTop w:val="0"/>
              <w:marBottom w:val="0"/>
              <w:divBdr>
                <w:top w:val="none" w:sz="0" w:space="0" w:color="auto"/>
                <w:left w:val="none" w:sz="0" w:space="0" w:color="auto"/>
                <w:bottom w:val="none" w:sz="0" w:space="0" w:color="auto"/>
                <w:right w:val="none" w:sz="0" w:space="0" w:color="auto"/>
              </w:divBdr>
              <w:divsChild>
                <w:div w:id="1901355940">
                  <w:marLeft w:val="0"/>
                  <w:marRight w:val="0"/>
                  <w:marTop w:val="0"/>
                  <w:marBottom w:val="0"/>
                  <w:divBdr>
                    <w:top w:val="none" w:sz="0" w:space="0" w:color="auto"/>
                    <w:left w:val="none" w:sz="0" w:space="0" w:color="auto"/>
                    <w:bottom w:val="none" w:sz="0" w:space="0" w:color="auto"/>
                    <w:right w:val="none" w:sz="0" w:space="0" w:color="auto"/>
                  </w:divBdr>
                  <w:divsChild>
                    <w:div w:id="2142768599">
                      <w:marLeft w:val="0"/>
                      <w:marRight w:val="0"/>
                      <w:marTop w:val="0"/>
                      <w:marBottom w:val="0"/>
                      <w:divBdr>
                        <w:top w:val="none" w:sz="0" w:space="0" w:color="auto"/>
                        <w:left w:val="none" w:sz="0" w:space="0" w:color="auto"/>
                        <w:bottom w:val="none" w:sz="0" w:space="0" w:color="auto"/>
                        <w:right w:val="none" w:sz="0" w:space="0" w:color="auto"/>
                      </w:divBdr>
                      <w:divsChild>
                        <w:div w:id="596445815">
                          <w:marLeft w:val="0"/>
                          <w:marRight w:val="0"/>
                          <w:marTop w:val="0"/>
                          <w:marBottom w:val="0"/>
                          <w:divBdr>
                            <w:top w:val="none" w:sz="0" w:space="0" w:color="auto"/>
                            <w:left w:val="none" w:sz="0" w:space="0" w:color="auto"/>
                            <w:bottom w:val="none" w:sz="0" w:space="0" w:color="auto"/>
                            <w:right w:val="none" w:sz="0" w:space="0" w:color="auto"/>
                          </w:divBdr>
                          <w:divsChild>
                            <w:div w:id="1904296979">
                              <w:marLeft w:val="15"/>
                              <w:marRight w:val="195"/>
                              <w:marTop w:val="0"/>
                              <w:marBottom w:val="0"/>
                              <w:divBdr>
                                <w:top w:val="none" w:sz="0" w:space="0" w:color="auto"/>
                                <w:left w:val="none" w:sz="0" w:space="0" w:color="auto"/>
                                <w:bottom w:val="none" w:sz="0" w:space="0" w:color="auto"/>
                                <w:right w:val="none" w:sz="0" w:space="0" w:color="auto"/>
                              </w:divBdr>
                              <w:divsChild>
                                <w:div w:id="1027826855">
                                  <w:marLeft w:val="0"/>
                                  <w:marRight w:val="0"/>
                                  <w:marTop w:val="0"/>
                                  <w:marBottom w:val="0"/>
                                  <w:divBdr>
                                    <w:top w:val="none" w:sz="0" w:space="0" w:color="auto"/>
                                    <w:left w:val="none" w:sz="0" w:space="0" w:color="auto"/>
                                    <w:bottom w:val="none" w:sz="0" w:space="0" w:color="auto"/>
                                    <w:right w:val="none" w:sz="0" w:space="0" w:color="auto"/>
                                  </w:divBdr>
                                  <w:divsChild>
                                    <w:div w:id="616179453">
                                      <w:marLeft w:val="0"/>
                                      <w:marRight w:val="0"/>
                                      <w:marTop w:val="0"/>
                                      <w:marBottom w:val="0"/>
                                      <w:divBdr>
                                        <w:top w:val="none" w:sz="0" w:space="0" w:color="auto"/>
                                        <w:left w:val="none" w:sz="0" w:space="0" w:color="auto"/>
                                        <w:bottom w:val="none" w:sz="0" w:space="0" w:color="auto"/>
                                        <w:right w:val="none" w:sz="0" w:space="0" w:color="auto"/>
                                      </w:divBdr>
                                      <w:divsChild>
                                        <w:div w:id="1514804026">
                                          <w:marLeft w:val="0"/>
                                          <w:marRight w:val="0"/>
                                          <w:marTop w:val="0"/>
                                          <w:marBottom w:val="0"/>
                                          <w:divBdr>
                                            <w:top w:val="none" w:sz="0" w:space="0" w:color="auto"/>
                                            <w:left w:val="none" w:sz="0" w:space="0" w:color="auto"/>
                                            <w:bottom w:val="none" w:sz="0" w:space="0" w:color="auto"/>
                                            <w:right w:val="none" w:sz="0" w:space="0" w:color="auto"/>
                                          </w:divBdr>
                                          <w:divsChild>
                                            <w:div w:id="173955708">
                                              <w:marLeft w:val="0"/>
                                              <w:marRight w:val="0"/>
                                              <w:marTop w:val="0"/>
                                              <w:marBottom w:val="0"/>
                                              <w:divBdr>
                                                <w:top w:val="none" w:sz="0" w:space="0" w:color="auto"/>
                                                <w:left w:val="none" w:sz="0" w:space="0" w:color="auto"/>
                                                <w:bottom w:val="none" w:sz="0" w:space="0" w:color="auto"/>
                                                <w:right w:val="none" w:sz="0" w:space="0" w:color="auto"/>
                                              </w:divBdr>
                                              <w:divsChild>
                                                <w:div w:id="1053695699">
                                                  <w:marLeft w:val="0"/>
                                                  <w:marRight w:val="0"/>
                                                  <w:marTop w:val="0"/>
                                                  <w:marBottom w:val="0"/>
                                                  <w:divBdr>
                                                    <w:top w:val="none" w:sz="0" w:space="0" w:color="auto"/>
                                                    <w:left w:val="none" w:sz="0" w:space="0" w:color="auto"/>
                                                    <w:bottom w:val="none" w:sz="0" w:space="0" w:color="auto"/>
                                                    <w:right w:val="none" w:sz="0" w:space="0" w:color="auto"/>
                                                  </w:divBdr>
                                                  <w:divsChild>
                                                    <w:div w:id="1400205535">
                                                      <w:marLeft w:val="0"/>
                                                      <w:marRight w:val="0"/>
                                                      <w:marTop w:val="0"/>
                                                      <w:marBottom w:val="0"/>
                                                      <w:divBdr>
                                                        <w:top w:val="none" w:sz="0" w:space="0" w:color="auto"/>
                                                        <w:left w:val="none" w:sz="0" w:space="0" w:color="auto"/>
                                                        <w:bottom w:val="none" w:sz="0" w:space="0" w:color="auto"/>
                                                        <w:right w:val="none" w:sz="0" w:space="0" w:color="auto"/>
                                                      </w:divBdr>
                                                      <w:divsChild>
                                                        <w:div w:id="1380084098">
                                                          <w:marLeft w:val="0"/>
                                                          <w:marRight w:val="0"/>
                                                          <w:marTop w:val="0"/>
                                                          <w:marBottom w:val="0"/>
                                                          <w:divBdr>
                                                            <w:top w:val="none" w:sz="0" w:space="0" w:color="auto"/>
                                                            <w:left w:val="none" w:sz="0" w:space="0" w:color="auto"/>
                                                            <w:bottom w:val="none" w:sz="0" w:space="0" w:color="auto"/>
                                                            <w:right w:val="none" w:sz="0" w:space="0" w:color="auto"/>
                                                          </w:divBdr>
                                                          <w:divsChild>
                                                            <w:div w:id="1177427115">
                                                              <w:marLeft w:val="0"/>
                                                              <w:marRight w:val="0"/>
                                                              <w:marTop w:val="0"/>
                                                              <w:marBottom w:val="0"/>
                                                              <w:divBdr>
                                                                <w:top w:val="none" w:sz="0" w:space="0" w:color="auto"/>
                                                                <w:left w:val="none" w:sz="0" w:space="0" w:color="auto"/>
                                                                <w:bottom w:val="none" w:sz="0" w:space="0" w:color="auto"/>
                                                                <w:right w:val="none" w:sz="0" w:space="0" w:color="auto"/>
                                                              </w:divBdr>
                                                              <w:divsChild>
                                                                <w:div w:id="1210843461">
                                                                  <w:marLeft w:val="0"/>
                                                                  <w:marRight w:val="0"/>
                                                                  <w:marTop w:val="735"/>
                                                                  <w:marBottom w:val="0"/>
                                                                  <w:divBdr>
                                                                    <w:top w:val="none" w:sz="0" w:space="0" w:color="auto"/>
                                                                    <w:left w:val="none" w:sz="0" w:space="0" w:color="auto"/>
                                                                    <w:bottom w:val="none" w:sz="0" w:space="0" w:color="auto"/>
                                                                    <w:right w:val="none" w:sz="0" w:space="0" w:color="auto"/>
                                                                  </w:divBdr>
                                                                  <w:divsChild>
                                                                    <w:div w:id="1192954355">
                                                                      <w:marLeft w:val="450"/>
                                                                      <w:marRight w:val="450"/>
                                                                      <w:marTop w:val="0"/>
                                                                      <w:marBottom w:val="0"/>
                                                                      <w:divBdr>
                                                                        <w:top w:val="none" w:sz="0" w:space="0" w:color="auto"/>
                                                                        <w:left w:val="none" w:sz="0" w:space="0" w:color="auto"/>
                                                                        <w:bottom w:val="none" w:sz="0" w:space="0" w:color="auto"/>
                                                                        <w:right w:val="none" w:sz="0" w:space="0" w:color="auto"/>
                                                                      </w:divBdr>
                                                                      <w:divsChild>
                                                                        <w:div w:id="498467825">
                                                                          <w:marLeft w:val="0"/>
                                                                          <w:marRight w:val="45"/>
                                                                          <w:marTop w:val="45"/>
                                                                          <w:marBottom w:val="0"/>
                                                                          <w:divBdr>
                                                                            <w:top w:val="none" w:sz="0" w:space="0" w:color="auto"/>
                                                                            <w:left w:val="none" w:sz="0" w:space="0" w:color="auto"/>
                                                                            <w:bottom w:val="none" w:sz="0" w:space="0" w:color="auto"/>
                                                                            <w:right w:val="none" w:sz="0" w:space="0" w:color="auto"/>
                                                                          </w:divBdr>
                                                                          <w:divsChild>
                                                                            <w:div w:id="141778748">
                                                                              <w:marLeft w:val="0"/>
                                                                              <w:marRight w:val="0"/>
                                                                              <w:marTop w:val="0"/>
                                                                              <w:marBottom w:val="0"/>
                                                                              <w:divBdr>
                                                                                <w:top w:val="none" w:sz="0" w:space="0" w:color="auto"/>
                                                                                <w:left w:val="none" w:sz="0" w:space="0" w:color="auto"/>
                                                                                <w:bottom w:val="none" w:sz="0" w:space="0" w:color="auto"/>
                                                                                <w:right w:val="none" w:sz="0" w:space="0" w:color="auto"/>
                                                                              </w:divBdr>
                                                                              <w:divsChild>
                                                                                <w:div w:id="1805806977">
                                                                                  <w:marLeft w:val="0"/>
                                                                                  <w:marRight w:val="0"/>
                                                                                  <w:marTop w:val="0"/>
                                                                                  <w:marBottom w:val="0"/>
                                                                                  <w:divBdr>
                                                                                    <w:top w:val="none" w:sz="0" w:space="0" w:color="auto"/>
                                                                                    <w:left w:val="none" w:sz="0" w:space="0" w:color="auto"/>
                                                                                    <w:bottom w:val="none" w:sz="0" w:space="0" w:color="auto"/>
                                                                                    <w:right w:val="none" w:sz="0" w:space="0" w:color="auto"/>
                                                                                  </w:divBdr>
                                                                                  <w:divsChild>
                                                                                    <w:div w:id="530922456">
                                                                                      <w:marLeft w:val="0"/>
                                                                                      <w:marRight w:val="0"/>
                                                                                      <w:marTop w:val="0"/>
                                                                                      <w:marBottom w:val="0"/>
                                                                                      <w:divBdr>
                                                                                        <w:top w:val="none" w:sz="0" w:space="0" w:color="auto"/>
                                                                                        <w:left w:val="single" w:sz="6" w:space="0" w:color="auto"/>
                                                                                        <w:bottom w:val="none" w:sz="0" w:space="0" w:color="auto"/>
                                                                                        <w:right w:val="single" w:sz="6" w:space="0" w:color="auto"/>
                                                                                      </w:divBdr>
                                                                                      <w:divsChild>
                                                                                        <w:div w:id="793523905">
                                                                                          <w:marLeft w:val="150"/>
                                                                                          <w:marRight w:val="150"/>
                                                                                          <w:marTop w:val="0"/>
                                                                                          <w:marBottom w:val="0"/>
                                                                                          <w:divBdr>
                                                                                            <w:top w:val="none" w:sz="0" w:space="0" w:color="auto"/>
                                                                                            <w:left w:val="none" w:sz="0" w:space="0" w:color="auto"/>
                                                                                            <w:bottom w:val="none" w:sz="0" w:space="0" w:color="auto"/>
                                                                                            <w:right w:val="none" w:sz="0" w:space="0" w:color="auto"/>
                                                                                          </w:divBdr>
                                                                                          <w:divsChild>
                                                                                            <w:div w:id="1980111174">
                                                                                              <w:marLeft w:val="0"/>
                                                                                              <w:marRight w:val="0"/>
                                                                                              <w:marTop w:val="0"/>
                                                                                              <w:marBottom w:val="0"/>
                                                                                              <w:divBdr>
                                                                                                <w:top w:val="none" w:sz="0" w:space="0" w:color="auto"/>
                                                                                                <w:left w:val="none" w:sz="0" w:space="0" w:color="auto"/>
                                                                                                <w:bottom w:val="none" w:sz="0" w:space="0" w:color="auto"/>
                                                                                                <w:right w:val="none" w:sz="0" w:space="0" w:color="auto"/>
                                                                                              </w:divBdr>
                                                                                              <w:divsChild>
                                                                                                <w:div w:id="326398230">
                                                                                                  <w:marLeft w:val="0"/>
                                                                                                  <w:marRight w:val="0"/>
                                                                                                  <w:marTop w:val="0"/>
                                                                                                  <w:marBottom w:val="0"/>
                                                                                                  <w:divBdr>
                                                                                                    <w:top w:val="none" w:sz="0" w:space="0" w:color="auto"/>
                                                                                                    <w:left w:val="none" w:sz="0" w:space="0" w:color="auto"/>
                                                                                                    <w:bottom w:val="none" w:sz="0" w:space="0" w:color="auto"/>
                                                                                                    <w:right w:val="none" w:sz="0" w:space="0" w:color="auto"/>
                                                                                                  </w:divBdr>
                                                                                                  <w:divsChild>
                                                                                                    <w:div w:id="164899196">
                                                                                                      <w:marLeft w:val="0"/>
                                                                                                      <w:marRight w:val="0"/>
                                                                                                      <w:marTop w:val="0"/>
                                                                                                      <w:marBottom w:val="0"/>
                                                                                                      <w:divBdr>
                                                                                                        <w:top w:val="none" w:sz="0" w:space="0" w:color="auto"/>
                                                                                                        <w:left w:val="none" w:sz="0" w:space="0" w:color="auto"/>
                                                                                                        <w:bottom w:val="none" w:sz="0" w:space="0" w:color="auto"/>
                                                                                                        <w:right w:val="none" w:sz="0" w:space="0" w:color="auto"/>
                                                                                                      </w:divBdr>
                                                                                                      <w:divsChild>
                                                                                                        <w:div w:id="1181892032">
                                                                                                          <w:marLeft w:val="0"/>
                                                                                                          <w:marRight w:val="0"/>
                                                                                                          <w:marTop w:val="0"/>
                                                                                                          <w:marBottom w:val="0"/>
                                                                                                          <w:divBdr>
                                                                                                            <w:top w:val="none" w:sz="0" w:space="0" w:color="auto"/>
                                                                                                            <w:left w:val="none" w:sz="0" w:space="0" w:color="auto"/>
                                                                                                            <w:bottom w:val="none" w:sz="0" w:space="0" w:color="auto"/>
                                                                                                            <w:right w:val="none" w:sz="0" w:space="0" w:color="auto"/>
                                                                                                          </w:divBdr>
                                                                                                          <w:divsChild>
                                                                                                            <w:div w:id="621378941">
                                                                                                              <w:marLeft w:val="0"/>
                                                                                                              <w:marRight w:val="0"/>
                                                                                                              <w:marTop w:val="0"/>
                                                                                                              <w:marBottom w:val="0"/>
                                                                                                              <w:divBdr>
                                                                                                                <w:top w:val="none" w:sz="0" w:space="0" w:color="auto"/>
                                                                                                                <w:left w:val="none" w:sz="0" w:space="0" w:color="auto"/>
                                                                                                                <w:bottom w:val="none" w:sz="0" w:space="0" w:color="auto"/>
                                                                                                                <w:right w:val="none" w:sz="0" w:space="0" w:color="auto"/>
                                                                                                              </w:divBdr>
                                                                                                              <w:divsChild>
                                                                                                                <w:div w:id="168625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6901589">
      <w:bodyDiv w:val="1"/>
      <w:marLeft w:val="0"/>
      <w:marRight w:val="0"/>
      <w:marTop w:val="0"/>
      <w:marBottom w:val="0"/>
      <w:divBdr>
        <w:top w:val="none" w:sz="0" w:space="0" w:color="auto"/>
        <w:left w:val="none" w:sz="0" w:space="0" w:color="auto"/>
        <w:bottom w:val="none" w:sz="0" w:space="0" w:color="auto"/>
        <w:right w:val="none" w:sz="0" w:space="0" w:color="auto"/>
      </w:divBdr>
    </w:div>
    <w:div w:id="1736390529">
      <w:bodyDiv w:val="1"/>
      <w:marLeft w:val="0"/>
      <w:marRight w:val="0"/>
      <w:marTop w:val="0"/>
      <w:marBottom w:val="0"/>
      <w:divBdr>
        <w:top w:val="none" w:sz="0" w:space="0" w:color="auto"/>
        <w:left w:val="none" w:sz="0" w:space="0" w:color="auto"/>
        <w:bottom w:val="none" w:sz="0" w:space="0" w:color="auto"/>
        <w:right w:val="none" w:sz="0" w:space="0" w:color="auto"/>
      </w:divBdr>
    </w:div>
    <w:div w:id="1737705732">
      <w:bodyDiv w:val="1"/>
      <w:marLeft w:val="0"/>
      <w:marRight w:val="0"/>
      <w:marTop w:val="0"/>
      <w:marBottom w:val="0"/>
      <w:divBdr>
        <w:top w:val="none" w:sz="0" w:space="0" w:color="auto"/>
        <w:left w:val="none" w:sz="0" w:space="0" w:color="auto"/>
        <w:bottom w:val="none" w:sz="0" w:space="0" w:color="auto"/>
        <w:right w:val="none" w:sz="0" w:space="0" w:color="auto"/>
      </w:divBdr>
      <w:divsChild>
        <w:div w:id="1364595459">
          <w:marLeft w:val="0"/>
          <w:marRight w:val="0"/>
          <w:marTop w:val="0"/>
          <w:marBottom w:val="0"/>
          <w:divBdr>
            <w:top w:val="none" w:sz="0" w:space="0" w:color="auto"/>
            <w:left w:val="none" w:sz="0" w:space="0" w:color="auto"/>
            <w:bottom w:val="none" w:sz="0" w:space="0" w:color="auto"/>
            <w:right w:val="none" w:sz="0" w:space="0" w:color="auto"/>
          </w:divBdr>
          <w:divsChild>
            <w:div w:id="641427155">
              <w:marLeft w:val="0"/>
              <w:marRight w:val="0"/>
              <w:marTop w:val="0"/>
              <w:marBottom w:val="0"/>
              <w:divBdr>
                <w:top w:val="none" w:sz="0" w:space="0" w:color="auto"/>
                <w:left w:val="none" w:sz="0" w:space="0" w:color="auto"/>
                <w:bottom w:val="none" w:sz="0" w:space="0" w:color="auto"/>
                <w:right w:val="none" w:sz="0" w:space="0" w:color="auto"/>
              </w:divBdr>
              <w:divsChild>
                <w:div w:id="1405451567">
                  <w:marLeft w:val="0"/>
                  <w:marRight w:val="0"/>
                  <w:marTop w:val="0"/>
                  <w:marBottom w:val="0"/>
                  <w:divBdr>
                    <w:top w:val="none" w:sz="0" w:space="0" w:color="auto"/>
                    <w:left w:val="none" w:sz="0" w:space="0" w:color="auto"/>
                    <w:bottom w:val="none" w:sz="0" w:space="0" w:color="auto"/>
                    <w:right w:val="none" w:sz="0" w:space="0" w:color="auto"/>
                  </w:divBdr>
                  <w:divsChild>
                    <w:div w:id="224075450">
                      <w:marLeft w:val="0"/>
                      <w:marRight w:val="0"/>
                      <w:marTop w:val="0"/>
                      <w:marBottom w:val="0"/>
                      <w:divBdr>
                        <w:top w:val="none" w:sz="0" w:space="0" w:color="auto"/>
                        <w:left w:val="none" w:sz="0" w:space="0" w:color="auto"/>
                        <w:bottom w:val="none" w:sz="0" w:space="0" w:color="auto"/>
                        <w:right w:val="none" w:sz="0" w:space="0" w:color="auto"/>
                      </w:divBdr>
                      <w:divsChild>
                        <w:div w:id="1220286853">
                          <w:marLeft w:val="0"/>
                          <w:marRight w:val="0"/>
                          <w:marTop w:val="0"/>
                          <w:marBottom w:val="0"/>
                          <w:divBdr>
                            <w:top w:val="none" w:sz="0" w:space="0" w:color="auto"/>
                            <w:left w:val="none" w:sz="0" w:space="0" w:color="auto"/>
                            <w:bottom w:val="none" w:sz="0" w:space="0" w:color="auto"/>
                            <w:right w:val="none" w:sz="0" w:space="0" w:color="auto"/>
                          </w:divBdr>
                          <w:divsChild>
                            <w:div w:id="115563642">
                              <w:marLeft w:val="15"/>
                              <w:marRight w:val="195"/>
                              <w:marTop w:val="0"/>
                              <w:marBottom w:val="0"/>
                              <w:divBdr>
                                <w:top w:val="none" w:sz="0" w:space="0" w:color="auto"/>
                                <w:left w:val="none" w:sz="0" w:space="0" w:color="auto"/>
                                <w:bottom w:val="none" w:sz="0" w:space="0" w:color="auto"/>
                                <w:right w:val="none" w:sz="0" w:space="0" w:color="auto"/>
                              </w:divBdr>
                              <w:divsChild>
                                <w:div w:id="1416635902">
                                  <w:marLeft w:val="0"/>
                                  <w:marRight w:val="0"/>
                                  <w:marTop w:val="0"/>
                                  <w:marBottom w:val="0"/>
                                  <w:divBdr>
                                    <w:top w:val="none" w:sz="0" w:space="0" w:color="auto"/>
                                    <w:left w:val="none" w:sz="0" w:space="0" w:color="auto"/>
                                    <w:bottom w:val="none" w:sz="0" w:space="0" w:color="auto"/>
                                    <w:right w:val="none" w:sz="0" w:space="0" w:color="auto"/>
                                  </w:divBdr>
                                  <w:divsChild>
                                    <w:div w:id="1190417563">
                                      <w:marLeft w:val="0"/>
                                      <w:marRight w:val="0"/>
                                      <w:marTop w:val="0"/>
                                      <w:marBottom w:val="0"/>
                                      <w:divBdr>
                                        <w:top w:val="none" w:sz="0" w:space="0" w:color="auto"/>
                                        <w:left w:val="none" w:sz="0" w:space="0" w:color="auto"/>
                                        <w:bottom w:val="none" w:sz="0" w:space="0" w:color="auto"/>
                                        <w:right w:val="none" w:sz="0" w:space="0" w:color="auto"/>
                                      </w:divBdr>
                                      <w:divsChild>
                                        <w:div w:id="1499690524">
                                          <w:marLeft w:val="0"/>
                                          <w:marRight w:val="0"/>
                                          <w:marTop w:val="0"/>
                                          <w:marBottom w:val="0"/>
                                          <w:divBdr>
                                            <w:top w:val="none" w:sz="0" w:space="0" w:color="auto"/>
                                            <w:left w:val="none" w:sz="0" w:space="0" w:color="auto"/>
                                            <w:bottom w:val="none" w:sz="0" w:space="0" w:color="auto"/>
                                            <w:right w:val="none" w:sz="0" w:space="0" w:color="auto"/>
                                          </w:divBdr>
                                          <w:divsChild>
                                            <w:div w:id="1460758261">
                                              <w:marLeft w:val="0"/>
                                              <w:marRight w:val="0"/>
                                              <w:marTop w:val="0"/>
                                              <w:marBottom w:val="0"/>
                                              <w:divBdr>
                                                <w:top w:val="none" w:sz="0" w:space="0" w:color="auto"/>
                                                <w:left w:val="none" w:sz="0" w:space="0" w:color="auto"/>
                                                <w:bottom w:val="none" w:sz="0" w:space="0" w:color="auto"/>
                                                <w:right w:val="none" w:sz="0" w:space="0" w:color="auto"/>
                                              </w:divBdr>
                                              <w:divsChild>
                                                <w:div w:id="2064404037">
                                                  <w:marLeft w:val="0"/>
                                                  <w:marRight w:val="0"/>
                                                  <w:marTop w:val="0"/>
                                                  <w:marBottom w:val="0"/>
                                                  <w:divBdr>
                                                    <w:top w:val="none" w:sz="0" w:space="0" w:color="auto"/>
                                                    <w:left w:val="none" w:sz="0" w:space="0" w:color="auto"/>
                                                    <w:bottom w:val="none" w:sz="0" w:space="0" w:color="auto"/>
                                                    <w:right w:val="none" w:sz="0" w:space="0" w:color="auto"/>
                                                  </w:divBdr>
                                                  <w:divsChild>
                                                    <w:div w:id="773406010">
                                                      <w:marLeft w:val="0"/>
                                                      <w:marRight w:val="0"/>
                                                      <w:marTop w:val="0"/>
                                                      <w:marBottom w:val="0"/>
                                                      <w:divBdr>
                                                        <w:top w:val="none" w:sz="0" w:space="0" w:color="auto"/>
                                                        <w:left w:val="none" w:sz="0" w:space="0" w:color="auto"/>
                                                        <w:bottom w:val="none" w:sz="0" w:space="0" w:color="auto"/>
                                                        <w:right w:val="none" w:sz="0" w:space="0" w:color="auto"/>
                                                      </w:divBdr>
                                                      <w:divsChild>
                                                        <w:div w:id="62459796">
                                                          <w:marLeft w:val="0"/>
                                                          <w:marRight w:val="0"/>
                                                          <w:marTop w:val="0"/>
                                                          <w:marBottom w:val="0"/>
                                                          <w:divBdr>
                                                            <w:top w:val="none" w:sz="0" w:space="0" w:color="auto"/>
                                                            <w:left w:val="none" w:sz="0" w:space="0" w:color="auto"/>
                                                            <w:bottom w:val="none" w:sz="0" w:space="0" w:color="auto"/>
                                                            <w:right w:val="none" w:sz="0" w:space="0" w:color="auto"/>
                                                          </w:divBdr>
                                                          <w:divsChild>
                                                            <w:div w:id="711349597">
                                                              <w:marLeft w:val="0"/>
                                                              <w:marRight w:val="0"/>
                                                              <w:marTop w:val="0"/>
                                                              <w:marBottom w:val="0"/>
                                                              <w:divBdr>
                                                                <w:top w:val="none" w:sz="0" w:space="0" w:color="auto"/>
                                                                <w:left w:val="none" w:sz="0" w:space="0" w:color="auto"/>
                                                                <w:bottom w:val="none" w:sz="0" w:space="0" w:color="auto"/>
                                                                <w:right w:val="none" w:sz="0" w:space="0" w:color="auto"/>
                                                              </w:divBdr>
                                                              <w:divsChild>
                                                                <w:div w:id="263343641">
                                                                  <w:marLeft w:val="0"/>
                                                                  <w:marRight w:val="0"/>
                                                                  <w:marTop w:val="735"/>
                                                                  <w:marBottom w:val="0"/>
                                                                  <w:divBdr>
                                                                    <w:top w:val="none" w:sz="0" w:space="0" w:color="auto"/>
                                                                    <w:left w:val="none" w:sz="0" w:space="0" w:color="auto"/>
                                                                    <w:bottom w:val="none" w:sz="0" w:space="0" w:color="auto"/>
                                                                    <w:right w:val="none" w:sz="0" w:space="0" w:color="auto"/>
                                                                  </w:divBdr>
                                                                  <w:divsChild>
                                                                    <w:div w:id="1142112734">
                                                                      <w:marLeft w:val="450"/>
                                                                      <w:marRight w:val="450"/>
                                                                      <w:marTop w:val="0"/>
                                                                      <w:marBottom w:val="0"/>
                                                                      <w:divBdr>
                                                                        <w:top w:val="none" w:sz="0" w:space="0" w:color="auto"/>
                                                                        <w:left w:val="none" w:sz="0" w:space="0" w:color="auto"/>
                                                                        <w:bottom w:val="none" w:sz="0" w:space="0" w:color="auto"/>
                                                                        <w:right w:val="none" w:sz="0" w:space="0" w:color="auto"/>
                                                                      </w:divBdr>
                                                                      <w:divsChild>
                                                                        <w:div w:id="92436834">
                                                                          <w:marLeft w:val="0"/>
                                                                          <w:marRight w:val="45"/>
                                                                          <w:marTop w:val="45"/>
                                                                          <w:marBottom w:val="0"/>
                                                                          <w:divBdr>
                                                                            <w:top w:val="none" w:sz="0" w:space="0" w:color="auto"/>
                                                                            <w:left w:val="none" w:sz="0" w:space="0" w:color="auto"/>
                                                                            <w:bottom w:val="none" w:sz="0" w:space="0" w:color="auto"/>
                                                                            <w:right w:val="none" w:sz="0" w:space="0" w:color="auto"/>
                                                                          </w:divBdr>
                                                                          <w:divsChild>
                                                                            <w:div w:id="307706794">
                                                                              <w:marLeft w:val="0"/>
                                                                              <w:marRight w:val="0"/>
                                                                              <w:marTop w:val="0"/>
                                                                              <w:marBottom w:val="0"/>
                                                                              <w:divBdr>
                                                                                <w:top w:val="none" w:sz="0" w:space="0" w:color="auto"/>
                                                                                <w:left w:val="none" w:sz="0" w:space="0" w:color="auto"/>
                                                                                <w:bottom w:val="none" w:sz="0" w:space="0" w:color="auto"/>
                                                                                <w:right w:val="none" w:sz="0" w:space="0" w:color="auto"/>
                                                                              </w:divBdr>
                                                                              <w:divsChild>
                                                                                <w:div w:id="251166209">
                                                                                  <w:marLeft w:val="0"/>
                                                                                  <w:marRight w:val="0"/>
                                                                                  <w:marTop w:val="0"/>
                                                                                  <w:marBottom w:val="0"/>
                                                                                  <w:divBdr>
                                                                                    <w:top w:val="none" w:sz="0" w:space="0" w:color="auto"/>
                                                                                    <w:left w:val="none" w:sz="0" w:space="0" w:color="auto"/>
                                                                                    <w:bottom w:val="none" w:sz="0" w:space="0" w:color="auto"/>
                                                                                    <w:right w:val="none" w:sz="0" w:space="0" w:color="auto"/>
                                                                                  </w:divBdr>
                                                                                  <w:divsChild>
                                                                                    <w:div w:id="98453119">
                                                                                      <w:marLeft w:val="0"/>
                                                                                      <w:marRight w:val="0"/>
                                                                                      <w:marTop w:val="0"/>
                                                                                      <w:marBottom w:val="0"/>
                                                                                      <w:divBdr>
                                                                                        <w:top w:val="none" w:sz="0" w:space="0" w:color="auto"/>
                                                                                        <w:left w:val="single" w:sz="6" w:space="0" w:color="auto"/>
                                                                                        <w:bottom w:val="none" w:sz="0" w:space="0" w:color="auto"/>
                                                                                        <w:right w:val="single" w:sz="6" w:space="0" w:color="auto"/>
                                                                                      </w:divBdr>
                                                                                      <w:divsChild>
                                                                                        <w:div w:id="447119339">
                                                                                          <w:marLeft w:val="150"/>
                                                                                          <w:marRight w:val="150"/>
                                                                                          <w:marTop w:val="0"/>
                                                                                          <w:marBottom w:val="0"/>
                                                                                          <w:divBdr>
                                                                                            <w:top w:val="none" w:sz="0" w:space="0" w:color="auto"/>
                                                                                            <w:left w:val="none" w:sz="0" w:space="0" w:color="auto"/>
                                                                                            <w:bottom w:val="none" w:sz="0" w:space="0" w:color="auto"/>
                                                                                            <w:right w:val="none" w:sz="0" w:space="0" w:color="auto"/>
                                                                                          </w:divBdr>
                                                                                          <w:divsChild>
                                                                                            <w:div w:id="1399665755">
                                                                                              <w:marLeft w:val="0"/>
                                                                                              <w:marRight w:val="0"/>
                                                                                              <w:marTop w:val="0"/>
                                                                                              <w:marBottom w:val="0"/>
                                                                                              <w:divBdr>
                                                                                                <w:top w:val="none" w:sz="0" w:space="0" w:color="auto"/>
                                                                                                <w:left w:val="none" w:sz="0" w:space="0" w:color="auto"/>
                                                                                                <w:bottom w:val="none" w:sz="0" w:space="0" w:color="auto"/>
                                                                                                <w:right w:val="none" w:sz="0" w:space="0" w:color="auto"/>
                                                                                              </w:divBdr>
                                                                                              <w:divsChild>
                                                                                                <w:div w:id="455023390">
                                                                                                  <w:marLeft w:val="0"/>
                                                                                                  <w:marRight w:val="0"/>
                                                                                                  <w:marTop w:val="0"/>
                                                                                                  <w:marBottom w:val="0"/>
                                                                                                  <w:divBdr>
                                                                                                    <w:top w:val="none" w:sz="0" w:space="0" w:color="auto"/>
                                                                                                    <w:left w:val="none" w:sz="0" w:space="0" w:color="auto"/>
                                                                                                    <w:bottom w:val="none" w:sz="0" w:space="0" w:color="auto"/>
                                                                                                    <w:right w:val="none" w:sz="0" w:space="0" w:color="auto"/>
                                                                                                  </w:divBdr>
                                                                                                  <w:divsChild>
                                                                                                    <w:div w:id="1702127297">
                                                                                                      <w:marLeft w:val="0"/>
                                                                                                      <w:marRight w:val="0"/>
                                                                                                      <w:marTop w:val="0"/>
                                                                                                      <w:marBottom w:val="0"/>
                                                                                                      <w:divBdr>
                                                                                                        <w:top w:val="none" w:sz="0" w:space="0" w:color="auto"/>
                                                                                                        <w:left w:val="none" w:sz="0" w:space="0" w:color="auto"/>
                                                                                                        <w:bottom w:val="none" w:sz="0" w:space="0" w:color="auto"/>
                                                                                                        <w:right w:val="none" w:sz="0" w:space="0" w:color="auto"/>
                                                                                                      </w:divBdr>
                                                                                                      <w:divsChild>
                                                                                                        <w:div w:id="1554074525">
                                                                                                          <w:marLeft w:val="0"/>
                                                                                                          <w:marRight w:val="0"/>
                                                                                                          <w:marTop w:val="0"/>
                                                                                                          <w:marBottom w:val="0"/>
                                                                                                          <w:divBdr>
                                                                                                            <w:top w:val="none" w:sz="0" w:space="0" w:color="auto"/>
                                                                                                            <w:left w:val="none" w:sz="0" w:space="0" w:color="auto"/>
                                                                                                            <w:bottom w:val="none" w:sz="0" w:space="0" w:color="auto"/>
                                                                                                            <w:right w:val="none" w:sz="0" w:space="0" w:color="auto"/>
                                                                                                          </w:divBdr>
                                                                                                          <w:divsChild>
                                                                                                            <w:div w:id="48195257">
                                                                                                              <w:marLeft w:val="0"/>
                                                                                                              <w:marRight w:val="0"/>
                                                                                                              <w:marTop w:val="0"/>
                                                                                                              <w:marBottom w:val="0"/>
                                                                                                              <w:divBdr>
                                                                                                                <w:top w:val="none" w:sz="0" w:space="0" w:color="auto"/>
                                                                                                                <w:left w:val="none" w:sz="0" w:space="0" w:color="auto"/>
                                                                                                                <w:bottom w:val="none" w:sz="0" w:space="0" w:color="auto"/>
                                                                                                                <w:right w:val="none" w:sz="0" w:space="0" w:color="auto"/>
                                                                                                              </w:divBdr>
                                                                                                              <w:divsChild>
                                                                                                                <w:div w:id="8360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661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reginfo.gov/public/do/PRAMai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taClearance@FERC.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ferc.gov/help/submission-guide.as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reginfo.gov/public/do/PRAMai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nerc.com/pa/Stand/Reliability%20Standards/PRC-010-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74a4cd09-5f17-433b-814a-38e7e9115d16" ContentTypeId="0x0101" PreviousValue="false"/>
</file>

<file path=customXml/itemProps1.xml><?xml version="1.0" encoding="utf-8"?>
<ds:datastoreItem xmlns:ds="http://schemas.openxmlformats.org/officeDocument/2006/customXml" ds:itemID="{5BBB1DD4-8130-4FE7-964C-24C804F058DC}">
  <ds:schemaRefs>
    <ds:schemaRef ds:uri="http://schemas.microsoft.com/office/2006/documentManagement/types"/>
    <ds:schemaRef ds:uri="http://schemas.microsoft.com/office/infopath/2007/PartnerControls"/>
    <ds:schemaRef ds:uri="5e8733a2-e908-454b-85cf-c9d17e1d0943"/>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3.xml><?xml version="1.0" encoding="utf-8"?>
<ds:datastoreItem xmlns:ds="http://schemas.openxmlformats.org/officeDocument/2006/customXml" ds:itemID="{F6E9274F-7BBA-4D98-A389-44C88BEFD0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AF1162-AD6A-4639-8A37-A26289CFAC93}">
  <ds:schemaRefs>
    <ds:schemaRef ds:uri="http://schemas.openxmlformats.org/officeDocument/2006/bibliography"/>
  </ds:schemaRefs>
</ds:datastoreItem>
</file>

<file path=customXml/itemProps5.xml><?xml version="1.0" encoding="utf-8"?>
<ds:datastoreItem xmlns:ds="http://schemas.openxmlformats.org/officeDocument/2006/customXml" ds:itemID="{64A48CB8-66B2-454C-9534-692F8DD1A9B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1126</Words>
  <Characters>6424</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7535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Sonneman</dc:creator>
  <cp:keywords/>
  <dc:description/>
  <cp:lastModifiedBy>Jean Sonneman</cp:lastModifiedBy>
  <cp:revision>2</cp:revision>
  <cp:lastPrinted>2016-12-20T13:40:00Z</cp:lastPrinted>
  <dcterms:created xsi:type="dcterms:W3CDTF">2021-11-08T14:07:00Z</dcterms:created>
  <dcterms:modified xsi:type="dcterms:W3CDTF">2021-11-08T14:07:00Z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Enabled">
    <vt:lpwstr>true</vt:lpwstr>
  </property>
  <property fmtid="{D5CDD505-2E9C-101B-9397-08002B2CF9AE}" pid="3" name="MSIP_Label_6155a89b-0f08-4a93-8ea2-8a916d6643b5_SetDate">
    <vt:lpwstr>2021-11-08T14:05:27Z</vt:lpwstr>
  </property>
  <property fmtid="{D5CDD505-2E9C-101B-9397-08002B2CF9AE}" pid="4" name="MSIP_Label_6155a89b-0f08-4a93-8ea2-8a916d6643b5_Method">
    <vt:lpwstr>Privileged</vt:lpwstr>
  </property>
  <property fmtid="{D5CDD505-2E9C-101B-9397-08002B2CF9AE}" pid="5" name="MSIP_Label_6155a89b-0f08-4a93-8ea2-8a916d6643b5_Name">
    <vt:lpwstr>6155a89b-0f08-4a93-8ea2-8a916d6643b5</vt:lpwstr>
  </property>
  <property fmtid="{D5CDD505-2E9C-101B-9397-08002B2CF9AE}" pid="6" name="MSIP_Label_6155a89b-0f08-4a93-8ea2-8a916d6643b5_SiteId">
    <vt:lpwstr>19caa9e9-04ff-43fa-885f-d77fac387903</vt:lpwstr>
  </property>
  <property fmtid="{D5CDD505-2E9C-101B-9397-08002B2CF9AE}" pid="7" name="MSIP_Label_6155a89b-0f08-4a93-8ea2-8a916d6643b5_ActionId">
    <vt:lpwstr>43694972-e6ba-4740-aa3d-89941a8b9fad</vt:lpwstr>
  </property>
  <property fmtid="{D5CDD505-2E9C-101B-9397-08002B2CF9AE}" pid="8" name="MSIP_Label_6155a89b-0f08-4a93-8ea2-8a916d6643b5_ContentBits">
    <vt:lpwstr>0</vt:lpwstr>
  </property>
</Properties>
</file>