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A0B17" w14:textId="77777777" w:rsidR="00910534" w:rsidRDefault="00910534" w:rsidP="00910534">
      <w:pPr>
        <w:jc w:val="right"/>
        <w:rPr>
          <w:rFonts w:ascii="Arial" w:hAnsi="Arial" w:cs="Arial"/>
          <w:b/>
          <w:sz w:val="36"/>
          <w:szCs w:val="36"/>
        </w:rPr>
      </w:pPr>
      <w:bookmarkStart w:id="0" w:name="_GoBack"/>
      <w:bookmarkEnd w:id="0"/>
    </w:p>
    <w:p w14:paraId="4B08359D" w14:textId="77777777" w:rsidR="00910534" w:rsidRPr="001A0F26" w:rsidRDefault="00910534" w:rsidP="00910534">
      <w:pPr>
        <w:rPr>
          <w:rFonts w:ascii="Arial" w:hAnsi="Arial" w:cs="Arial"/>
        </w:rPr>
      </w:pPr>
    </w:p>
    <w:p w14:paraId="14FDB416" w14:textId="77777777" w:rsidR="00910534" w:rsidRPr="001A0F26" w:rsidRDefault="00910534" w:rsidP="00910534">
      <w:pPr>
        <w:rPr>
          <w:rFonts w:ascii="Arial" w:hAnsi="Arial" w:cs="Arial"/>
        </w:rPr>
      </w:pPr>
    </w:p>
    <w:p w14:paraId="63F2609E" w14:textId="77777777" w:rsidR="00910534" w:rsidRPr="001A0F26" w:rsidRDefault="00910534" w:rsidP="00910534">
      <w:pPr>
        <w:jc w:val="right"/>
        <w:rPr>
          <w:rFonts w:ascii="Arial" w:hAnsi="Arial" w:cs="Arial"/>
          <w:b/>
          <w:sz w:val="36"/>
          <w:szCs w:val="36"/>
        </w:rPr>
      </w:pPr>
    </w:p>
    <w:p w14:paraId="6471892E" w14:textId="77777777" w:rsidR="00910534" w:rsidRPr="001A0F26" w:rsidRDefault="00910534" w:rsidP="00910534">
      <w:pPr>
        <w:rPr>
          <w:rFonts w:ascii="Arial" w:hAnsi="Arial" w:cs="Arial"/>
        </w:rPr>
      </w:pPr>
    </w:p>
    <w:p w14:paraId="4633053D" w14:textId="77777777" w:rsidR="00910534" w:rsidRPr="001A0F26" w:rsidRDefault="00910534" w:rsidP="00910534">
      <w:pPr>
        <w:rPr>
          <w:rFonts w:ascii="Arial" w:hAnsi="Arial" w:cs="Arial"/>
        </w:rPr>
      </w:pPr>
    </w:p>
    <w:p w14:paraId="2E5CD3A5" w14:textId="77777777" w:rsidR="00910534" w:rsidRPr="001A0F26" w:rsidRDefault="00910534" w:rsidP="00910534">
      <w:pPr>
        <w:rPr>
          <w:rFonts w:ascii="Arial" w:hAnsi="Arial" w:cs="Arial"/>
        </w:rPr>
      </w:pPr>
    </w:p>
    <w:p w14:paraId="3A303CA8" w14:textId="77777777" w:rsidR="00910534" w:rsidRPr="001A0F26" w:rsidRDefault="00910534" w:rsidP="00910534">
      <w:pPr>
        <w:rPr>
          <w:rFonts w:ascii="Arial" w:hAnsi="Arial" w:cs="Arial"/>
        </w:rPr>
      </w:pPr>
    </w:p>
    <w:p w14:paraId="6793B918" w14:textId="70ED80FF" w:rsidR="00910534" w:rsidRDefault="00910534" w:rsidP="00910534">
      <w:pPr>
        <w:pStyle w:val="Volume"/>
        <w:spacing w:after="0"/>
        <w:rPr>
          <w:rFonts w:asciiTheme="minorHAnsi" w:hAnsiTheme="minorHAnsi"/>
          <w:kern w:val="28"/>
          <w:sz w:val="56"/>
          <w:szCs w:val="56"/>
        </w:rPr>
      </w:pPr>
      <w:r w:rsidRPr="00EE02C3">
        <w:rPr>
          <w:rFonts w:asciiTheme="minorHAnsi" w:hAnsiTheme="minorHAnsi"/>
          <w:kern w:val="28"/>
          <w:sz w:val="56"/>
          <w:szCs w:val="56"/>
        </w:rPr>
        <w:t>Integrated</w:t>
      </w:r>
      <w:r w:rsidR="00BE6935">
        <w:rPr>
          <w:rFonts w:asciiTheme="minorHAnsi" w:hAnsiTheme="minorHAnsi"/>
          <w:kern w:val="28"/>
          <w:sz w:val="56"/>
          <w:szCs w:val="56"/>
        </w:rPr>
        <w:t xml:space="preserve"> </w:t>
      </w:r>
      <w:r w:rsidRPr="00EE02C3">
        <w:rPr>
          <w:rFonts w:asciiTheme="minorHAnsi" w:hAnsiTheme="minorHAnsi"/>
          <w:kern w:val="28"/>
          <w:sz w:val="56"/>
          <w:szCs w:val="56"/>
        </w:rPr>
        <w:t>Postsecondary</w:t>
      </w:r>
      <w:r w:rsidR="00BE6935">
        <w:rPr>
          <w:rFonts w:asciiTheme="minorHAnsi" w:hAnsiTheme="minorHAnsi"/>
          <w:kern w:val="28"/>
          <w:sz w:val="56"/>
          <w:szCs w:val="56"/>
        </w:rPr>
        <w:t xml:space="preserve"> </w:t>
      </w:r>
      <w:r w:rsidRPr="00EE02C3">
        <w:rPr>
          <w:rFonts w:asciiTheme="minorHAnsi" w:hAnsiTheme="minorHAnsi"/>
          <w:kern w:val="28"/>
          <w:sz w:val="56"/>
          <w:szCs w:val="56"/>
        </w:rPr>
        <w:t>Education</w:t>
      </w:r>
      <w:r w:rsidR="00BE6935">
        <w:rPr>
          <w:rFonts w:asciiTheme="minorHAnsi" w:hAnsiTheme="minorHAnsi"/>
          <w:kern w:val="28"/>
          <w:sz w:val="56"/>
          <w:szCs w:val="56"/>
        </w:rPr>
        <w:t xml:space="preserve"> </w:t>
      </w:r>
      <w:r w:rsidRPr="00EE02C3">
        <w:rPr>
          <w:rFonts w:asciiTheme="minorHAnsi" w:hAnsiTheme="minorHAnsi"/>
          <w:kern w:val="28"/>
          <w:sz w:val="56"/>
          <w:szCs w:val="56"/>
        </w:rPr>
        <w:t>Data</w:t>
      </w:r>
      <w:r w:rsidR="00BE6935">
        <w:rPr>
          <w:rFonts w:asciiTheme="minorHAnsi" w:hAnsiTheme="minorHAnsi"/>
          <w:kern w:val="28"/>
          <w:sz w:val="56"/>
          <w:szCs w:val="56"/>
        </w:rPr>
        <w:t xml:space="preserve"> </w:t>
      </w:r>
      <w:r w:rsidRPr="00EE02C3">
        <w:rPr>
          <w:rFonts w:asciiTheme="minorHAnsi" w:hAnsiTheme="minorHAnsi"/>
          <w:kern w:val="28"/>
          <w:sz w:val="56"/>
          <w:szCs w:val="56"/>
        </w:rPr>
        <w:t>System</w:t>
      </w:r>
      <w:r w:rsidR="00BE6935">
        <w:rPr>
          <w:rFonts w:asciiTheme="minorHAnsi" w:hAnsiTheme="minorHAnsi"/>
          <w:kern w:val="28"/>
          <w:sz w:val="56"/>
          <w:szCs w:val="56"/>
        </w:rPr>
        <w:t xml:space="preserve"> </w:t>
      </w:r>
      <w:r w:rsidRPr="00EE02C3">
        <w:rPr>
          <w:rFonts w:asciiTheme="minorHAnsi" w:hAnsiTheme="minorHAnsi"/>
          <w:kern w:val="28"/>
          <w:sz w:val="56"/>
          <w:szCs w:val="56"/>
        </w:rPr>
        <w:t>(IPEDS)</w:t>
      </w:r>
      <w:r w:rsidR="00BE6935">
        <w:rPr>
          <w:rFonts w:asciiTheme="minorHAnsi" w:hAnsiTheme="minorHAnsi"/>
          <w:kern w:val="28"/>
          <w:sz w:val="56"/>
          <w:szCs w:val="56"/>
        </w:rPr>
        <w:t xml:space="preserve"> </w:t>
      </w:r>
      <w:r w:rsidRPr="00EE02C3">
        <w:rPr>
          <w:rFonts w:asciiTheme="minorHAnsi" w:hAnsiTheme="minorHAnsi"/>
          <w:kern w:val="28"/>
          <w:sz w:val="56"/>
          <w:szCs w:val="56"/>
        </w:rPr>
        <w:t>20</w:t>
      </w:r>
      <w:r w:rsidR="0098308E">
        <w:rPr>
          <w:rFonts w:asciiTheme="minorHAnsi" w:hAnsiTheme="minorHAnsi"/>
          <w:kern w:val="28"/>
          <w:sz w:val="56"/>
          <w:szCs w:val="56"/>
        </w:rPr>
        <w:t>19</w:t>
      </w:r>
      <w:r w:rsidRPr="00EE02C3">
        <w:rPr>
          <w:rFonts w:asciiTheme="minorHAnsi" w:hAnsiTheme="minorHAnsi"/>
          <w:kern w:val="28"/>
          <w:sz w:val="56"/>
          <w:szCs w:val="56"/>
        </w:rPr>
        <w:t>-</w:t>
      </w:r>
      <w:r w:rsidR="005E190A">
        <w:rPr>
          <w:rFonts w:asciiTheme="minorHAnsi" w:hAnsiTheme="minorHAnsi"/>
          <w:kern w:val="28"/>
          <w:sz w:val="56"/>
          <w:szCs w:val="56"/>
        </w:rPr>
        <w:t>20 to 2021-22</w:t>
      </w:r>
    </w:p>
    <w:p w14:paraId="3DDF66F9" w14:textId="77777777" w:rsidR="000C65D8" w:rsidRDefault="000C65D8" w:rsidP="00910534">
      <w:pPr>
        <w:pStyle w:val="Volume"/>
        <w:spacing w:after="0"/>
        <w:rPr>
          <w:rFonts w:asciiTheme="minorHAnsi" w:hAnsiTheme="minorHAnsi"/>
          <w:kern w:val="28"/>
          <w:sz w:val="56"/>
          <w:szCs w:val="56"/>
        </w:rPr>
      </w:pPr>
    </w:p>
    <w:p w14:paraId="3E7E43FC" w14:textId="77777777" w:rsidR="000C65D8" w:rsidRDefault="000C65D8" w:rsidP="00910534">
      <w:pPr>
        <w:pStyle w:val="Volume"/>
        <w:spacing w:after="0"/>
        <w:rPr>
          <w:rFonts w:asciiTheme="minorHAnsi" w:hAnsiTheme="minorHAnsi"/>
          <w:kern w:val="28"/>
          <w:sz w:val="56"/>
          <w:szCs w:val="56"/>
        </w:rPr>
      </w:pPr>
    </w:p>
    <w:p w14:paraId="4C567693" w14:textId="69796BA7" w:rsidR="00910534" w:rsidRPr="00EE02C3" w:rsidRDefault="00910534" w:rsidP="00910534">
      <w:pPr>
        <w:pStyle w:val="Volume"/>
        <w:spacing w:after="0"/>
        <w:rPr>
          <w:rFonts w:asciiTheme="minorHAnsi" w:hAnsiTheme="minorHAnsi"/>
          <w:kern w:val="28"/>
          <w:sz w:val="56"/>
          <w:szCs w:val="56"/>
        </w:rPr>
      </w:pPr>
      <w:r w:rsidRPr="00EE02C3">
        <w:rPr>
          <w:rFonts w:asciiTheme="minorHAnsi" w:hAnsiTheme="minorHAnsi"/>
          <w:kern w:val="28"/>
          <w:sz w:val="56"/>
          <w:szCs w:val="56"/>
        </w:rPr>
        <w:t>Supporting</w:t>
      </w:r>
      <w:r w:rsidR="00BE6935">
        <w:rPr>
          <w:rFonts w:asciiTheme="minorHAnsi" w:hAnsiTheme="minorHAnsi"/>
          <w:kern w:val="28"/>
          <w:sz w:val="56"/>
          <w:szCs w:val="56"/>
        </w:rPr>
        <w:t xml:space="preserve"> </w:t>
      </w:r>
      <w:r w:rsidRPr="00EE02C3">
        <w:rPr>
          <w:rFonts w:asciiTheme="minorHAnsi" w:hAnsiTheme="minorHAnsi"/>
          <w:kern w:val="28"/>
          <w:sz w:val="56"/>
          <w:szCs w:val="56"/>
        </w:rPr>
        <w:t>Statement</w:t>
      </w:r>
      <w:r w:rsidR="00BE6935">
        <w:rPr>
          <w:rFonts w:asciiTheme="minorHAnsi" w:hAnsiTheme="minorHAnsi"/>
          <w:kern w:val="28"/>
          <w:sz w:val="56"/>
          <w:szCs w:val="56"/>
        </w:rPr>
        <w:t xml:space="preserve"> </w:t>
      </w:r>
      <w:r w:rsidRPr="00EE02C3">
        <w:rPr>
          <w:rFonts w:asciiTheme="minorHAnsi" w:hAnsiTheme="minorHAnsi"/>
          <w:kern w:val="28"/>
          <w:sz w:val="56"/>
          <w:szCs w:val="56"/>
        </w:rPr>
        <w:t>Part</w:t>
      </w:r>
      <w:r w:rsidR="00BE6935">
        <w:rPr>
          <w:rFonts w:asciiTheme="minorHAnsi" w:hAnsiTheme="minorHAnsi"/>
          <w:kern w:val="28"/>
          <w:sz w:val="56"/>
          <w:szCs w:val="56"/>
        </w:rPr>
        <w:t xml:space="preserve"> </w:t>
      </w:r>
      <w:r>
        <w:rPr>
          <w:rFonts w:asciiTheme="minorHAnsi" w:hAnsiTheme="minorHAnsi"/>
          <w:kern w:val="28"/>
          <w:sz w:val="56"/>
          <w:szCs w:val="56"/>
        </w:rPr>
        <w:t>B</w:t>
      </w:r>
    </w:p>
    <w:p w14:paraId="2C0FCC35" w14:textId="3BB7DE78" w:rsidR="00910534" w:rsidRDefault="00910534" w:rsidP="00910534">
      <w:pPr>
        <w:pStyle w:val="Volume"/>
        <w:spacing w:after="0"/>
        <w:rPr>
          <w:rFonts w:asciiTheme="minorHAnsi" w:hAnsiTheme="minorHAnsi"/>
          <w:kern w:val="28"/>
          <w:sz w:val="36"/>
          <w:szCs w:val="36"/>
        </w:rPr>
      </w:pPr>
    </w:p>
    <w:p w14:paraId="0D02F91C" w14:textId="77777777" w:rsidR="000C65D8" w:rsidRDefault="000C65D8" w:rsidP="00910534">
      <w:pPr>
        <w:pStyle w:val="Volume"/>
        <w:spacing w:after="0"/>
        <w:rPr>
          <w:rFonts w:asciiTheme="minorHAnsi" w:hAnsiTheme="minorHAnsi"/>
          <w:kern w:val="28"/>
          <w:sz w:val="36"/>
          <w:szCs w:val="36"/>
        </w:rPr>
      </w:pPr>
    </w:p>
    <w:p w14:paraId="7519C8D2" w14:textId="77777777" w:rsidR="00910534" w:rsidRPr="00EE02C3" w:rsidRDefault="00910534" w:rsidP="00910534">
      <w:pPr>
        <w:pStyle w:val="Volume"/>
        <w:spacing w:after="0"/>
        <w:rPr>
          <w:rFonts w:asciiTheme="minorHAnsi" w:hAnsiTheme="minorHAnsi"/>
          <w:sz w:val="48"/>
          <w:szCs w:val="48"/>
        </w:rPr>
      </w:pPr>
    </w:p>
    <w:p w14:paraId="793A09A3" w14:textId="75E921DE" w:rsidR="00910534" w:rsidRPr="00EE02C3" w:rsidRDefault="00910534" w:rsidP="00910534">
      <w:pPr>
        <w:pStyle w:val="Volume"/>
        <w:spacing w:after="0"/>
        <w:rPr>
          <w:rFonts w:asciiTheme="minorHAnsi" w:hAnsiTheme="minorHAnsi"/>
          <w:sz w:val="48"/>
          <w:szCs w:val="48"/>
        </w:rPr>
      </w:pPr>
      <w:r w:rsidRPr="0032728B">
        <w:rPr>
          <w:rFonts w:asciiTheme="minorHAnsi" w:hAnsiTheme="minorHAnsi"/>
          <w:sz w:val="48"/>
          <w:szCs w:val="48"/>
        </w:rPr>
        <w:t>OMB</w:t>
      </w:r>
      <w:r w:rsidR="00BE6935">
        <w:rPr>
          <w:rFonts w:asciiTheme="minorHAnsi" w:hAnsiTheme="minorHAnsi"/>
          <w:sz w:val="48"/>
          <w:szCs w:val="48"/>
        </w:rPr>
        <w:t xml:space="preserve"> </w:t>
      </w:r>
      <w:r w:rsidRPr="0032728B">
        <w:rPr>
          <w:rFonts w:asciiTheme="minorHAnsi" w:hAnsiTheme="minorHAnsi"/>
          <w:sz w:val="48"/>
          <w:szCs w:val="48"/>
        </w:rPr>
        <w:t>No.</w:t>
      </w:r>
      <w:r w:rsidR="00BE6935">
        <w:rPr>
          <w:rFonts w:asciiTheme="minorHAnsi" w:hAnsiTheme="minorHAnsi"/>
          <w:sz w:val="48"/>
          <w:szCs w:val="48"/>
        </w:rPr>
        <w:t xml:space="preserve"> </w:t>
      </w:r>
      <w:r w:rsidRPr="0032728B">
        <w:rPr>
          <w:rFonts w:asciiTheme="minorHAnsi" w:hAnsiTheme="minorHAnsi"/>
          <w:sz w:val="48"/>
          <w:szCs w:val="48"/>
        </w:rPr>
        <w:t>1850-0582</w:t>
      </w:r>
      <w:r w:rsidR="00BE6935">
        <w:rPr>
          <w:rFonts w:asciiTheme="minorHAnsi" w:hAnsiTheme="minorHAnsi"/>
          <w:sz w:val="48"/>
          <w:szCs w:val="48"/>
        </w:rPr>
        <w:t xml:space="preserve"> </w:t>
      </w:r>
      <w:r w:rsidRPr="0032728B">
        <w:rPr>
          <w:rFonts w:asciiTheme="minorHAnsi" w:hAnsiTheme="minorHAnsi"/>
          <w:sz w:val="48"/>
          <w:szCs w:val="48"/>
        </w:rPr>
        <w:t>v.</w:t>
      </w:r>
      <w:r w:rsidR="00205A80">
        <w:rPr>
          <w:rFonts w:asciiTheme="minorHAnsi" w:hAnsiTheme="minorHAnsi"/>
          <w:sz w:val="48"/>
          <w:szCs w:val="48"/>
        </w:rPr>
        <w:t>24</w:t>
      </w:r>
    </w:p>
    <w:p w14:paraId="42909AE4" w14:textId="77777777" w:rsidR="00910534" w:rsidRPr="00EE02C3" w:rsidRDefault="00910534" w:rsidP="00910534">
      <w:pPr>
        <w:rPr>
          <w:rFonts w:asciiTheme="minorHAnsi" w:hAnsiTheme="minorHAnsi" w:cs="Arial"/>
        </w:rPr>
      </w:pPr>
    </w:p>
    <w:p w14:paraId="4092ED3A" w14:textId="77777777" w:rsidR="00910534" w:rsidRPr="00EE02C3" w:rsidRDefault="00910534" w:rsidP="00910534">
      <w:pPr>
        <w:rPr>
          <w:rFonts w:asciiTheme="minorHAnsi" w:hAnsiTheme="minorHAnsi" w:cs="Arial"/>
        </w:rPr>
      </w:pPr>
    </w:p>
    <w:p w14:paraId="5FA3A016" w14:textId="77777777" w:rsidR="00910534" w:rsidRPr="00EE02C3" w:rsidRDefault="00910534" w:rsidP="00910534">
      <w:pPr>
        <w:rPr>
          <w:rFonts w:asciiTheme="minorHAnsi" w:hAnsiTheme="minorHAnsi" w:cs="Arial"/>
        </w:rPr>
      </w:pPr>
    </w:p>
    <w:p w14:paraId="1D232B65" w14:textId="77777777" w:rsidR="00910534" w:rsidRPr="00EE02C3" w:rsidRDefault="00910534" w:rsidP="00910534">
      <w:pPr>
        <w:pStyle w:val="submit"/>
        <w:spacing w:after="60"/>
        <w:jc w:val="both"/>
        <w:rPr>
          <w:rFonts w:asciiTheme="minorHAnsi" w:hAnsiTheme="minorHAnsi"/>
          <w:i/>
          <w:sz w:val="22"/>
          <w:szCs w:val="22"/>
        </w:rPr>
      </w:pPr>
    </w:p>
    <w:p w14:paraId="69447CCF" w14:textId="02FB5C22" w:rsidR="00910534" w:rsidRPr="00205A80" w:rsidRDefault="00910534" w:rsidP="00910534">
      <w:pPr>
        <w:pStyle w:val="submit"/>
        <w:spacing w:after="60"/>
        <w:jc w:val="both"/>
        <w:rPr>
          <w:rFonts w:asciiTheme="minorHAnsi" w:hAnsiTheme="minorHAnsi"/>
          <w:i/>
          <w:sz w:val="28"/>
          <w:szCs w:val="28"/>
        </w:rPr>
      </w:pPr>
      <w:r w:rsidRPr="00205A80">
        <w:rPr>
          <w:rFonts w:asciiTheme="minorHAnsi" w:hAnsiTheme="minorHAnsi"/>
          <w:i/>
          <w:sz w:val="28"/>
          <w:szCs w:val="28"/>
        </w:rPr>
        <w:t>Submitted</w:t>
      </w:r>
      <w:r w:rsidR="00BE6935" w:rsidRPr="00205A80">
        <w:rPr>
          <w:rFonts w:asciiTheme="minorHAnsi" w:hAnsiTheme="minorHAnsi"/>
          <w:i/>
          <w:sz w:val="28"/>
          <w:szCs w:val="28"/>
        </w:rPr>
        <w:t xml:space="preserve"> </w:t>
      </w:r>
      <w:r w:rsidRPr="00205A80">
        <w:rPr>
          <w:rFonts w:asciiTheme="minorHAnsi" w:hAnsiTheme="minorHAnsi"/>
          <w:i/>
          <w:sz w:val="28"/>
          <w:szCs w:val="28"/>
        </w:rPr>
        <w:t>by:</w:t>
      </w:r>
    </w:p>
    <w:p w14:paraId="0374F71B" w14:textId="4C13211B" w:rsidR="00910534" w:rsidRPr="00205A80" w:rsidRDefault="00910534" w:rsidP="00910534">
      <w:pPr>
        <w:jc w:val="both"/>
        <w:rPr>
          <w:rFonts w:asciiTheme="minorHAnsi" w:hAnsiTheme="minorHAnsi" w:cs="Arial"/>
          <w:sz w:val="28"/>
          <w:szCs w:val="28"/>
        </w:rPr>
      </w:pPr>
      <w:r w:rsidRPr="00205A80">
        <w:rPr>
          <w:rFonts w:asciiTheme="minorHAnsi" w:hAnsiTheme="minorHAnsi" w:cs="Arial"/>
          <w:sz w:val="28"/>
          <w:szCs w:val="28"/>
        </w:rPr>
        <w:t>National</w:t>
      </w:r>
      <w:r w:rsidR="00BE6935" w:rsidRPr="00205A80">
        <w:rPr>
          <w:rFonts w:asciiTheme="minorHAnsi" w:hAnsiTheme="minorHAnsi" w:cs="Arial"/>
          <w:sz w:val="28"/>
          <w:szCs w:val="28"/>
        </w:rPr>
        <w:t xml:space="preserve"> </w:t>
      </w:r>
      <w:r w:rsidRPr="00205A80">
        <w:rPr>
          <w:rFonts w:asciiTheme="minorHAnsi" w:hAnsiTheme="minorHAnsi" w:cs="Arial"/>
          <w:sz w:val="28"/>
          <w:szCs w:val="28"/>
        </w:rPr>
        <w:t>Center</w:t>
      </w:r>
      <w:r w:rsidR="00BE6935" w:rsidRPr="00205A80">
        <w:rPr>
          <w:rFonts w:asciiTheme="minorHAnsi" w:hAnsiTheme="minorHAnsi" w:cs="Arial"/>
          <w:sz w:val="28"/>
          <w:szCs w:val="28"/>
        </w:rPr>
        <w:t xml:space="preserve"> </w:t>
      </w:r>
      <w:r w:rsidRPr="00205A80">
        <w:rPr>
          <w:rFonts w:asciiTheme="minorHAnsi" w:hAnsiTheme="minorHAnsi" w:cs="Arial"/>
          <w:sz w:val="28"/>
          <w:szCs w:val="28"/>
        </w:rPr>
        <w:t>for</w:t>
      </w:r>
      <w:r w:rsidR="00BE6935" w:rsidRPr="00205A80">
        <w:rPr>
          <w:rFonts w:asciiTheme="minorHAnsi" w:hAnsiTheme="minorHAnsi" w:cs="Arial"/>
          <w:sz w:val="28"/>
          <w:szCs w:val="28"/>
        </w:rPr>
        <w:t xml:space="preserve"> </w:t>
      </w:r>
      <w:r w:rsidRPr="00205A80">
        <w:rPr>
          <w:rFonts w:asciiTheme="minorHAnsi" w:hAnsiTheme="minorHAnsi" w:cs="Arial"/>
          <w:sz w:val="28"/>
          <w:szCs w:val="28"/>
        </w:rPr>
        <w:t>Education</w:t>
      </w:r>
      <w:r w:rsidR="00BE6935" w:rsidRPr="00205A80">
        <w:rPr>
          <w:rFonts w:asciiTheme="minorHAnsi" w:hAnsiTheme="minorHAnsi" w:cs="Arial"/>
          <w:sz w:val="28"/>
          <w:szCs w:val="28"/>
        </w:rPr>
        <w:t xml:space="preserve"> </w:t>
      </w:r>
      <w:r w:rsidRPr="00205A80">
        <w:rPr>
          <w:rFonts w:asciiTheme="minorHAnsi" w:hAnsiTheme="minorHAnsi" w:cs="Arial"/>
          <w:sz w:val="28"/>
          <w:szCs w:val="28"/>
        </w:rPr>
        <w:t>Statistics</w:t>
      </w:r>
      <w:r w:rsidR="00B03E91">
        <w:rPr>
          <w:rFonts w:asciiTheme="minorHAnsi" w:hAnsiTheme="minorHAnsi" w:cs="Arial"/>
          <w:sz w:val="28"/>
          <w:szCs w:val="28"/>
        </w:rPr>
        <w:t xml:space="preserve"> (NCES)</w:t>
      </w:r>
    </w:p>
    <w:p w14:paraId="39387B7C" w14:textId="1C1172FD" w:rsidR="00910534" w:rsidRPr="00205A80" w:rsidRDefault="00910534" w:rsidP="00910534">
      <w:pPr>
        <w:jc w:val="both"/>
        <w:rPr>
          <w:rFonts w:asciiTheme="minorHAnsi" w:hAnsiTheme="minorHAnsi" w:cs="Arial"/>
          <w:sz w:val="28"/>
          <w:szCs w:val="28"/>
        </w:rPr>
      </w:pPr>
      <w:r w:rsidRPr="00205A80">
        <w:rPr>
          <w:rFonts w:asciiTheme="minorHAnsi" w:hAnsiTheme="minorHAnsi" w:cs="Arial"/>
          <w:sz w:val="28"/>
          <w:szCs w:val="28"/>
        </w:rPr>
        <w:t>Institute</w:t>
      </w:r>
      <w:r w:rsidR="00BE6935" w:rsidRPr="00205A80">
        <w:rPr>
          <w:rFonts w:asciiTheme="minorHAnsi" w:hAnsiTheme="minorHAnsi" w:cs="Arial"/>
          <w:sz w:val="28"/>
          <w:szCs w:val="28"/>
        </w:rPr>
        <w:t xml:space="preserve"> </w:t>
      </w:r>
      <w:r w:rsidRPr="00205A80">
        <w:rPr>
          <w:rFonts w:asciiTheme="minorHAnsi" w:hAnsiTheme="minorHAnsi" w:cs="Arial"/>
          <w:sz w:val="28"/>
          <w:szCs w:val="28"/>
        </w:rPr>
        <w:t>of</w:t>
      </w:r>
      <w:r w:rsidR="00BE6935" w:rsidRPr="00205A80">
        <w:rPr>
          <w:rFonts w:asciiTheme="minorHAnsi" w:hAnsiTheme="minorHAnsi" w:cs="Arial"/>
          <w:sz w:val="28"/>
          <w:szCs w:val="28"/>
        </w:rPr>
        <w:t xml:space="preserve"> </w:t>
      </w:r>
      <w:r w:rsidRPr="00205A80">
        <w:rPr>
          <w:rFonts w:asciiTheme="minorHAnsi" w:hAnsiTheme="minorHAnsi" w:cs="Arial"/>
          <w:sz w:val="28"/>
          <w:szCs w:val="28"/>
        </w:rPr>
        <w:t>Education</w:t>
      </w:r>
      <w:r w:rsidR="00BE6935" w:rsidRPr="00205A80">
        <w:rPr>
          <w:rFonts w:asciiTheme="minorHAnsi" w:hAnsiTheme="minorHAnsi" w:cs="Arial"/>
          <w:sz w:val="28"/>
          <w:szCs w:val="28"/>
        </w:rPr>
        <w:t xml:space="preserve"> </w:t>
      </w:r>
      <w:r w:rsidRPr="00205A80">
        <w:rPr>
          <w:rFonts w:asciiTheme="minorHAnsi" w:hAnsiTheme="minorHAnsi" w:cs="Arial"/>
          <w:sz w:val="28"/>
          <w:szCs w:val="28"/>
        </w:rPr>
        <w:t>Sciences</w:t>
      </w:r>
    </w:p>
    <w:p w14:paraId="46E6121F" w14:textId="11FEDE95" w:rsidR="00910534" w:rsidRPr="00205A80" w:rsidRDefault="00910534" w:rsidP="00910534">
      <w:pPr>
        <w:jc w:val="both"/>
        <w:rPr>
          <w:rFonts w:asciiTheme="minorHAnsi" w:hAnsiTheme="minorHAnsi" w:cs="Arial"/>
          <w:sz w:val="28"/>
          <w:szCs w:val="28"/>
        </w:rPr>
      </w:pPr>
      <w:r w:rsidRPr="00205A80">
        <w:rPr>
          <w:rFonts w:asciiTheme="minorHAnsi" w:hAnsiTheme="minorHAnsi" w:cs="Arial"/>
          <w:sz w:val="28"/>
          <w:szCs w:val="28"/>
        </w:rPr>
        <w:t>U.S.</w:t>
      </w:r>
      <w:r w:rsidR="00BE6935" w:rsidRPr="00205A80">
        <w:rPr>
          <w:rFonts w:asciiTheme="minorHAnsi" w:hAnsiTheme="minorHAnsi" w:cs="Arial"/>
          <w:sz w:val="28"/>
          <w:szCs w:val="28"/>
        </w:rPr>
        <w:t xml:space="preserve"> </w:t>
      </w:r>
      <w:r w:rsidRPr="00205A80">
        <w:rPr>
          <w:rFonts w:asciiTheme="minorHAnsi" w:hAnsiTheme="minorHAnsi" w:cs="Arial"/>
          <w:sz w:val="28"/>
          <w:szCs w:val="28"/>
        </w:rPr>
        <w:t>Department</w:t>
      </w:r>
      <w:r w:rsidR="00BE6935" w:rsidRPr="00205A80">
        <w:rPr>
          <w:rFonts w:asciiTheme="minorHAnsi" w:hAnsiTheme="minorHAnsi" w:cs="Arial"/>
          <w:sz w:val="28"/>
          <w:szCs w:val="28"/>
        </w:rPr>
        <w:t xml:space="preserve"> </w:t>
      </w:r>
      <w:r w:rsidRPr="00205A80">
        <w:rPr>
          <w:rFonts w:asciiTheme="minorHAnsi" w:hAnsiTheme="minorHAnsi" w:cs="Arial"/>
          <w:sz w:val="28"/>
          <w:szCs w:val="28"/>
        </w:rPr>
        <w:t>of</w:t>
      </w:r>
      <w:r w:rsidR="00BE6935" w:rsidRPr="00205A80">
        <w:rPr>
          <w:rFonts w:asciiTheme="minorHAnsi" w:hAnsiTheme="minorHAnsi" w:cs="Arial"/>
          <w:sz w:val="28"/>
          <w:szCs w:val="28"/>
        </w:rPr>
        <w:t xml:space="preserve"> </w:t>
      </w:r>
      <w:r w:rsidRPr="00205A80">
        <w:rPr>
          <w:rFonts w:asciiTheme="minorHAnsi" w:hAnsiTheme="minorHAnsi" w:cs="Arial"/>
          <w:sz w:val="28"/>
          <w:szCs w:val="28"/>
        </w:rPr>
        <w:t>Education</w:t>
      </w:r>
    </w:p>
    <w:p w14:paraId="03521372" w14:textId="77777777" w:rsidR="00910534" w:rsidRPr="00EE02C3" w:rsidRDefault="00910534" w:rsidP="00910534">
      <w:pPr>
        <w:pStyle w:val="Text"/>
      </w:pPr>
    </w:p>
    <w:p w14:paraId="7EC0AA44" w14:textId="77777777" w:rsidR="00910534" w:rsidRPr="00EE02C3" w:rsidRDefault="00910534" w:rsidP="00910534">
      <w:pPr>
        <w:pStyle w:val="Heading4"/>
        <w:ind w:left="0"/>
        <w:rPr>
          <w:rFonts w:asciiTheme="minorHAnsi" w:hAnsiTheme="minorHAnsi"/>
        </w:rPr>
      </w:pPr>
    </w:p>
    <w:p w14:paraId="4050F934" w14:textId="77777777" w:rsidR="00910534" w:rsidRPr="00EE02C3" w:rsidRDefault="00910534" w:rsidP="00910534">
      <w:pPr>
        <w:rPr>
          <w:rFonts w:asciiTheme="minorHAnsi" w:hAnsiTheme="minorHAnsi" w:cs="Arial"/>
        </w:rPr>
      </w:pPr>
    </w:p>
    <w:p w14:paraId="7D750C17" w14:textId="6B79E1FC" w:rsidR="00910534" w:rsidRPr="00EE02C3" w:rsidRDefault="000C65D8" w:rsidP="00910534">
      <w:pPr>
        <w:pStyle w:val="Heading4"/>
        <w:ind w:left="0"/>
        <w:rPr>
          <w:rFonts w:asciiTheme="minorHAnsi" w:hAnsiTheme="minorHAnsi"/>
          <w:sz w:val="24"/>
        </w:rPr>
        <w:sectPr w:rsidR="00910534" w:rsidRPr="00EE02C3" w:rsidSect="00816DB0">
          <w:footerReference w:type="even" r:id="rId9"/>
          <w:footerReference w:type="default" r:id="rId10"/>
          <w:pgSz w:w="12240" w:h="15840" w:code="1"/>
          <w:pgMar w:top="1440" w:right="1440" w:bottom="1440" w:left="1440" w:header="720" w:footer="720" w:gutter="0"/>
          <w:pgNumType w:start="1"/>
          <w:cols w:space="720"/>
          <w:noEndnote/>
          <w:titlePg/>
          <w:docGrid w:linePitch="326"/>
        </w:sectPr>
      </w:pPr>
      <w:r>
        <w:rPr>
          <w:rFonts w:asciiTheme="minorHAnsi" w:hAnsiTheme="minorHAnsi"/>
          <w:sz w:val="24"/>
        </w:rPr>
        <w:t>March</w:t>
      </w:r>
      <w:r w:rsidR="005E190A">
        <w:rPr>
          <w:rFonts w:asciiTheme="minorHAnsi" w:hAnsiTheme="minorHAnsi"/>
          <w:sz w:val="24"/>
        </w:rPr>
        <w:t xml:space="preserve"> 2019</w:t>
      </w:r>
    </w:p>
    <w:p w14:paraId="2B2D8E21" w14:textId="75AF25EF" w:rsidR="00CF646B" w:rsidRPr="00011228" w:rsidRDefault="00CF646B">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Arial" w:hAnsi="Arial" w:cs="Arial"/>
          <w:snapToGrid w:val="0"/>
          <w:sz w:val="28"/>
        </w:rPr>
      </w:pPr>
      <w:r w:rsidRPr="00011228">
        <w:rPr>
          <w:rFonts w:ascii="Arial" w:hAnsi="Arial" w:cs="Arial"/>
          <w:b/>
          <w:snapToGrid w:val="0"/>
          <w:sz w:val="28"/>
        </w:rPr>
        <w:lastRenderedPageBreak/>
        <w:t>SECTION</w:t>
      </w:r>
      <w:r w:rsidR="00BE6935">
        <w:rPr>
          <w:rFonts w:ascii="Arial" w:hAnsi="Arial" w:cs="Arial"/>
          <w:b/>
          <w:snapToGrid w:val="0"/>
          <w:sz w:val="28"/>
        </w:rPr>
        <w:t xml:space="preserve"> </w:t>
      </w:r>
      <w:r w:rsidRPr="00011228">
        <w:rPr>
          <w:rFonts w:ascii="Arial" w:hAnsi="Arial" w:cs="Arial"/>
          <w:b/>
          <w:snapToGrid w:val="0"/>
          <w:sz w:val="28"/>
        </w:rPr>
        <w:t>B.</w:t>
      </w:r>
      <w:r w:rsidR="00BE6935">
        <w:rPr>
          <w:rFonts w:ascii="Arial" w:hAnsi="Arial" w:cs="Arial"/>
          <w:snapToGrid w:val="0"/>
          <w:sz w:val="28"/>
        </w:rPr>
        <w:t xml:space="preserve"> </w:t>
      </w:r>
      <w:r w:rsidRPr="00011228">
        <w:rPr>
          <w:rFonts w:ascii="Arial" w:hAnsi="Arial" w:cs="Arial"/>
          <w:b/>
          <w:snapToGrid w:val="0"/>
          <w:sz w:val="28"/>
        </w:rPr>
        <w:t>Description</w:t>
      </w:r>
      <w:r w:rsidR="00BE6935">
        <w:rPr>
          <w:rFonts w:ascii="Arial" w:hAnsi="Arial" w:cs="Arial"/>
          <w:b/>
          <w:snapToGrid w:val="0"/>
          <w:sz w:val="28"/>
        </w:rPr>
        <w:t xml:space="preserve"> </w:t>
      </w:r>
      <w:r w:rsidRPr="00011228">
        <w:rPr>
          <w:rFonts w:ascii="Arial" w:hAnsi="Arial" w:cs="Arial"/>
          <w:b/>
          <w:snapToGrid w:val="0"/>
          <w:sz w:val="28"/>
        </w:rPr>
        <w:t>of</w:t>
      </w:r>
      <w:r w:rsidR="00BE6935">
        <w:rPr>
          <w:rFonts w:ascii="Arial" w:hAnsi="Arial" w:cs="Arial"/>
          <w:b/>
          <w:snapToGrid w:val="0"/>
          <w:sz w:val="28"/>
        </w:rPr>
        <w:t xml:space="preserve"> </w:t>
      </w:r>
      <w:r w:rsidRPr="00011228">
        <w:rPr>
          <w:rFonts w:ascii="Arial" w:hAnsi="Arial" w:cs="Arial"/>
          <w:b/>
          <w:snapToGrid w:val="0"/>
          <w:sz w:val="28"/>
        </w:rPr>
        <w:t>Statistical</w:t>
      </w:r>
      <w:r w:rsidR="00BE6935">
        <w:rPr>
          <w:rFonts w:ascii="Arial" w:hAnsi="Arial" w:cs="Arial"/>
          <w:b/>
          <w:snapToGrid w:val="0"/>
          <w:sz w:val="28"/>
        </w:rPr>
        <w:t xml:space="preserve"> </w:t>
      </w:r>
      <w:r w:rsidRPr="00011228">
        <w:rPr>
          <w:rFonts w:ascii="Arial" w:hAnsi="Arial" w:cs="Arial"/>
          <w:b/>
          <w:snapToGrid w:val="0"/>
          <w:sz w:val="28"/>
        </w:rPr>
        <w:t>Methodology</w:t>
      </w:r>
    </w:p>
    <w:p w14:paraId="0DB2553F" w14:textId="77777777" w:rsidR="00CF646B" w:rsidRPr="003E393B" w:rsidRDefault="00CF646B" w:rsidP="00E20590">
      <w:pPr>
        <w:widowControl w:val="0"/>
        <w:spacing w:line="279" w:lineRule="atLeast"/>
        <w:ind w:left="90"/>
        <w:rPr>
          <w:b/>
          <w:snapToGrid w:val="0"/>
        </w:rPr>
      </w:pPr>
    </w:p>
    <w:p w14:paraId="0D7D006C" w14:textId="161D0209" w:rsidR="00CF646B" w:rsidRPr="003E393B" w:rsidRDefault="00CF646B" w:rsidP="00E20590">
      <w:pPr>
        <w:widowControl w:val="0"/>
        <w:spacing w:line="279" w:lineRule="atLeast"/>
        <w:ind w:left="90"/>
        <w:outlineLvl w:val="0"/>
        <w:rPr>
          <w:snapToGrid w:val="0"/>
        </w:rPr>
      </w:pPr>
      <w:r w:rsidRPr="003E393B">
        <w:rPr>
          <w:b/>
          <w:snapToGrid w:val="0"/>
        </w:rPr>
        <w:t>B.1.</w:t>
      </w:r>
      <w:r w:rsidRPr="003E393B">
        <w:rPr>
          <w:snapToGrid w:val="0"/>
        </w:rPr>
        <w:tab/>
      </w:r>
      <w:r w:rsidRPr="003E393B">
        <w:rPr>
          <w:b/>
          <w:snapToGrid w:val="0"/>
          <w:u w:val="single"/>
        </w:rPr>
        <w:t>Respondent</w:t>
      </w:r>
      <w:r w:rsidR="00BE6935" w:rsidRPr="003E393B">
        <w:rPr>
          <w:b/>
          <w:snapToGrid w:val="0"/>
          <w:u w:val="single"/>
        </w:rPr>
        <w:t xml:space="preserve"> </w:t>
      </w:r>
      <w:r w:rsidRPr="003E393B">
        <w:rPr>
          <w:b/>
          <w:snapToGrid w:val="0"/>
          <w:u w:val="single"/>
        </w:rPr>
        <w:t>Universe</w:t>
      </w:r>
    </w:p>
    <w:p w14:paraId="0F85DAFF" w14:textId="77777777" w:rsidR="00CF646B" w:rsidRPr="003E393B" w:rsidRDefault="00CF646B" w:rsidP="00E20590">
      <w:pPr>
        <w:widowControl w:val="0"/>
        <w:spacing w:line="279" w:lineRule="atLeast"/>
        <w:ind w:left="90"/>
        <w:rPr>
          <w:snapToGrid w:val="0"/>
        </w:rPr>
      </w:pPr>
    </w:p>
    <w:p w14:paraId="6AEC0107" w14:textId="28786F89" w:rsidR="00347C49" w:rsidRDefault="00347C49" w:rsidP="005C5EC1">
      <w:pPr>
        <w:widowControl w:val="0"/>
        <w:spacing w:line="279" w:lineRule="atLeast"/>
        <w:rPr>
          <w:snapToGrid w:val="0"/>
        </w:rPr>
      </w:pPr>
      <w:r w:rsidRPr="00347C49">
        <w:rPr>
          <w:snapToGrid w:val="0"/>
        </w:rPr>
        <w:t xml:space="preserve">In 2017-18, IPEDS collected data from 6,642 postsecondary institutions in the United States and the other jurisdictions that are eligible to participate in Title IV Federal financial aid programs. </w:t>
      </w:r>
      <w:r w:rsidR="006B41D0" w:rsidRPr="003E393B">
        <w:rPr>
          <w:snapToGrid w:val="0"/>
        </w:rPr>
        <w:t xml:space="preserve">By law, </w:t>
      </w:r>
      <w:r w:rsidR="006B41D0">
        <w:rPr>
          <w:snapToGrid w:val="0"/>
        </w:rPr>
        <w:t>a</w:t>
      </w:r>
      <w:r w:rsidRPr="00347C49">
        <w:rPr>
          <w:snapToGrid w:val="0"/>
        </w:rPr>
        <w:t>ll Title IV institutions are required to respond to IPEDS (Section 490 of the Higher Education Amendments of 1992 [P.L. 102-325]). IPEDS allows other (non-title IV) institutions to participate on a voluntary basis; approximately 200 non-title IV institutions elect to respond each year. Institution closures and mergers have led to a decrease in the number of institutions in the IPEDS universe over the past few years. Due to these fluctuations, combined with the addition of new institutions, NCES uses rounded estimates for the number of institutions in the respondent burden calculations for the upcoming years (estimated 6,</w:t>
      </w:r>
      <w:r w:rsidR="003E625C">
        <w:rPr>
          <w:snapToGrid w:val="0"/>
        </w:rPr>
        <w:t>4</w:t>
      </w:r>
      <w:r w:rsidRPr="00347C49">
        <w:rPr>
          <w:snapToGrid w:val="0"/>
        </w:rPr>
        <w:t xml:space="preserve">00 Title IV institutions plus 200 non-title IV institutions for </w:t>
      </w:r>
      <w:r w:rsidR="001D1773">
        <w:rPr>
          <w:snapToGrid w:val="0"/>
        </w:rPr>
        <w:t xml:space="preserve">a </w:t>
      </w:r>
      <w:r w:rsidRPr="00347C49">
        <w:rPr>
          <w:snapToGrid w:val="0"/>
        </w:rPr>
        <w:t>total of 6,</w:t>
      </w:r>
      <w:r w:rsidR="003E625C">
        <w:rPr>
          <w:snapToGrid w:val="0"/>
        </w:rPr>
        <w:t>6</w:t>
      </w:r>
      <w:r w:rsidRPr="00347C49">
        <w:rPr>
          <w:snapToGrid w:val="0"/>
        </w:rPr>
        <w:t xml:space="preserve">00 </w:t>
      </w:r>
      <w:r w:rsidR="001D1773">
        <w:rPr>
          <w:snapToGrid w:val="0"/>
        </w:rPr>
        <w:t>i</w:t>
      </w:r>
      <w:r w:rsidRPr="00347C49">
        <w:rPr>
          <w:snapToGrid w:val="0"/>
        </w:rPr>
        <w:t xml:space="preserve">nstitutions </w:t>
      </w:r>
      <w:r w:rsidR="001D1773" w:rsidRPr="00347C49">
        <w:rPr>
          <w:snapToGrid w:val="0"/>
        </w:rPr>
        <w:t xml:space="preserve">estimated </w:t>
      </w:r>
      <w:r w:rsidR="001D1773">
        <w:rPr>
          <w:snapToGrid w:val="0"/>
        </w:rPr>
        <w:t xml:space="preserve">to </w:t>
      </w:r>
      <w:r w:rsidR="00E27FCD">
        <w:rPr>
          <w:snapToGrid w:val="0"/>
        </w:rPr>
        <w:t>submit</w:t>
      </w:r>
      <w:r w:rsidRPr="00347C49">
        <w:rPr>
          <w:snapToGrid w:val="0"/>
        </w:rPr>
        <w:t xml:space="preserve"> IPEDS data </w:t>
      </w:r>
      <w:r w:rsidR="00F41128">
        <w:rPr>
          <w:snapToGrid w:val="0"/>
        </w:rPr>
        <w:t>during</w:t>
      </w:r>
      <w:r w:rsidRPr="00347C49">
        <w:rPr>
          <w:snapToGrid w:val="0"/>
        </w:rPr>
        <w:t xml:space="preserve"> </w:t>
      </w:r>
      <w:r w:rsidR="00F41128">
        <w:rPr>
          <w:snapToGrid w:val="0"/>
        </w:rPr>
        <w:t xml:space="preserve">the </w:t>
      </w:r>
      <w:r w:rsidR="00FD375E" w:rsidRPr="00FD375E">
        <w:rPr>
          <w:snapToGrid w:val="0"/>
        </w:rPr>
        <w:t>2019-20 through 2021-22 IPEDS data collections</w:t>
      </w:r>
      <w:r w:rsidRPr="00347C49">
        <w:rPr>
          <w:snapToGrid w:val="0"/>
        </w:rPr>
        <w:t>).</w:t>
      </w:r>
    </w:p>
    <w:p w14:paraId="0B1388C2" w14:textId="77777777" w:rsidR="00E27FCD" w:rsidRDefault="00E27FCD" w:rsidP="005C5EC1">
      <w:pPr>
        <w:widowControl w:val="0"/>
        <w:spacing w:line="279" w:lineRule="atLeast"/>
        <w:rPr>
          <w:snapToGrid w:val="0"/>
        </w:rPr>
      </w:pPr>
    </w:p>
    <w:p w14:paraId="7EE9B49A" w14:textId="77777777" w:rsidR="00B57CFB" w:rsidRDefault="00551079" w:rsidP="00EE278E">
      <w:pPr>
        <w:widowControl w:val="0"/>
        <w:spacing w:line="279" w:lineRule="atLeast"/>
        <w:rPr>
          <w:snapToGrid w:val="0"/>
        </w:rPr>
      </w:pPr>
      <w:r>
        <w:rPr>
          <w:snapToGrid w:val="0"/>
        </w:rPr>
        <w:t xml:space="preserve">Table 1 provides the number of institutions that submitted data </w:t>
      </w:r>
      <w:r w:rsidR="00F41128">
        <w:rPr>
          <w:snapToGrid w:val="0"/>
        </w:rPr>
        <w:t>during the</w:t>
      </w:r>
      <w:r>
        <w:rPr>
          <w:snapToGrid w:val="0"/>
        </w:rPr>
        <w:t xml:space="preserve"> 2017-18 </w:t>
      </w:r>
      <w:r w:rsidR="00F41128">
        <w:rPr>
          <w:snapToGrid w:val="0"/>
        </w:rPr>
        <w:t xml:space="preserve">IPEDS data collection </w:t>
      </w:r>
      <w:r w:rsidR="00397F2C">
        <w:rPr>
          <w:snapToGrid w:val="0"/>
        </w:rPr>
        <w:t xml:space="preserve">and the number of institutions </w:t>
      </w:r>
      <w:r w:rsidR="00E22F86">
        <w:rPr>
          <w:snapToGrid w:val="0"/>
        </w:rPr>
        <w:t xml:space="preserve">estimated to </w:t>
      </w:r>
      <w:r w:rsidR="00397F2C">
        <w:rPr>
          <w:snapToGrid w:val="0"/>
        </w:rPr>
        <w:t xml:space="preserve">submit data during the </w:t>
      </w:r>
      <w:r w:rsidR="00397F2C" w:rsidRPr="00FD375E">
        <w:rPr>
          <w:snapToGrid w:val="0"/>
        </w:rPr>
        <w:t>2019-20 through 2021-22 IPEDS data collections</w:t>
      </w:r>
      <w:r w:rsidR="00E22F86">
        <w:rPr>
          <w:snapToGrid w:val="0"/>
        </w:rPr>
        <w:t>, disaggregated by the type of institution (</w:t>
      </w:r>
      <w:r w:rsidR="00953818" w:rsidRPr="003E393B">
        <w:rPr>
          <w:snapToGrid w:val="0"/>
        </w:rPr>
        <w:t xml:space="preserve">Title IV </w:t>
      </w:r>
      <w:r w:rsidR="00E22F86">
        <w:rPr>
          <w:snapToGrid w:val="0"/>
        </w:rPr>
        <w:t xml:space="preserve">institutions </w:t>
      </w:r>
      <w:r w:rsidR="00953818" w:rsidRPr="003E393B">
        <w:rPr>
          <w:snapToGrid w:val="0"/>
        </w:rPr>
        <w:t xml:space="preserve">are </w:t>
      </w:r>
      <w:r w:rsidR="008668B8">
        <w:rPr>
          <w:snapToGrid w:val="0"/>
        </w:rPr>
        <w:t>disaggregated</w:t>
      </w:r>
      <w:r w:rsidR="00953818" w:rsidRPr="003E393B">
        <w:rPr>
          <w:snapToGrid w:val="0"/>
        </w:rPr>
        <w:t xml:space="preserve"> by highest level of offering</w:t>
      </w:r>
      <w:r w:rsidR="008668B8">
        <w:rPr>
          <w:snapToGrid w:val="0"/>
        </w:rPr>
        <w:t xml:space="preserve">: </w:t>
      </w:r>
      <w:r w:rsidR="00953818" w:rsidRPr="003E393B">
        <w:rPr>
          <w:snapToGrid w:val="0"/>
        </w:rPr>
        <w:t>4-year award or above, 2-year award, less than 2-year award)</w:t>
      </w:r>
      <w:r w:rsidR="008668B8">
        <w:rPr>
          <w:snapToGrid w:val="0"/>
        </w:rPr>
        <w:t>.</w:t>
      </w:r>
      <w:r w:rsidR="003E625C">
        <w:rPr>
          <w:snapToGrid w:val="0"/>
        </w:rPr>
        <w:t xml:space="preserve"> Note that </w:t>
      </w:r>
      <w:r w:rsidR="00EE6D5C">
        <w:rPr>
          <w:snapToGrid w:val="0"/>
        </w:rPr>
        <w:t xml:space="preserve">based on yet </w:t>
      </w:r>
      <w:r w:rsidR="003E625C">
        <w:rPr>
          <w:snapToGrid w:val="0"/>
        </w:rPr>
        <w:t>unpublished numbers from the 2018-19 data collection, NCES has decreased the estimates for the number of institutions that are expected to report to IPEDS in the 2019-20 through 2021-22 data collections.</w:t>
      </w:r>
    </w:p>
    <w:p w14:paraId="33C95109" w14:textId="522F62AF" w:rsidR="00CF646B" w:rsidRPr="003E393B" w:rsidRDefault="00CF646B" w:rsidP="00EE278E">
      <w:pPr>
        <w:widowControl w:val="0"/>
        <w:spacing w:line="279" w:lineRule="atLeast"/>
        <w:outlineLvl w:val="0"/>
        <w:rPr>
          <w:b/>
          <w:snapToGrid w:val="0"/>
        </w:rPr>
      </w:pPr>
    </w:p>
    <w:p w14:paraId="2BA4096A" w14:textId="3B0D6ECF" w:rsidR="00BE6935" w:rsidRPr="00E20590" w:rsidRDefault="00BC07F4" w:rsidP="00341071">
      <w:pPr>
        <w:widowControl w:val="0"/>
        <w:spacing w:line="279" w:lineRule="atLeast"/>
        <w:ind w:left="810" w:hanging="810"/>
        <w:outlineLvl w:val="0"/>
        <w:rPr>
          <w:b/>
          <w:snapToGrid w:val="0"/>
          <w:sz w:val="22"/>
        </w:rPr>
      </w:pPr>
      <w:bookmarkStart w:id="1" w:name="_Hlk531244569"/>
      <w:r w:rsidRPr="00267F61">
        <w:rPr>
          <w:b/>
          <w:snapToGrid w:val="0"/>
          <w:sz w:val="22"/>
        </w:rPr>
        <w:t>Table</w:t>
      </w:r>
      <w:r w:rsidR="00BE6935" w:rsidRPr="00267F61">
        <w:rPr>
          <w:b/>
          <w:snapToGrid w:val="0"/>
          <w:sz w:val="22"/>
        </w:rPr>
        <w:t xml:space="preserve"> </w:t>
      </w:r>
      <w:r w:rsidR="00267F61">
        <w:rPr>
          <w:b/>
          <w:snapToGrid w:val="0"/>
          <w:sz w:val="22"/>
        </w:rPr>
        <w:t>1</w:t>
      </w:r>
      <w:r w:rsidR="00E20590">
        <w:rPr>
          <w:b/>
          <w:snapToGrid w:val="0"/>
          <w:sz w:val="22"/>
        </w:rPr>
        <w:t xml:space="preserve">. </w:t>
      </w:r>
      <w:r w:rsidR="00642D3B">
        <w:rPr>
          <w:b/>
          <w:snapToGrid w:val="0"/>
          <w:sz w:val="22"/>
        </w:rPr>
        <w:t xml:space="preserve">Actual 2017-18 and Estimated 2019-20 </w:t>
      </w:r>
      <w:r w:rsidR="00EE6D5C">
        <w:rPr>
          <w:b/>
          <w:snapToGrid w:val="0"/>
          <w:sz w:val="22"/>
        </w:rPr>
        <w:t>t</w:t>
      </w:r>
      <w:r w:rsidR="00642D3B">
        <w:rPr>
          <w:b/>
          <w:snapToGrid w:val="0"/>
          <w:sz w:val="22"/>
        </w:rPr>
        <w:t xml:space="preserve">hrough 2021-22 </w:t>
      </w:r>
      <w:r w:rsidR="00A30F3D">
        <w:rPr>
          <w:b/>
          <w:snapToGrid w:val="0"/>
          <w:sz w:val="22"/>
        </w:rPr>
        <w:t>Number</w:t>
      </w:r>
      <w:r w:rsidR="00642D3B">
        <w:rPr>
          <w:b/>
          <w:snapToGrid w:val="0"/>
          <w:sz w:val="22"/>
        </w:rPr>
        <w:t xml:space="preserve"> of Institutions Submitting IPEDS Data</w:t>
      </w:r>
    </w:p>
    <w:tbl>
      <w:tblPr>
        <w:tblStyle w:val="TableGrid"/>
        <w:tblW w:w="5000" w:type="pct"/>
        <w:tblLook w:val="04A0" w:firstRow="1" w:lastRow="0" w:firstColumn="1" w:lastColumn="0" w:noHBand="0" w:noVBand="1"/>
      </w:tblPr>
      <w:tblGrid>
        <w:gridCol w:w="2734"/>
        <w:gridCol w:w="3997"/>
        <w:gridCol w:w="3997"/>
      </w:tblGrid>
      <w:tr w:rsidR="00925B7C" w:rsidRPr="00E20590" w14:paraId="2B219D50" w14:textId="324120FE" w:rsidTr="00DD4854">
        <w:trPr>
          <w:trHeight w:val="144"/>
        </w:trPr>
        <w:tc>
          <w:tcPr>
            <w:tcW w:w="1274" w:type="pct"/>
            <w:vAlign w:val="center"/>
          </w:tcPr>
          <w:p w14:paraId="431D79CF" w14:textId="6A087B8D" w:rsidR="00925B7C" w:rsidRPr="00C24CAD" w:rsidRDefault="00925B7C" w:rsidP="00DD4854">
            <w:pPr>
              <w:widowControl w:val="0"/>
              <w:ind w:left="86"/>
              <w:jc w:val="center"/>
              <w:rPr>
                <w:b/>
                <w:snapToGrid w:val="0"/>
                <w:sz w:val="20"/>
                <w:szCs w:val="20"/>
              </w:rPr>
            </w:pPr>
            <w:r w:rsidRPr="00C24CAD">
              <w:rPr>
                <w:b/>
                <w:snapToGrid w:val="0"/>
                <w:sz w:val="20"/>
                <w:szCs w:val="20"/>
              </w:rPr>
              <w:t>Institution Type</w:t>
            </w:r>
          </w:p>
        </w:tc>
        <w:tc>
          <w:tcPr>
            <w:tcW w:w="1863" w:type="pct"/>
            <w:vAlign w:val="center"/>
          </w:tcPr>
          <w:p w14:paraId="5CD6CDD1" w14:textId="782C354F" w:rsidR="00925B7C" w:rsidRPr="00C24CAD" w:rsidRDefault="00925B7C" w:rsidP="00DD4854">
            <w:pPr>
              <w:widowControl w:val="0"/>
              <w:ind w:left="86"/>
              <w:jc w:val="center"/>
              <w:rPr>
                <w:b/>
                <w:snapToGrid w:val="0"/>
                <w:sz w:val="20"/>
                <w:szCs w:val="20"/>
              </w:rPr>
            </w:pPr>
            <w:r w:rsidRPr="00C24CAD">
              <w:rPr>
                <w:b/>
                <w:snapToGrid w:val="0"/>
                <w:sz w:val="20"/>
                <w:szCs w:val="20"/>
              </w:rPr>
              <w:t>2017-18 Institution Counts</w:t>
            </w:r>
            <w:r w:rsidR="008633AC" w:rsidRPr="00C24CAD">
              <w:rPr>
                <w:b/>
                <w:snapToGrid w:val="0"/>
                <w:sz w:val="20"/>
                <w:szCs w:val="20"/>
              </w:rPr>
              <w:t>*</w:t>
            </w:r>
          </w:p>
        </w:tc>
        <w:tc>
          <w:tcPr>
            <w:tcW w:w="1863" w:type="pct"/>
          </w:tcPr>
          <w:p w14:paraId="079B761C" w14:textId="1779C61E" w:rsidR="00925B7C" w:rsidRPr="00C24CAD" w:rsidRDefault="00925B7C" w:rsidP="00DD4854">
            <w:pPr>
              <w:widowControl w:val="0"/>
              <w:ind w:left="86"/>
              <w:jc w:val="center"/>
              <w:rPr>
                <w:b/>
                <w:snapToGrid w:val="0"/>
                <w:sz w:val="20"/>
                <w:szCs w:val="20"/>
              </w:rPr>
            </w:pPr>
            <w:r w:rsidRPr="00C24CAD">
              <w:rPr>
                <w:b/>
                <w:snapToGrid w:val="0"/>
                <w:sz w:val="20"/>
                <w:szCs w:val="20"/>
              </w:rPr>
              <w:t xml:space="preserve">Estimates </w:t>
            </w:r>
            <w:r w:rsidR="0089168D" w:rsidRPr="00C24CAD">
              <w:rPr>
                <w:b/>
                <w:snapToGrid w:val="0"/>
                <w:sz w:val="20"/>
                <w:szCs w:val="20"/>
              </w:rPr>
              <w:t>U</w:t>
            </w:r>
            <w:r w:rsidRPr="00C24CAD">
              <w:rPr>
                <w:b/>
                <w:snapToGrid w:val="0"/>
                <w:sz w:val="20"/>
                <w:szCs w:val="20"/>
              </w:rPr>
              <w:t xml:space="preserve">sed in </w:t>
            </w:r>
            <w:r w:rsidR="0089168D" w:rsidRPr="00C24CAD">
              <w:rPr>
                <w:b/>
                <w:snapToGrid w:val="0"/>
                <w:sz w:val="20"/>
                <w:szCs w:val="20"/>
              </w:rPr>
              <w:t>B</w:t>
            </w:r>
            <w:r w:rsidRPr="00C24CAD">
              <w:rPr>
                <w:b/>
                <w:snapToGrid w:val="0"/>
                <w:sz w:val="20"/>
                <w:szCs w:val="20"/>
              </w:rPr>
              <w:t xml:space="preserve">urden </w:t>
            </w:r>
            <w:r w:rsidR="0089168D" w:rsidRPr="00C24CAD">
              <w:rPr>
                <w:b/>
                <w:snapToGrid w:val="0"/>
                <w:sz w:val="20"/>
                <w:szCs w:val="20"/>
              </w:rPr>
              <w:t>C</w:t>
            </w:r>
            <w:r w:rsidRPr="00C24CAD">
              <w:rPr>
                <w:b/>
                <w:snapToGrid w:val="0"/>
                <w:sz w:val="20"/>
                <w:szCs w:val="20"/>
              </w:rPr>
              <w:t xml:space="preserve">alculations for the 2019-20 to 2021-22 </w:t>
            </w:r>
            <w:r w:rsidR="0089168D" w:rsidRPr="00C24CAD">
              <w:rPr>
                <w:b/>
                <w:snapToGrid w:val="0"/>
                <w:sz w:val="20"/>
                <w:szCs w:val="20"/>
              </w:rPr>
              <w:t>C</w:t>
            </w:r>
            <w:r w:rsidRPr="00C24CAD">
              <w:rPr>
                <w:b/>
                <w:snapToGrid w:val="0"/>
                <w:sz w:val="20"/>
                <w:szCs w:val="20"/>
              </w:rPr>
              <w:t>ollections</w:t>
            </w:r>
          </w:p>
        </w:tc>
      </w:tr>
      <w:tr w:rsidR="00925B7C" w:rsidRPr="008E005C" w14:paraId="2D64A596" w14:textId="720ECEBC" w:rsidTr="00DD4854">
        <w:trPr>
          <w:trHeight w:val="144"/>
        </w:trPr>
        <w:tc>
          <w:tcPr>
            <w:tcW w:w="1274" w:type="pct"/>
            <w:vAlign w:val="center"/>
          </w:tcPr>
          <w:p w14:paraId="439CC8E6" w14:textId="77777777" w:rsidR="00925B7C" w:rsidRPr="00C24CAD" w:rsidRDefault="00925B7C" w:rsidP="00DD4854">
            <w:pPr>
              <w:widowControl w:val="0"/>
              <w:ind w:left="86"/>
              <w:rPr>
                <w:b/>
                <w:snapToGrid w:val="0"/>
                <w:sz w:val="20"/>
                <w:szCs w:val="20"/>
              </w:rPr>
            </w:pPr>
            <w:r w:rsidRPr="00C24CAD">
              <w:rPr>
                <w:b/>
                <w:snapToGrid w:val="0"/>
                <w:sz w:val="20"/>
                <w:szCs w:val="20"/>
              </w:rPr>
              <w:t>Total</w:t>
            </w:r>
          </w:p>
        </w:tc>
        <w:tc>
          <w:tcPr>
            <w:tcW w:w="1863" w:type="pct"/>
            <w:vAlign w:val="center"/>
          </w:tcPr>
          <w:p w14:paraId="70D3FA4A" w14:textId="32B95246" w:rsidR="00925B7C" w:rsidRPr="00C24CAD" w:rsidRDefault="00925B7C" w:rsidP="00DD4854">
            <w:pPr>
              <w:widowControl w:val="0"/>
              <w:ind w:left="86"/>
              <w:jc w:val="right"/>
              <w:rPr>
                <w:b/>
                <w:snapToGrid w:val="0"/>
                <w:sz w:val="20"/>
                <w:szCs w:val="20"/>
              </w:rPr>
            </w:pPr>
            <w:r w:rsidRPr="00C24CAD">
              <w:rPr>
                <w:b/>
                <w:snapToGrid w:val="0"/>
                <w:sz w:val="20"/>
                <w:szCs w:val="20"/>
              </w:rPr>
              <w:t>6,</w:t>
            </w:r>
            <w:r w:rsidR="002548B1" w:rsidRPr="00C24CAD">
              <w:rPr>
                <w:b/>
                <w:snapToGrid w:val="0"/>
                <w:sz w:val="20"/>
                <w:szCs w:val="20"/>
              </w:rPr>
              <w:t>842</w:t>
            </w:r>
          </w:p>
        </w:tc>
        <w:tc>
          <w:tcPr>
            <w:tcW w:w="1863" w:type="pct"/>
          </w:tcPr>
          <w:p w14:paraId="3D1DF5D6" w14:textId="68FB4FAD" w:rsidR="00925B7C" w:rsidRPr="00C24CAD" w:rsidRDefault="002548B1" w:rsidP="00DD4854">
            <w:pPr>
              <w:widowControl w:val="0"/>
              <w:ind w:left="86"/>
              <w:jc w:val="right"/>
              <w:rPr>
                <w:b/>
                <w:snapToGrid w:val="0"/>
                <w:sz w:val="20"/>
                <w:szCs w:val="20"/>
              </w:rPr>
            </w:pPr>
            <w:r w:rsidRPr="00C24CAD">
              <w:rPr>
                <w:b/>
                <w:snapToGrid w:val="0"/>
                <w:sz w:val="20"/>
                <w:szCs w:val="20"/>
              </w:rPr>
              <w:t>6,</w:t>
            </w:r>
            <w:r w:rsidR="003E625C" w:rsidRPr="00C24CAD">
              <w:rPr>
                <w:b/>
                <w:snapToGrid w:val="0"/>
                <w:sz w:val="20"/>
                <w:szCs w:val="20"/>
              </w:rPr>
              <w:t>6</w:t>
            </w:r>
            <w:r w:rsidRPr="00C24CAD">
              <w:rPr>
                <w:b/>
                <w:snapToGrid w:val="0"/>
                <w:sz w:val="20"/>
                <w:szCs w:val="20"/>
              </w:rPr>
              <w:t>00</w:t>
            </w:r>
          </w:p>
        </w:tc>
      </w:tr>
      <w:tr w:rsidR="00925B7C" w:rsidRPr="007A7B10" w14:paraId="2D82D1D2" w14:textId="416CF007" w:rsidTr="00DD4854">
        <w:trPr>
          <w:trHeight w:val="144"/>
        </w:trPr>
        <w:tc>
          <w:tcPr>
            <w:tcW w:w="1274" w:type="pct"/>
            <w:vAlign w:val="center"/>
          </w:tcPr>
          <w:p w14:paraId="671E8E69" w14:textId="31E29B59" w:rsidR="00925B7C" w:rsidRPr="00C24CAD" w:rsidRDefault="00B53FB1" w:rsidP="00DD4854">
            <w:pPr>
              <w:widowControl w:val="0"/>
              <w:ind w:left="86"/>
              <w:rPr>
                <w:i/>
                <w:snapToGrid w:val="0"/>
                <w:sz w:val="20"/>
                <w:szCs w:val="20"/>
              </w:rPr>
            </w:pPr>
            <w:r>
              <w:rPr>
                <w:i/>
                <w:snapToGrid w:val="0"/>
                <w:sz w:val="20"/>
                <w:szCs w:val="20"/>
              </w:rPr>
              <w:t xml:space="preserve">  </w:t>
            </w:r>
            <w:r w:rsidR="00925B7C" w:rsidRPr="00C24CAD">
              <w:rPr>
                <w:i/>
                <w:snapToGrid w:val="0"/>
                <w:sz w:val="20"/>
                <w:szCs w:val="20"/>
              </w:rPr>
              <w:t xml:space="preserve"> Title IV institutions</w:t>
            </w:r>
          </w:p>
        </w:tc>
        <w:tc>
          <w:tcPr>
            <w:tcW w:w="1863" w:type="pct"/>
            <w:vAlign w:val="center"/>
          </w:tcPr>
          <w:p w14:paraId="1A4A3FEB" w14:textId="1B0EF545" w:rsidR="00925B7C" w:rsidRPr="00C24CAD" w:rsidRDefault="002548B1" w:rsidP="00DD4854">
            <w:pPr>
              <w:widowControl w:val="0"/>
              <w:ind w:left="86"/>
              <w:jc w:val="right"/>
              <w:rPr>
                <w:i/>
                <w:snapToGrid w:val="0"/>
                <w:sz w:val="20"/>
                <w:szCs w:val="20"/>
              </w:rPr>
            </w:pPr>
            <w:r w:rsidRPr="00C24CAD">
              <w:rPr>
                <w:i/>
                <w:snapToGrid w:val="0"/>
                <w:sz w:val="20"/>
                <w:szCs w:val="20"/>
              </w:rPr>
              <w:t>6,642</w:t>
            </w:r>
          </w:p>
        </w:tc>
        <w:tc>
          <w:tcPr>
            <w:tcW w:w="1863" w:type="pct"/>
          </w:tcPr>
          <w:p w14:paraId="0B411BDB" w14:textId="240566ED" w:rsidR="00925B7C" w:rsidRPr="00C24CAD" w:rsidRDefault="002548B1" w:rsidP="00DD4854">
            <w:pPr>
              <w:widowControl w:val="0"/>
              <w:ind w:left="86"/>
              <w:jc w:val="right"/>
              <w:rPr>
                <w:i/>
                <w:snapToGrid w:val="0"/>
                <w:sz w:val="20"/>
                <w:szCs w:val="20"/>
              </w:rPr>
            </w:pPr>
            <w:r w:rsidRPr="00C24CAD">
              <w:rPr>
                <w:i/>
                <w:snapToGrid w:val="0"/>
                <w:sz w:val="20"/>
                <w:szCs w:val="20"/>
              </w:rPr>
              <w:t>6,</w:t>
            </w:r>
            <w:r w:rsidR="003E625C" w:rsidRPr="00C24CAD">
              <w:rPr>
                <w:i/>
                <w:snapToGrid w:val="0"/>
                <w:sz w:val="20"/>
                <w:szCs w:val="20"/>
              </w:rPr>
              <w:t>4</w:t>
            </w:r>
            <w:r w:rsidRPr="00C24CAD">
              <w:rPr>
                <w:i/>
                <w:snapToGrid w:val="0"/>
                <w:sz w:val="20"/>
                <w:szCs w:val="20"/>
              </w:rPr>
              <w:t>00</w:t>
            </w:r>
          </w:p>
        </w:tc>
      </w:tr>
      <w:tr w:rsidR="00925B7C" w:rsidRPr="007A7B10" w14:paraId="76AFA055" w14:textId="5BD655D5" w:rsidTr="00DD4854">
        <w:trPr>
          <w:trHeight w:val="144"/>
        </w:trPr>
        <w:tc>
          <w:tcPr>
            <w:tcW w:w="1274" w:type="pct"/>
            <w:vAlign w:val="center"/>
          </w:tcPr>
          <w:p w14:paraId="09312664" w14:textId="1E2D8140" w:rsidR="00925B7C" w:rsidRPr="00C24CAD" w:rsidRDefault="00B53FB1" w:rsidP="00DD4854">
            <w:pPr>
              <w:widowControl w:val="0"/>
              <w:ind w:left="86"/>
              <w:rPr>
                <w:snapToGrid w:val="0"/>
                <w:sz w:val="20"/>
                <w:szCs w:val="20"/>
              </w:rPr>
            </w:pPr>
            <w:r>
              <w:rPr>
                <w:snapToGrid w:val="0"/>
                <w:sz w:val="20"/>
                <w:szCs w:val="20"/>
              </w:rPr>
              <w:t xml:space="preserve">     </w:t>
            </w:r>
            <w:r w:rsidR="00925B7C" w:rsidRPr="00C24CAD">
              <w:rPr>
                <w:snapToGrid w:val="0"/>
                <w:sz w:val="20"/>
                <w:szCs w:val="20"/>
              </w:rPr>
              <w:t>4-year</w:t>
            </w:r>
          </w:p>
        </w:tc>
        <w:tc>
          <w:tcPr>
            <w:tcW w:w="1863" w:type="pct"/>
            <w:vAlign w:val="center"/>
          </w:tcPr>
          <w:p w14:paraId="3D9A74F6" w14:textId="59E402F7" w:rsidR="00925B7C" w:rsidRPr="00C24CAD" w:rsidRDefault="002548B1" w:rsidP="00DD4854">
            <w:pPr>
              <w:widowControl w:val="0"/>
              <w:ind w:left="86"/>
              <w:jc w:val="right"/>
              <w:rPr>
                <w:snapToGrid w:val="0"/>
                <w:sz w:val="20"/>
                <w:szCs w:val="20"/>
              </w:rPr>
            </w:pPr>
            <w:r w:rsidRPr="00C24CAD">
              <w:rPr>
                <w:snapToGrid w:val="0"/>
                <w:sz w:val="20"/>
                <w:szCs w:val="20"/>
              </w:rPr>
              <w:t>2,902</w:t>
            </w:r>
            <w:r w:rsidR="00925B7C" w:rsidRPr="00C24CAD">
              <w:rPr>
                <w:snapToGrid w:val="0"/>
                <w:sz w:val="20"/>
                <w:szCs w:val="20"/>
              </w:rPr>
              <w:t xml:space="preserve"> </w:t>
            </w:r>
          </w:p>
        </w:tc>
        <w:tc>
          <w:tcPr>
            <w:tcW w:w="1863" w:type="pct"/>
          </w:tcPr>
          <w:p w14:paraId="48A7ABD6" w14:textId="1A10C835" w:rsidR="00925B7C" w:rsidRPr="00C24CAD" w:rsidRDefault="003E625C" w:rsidP="00DD4854">
            <w:pPr>
              <w:widowControl w:val="0"/>
              <w:ind w:left="86"/>
              <w:jc w:val="right"/>
              <w:rPr>
                <w:snapToGrid w:val="0"/>
                <w:sz w:val="20"/>
                <w:szCs w:val="20"/>
              </w:rPr>
            </w:pPr>
            <w:r w:rsidRPr="00C24CAD">
              <w:rPr>
                <w:snapToGrid w:val="0"/>
                <w:sz w:val="20"/>
                <w:szCs w:val="20"/>
              </w:rPr>
              <w:t>2,800</w:t>
            </w:r>
          </w:p>
        </w:tc>
      </w:tr>
      <w:tr w:rsidR="00925B7C" w:rsidRPr="007A7B10" w14:paraId="2910679B" w14:textId="63781A50" w:rsidTr="00DD4854">
        <w:trPr>
          <w:trHeight w:val="144"/>
        </w:trPr>
        <w:tc>
          <w:tcPr>
            <w:tcW w:w="1274" w:type="pct"/>
            <w:vAlign w:val="center"/>
          </w:tcPr>
          <w:p w14:paraId="4AA6DDC1" w14:textId="4FF9CB0D" w:rsidR="00925B7C" w:rsidRPr="00C24CAD" w:rsidRDefault="00B53FB1" w:rsidP="00DD4854">
            <w:pPr>
              <w:widowControl w:val="0"/>
              <w:ind w:left="86"/>
              <w:rPr>
                <w:snapToGrid w:val="0"/>
                <w:sz w:val="20"/>
                <w:szCs w:val="20"/>
              </w:rPr>
            </w:pPr>
            <w:r>
              <w:rPr>
                <w:snapToGrid w:val="0"/>
                <w:sz w:val="20"/>
                <w:szCs w:val="20"/>
              </w:rPr>
              <w:t xml:space="preserve">     </w:t>
            </w:r>
            <w:r w:rsidR="00925B7C" w:rsidRPr="00C24CAD">
              <w:rPr>
                <w:snapToGrid w:val="0"/>
                <w:sz w:val="20"/>
                <w:szCs w:val="20"/>
              </w:rPr>
              <w:t>2-year</w:t>
            </w:r>
          </w:p>
        </w:tc>
        <w:tc>
          <w:tcPr>
            <w:tcW w:w="1863" w:type="pct"/>
            <w:vAlign w:val="center"/>
          </w:tcPr>
          <w:p w14:paraId="7E961F22" w14:textId="2CDFE86C" w:rsidR="00925B7C" w:rsidRPr="00C24CAD" w:rsidRDefault="002548B1" w:rsidP="00DD4854">
            <w:pPr>
              <w:widowControl w:val="0"/>
              <w:ind w:left="86"/>
              <w:jc w:val="right"/>
              <w:rPr>
                <w:snapToGrid w:val="0"/>
                <w:sz w:val="20"/>
                <w:szCs w:val="20"/>
              </w:rPr>
            </w:pPr>
            <w:r w:rsidRPr="00C24CAD">
              <w:rPr>
                <w:snapToGrid w:val="0"/>
                <w:sz w:val="20"/>
                <w:szCs w:val="20"/>
              </w:rPr>
              <w:t>1,932</w:t>
            </w:r>
          </w:p>
        </w:tc>
        <w:tc>
          <w:tcPr>
            <w:tcW w:w="1863" w:type="pct"/>
          </w:tcPr>
          <w:p w14:paraId="11966CA5" w14:textId="45865B54" w:rsidR="00925B7C" w:rsidRPr="00C24CAD" w:rsidRDefault="003E625C" w:rsidP="00DD4854">
            <w:pPr>
              <w:widowControl w:val="0"/>
              <w:ind w:left="86"/>
              <w:jc w:val="right"/>
              <w:rPr>
                <w:snapToGrid w:val="0"/>
                <w:sz w:val="20"/>
                <w:szCs w:val="20"/>
              </w:rPr>
            </w:pPr>
            <w:r w:rsidRPr="00C24CAD">
              <w:rPr>
                <w:snapToGrid w:val="0"/>
                <w:sz w:val="20"/>
                <w:szCs w:val="20"/>
              </w:rPr>
              <w:t>1,800</w:t>
            </w:r>
          </w:p>
        </w:tc>
      </w:tr>
      <w:tr w:rsidR="00925B7C" w:rsidRPr="007A7B10" w14:paraId="1F500AF3" w14:textId="52D2B9E7" w:rsidTr="00DD4854">
        <w:trPr>
          <w:trHeight w:val="144"/>
        </w:trPr>
        <w:tc>
          <w:tcPr>
            <w:tcW w:w="1274" w:type="pct"/>
            <w:vAlign w:val="center"/>
          </w:tcPr>
          <w:p w14:paraId="756370AF" w14:textId="2A3B8AB3" w:rsidR="00925B7C" w:rsidRPr="00C24CAD" w:rsidRDefault="00B53FB1" w:rsidP="00DD4854">
            <w:pPr>
              <w:widowControl w:val="0"/>
              <w:ind w:left="86"/>
              <w:rPr>
                <w:snapToGrid w:val="0"/>
                <w:sz w:val="20"/>
                <w:szCs w:val="20"/>
              </w:rPr>
            </w:pPr>
            <w:r>
              <w:rPr>
                <w:snapToGrid w:val="0"/>
                <w:sz w:val="20"/>
                <w:szCs w:val="20"/>
              </w:rPr>
              <w:t xml:space="preserve">     </w:t>
            </w:r>
            <w:r w:rsidR="00925B7C" w:rsidRPr="00C24CAD">
              <w:rPr>
                <w:snapToGrid w:val="0"/>
                <w:sz w:val="20"/>
                <w:szCs w:val="20"/>
              </w:rPr>
              <w:t>Less than 2-yr</w:t>
            </w:r>
          </w:p>
        </w:tc>
        <w:tc>
          <w:tcPr>
            <w:tcW w:w="1863" w:type="pct"/>
            <w:vAlign w:val="center"/>
          </w:tcPr>
          <w:p w14:paraId="02E6DF71" w14:textId="5EEB1578" w:rsidR="00925B7C" w:rsidRPr="00C24CAD" w:rsidRDefault="002548B1" w:rsidP="00DD4854">
            <w:pPr>
              <w:widowControl w:val="0"/>
              <w:ind w:left="86"/>
              <w:jc w:val="right"/>
              <w:rPr>
                <w:snapToGrid w:val="0"/>
                <w:sz w:val="20"/>
                <w:szCs w:val="20"/>
              </w:rPr>
            </w:pPr>
            <w:r w:rsidRPr="00C24CAD">
              <w:rPr>
                <w:snapToGrid w:val="0"/>
                <w:sz w:val="20"/>
                <w:szCs w:val="20"/>
              </w:rPr>
              <w:t>1,808</w:t>
            </w:r>
          </w:p>
        </w:tc>
        <w:tc>
          <w:tcPr>
            <w:tcW w:w="1863" w:type="pct"/>
          </w:tcPr>
          <w:p w14:paraId="7932A317" w14:textId="4E0D2673" w:rsidR="00925B7C" w:rsidRPr="00C24CAD" w:rsidRDefault="003E625C" w:rsidP="00DD4854">
            <w:pPr>
              <w:widowControl w:val="0"/>
              <w:ind w:left="86"/>
              <w:jc w:val="right"/>
              <w:rPr>
                <w:snapToGrid w:val="0"/>
                <w:sz w:val="20"/>
                <w:szCs w:val="20"/>
              </w:rPr>
            </w:pPr>
            <w:r w:rsidRPr="00C24CAD">
              <w:rPr>
                <w:snapToGrid w:val="0"/>
                <w:sz w:val="20"/>
                <w:szCs w:val="20"/>
              </w:rPr>
              <w:t>1,800</w:t>
            </w:r>
          </w:p>
        </w:tc>
      </w:tr>
      <w:tr w:rsidR="00925B7C" w:rsidRPr="007A7B10" w14:paraId="7D316EEB" w14:textId="26A790D5" w:rsidTr="00DD4854">
        <w:trPr>
          <w:trHeight w:val="144"/>
        </w:trPr>
        <w:tc>
          <w:tcPr>
            <w:tcW w:w="1274" w:type="pct"/>
            <w:vAlign w:val="center"/>
          </w:tcPr>
          <w:p w14:paraId="42651C2C" w14:textId="75B5566A" w:rsidR="00925B7C" w:rsidRPr="00C24CAD" w:rsidRDefault="00B53FB1" w:rsidP="00DD4854">
            <w:pPr>
              <w:widowControl w:val="0"/>
              <w:ind w:left="86"/>
              <w:rPr>
                <w:i/>
                <w:snapToGrid w:val="0"/>
                <w:sz w:val="20"/>
                <w:szCs w:val="20"/>
              </w:rPr>
            </w:pPr>
            <w:r>
              <w:rPr>
                <w:i/>
                <w:snapToGrid w:val="0"/>
                <w:sz w:val="20"/>
                <w:szCs w:val="20"/>
              </w:rPr>
              <w:t xml:space="preserve">  </w:t>
            </w:r>
            <w:r w:rsidR="00925B7C" w:rsidRPr="00C24CAD">
              <w:rPr>
                <w:i/>
                <w:snapToGrid w:val="0"/>
                <w:sz w:val="20"/>
                <w:szCs w:val="20"/>
              </w:rPr>
              <w:t xml:space="preserve"> Non-Title IV institutions</w:t>
            </w:r>
          </w:p>
        </w:tc>
        <w:tc>
          <w:tcPr>
            <w:tcW w:w="1863" w:type="pct"/>
            <w:vAlign w:val="center"/>
          </w:tcPr>
          <w:p w14:paraId="3BF69150" w14:textId="4DA9E52E" w:rsidR="00925B7C" w:rsidRPr="00C24CAD" w:rsidRDefault="00925B7C" w:rsidP="00DD4854">
            <w:pPr>
              <w:widowControl w:val="0"/>
              <w:ind w:left="86"/>
              <w:jc w:val="right"/>
              <w:rPr>
                <w:i/>
                <w:snapToGrid w:val="0"/>
                <w:sz w:val="20"/>
                <w:szCs w:val="20"/>
              </w:rPr>
            </w:pPr>
            <w:r w:rsidRPr="00C24CAD">
              <w:rPr>
                <w:i/>
                <w:snapToGrid w:val="0"/>
                <w:sz w:val="20"/>
                <w:szCs w:val="20"/>
              </w:rPr>
              <w:t>200</w:t>
            </w:r>
          </w:p>
        </w:tc>
        <w:tc>
          <w:tcPr>
            <w:tcW w:w="1863" w:type="pct"/>
          </w:tcPr>
          <w:p w14:paraId="056C0F61" w14:textId="48B8955C" w:rsidR="00925B7C" w:rsidRPr="00C24CAD" w:rsidRDefault="002548B1" w:rsidP="00DD4854">
            <w:pPr>
              <w:widowControl w:val="0"/>
              <w:ind w:left="86"/>
              <w:jc w:val="right"/>
              <w:rPr>
                <w:i/>
                <w:snapToGrid w:val="0"/>
                <w:sz w:val="20"/>
                <w:szCs w:val="20"/>
              </w:rPr>
            </w:pPr>
            <w:r w:rsidRPr="00C24CAD">
              <w:rPr>
                <w:i/>
                <w:snapToGrid w:val="0"/>
                <w:sz w:val="20"/>
                <w:szCs w:val="20"/>
              </w:rPr>
              <w:t>200</w:t>
            </w:r>
          </w:p>
        </w:tc>
      </w:tr>
    </w:tbl>
    <w:bookmarkEnd w:id="1"/>
    <w:p w14:paraId="50FA7C3B" w14:textId="58FC668A" w:rsidR="002C4E80" w:rsidRDefault="008633AC" w:rsidP="00865F0A">
      <w:pPr>
        <w:widowControl w:val="0"/>
        <w:rPr>
          <w:snapToGrid w:val="0"/>
          <w:sz w:val="16"/>
          <w:szCs w:val="16"/>
        </w:rPr>
      </w:pPr>
      <w:r w:rsidRPr="00695402">
        <w:rPr>
          <w:snapToGrid w:val="0"/>
          <w:sz w:val="16"/>
          <w:szCs w:val="16"/>
        </w:rPr>
        <w:t xml:space="preserve">* </w:t>
      </w:r>
      <w:r w:rsidR="002C4E80" w:rsidRPr="00695402">
        <w:rPr>
          <w:snapToGrid w:val="0"/>
          <w:sz w:val="16"/>
          <w:szCs w:val="16"/>
        </w:rPr>
        <w:t xml:space="preserve">For Title IV institutions: </w:t>
      </w:r>
      <w:r w:rsidR="007F1288" w:rsidRPr="00695402">
        <w:rPr>
          <w:snapToGrid w:val="0"/>
          <w:sz w:val="16"/>
          <w:szCs w:val="16"/>
        </w:rPr>
        <w:t>Ginder, S.A., Kelly-Reid, J.E., and Mann, F.B. (2018). Postsecondary Institutions and Cost of Attendance in 2017–18; Degrees and Other Awards Conferred, 2016–17; and 12-Month Enrollment, 2016–17: First Look (Provisional Data) (NCES 2018-060rev). U.S. Department of Education. Washington, DC: National Ce</w:t>
      </w:r>
      <w:r w:rsidR="00865F0A">
        <w:rPr>
          <w:snapToGrid w:val="0"/>
          <w:sz w:val="16"/>
          <w:szCs w:val="16"/>
        </w:rPr>
        <w:t>nter for Education Statistics.</w:t>
      </w:r>
    </w:p>
    <w:p w14:paraId="65F6B092" w14:textId="77777777" w:rsidR="00865F0A" w:rsidRDefault="00865F0A" w:rsidP="00865F0A">
      <w:pPr>
        <w:widowControl w:val="0"/>
        <w:spacing w:line="279" w:lineRule="atLeast"/>
        <w:rPr>
          <w:snapToGrid w:val="0"/>
          <w:sz w:val="16"/>
          <w:szCs w:val="16"/>
        </w:rPr>
      </w:pPr>
    </w:p>
    <w:p w14:paraId="2D1F8296" w14:textId="4AA2CCCD" w:rsidR="003B05A5" w:rsidRDefault="003B05A5" w:rsidP="00EE278E">
      <w:pPr>
        <w:widowControl w:val="0"/>
        <w:spacing w:line="279" w:lineRule="atLeast"/>
        <w:rPr>
          <w:snapToGrid w:val="0"/>
        </w:rPr>
      </w:pPr>
      <w:r>
        <w:rPr>
          <w:snapToGrid w:val="0"/>
        </w:rPr>
        <w:t xml:space="preserve">Table 2 provides the number of experienced and new keyholders that submitted data </w:t>
      </w:r>
      <w:r w:rsidR="00EE278E">
        <w:rPr>
          <w:snapToGrid w:val="0"/>
        </w:rPr>
        <w:t xml:space="preserve">for a given IPEDS component </w:t>
      </w:r>
      <w:r>
        <w:rPr>
          <w:snapToGrid w:val="0"/>
        </w:rPr>
        <w:t xml:space="preserve">during the 2017-18 IPEDS data collection, disaggregated by the type of institution. These </w:t>
      </w:r>
      <w:r w:rsidR="00EE278E">
        <w:rPr>
          <w:snapToGrid w:val="0"/>
        </w:rPr>
        <w:t>experience</w:t>
      </w:r>
      <w:r w:rsidR="006D3DF9">
        <w:rPr>
          <w:snapToGrid w:val="0"/>
        </w:rPr>
        <w:t>d</w:t>
      </w:r>
      <w:r w:rsidR="00EE278E">
        <w:rPr>
          <w:snapToGrid w:val="0"/>
        </w:rPr>
        <w:t xml:space="preserve"> vs. new keyholder designation is</w:t>
      </w:r>
      <w:r>
        <w:rPr>
          <w:snapToGrid w:val="0"/>
        </w:rPr>
        <w:t xml:space="preserve"> drawn directly from self-reported data in the data collection system, where users indicate whether they are submitting data for the first time when they register.</w:t>
      </w:r>
    </w:p>
    <w:p w14:paraId="6548C9FF" w14:textId="77777777" w:rsidR="00EE278E" w:rsidRPr="003B05A5" w:rsidRDefault="00EE278E" w:rsidP="00EE278E">
      <w:pPr>
        <w:widowControl w:val="0"/>
        <w:spacing w:line="279" w:lineRule="atLeast"/>
        <w:rPr>
          <w:snapToGrid w:val="0"/>
          <w:sz w:val="22"/>
          <w:szCs w:val="22"/>
        </w:rPr>
      </w:pPr>
    </w:p>
    <w:p w14:paraId="47E2A187" w14:textId="39DDE08E" w:rsidR="00816DB0" w:rsidRPr="00E20590" w:rsidRDefault="00816DB0" w:rsidP="00341071">
      <w:pPr>
        <w:widowControl w:val="0"/>
        <w:spacing w:line="279" w:lineRule="atLeast"/>
        <w:ind w:left="810" w:hanging="810"/>
        <w:outlineLvl w:val="0"/>
        <w:rPr>
          <w:b/>
          <w:snapToGrid w:val="0"/>
          <w:sz w:val="22"/>
        </w:rPr>
      </w:pPr>
      <w:r w:rsidRPr="00267F61">
        <w:rPr>
          <w:b/>
          <w:snapToGrid w:val="0"/>
          <w:sz w:val="22"/>
        </w:rPr>
        <w:t xml:space="preserve">Table </w:t>
      </w:r>
      <w:r>
        <w:rPr>
          <w:b/>
          <w:snapToGrid w:val="0"/>
          <w:sz w:val="22"/>
        </w:rPr>
        <w:t>2. 2017-18 Counts of Experience</w:t>
      </w:r>
      <w:r w:rsidR="00861E6E">
        <w:rPr>
          <w:b/>
          <w:snapToGrid w:val="0"/>
          <w:sz w:val="22"/>
        </w:rPr>
        <w:t>d and New Keyholders</w:t>
      </w:r>
      <w:r>
        <w:rPr>
          <w:b/>
          <w:snapToGrid w:val="0"/>
          <w:sz w:val="22"/>
        </w:rPr>
        <w:t xml:space="preserve"> Submitting IPEDS Data</w:t>
      </w:r>
      <w:r w:rsidR="00861E6E">
        <w:rPr>
          <w:b/>
          <w:snapToGrid w:val="0"/>
          <w:sz w:val="22"/>
        </w:rPr>
        <w:t xml:space="preserve">, by </w:t>
      </w:r>
      <w:r w:rsidR="00C24CAD">
        <w:rPr>
          <w:b/>
          <w:snapToGrid w:val="0"/>
          <w:sz w:val="22"/>
        </w:rPr>
        <w:t>Institution Type and IPEDS Component</w:t>
      </w:r>
    </w:p>
    <w:p w14:paraId="5EB7AFDD" w14:textId="77777777" w:rsidR="00816DB0" w:rsidRDefault="00816DB0" w:rsidP="007F1288">
      <w:pPr>
        <w:rPr>
          <w:snapToGrid w:val="0"/>
          <w:sz w:val="14"/>
          <w:szCs w:val="14"/>
        </w:rPr>
      </w:pPr>
    </w:p>
    <w:tbl>
      <w:tblPr>
        <w:tblStyle w:val="TableGrid"/>
        <w:tblW w:w="5000" w:type="pct"/>
        <w:tblLook w:val="04A0" w:firstRow="1" w:lastRow="0" w:firstColumn="1" w:lastColumn="0" w:noHBand="0" w:noVBand="1"/>
      </w:tblPr>
      <w:tblGrid>
        <w:gridCol w:w="1256"/>
        <w:gridCol w:w="1391"/>
        <w:gridCol w:w="1036"/>
        <w:gridCol w:w="1390"/>
        <w:gridCol w:w="1017"/>
        <w:gridCol w:w="1390"/>
        <w:gridCol w:w="1036"/>
        <w:gridCol w:w="1390"/>
        <w:gridCol w:w="822"/>
      </w:tblGrid>
      <w:tr w:rsidR="0048538C" w14:paraId="4082530A" w14:textId="1CD08B56" w:rsidTr="006D3DF9">
        <w:trPr>
          <w:trHeight w:val="144"/>
          <w:tblHeader/>
        </w:trPr>
        <w:tc>
          <w:tcPr>
            <w:tcW w:w="585" w:type="pct"/>
          </w:tcPr>
          <w:p w14:paraId="424728F7" w14:textId="0F0917FF" w:rsidR="0048538C" w:rsidRPr="00DD4854" w:rsidRDefault="0048538C" w:rsidP="00B53FB1">
            <w:pPr>
              <w:rPr>
                <w:b/>
                <w:snapToGrid w:val="0"/>
                <w:sz w:val="20"/>
                <w:szCs w:val="20"/>
              </w:rPr>
            </w:pPr>
            <w:r w:rsidRPr="00DD4854">
              <w:rPr>
                <w:b/>
                <w:snapToGrid w:val="0"/>
                <w:sz w:val="20"/>
                <w:szCs w:val="20"/>
              </w:rPr>
              <w:t>Survey component</w:t>
            </w:r>
          </w:p>
        </w:tc>
        <w:tc>
          <w:tcPr>
            <w:tcW w:w="1131" w:type="pct"/>
            <w:gridSpan w:val="2"/>
            <w:vAlign w:val="center"/>
          </w:tcPr>
          <w:p w14:paraId="2E1241EA" w14:textId="6CA66E04" w:rsidR="0048538C" w:rsidRPr="00DD4854" w:rsidRDefault="0048538C" w:rsidP="00B53FB1">
            <w:pPr>
              <w:jc w:val="center"/>
              <w:rPr>
                <w:b/>
                <w:snapToGrid w:val="0"/>
                <w:sz w:val="20"/>
                <w:szCs w:val="20"/>
              </w:rPr>
            </w:pPr>
            <w:r w:rsidRPr="00DD4854">
              <w:rPr>
                <w:b/>
                <w:snapToGrid w:val="0"/>
                <w:sz w:val="20"/>
                <w:szCs w:val="20"/>
              </w:rPr>
              <w:t>Total</w:t>
            </w:r>
          </w:p>
        </w:tc>
        <w:tc>
          <w:tcPr>
            <w:tcW w:w="1122" w:type="pct"/>
            <w:gridSpan w:val="2"/>
            <w:vAlign w:val="center"/>
          </w:tcPr>
          <w:p w14:paraId="5EB52D51" w14:textId="493DBA9B" w:rsidR="0048538C" w:rsidRPr="00DD4854" w:rsidRDefault="0048538C" w:rsidP="00B53FB1">
            <w:pPr>
              <w:jc w:val="center"/>
              <w:rPr>
                <w:b/>
                <w:snapToGrid w:val="0"/>
                <w:sz w:val="20"/>
                <w:szCs w:val="20"/>
              </w:rPr>
            </w:pPr>
            <w:r w:rsidRPr="00DD4854">
              <w:rPr>
                <w:b/>
                <w:snapToGrid w:val="0"/>
                <w:sz w:val="20"/>
                <w:szCs w:val="20"/>
              </w:rPr>
              <w:t>4-year institutions</w:t>
            </w:r>
          </w:p>
        </w:tc>
        <w:tc>
          <w:tcPr>
            <w:tcW w:w="1131" w:type="pct"/>
            <w:gridSpan w:val="2"/>
            <w:vAlign w:val="center"/>
          </w:tcPr>
          <w:p w14:paraId="6710DB2E" w14:textId="602CAFA9" w:rsidR="0048538C" w:rsidRPr="00DD4854" w:rsidRDefault="0048538C" w:rsidP="00B53FB1">
            <w:pPr>
              <w:jc w:val="center"/>
              <w:rPr>
                <w:b/>
                <w:snapToGrid w:val="0"/>
                <w:sz w:val="20"/>
                <w:szCs w:val="20"/>
              </w:rPr>
            </w:pPr>
            <w:r w:rsidRPr="00DD4854">
              <w:rPr>
                <w:b/>
                <w:snapToGrid w:val="0"/>
                <w:sz w:val="20"/>
                <w:szCs w:val="20"/>
              </w:rPr>
              <w:t>2-year institutions</w:t>
            </w:r>
          </w:p>
        </w:tc>
        <w:tc>
          <w:tcPr>
            <w:tcW w:w="1031" w:type="pct"/>
            <w:gridSpan w:val="2"/>
            <w:vAlign w:val="center"/>
          </w:tcPr>
          <w:p w14:paraId="077E2096" w14:textId="2D5BE10E" w:rsidR="0048538C" w:rsidRPr="00DD4854" w:rsidRDefault="0048538C" w:rsidP="00B53FB1">
            <w:pPr>
              <w:jc w:val="center"/>
              <w:rPr>
                <w:b/>
                <w:snapToGrid w:val="0"/>
                <w:sz w:val="20"/>
                <w:szCs w:val="20"/>
              </w:rPr>
            </w:pPr>
            <w:r w:rsidRPr="00DD4854">
              <w:rPr>
                <w:b/>
                <w:snapToGrid w:val="0"/>
                <w:sz w:val="20"/>
                <w:szCs w:val="20"/>
              </w:rPr>
              <w:t>Less than 2-year institutions</w:t>
            </w:r>
          </w:p>
        </w:tc>
      </w:tr>
      <w:tr w:rsidR="0048538C" w14:paraId="45B076F3" w14:textId="0CB4D2C4" w:rsidTr="00DD4854">
        <w:trPr>
          <w:trHeight w:val="144"/>
        </w:trPr>
        <w:tc>
          <w:tcPr>
            <w:tcW w:w="585" w:type="pct"/>
          </w:tcPr>
          <w:p w14:paraId="62B8899C" w14:textId="77777777" w:rsidR="0048538C" w:rsidRPr="00DD4854" w:rsidRDefault="0048538C" w:rsidP="00B53FB1">
            <w:pPr>
              <w:rPr>
                <w:snapToGrid w:val="0"/>
                <w:sz w:val="20"/>
                <w:szCs w:val="20"/>
              </w:rPr>
            </w:pPr>
          </w:p>
        </w:tc>
        <w:tc>
          <w:tcPr>
            <w:tcW w:w="648" w:type="pct"/>
            <w:vAlign w:val="center"/>
          </w:tcPr>
          <w:p w14:paraId="5C8423DA" w14:textId="342391C0" w:rsidR="0048538C" w:rsidRPr="00DD4854" w:rsidRDefault="0048538C" w:rsidP="00B53FB1">
            <w:pPr>
              <w:jc w:val="center"/>
              <w:rPr>
                <w:b/>
                <w:snapToGrid w:val="0"/>
                <w:sz w:val="20"/>
                <w:szCs w:val="20"/>
              </w:rPr>
            </w:pPr>
            <w:r w:rsidRPr="00DD4854">
              <w:rPr>
                <w:b/>
                <w:snapToGrid w:val="0"/>
                <w:sz w:val="20"/>
                <w:szCs w:val="20"/>
              </w:rPr>
              <w:t>Experienced</w:t>
            </w:r>
          </w:p>
        </w:tc>
        <w:tc>
          <w:tcPr>
            <w:tcW w:w="483" w:type="pct"/>
            <w:vAlign w:val="center"/>
          </w:tcPr>
          <w:p w14:paraId="5460378A" w14:textId="049A33C7" w:rsidR="0048538C" w:rsidRPr="00DD4854" w:rsidRDefault="0048538C" w:rsidP="00B53FB1">
            <w:pPr>
              <w:jc w:val="center"/>
              <w:rPr>
                <w:b/>
                <w:snapToGrid w:val="0"/>
                <w:sz w:val="20"/>
                <w:szCs w:val="20"/>
              </w:rPr>
            </w:pPr>
            <w:r w:rsidRPr="00DD4854">
              <w:rPr>
                <w:b/>
                <w:snapToGrid w:val="0"/>
                <w:sz w:val="20"/>
                <w:szCs w:val="20"/>
              </w:rPr>
              <w:t>New</w:t>
            </w:r>
          </w:p>
        </w:tc>
        <w:tc>
          <w:tcPr>
            <w:tcW w:w="648" w:type="pct"/>
            <w:vAlign w:val="center"/>
          </w:tcPr>
          <w:p w14:paraId="0A3F7EB4" w14:textId="2B2D84F1" w:rsidR="0048538C" w:rsidRPr="00DD4854" w:rsidRDefault="0048538C" w:rsidP="00B53FB1">
            <w:pPr>
              <w:jc w:val="center"/>
              <w:rPr>
                <w:b/>
                <w:snapToGrid w:val="0"/>
                <w:sz w:val="20"/>
                <w:szCs w:val="20"/>
              </w:rPr>
            </w:pPr>
            <w:r w:rsidRPr="00DD4854">
              <w:rPr>
                <w:b/>
                <w:snapToGrid w:val="0"/>
                <w:sz w:val="20"/>
                <w:szCs w:val="20"/>
              </w:rPr>
              <w:t>Experienced</w:t>
            </w:r>
          </w:p>
        </w:tc>
        <w:tc>
          <w:tcPr>
            <w:tcW w:w="474" w:type="pct"/>
            <w:vAlign w:val="center"/>
          </w:tcPr>
          <w:p w14:paraId="40EC8380" w14:textId="39E3597D" w:rsidR="0048538C" w:rsidRPr="00DD4854" w:rsidRDefault="0048538C" w:rsidP="00B53FB1">
            <w:pPr>
              <w:jc w:val="center"/>
              <w:rPr>
                <w:b/>
                <w:snapToGrid w:val="0"/>
                <w:sz w:val="20"/>
                <w:szCs w:val="20"/>
              </w:rPr>
            </w:pPr>
            <w:r w:rsidRPr="00DD4854">
              <w:rPr>
                <w:b/>
                <w:snapToGrid w:val="0"/>
                <w:sz w:val="20"/>
                <w:szCs w:val="20"/>
              </w:rPr>
              <w:t>New</w:t>
            </w:r>
          </w:p>
        </w:tc>
        <w:tc>
          <w:tcPr>
            <w:tcW w:w="648" w:type="pct"/>
            <w:vAlign w:val="center"/>
          </w:tcPr>
          <w:p w14:paraId="4C7DA39C" w14:textId="7D3BFB0F" w:rsidR="0048538C" w:rsidRPr="00DD4854" w:rsidRDefault="0048538C" w:rsidP="00B53FB1">
            <w:pPr>
              <w:jc w:val="center"/>
              <w:rPr>
                <w:b/>
                <w:snapToGrid w:val="0"/>
                <w:sz w:val="20"/>
                <w:szCs w:val="20"/>
              </w:rPr>
            </w:pPr>
            <w:r w:rsidRPr="00DD4854">
              <w:rPr>
                <w:b/>
                <w:snapToGrid w:val="0"/>
                <w:sz w:val="20"/>
                <w:szCs w:val="20"/>
              </w:rPr>
              <w:t>Experienced</w:t>
            </w:r>
          </w:p>
        </w:tc>
        <w:tc>
          <w:tcPr>
            <w:tcW w:w="483" w:type="pct"/>
            <w:vAlign w:val="center"/>
          </w:tcPr>
          <w:p w14:paraId="0AFA76E9" w14:textId="12D2E10A" w:rsidR="0048538C" w:rsidRPr="00DD4854" w:rsidRDefault="0048538C" w:rsidP="00B53FB1">
            <w:pPr>
              <w:jc w:val="center"/>
              <w:rPr>
                <w:b/>
                <w:snapToGrid w:val="0"/>
                <w:sz w:val="20"/>
                <w:szCs w:val="20"/>
              </w:rPr>
            </w:pPr>
            <w:r w:rsidRPr="00DD4854">
              <w:rPr>
                <w:b/>
                <w:snapToGrid w:val="0"/>
                <w:sz w:val="20"/>
                <w:szCs w:val="20"/>
              </w:rPr>
              <w:t>New</w:t>
            </w:r>
          </w:p>
        </w:tc>
        <w:tc>
          <w:tcPr>
            <w:tcW w:w="648" w:type="pct"/>
            <w:vAlign w:val="center"/>
          </w:tcPr>
          <w:p w14:paraId="5DB2FFCE" w14:textId="78309092" w:rsidR="0048538C" w:rsidRPr="00DD4854" w:rsidRDefault="0048538C" w:rsidP="00B53FB1">
            <w:pPr>
              <w:jc w:val="center"/>
              <w:rPr>
                <w:b/>
                <w:snapToGrid w:val="0"/>
                <w:sz w:val="20"/>
                <w:szCs w:val="20"/>
              </w:rPr>
            </w:pPr>
            <w:r w:rsidRPr="00DD4854">
              <w:rPr>
                <w:b/>
                <w:snapToGrid w:val="0"/>
                <w:sz w:val="20"/>
                <w:szCs w:val="20"/>
              </w:rPr>
              <w:t>Experienced</w:t>
            </w:r>
          </w:p>
        </w:tc>
        <w:tc>
          <w:tcPr>
            <w:tcW w:w="383" w:type="pct"/>
            <w:vAlign w:val="center"/>
          </w:tcPr>
          <w:p w14:paraId="10066C7E" w14:textId="7A27374F" w:rsidR="0048538C" w:rsidRPr="00DD4854" w:rsidRDefault="0048538C" w:rsidP="00B53FB1">
            <w:pPr>
              <w:jc w:val="center"/>
              <w:rPr>
                <w:b/>
                <w:snapToGrid w:val="0"/>
                <w:sz w:val="20"/>
                <w:szCs w:val="20"/>
              </w:rPr>
            </w:pPr>
            <w:r w:rsidRPr="00DD4854">
              <w:rPr>
                <w:b/>
                <w:snapToGrid w:val="0"/>
                <w:sz w:val="20"/>
                <w:szCs w:val="20"/>
              </w:rPr>
              <w:t>New</w:t>
            </w:r>
          </w:p>
        </w:tc>
      </w:tr>
      <w:tr w:rsidR="0048538C" w14:paraId="01800BE0" w14:textId="617CD598" w:rsidTr="00DD4854">
        <w:trPr>
          <w:trHeight w:val="144"/>
        </w:trPr>
        <w:tc>
          <w:tcPr>
            <w:tcW w:w="585" w:type="pct"/>
          </w:tcPr>
          <w:p w14:paraId="1DD02BDC" w14:textId="6AEA4509" w:rsidR="0048538C" w:rsidRPr="00DD4854" w:rsidRDefault="0048538C" w:rsidP="00B53FB1">
            <w:pPr>
              <w:rPr>
                <w:snapToGrid w:val="0"/>
                <w:sz w:val="20"/>
                <w:szCs w:val="20"/>
              </w:rPr>
            </w:pPr>
            <w:r w:rsidRPr="00DD4854">
              <w:rPr>
                <w:snapToGrid w:val="0"/>
                <w:sz w:val="20"/>
                <w:szCs w:val="20"/>
              </w:rPr>
              <w:t>IC</w:t>
            </w:r>
          </w:p>
        </w:tc>
        <w:tc>
          <w:tcPr>
            <w:tcW w:w="648" w:type="pct"/>
            <w:vAlign w:val="center"/>
          </w:tcPr>
          <w:p w14:paraId="562F59C2" w14:textId="2666EB9B" w:rsidR="0048538C" w:rsidRPr="00DD4854" w:rsidRDefault="0029373E" w:rsidP="00B53FB1">
            <w:pPr>
              <w:jc w:val="right"/>
              <w:rPr>
                <w:snapToGrid w:val="0"/>
                <w:sz w:val="20"/>
                <w:szCs w:val="20"/>
              </w:rPr>
            </w:pPr>
            <w:r w:rsidRPr="00DD4854">
              <w:rPr>
                <w:snapToGrid w:val="0"/>
                <w:sz w:val="20"/>
                <w:szCs w:val="20"/>
              </w:rPr>
              <w:t>5,474</w:t>
            </w:r>
          </w:p>
        </w:tc>
        <w:tc>
          <w:tcPr>
            <w:tcW w:w="483" w:type="pct"/>
            <w:vAlign w:val="center"/>
          </w:tcPr>
          <w:p w14:paraId="71934236" w14:textId="2441CAB9" w:rsidR="0048538C" w:rsidRPr="00DD4854" w:rsidRDefault="0029373E" w:rsidP="00B53FB1">
            <w:pPr>
              <w:jc w:val="right"/>
              <w:rPr>
                <w:snapToGrid w:val="0"/>
                <w:sz w:val="20"/>
                <w:szCs w:val="20"/>
              </w:rPr>
            </w:pPr>
            <w:r w:rsidRPr="00DD4854">
              <w:rPr>
                <w:snapToGrid w:val="0"/>
                <w:sz w:val="20"/>
                <w:szCs w:val="20"/>
              </w:rPr>
              <w:t>1,368</w:t>
            </w:r>
          </w:p>
        </w:tc>
        <w:tc>
          <w:tcPr>
            <w:tcW w:w="648" w:type="pct"/>
            <w:vAlign w:val="center"/>
          </w:tcPr>
          <w:p w14:paraId="3960108C" w14:textId="22D65D52" w:rsidR="0048538C" w:rsidRPr="00DD4854" w:rsidRDefault="0029373E" w:rsidP="00B53FB1">
            <w:pPr>
              <w:jc w:val="right"/>
              <w:rPr>
                <w:snapToGrid w:val="0"/>
                <w:sz w:val="20"/>
                <w:szCs w:val="20"/>
              </w:rPr>
            </w:pPr>
            <w:r w:rsidRPr="00DD4854">
              <w:rPr>
                <w:snapToGrid w:val="0"/>
                <w:sz w:val="20"/>
                <w:szCs w:val="20"/>
              </w:rPr>
              <w:t>2,382</w:t>
            </w:r>
          </w:p>
        </w:tc>
        <w:tc>
          <w:tcPr>
            <w:tcW w:w="474" w:type="pct"/>
            <w:vAlign w:val="center"/>
          </w:tcPr>
          <w:p w14:paraId="35679929" w14:textId="6D8B6D61" w:rsidR="0048538C" w:rsidRPr="00DD4854" w:rsidRDefault="0029373E" w:rsidP="00B53FB1">
            <w:pPr>
              <w:jc w:val="right"/>
              <w:rPr>
                <w:snapToGrid w:val="0"/>
                <w:sz w:val="20"/>
                <w:szCs w:val="20"/>
              </w:rPr>
            </w:pPr>
            <w:r w:rsidRPr="00DD4854">
              <w:rPr>
                <w:snapToGrid w:val="0"/>
                <w:sz w:val="20"/>
                <w:szCs w:val="20"/>
              </w:rPr>
              <w:t>595</w:t>
            </w:r>
          </w:p>
        </w:tc>
        <w:tc>
          <w:tcPr>
            <w:tcW w:w="648" w:type="pct"/>
            <w:vAlign w:val="center"/>
          </w:tcPr>
          <w:p w14:paraId="626B8C9D" w14:textId="2E4D67EB" w:rsidR="0048538C" w:rsidRPr="00DD4854" w:rsidRDefault="00994B47" w:rsidP="00B53FB1">
            <w:pPr>
              <w:jc w:val="right"/>
              <w:rPr>
                <w:snapToGrid w:val="0"/>
                <w:sz w:val="20"/>
                <w:szCs w:val="20"/>
              </w:rPr>
            </w:pPr>
            <w:r w:rsidRPr="00DD4854">
              <w:rPr>
                <w:snapToGrid w:val="0"/>
                <w:sz w:val="20"/>
                <w:szCs w:val="20"/>
              </w:rPr>
              <w:t>1,569</w:t>
            </w:r>
          </w:p>
        </w:tc>
        <w:tc>
          <w:tcPr>
            <w:tcW w:w="483" w:type="pct"/>
            <w:vAlign w:val="center"/>
          </w:tcPr>
          <w:p w14:paraId="52FE5141" w14:textId="49C54191" w:rsidR="0048538C" w:rsidRPr="00DD4854" w:rsidRDefault="00994B47" w:rsidP="00B53FB1">
            <w:pPr>
              <w:jc w:val="right"/>
              <w:rPr>
                <w:snapToGrid w:val="0"/>
                <w:sz w:val="20"/>
                <w:szCs w:val="20"/>
              </w:rPr>
            </w:pPr>
            <w:r w:rsidRPr="00DD4854">
              <w:rPr>
                <w:snapToGrid w:val="0"/>
                <w:sz w:val="20"/>
                <w:szCs w:val="20"/>
              </w:rPr>
              <w:t>392</w:t>
            </w:r>
          </w:p>
        </w:tc>
        <w:tc>
          <w:tcPr>
            <w:tcW w:w="648" w:type="pct"/>
            <w:vAlign w:val="center"/>
          </w:tcPr>
          <w:p w14:paraId="6F9E8597" w14:textId="3A0F1DF6" w:rsidR="0048538C" w:rsidRPr="00DD4854" w:rsidRDefault="00994B47" w:rsidP="00B53FB1">
            <w:pPr>
              <w:jc w:val="right"/>
              <w:rPr>
                <w:snapToGrid w:val="0"/>
                <w:sz w:val="20"/>
                <w:szCs w:val="20"/>
              </w:rPr>
            </w:pPr>
            <w:r w:rsidRPr="00DD4854">
              <w:rPr>
                <w:snapToGrid w:val="0"/>
                <w:sz w:val="20"/>
                <w:szCs w:val="20"/>
              </w:rPr>
              <w:t>1,523</w:t>
            </w:r>
          </w:p>
        </w:tc>
        <w:tc>
          <w:tcPr>
            <w:tcW w:w="383" w:type="pct"/>
            <w:vAlign w:val="center"/>
          </w:tcPr>
          <w:p w14:paraId="0D1B0E6D" w14:textId="59E598B4" w:rsidR="0048538C" w:rsidRPr="00DD4854" w:rsidRDefault="00994B47" w:rsidP="00B53FB1">
            <w:pPr>
              <w:jc w:val="right"/>
              <w:rPr>
                <w:snapToGrid w:val="0"/>
                <w:sz w:val="20"/>
                <w:szCs w:val="20"/>
              </w:rPr>
            </w:pPr>
            <w:r w:rsidRPr="00DD4854">
              <w:rPr>
                <w:snapToGrid w:val="0"/>
                <w:sz w:val="20"/>
                <w:szCs w:val="20"/>
              </w:rPr>
              <w:t>381</w:t>
            </w:r>
          </w:p>
        </w:tc>
      </w:tr>
      <w:tr w:rsidR="00994B47" w14:paraId="5431D92F" w14:textId="620515C8" w:rsidTr="00DD4854">
        <w:trPr>
          <w:trHeight w:val="144"/>
        </w:trPr>
        <w:tc>
          <w:tcPr>
            <w:tcW w:w="585" w:type="pct"/>
          </w:tcPr>
          <w:p w14:paraId="28543B03" w14:textId="38675B56" w:rsidR="00994B47" w:rsidRPr="00DD4854" w:rsidRDefault="00994B47" w:rsidP="00B53FB1">
            <w:pPr>
              <w:rPr>
                <w:snapToGrid w:val="0"/>
                <w:sz w:val="20"/>
                <w:szCs w:val="20"/>
              </w:rPr>
            </w:pPr>
            <w:r w:rsidRPr="00DD4854">
              <w:rPr>
                <w:snapToGrid w:val="0"/>
                <w:sz w:val="20"/>
                <w:szCs w:val="20"/>
              </w:rPr>
              <w:t>C</w:t>
            </w:r>
          </w:p>
        </w:tc>
        <w:tc>
          <w:tcPr>
            <w:tcW w:w="648" w:type="pct"/>
            <w:vAlign w:val="center"/>
          </w:tcPr>
          <w:p w14:paraId="4268A321" w14:textId="6001A556" w:rsidR="00994B47" w:rsidRPr="00DD4854" w:rsidRDefault="00994B47" w:rsidP="00B53FB1">
            <w:pPr>
              <w:jc w:val="right"/>
              <w:rPr>
                <w:snapToGrid w:val="0"/>
                <w:sz w:val="20"/>
                <w:szCs w:val="20"/>
              </w:rPr>
            </w:pPr>
            <w:r w:rsidRPr="00DD4854">
              <w:rPr>
                <w:snapToGrid w:val="0"/>
                <w:sz w:val="20"/>
                <w:szCs w:val="20"/>
              </w:rPr>
              <w:t>5,474</w:t>
            </w:r>
          </w:p>
        </w:tc>
        <w:tc>
          <w:tcPr>
            <w:tcW w:w="483" w:type="pct"/>
            <w:vAlign w:val="center"/>
          </w:tcPr>
          <w:p w14:paraId="43470171" w14:textId="78D82A32" w:rsidR="00994B47" w:rsidRPr="00DD4854" w:rsidRDefault="00994B47" w:rsidP="00B53FB1">
            <w:pPr>
              <w:jc w:val="right"/>
              <w:rPr>
                <w:snapToGrid w:val="0"/>
                <w:sz w:val="20"/>
                <w:szCs w:val="20"/>
              </w:rPr>
            </w:pPr>
            <w:r w:rsidRPr="00DD4854">
              <w:rPr>
                <w:snapToGrid w:val="0"/>
                <w:sz w:val="20"/>
                <w:szCs w:val="20"/>
              </w:rPr>
              <w:t>1,368</w:t>
            </w:r>
          </w:p>
        </w:tc>
        <w:tc>
          <w:tcPr>
            <w:tcW w:w="648" w:type="pct"/>
            <w:vAlign w:val="center"/>
          </w:tcPr>
          <w:p w14:paraId="160F231F" w14:textId="47978EF4" w:rsidR="00994B47" w:rsidRPr="00DD4854" w:rsidRDefault="00994B47" w:rsidP="00B53FB1">
            <w:pPr>
              <w:jc w:val="right"/>
              <w:rPr>
                <w:snapToGrid w:val="0"/>
                <w:sz w:val="20"/>
                <w:szCs w:val="20"/>
              </w:rPr>
            </w:pPr>
            <w:r w:rsidRPr="00DD4854">
              <w:rPr>
                <w:snapToGrid w:val="0"/>
                <w:sz w:val="20"/>
                <w:szCs w:val="20"/>
              </w:rPr>
              <w:t>2,382</w:t>
            </w:r>
          </w:p>
        </w:tc>
        <w:tc>
          <w:tcPr>
            <w:tcW w:w="474" w:type="pct"/>
            <w:vAlign w:val="center"/>
          </w:tcPr>
          <w:p w14:paraId="5DC31249" w14:textId="5B673A17" w:rsidR="00994B47" w:rsidRPr="00DD4854" w:rsidRDefault="00994B47" w:rsidP="00B53FB1">
            <w:pPr>
              <w:jc w:val="right"/>
              <w:rPr>
                <w:snapToGrid w:val="0"/>
                <w:sz w:val="20"/>
                <w:szCs w:val="20"/>
              </w:rPr>
            </w:pPr>
            <w:r w:rsidRPr="00DD4854">
              <w:rPr>
                <w:snapToGrid w:val="0"/>
                <w:sz w:val="20"/>
                <w:szCs w:val="20"/>
              </w:rPr>
              <w:t>595</w:t>
            </w:r>
          </w:p>
        </w:tc>
        <w:tc>
          <w:tcPr>
            <w:tcW w:w="648" w:type="pct"/>
            <w:vAlign w:val="center"/>
          </w:tcPr>
          <w:p w14:paraId="1FA152F0" w14:textId="1D3FFDA8" w:rsidR="00994B47" w:rsidRPr="00DD4854" w:rsidRDefault="00994B47" w:rsidP="00B53FB1">
            <w:pPr>
              <w:jc w:val="right"/>
              <w:rPr>
                <w:snapToGrid w:val="0"/>
                <w:sz w:val="20"/>
                <w:szCs w:val="20"/>
              </w:rPr>
            </w:pPr>
            <w:r w:rsidRPr="00DD4854">
              <w:rPr>
                <w:snapToGrid w:val="0"/>
                <w:sz w:val="20"/>
                <w:szCs w:val="20"/>
              </w:rPr>
              <w:t>1,569</w:t>
            </w:r>
          </w:p>
        </w:tc>
        <w:tc>
          <w:tcPr>
            <w:tcW w:w="483" w:type="pct"/>
            <w:vAlign w:val="center"/>
          </w:tcPr>
          <w:p w14:paraId="0AF7818E" w14:textId="0E96B87F" w:rsidR="00994B47" w:rsidRPr="00DD4854" w:rsidRDefault="00994B47" w:rsidP="00B53FB1">
            <w:pPr>
              <w:jc w:val="right"/>
              <w:rPr>
                <w:snapToGrid w:val="0"/>
                <w:sz w:val="20"/>
                <w:szCs w:val="20"/>
              </w:rPr>
            </w:pPr>
            <w:r w:rsidRPr="00DD4854">
              <w:rPr>
                <w:snapToGrid w:val="0"/>
                <w:sz w:val="20"/>
                <w:szCs w:val="20"/>
              </w:rPr>
              <w:t>392</w:t>
            </w:r>
          </w:p>
        </w:tc>
        <w:tc>
          <w:tcPr>
            <w:tcW w:w="648" w:type="pct"/>
            <w:vAlign w:val="center"/>
          </w:tcPr>
          <w:p w14:paraId="24BC7B95" w14:textId="304AC0CD" w:rsidR="00994B47" w:rsidRPr="00DD4854" w:rsidRDefault="00994B47" w:rsidP="00B53FB1">
            <w:pPr>
              <w:jc w:val="right"/>
              <w:rPr>
                <w:snapToGrid w:val="0"/>
                <w:sz w:val="20"/>
                <w:szCs w:val="20"/>
              </w:rPr>
            </w:pPr>
            <w:r w:rsidRPr="00DD4854">
              <w:rPr>
                <w:snapToGrid w:val="0"/>
                <w:sz w:val="20"/>
                <w:szCs w:val="20"/>
              </w:rPr>
              <w:t>1,523</w:t>
            </w:r>
          </w:p>
        </w:tc>
        <w:tc>
          <w:tcPr>
            <w:tcW w:w="383" w:type="pct"/>
            <w:vAlign w:val="center"/>
          </w:tcPr>
          <w:p w14:paraId="78217D9C" w14:textId="4818A621" w:rsidR="00994B47" w:rsidRPr="00DD4854" w:rsidRDefault="00994B47" w:rsidP="00B53FB1">
            <w:pPr>
              <w:jc w:val="right"/>
              <w:rPr>
                <w:snapToGrid w:val="0"/>
                <w:sz w:val="20"/>
                <w:szCs w:val="20"/>
              </w:rPr>
            </w:pPr>
            <w:r w:rsidRPr="00DD4854">
              <w:rPr>
                <w:snapToGrid w:val="0"/>
                <w:sz w:val="20"/>
                <w:szCs w:val="20"/>
              </w:rPr>
              <w:t>381</w:t>
            </w:r>
          </w:p>
        </w:tc>
      </w:tr>
      <w:tr w:rsidR="00994B47" w14:paraId="6AB29D74" w14:textId="37DCAF5A" w:rsidTr="00DD4854">
        <w:trPr>
          <w:trHeight w:val="144"/>
        </w:trPr>
        <w:tc>
          <w:tcPr>
            <w:tcW w:w="585" w:type="pct"/>
          </w:tcPr>
          <w:p w14:paraId="1765CD8C" w14:textId="7027CFD3" w:rsidR="00994B47" w:rsidRPr="00DD4854" w:rsidRDefault="00994B47" w:rsidP="00B53FB1">
            <w:pPr>
              <w:rPr>
                <w:snapToGrid w:val="0"/>
                <w:sz w:val="20"/>
                <w:szCs w:val="20"/>
              </w:rPr>
            </w:pPr>
            <w:r w:rsidRPr="00DD4854">
              <w:rPr>
                <w:snapToGrid w:val="0"/>
                <w:sz w:val="20"/>
                <w:szCs w:val="20"/>
              </w:rPr>
              <w:t>E12</w:t>
            </w:r>
          </w:p>
        </w:tc>
        <w:tc>
          <w:tcPr>
            <w:tcW w:w="648" w:type="pct"/>
            <w:vAlign w:val="center"/>
          </w:tcPr>
          <w:p w14:paraId="378B35CC" w14:textId="487AD629" w:rsidR="00994B47" w:rsidRPr="00DD4854" w:rsidRDefault="00994B47" w:rsidP="00B53FB1">
            <w:pPr>
              <w:jc w:val="right"/>
              <w:rPr>
                <w:snapToGrid w:val="0"/>
                <w:sz w:val="20"/>
                <w:szCs w:val="20"/>
              </w:rPr>
            </w:pPr>
            <w:r w:rsidRPr="00DD4854">
              <w:rPr>
                <w:snapToGrid w:val="0"/>
                <w:sz w:val="20"/>
                <w:szCs w:val="20"/>
              </w:rPr>
              <w:t>5,474</w:t>
            </w:r>
          </w:p>
        </w:tc>
        <w:tc>
          <w:tcPr>
            <w:tcW w:w="483" w:type="pct"/>
            <w:vAlign w:val="center"/>
          </w:tcPr>
          <w:p w14:paraId="729BA6F4" w14:textId="07A5EDC8" w:rsidR="00994B47" w:rsidRPr="00DD4854" w:rsidRDefault="00994B47" w:rsidP="00B53FB1">
            <w:pPr>
              <w:jc w:val="right"/>
              <w:rPr>
                <w:snapToGrid w:val="0"/>
                <w:sz w:val="20"/>
                <w:szCs w:val="20"/>
              </w:rPr>
            </w:pPr>
            <w:r w:rsidRPr="00DD4854">
              <w:rPr>
                <w:snapToGrid w:val="0"/>
                <w:sz w:val="20"/>
                <w:szCs w:val="20"/>
              </w:rPr>
              <w:t>1,368</w:t>
            </w:r>
          </w:p>
        </w:tc>
        <w:tc>
          <w:tcPr>
            <w:tcW w:w="648" w:type="pct"/>
            <w:vAlign w:val="center"/>
          </w:tcPr>
          <w:p w14:paraId="5860C24B" w14:textId="20E2177A" w:rsidR="00994B47" w:rsidRPr="00DD4854" w:rsidRDefault="00994B47" w:rsidP="00B53FB1">
            <w:pPr>
              <w:jc w:val="right"/>
              <w:rPr>
                <w:snapToGrid w:val="0"/>
                <w:sz w:val="20"/>
                <w:szCs w:val="20"/>
              </w:rPr>
            </w:pPr>
            <w:r w:rsidRPr="00DD4854">
              <w:rPr>
                <w:snapToGrid w:val="0"/>
                <w:sz w:val="20"/>
                <w:szCs w:val="20"/>
              </w:rPr>
              <w:t>2,382</w:t>
            </w:r>
          </w:p>
        </w:tc>
        <w:tc>
          <w:tcPr>
            <w:tcW w:w="474" w:type="pct"/>
            <w:vAlign w:val="center"/>
          </w:tcPr>
          <w:p w14:paraId="130AA76B" w14:textId="77BFB8A7" w:rsidR="00994B47" w:rsidRPr="00DD4854" w:rsidRDefault="00994B47" w:rsidP="00B53FB1">
            <w:pPr>
              <w:jc w:val="right"/>
              <w:rPr>
                <w:snapToGrid w:val="0"/>
                <w:sz w:val="20"/>
                <w:szCs w:val="20"/>
              </w:rPr>
            </w:pPr>
            <w:r w:rsidRPr="00DD4854">
              <w:rPr>
                <w:snapToGrid w:val="0"/>
                <w:sz w:val="20"/>
                <w:szCs w:val="20"/>
              </w:rPr>
              <w:t>595</w:t>
            </w:r>
          </w:p>
        </w:tc>
        <w:tc>
          <w:tcPr>
            <w:tcW w:w="648" w:type="pct"/>
            <w:vAlign w:val="center"/>
          </w:tcPr>
          <w:p w14:paraId="1AC56421" w14:textId="7444EE23" w:rsidR="00994B47" w:rsidRPr="00DD4854" w:rsidRDefault="00994B47" w:rsidP="00B53FB1">
            <w:pPr>
              <w:jc w:val="right"/>
              <w:rPr>
                <w:snapToGrid w:val="0"/>
                <w:sz w:val="20"/>
                <w:szCs w:val="20"/>
              </w:rPr>
            </w:pPr>
            <w:r w:rsidRPr="00DD4854">
              <w:rPr>
                <w:snapToGrid w:val="0"/>
                <w:sz w:val="20"/>
                <w:szCs w:val="20"/>
              </w:rPr>
              <w:t>1,569</w:t>
            </w:r>
          </w:p>
        </w:tc>
        <w:tc>
          <w:tcPr>
            <w:tcW w:w="483" w:type="pct"/>
            <w:vAlign w:val="center"/>
          </w:tcPr>
          <w:p w14:paraId="219EF891" w14:textId="63AEA600" w:rsidR="00994B47" w:rsidRPr="00DD4854" w:rsidRDefault="00994B47" w:rsidP="00B53FB1">
            <w:pPr>
              <w:jc w:val="right"/>
              <w:rPr>
                <w:snapToGrid w:val="0"/>
                <w:sz w:val="20"/>
                <w:szCs w:val="20"/>
              </w:rPr>
            </w:pPr>
            <w:r w:rsidRPr="00DD4854">
              <w:rPr>
                <w:snapToGrid w:val="0"/>
                <w:sz w:val="20"/>
                <w:szCs w:val="20"/>
              </w:rPr>
              <w:t>392</w:t>
            </w:r>
          </w:p>
        </w:tc>
        <w:tc>
          <w:tcPr>
            <w:tcW w:w="648" w:type="pct"/>
            <w:vAlign w:val="center"/>
          </w:tcPr>
          <w:p w14:paraId="732B0AFF" w14:textId="69E0E50E" w:rsidR="00994B47" w:rsidRPr="00DD4854" w:rsidRDefault="00994B47" w:rsidP="00B53FB1">
            <w:pPr>
              <w:jc w:val="right"/>
              <w:rPr>
                <w:snapToGrid w:val="0"/>
                <w:sz w:val="20"/>
                <w:szCs w:val="20"/>
              </w:rPr>
            </w:pPr>
            <w:r w:rsidRPr="00DD4854">
              <w:rPr>
                <w:snapToGrid w:val="0"/>
                <w:sz w:val="20"/>
                <w:szCs w:val="20"/>
              </w:rPr>
              <w:t>1,523</w:t>
            </w:r>
          </w:p>
        </w:tc>
        <w:tc>
          <w:tcPr>
            <w:tcW w:w="383" w:type="pct"/>
            <w:vAlign w:val="center"/>
          </w:tcPr>
          <w:p w14:paraId="283FD5E8" w14:textId="2F31959F" w:rsidR="00994B47" w:rsidRPr="00DD4854" w:rsidRDefault="00994B47" w:rsidP="00B53FB1">
            <w:pPr>
              <w:jc w:val="right"/>
              <w:rPr>
                <w:snapToGrid w:val="0"/>
                <w:sz w:val="20"/>
                <w:szCs w:val="20"/>
              </w:rPr>
            </w:pPr>
            <w:r w:rsidRPr="00DD4854">
              <w:rPr>
                <w:snapToGrid w:val="0"/>
                <w:sz w:val="20"/>
                <w:szCs w:val="20"/>
              </w:rPr>
              <w:t>381</w:t>
            </w:r>
          </w:p>
        </w:tc>
      </w:tr>
      <w:tr w:rsidR="00994B47" w14:paraId="5462C082" w14:textId="77777777" w:rsidTr="00DD4854">
        <w:trPr>
          <w:trHeight w:val="144"/>
        </w:trPr>
        <w:tc>
          <w:tcPr>
            <w:tcW w:w="585" w:type="pct"/>
          </w:tcPr>
          <w:p w14:paraId="58968344" w14:textId="6B801F1B" w:rsidR="00994B47" w:rsidRPr="00DD4854" w:rsidRDefault="00994B47" w:rsidP="00B53FB1">
            <w:pPr>
              <w:rPr>
                <w:snapToGrid w:val="0"/>
                <w:sz w:val="20"/>
                <w:szCs w:val="20"/>
              </w:rPr>
            </w:pPr>
            <w:r w:rsidRPr="00DD4854">
              <w:rPr>
                <w:snapToGrid w:val="0"/>
                <w:sz w:val="20"/>
                <w:szCs w:val="20"/>
              </w:rPr>
              <w:t>SFA</w:t>
            </w:r>
          </w:p>
        </w:tc>
        <w:tc>
          <w:tcPr>
            <w:tcW w:w="648" w:type="pct"/>
            <w:vAlign w:val="center"/>
          </w:tcPr>
          <w:p w14:paraId="21369D33" w14:textId="53A56EFD" w:rsidR="00994B47" w:rsidRPr="00DD4854" w:rsidRDefault="00994B47" w:rsidP="00B53FB1">
            <w:pPr>
              <w:jc w:val="right"/>
              <w:rPr>
                <w:snapToGrid w:val="0"/>
                <w:sz w:val="20"/>
                <w:szCs w:val="20"/>
              </w:rPr>
            </w:pPr>
            <w:r w:rsidRPr="00DD4854">
              <w:rPr>
                <w:snapToGrid w:val="0"/>
                <w:sz w:val="20"/>
                <w:szCs w:val="20"/>
              </w:rPr>
              <w:t>5,474</w:t>
            </w:r>
          </w:p>
        </w:tc>
        <w:tc>
          <w:tcPr>
            <w:tcW w:w="483" w:type="pct"/>
            <w:vAlign w:val="center"/>
          </w:tcPr>
          <w:p w14:paraId="47396AAB" w14:textId="67F33D6B" w:rsidR="00994B47" w:rsidRPr="00DD4854" w:rsidRDefault="00994B47" w:rsidP="00B53FB1">
            <w:pPr>
              <w:jc w:val="right"/>
              <w:rPr>
                <w:snapToGrid w:val="0"/>
                <w:sz w:val="20"/>
                <w:szCs w:val="20"/>
              </w:rPr>
            </w:pPr>
            <w:r w:rsidRPr="00DD4854">
              <w:rPr>
                <w:snapToGrid w:val="0"/>
                <w:sz w:val="20"/>
                <w:szCs w:val="20"/>
              </w:rPr>
              <w:t>1,368</w:t>
            </w:r>
          </w:p>
        </w:tc>
        <w:tc>
          <w:tcPr>
            <w:tcW w:w="648" w:type="pct"/>
            <w:vAlign w:val="center"/>
          </w:tcPr>
          <w:p w14:paraId="00BE045B" w14:textId="763E33DE" w:rsidR="00994B47" w:rsidRPr="00DD4854" w:rsidRDefault="00994B47" w:rsidP="00B53FB1">
            <w:pPr>
              <w:jc w:val="right"/>
              <w:rPr>
                <w:snapToGrid w:val="0"/>
                <w:sz w:val="20"/>
                <w:szCs w:val="20"/>
              </w:rPr>
            </w:pPr>
            <w:r w:rsidRPr="00DD4854">
              <w:rPr>
                <w:snapToGrid w:val="0"/>
                <w:sz w:val="20"/>
                <w:szCs w:val="20"/>
              </w:rPr>
              <w:t>2,382</w:t>
            </w:r>
          </w:p>
        </w:tc>
        <w:tc>
          <w:tcPr>
            <w:tcW w:w="474" w:type="pct"/>
            <w:vAlign w:val="center"/>
          </w:tcPr>
          <w:p w14:paraId="14B9CF8F" w14:textId="287A3CFA" w:rsidR="00994B47" w:rsidRPr="00DD4854" w:rsidRDefault="00994B47" w:rsidP="00B53FB1">
            <w:pPr>
              <w:jc w:val="right"/>
              <w:rPr>
                <w:snapToGrid w:val="0"/>
                <w:sz w:val="20"/>
                <w:szCs w:val="20"/>
              </w:rPr>
            </w:pPr>
            <w:r w:rsidRPr="00DD4854">
              <w:rPr>
                <w:snapToGrid w:val="0"/>
                <w:sz w:val="20"/>
                <w:szCs w:val="20"/>
              </w:rPr>
              <w:t>595</w:t>
            </w:r>
          </w:p>
        </w:tc>
        <w:tc>
          <w:tcPr>
            <w:tcW w:w="648" w:type="pct"/>
            <w:vAlign w:val="center"/>
          </w:tcPr>
          <w:p w14:paraId="375C52C7" w14:textId="3EBD6F20" w:rsidR="00994B47" w:rsidRPr="00DD4854" w:rsidRDefault="00994B47" w:rsidP="00B53FB1">
            <w:pPr>
              <w:jc w:val="right"/>
              <w:rPr>
                <w:snapToGrid w:val="0"/>
                <w:sz w:val="20"/>
                <w:szCs w:val="20"/>
              </w:rPr>
            </w:pPr>
            <w:r w:rsidRPr="00DD4854">
              <w:rPr>
                <w:snapToGrid w:val="0"/>
                <w:sz w:val="20"/>
                <w:szCs w:val="20"/>
              </w:rPr>
              <w:t>1,569</w:t>
            </w:r>
          </w:p>
        </w:tc>
        <w:tc>
          <w:tcPr>
            <w:tcW w:w="483" w:type="pct"/>
            <w:vAlign w:val="center"/>
          </w:tcPr>
          <w:p w14:paraId="6BE0799D" w14:textId="7FE265CF" w:rsidR="00994B47" w:rsidRPr="00DD4854" w:rsidRDefault="00994B47" w:rsidP="00B53FB1">
            <w:pPr>
              <w:jc w:val="right"/>
              <w:rPr>
                <w:snapToGrid w:val="0"/>
                <w:sz w:val="20"/>
                <w:szCs w:val="20"/>
              </w:rPr>
            </w:pPr>
            <w:r w:rsidRPr="00DD4854">
              <w:rPr>
                <w:snapToGrid w:val="0"/>
                <w:sz w:val="20"/>
                <w:szCs w:val="20"/>
              </w:rPr>
              <w:t>392</w:t>
            </w:r>
          </w:p>
        </w:tc>
        <w:tc>
          <w:tcPr>
            <w:tcW w:w="648" w:type="pct"/>
            <w:vAlign w:val="center"/>
          </w:tcPr>
          <w:p w14:paraId="1DA6720D" w14:textId="6C04D555" w:rsidR="00994B47" w:rsidRPr="00DD4854" w:rsidRDefault="00994B47" w:rsidP="00B53FB1">
            <w:pPr>
              <w:jc w:val="right"/>
              <w:rPr>
                <w:snapToGrid w:val="0"/>
                <w:sz w:val="20"/>
                <w:szCs w:val="20"/>
              </w:rPr>
            </w:pPr>
            <w:r w:rsidRPr="00DD4854">
              <w:rPr>
                <w:snapToGrid w:val="0"/>
                <w:sz w:val="20"/>
                <w:szCs w:val="20"/>
              </w:rPr>
              <w:t>1,523</w:t>
            </w:r>
          </w:p>
        </w:tc>
        <w:tc>
          <w:tcPr>
            <w:tcW w:w="383" w:type="pct"/>
            <w:vAlign w:val="center"/>
          </w:tcPr>
          <w:p w14:paraId="15721380" w14:textId="118C7CEA" w:rsidR="00994B47" w:rsidRPr="00DD4854" w:rsidRDefault="00994B47" w:rsidP="00B53FB1">
            <w:pPr>
              <w:jc w:val="right"/>
              <w:rPr>
                <w:snapToGrid w:val="0"/>
                <w:sz w:val="20"/>
                <w:szCs w:val="20"/>
              </w:rPr>
            </w:pPr>
            <w:r w:rsidRPr="00DD4854">
              <w:rPr>
                <w:snapToGrid w:val="0"/>
                <w:sz w:val="20"/>
                <w:szCs w:val="20"/>
              </w:rPr>
              <w:t>381</w:t>
            </w:r>
          </w:p>
        </w:tc>
      </w:tr>
      <w:tr w:rsidR="00AA6D93" w14:paraId="1EEC3627" w14:textId="33FDE053" w:rsidTr="00DD4854">
        <w:trPr>
          <w:trHeight w:val="144"/>
        </w:trPr>
        <w:tc>
          <w:tcPr>
            <w:tcW w:w="585" w:type="pct"/>
          </w:tcPr>
          <w:p w14:paraId="614F4F9E" w14:textId="749B4A25" w:rsidR="00AA6D93" w:rsidRPr="00DD4854" w:rsidRDefault="00AA6D93" w:rsidP="00B53FB1">
            <w:pPr>
              <w:rPr>
                <w:snapToGrid w:val="0"/>
                <w:sz w:val="20"/>
                <w:szCs w:val="20"/>
              </w:rPr>
            </w:pPr>
            <w:r w:rsidRPr="00DD4854">
              <w:rPr>
                <w:snapToGrid w:val="0"/>
                <w:sz w:val="20"/>
                <w:szCs w:val="20"/>
              </w:rPr>
              <w:t>OM</w:t>
            </w:r>
          </w:p>
        </w:tc>
        <w:tc>
          <w:tcPr>
            <w:tcW w:w="648" w:type="pct"/>
            <w:vAlign w:val="center"/>
          </w:tcPr>
          <w:p w14:paraId="3AAE507E" w14:textId="5E3D3B5E" w:rsidR="00AA6D93" w:rsidRPr="00DD4854" w:rsidRDefault="00AA6D93" w:rsidP="00B53FB1">
            <w:pPr>
              <w:jc w:val="right"/>
              <w:rPr>
                <w:snapToGrid w:val="0"/>
                <w:sz w:val="20"/>
                <w:szCs w:val="20"/>
              </w:rPr>
            </w:pPr>
            <w:r w:rsidRPr="00DD4854">
              <w:rPr>
                <w:bCs/>
                <w:color w:val="000000"/>
                <w:sz w:val="20"/>
                <w:szCs w:val="20"/>
              </w:rPr>
              <w:t>3,</w:t>
            </w:r>
            <w:r w:rsidR="00994B47" w:rsidRPr="00DD4854">
              <w:rPr>
                <w:bCs/>
                <w:color w:val="000000"/>
                <w:sz w:val="20"/>
                <w:szCs w:val="20"/>
              </w:rPr>
              <w:t>166</w:t>
            </w:r>
          </w:p>
        </w:tc>
        <w:tc>
          <w:tcPr>
            <w:tcW w:w="483" w:type="pct"/>
            <w:vAlign w:val="center"/>
          </w:tcPr>
          <w:p w14:paraId="4C52C16C" w14:textId="16A5CFC7" w:rsidR="00AA6D93" w:rsidRPr="00DD4854" w:rsidRDefault="00994B47" w:rsidP="00B53FB1">
            <w:pPr>
              <w:jc w:val="right"/>
              <w:rPr>
                <w:snapToGrid w:val="0"/>
                <w:sz w:val="20"/>
                <w:szCs w:val="20"/>
              </w:rPr>
            </w:pPr>
            <w:r w:rsidRPr="00DD4854">
              <w:rPr>
                <w:bCs/>
                <w:color w:val="000000"/>
                <w:sz w:val="20"/>
                <w:szCs w:val="20"/>
              </w:rPr>
              <w:t>792</w:t>
            </w:r>
          </w:p>
        </w:tc>
        <w:tc>
          <w:tcPr>
            <w:tcW w:w="648" w:type="pct"/>
            <w:vAlign w:val="center"/>
          </w:tcPr>
          <w:p w14:paraId="1DD3294C" w14:textId="69645544" w:rsidR="00AA6D93" w:rsidRPr="00DD4854" w:rsidRDefault="00994B47" w:rsidP="00B53FB1">
            <w:pPr>
              <w:jc w:val="right"/>
              <w:rPr>
                <w:snapToGrid w:val="0"/>
                <w:sz w:val="20"/>
                <w:szCs w:val="20"/>
              </w:rPr>
            </w:pPr>
            <w:r w:rsidRPr="00DD4854">
              <w:rPr>
                <w:color w:val="000000"/>
                <w:sz w:val="20"/>
                <w:szCs w:val="20"/>
              </w:rPr>
              <w:t>2,016</w:t>
            </w:r>
          </w:p>
        </w:tc>
        <w:tc>
          <w:tcPr>
            <w:tcW w:w="474" w:type="pct"/>
            <w:vAlign w:val="center"/>
          </w:tcPr>
          <w:p w14:paraId="48E41303" w14:textId="756337E4" w:rsidR="00AA6D93" w:rsidRPr="00DD4854" w:rsidRDefault="00994B47" w:rsidP="00B53FB1">
            <w:pPr>
              <w:jc w:val="right"/>
              <w:rPr>
                <w:snapToGrid w:val="0"/>
                <w:sz w:val="20"/>
                <w:szCs w:val="20"/>
              </w:rPr>
            </w:pPr>
            <w:r w:rsidRPr="00DD4854">
              <w:rPr>
                <w:color w:val="000000"/>
                <w:sz w:val="20"/>
                <w:szCs w:val="20"/>
              </w:rPr>
              <w:t>505</w:t>
            </w:r>
          </w:p>
        </w:tc>
        <w:tc>
          <w:tcPr>
            <w:tcW w:w="648" w:type="pct"/>
            <w:vAlign w:val="center"/>
          </w:tcPr>
          <w:p w14:paraId="70BA4216" w14:textId="55452F8C" w:rsidR="00AA6D93" w:rsidRPr="00DD4854" w:rsidRDefault="00994B47" w:rsidP="00B53FB1">
            <w:pPr>
              <w:jc w:val="right"/>
              <w:rPr>
                <w:snapToGrid w:val="0"/>
                <w:sz w:val="20"/>
                <w:szCs w:val="20"/>
              </w:rPr>
            </w:pPr>
            <w:r w:rsidRPr="00DD4854">
              <w:rPr>
                <w:color w:val="000000"/>
                <w:sz w:val="20"/>
                <w:szCs w:val="20"/>
              </w:rPr>
              <w:t>1,150</w:t>
            </w:r>
          </w:p>
        </w:tc>
        <w:tc>
          <w:tcPr>
            <w:tcW w:w="483" w:type="pct"/>
            <w:vAlign w:val="center"/>
          </w:tcPr>
          <w:p w14:paraId="34864AB1" w14:textId="4B8E13BC" w:rsidR="00AA6D93" w:rsidRPr="00DD4854" w:rsidRDefault="00994B47" w:rsidP="00B53FB1">
            <w:pPr>
              <w:jc w:val="right"/>
              <w:rPr>
                <w:snapToGrid w:val="0"/>
                <w:sz w:val="20"/>
                <w:szCs w:val="20"/>
              </w:rPr>
            </w:pPr>
            <w:r w:rsidRPr="00DD4854">
              <w:rPr>
                <w:color w:val="000000"/>
                <w:sz w:val="20"/>
                <w:szCs w:val="20"/>
              </w:rPr>
              <w:t>287</w:t>
            </w:r>
          </w:p>
        </w:tc>
        <w:tc>
          <w:tcPr>
            <w:tcW w:w="648" w:type="pct"/>
            <w:vAlign w:val="center"/>
          </w:tcPr>
          <w:p w14:paraId="3E1B5752" w14:textId="584770EC" w:rsidR="00AA6D93" w:rsidRPr="00DD4854" w:rsidRDefault="004E56C4" w:rsidP="00B53FB1">
            <w:pPr>
              <w:jc w:val="right"/>
              <w:rPr>
                <w:snapToGrid w:val="0"/>
                <w:sz w:val="20"/>
                <w:szCs w:val="20"/>
              </w:rPr>
            </w:pPr>
            <w:r>
              <w:rPr>
                <w:snapToGrid w:val="0"/>
                <w:sz w:val="20"/>
                <w:szCs w:val="20"/>
              </w:rPr>
              <w:t>0</w:t>
            </w:r>
          </w:p>
        </w:tc>
        <w:tc>
          <w:tcPr>
            <w:tcW w:w="383" w:type="pct"/>
            <w:vAlign w:val="center"/>
          </w:tcPr>
          <w:p w14:paraId="2D93AF17" w14:textId="47C3E45A" w:rsidR="00AA6D93" w:rsidRPr="00DD4854" w:rsidRDefault="004E56C4" w:rsidP="00B53FB1">
            <w:pPr>
              <w:jc w:val="right"/>
              <w:rPr>
                <w:snapToGrid w:val="0"/>
                <w:sz w:val="20"/>
                <w:szCs w:val="20"/>
              </w:rPr>
            </w:pPr>
            <w:r>
              <w:rPr>
                <w:snapToGrid w:val="0"/>
                <w:sz w:val="20"/>
                <w:szCs w:val="20"/>
              </w:rPr>
              <w:t>0</w:t>
            </w:r>
          </w:p>
        </w:tc>
      </w:tr>
      <w:tr w:rsidR="00AA6D93" w14:paraId="58E31D69" w14:textId="15B0BE27" w:rsidTr="00DD4854">
        <w:trPr>
          <w:trHeight w:val="144"/>
        </w:trPr>
        <w:tc>
          <w:tcPr>
            <w:tcW w:w="585" w:type="pct"/>
          </w:tcPr>
          <w:p w14:paraId="66E64571" w14:textId="04786F4C" w:rsidR="00AA6D93" w:rsidRPr="00DD4854" w:rsidRDefault="00AA6D93" w:rsidP="00B53FB1">
            <w:pPr>
              <w:rPr>
                <w:snapToGrid w:val="0"/>
                <w:sz w:val="20"/>
                <w:szCs w:val="20"/>
              </w:rPr>
            </w:pPr>
            <w:r w:rsidRPr="00DD4854">
              <w:rPr>
                <w:snapToGrid w:val="0"/>
                <w:sz w:val="20"/>
                <w:szCs w:val="20"/>
              </w:rPr>
              <w:t>GR</w:t>
            </w:r>
          </w:p>
        </w:tc>
        <w:tc>
          <w:tcPr>
            <w:tcW w:w="648" w:type="pct"/>
            <w:vAlign w:val="center"/>
          </w:tcPr>
          <w:p w14:paraId="2B02E0A3" w14:textId="0B902DCC" w:rsidR="00AA6D93" w:rsidRPr="00DD4854" w:rsidRDefault="00AA6D93" w:rsidP="00B53FB1">
            <w:pPr>
              <w:jc w:val="right"/>
              <w:rPr>
                <w:snapToGrid w:val="0"/>
                <w:sz w:val="20"/>
                <w:szCs w:val="20"/>
              </w:rPr>
            </w:pPr>
            <w:r w:rsidRPr="00DD4854">
              <w:rPr>
                <w:bCs/>
                <w:snapToGrid w:val="0"/>
                <w:color w:val="000000"/>
                <w:sz w:val="20"/>
                <w:szCs w:val="20"/>
              </w:rPr>
              <w:t>4,7</w:t>
            </w:r>
            <w:r w:rsidR="0029373E" w:rsidRPr="00DD4854">
              <w:rPr>
                <w:bCs/>
                <w:snapToGrid w:val="0"/>
                <w:color w:val="000000"/>
                <w:sz w:val="20"/>
                <w:szCs w:val="20"/>
              </w:rPr>
              <w:t>27</w:t>
            </w:r>
          </w:p>
        </w:tc>
        <w:tc>
          <w:tcPr>
            <w:tcW w:w="483" w:type="pct"/>
            <w:vAlign w:val="center"/>
          </w:tcPr>
          <w:p w14:paraId="287085DD" w14:textId="1B8EE5F5" w:rsidR="00AA6D93" w:rsidRPr="00DD4854" w:rsidRDefault="0029373E" w:rsidP="00B53FB1">
            <w:pPr>
              <w:jc w:val="right"/>
              <w:rPr>
                <w:snapToGrid w:val="0"/>
                <w:sz w:val="20"/>
                <w:szCs w:val="20"/>
              </w:rPr>
            </w:pPr>
            <w:r w:rsidRPr="00DD4854">
              <w:rPr>
                <w:bCs/>
                <w:snapToGrid w:val="0"/>
                <w:color w:val="000000"/>
                <w:sz w:val="20"/>
                <w:szCs w:val="20"/>
              </w:rPr>
              <w:t>1,182</w:t>
            </w:r>
          </w:p>
        </w:tc>
        <w:tc>
          <w:tcPr>
            <w:tcW w:w="648" w:type="pct"/>
            <w:vAlign w:val="center"/>
          </w:tcPr>
          <w:p w14:paraId="7FCC2F0C" w14:textId="50FA395F" w:rsidR="00AA6D93" w:rsidRPr="00DD4854" w:rsidRDefault="00AA6D93" w:rsidP="00B53FB1">
            <w:pPr>
              <w:jc w:val="right"/>
              <w:rPr>
                <w:snapToGrid w:val="0"/>
                <w:sz w:val="20"/>
                <w:szCs w:val="20"/>
              </w:rPr>
            </w:pPr>
            <w:r w:rsidRPr="00DD4854">
              <w:rPr>
                <w:snapToGrid w:val="0"/>
                <w:color w:val="000000"/>
                <w:sz w:val="20"/>
                <w:szCs w:val="20"/>
              </w:rPr>
              <w:t>1,89</w:t>
            </w:r>
            <w:r w:rsidR="0029373E" w:rsidRPr="00DD4854">
              <w:rPr>
                <w:snapToGrid w:val="0"/>
                <w:color w:val="000000"/>
                <w:sz w:val="20"/>
                <w:szCs w:val="20"/>
              </w:rPr>
              <w:t>3</w:t>
            </w:r>
          </w:p>
        </w:tc>
        <w:tc>
          <w:tcPr>
            <w:tcW w:w="474" w:type="pct"/>
            <w:vAlign w:val="center"/>
          </w:tcPr>
          <w:p w14:paraId="5735CF4D" w14:textId="6AE40E98" w:rsidR="00AA6D93" w:rsidRPr="00DD4854" w:rsidRDefault="00AA6D93" w:rsidP="00B53FB1">
            <w:pPr>
              <w:jc w:val="right"/>
              <w:rPr>
                <w:snapToGrid w:val="0"/>
                <w:sz w:val="20"/>
                <w:szCs w:val="20"/>
              </w:rPr>
            </w:pPr>
            <w:r w:rsidRPr="00DD4854">
              <w:rPr>
                <w:snapToGrid w:val="0"/>
                <w:color w:val="000000"/>
                <w:sz w:val="20"/>
                <w:szCs w:val="20"/>
              </w:rPr>
              <w:t>4</w:t>
            </w:r>
            <w:r w:rsidR="0029373E" w:rsidRPr="00DD4854">
              <w:rPr>
                <w:snapToGrid w:val="0"/>
                <w:color w:val="000000"/>
                <w:sz w:val="20"/>
                <w:szCs w:val="20"/>
              </w:rPr>
              <w:t>73</w:t>
            </w:r>
          </w:p>
        </w:tc>
        <w:tc>
          <w:tcPr>
            <w:tcW w:w="648" w:type="pct"/>
            <w:vAlign w:val="center"/>
          </w:tcPr>
          <w:p w14:paraId="465EA50C" w14:textId="673CC183" w:rsidR="00AA6D93" w:rsidRPr="00DD4854" w:rsidRDefault="0029373E" w:rsidP="00B53FB1">
            <w:pPr>
              <w:jc w:val="right"/>
              <w:rPr>
                <w:snapToGrid w:val="0"/>
                <w:sz w:val="20"/>
                <w:szCs w:val="20"/>
              </w:rPr>
            </w:pPr>
            <w:r w:rsidRPr="00DD4854">
              <w:rPr>
                <w:snapToGrid w:val="0"/>
                <w:color w:val="000000"/>
                <w:sz w:val="20"/>
                <w:szCs w:val="20"/>
              </w:rPr>
              <w:t>1,487</w:t>
            </w:r>
          </w:p>
        </w:tc>
        <w:tc>
          <w:tcPr>
            <w:tcW w:w="483" w:type="pct"/>
            <w:vAlign w:val="center"/>
          </w:tcPr>
          <w:p w14:paraId="37EEA2AA" w14:textId="75DA5BA8" w:rsidR="00AA6D93" w:rsidRPr="00DD4854" w:rsidRDefault="0029373E" w:rsidP="00B53FB1">
            <w:pPr>
              <w:jc w:val="right"/>
              <w:rPr>
                <w:snapToGrid w:val="0"/>
                <w:sz w:val="20"/>
                <w:szCs w:val="20"/>
              </w:rPr>
            </w:pPr>
            <w:r w:rsidRPr="00DD4854">
              <w:rPr>
                <w:snapToGrid w:val="0"/>
                <w:color w:val="000000"/>
                <w:sz w:val="20"/>
                <w:szCs w:val="20"/>
              </w:rPr>
              <w:t>372</w:t>
            </w:r>
          </w:p>
        </w:tc>
        <w:tc>
          <w:tcPr>
            <w:tcW w:w="648" w:type="pct"/>
            <w:vAlign w:val="center"/>
          </w:tcPr>
          <w:p w14:paraId="0A2DD809" w14:textId="39843D10" w:rsidR="00AA6D93" w:rsidRPr="00DD4854" w:rsidRDefault="0029373E" w:rsidP="00B53FB1">
            <w:pPr>
              <w:jc w:val="right"/>
              <w:rPr>
                <w:snapToGrid w:val="0"/>
                <w:sz w:val="20"/>
                <w:szCs w:val="20"/>
              </w:rPr>
            </w:pPr>
            <w:r w:rsidRPr="00DD4854">
              <w:rPr>
                <w:snapToGrid w:val="0"/>
                <w:color w:val="000000"/>
                <w:sz w:val="20"/>
                <w:szCs w:val="20"/>
              </w:rPr>
              <w:t>1,347</w:t>
            </w:r>
          </w:p>
        </w:tc>
        <w:tc>
          <w:tcPr>
            <w:tcW w:w="383" w:type="pct"/>
            <w:vAlign w:val="center"/>
          </w:tcPr>
          <w:p w14:paraId="387BABDF" w14:textId="666291D2" w:rsidR="00AA6D93" w:rsidRPr="00DD4854" w:rsidRDefault="0029373E" w:rsidP="00B53FB1">
            <w:pPr>
              <w:jc w:val="right"/>
              <w:rPr>
                <w:snapToGrid w:val="0"/>
                <w:sz w:val="20"/>
                <w:szCs w:val="20"/>
              </w:rPr>
            </w:pPr>
            <w:r w:rsidRPr="00DD4854">
              <w:rPr>
                <w:snapToGrid w:val="0"/>
                <w:color w:val="000000"/>
                <w:sz w:val="20"/>
                <w:szCs w:val="20"/>
              </w:rPr>
              <w:t>337</w:t>
            </w:r>
          </w:p>
        </w:tc>
      </w:tr>
      <w:tr w:rsidR="00AA6D93" w14:paraId="5632A551" w14:textId="7B7D4B59" w:rsidTr="00DD4854">
        <w:trPr>
          <w:trHeight w:val="144"/>
        </w:trPr>
        <w:tc>
          <w:tcPr>
            <w:tcW w:w="585" w:type="pct"/>
          </w:tcPr>
          <w:p w14:paraId="1BEC3431" w14:textId="1B5261D8" w:rsidR="00AA6D93" w:rsidRPr="00DD4854" w:rsidRDefault="00AA6D93" w:rsidP="00B53FB1">
            <w:pPr>
              <w:rPr>
                <w:snapToGrid w:val="0"/>
                <w:sz w:val="20"/>
                <w:szCs w:val="20"/>
              </w:rPr>
            </w:pPr>
            <w:r w:rsidRPr="00DD4854">
              <w:rPr>
                <w:snapToGrid w:val="0"/>
                <w:sz w:val="20"/>
                <w:szCs w:val="20"/>
              </w:rPr>
              <w:t>GR200</w:t>
            </w:r>
          </w:p>
        </w:tc>
        <w:tc>
          <w:tcPr>
            <w:tcW w:w="648" w:type="pct"/>
            <w:vAlign w:val="center"/>
          </w:tcPr>
          <w:p w14:paraId="4F9AF69E" w14:textId="5FC90F99" w:rsidR="00AA6D93" w:rsidRPr="00DD4854" w:rsidRDefault="00994B47" w:rsidP="00B53FB1">
            <w:pPr>
              <w:jc w:val="right"/>
              <w:rPr>
                <w:snapToGrid w:val="0"/>
                <w:sz w:val="20"/>
                <w:szCs w:val="20"/>
              </w:rPr>
            </w:pPr>
            <w:r w:rsidRPr="00DD4854">
              <w:rPr>
                <w:snapToGrid w:val="0"/>
                <w:sz w:val="20"/>
                <w:szCs w:val="20"/>
              </w:rPr>
              <w:t>4,398</w:t>
            </w:r>
          </w:p>
        </w:tc>
        <w:tc>
          <w:tcPr>
            <w:tcW w:w="483" w:type="pct"/>
            <w:vAlign w:val="center"/>
          </w:tcPr>
          <w:p w14:paraId="06F3FBCB" w14:textId="3F684729" w:rsidR="00AA6D93" w:rsidRPr="00DD4854" w:rsidRDefault="00994B47" w:rsidP="00B53FB1">
            <w:pPr>
              <w:jc w:val="right"/>
              <w:rPr>
                <w:snapToGrid w:val="0"/>
                <w:sz w:val="20"/>
                <w:szCs w:val="20"/>
              </w:rPr>
            </w:pPr>
            <w:r w:rsidRPr="00DD4854">
              <w:rPr>
                <w:snapToGrid w:val="0"/>
                <w:sz w:val="20"/>
                <w:szCs w:val="20"/>
              </w:rPr>
              <w:t>1,099</w:t>
            </w:r>
          </w:p>
        </w:tc>
        <w:tc>
          <w:tcPr>
            <w:tcW w:w="648" w:type="pct"/>
            <w:vAlign w:val="center"/>
          </w:tcPr>
          <w:p w14:paraId="590F5FE7" w14:textId="5E3C7999" w:rsidR="00AA6D93" w:rsidRPr="00DD4854" w:rsidRDefault="00994B47" w:rsidP="00B53FB1">
            <w:pPr>
              <w:jc w:val="right"/>
              <w:rPr>
                <w:snapToGrid w:val="0"/>
                <w:sz w:val="20"/>
                <w:szCs w:val="20"/>
              </w:rPr>
            </w:pPr>
            <w:r w:rsidRPr="00DD4854">
              <w:rPr>
                <w:snapToGrid w:val="0"/>
                <w:sz w:val="20"/>
                <w:szCs w:val="20"/>
              </w:rPr>
              <w:t>1,642</w:t>
            </w:r>
          </w:p>
        </w:tc>
        <w:tc>
          <w:tcPr>
            <w:tcW w:w="474" w:type="pct"/>
            <w:vAlign w:val="center"/>
          </w:tcPr>
          <w:p w14:paraId="3DDF13DC" w14:textId="6D6571C1" w:rsidR="00AA6D93" w:rsidRPr="00DD4854" w:rsidRDefault="00994B47" w:rsidP="00B53FB1">
            <w:pPr>
              <w:jc w:val="right"/>
              <w:rPr>
                <w:snapToGrid w:val="0"/>
                <w:sz w:val="20"/>
                <w:szCs w:val="20"/>
              </w:rPr>
            </w:pPr>
            <w:r w:rsidRPr="00DD4854">
              <w:rPr>
                <w:snapToGrid w:val="0"/>
                <w:sz w:val="20"/>
                <w:szCs w:val="20"/>
              </w:rPr>
              <w:t>411</w:t>
            </w:r>
          </w:p>
        </w:tc>
        <w:tc>
          <w:tcPr>
            <w:tcW w:w="648" w:type="pct"/>
            <w:vAlign w:val="center"/>
          </w:tcPr>
          <w:p w14:paraId="3209AAD3" w14:textId="325C170D" w:rsidR="00AA6D93" w:rsidRPr="00DD4854" w:rsidRDefault="00994B47" w:rsidP="00B53FB1">
            <w:pPr>
              <w:jc w:val="right"/>
              <w:rPr>
                <w:snapToGrid w:val="0"/>
                <w:sz w:val="20"/>
                <w:szCs w:val="20"/>
              </w:rPr>
            </w:pPr>
            <w:r w:rsidRPr="00DD4854">
              <w:rPr>
                <w:snapToGrid w:val="0"/>
                <w:sz w:val="20"/>
                <w:szCs w:val="20"/>
              </w:rPr>
              <w:t>1,461</w:t>
            </w:r>
          </w:p>
        </w:tc>
        <w:tc>
          <w:tcPr>
            <w:tcW w:w="483" w:type="pct"/>
            <w:vAlign w:val="center"/>
          </w:tcPr>
          <w:p w14:paraId="37EB3A91" w14:textId="11ED2132" w:rsidR="00AA6D93" w:rsidRPr="00DD4854" w:rsidRDefault="00994B47" w:rsidP="00B53FB1">
            <w:pPr>
              <w:jc w:val="right"/>
              <w:rPr>
                <w:snapToGrid w:val="0"/>
                <w:sz w:val="20"/>
                <w:szCs w:val="20"/>
              </w:rPr>
            </w:pPr>
            <w:r w:rsidRPr="00DD4854">
              <w:rPr>
                <w:snapToGrid w:val="0"/>
                <w:sz w:val="20"/>
                <w:szCs w:val="20"/>
              </w:rPr>
              <w:t>365</w:t>
            </w:r>
          </w:p>
        </w:tc>
        <w:tc>
          <w:tcPr>
            <w:tcW w:w="648" w:type="pct"/>
            <w:vAlign w:val="center"/>
          </w:tcPr>
          <w:p w14:paraId="02D30CF4" w14:textId="347508E6" w:rsidR="00AA6D93" w:rsidRPr="00DD4854" w:rsidRDefault="00994B47" w:rsidP="00B53FB1">
            <w:pPr>
              <w:jc w:val="right"/>
              <w:rPr>
                <w:snapToGrid w:val="0"/>
                <w:sz w:val="20"/>
                <w:szCs w:val="20"/>
              </w:rPr>
            </w:pPr>
            <w:r w:rsidRPr="00DD4854">
              <w:rPr>
                <w:snapToGrid w:val="0"/>
                <w:sz w:val="20"/>
                <w:szCs w:val="20"/>
              </w:rPr>
              <w:t>1,295</w:t>
            </w:r>
          </w:p>
        </w:tc>
        <w:tc>
          <w:tcPr>
            <w:tcW w:w="383" w:type="pct"/>
            <w:vAlign w:val="center"/>
          </w:tcPr>
          <w:p w14:paraId="10C07E29" w14:textId="6AC6FB31" w:rsidR="00AA6D93" w:rsidRPr="00DD4854" w:rsidRDefault="00994B47" w:rsidP="00B53FB1">
            <w:pPr>
              <w:jc w:val="right"/>
              <w:rPr>
                <w:snapToGrid w:val="0"/>
                <w:sz w:val="20"/>
                <w:szCs w:val="20"/>
              </w:rPr>
            </w:pPr>
            <w:r w:rsidRPr="00DD4854">
              <w:rPr>
                <w:snapToGrid w:val="0"/>
                <w:sz w:val="20"/>
                <w:szCs w:val="20"/>
              </w:rPr>
              <w:t>323</w:t>
            </w:r>
          </w:p>
        </w:tc>
      </w:tr>
      <w:tr w:rsidR="00AA6D93" w14:paraId="2DD3CDC4" w14:textId="77777777" w:rsidTr="00DD4854">
        <w:trPr>
          <w:trHeight w:val="144"/>
        </w:trPr>
        <w:tc>
          <w:tcPr>
            <w:tcW w:w="585" w:type="pct"/>
          </w:tcPr>
          <w:p w14:paraId="2B237130" w14:textId="2D362D85" w:rsidR="00AA6D93" w:rsidRPr="00DD4854" w:rsidRDefault="00AA6D93" w:rsidP="00B53FB1">
            <w:pPr>
              <w:rPr>
                <w:snapToGrid w:val="0"/>
                <w:sz w:val="20"/>
                <w:szCs w:val="20"/>
              </w:rPr>
            </w:pPr>
            <w:r w:rsidRPr="00DD4854">
              <w:rPr>
                <w:snapToGrid w:val="0"/>
                <w:sz w:val="20"/>
                <w:szCs w:val="20"/>
              </w:rPr>
              <w:t>ADM</w:t>
            </w:r>
          </w:p>
        </w:tc>
        <w:tc>
          <w:tcPr>
            <w:tcW w:w="648" w:type="pct"/>
            <w:vAlign w:val="center"/>
          </w:tcPr>
          <w:p w14:paraId="09B9F9A2" w14:textId="7B12CC8A" w:rsidR="00AA6D93" w:rsidRPr="00DD4854" w:rsidRDefault="00DE69D6" w:rsidP="00B53FB1">
            <w:pPr>
              <w:jc w:val="right"/>
              <w:rPr>
                <w:snapToGrid w:val="0"/>
                <w:sz w:val="20"/>
                <w:szCs w:val="20"/>
              </w:rPr>
            </w:pPr>
            <w:r w:rsidRPr="00DD4854">
              <w:rPr>
                <w:snapToGrid w:val="0"/>
                <w:sz w:val="20"/>
                <w:szCs w:val="20"/>
              </w:rPr>
              <w:t>1,656</w:t>
            </w:r>
          </w:p>
        </w:tc>
        <w:tc>
          <w:tcPr>
            <w:tcW w:w="483" w:type="pct"/>
            <w:vAlign w:val="center"/>
          </w:tcPr>
          <w:p w14:paraId="3EAA825C" w14:textId="1B3DC432" w:rsidR="00AA6D93" w:rsidRPr="00DD4854" w:rsidRDefault="00DE69D6" w:rsidP="00B53FB1">
            <w:pPr>
              <w:jc w:val="right"/>
              <w:rPr>
                <w:snapToGrid w:val="0"/>
                <w:sz w:val="20"/>
                <w:szCs w:val="20"/>
              </w:rPr>
            </w:pPr>
            <w:r w:rsidRPr="00DD4854">
              <w:rPr>
                <w:snapToGrid w:val="0"/>
                <w:sz w:val="20"/>
                <w:szCs w:val="20"/>
              </w:rPr>
              <w:t>414</w:t>
            </w:r>
          </w:p>
        </w:tc>
        <w:tc>
          <w:tcPr>
            <w:tcW w:w="648" w:type="pct"/>
            <w:vAlign w:val="center"/>
          </w:tcPr>
          <w:p w14:paraId="2E57DA57" w14:textId="2B9C6198" w:rsidR="00AA6D93" w:rsidRPr="00DD4854" w:rsidRDefault="00DE69D6" w:rsidP="00B53FB1">
            <w:pPr>
              <w:jc w:val="right"/>
              <w:rPr>
                <w:snapToGrid w:val="0"/>
                <w:sz w:val="20"/>
                <w:szCs w:val="20"/>
              </w:rPr>
            </w:pPr>
            <w:r w:rsidRPr="00DD4854">
              <w:rPr>
                <w:snapToGrid w:val="0"/>
                <w:sz w:val="20"/>
                <w:szCs w:val="20"/>
              </w:rPr>
              <w:t>1,430</w:t>
            </w:r>
          </w:p>
        </w:tc>
        <w:tc>
          <w:tcPr>
            <w:tcW w:w="474" w:type="pct"/>
            <w:vAlign w:val="center"/>
          </w:tcPr>
          <w:p w14:paraId="7B600A0D" w14:textId="2958DD3C" w:rsidR="00AA6D93" w:rsidRPr="00DD4854" w:rsidRDefault="00DE69D6" w:rsidP="00B53FB1">
            <w:pPr>
              <w:jc w:val="right"/>
              <w:rPr>
                <w:snapToGrid w:val="0"/>
                <w:sz w:val="20"/>
                <w:szCs w:val="20"/>
              </w:rPr>
            </w:pPr>
            <w:r w:rsidRPr="00DD4854">
              <w:rPr>
                <w:snapToGrid w:val="0"/>
                <w:sz w:val="20"/>
                <w:szCs w:val="20"/>
              </w:rPr>
              <w:t>357</w:t>
            </w:r>
          </w:p>
        </w:tc>
        <w:tc>
          <w:tcPr>
            <w:tcW w:w="648" w:type="pct"/>
            <w:vAlign w:val="center"/>
          </w:tcPr>
          <w:p w14:paraId="2E6E9BBF" w14:textId="512C188B" w:rsidR="00AA6D93" w:rsidRPr="00DD4854" w:rsidRDefault="00DE69D6" w:rsidP="00B53FB1">
            <w:pPr>
              <w:jc w:val="right"/>
              <w:rPr>
                <w:snapToGrid w:val="0"/>
                <w:sz w:val="20"/>
                <w:szCs w:val="20"/>
              </w:rPr>
            </w:pPr>
            <w:r w:rsidRPr="00DD4854">
              <w:rPr>
                <w:snapToGrid w:val="0"/>
                <w:sz w:val="20"/>
                <w:szCs w:val="20"/>
              </w:rPr>
              <w:t>138</w:t>
            </w:r>
          </w:p>
        </w:tc>
        <w:tc>
          <w:tcPr>
            <w:tcW w:w="483" w:type="pct"/>
            <w:vAlign w:val="center"/>
          </w:tcPr>
          <w:p w14:paraId="6459AE00" w14:textId="23B66CDB" w:rsidR="00AA6D93" w:rsidRPr="00DD4854" w:rsidRDefault="00DE69D6" w:rsidP="00B53FB1">
            <w:pPr>
              <w:jc w:val="right"/>
              <w:rPr>
                <w:snapToGrid w:val="0"/>
                <w:sz w:val="20"/>
                <w:szCs w:val="20"/>
              </w:rPr>
            </w:pPr>
            <w:r w:rsidRPr="00DD4854">
              <w:rPr>
                <w:snapToGrid w:val="0"/>
                <w:sz w:val="20"/>
                <w:szCs w:val="20"/>
              </w:rPr>
              <w:t>34</w:t>
            </w:r>
          </w:p>
        </w:tc>
        <w:tc>
          <w:tcPr>
            <w:tcW w:w="648" w:type="pct"/>
            <w:vAlign w:val="center"/>
          </w:tcPr>
          <w:p w14:paraId="5F751801" w14:textId="71D3A602" w:rsidR="00AA6D93" w:rsidRPr="00DD4854" w:rsidRDefault="00DE69D6" w:rsidP="00B53FB1">
            <w:pPr>
              <w:jc w:val="right"/>
              <w:rPr>
                <w:snapToGrid w:val="0"/>
                <w:sz w:val="20"/>
                <w:szCs w:val="20"/>
              </w:rPr>
            </w:pPr>
            <w:r w:rsidRPr="00DD4854">
              <w:rPr>
                <w:snapToGrid w:val="0"/>
                <w:sz w:val="20"/>
                <w:szCs w:val="20"/>
              </w:rPr>
              <w:t>88</w:t>
            </w:r>
          </w:p>
        </w:tc>
        <w:tc>
          <w:tcPr>
            <w:tcW w:w="383" w:type="pct"/>
            <w:vAlign w:val="center"/>
          </w:tcPr>
          <w:p w14:paraId="2A26CEAF" w14:textId="62843428" w:rsidR="00AA6D93" w:rsidRPr="00DD4854" w:rsidRDefault="00DE69D6" w:rsidP="00B53FB1">
            <w:pPr>
              <w:jc w:val="right"/>
              <w:rPr>
                <w:snapToGrid w:val="0"/>
                <w:sz w:val="20"/>
                <w:szCs w:val="20"/>
              </w:rPr>
            </w:pPr>
            <w:r w:rsidRPr="00DD4854">
              <w:rPr>
                <w:snapToGrid w:val="0"/>
                <w:sz w:val="20"/>
                <w:szCs w:val="20"/>
              </w:rPr>
              <w:t>23</w:t>
            </w:r>
          </w:p>
        </w:tc>
      </w:tr>
      <w:tr w:rsidR="00994B47" w14:paraId="19F04C7C" w14:textId="77777777" w:rsidTr="00DD4854">
        <w:trPr>
          <w:trHeight w:val="144"/>
        </w:trPr>
        <w:tc>
          <w:tcPr>
            <w:tcW w:w="585" w:type="pct"/>
          </w:tcPr>
          <w:p w14:paraId="2B0A5A20" w14:textId="127D1193" w:rsidR="00994B47" w:rsidRPr="00DD4854" w:rsidRDefault="00994B47" w:rsidP="00B53FB1">
            <w:pPr>
              <w:rPr>
                <w:snapToGrid w:val="0"/>
                <w:sz w:val="20"/>
                <w:szCs w:val="20"/>
              </w:rPr>
            </w:pPr>
            <w:r w:rsidRPr="00DD4854">
              <w:rPr>
                <w:snapToGrid w:val="0"/>
                <w:sz w:val="20"/>
                <w:szCs w:val="20"/>
              </w:rPr>
              <w:t>EF</w:t>
            </w:r>
          </w:p>
        </w:tc>
        <w:tc>
          <w:tcPr>
            <w:tcW w:w="648" w:type="pct"/>
            <w:vAlign w:val="center"/>
          </w:tcPr>
          <w:p w14:paraId="47303778" w14:textId="5CD726E5" w:rsidR="00994B47" w:rsidRPr="00DD4854" w:rsidRDefault="00994B47" w:rsidP="00B53FB1">
            <w:pPr>
              <w:jc w:val="right"/>
              <w:rPr>
                <w:snapToGrid w:val="0"/>
                <w:sz w:val="20"/>
                <w:szCs w:val="20"/>
              </w:rPr>
            </w:pPr>
            <w:r w:rsidRPr="00DD4854">
              <w:rPr>
                <w:snapToGrid w:val="0"/>
                <w:sz w:val="20"/>
                <w:szCs w:val="20"/>
              </w:rPr>
              <w:t>5,474</w:t>
            </w:r>
          </w:p>
        </w:tc>
        <w:tc>
          <w:tcPr>
            <w:tcW w:w="483" w:type="pct"/>
            <w:vAlign w:val="center"/>
          </w:tcPr>
          <w:p w14:paraId="1FCCD920" w14:textId="165BC23B" w:rsidR="00994B47" w:rsidRPr="00DD4854" w:rsidRDefault="00994B47" w:rsidP="00B53FB1">
            <w:pPr>
              <w:jc w:val="right"/>
              <w:rPr>
                <w:snapToGrid w:val="0"/>
                <w:sz w:val="20"/>
                <w:szCs w:val="20"/>
              </w:rPr>
            </w:pPr>
            <w:r w:rsidRPr="00DD4854">
              <w:rPr>
                <w:snapToGrid w:val="0"/>
                <w:sz w:val="20"/>
                <w:szCs w:val="20"/>
              </w:rPr>
              <w:t>1,368</w:t>
            </w:r>
          </w:p>
        </w:tc>
        <w:tc>
          <w:tcPr>
            <w:tcW w:w="648" w:type="pct"/>
            <w:vAlign w:val="center"/>
          </w:tcPr>
          <w:p w14:paraId="10B274FF" w14:textId="2ED56F8B" w:rsidR="00994B47" w:rsidRPr="00DD4854" w:rsidRDefault="00994B47" w:rsidP="00B53FB1">
            <w:pPr>
              <w:jc w:val="right"/>
              <w:rPr>
                <w:snapToGrid w:val="0"/>
                <w:sz w:val="20"/>
                <w:szCs w:val="20"/>
              </w:rPr>
            </w:pPr>
            <w:r w:rsidRPr="00DD4854">
              <w:rPr>
                <w:snapToGrid w:val="0"/>
                <w:sz w:val="20"/>
                <w:szCs w:val="20"/>
              </w:rPr>
              <w:t>2,382</w:t>
            </w:r>
          </w:p>
        </w:tc>
        <w:tc>
          <w:tcPr>
            <w:tcW w:w="474" w:type="pct"/>
            <w:vAlign w:val="center"/>
          </w:tcPr>
          <w:p w14:paraId="293F2258" w14:textId="1BEB3D5F" w:rsidR="00994B47" w:rsidRPr="00DD4854" w:rsidRDefault="00994B47" w:rsidP="00B53FB1">
            <w:pPr>
              <w:jc w:val="right"/>
              <w:rPr>
                <w:snapToGrid w:val="0"/>
                <w:sz w:val="20"/>
                <w:szCs w:val="20"/>
              </w:rPr>
            </w:pPr>
            <w:r w:rsidRPr="00DD4854">
              <w:rPr>
                <w:snapToGrid w:val="0"/>
                <w:sz w:val="20"/>
                <w:szCs w:val="20"/>
              </w:rPr>
              <w:t>595</w:t>
            </w:r>
          </w:p>
        </w:tc>
        <w:tc>
          <w:tcPr>
            <w:tcW w:w="648" w:type="pct"/>
            <w:vAlign w:val="center"/>
          </w:tcPr>
          <w:p w14:paraId="76155D49" w14:textId="0EAA2E27" w:rsidR="00994B47" w:rsidRPr="00DD4854" w:rsidRDefault="00994B47" w:rsidP="00B53FB1">
            <w:pPr>
              <w:jc w:val="right"/>
              <w:rPr>
                <w:snapToGrid w:val="0"/>
                <w:sz w:val="20"/>
                <w:szCs w:val="20"/>
              </w:rPr>
            </w:pPr>
            <w:r w:rsidRPr="00DD4854">
              <w:rPr>
                <w:snapToGrid w:val="0"/>
                <w:sz w:val="20"/>
                <w:szCs w:val="20"/>
              </w:rPr>
              <w:t>1,569</w:t>
            </w:r>
          </w:p>
        </w:tc>
        <w:tc>
          <w:tcPr>
            <w:tcW w:w="483" w:type="pct"/>
            <w:vAlign w:val="center"/>
          </w:tcPr>
          <w:p w14:paraId="2CA8B920" w14:textId="2DD5890F" w:rsidR="00994B47" w:rsidRPr="00DD4854" w:rsidRDefault="00994B47" w:rsidP="00B53FB1">
            <w:pPr>
              <w:jc w:val="right"/>
              <w:rPr>
                <w:snapToGrid w:val="0"/>
                <w:sz w:val="20"/>
                <w:szCs w:val="20"/>
              </w:rPr>
            </w:pPr>
            <w:r w:rsidRPr="00DD4854">
              <w:rPr>
                <w:snapToGrid w:val="0"/>
                <w:sz w:val="20"/>
                <w:szCs w:val="20"/>
              </w:rPr>
              <w:t>392</w:t>
            </w:r>
          </w:p>
        </w:tc>
        <w:tc>
          <w:tcPr>
            <w:tcW w:w="648" w:type="pct"/>
            <w:vAlign w:val="center"/>
          </w:tcPr>
          <w:p w14:paraId="5FD2C0FD" w14:textId="05CFDD4D" w:rsidR="00994B47" w:rsidRPr="00DD4854" w:rsidRDefault="00994B47" w:rsidP="00B53FB1">
            <w:pPr>
              <w:jc w:val="right"/>
              <w:rPr>
                <w:snapToGrid w:val="0"/>
                <w:sz w:val="20"/>
                <w:szCs w:val="20"/>
              </w:rPr>
            </w:pPr>
            <w:r w:rsidRPr="00DD4854">
              <w:rPr>
                <w:snapToGrid w:val="0"/>
                <w:sz w:val="20"/>
                <w:szCs w:val="20"/>
              </w:rPr>
              <w:t>1,523</w:t>
            </w:r>
          </w:p>
        </w:tc>
        <w:tc>
          <w:tcPr>
            <w:tcW w:w="383" w:type="pct"/>
            <w:vAlign w:val="center"/>
          </w:tcPr>
          <w:p w14:paraId="334284E0" w14:textId="76B0ABED" w:rsidR="00994B47" w:rsidRPr="00DD4854" w:rsidRDefault="00994B47" w:rsidP="00B53FB1">
            <w:pPr>
              <w:jc w:val="right"/>
              <w:rPr>
                <w:snapToGrid w:val="0"/>
                <w:sz w:val="20"/>
                <w:szCs w:val="20"/>
              </w:rPr>
            </w:pPr>
            <w:r w:rsidRPr="00DD4854">
              <w:rPr>
                <w:snapToGrid w:val="0"/>
                <w:sz w:val="20"/>
                <w:szCs w:val="20"/>
              </w:rPr>
              <w:t>381</w:t>
            </w:r>
          </w:p>
        </w:tc>
      </w:tr>
      <w:tr w:rsidR="00994B47" w14:paraId="0FA5FAC5" w14:textId="77777777" w:rsidTr="00DD4854">
        <w:trPr>
          <w:trHeight w:val="144"/>
        </w:trPr>
        <w:tc>
          <w:tcPr>
            <w:tcW w:w="585" w:type="pct"/>
          </w:tcPr>
          <w:p w14:paraId="0484E4C5" w14:textId="6317E81A" w:rsidR="00994B47" w:rsidRPr="00DD4854" w:rsidRDefault="00994B47" w:rsidP="00B53FB1">
            <w:pPr>
              <w:rPr>
                <w:snapToGrid w:val="0"/>
                <w:sz w:val="20"/>
                <w:szCs w:val="20"/>
              </w:rPr>
            </w:pPr>
            <w:r w:rsidRPr="00DD4854">
              <w:rPr>
                <w:snapToGrid w:val="0"/>
                <w:sz w:val="20"/>
                <w:szCs w:val="20"/>
              </w:rPr>
              <w:t>F</w:t>
            </w:r>
          </w:p>
        </w:tc>
        <w:tc>
          <w:tcPr>
            <w:tcW w:w="648" w:type="pct"/>
            <w:vAlign w:val="center"/>
          </w:tcPr>
          <w:p w14:paraId="79491222" w14:textId="4ADBE82F" w:rsidR="00994B47" w:rsidRPr="00DD4854" w:rsidRDefault="00994B47" w:rsidP="00B53FB1">
            <w:pPr>
              <w:jc w:val="right"/>
              <w:rPr>
                <w:snapToGrid w:val="0"/>
                <w:sz w:val="20"/>
                <w:szCs w:val="20"/>
              </w:rPr>
            </w:pPr>
            <w:r w:rsidRPr="00DD4854">
              <w:rPr>
                <w:snapToGrid w:val="0"/>
                <w:sz w:val="20"/>
                <w:szCs w:val="20"/>
              </w:rPr>
              <w:t>5,474</w:t>
            </w:r>
          </w:p>
        </w:tc>
        <w:tc>
          <w:tcPr>
            <w:tcW w:w="483" w:type="pct"/>
            <w:vAlign w:val="center"/>
          </w:tcPr>
          <w:p w14:paraId="0349A7E1" w14:textId="1E2D1EF1" w:rsidR="00994B47" w:rsidRPr="00DD4854" w:rsidRDefault="00994B47" w:rsidP="00B53FB1">
            <w:pPr>
              <w:jc w:val="right"/>
              <w:rPr>
                <w:snapToGrid w:val="0"/>
                <w:sz w:val="20"/>
                <w:szCs w:val="20"/>
              </w:rPr>
            </w:pPr>
            <w:r w:rsidRPr="00DD4854">
              <w:rPr>
                <w:snapToGrid w:val="0"/>
                <w:sz w:val="20"/>
                <w:szCs w:val="20"/>
              </w:rPr>
              <w:t>1,368</w:t>
            </w:r>
          </w:p>
        </w:tc>
        <w:tc>
          <w:tcPr>
            <w:tcW w:w="648" w:type="pct"/>
            <w:vAlign w:val="center"/>
          </w:tcPr>
          <w:p w14:paraId="3BBA0A14" w14:textId="1E8D4BC4" w:rsidR="00994B47" w:rsidRPr="00DD4854" w:rsidRDefault="00994B47" w:rsidP="00B53FB1">
            <w:pPr>
              <w:jc w:val="right"/>
              <w:rPr>
                <w:snapToGrid w:val="0"/>
                <w:sz w:val="20"/>
                <w:szCs w:val="20"/>
              </w:rPr>
            </w:pPr>
            <w:r w:rsidRPr="00DD4854">
              <w:rPr>
                <w:snapToGrid w:val="0"/>
                <w:sz w:val="20"/>
                <w:szCs w:val="20"/>
              </w:rPr>
              <w:t>2,382</w:t>
            </w:r>
          </w:p>
        </w:tc>
        <w:tc>
          <w:tcPr>
            <w:tcW w:w="474" w:type="pct"/>
            <w:vAlign w:val="center"/>
          </w:tcPr>
          <w:p w14:paraId="6B21629A" w14:textId="7F1BDBD2" w:rsidR="00994B47" w:rsidRPr="00DD4854" w:rsidRDefault="00994B47" w:rsidP="00B53FB1">
            <w:pPr>
              <w:jc w:val="right"/>
              <w:rPr>
                <w:snapToGrid w:val="0"/>
                <w:sz w:val="20"/>
                <w:szCs w:val="20"/>
              </w:rPr>
            </w:pPr>
            <w:r w:rsidRPr="00DD4854">
              <w:rPr>
                <w:snapToGrid w:val="0"/>
                <w:sz w:val="20"/>
                <w:szCs w:val="20"/>
              </w:rPr>
              <w:t>595</w:t>
            </w:r>
          </w:p>
        </w:tc>
        <w:tc>
          <w:tcPr>
            <w:tcW w:w="648" w:type="pct"/>
            <w:vAlign w:val="center"/>
          </w:tcPr>
          <w:p w14:paraId="7AD0ADC5" w14:textId="5723B8D4" w:rsidR="00994B47" w:rsidRPr="00DD4854" w:rsidRDefault="00994B47" w:rsidP="00B53FB1">
            <w:pPr>
              <w:jc w:val="right"/>
              <w:rPr>
                <w:snapToGrid w:val="0"/>
                <w:sz w:val="20"/>
                <w:szCs w:val="20"/>
              </w:rPr>
            </w:pPr>
            <w:r w:rsidRPr="00DD4854">
              <w:rPr>
                <w:snapToGrid w:val="0"/>
                <w:sz w:val="20"/>
                <w:szCs w:val="20"/>
              </w:rPr>
              <w:t>1,569</w:t>
            </w:r>
          </w:p>
        </w:tc>
        <w:tc>
          <w:tcPr>
            <w:tcW w:w="483" w:type="pct"/>
            <w:vAlign w:val="center"/>
          </w:tcPr>
          <w:p w14:paraId="32A75A20" w14:textId="2E49E3BF" w:rsidR="00994B47" w:rsidRPr="00DD4854" w:rsidRDefault="00994B47" w:rsidP="00B53FB1">
            <w:pPr>
              <w:jc w:val="right"/>
              <w:rPr>
                <w:snapToGrid w:val="0"/>
                <w:sz w:val="20"/>
                <w:szCs w:val="20"/>
              </w:rPr>
            </w:pPr>
            <w:r w:rsidRPr="00DD4854">
              <w:rPr>
                <w:snapToGrid w:val="0"/>
                <w:sz w:val="20"/>
                <w:szCs w:val="20"/>
              </w:rPr>
              <w:t>392</w:t>
            </w:r>
          </w:p>
        </w:tc>
        <w:tc>
          <w:tcPr>
            <w:tcW w:w="648" w:type="pct"/>
            <w:vAlign w:val="center"/>
          </w:tcPr>
          <w:p w14:paraId="59394555" w14:textId="5FD1141B" w:rsidR="00994B47" w:rsidRPr="00DD4854" w:rsidRDefault="00994B47" w:rsidP="00B53FB1">
            <w:pPr>
              <w:jc w:val="right"/>
              <w:rPr>
                <w:snapToGrid w:val="0"/>
                <w:sz w:val="20"/>
                <w:szCs w:val="20"/>
              </w:rPr>
            </w:pPr>
            <w:r w:rsidRPr="00DD4854">
              <w:rPr>
                <w:snapToGrid w:val="0"/>
                <w:sz w:val="20"/>
                <w:szCs w:val="20"/>
              </w:rPr>
              <w:t>1,523</w:t>
            </w:r>
          </w:p>
        </w:tc>
        <w:tc>
          <w:tcPr>
            <w:tcW w:w="383" w:type="pct"/>
            <w:vAlign w:val="center"/>
          </w:tcPr>
          <w:p w14:paraId="0525A134" w14:textId="793E686B" w:rsidR="00994B47" w:rsidRPr="00DD4854" w:rsidRDefault="00994B47" w:rsidP="00B53FB1">
            <w:pPr>
              <w:jc w:val="right"/>
              <w:rPr>
                <w:snapToGrid w:val="0"/>
                <w:sz w:val="20"/>
                <w:szCs w:val="20"/>
              </w:rPr>
            </w:pPr>
            <w:r w:rsidRPr="00DD4854">
              <w:rPr>
                <w:snapToGrid w:val="0"/>
                <w:sz w:val="20"/>
                <w:szCs w:val="20"/>
              </w:rPr>
              <w:t>381</w:t>
            </w:r>
          </w:p>
        </w:tc>
      </w:tr>
      <w:tr w:rsidR="00994B47" w14:paraId="7AD00ECD" w14:textId="77777777" w:rsidTr="00DD4854">
        <w:trPr>
          <w:trHeight w:val="144"/>
        </w:trPr>
        <w:tc>
          <w:tcPr>
            <w:tcW w:w="585" w:type="pct"/>
          </w:tcPr>
          <w:p w14:paraId="27D2C44C" w14:textId="49378531" w:rsidR="00994B47" w:rsidRPr="00DD4854" w:rsidRDefault="00994B47" w:rsidP="00B53FB1">
            <w:pPr>
              <w:rPr>
                <w:snapToGrid w:val="0"/>
                <w:sz w:val="20"/>
                <w:szCs w:val="20"/>
              </w:rPr>
            </w:pPr>
            <w:r w:rsidRPr="00DD4854">
              <w:rPr>
                <w:snapToGrid w:val="0"/>
                <w:sz w:val="20"/>
                <w:szCs w:val="20"/>
              </w:rPr>
              <w:t>HR</w:t>
            </w:r>
          </w:p>
        </w:tc>
        <w:tc>
          <w:tcPr>
            <w:tcW w:w="648" w:type="pct"/>
            <w:vAlign w:val="center"/>
          </w:tcPr>
          <w:p w14:paraId="5BC15AD2" w14:textId="663AD5B5" w:rsidR="00994B47" w:rsidRPr="00DD4854" w:rsidRDefault="00994B47" w:rsidP="00B53FB1">
            <w:pPr>
              <w:jc w:val="right"/>
              <w:rPr>
                <w:snapToGrid w:val="0"/>
                <w:sz w:val="20"/>
                <w:szCs w:val="20"/>
              </w:rPr>
            </w:pPr>
            <w:r w:rsidRPr="00DD4854">
              <w:rPr>
                <w:snapToGrid w:val="0"/>
                <w:sz w:val="20"/>
                <w:szCs w:val="20"/>
              </w:rPr>
              <w:t>5,474</w:t>
            </w:r>
          </w:p>
        </w:tc>
        <w:tc>
          <w:tcPr>
            <w:tcW w:w="483" w:type="pct"/>
            <w:vAlign w:val="center"/>
          </w:tcPr>
          <w:p w14:paraId="23C60182" w14:textId="09448609" w:rsidR="00994B47" w:rsidRPr="00DD4854" w:rsidRDefault="00994B47" w:rsidP="00B53FB1">
            <w:pPr>
              <w:jc w:val="right"/>
              <w:rPr>
                <w:snapToGrid w:val="0"/>
                <w:sz w:val="20"/>
                <w:szCs w:val="20"/>
              </w:rPr>
            </w:pPr>
            <w:r w:rsidRPr="00DD4854">
              <w:rPr>
                <w:snapToGrid w:val="0"/>
                <w:sz w:val="20"/>
                <w:szCs w:val="20"/>
              </w:rPr>
              <w:t>1,368</w:t>
            </w:r>
          </w:p>
        </w:tc>
        <w:tc>
          <w:tcPr>
            <w:tcW w:w="648" w:type="pct"/>
            <w:vAlign w:val="center"/>
          </w:tcPr>
          <w:p w14:paraId="7E349C2F" w14:textId="5EEEEA3A" w:rsidR="00994B47" w:rsidRPr="00DD4854" w:rsidRDefault="00994B47" w:rsidP="00B53FB1">
            <w:pPr>
              <w:jc w:val="right"/>
              <w:rPr>
                <w:snapToGrid w:val="0"/>
                <w:sz w:val="20"/>
                <w:szCs w:val="20"/>
              </w:rPr>
            </w:pPr>
            <w:r w:rsidRPr="00DD4854">
              <w:rPr>
                <w:snapToGrid w:val="0"/>
                <w:sz w:val="20"/>
                <w:szCs w:val="20"/>
              </w:rPr>
              <w:t>2,382</w:t>
            </w:r>
          </w:p>
        </w:tc>
        <w:tc>
          <w:tcPr>
            <w:tcW w:w="474" w:type="pct"/>
            <w:vAlign w:val="center"/>
          </w:tcPr>
          <w:p w14:paraId="4358AD9C" w14:textId="28ED4043" w:rsidR="00994B47" w:rsidRPr="00DD4854" w:rsidRDefault="00994B47" w:rsidP="00B53FB1">
            <w:pPr>
              <w:jc w:val="right"/>
              <w:rPr>
                <w:snapToGrid w:val="0"/>
                <w:sz w:val="20"/>
                <w:szCs w:val="20"/>
              </w:rPr>
            </w:pPr>
            <w:r w:rsidRPr="00DD4854">
              <w:rPr>
                <w:snapToGrid w:val="0"/>
                <w:sz w:val="20"/>
                <w:szCs w:val="20"/>
              </w:rPr>
              <w:t>595</w:t>
            </w:r>
          </w:p>
        </w:tc>
        <w:tc>
          <w:tcPr>
            <w:tcW w:w="648" w:type="pct"/>
            <w:vAlign w:val="center"/>
          </w:tcPr>
          <w:p w14:paraId="3C092126" w14:textId="62CF49DD" w:rsidR="00994B47" w:rsidRPr="00DD4854" w:rsidRDefault="00994B47" w:rsidP="00B53FB1">
            <w:pPr>
              <w:jc w:val="right"/>
              <w:rPr>
                <w:snapToGrid w:val="0"/>
                <w:sz w:val="20"/>
                <w:szCs w:val="20"/>
              </w:rPr>
            </w:pPr>
            <w:r w:rsidRPr="00DD4854">
              <w:rPr>
                <w:snapToGrid w:val="0"/>
                <w:sz w:val="20"/>
                <w:szCs w:val="20"/>
              </w:rPr>
              <w:t>1,569</w:t>
            </w:r>
          </w:p>
        </w:tc>
        <w:tc>
          <w:tcPr>
            <w:tcW w:w="483" w:type="pct"/>
            <w:vAlign w:val="center"/>
          </w:tcPr>
          <w:p w14:paraId="454982B9" w14:textId="6570214F" w:rsidR="00994B47" w:rsidRPr="00DD4854" w:rsidRDefault="00994B47" w:rsidP="00B53FB1">
            <w:pPr>
              <w:jc w:val="right"/>
              <w:rPr>
                <w:snapToGrid w:val="0"/>
                <w:sz w:val="20"/>
                <w:szCs w:val="20"/>
              </w:rPr>
            </w:pPr>
            <w:r w:rsidRPr="00DD4854">
              <w:rPr>
                <w:snapToGrid w:val="0"/>
                <w:sz w:val="20"/>
                <w:szCs w:val="20"/>
              </w:rPr>
              <w:t>392</w:t>
            </w:r>
          </w:p>
        </w:tc>
        <w:tc>
          <w:tcPr>
            <w:tcW w:w="648" w:type="pct"/>
            <w:vAlign w:val="center"/>
          </w:tcPr>
          <w:p w14:paraId="3028DDD5" w14:textId="2B274738" w:rsidR="00994B47" w:rsidRPr="00DD4854" w:rsidRDefault="00994B47" w:rsidP="00B53FB1">
            <w:pPr>
              <w:jc w:val="right"/>
              <w:rPr>
                <w:snapToGrid w:val="0"/>
                <w:sz w:val="20"/>
                <w:szCs w:val="20"/>
              </w:rPr>
            </w:pPr>
            <w:r w:rsidRPr="00DD4854">
              <w:rPr>
                <w:snapToGrid w:val="0"/>
                <w:sz w:val="20"/>
                <w:szCs w:val="20"/>
              </w:rPr>
              <w:t>1,523</w:t>
            </w:r>
          </w:p>
        </w:tc>
        <w:tc>
          <w:tcPr>
            <w:tcW w:w="383" w:type="pct"/>
            <w:vAlign w:val="center"/>
          </w:tcPr>
          <w:p w14:paraId="2AD2FA10" w14:textId="6FAF0ADE" w:rsidR="00994B47" w:rsidRPr="00DD4854" w:rsidRDefault="00994B47" w:rsidP="00B53FB1">
            <w:pPr>
              <w:jc w:val="right"/>
              <w:rPr>
                <w:snapToGrid w:val="0"/>
                <w:sz w:val="20"/>
                <w:szCs w:val="20"/>
              </w:rPr>
            </w:pPr>
            <w:r w:rsidRPr="00DD4854">
              <w:rPr>
                <w:snapToGrid w:val="0"/>
                <w:sz w:val="20"/>
                <w:szCs w:val="20"/>
              </w:rPr>
              <w:t>381</w:t>
            </w:r>
          </w:p>
        </w:tc>
      </w:tr>
      <w:tr w:rsidR="00AA6D93" w14:paraId="0EF0DC13" w14:textId="77777777" w:rsidTr="00DD4854">
        <w:trPr>
          <w:trHeight w:val="144"/>
        </w:trPr>
        <w:tc>
          <w:tcPr>
            <w:tcW w:w="585" w:type="pct"/>
          </w:tcPr>
          <w:p w14:paraId="4744D719" w14:textId="71FD7CCB" w:rsidR="00AA6D93" w:rsidRPr="00DD4854" w:rsidRDefault="00AA6D93" w:rsidP="00B53FB1">
            <w:pPr>
              <w:rPr>
                <w:snapToGrid w:val="0"/>
                <w:sz w:val="20"/>
                <w:szCs w:val="20"/>
              </w:rPr>
            </w:pPr>
            <w:r w:rsidRPr="00DD4854">
              <w:rPr>
                <w:snapToGrid w:val="0"/>
                <w:sz w:val="20"/>
                <w:szCs w:val="20"/>
              </w:rPr>
              <w:t>AL</w:t>
            </w:r>
          </w:p>
        </w:tc>
        <w:tc>
          <w:tcPr>
            <w:tcW w:w="648" w:type="pct"/>
            <w:vAlign w:val="center"/>
          </w:tcPr>
          <w:p w14:paraId="36FCC36F" w14:textId="684E8C26" w:rsidR="00AA6D93" w:rsidRPr="00DD4854" w:rsidRDefault="00DE69D6" w:rsidP="00B53FB1">
            <w:pPr>
              <w:jc w:val="right"/>
              <w:rPr>
                <w:snapToGrid w:val="0"/>
                <w:sz w:val="20"/>
                <w:szCs w:val="20"/>
              </w:rPr>
            </w:pPr>
            <w:r w:rsidRPr="00DD4854">
              <w:rPr>
                <w:snapToGrid w:val="0"/>
                <w:sz w:val="20"/>
                <w:szCs w:val="20"/>
              </w:rPr>
              <w:t>3,239</w:t>
            </w:r>
          </w:p>
        </w:tc>
        <w:tc>
          <w:tcPr>
            <w:tcW w:w="483" w:type="pct"/>
            <w:vAlign w:val="center"/>
          </w:tcPr>
          <w:p w14:paraId="19E23BA3" w14:textId="34DFB759" w:rsidR="00AA6D93" w:rsidRPr="00DD4854" w:rsidRDefault="00DE69D6" w:rsidP="00B53FB1">
            <w:pPr>
              <w:jc w:val="right"/>
              <w:rPr>
                <w:snapToGrid w:val="0"/>
                <w:sz w:val="20"/>
                <w:szCs w:val="20"/>
              </w:rPr>
            </w:pPr>
            <w:r w:rsidRPr="00DD4854">
              <w:rPr>
                <w:snapToGrid w:val="0"/>
                <w:sz w:val="20"/>
                <w:szCs w:val="20"/>
              </w:rPr>
              <w:t>810</w:t>
            </w:r>
          </w:p>
        </w:tc>
        <w:tc>
          <w:tcPr>
            <w:tcW w:w="648" w:type="pct"/>
            <w:vAlign w:val="center"/>
          </w:tcPr>
          <w:p w14:paraId="1716AC8A" w14:textId="06090DE6" w:rsidR="00AA6D93" w:rsidRPr="00DD4854" w:rsidRDefault="00DE69D6" w:rsidP="00B53FB1">
            <w:pPr>
              <w:jc w:val="right"/>
              <w:rPr>
                <w:snapToGrid w:val="0"/>
                <w:sz w:val="20"/>
                <w:szCs w:val="20"/>
              </w:rPr>
            </w:pPr>
            <w:r w:rsidRPr="00DD4854">
              <w:rPr>
                <w:snapToGrid w:val="0"/>
                <w:sz w:val="20"/>
                <w:szCs w:val="20"/>
              </w:rPr>
              <w:t>2,099</w:t>
            </w:r>
          </w:p>
        </w:tc>
        <w:tc>
          <w:tcPr>
            <w:tcW w:w="474" w:type="pct"/>
            <w:vAlign w:val="center"/>
          </w:tcPr>
          <w:p w14:paraId="5BE5F92E" w14:textId="3658D78A" w:rsidR="00AA6D93" w:rsidRPr="00DD4854" w:rsidRDefault="00DE69D6" w:rsidP="00B53FB1">
            <w:pPr>
              <w:jc w:val="right"/>
              <w:rPr>
                <w:snapToGrid w:val="0"/>
                <w:sz w:val="20"/>
                <w:szCs w:val="20"/>
              </w:rPr>
            </w:pPr>
            <w:r w:rsidRPr="00DD4854">
              <w:rPr>
                <w:snapToGrid w:val="0"/>
                <w:sz w:val="20"/>
                <w:szCs w:val="20"/>
              </w:rPr>
              <w:t>525</w:t>
            </w:r>
          </w:p>
        </w:tc>
        <w:tc>
          <w:tcPr>
            <w:tcW w:w="648" w:type="pct"/>
            <w:vAlign w:val="center"/>
          </w:tcPr>
          <w:p w14:paraId="20954BC1" w14:textId="3BCB6434" w:rsidR="00AA6D93" w:rsidRPr="00DD4854" w:rsidRDefault="00DE69D6" w:rsidP="00B53FB1">
            <w:pPr>
              <w:jc w:val="right"/>
              <w:rPr>
                <w:snapToGrid w:val="0"/>
                <w:sz w:val="20"/>
                <w:szCs w:val="20"/>
              </w:rPr>
            </w:pPr>
            <w:r w:rsidRPr="00DD4854">
              <w:rPr>
                <w:snapToGrid w:val="0"/>
                <w:sz w:val="20"/>
                <w:szCs w:val="20"/>
              </w:rPr>
              <w:t>1,139</w:t>
            </w:r>
          </w:p>
        </w:tc>
        <w:tc>
          <w:tcPr>
            <w:tcW w:w="483" w:type="pct"/>
            <w:vAlign w:val="center"/>
          </w:tcPr>
          <w:p w14:paraId="1A87F020" w14:textId="7050D1C9" w:rsidR="00AA6D93" w:rsidRPr="00DD4854" w:rsidRDefault="00DE69D6" w:rsidP="00B53FB1">
            <w:pPr>
              <w:jc w:val="right"/>
              <w:rPr>
                <w:snapToGrid w:val="0"/>
                <w:sz w:val="20"/>
                <w:szCs w:val="20"/>
              </w:rPr>
            </w:pPr>
            <w:r w:rsidRPr="00DD4854">
              <w:rPr>
                <w:snapToGrid w:val="0"/>
                <w:sz w:val="20"/>
                <w:szCs w:val="20"/>
              </w:rPr>
              <w:t>285</w:t>
            </w:r>
          </w:p>
        </w:tc>
        <w:tc>
          <w:tcPr>
            <w:tcW w:w="648" w:type="pct"/>
            <w:vAlign w:val="center"/>
          </w:tcPr>
          <w:p w14:paraId="6C13BA43" w14:textId="411C29A3" w:rsidR="00AA6D93" w:rsidRPr="00DD4854" w:rsidRDefault="004E56C4" w:rsidP="00B53FB1">
            <w:pPr>
              <w:jc w:val="right"/>
              <w:rPr>
                <w:snapToGrid w:val="0"/>
                <w:sz w:val="20"/>
                <w:szCs w:val="20"/>
              </w:rPr>
            </w:pPr>
            <w:r>
              <w:rPr>
                <w:snapToGrid w:val="0"/>
                <w:sz w:val="20"/>
                <w:szCs w:val="20"/>
              </w:rPr>
              <w:t>0</w:t>
            </w:r>
          </w:p>
        </w:tc>
        <w:tc>
          <w:tcPr>
            <w:tcW w:w="383" w:type="pct"/>
            <w:vAlign w:val="center"/>
          </w:tcPr>
          <w:p w14:paraId="4BDD96D9" w14:textId="70761CFE" w:rsidR="00AA6D93" w:rsidRPr="00DD4854" w:rsidRDefault="004E56C4" w:rsidP="00B53FB1">
            <w:pPr>
              <w:jc w:val="right"/>
              <w:rPr>
                <w:snapToGrid w:val="0"/>
                <w:sz w:val="20"/>
                <w:szCs w:val="20"/>
              </w:rPr>
            </w:pPr>
            <w:r>
              <w:rPr>
                <w:snapToGrid w:val="0"/>
                <w:sz w:val="20"/>
                <w:szCs w:val="20"/>
              </w:rPr>
              <w:t>0</w:t>
            </w:r>
          </w:p>
        </w:tc>
      </w:tr>
    </w:tbl>
    <w:p w14:paraId="4E6A74DD" w14:textId="10F41F7E" w:rsidR="003E625C" w:rsidRDefault="00AA6D93" w:rsidP="00AA6D93">
      <w:pPr>
        <w:rPr>
          <w:snapToGrid w:val="0"/>
          <w:sz w:val="16"/>
          <w:szCs w:val="16"/>
        </w:rPr>
      </w:pPr>
      <w:r w:rsidRPr="00381F82">
        <w:rPr>
          <w:snapToGrid w:val="0"/>
          <w:sz w:val="16"/>
          <w:szCs w:val="16"/>
        </w:rPr>
        <w:t xml:space="preserve">* Note: </w:t>
      </w:r>
      <w:r w:rsidR="00DE69D6" w:rsidRPr="00381F82">
        <w:rPr>
          <w:snapToGrid w:val="0"/>
          <w:sz w:val="16"/>
          <w:szCs w:val="16"/>
        </w:rPr>
        <w:t xml:space="preserve">These </w:t>
      </w:r>
      <w:r w:rsidR="00381F82">
        <w:rPr>
          <w:snapToGrid w:val="0"/>
          <w:sz w:val="16"/>
          <w:szCs w:val="16"/>
        </w:rPr>
        <w:t xml:space="preserve">counts </w:t>
      </w:r>
      <w:r w:rsidR="00DE69D6" w:rsidRPr="00381F82">
        <w:rPr>
          <w:snapToGrid w:val="0"/>
          <w:sz w:val="16"/>
          <w:szCs w:val="16"/>
        </w:rPr>
        <w:t xml:space="preserve">do not match any published numbers </w:t>
      </w:r>
      <w:r w:rsidR="00381F82">
        <w:rPr>
          <w:snapToGrid w:val="0"/>
          <w:sz w:val="16"/>
          <w:szCs w:val="16"/>
        </w:rPr>
        <w:t>because</w:t>
      </w:r>
      <w:r w:rsidR="00DE69D6" w:rsidRPr="00381F82">
        <w:rPr>
          <w:snapToGrid w:val="0"/>
          <w:sz w:val="16"/>
          <w:szCs w:val="16"/>
        </w:rPr>
        <w:t xml:space="preserve"> they include </w:t>
      </w:r>
      <w:r w:rsidR="00381F82">
        <w:rPr>
          <w:snapToGrid w:val="0"/>
          <w:sz w:val="16"/>
          <w:szCs w:val="16"/>
        </w:rPr>
        <w:t xml:space="preserve">the </w:t>
      </w:r>
      <w:r w:rsidR="00DE69D6" w:rsidRPr="00381F82">
        <w:rPr>
          <w:snapToGrid w:val="0"/>
          <w:sz w:val="16"/>
          <w:szCs w:val="16"/>
        </w:rPr>
        <w:t>non-Title IV institutions</w:t>
      </w:r>
      <w:r w:rsidR="00381F82">
        <w:rPr>
          <w:snapToGrid w:val="0"/>
          <w:sz w:val="16"/>
          <w:szCs w:val="16"/>
        </w:rPr>
        <w:t xml:space="preserve"> that voluntarily submit data to IPEDS.</w:t>
      </w:r>
    </w:p>
    <w:p w14:paraId="7CFABE48" w14:textId="77777777" w:rsidR="00F458B8" w:rsidRDefault="00F458B8" w:rsidP="00AA6D93">
      <w:pPr>
        <w:rPr>
          <w:snapToGrid w:val="0"/>
          <w:sz w:val="22"/>
          <w:szCs w:val="22"/>
        </w:rPr>
      </w:pPr>
    </w:p>
    <w:p w14:paraId="03B46082" w14:textId="308EA365" w:rsidR="00865F0A" w:rsidRDefault="00865F0A" w:rsidP="00AA6D93">
      <w:pPr>
        <w:rPr>
          <w:snapToGrid w:val="0"/>
        </w:rPr>
      </w:pPr>
      <w:r>
        <w:rPr>
          <w:snapToGrid w:val="0"/>
        </w:rPr>
        <w:t xml:space="preserve">Table 3 provides the </w:t>
      </w:r>
      <w:r w:rsidR="002F1501">
        <w:rPr>
          <w:snapToGrid w:val="0"/>
        </w:rPr>
        <w:t xml:space="preserve">actual </w:t>
      </w:r>
      <w:r>
        <w:rPr>
          <w:snapToGrid w:val="0"/>
        </w:rPr>
        <w:t xml:space="preserve">response rates, by survey component and </w:t>
      </w:r>
      <w:r w:rsidR="002F1501">
        <w:rPr>
          <w:snapToGrid w:val="0"/>
        </w:rPr>
        <w:t>the type of institution</w:t>
      </w:r>
      <w:r>
        <w:rPr>
          <w:snapToGrid w:val="0"/>
        </w:rPr>
        <w:t xml:space="preserve">, for the 2017-18 IPEDS data collection. Because IPEDS is a mandated federal data collection, and institutions can be fined for non-response, </w:t>
      </w:r>
      <w:r w:rsidR="00A90A94">
        <w:rPr>
          <w:snapToGrid w:val="0"/>
        </w:rPr>
        <w:t xml:space="preserve">all </w:t>
      </w:r>
      <w:r>
        <w:rPr>
          <w:snapToGrid w:val="0"/>
        </w:rPr>
        <w:t>response rates approximate 100%.</w:t>
      </w:r>
    </w:p>
    <w:p w14:paraId="71739251" w14:textId="77777777" w:rsidR="00865F0A" w:rsidRPr="00865F0A" w:rsidRDefault="00865F0A" w:rsidP="00AA6D93">
      <w:pPr>
        <w:rPr>
          <w:snapToGrid w:val="0"/>
          <w:sz w:val="22"/>
          <w:szCs w:val="22"/>
        </w:rPr>
      </w:pPr>
    </w:p>
    <w:p w14:paraId="5A699A56" w14:textId="3A62BCE1" w:rsidR="0050343E" w:rsidRPr="00E20590" w:rsidRDefault="0050343E" w:rsidP="00341071">
      <w:pPr>
        <w:keepNext/>
        <w:widowControl w:val="0"/>
        <w:spacing w:line="279" w:lineRule="atLeast"/>
        <w:ind w:left="810" w:hanging="810"/>
        <w:outlineLvl w:val="0"/>
        <w:rPr>
          <w:b/>
          <w:snapToGrid w:val="0"/>
          <w:sz w:val="22"/>
        </w:rPr>
      </w:pPr>
      <w:r w:rsidRPr="00267F61">
        <w:rPr>
          <w:b/>
          <w:snapToGrid w:val="0"/>
          <w:sz w:val="22"/>
        </w:rPr>
        <w:t xml:space="preserve">Table </w:t>
      </w:r>
      <w:r>
        <w:rPr>
          <w:b/>
          <w:snapToGrid w:val="0"/>
          <w:sz w:val="22"/>
        </w:rPr>
        <w:t xml:space="preserve">3. </w:t>
      </w:r>
      <w:r w:rsidR="00F458B8">
        <w:rPr>
          <w:b/>
          <w:snapToGrid w:val="0"/>
          <w:sz w:val="22"/>
        </w:rPr>
        <w:t xml:space="preserve">IPEDS </w:t>
      </w:r>
      <w:r>
        <w:rPr>
          <w:b/>
          <w:snapToGrid w:val="0"/>
          <w:sz w:val="22"/>
        </w:rPr>
        <w:t xml:space="preserve">2017-18 </w:t>
      </w:r>
      <w:r w:rsidR="00F458B8">
        <w:rPr>
          <w:b/>
          <w:snapToGrid w:val="0"/>
          <w:sz w:val="22"/>
        </w:rPr>
        <w:t xml:space="preserve">Title IV Institutions </w:t>
      </w:r>
      <w:r w:rsidR="005A2757">
        <w:rPr>
          <w:b/>
          <w:snapToGrid w:val="0"/>
          <w:sz w:val="22"/>
        </w:rPr>
        <w:t>Response Rates</w:t>
      </w:r>
      <w:r>
        <w:rPr>
          <w:b/>
          <w:snapToGrid w:val="0"/>
          <w:sz w:val="22"/>
        </w:rPr>
        <w:t xml:space="preserve">, </w:t>
      </w:r>
      <w:r w:rsidR="00F458B8">
        <w:rPr>
          <w:b/>
          <w:snapToGrid w:val="0"/>
          <w:sz w:val="22"/>
        </w:rPr>
        <w:t>by Institution Type and IPEDS Component</w:t>
      </w:r>
    </w:p>
    <w:p w14:paraId="2052B035" w14:textId="77777777" w:rsidR="0050343E" w:rsidRDefault="0050343E" w:rsidP="0050343E">
      <w:pPr>
        <w:rPr>
          <w:snapToGrid w:val="0"/>
          <w:sz w:val="14"/>
          <w:szCs w:val="14"/>
        </w:rPr>
      </w:pPr>
    </w:p>
    <w:tbl>
      <w:tblPr>
        <w:tblW w:w="5000" w:type="pct"/>
        <w:tblCellMar>
          <w:left w:w="0" w:type="dxa"/>
          <w:right w:w="0" w:type="dxa"/>
        </w:tblCellMar>
        <w:tblLook w:val="04A0" w:firstRow="1" w:lastRow="0" w:firstColumn="1" w:lastColumn="0" w:noHBand="0" w:noVBand="1"/>
      </w:tblPr>
      <w:tblGrid>
        <w:gridCol w:w="2682"/>
        <w:gridCol w:w="2682"/>
        <w:gridCol w:w="2682"/>
        <w:gridCol w:w="2682"/>
      </w:tblGrid>
      <w:tr w:rsidR="005A2757" w14:paraId="4453A189" w14:textId="77777777" w:rsidTr="00381F82">
        <w:trPr>
          <w:trHeight w:val="144"/>
        </w:trPr>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08AB36" w14:textId="77777777" w:rsidR="005A2757" w:rsidRPr="00381F82" w:rsidRDefault="005A2757" w:rsidP="00381F82">
            <w:pPr>
              <w:jc w:val="center"/>
              <w:rPr>
                <w:rFonts w:eastAsiaTheme="minorHAnsi"/>
                <w:b/>
                <w:snapToGrid w:val="0"/>
                <w:sz w:val="20"/>
                <w:szCs w:val="20"/>
              </w:rPr>
            </w:pPr>
            <w:r w:rsidRPr="00381F82">
              <w:rPr>
                <w:b/>
                <w:snapToGrid w:val="0"/>
                <w:sz w:val="20"/>
                <w:szCs w:val="20"/>
              </w:rPr>
              <w:t>Survey component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9CD99C" w14:textId="77777777" w:rsidR="005A2757" w:rsidRPr="00381F82" w:rsidRDefault="005A2757" w:rsidP="00381F82">
            <w:pPr>
              <w:jc w:val="center"/>
              <w:rPr>
                <w:rFonts w:eastAsiaTheme="minorHAnsi"/>
                <w:b/>
                <w:snapToGrid w:val="0"/>
                <w:sz w:val="20"/>
                <w:szCs w:val="20"/>
              </w:rPr>
            </w:pPr>
            <w:r w:rsidRPr="00381F82">
              <w:rPr>
                <w:b/>
                <w:snapToGrid w:val="0"/>
                <w:sz w:val="20"/>
                <w:szCs w:val="20"/>
              </w:rPr>
              <w:t>4-year institutions</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5508D7" w14:textId="77777777" w:rsidR="005A2757" w:rsidRPr="00381F82" w:rsidRDefault="005A2757" w:rsidP="00381F82">
            <w:pPr>
              <w:jc w:val="center"/>
              <w:rPr>
                <w:rFonts w:eastAsiaTheme="minorHAnsi"/>
                <w:b/>
                <w:snapToGrid w:val="0"/>
                <w:sz w:val="20"/>
                <w:szCs w:val="20"/>
              </w:rPr>
            </w:pPr>
            <w:r w:rsidRPr="00381F82">
              <w:rPr>
                <w:b/>
                <w:snapToGrid w:val="0"/>
                <w:sz w:val="20"/>
                <w:szCs w:val="20"/>
              </w:rPr>
              <w:t>2-year institutions</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4111C5" w14:textId="77777777" w:rsidR="005A2757" w:rsidRPr="00381F82" w:rsidRDefault="005A2757" w:rsidP="00381F82">
            <w:pPr>
              <w:jc w:val="center"/>
              <w:rPr>
                <w:rFonts w:eastAsiaTheme="minorHAnsi"/>
                <w:b/>
                <w:snapToGrid w:val="0"/>
                <w:sz w:val="20"/>
                <w:szCs w:val="20"/>
              </w:rPr>
            </w:pPr>
            <w:r w:rsidRPr="00381F82">
              <w:rPr>
                <w:b/>
                <w:snapToGrid w:val="0"/>
                <w:sz w:val="20"/>
                <w:szCs w:val="20"/>
              </w:rPr>
              <w:t>Less than 2-year institutions</w:t>
            </w:r>
          </w:p>
        </w:tc>
      </w:tr>
      <w:tr w:rsidR="005A2757" w14:paraId="17CABC25" w14:textId="77777777" w:rsidTr="00381F82">
        <w:trPr>
          <w:trHeight w:val="144"/>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8DF0F" w14:textId="77777777" w:rsidR="005A2757" w:rsidRPr="00381F82" w:rsidRDefault="005A2757" w:rsidP="00381F82">
            <w:pPr>
              <w:rPr>
                <w:rFonts w:eastAsiaTheme="minorHAnsi"/>
                <w:snapToGrid w:val="0"/>
                <w:sz w:val="20"/>
                <w:szCs w:val="20"/>
              </w:rPr>
            </w:pPr>
            <w:r w:rsidRPr="00381F82">
              <w:rPr>
                <w:snapToGrid w:val="0"/>
                <w:sz w:val="20"/>
                <w:szCs w:val="20"/>
              </w:rPr>
              <w:t>IC</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21791" w14:textId="1B79C4C6" w:rsidR="005A2757" w:rsidRPr="00381F82" w:rsidRDefault="005A2757" w:rsidP="00381F82">
            <w:pPr>
              <w:jc w:val="right"/>
              <w:rPr>
                <w:rFonts w:eastAsiaTheme="minorHAnsi"/>
                <w:snapToGrid w:val="0"/>
                <w:sz w:val="20"/>
                <w:szCs w:val="20"/>
              </w:rPr>
            </w:pPr>
            <w:r w:rsidRPr="00381F82">
              <w:rPr>
                <w:snapToGrid w:val="0"/>
                <w:sz w:val="20"/>
                <w:szCs w:val="20"/>
              </w:rPr>
              <w:t>100.</w:t>
            </w:r>
            <w:r w:rsidR="00895BA2">
              <w:rPr>
                <w:snapToGrid w:val="0"/>
                <w:sz w:val="20"/>
                <w:szCs w:val="20"/>
              </w:rPr>
              <w:t>0</w:t>
            </w:r>
            <w:r w:rsidRPr="00381F82">
              <w:rPr>
                <w:snapToGrid w:val="0"/>
                <w:sz w:val="20"/>
                <w:szCs w:val="20"/>
              </w:rPr>
              <w:t>0%</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EFCB4" w14:textId="77777777" w:rsidR="005A2757" w:rsidRPr="00381F82" w:rsidRDefault="005A2757" w:rsidP="00381F82">
            <w:pPr>
              <w:jc w:val="right"/>
              <w:rPr>
                <w:rFonts w:eastAsiaTheme="minorHAnsi"/>
                <w:snapToGrid w:val="0"/>
                <w:sz w:val="20"/>
                <w:szCs w:val="20"/>
              </w:rPr>
            </w:pPr>
            <w:r w:rsidRPr="00381F82">
              <w:rPr>
                <w:snapToGrid w:val="0"/>
                <w:sz w:val="20"/>
                <w:szCs w:val="20"/>
              </w:rPr>
              <w:t>99.95%</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155F0" w14:textId="77777777" w:rsidR="005A2757" w:rsidRPr="00381F82" w:rsidRDefault="005A2757" w:rsidP="00381F82">
            <w:pPr>
              <w:jc w:val="right"/>
              <w:rPr>
                <w:rFonts w:eastAsiaTheme="minorHAnsi"/>
                <w:snapToGrid w:val="0"/>
                <w:sz w:val="20"/>
                <w:szCs w:val="20"/>
              </w:rPr>
            </w:pPr>
            <w:r w:rsidRPr="00381F82">
              <w:rPr>
                <w:snapToGrid w:val="0"/>
                <w:sz w:val="20"/>
                <w:szCs w:val="20"/>
              </w:rPr>
              <w:t>99.94%</w:t>
            </w:r>
          </w:p>
        </w:tc>
      </w:tr>
      <w:tr w:rsidR="005A2757" w14:paraId="346F31DB" w14:textId="77777777" w:rsidTr="00381F82">
        <w:trPr>
          <w:trHeight w:val="144"/>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096C1" w14:textId="77777777" w:rsidR="005A2757" w:rsidRPr="00381F82" w:rsidRDefault="005A2757" w:rsidP="00381F82">
            <w:pPr>
              <w:rPr>
                <w:rFonts w:eastAsiaTheme="minorHAnsi"/>
                <w:snapToGrid w:val="0"/>
                <w:sz w:val="20"/>
                <w:szCs w:val="20"/>
              </w:rPr>
            </w:pPr>
            <w:r w:rsidRPr="00381F82">
              <w:rPr>
                <w:snapToGrid w:val="0"/>
                <w:sz w:val="20"/>
                <w:szCs w:val="20"/>
              </w:rPr>
              <w:t>C</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4569C" w14:textId="297EA3AB" w:rsidR="005A2757" w:rsidRPr="00381F82" w:rsidRDefault="005A2757" w:rsidP="00381F82">
            <w:pPr>
              <w:jc w:val="right"/>
              <w:rPr>
                <w:rFonts w:eastAsiaTheme="minorHAnsi"/>
                <w:snapToGrid w:val="0"/>
                <w:sz w:val="20"/>
                <w:szCs w:val="20"/>
              </w:rPr>
            </w:pPr>
            <w:r w:rsidRPr="00381F82">
              <w:rPr>
                <w:snapToGrid w:val="0"/>
                <w:sz w:val="20"/>
                <w:szCs w:val="20"/>
              </w:rPr>
              <w:t>100.</w:t>
            </w:r>
            <w:r w:rsidR="00895BA2">
              <w:rPr>
                <w:snapToGrid w:val="0"/>
                <w:sz w:val="20"/>
                <w:szCs w:val="20"/>
              </w:rPr>
              <w:t>0</w:t>
            </w:r>
            <w:r w:rsidRPr="00381F82">
              <w:rPr>
                <w:snapToGrid w:val="0"/>
                <w:sz w:val="20"/>
                <w:szCs w:val="20"/>
              </w:rPr>
              <w:t>0%</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B791B" w14:textId="77777777" w:rsidR="005A2757" w:rsidRPr="00381F82" w:rsidRDefault="005A2757" w:rsidP="00381F82">
            <w:pPr>
              <w:jc w:val="right"/>
              <w:rPr>
                <w:rFonts w:eastAsiaTheme="minorHAnsi"/>
                <w:snapToGrid w:val="0"/>
                <w:sz w:val="20"/>
                <w:szCs w:val="20"/>
              </w:rPr>
            </w:pPr>
            <w:r w:rsidRPr="00381F82">
              <w:rPr>
                <w:snapToGrid w:val="0"/>
                <w:sz w:val="20"/>
                <w:szCs w:val="20"/>
              </w:rPr>
              <w:t>99.90%</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20A3B" w14:textId="77777777" w:rsidR="005A2757" w:rsidRPr="00381F82" w:rsidRDefault="005A2757" w:rsidP="00381F82">
            <w:pPr>
              <w:jc w:val="right"/>
              <w:rPr>
                <w:rFonts w:eastAsiaTheme="minorHAnsi"/>
                <w:snapToGrid w:val="0"/>
                <w:sz w:val="20"/>
                <w:szCs w:val="20"/>
              </w:rPr>
            </w:pPr>
            <w:r w:rsidRPr="00381F82">
              <w:rPr>
                <w:snapToGrid w:val="0"/>
                <w:sz w:val="20"/>
                <w:szCs w:val="20"/>
              </w:rPr>
              <w:t>99.94%</w:t>
            </w:r>
          </w:p>
        </w:tc>
      </w:tr>
      <w:tr w:rsidR="005A2757" w14:paraId="66FEE489" w14:textId="77777777" w:rsidTr="00381F82">
        <w:trPr>
          <w:trHeight w:val="144"/>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86FC8" w14:textId="77777777" w:rsidR="005A2757" w:rsidRPr="00381F82" w:rsidRDefault="005A2757" w:rsidP="00381F82">
            <w:pPr>
              <w:rPr>
                <w:rFonts w:eastAsiaTheme="minorHAnsi"/>
                <w:snapToGrid w:val="0"/>
                <w:sz w:val="20"/>
                <w:szCs w:val="20"/>
              </w:rPr>
            </w:pPr>
            <w:r w:rsidRPr="00381F82">
              <w:rPr>
                <w:snapToGrid w:val="0"/>
                <w:sz w:val="20"/>
                <w:szCs w:val="20"/>
              </w:rPr>
              <w:t>E12</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5219A" w14:textId="77777777" w:rsidR="005A2757" w:rsidRPr="00381F82" w:rsidRDefault="005A2757" w:rsidP="00381F82">
            <w:pPr>
              <w:jc w:val="right"/>
              <w:rPr>
                <w:rFonts w:eastAsiaTheme="minorHAnsi"/>
                <w:snapToGrid w:val="0"/>
                <w:sz w:val="20"/>
                <w:szCs w:val="20"/>
              </w:rPr>
            </w:pPr>
            <w:r w:rsidRPr="00381F82">
              <w:rPr>
                <w:snapToGrid w:val="0"/>
                <w:sz w:val="20"/>
                <w:szCs w:val="20"/>
              </w:rPr>
              <w:t>99.97%</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6D18A" w14:textId="77777777" w:rsidR="005A2757" w:rsidRPr="00381F82" w:rsidRDefault="005A2757" w:rsidP="00381F82">
            <w:pPr>
              <w:jc w:val="right"/>
              <w:rPr>
                <w:rFonts w:eastAsiaTheme="minorHAnsi"/>
                <w:snapToGrid w:val="0"/>
                <w:sz w:val="20"/>
                <w:szCs w:val="20"/>
              </w:rPr>
            </w:pPr>
            <w:r w:rsidRPr="00381F82">
              <w:rPr>
                <w:snapToGrid w:val="0"/>
                <w:sz w:val="20"/>
                <w:szCs w:val="20"/>
              </w:rPr>
              <w:t>99.90%</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13E46" w14:textId="77777777" w:rsidR="005A2757" w:rsidRPr="00381F82" w:rsidRDefault="005A2757" w:rsidP="00381F82">
            <w:pPr>
              <w:jc w:val="right"/>
              <w:rPr>
                <w:rFonts w:eastAsiaTheme="minorHAnsi"/>
                <w:snapToGrid w:val="0"/>
                <w:sz w:val="20"/>
                <w:szCs w:val="20"/>
              </w:rPr>
            </w:pPr>
            <w:r w:rsidRPr="00381F82">
              <w:rPr>
                <w:snapToGrid w:val="0"/>
                <w:sz w:val="20"/>
                <w:szCs w:val="20"/>
              </w:rPr>
              <w:t>99.89%</w:t>
            </w:r>
          </w:p>
        </w:tc>
      </w:tr>
      <w:tr w:rsidR="005A2757" w14:paraId="30938B44" w14:textId="77777777" w:rsidTr="00381F82">
        <w:trPr>
          <w:trHeight w:val="144"/>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250A8" w14:textId="77777777" w:rsidR="005A2757" w:rsidRPr="00381F82" w:rsidRDefault="005A2757" w:rsidP="00381F82">
            <w:pPr>
              <w:rPr>
                <w:rFonts w:eastAsiaTheme="minorHAnsi"/>
                <w:snapToGrid w:val="0"/>
                <w:sz w:val="20"/>
                <w:szCs w:val="20"/>
              </w:rPr>
            </w:pPr>
            <w:r w:rsidRPr="00381F82">
              <w:rPr>
                <w:snapToGrid w:val="0"/>
                <w:sz w:val="20"/>
                <w:szCs w:val="20"/>
              </w:rPr>
              <w:t>SFA</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D24A9" w14:textId="77777777" w:rsidR="005A2757" w:rsidRPr="00381F82" w:rsidRDefault="005A2757" w:rsidP="00381F82">
            <w:pPr>
              <w:jc w:val="right"/>
              <w:rPr>
                <w:rFonts w:eastAsiaTheme="minorHAnsi"/>
                <w:snapToGrid w:val="0"/>
                <w:sz w:val="20"/>
                <w:szCs w:val="20"/>
              </w:rPr>
            </w:pPr>
            <w:r w:rsidRPr="00381F82">
              <w:rPr>
                <w:snapToGrid w:val="0"/>
                <w:sz w:val="20"/>
                <w:szCs w:val="20"/>
              </w:rPr>
              <w:t>99.36%</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422E3" w14:textId="77777777" w:rsidR="005A2757" w:rsidRPr="00381F82" w:rsidRDefault="005A2757" w:rsidP="00381F82">
            <w:pPr>
              <w:jc w:val="right"/>
              <w:rPr>
                <w:rFonts w:eastAsiaTheme="minorHAnsi"/>
                <w:snapToGrid w:val="0"/>
                <w:sz w:val="20"/>
                <w:szCs w:val="20"/>
              </w:rPr>
            </w:pPr>
            <w:r w:rsidRPr="00381F82">
              <w:rPr>
                <w:snapToGrid w:val="0"/>
                <w:sz w:val="20"/>
                <w:szCs w:val="20"/>
              </w:rPr>
              <w:t>99.84%</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B40DA" w14:textId="77777777" w:rsidR="005A2757" w:rsidRPr="00381F82" w:rsidRDefault="005A2757" w:rsidP="00381F82">
            <w:pPr>
              <w:jc w:val="right"/>
              <w:rPr>
                <w:rFonts w:eastAsiaTheme="minorHAnsi"/>
                <w:snapToGrid w:val="0"/>
                <w:sz w:val="20"/>
                <w:szCs w:val="20"/>
              </w:rPr>
            </w:pPr>
            <w:r w:rsidRPr="00381F82">
              <w:rPr>
                <w:snapToGrid w:val="0"/>
                <w:sz w:val="20"/>
                <w:szCs w:val="20"/>
              </w:rPr>
              <w:t>99.61%</w:t>
            </w:r>
          </w:p>
        </w:tc>
      </w:tr>
      <w:tr w:rsidR="005A2757" w14:paraId="7D3AA066" w14:textId="77777777" w:rsidTr="00381F82">
        <w:trPr>
          <w:trHeight w:val="144"/>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27FA8" w14:textId="77777777" w:rsidR="005A2757" w:rsidRPr="00381F82" w:rsidRDefault="005A2757" w:rsidP="00381F82">
            <w:pPr>
              <w:rPr>
                <w:rFonts w:eastAsiaTheme="minorHAnsi"/>
                <w:snapToGrid w:val="0"/>
                <w:sz w:val="20"/>
                <w:szCs w:val="20"/>
              </w:rPr>
            </w:pPr>
            <w:r w:rsidRPr="00381F82">
              <w:rPr>
                <w:snapToGrid w:val="0"/>
                <w:sz w:val="20"/>
                <w:szCs w:val="20"/>
              </w:rPr>
              <w:t>OM</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80AA1" w14:textId="77777777" w:rsidR="005A2757" w:rsidRPr="00381F82" w:rsidRDefault="005A2757" w:rsidP="00381F82">
            <w:pPr>
              <w:jc w:val="right"/>
              <w:rPr>
                <w:rFonts w:eastAsiaTheme="minorHAnsi"/>
                <w:snapToGrid w:val="0"/>
                <w:sz w:val="20"/>
                <w:szCs w:val="20"/>
              </w:rPr>
            </w:pPr>
            <w:r w:rsidRPr="00381F82">
              <w:rPr>
                <w:snapToGrid w:val="0"/>
                <w:sz w:val="20"/>
                <w:szCs w:val="20"/>
              </w:rPr>
              <w:t>99.33%</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C779D" w14:textId="77777777" w:rsidR="005A2757" w:rsidRPr="00381F82" w:rsidRDefault="005A2757" w:rsidP="00381F82">
            <w:pPr>
              <w:jc w:val="right"/>
              <w:rPr>
                <w:rFonts w:eastAsiaTheme="minorHAnsi"/>
                <w:snapToGrid w:val="0"/>
                <w:sz w:val="20"/>
                <w:szCs w:val="20"/>
              </w:rPr>
            </w:pPr>
            <w:r w:rsidRPr="00381F82">
              <w:rPr>
                <w:snapToGrid w:val="0"/>
                <w:sz w:val="20"/>
                <w:szCs w:val="20"/>
              </w:rPr>
              <w:t>99.79%</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5938E" w14:textId="77777777" w:rsidR="005A2757" w:rsidRPr="00381F82" w:rsidRDefault="005A2757" w:rsidP="00381F82">
            <w:pPr>
              <w:jc w:val="right"/>
              <w:rPr>
                <w:rFonts w:eastAsiaTheme="minorHAnsi"/>
                <w:snapToGrid w:val="0"/>
                <w:sz w:val="20"/>
                <w:szCs w:val="20"/>
              </w:rPr>
            </w:pPr>
            <w:r w:rsidRPr="00381F82">
              <w:rPr>
                <w:snapToGrid w:val="0"/>
                <w:sz w:val="20"/>
                <w:szCs w:val="20"/>
              </w:rPr>
              <w:t>N/A</w:t>
            </w:r>
          </w:p>
        </w:tc>
      </w:tr>
      <w:tr w:rsidR="005A2757" w14:paraId="3993178C" w14:textId="77777777" w:rsidTr="00381F82">
        <w:trPr>
          <w:trHeight w:val="144"/>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865F6" w14:textId="77777777" w:rsidR="005A2757" w:rsidRPr="00381F82" w:rsidRDefault="005A2757" w:rsidP="00381F82">
            <w:pPr>
              <w:rPr>
                <w:rFonts w:eastAsiaTheme="minorHAnsi"/>
                <w:snapToGrid w:val="0"/>
                <w:sz w:val="20"/>
                <w:szCs w:val="20"/>
              </w:rPr>
            </w:pPr>
            <w:r w:rsidRPr="00381F82">
              <w:rPr>
                <w:snapToGrid w:val="0"/>
                <w:sz w:val="20"/>
                <w:szCs w:val="20"/>
              </w:rPr>
              <w:t>GR</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C606A" w14:textId="77777777" w:rsidR="005A2757" w:rsidRPr="00381F82" w:rsidRDefault="005A2757" w:rsidP="00381F82">
            <w:pPr>
              <w:jc w:val="right"/>
              <w:rPr>
                <w:rFonts w:eastAsiaTheme="minorHAnsi"/>
                <w:snapToGrid w:val="0"/>
                <w:sz w:val="20"/>
                <w:szCs w:val="20"/>
              </w:rPr>
            </w:pPr>
            <w:r w:rsidRPr="00381F82">
              <w:rPr>
                <w:snapToGrid w:val="0"/>
                <w:sz w:val="20"/>
                <w:szCs w:val="20"/>
              </w:rPr>
              <w:t>99.28%</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6B9861" w14:textId="77777777" w:rsidR="005A2757" w:rsidRPr="00381F82" w:rsidRDefault="005A2757" w:rsidP="00381F82">
            <w:pPr>
              <w:jc w:val="right"/>
              <w:rPr>
                <w:rFonts w:eastAsiaTheme="minorHAnsi"/>
                <w:snapToGrid w:val="0"/>
                <w:sz w:val="20"/>
                <w:szCs w:val="20"/>
              </w:rPr>
            </w:pPr>
            <w:r w:rsidRPr="00381F82">
              <w:rPr>
                <w:snapToGrid w:val="0"/>
                <w:sz w:val="20"/>
                <w:szCs w:val="20"/>
              </w:rPr>
              <w:t>99.89%</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17ADC" w14:textId="77777777" w:rsidR="005A2757" w:rsidRPr="00381F82" w:rsidRDefault="005A2757" w:rsidP="00381F82">
            <w:pPr>
              <w:jc w:val="right"/>
              <w:rPr>
                <w:rFonts w:eastAsiaTheme="minorHAnsi"/>
                <w:snapToGrid w:val="0"/>
                <w:sz w:val="20"/>
                <w:szCs w:val="20"/>
              </w:rPr>
            </w:pPr>
            <w:r w:rsidRPr="00381F82">
              <w:rPr>
                <w:snapToGrid w:val="0"/>
                <w:sz w:val="20"/>
                <w:szCs w:val="20"/>
              </w:rPr>
              <w:t>99.58%</w:t>
            </w:r>
          </w:p>
        </w:tc>
      </w:tr>
      <w:tr w:rsidR="005A2757" w14:paraId="71478ABA" w14:textId="77777777" w:rsidTr="00381F82">
        <w:trPr>
          <w:trHeight w:val="144"/>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B3697" w14:textId="77777777" w:rsidR="005A2757" w:rsidRPr="00381F82" w:rsidRDefault="005A2757" w:rsidP="00381F82">
            <w:pPr>
              <w:rPr>
                <w:rFonts w:eastAsiaTheme="minorHAnsi"/>
                <w:snapToGrid w:val="0"/>
                <w:sz w:val="20"/>
                <w:szCs w:val="20"/>
              </w:rPr>
            </w:pPr>
            <w:r w:rsidRPr="00381F82">
              <w:rPr>
                <w:snapToGrid w:val="0"/>
                <w:sz w:val="20"/>
                <w:szCs w:val="20"/>
              </w:rPr>
              <w:t>GR200</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A2BCC" w14:textId="77777777" w:rsidR="005A2757" w:rsidRPr="00381F82" w:rsidRDefault="005A2757" w:rsidP="00381F82">
            <w:pPr>
              <w:jc w:val="right"/>
              <w:rPr>
                <w:rFonts w:eastAsiaTheme="minorHAnsi"/>
                <w:snapToGrid w:val="0"/>
                <w:sz w:val="20"/>
                <w:szCs w:val="20"/>
              </w:rPr>
            </w:pPr>
            <w:r w:rsidRPr="00381F82">
              <w:rPr>
                <w:snapToGrid w:val="0"/>
                <w:sz w:val="20"/>
                <w:szCs w:val="20"/>
              </w:rPr>
              <w:t>99.42%</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F355B" w14:textId="77777777" w:rsidR="005A2757" w:rsidRPr="00381F82" w:rsidRDefault="005A2757" w:rsidP="00381F82">
            <w:pPr>
              <w:jc w:val="right"/>
              <w:rPr>
                <w:rFonts w:eastAsiaTheme="minorHAnsi"/>
                <w:snapToGrid w:val="0"/>
                <w:sz w:val="20"/>
                <w:szCs w:val="20"/>
              </w:rPr>
            </w:pPr>
            <w:r w:rsidRPr="00381F82">
              <w:rPr>
                <w:snapToGrid w:val="0"/>
                <w:sz w:val="20"/>
                <w:szCs w:val="20"/>
              </w:rPr>
              <w:t>99.84%</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ED4D3" w14:textId="77777777" w:rsidR="005A2757" w:rsidRPr="00381F82" w:rsidRDefault="005A2757" w:rsidP="00381F82">
            <w:pPr>
              <w:jc w:val="right"/>
              <w:rPr>
                <w:rFonts w:eastAsiaTheme="minorHAnsi"/>
                <w:snapToGrid w:val="0"/>
                <w:sz w:val="20"/>
                <w:szCs w:val="20"/>
              </w:rPr>
            </w:pPr>
            <w:r w:rsidRPr="00381F82">
              <w:rPr>
                <w:snapToGrid w:val="0"/>
                <w:sz w:val="20"/>
                <w:szCs w:val="20"/>
              </w:rPr>
              <w:t>99.57%</w:t>
            </w:r>
          </w:p>
        </w:tc>
      </w:tr>
      <w:tr w:rsidR="005A2757" w14:paraId="138065E1" w14:textId="77777777" w:rsidTr="00381F82">
        <w:trPr>
          <w:trHeight w:val="144"/>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1E6DF" w14:textId="77777777" w:rsidR="005A2757" w:rsidRPr="00381F82" w:rsidRDefault="005A2757" w:rsidP="00381F82">
            <w:pPr>
              <w:rPr>
                <w:rFonts w:eastAsiaTheme="minorHAnsi"/>
                <w:snapToGrid w:val="0"/>
                <w:sz w:val="20"/>
                <w:szCs w:val="20"/>
              </w:rPr>
            </w:pPr>
            <w:r w:rsidRPr="00381F82">
              <w:rPr>
                <w:snapToGrid w:val="0"/>
                <w:sz w:val="20"/>
                <w:szCs w:val="20"/>
              </w:rPr>
              <w:t>ADM</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2E908" w14:textId="77777777" w:rsidR="005A2757" w:rsidRPr="00381F82" w:rsidRDefault="005A2757" w:rsidP="00381F82">
            <w:pPr>
              <w:jc w:val="right"/>
              <w:rPr>
                <w:rFonts w:eastAsiaTheme="minorHAnsi"/>
                <w:snapToGrid w:val="0"/>
                <w:sz w:val="20"/>
                <w:szCs w:val="20"/>
              </w:rPr>
            </w:pPr>
            <w:r w:rsidRPr="00381F82">
              <w:rPr>
                <w:snapToGrid w:val="0"/>
                <w:sz w:val="20"/>
                <w:szCs w:val="20"/>
              </w:rPr>
              <w:t>99.89%</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2A096" w14:textId="7A599263" w:rsidR="005A2757" w:rsidRPr="00381F82" w:rsidRDefault="005A2757" w:rsidP="00381F82">
            <w:pPr>
              <w:jc w:val="right"/>
              <w:rPr>
                <w:rFonts w:eastAsiaTheme="minorHAnsi"/>
                <w:snapToGrid w:val="0"/>
                <w:sz w:val="20"/>
                <w:szCs w:val="20"/>
              </w:rPr>
            </w:pPr>
            <w:r w:rsidRPr="00381F82">
              <w:rPr>
                <w:snapToGrid w:val="0"/>
                <w:sz w:val="20"/>
                <w:szCs w:val="20"/>
              </w:rPr>
              <w:t>100.</w:t>
            </w:r>
            <w:r w:rsidR="00895BA2">
              <w:rPr>
                <w:snapToGrid w:val="0"/>
                <w:sz w:val="20"/>
                <w:szCs w:val="20"/>
              </w:rPr>
              <w:t>0</w:t>
            </w:r>
            <w:r w:rsidRPr="00381F82">
              <w:rPr>
                <w:snapToGrid w:val="0"/>
                <w:sz w:val="20"/>
                <w:szCs w:val="20"/>
              </w:rPr>
              <w:t>0%</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E77BAC" w14:textId="5951D3CE" w:rsidR="005A2757" w:rsidRPr="00381F82" w:rsidRDefault="005A2757" w:rsidP="00381F82">
            <w:pPr>
              <w:jc w:val="right"/>
              <w:rPr>
                <w:rFonts w:eastAsiaTheme="minorHAnsi"/>
                <w:snapToGrid w:val="0"/>
                <w:sz w:val="20"/>
                <w:szCs w:val="20"/>
              </w:rPr>
            </w:pPr>
            <w:r w:rsidRPr="00381F82">
              <w:rPr>
                <w:snapToGrid w:val="0"/>
                <w:sz w:val="20"/>
                <w:szCs w:val="20"/>
              </w:rPr>
              <w:t>100.</w:t>
            </w:r>
            <w:r w:rsidR="00895BA2">
              <w:rPr>
                <w:snapToGrid w:val="0"/>
                <w:sz w:val="20"/>
                <w:szCs w:val="20"/>
              </w:rPr>
              <w:t>0</w:t>
            </w:r>
            <w:r w:rsidRPr="00381F82">
              <w:rPr>
                <w:snapToGrid w:val="0"/>
                <w:sz w:val="20"/>
                <w:szCs w:val="20"/>
              </w:rPr>
              <w:t>0%</w:t>
            </w:r>
          </w:p>
        </w:tc>
      </w:tr>
      <w:tr w:rsidR="005A2757" w14:paraId="430D03AF" w14:textId="77777777" w:rsidTr="00381F82">
        <w:trPr>
          <w:trHeight w:val="144"/>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12DE6" w14:textId="77777777" w:rsidR="005A2757" w:rsidRPr="00381F82" w:rsidRDefault="005A2757" w:rsidP="00381F82">
            <w:pPr>
              <w:rPr>
                <w:rFonts w:eastAsiaTheme="minorHAnsi"/>
                <w:snapToGrid w:val="0"/>
                <w:sz w:val="20"/>
                <w:szCs w:val="20"/>
              </w:rPr>
            </w:pPr>
            <w:r w:rsidRPr="00381F82">
              <w:rPr>
                <w:snapToGrid w:val="0"/>
                <w:sz w:val="20"/>
                <w:szCs w:val="20"/>
              </w:rPr>
              <w:t>EF</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A9D21" w14:textId="77777777" w:rsidR="005A2757" w:rsidRPr="00381F82" w:rsidRDefault="005A2757" w:rsidP="00381F82">
            <w:pPr>
              <w:jc w:val="right"/>
              <w:rPr>
                <w:rFonts w:eastAsiaTheme="minorHAnsi"/>
                <w:snapToGrid w:val="0"/>
                <w:sz w:val="20"/>
                <w:szCs w:val="20"/>
              </w:rPr>
            </w:pPr>
            <w:r w:rsidRPr="00381F82">
              <w:rPr>
                <w:snapToGrid w:val="0"/>
                <w:sz w:val="20"/>
                <w:szCs w:val="20"/>
              </w:rPr>
              <w:t>99.34%</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AED42" w14:textId="77777777" w:rsidR="005A2757" w:rsidRPr="00381F82" w:rsidRDefault="005A2757" w:rsidP="00381F82">
            <w:pPr>
              <w:jc w:val="right"/>
              <w:rPr>
                <w:rFonts w:eastAsiaTheme="minorHAnsi"/>
                <w:snapToGrid w:val="0"/>
                <w:sz w:val="20"/>
                <w:szCs w:val="20"/>
              </w:rPr>
            </w:pPr>
            <w:r w:rsidRPr="00381F82">
              <w:rPr>
                <w:snapToGrid w:val="0"/>
                <w:sz w:val="20"/>
                <w:szCs w:val="20"/>
              </w:rPr>
              <w:t>99.84%</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CB087" w14:textId="77777777" w:rsidR="005A2757" w:rsidRPr="00381F82" w:rsidRDefault="005A2757" w:rsidP="00381F82">
            <w:pPr>
              <w:jc w:val="right"/>
              <w:rPr>
                <w:rFonts w:eastAsiaTheme="minorHAnsi"/>
                <w:snapToGrid w:val="0"/>
                <w:sz w:val="20"/>
                <w:szCs w:val="20"/>
              </w:rPr>
            </w:pPr>
            <w:r w:rsidRPr="00381F82">
              <w:rPr>
                <w:snapToGrid w:val="0"/>
                <w:sz w:val="20"/>
                <w:szCs w:val="20"/>
              </w:rPr>
              <w:t>99.39%</w:t>
            </w:r>
          </w:p>
        </w:tc>
      </w:tr>
      <w:tr w:rsidR="005A2757" w14:paraId="2D3743BB" w14:textId="77777777" w:rsidTr="00381F82">
        <w:trPr>
          <w:trHeight w:val="144"/>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325D7" w14:textId="77777777" w:rsidR="005A2757" w:rsidRPr="00381F82" w:rsidRDefault="005A2757" w:rsidP="00381F82">
            <w:pPr>
              <w:rPr>
                <w:rFonts w:eastAsiaTheme="minorHAnsi"/>
                <w:snapToGrid w:val="0"/>
                <w:sz w:val="20"/>
                <w:szCs w:val="20"/>
              </w:rPr>
            </w:pPr>
            <w:r w:rsidRPr="00381F82">
              <w:rPr>
                <w:snapToGrid w:val="0"/>
                <w:sz w:val="20"/>
                <w:szCs w:val="20"/>
              </w:rPr>
              <w:t>F</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DF9E12" w14:textId="77777777" w:rsidR="005A2757" w:rsidRPr="00381F82" w:rsidRDefault="005A2757" w:rsidP="00381F82">
            <w:pPr>
              <w:jc w:val="right"/>
              <w:rPr>
                <w:rFonts w:eastAsiaTheme="minorHAnsi"/>
                <w:snapToGrid w:val="0"/>
                <w:sz w:val="20"/>
                <w:szCs w:val="20"/>
              </w:rPr>
            </w:pPr>
            <w:r w:rsidRPr="00381F82">
              <w:rPr>
                <w:snapToGrid w:val="0"/>
                <w:sz w:val="20"/>
                <w:szCs w:val="20"/>
              </w:rPr>
              <w:t>99.18%</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BFE0C5" w14:textId="77777777" w:rsidR="005A2757" w:rsidRPr="00381F82" w:rsidRDefault="005A2757" w:rsidP="00381F82">
            <w:pPr>
              <w:jc w:val="right"/>
              <w:rPr>
                <w:rFonts w:eastAsiaTheme="minorHAnsi"/>
                <w:snapToGrid w:val="0"/>
                <w:sz w:val="20"/>
                <w:szCs w:val="20"/>
              </w:rPr>
            </w:pPr>
            <w:r w:rsidRPr="00381F82">
              <w:rPr>
                <w:snapToGrid w:val="0"/>
                <w:sz w:val="20"/>
                <w:szCs w:val="20"/>
              </w:rPr>
              <w:t>99.64%</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EC34D" w14:textId="77777777" w:rsidR="005A2757" w:rsidRPr="00381F82" w:rsidRDefault="005A2757" w:rsidP="00381F82">
            <w:pPr>
              <w:jc w:val="right"/>
              <w:rPr>
                <w:rFonts w:eastAsiaTheme="minorHAnsi"/>
                <w:snapToGrid w:val="0"/>
                <w:sz w:val="20"/>
                <w:szCs w:val="20"/>
              </w:rPr>
            </w:pPr>
            <w:r w:rsidRPr="00381F82">
              <w:rPr>
                <w:snapToGrid w:val="0"/>
                <w:sz w:val="20"/>
                <w:szCs w:val="20"/>
              </w:rPr>
              <w:t>99.11%</w:t>
            </w:r>
          </w:p>
        </w:tc>
      </w:tr>
      <w:tr w:rsidR="005A2757" w14:paraId="3997416F" w14:textId="77777777" w:rsidTr="00381F82">
        <w:trPr>
          <w:trHeight w:val="144"/>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E1FD8" w14:textId="77777777" w:rsidR="005A2757" w:rsidRPr="00381F82" w:rsidRDefault="005A2757" w:rsidP="00381F82">
            <w:pPr>
              <w:rPr>
                <w:rFonts w:eastAsiaTheme="minorHAnsi"/>
                <w:snapToGrid w:val="0"/>
                <w:sz w:val="20"/>
                <w:szCs w:val="20"/>
              </w:rPr>
            </w:pPr>
            <w:r w:rsidRPr="00381F82">
              <w:rPr>
                <w:snapToGrid w:val="0"/>
                <w:sz w:val="20"/>
                <w:szCs w:val="20"/>
              </w:rPr>
              <w:t>HR</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8832D" w14:textId="77777777" w:rsidR="005A2757" w:rsidRPr="00381F82" w:rsidRDefault="005A2757" w:rsidP="00381F82">
            <w:pPr>
              <w:jc w:val="right"/>
              <w:rPr>
                <w:rFonts w:eastAsiaTheme="minorHAnsi"/>
                <w:snapToGrid w:val="0"/>
                <w:sz w:val="20"/>
                <w:szCs w:val="20"/>
              </w:rPr>
            </w:pPr>
            <w:r w:rsidRPr="00381F82">
              <w:rPr>
                <w:snapToGrid w:val="0"/>
                <w:sz w:val="20"/>
                <w:szCs w:val="20"/>
              </w:rPr>
              <w:t>99.35%</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D29CB" w14:textId="77777777" w:rsidR="005A2757" w:rsidRPr="00381F82" w:rsidRDefault="005A2757" w:rsidP="00381F82">
            <w:pPr>
              <w:jc w:val="right"/>
              <w:rPr>
                <w:rFonts w:eastAsiaTheme="minorHAnsi"/>
                <w:snapToGrid w:val="0"/>
                <w:sz w:val="20"/>
                <w:szCs w:val="20"/>
              </w:rPr>
            </w:pPr>
            <w:r w:rsidRPr="00381F82">
              <w:rPr>
                <w:snapToGrid w:val="0"/>
                <w:sz w:val="20"/>
                <w:szCs w:val="20"/>
              </w:rPr>
              <w:t>99.90%</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91F6C" w14:textId="77777777" w:rsidR="005A2757" w:rsidRPr="00381F82" w:rsidRDefault="005A2757" w:rsidP="00381F82">
            <w:pPr>
              <w:jc w:val="right"/>
              <w:rPr>
                <w:rFonts w:eastAsiaTheme="minorHAnsi"/>
                <w:snapToGrid w:val="0"/>
                <w:sz w:val="20"/>
                <w:szCs w:val="20"/>
              </w:rPr>
            </w:pPr>
            <w:r w:rsidRPr="00381F82">
              <w:rPr>
                <w:snapToGrid w:val="0"/>
                <w:sz w:val="20"/>
                <w:szCs w:val="20"/>
              </w:rPr>
              <w:t>99.44%</w:t>
            </w:r>
          </w:p>
        </w:tc>
      </w:tr>
      <w:tr w:rsidR="005A2757" w14:paraId="17C2A3C6" w14:textId="77777777" w:rsidTr="00381F82">
        <w:trPr>
          <w:trHeight w:val="144"/>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618EF" w14:textId="77777777" w:rsidR="005A2757" w:rsidRPr="00381F82" w:rsidRDefault="005A2757" w:rsidP="00381F82">
            <w:pPr>
              <w:rPr>
                <w:rFonts w:eastAsiaTheme="minorHAnsi"/>
                <w:snapToGrid w:val="0"/>
                <w:sz w:val="20"/>
                <w:szCs w:val="20"/>
              </w:rPr>
            </w:pPr>
            <w:r w:rsidRPr="00381F82">
              <w:rPr>
                <w:snapToGrid w:val="0"/>
                <w:sz w:val="20"/>
                <w:szCs w:val="20"/>
              </w:rPr>
              <w:t>AL</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79252" w14:textId="77777777" w:rsidR="005A2757" w:rsidRPr="00381F82" w:rsidRDefault="005A2757" w:rsidP="00381F82">
            <w:pPr>
              <w:jc w:val="right"/>
              <w:rPr>
                <w:rFonts w:eastAsiaTheme="minorHAnsi"/>
                <w:snapToGrid w:val="0"/>
                <w:sz w:val="20"/>
                <w:szCs w:val="20"/>
              </w:rPr>
            </w:pPr>
            <w:r w:rsidRPr="00381F82">
              <w:rPr>
                <w:snapToGrid w:val="0"/>
                <w:sz w:val="20"/>
                <w:szCs w:val="20"/>
              </w:rPr>
              <w:t>99.34%</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51340" w14:textId="77777777" w:rsidR="005A2757" w:rsidRPr="00381F82" w:rsidRDefault="005A2757" w:rsidP="00381F82">
            <w:pPr>
              <w:jc w:val="right"/>
              <w:rPr>
                <w:rFonts w:eastAsiaTheme="minorHAnsi"/>
                <w:snapToGrid w:val="0"/>
                <w:sz w:val="20"/>
                <w:szCs w:val="20"/>
              </w:rPr>
            </w:pPr>
            <w:r w:rsidRPr="00381F82">
              <w:rPr>
                <w:snapToGrid w:val="0"/>
                <w:sz w:val="20"/>
                <w:szCs w:val="20"/>
              </w:rPr>
              <w:t>99.80%</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078AF" w14:textId="5F3F9AE2" w:rsidR="005A2757" w:rsidRPr="00381F82" w:rsidRDefault="00205E92" w:rsidP="00381F82">
            <w:pPr>
              <w:jc w:val="right"/>
              <w:rPr>
                <w:rFonts w:eastAsiaTheme="minorHAnsi"/>
                <w:snapToGrid w:val="0"/>
                <w:sz w:val="20"/>
                <w:szCs w:val="20"/>
              </w:rPr>
            </w:pPr>
            <w:r w:rsidRPr="00381F82">
              <w:rPr>
                <w:snapToGrid w:val="0"/>
                <w:sz w:val="20"/>
                <w:szCs w:val="20"/>
              </w:rPr>
              <w:t>N/A</w:t>
            </w:r>
          </w:p>
        </w:tc>
      </w:tr>
    </w:tbl>
    <w:p w14:paraId="651229D6" w14:textId="77777777" w:rsidR="003E625C" w:rsidRDefault="003E625C" w:rsidP="007F1288">
      <w:pPr>
        <w:rPr>
          <w:snapToGrid w:val="0"/>
          <w:sz w:val="14"/>
          <w:szCs w:val="14"/>
        </w:rPr>
      </w:pPr>
    </w:p>
    <w:p w14:paraId="4939AF5F" w14:textId="77777777" w:rsidR="001A0225" w:rsidRDefault="001A0225" w:rsidP="007F1288">
      <w:pPr>
        <w:rPr>
          <w:snapToGrid w:val="0"/>
          <w:sz w:val="14"/>
          <w:szCs w:val="14"/>
        </w:rPr>
      </w:pPr>
    </w:p>
    <w:p w14:paraId="3A697C29" w14:textId="162F7EE0" w:rsidR="00CF646B" w:rsidRPr="003E393B" w:rsidRDefault="00CF646B" w:rsidP="00E20590">
      <w:pPr>
        <w:widowControl w:val="0"/>
        <w:spacing w:line="279" w:lineRule="atLeast"/>
        <w:ind w:left="90"/>
        <w:outlineLvl w:val="0"/>
        <w:rPr>
          <w:b/>
          <w:snapToGrid w:val="0"/>
        </w:rPr>
      </w:pPr>
      <w:r w:rsidRPr="003E393B">
        <w:rPr>
          <w:b/>
          <w:snapToGrid w:val="0"/>
        </w:rPr>
        <w:t>B.2.</w:t>
      </w:r>
      <w:r w:rsidRPr="003E393B">
        <w:rPr>
          <w:b/>
          <w:snapToGrid w:val="0"/>
        </w:rPr>
        <w:tab/>
      </w:r>
      <w:r w:rsidRPr="003E393B">
        <w:rPr>
          <w:b/>
          <w:snapToGrid w:val="0"/>
          <w:u w:val="single"/>
        </w:rPr>
        <w:t>Statistical</w:t>
      </w:r>
      <w:r w:rsidR="00BE6935" w:rsidRPr="003E393B">
        <w:rPr>
          <w:b/>
          <w:snapToGrid w:val="0"/>
          <w:u w:val="single"/>
        </w:rPr>
        <w:t xml:space="preserve"> </w:t>
      </w:r>
      <w:r w:rsidRPr="003E393B">
        <w:rPr>
          <w:b/>
          <w:snapToGrid w:val="0"/>
          <w:u w:val="single"/>
        </w:rPr>
        <w:t>Methodology</w:t>
      </w:r>
    </w:p>
    <w:p w14:paraId="7BCCFF7E" w14:textId="77777777" w:rsidR="00CF646B" w:rsidRPr="003E393B" w:rsidRDefault="00CF646B" w:rsidP="00E20590">
      <w:pPr>
        <w:widowControl w:val="0"/>
        <w:spacing w:line="279" w:lineRule="atLeast"/>
        <w:ind w:left="90"/>
        <w:rPr>
          <w:snapToGrid w:val="0"/>
        </w:rPr>
      </w:pPr>
    </w:p>
    <w:p w14:paraId="2BCE52DC" w14:textId="3C42138A" w:rsidR="00CF646B" w:rsidRPr="003E393B" w:rsidRDefault="006E4A2C" w:rsidP="00E27FCD">
      <w:pPr>
        <w:widowControl w:val="0"/>
        <w:spacing w:line="279" w:lineRule="atLeast"/>
        <w:ind w:left="86"/>
        <w:outlineLvl w:val="0"/>
      </w:pPr>
      <w:r>
        <w:rPr>
          <w:snapToGrid w:val="0"/>
        </w:rPr>
        <w:t>N</w:t>
      </w:r>
      <w:r w:rsidR="00CF646B" w:rsidRPr="003E393B">
        <w:rPr>
          <w:snapToGrid w:val="0"/>
        </w:rPr>
        <w:t>o</w:t>
      </w:r>
      <w:r w:rsidR="00BE6935" w:rsidRPr="003E393B">
        <w:rPr>
          <w:snapToGrid w:val="0"/>
        </w:rPr>
        <w:t xml:space="preserve"> </w:t>
      </w:r>
      <w:r w:rsidR="00CF646B" w:rsidRPr="003E393B">
        <w:rPr>
          <w:snapToGrid w:val="0"/>
        </w:rPr>
        <w:t>sampling</w:t>
      </w:r>
      <w:r w:rsidR="00BE6935" w:rsidRPr="003E393B">
        <w:rPr>
          <w:snapToGrid w:val="0"/>
        </w:rPr>
        <w:t xml:space="preserve"> </w:t>
      </w:r>
      <w:r>
        <w:rPr>
          <w:snapToGrid w:val="0"/>
        </w:rPr>
        <w:t>is utilized</w:t>
      </w:r>
      <w:r w:rsidR="00BE6935" w:rsidRPr="003E393B">
        <w:rPr>
          <w:snapToGrid w:val="0"/>
        </w:rPr>
        <w:t xml:space="preserve"> </w:t>
      </w:r>
      <w:r w:rsidR="00CF646B" w:rsidRPr="003E393B">
        <w:rPr>
          <w:snapToGrid w:val="0"/>
        </w:rPr>
        <w:t>for</w:t>
      </w:r>
      <w:r w:rsidR="00BE6935" w:rsidRPr="003E393B">
        <w:rPr>
          <w:snapToGrid w:val="0"/>
        </w:rPr>
        <w:t xml:space="preserve"> </w:t>
      </w:r>
      <w:r w:rsidR="00CF646B" w:rsidRPr="003E393B">
        <w:rPr>
          <w:snapToGrid w:val="0"/>
        </w:rPr>
        <w:t>any</w:t>
      </w:r>
      <w:r w:rsidR="00BE6935" w:rsidRPr="003E393B">
        <w:rPr>
          <w:snapToGrid w:val="0"/>
        </w:rPr>
        <w:t xml:space="preserve"> </w:t>
      </w:r>
      <w:r w:rsidR="00CF646B" w:rsidRPr="003E393B">
        <w:rPr>
          <w:snapToGrid w:val="0"/>
        </w:rPr>
        <w:t>of</w:t>
      </w:r>
      <w:r w:rsidR="00BE6935" w:rsidRPr="003E393B">
        <w:rPr>
          <w:snapToGrid w:val="0"/>
        </w:rPr>
        <w:t xml:space="preserve"> </w:t>
      </w:r>
      <w:r w:rsidR="00CF646B" w:rsidRPr="003E393B">
        <w:rPr>
          <w:snapToGrid w:val="0"/>
        </w:rPr>
        <w:t>the</w:t>
      </w:r>
      <w:r w:rsidR="00BE6935" w:rsidRPr="003E393B">
        <w:rPr>
          <w:snapToGrid w:val="0"/>
        </w:rPr>
        <w:t xml:space="preserve"> </w:t>
      </w:r>
      <w:r w:rsidR="00CF646B" w:rsidRPr="003E393B">
        <w:rPr>
          <w:snapToGrid w:val="0"/>
        </w:rPr>
        <w:t>IPEDS</w:t>
      </w:r>
      <w:r w:rsidR="00BE6935" w:rsidRPr="003E393B">
        <w:rPr>
          <w:snapToGrid w:val="0"/>
        </w:rPr>
        <w:t xml:space="preserve"> </w:t>
      </w:r>
      <w:r w:rsidR="00CF646B" w:rsidRPr="003E393B">
        <w:rPr>
          <w:snapToGrid w:val="0"/>
        </w:rPr>
        <w:t>survey</w:t>
      </w:r>
      <w:r w:rsidR="00BE6935" w:rsidRPr="003E393B">
        <w:rPr>
          <w:snapToGrid w:val="0"/>
        </w:rPr>
        <w:t xml:space="preserve"> </w:t>
      </w:r>
      <w:r w:rsidR="00CF646B" w:rsidRPr="003E393B">
        <w:rPr>
          <w:snapToGrid w:val="0"/>
        </w:rPr>
        <w:t>components.</w:t>
      </w:r>
      <w:r>
        <w:rPr>
          <w:snapToGrid w:val="0"/>
        </w:rPr>
        <w:t xml:space="preserve"> </w:t>
      </w:r>
      <w:r w:rsidR="00CF646B" w:rsidRPr="003E393B">
        <w:t>Because</w:t>
      </w:r>
      <w:r w:rsidR="00BE6935" w:rsidRPr="003E393B">
        <w:t xml:space="preserve"> </w:t>
      </w:r>
      <w:r w:rsidR="00CF646B" w:rsidRPr="003E393B">
        <w:t>of</w:t>
      </w:r>
      <w:r w:rsidR="00BE6935" w:rsidRPr="003E393B">
        <w:t xml:space="preserve"> </w:t>
      </w:r>
      <w:r w:rsidR="00CF646B" w:rsidRPr="003E393B">
        <w:t>the</w:t>
      </w:r>
      <w:r w:rsidR="00BE6935" w:rsidRPr="003E393B">
        <w:t xml:space="preserve"> </w:t>
      </w:r>
      <w:r w:rsidR="00CF646B" w:rsidRPr="003E393B">
        <w:t>institutional</w:t>
      </w:r>
      <w:r w:rsidR="00BE6935" w:rsidRPr="003E393B">
        <w:t xml:space="preserve"> </w:t>
      </w:r>
      <w:r w:rsidR="00CF646B" w:rsidRPr="003E393B">
        <w:t>compliance</w:t>
      </w:r>
      <w:r w:rsidR="00BE6935" w:rsidRPr="003E393B">
        <w:t xml:space="preserve"> </w:t>
      </w:r>
      <w:r w:rsidR="00CF646B" w:rsidRPr="003E393B">
        <w:t>requirements</w:t>
      </w:r>
      <w:r w:rsidR="00BE6935" w:rsidRPr="003E393B">
        <w:t xml:space="preserve"> </w:t>
      </w:r>
      <w:r w:rsidR="00CF646B" w:rsidRPr="003E393B">
        <w:t>outlined</w:t>
      </w:r>
      <w:r w:rsidR="00BE6935" w:rsidRPr="003E393B">
        <w:t xml:space="preserve"> </w:t>
      </w:r>
      <w:r w:rsidR="002E583D" w:rsidRPr="003E393B">
        <w:t xml:space="preserve">in Part A </w:t>
      </w:r>
      <w:r w:rsidR="00CF646B" w:rsidRPr="003E393B">
        <w:t>sections</w:t>
      </w:r>
      <w:r w:rsidR="00BE6935" w:rsidRPr="003E393B">
        <w:t xml:space="preserve"> </w:t>
      </w:r>
      <w:r w:rsidR="00CF646B" w:rsidRPr="003E393B">
        <w:t>A.1</w:t>
      </w:r>
      <w:r w:rsidR="00BE6935" w:rsidRPr="003E393B">
        <w:t xml:space="preserve"> </w:t>
      </w:r>
      <w:r w:rsidR="00CF646B" w:rsidRPr="003E393B">
        <w:t>and</w:t>
      </w:r>
      <w:r w:rsidR="00BE6935" w:rsidRPr="003E393B">
        <w:t xml:space="preserve"> </w:t>
      </w:r>
      <w:r w:rsidR="00CF646B" w:rsidRPr="003E393B">
        <w:t>A.2</w:t>
      </w:r>
      <w:r w:rsidR="00BE6935" w:rsidRPr="003E393B">
        <w:t xml:space="preserve"> </w:t>
      </w:r>
      <w:r w:rsidR="00CF646B" w:rsidRPr="003E393B">
        <w:t>of</w:t>
      </w:r>
      <w:r w:rsidR="00BE6935" w:rsidRPr="003E393B">
        <w:t xml:space="preserve"> </w:t>
      </w:r>
      <w:r w:rsidR="00CF646B" w:rsidRPr="003E393B">
        <w:t>this</w:t>
      </w:r>
      <w:r w:rsidR="00BE6935" w:rsidRPr="003E393B">
        <w:t xml:space="preserve"> </w:t>
      </w:r>
      <w:r w:rsidR="00CF646B" w:rsidRPr="003E393B">
        <w:t>submission,</w:t>
      </w:r>
      <w:r w:rsidR="00BE6935" w:rsidRPr="003E393B">
        <w:t xml:space="preserve"> </w:t>
      </w:r>
      <w:r w:rsidR="001C797E">
        <w:t>and per</w:t>
      </w:r>
      <w:r w:rsidR="001C797E" w:rsidRPr="001C797E">
        <w:t xml:space="preserve"> </w:t>
      </w:r>
      <w:r w:rsidR="001C797E">
        <w:t xml:space="preserve">extensive </w:t>
      </w:r>
      <w:r w:rsidR="001C797E" w:rsidRPr="003E393B">
        <w:t>discuss</w:t>
      </w:r>
      <w:r w:rsidR="001C797E">
        <w:t>ions</w:t>
      </w:r>
      <w:r w:rsidR="001C797E" w:rsidRPr="003E393B">
        <w:t xml:space="preserve"> at </w:t>
      </w:r>
      <w:r w:rsidR="001C797E">
        <w:t>the IPEDS</w:t>
      </w:r>
      <w:r w:rsidR="001C797E" w:rsidRPr="003E393B">
        <w:t xml:space="preserve"> Technical Review Panel</w:t>
      </w:r>
      <w:r w:rsidR="001C797E" w:rsidRPr="001C797E">
        <w:t xml:space="preserve"> </w:t>
      </w:r>
      <w:r w:rsidR="001C797E" w:rsidRPr="003E393B">
        <w:t xml:space="preserve">meetings, with other areas of the Department of Education, including the Office for Civil Rights, the Office of Postsecondary Education, the office of Federal Student Aid, and the Office of Vocational and Adult Education, and with other Federal Agencies such as Census, </w:t>
      </w:r>
      <w:r w:rsidR="001C797E">
        <w:t xml:space="preserve">the </w:t>
      </w:r>
      <w:r w:rsidR="001C797E" w:rsidRPr="002C6FBF">
        <w:t xml:space="preserve">Bureau of Economic Analysis </w:t>
      </w:r>
      <w:r w:rsidR="001C797E">
        <w:t>(</w:t>
      </w:r>
      <w:r w:rsidR="001C797E" w:rsidRPr="003E393B">
        <w:t>BEA</w:t>
      </w:r>
      <w:r w:rsidR="001C797E">
        <w:t>),</w:t>
      </w:r>
      <w:r w:rsidR="001C797E" w:rsidRPr="003E393B">
        <w:t xml:space="preserve"> and </w:t>
      </w:r>
      <w:r w:rsidR="001C797E">
        <w:t xml:space="preserve">the </w:t>
      </w:r>
      <w:r w:rsidR="001C797E" w:rsidRPr="002C6FBF">
        <w:t xml:space="preserve">U.S. Equal Employment Opportunity Commission </w:t>
      </w:r>
      <w:r w:rsidR="001C797E">
        <w:t>(</w:t>
      </w:r>
      <w:r w:rsidR="001C797E" w:rsidRPr="003E393B">
        <w:t>EEOC</w:t>
      </w:r>
      <w:r w:rsidR="001C797E">
        <w:t>)</w:t>
      </w:r>
      <w:r w:rsidR="002E583D">
        <w:t xml:space="preserve">, </w:t>
      </w:r>
      <w:r w:rsidR="00DC490D">
        <w:t xml:space="preserve">IPEDS must </w:t>
      </w:r>
      <w:r w:rsidR="00AD412C">
        <w:t xml:space="preserve">collect data from the </w:t>
      </w:r>
      <w:r w:rsidR="00DC490D">
        <w:t xml:space="preserve">universe </w:t>
      </w:r>
      <w:r w:rsidR="00AD412C">
        <w:t>of</w:t>
      </w:r>
      <w:r w:rsidR="00DC490D">
        <w:t xml:space="preserve"> </w:t>
      </w:r>
      <w:r w:rsidR="00DC490D" w:rsidRPr="003E393B">
        <w:rPr>
          <w:snapToGrid w:val="0"/>
        </w:rPr>
        <w:t>Title IV institutions</w:t>
      </w:r>
      <w:r w:rsidR="00CF646B" w:rsidRPr="003E393B">
        <w:t>.</w:t>
      </w:r>
    </w:p>
    <w:p w14:paraId="254D9BEA" w14:textId="77777777" w:rsidR="00CF646B" w:rsidRPr="003E393B" w:rsidRDefault="00CF646B" w:rsidP="00E20590">
      <w:pPr>
        <w:widowControl w:val="0"/>
        <w:spacing w:line="279" w:lineRule="atLeast"/>
        <w:ind w:left="90"/>
        <w:rPr>
          <w:snapToGrid w:val="0"/>
        </w:rPr>
      </w:pPr>
    </w:p>
    <w:p w14:paraId="2D631941" w14:textId="41283BE7" w:rsidR="00CF646B" w:rsidRPr="003E393B" w:rsidRDefault="00CF646B" w:rsidP="00E20590">
      <w:pPr>
        <w:widowControl w:val="0"/>
        <w:spacing w:line="279" w:lineRule="atLeast"/>
        <w:ind w:left="90"/>
        <w:rPr>
          <w:b/>
          <w:snapToGrid w:val="0"/>
        </w:rPr>
      </w:pPr>
      <w:r w:rsidRPr="003E393B">
        <w:rPr>
          <w:b/>
          <w:snapToGrid w:val="0"/>
        </w:rPr>
        <w:t>B.3.</w:t>
      </w:r>
      <w:r w:rsidRPr="003E393B">
        <w:rPr>
          <w:b/>
          <w:snapToGrid w:val="0"/>
        </w:rPr>
        <w:tab/>
      </w:r>
      <w:r w:rsidRPr="003E393B">
        <w:rPr>
          <w:b/>
          <w:snapToGrid w:val="0"/>
          <w:u w:val="single"/>
        </w:rPr>
        <w:t>Methods</w:t>
      </w:r>
      <w:r w:rsidR="00BE6935" w:rsidRPr="003E393B">
        <w:rPr>
          <w:b/>
          <w:snapToGrid w:val="0"/>
          <w:u w:val="single"/>
        </w:rPr>
        <w:t xml:space="preserve"> </w:t>
      </w:r>
      <w:r w:rsidRPr="003E393B">
        <w:rPr>
          <w:b/>
          <w:snapToGrid w:val="0"/>
          <w:u w:val="single"/>
        </w:rPr>
        <w:t>to</w:t>
      </w:r>
      <w:r w:rsidR="00BE6935" w:rsidRPr="003E393B">
        <w:rPr>
          <w:b/>
          <w:snapToGrid w:val="0"/>
          <w:u w:val="single"/>
        </w:rPr>
        <w:t xml:space="preserve"> </w:t>
      </w:r>
      <w:r w:rsidRPr="003E393B">
        <w:rPr>
          <w:b/>
          <w:snapToGrid w:val="0"/>
          <w:u w:val="single"/>
        </w:rPr>
        <w:t>Maximize</w:t>
      </w:r>
      <w:r w:rsidR="00BE6935" w:rsidRPr="003E393B">
        <w:rPr>
          <w:b/>
          <w:snapToGrid w:val="0"/>
          <w:u w:val="single"/>
        </w:rPr>
        <w:t xml:space="preserve"> </w:t>
      </w:r>
      <w:r w:rsidRPr="003E393B">
        <w:rPr>
          <w:b/>
          <w:snapToGrid w:val="0"/>
          <w:u w:val="single"/>
        </w:rPr>
        <w:t>Response</w:t>
      </w:r>
      <w:r w:rsidR="00BE6935" w:rsidRPr="003E393B">
        <w:rPr>
          <w:b/>
          <w:snapToGrid w:val="0"/>
          <w:u w:val="single"/>
        </w:rPr>
        <w:t xml:space="preserve"> </w:t>
      </w:r>
      <w:r w:rsidRPr="003E393B">
        <w:rPr>
          <w:b/>
          <w:snapToGrid w:val="0"/>
          <w:u w:val="single"/>
        </w:rPr>
        <w:t>Rates</w:t>
      </w:r>
    </w:p>
    <w:p w14:paraId="4DCCA3C3" w14:textId="77777777" w:rsidR="00CF646B" w:rsidRPr="003E393B" w:rsidRDefault="00CF646B" w:rsidP="00E20590">
      <w:pPr>
        <w:widowControl w:val="0"/>
        <w:spacing w:line="279" w:lineRule="atLeast"/>
        <w:ind w:left="90"/>
        <w:rPr>
          <w:snapToGrid w:val="0"/>
        </w:rPr>
      </w:pPr>
    </w:p>
    <w:p w14:paraId="3EB33ED1" w14:textId="6991C49A" w:rsidR="00CF646B" w:rsidRPr="003E393B" w:rsidRDefault="00CF646B" w:rsidP="00E20590">
      <w:pPr>
        <w:widowControl w:val="0"/>
        <w:spacing w:line="279" w:lineRule="atLeast"/>
        <w:ind w:left="90"/>
        <w:rPr>
          <w:snapToGrid w:val="0"/>
        </w:rPr>
      </w:pPr>
      <w:r w:rsidRPr="003E393B">
        <w:rPr>
          <w:snapToGrid w:val="0"/>
        </w:rPr>
        <w:t>IPEDS</w:t>
      </w:r>
      <w:r w:rsidR="00BE6935" w:rsidRPr="003E393B">
        <w:rPr>
          <w:snapToGrid w:val="0"/>
        </w:rPr>
        <w:t xml:space="preserve"> </w:t>
      </w:r>
      <w:r w:rsidRPr="003E393B">
        <w:rPr>
          <w:snapToGrid w:val="0"/>
        </w:rPr>
        <w:t>response</w:t>
      </w:r>
      <w:r w:rsidR="00BE6935" w:rsidRPr="003E393B">
        <w:rPr>
          <w:snapToGrid w:val="0"/>
        </w:rPr>
        <w:t xml:space="preserve"> </w:t>
      </w:r>
      <w:r w:rsidRPr="003E393B">
        <w:rPr>
          <w:snapToGrid w:val="0"/>
        </w:rPr>
        <w:t>rates</w:t>
      </w:r>
      <w:r w:rsidR="00BE6935" w:rsidRPr="003E393B">
        <w:rPr>
          <w:snapToGrid w:val="0"/>
        </w:rPr>
        <w:t xml:space="preserve"> </w:t>
      </w:r>
      <w:r w:rsidRPr="003E393B">
        <w:rPr>
          <w:snapToGrid w:val="0"/>
        </w:rPr>
        <w:t>for</w:t>
      </w:r>
      <w:r w:rsidR="00BE6935" w:rsidRPr="003E393B">
        <w:rPr>
          <w:snapToGrid w:val="0"/>
        </w:rPr>
        <w:t xml:space="preserve"> </w:t>
      </w:r>
      <w:r w:rsidRPr="003E393B">
        <w:rPr>
          <w:snapToGrid w:val="0"/>
        </w:rPr>
        <w:t>institutions</w:t>
      </w:r>
      <w:r w:rsidR="00BE6935" w:rsidRPr="003E393B">
        <w:rPr>
          <w:snapToGrid w:val="0"/>
        </w:rPr>
        <w:t xml:space="preserve"> </w:t>
      </w:r>
      <w:r w:rsidRPr="003E393B">
        <w:rPr>
          <w:snapToGrid w:val="0"/>
        </w:rPr>
        <w:t>receiving</w:t>
      </w:r>
      <w:r w:rsidR="00BE6935" w:rsidRPr="003E393B">
        <w:rPr>
          <w:snapToGrid w:val="0"/>
        </w:rPr>
        <w:t xml:space="preserve"> </w:t>
      </w:r>
      <w:r w:rsidRPr="003E393B">
        <w:rPr>
          <w:snapToGrid w:val="0"/>
        </w:rPr>
        <w:t>federal</w:t>
      </w:r>
      <w:r w:rsidR="00BE6935" w:rsidRPr="003E393B">
        <w:rPr>
          <w:snapToGrid w:val="0"/>
        </w:rPr>
        <w:t xml:space="preserve"> </w:t>
      </w:r>
      <w:r w:rsidRPr="003E393B">
        <w:rPr>
          <w:snapToGrid w:val="0"/>
        </w:rPr>
        <w:t>financial</w:t>
      </w:r>
      <w:r w:rsidR="00BE6935" w:rsidRPr="003E393B">
        <w:rPr>
          <w:snapToGrid w:val="0"/>
        </w:rPr>
        <w:t xml:space="preserve"> </w:t>
      </w:r>
      <w:r w:rsidRPr="003E393B">
        <w:rPr>
          <w:snapToGrid w:val="0"/>
        </w:rPr>
        <w:t>aid</w:t>
      </w:r>
      <w:r w:rsidR="00BE6935" w:rsidRPr="003E393B">
        <w:rPr>
          <w:snapToGrid w:val="0"/>
        </w:rPr>
        <w:t xml:space="preserve"> </w:t>
      </w:r>
      <w:r w:rsidRPr="003E393B">
        <w:rPr>
          <w:snapToGrid w:val="0"/>
        </w:rPr>
        <w:t>are</w:t>
      </w:r>
      <w:r w:rsidR="00BE6935" w:rsidRPr="003E393B">
        <w:rPr>
          <w:snapToGrid w:val="0"/>
        </w:rPr>
        <w:t xml:space="preserve"> </w:t>
      </w:r>
      <w:r w:rsidR="00483DC9" w:rsidRPr="003E393B">
        <w:rPr>
          <w:snapToGrid w:val="0"/>
        </w:rPr>
        <w:t>consistently</w:t>
      </w:r>
      <w:r w:rsidR="00BE6935" w:rsidRPr="003E393B">
        <w:rPr>
          <w:snapToGrid w:val="0"/>
        </w:rPr>
        <w:t xml:space="preserve"> </w:t>
      </w:r>
      <w:r w:rsidR="00483DC9" w:rsidRPr="003E393B">
        <w:rPr>
          <w:snapToGrid w:val="0"/>
        </w:rPr>
        <w:t>99.8%</w:t>
      </w:r>
      <w:r w:rsidR="00BE6935" w:rsidRPr="003E393B">
        <w:rPr>
          <w:snapToGrid w:val="0"/>
        </w:rPr>
        <w:t xml:space="preserve"> </w:t>
      </w:r>
      <w:r w:rsidR="00483DC9" w:rsidRPr="003E393B">
        <w:rPr>
          <w:snapToGrid w:val="0"/>
        </w:rPr>
        <w:t>and</w:t>
      </w:r>
      <w:r w:rsidR="00BE6935" w:rsidRPr="003E393B">
        <w:rPr>
          <w:snapToGrid w:val="0"/>
        </w:rPr>
        <w:t xml:space="preserve"> </w:t>
      </w:r>
      <w:r w:rsidR="00483DC9" w:rsidRPr="003E393B">
        <w:rPr>
          <w:snapToGrid w:val="0"/>
        </w:rPr>
        <w:t>higher</w:t>
      </w:r>
      <w:r w:rsidRPr="003E393B">
        <w:rPr>
          <w:snapToGrid w:val="0"/>
        </w:rPr>
        <w:t>.</w:t>
      </w:r>
      <w:r w:rsidR="00BE6935" w:rsidRPr="003E393B">
        <w:rPr>
          <w:snapToGrid w:val="0"/>
        </w:rPr>
        <w:t xml:space="preserve"> </w:t>
      </w:r>
      <w:r w:rsidRPr="003E393B">
        <w:rPr>
          <w:snapToGrid w:val="0"/>
        </w:rPr>
        <w:t>IPEDS</w:t>
      </w:r>
      <w:r w:rsidR="00BE6935" w:rsidRPr="003E393B">
        <w:rPr>
          <w:snapToGrid w:val="0"/>
        </w:rPr>
        <w:t xml:space="preserve"> </w:t>
      </w:r>
      <w:r w:rsidRPr="003E393B">
        <w:rPr>
          <w:snapToGrid w:val="0"/>
        </w:rPr>
        <w:t>targets</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Title</w:t>
      </w:r>
      <w:r w:rsidR="00BE6935" w:rsidRPr="003E393B">
        <w:rPr>
          <w:snapToGrid w:val="0"/>
        </w:rPr>
        <w:t xml:space="preserve"> </w:t>
      </w:r>
      <w:r w:rsidRPr="003E393B">
        <w:rPr>
          <w:snapToGrid w:val="0"/>
        </w:rPr>
        <w:t>IV</w:t>
      </w:r>
      <w:r w:rsidR="00BE6935" w:rsidRPr="003E393B">
        <w:rPr>
          <w:snapToGrid w:val="0"/>
        </w:rPr>
        <w:t xml:space="preserve"> </w:t>
      </w:r>
      <w:r w:rsidRPr="003E393B">
        <w:rPr>
          <w:snapToGrid w:val="0"/>
        </w:rPr>
        <w:t>institutions</w:t>
      </w:r>
      <w:r w:rsidR="00BE6935" w:rsidRPr="003E393B">
        <w:rPr>
          <w:snapToGrid w:val="0"/>
        </w:rPr>
        <w:t xml:space="preserve"> </w:t>
      </w:r>
      <w:r w:rsidRPr="003E393B">
        <w:rPr>
          <w:snapToGrid w:val="0"/>
        </w:rPr>
        <w:t>(others</w:t>
      </w:r>
      <w:r w:rsidR="00BE6935" w:rsidRPr="003E393B">
        <w:rPr>
          <w:snapToGrid w:val="0"/>
        </w:rPr>
        <w:t xml:space="preserve"> </w:t>
      </w:r>
      <w:r w:rsidRPr="003E393B">
        <w:rPr>
          <w:snapToGrid w:val="0"/>
        </w:rPr>
        <w:t>may</w:t>
      </w:r>
      <w:r w:rsidR="00BE6935" w:rsidRPr="003E393B">
        <w:rPr>
          <w:snapToGrid w:val="0"/>
        </w:rPr>
        <w:t xml:space="preserve"> </w:t>
      </w:r>
      <w:r w:rsidRPr="003E393B">
        <w:rPr>
          <w:snapToGrid w:val="0"/>
        </w:rPr>
        <w:t>respond,</w:t>
      </w:r>
      <w:r w:rsidR="00BE6935" w:rsidRPr="003E393B">
        <w:rPr>
          <w:snapToGrid w:val="0"/>
        </w:rPr>
        <w:t xml:space="preserve"> </w:t>
      </w:r>
      <w:r w:rsidRPr="003E393B">
        <w:rPr>
          <w:snapToGrid w:val="0"/>
        </w:rPr>
        <w:t>but</w:t>
      </w:r>
      <w:r w:rsidR="00BE6935" w:rsidRPr="003E393B">
        <w:rPr>
          <w:snapToGrid w:val="0"/>
        </w:rPr>
        <w:t xml:space="preserve"> </w:t>
      </w:r>
      <w:r w:rsidRPr="003E393B">
        <w:rPr>
          <w:snapToGrid w:val="0"/>
        </w:rPr>
        <w:t>no</w:t>
      </w:r>
      <w:r w:rsidR="00BE6935" w:rsidRPr="003E393B">
        <w:rPr>
          <w:snapToGrid w:val="0"/>
        </w:rPr>
        <w:t xml:space="preserve"> </w:t>
      </w:r>
      <w:r w:rsidRPr="003E393B">
        <w:rPr>
          <w:snapToGrid w:val="0"/>
        </w:rPr>
        <w:t>follow-up</w:t>
      </w:r>
      <w:r w:rsidR="00BE6935" w:rsidRPr="003E393B">
        <w:rPr>
          <w:snapToGrid w:val="0"/>
        </w:rPr>
        <w:t xml:space="preserve"> </w:t>
      </w:r>
      <w:r w:rsidRPr="003E393B">
        <w:rPr>
          <w:snapToGrid w:val="0"/>
        </w:rPr>
        <w:t>is</w:t>
      </w:r>
      <w:r w:rsidR="00BE6935" w:rsidRPr="003E393B">
        <w:rPr>
          <w:snapToGrid w:val="0"/>
        </w:rPr>
        <w:t xml:space="preserve"> </w:t>
      </w:r>
      <w:r w:rsidRPr="003E393B">
        <w:rPr>
          <w:snapToGrid w:val="0"/>
        </w:rPr>
        <w:t>done)</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web-based</w:t>
      </w:r>
      <w:r w:rsidR="00BE6935" w:rsidRPr="003E393B">
        <w:rPr>
          <w:snapToGrid w:val="0"/>
        </w:rPr>
        <w:t xml:space="preserve"> </w:t>
      </w:r>
      <w:r w:rsidRPr="003E393B">
        <w:rPr>
          <w:snapToGrid w:val="0"/>
        </w:rPr>
        <w:t>survey</w:t>
      </w:r>
      <w:r w:rsidR="00BE6935" w:rsidRPr="003E393B">
        <w:rPr>
          <w:snapToGrid w:val="0"/>
        </w:rPr>
        <w:t xml:space="preserve"> </w:t>
      </w:r>
      <w:r w:rsidRPr="003E393B">
        <w:rPr>
          <w:snapToGrid w:val="0"/>
        </w:rPr>
        <w:t>system</w:t>
      </w:r>
      <w:r w:rsidR="00BE6935" w:rsidRPr="003E393B">
        <w:rPr>
          <w:snapToGrid w:val="0"/>
        </w:rPr>
        <w:t xml:space="preserve"> </w:t>
      </w:r>
      <w:r w:rsidRPr="003E393B">
        <w:rPr>
          <w:snapToGrid w:val="0"/>
        </w:rPr>
        <w:t>incorporates</w:t>
      </w:r>
      <w:r w:rsidR="00BE6935" w:rsidRPr="003E393B">
        <w:rPr>
          <w:snapToGrid w:val="0"/>
        </w:rPr>
        <w:t xml:space="preserve"> </w:t>
      </w:r>
      <w:r w:rsidRPr="003E393B">
        <w:rPr>
          <w:snapToGrid w:val="0"/>
        </w:rPr>
        <w:t>an</w:t>
      </w:r>
      <w:r w:rsidR="00BE6935" w:rsidRPr="003E393B">
        <w:rPr>
          <w:snapToGrid w:val="0"/>
        </w:rPr>
        <w:t xml:space="preserve"> </w:t>
      </w:r>
      <w:r w:rsidRPr="003E393B">
        <w:rPr>
          <w:snapToGrid w:val="0"/>
        </w:rPr>
        <w:t>automated</w:t>
      </w:r>
      <w:r w:rsidR="00BE6935" w:rsidRPr="003E393B">
        <w:rPr>
          <w:snapToGrid w:val="0"/>
        </w:rPr>
        <w:t xml:space="preserve"> </w:t>
      </w:r>
      <w:r w:rsidRPr="003E393B">
        <w:rPr>
          <w:snapToGrid w:val="0"/>
        </w:rPr>
        <w:t>e-mail</w:t>
      </w:r>
      <w:r w:rsidR="00BE6935" w:rsidRPr="003E393B">
        <w:rPr>
          <w:snapToGrid w:val="0"/>
        </w:rPr>
        <w:t xml:space="preserve"> </w:t>
      </w:r>
      <w:r w:rsidRPr="003E393B">
        <w:rPr>
          <w:snapToGrid w:val="0"/>
        </w:rPr>
        <w:t>module</w:t>
      </w:r>
      <w:r w:rsidR="00BE6935" w:rsidRPr="003E393B">
        <w:rPr>
          <w:snapToGrid w:val="0"/>
        </w:rPr>
        <w:t xml:space="preserve"> </w:t>
      </w:r>
      <w:r w:rsidRPr="003E393B">
        <w:rPr>
          <w:snapToGrid w:val="0"/>
        </w:rPr>
        <w:t>that</w:t>
      </w:r>
      <w:r w:rsidR="00BE6935" w:rsidRPr="003E393B">
        <w:rPr>
          <w:snapToGrid w:val="0"/>
        </w:rPr>
        <w:t xml:space="preserve"> </w:t>
      </w:r>
      <w:r w:rsidRPr="003E393B">
        <w:rPr>
          <w:snapToGrid w:val="0"/>
        </w:rPr>
        <w:t>automatically</w:t>
      </w:r>
      <w:r w:rsidR="00BE6935" w:rsidRPr="003E393B">
        <w:rPr>
          <w:snapToGrid w:val="0"/>
        </w:rPr>
        <w:t xml:space="preserve"> </w:t>
      </w:r>
      <w:r w:rsidRPr="003E393B">
        <w:rPr>
          <w:snapToGrid w:val="0"/>
        </w:rPr>
        <w:t>generates</w:t>
      </w:r>
      <w:r w:rsidR="00BE6935" w:rsidRPr="003E393B">
        <w:rPr>
          <w:snapToGrid w:val="0"/>
        </w:rPr>
        <w:t xml:space="preserve"> </w:t>
      </w:r>
      <w:r w:rsidRPr="003E393B">
        <w:rPr>
          <w:snapToGrid w:val="0"/>
        </w:rPr>
        <w:t>follow-up</w:t>
      </w:r>
      <w:r w:rsidR="00BE6935" w:rsidRPr="003E393B">
        <w:rPr>
          <w:snapToGrid w:val="0"/>
        </w:rPr>
        <w:t xml:space="preserve"> </w:t>
      </w:r>
      <w:r w:rsidRPr="003E393B">
        <w:rPr>
          <w:snapToGrid w:val="0"/>
        </w:rPr>
        <w:t>e-mail</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“keyholders”</w:t>
      </w:r>
      <w:r w:rsidR="00BE6935" w:rsidRPr="003E393B">
        <w:rPr>
          <w:snapToGrid w:val="0"/>
        </w:rPr>
        <w:t xml:space="preserve"> </w:t>
      </w:r>
      <w:r w:rsidRPr="003E393B">
        <w:rPr>
          <w:snapToGrid w:val="0"/>
        </w:rPr>
        <w:t>(individuals</w:t>
      </w:r>
      <w:r w:rsidR="00BE6935" w:rsidRPr="003E393B">
        <w:rPr>
          <w:snapToGrid w:val="0"/>
        </w:rPr>
        <w:t xml:space="preserve"> </w:t>
      </w:r>
      <w:r w:rsidRPr="003E393B">
        <w:rPr>
          <w:snapToGrid w:val="0"/>
        </w:rPr>
        <w:t>appointed</w:t>
      </w:r>
      <w:r w:rsidR="00BE6935" w:rsidRPr="003E393B">
        <w:rPr>
          <w:snapToGrid w:val="0"/>
        </w:rPr>
        <w:t xml:space="preserve"> </w:t>
      </w:r>
      <w:r w:rsidRPr="003E393B">
        <w:rPr>
          <w:snapToGrid w:val="0"/>
        </w:rPr>
        <w:t>by</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CEOs</w:t>
      </w:r>
      <w:r w:rsidR="00BE6935" w:rsidRPr="003E393B">
        <w:rPr>
          <w:snapToGrid w:val="0"/>
        </w:rPr>
        <w:t xml:space="preserve"> </w:t>
      </w:r>
      <w:r w:rsidRPr="003E393B">
        <w:rPr>
          <w:snapToGrid w:val="0"/>
        </w:rPr>
        <w:t>as</w:t>
      </w:r>
      <w:r w:rsidR="00BE6935" w:rsidRPr="003E393B">
        <w:rPr>
          <w:snapToGrid w:val="0"/>
        </w:rPr>
        <w:t xml:space="preserve"> </w:t>
      </w:r>
      <w:r w:rsidRPr="003E393B">
        <w:rPr>
          <w:snapToGrid w:val="0"/>
        </w:rPr>
        <w:t>responsible</w:t>
      </w:r>
      <w:r w:rsidR="00BE6935" w:rsidRPr="003E393B">
        <w:rPr>
          <w:snapToGrid w:val="0"/>
        </w:rPr>
        <w:t xml:space="preserve"> </w:t>
      </w:r>
      <w:r w:rsidRPr="003E393B">
        <w:rPr>
          <w:snapToGrid w:val="0"/>
        </w:rPr>
        <w:t>for</w:t>
      </w:r>
      <w:r w:rsidR="00BE6935" w:rsidRPr="003E393B">
        <w:rPr>
          <w:snapToGrid w:val="0"/>
        </w:rPr>
        <w:t xml:space="preserve"> </w:t>
      </w:r>
      <w:r w:rsidRPr="003E393B">
        <w:rPr>
          <w:snapToGrid w:val="0"/>
        </w:rPr>
        <w:t>IPEDS</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submission).</w:t>
      </w:r>
      <w:r w:rsidR="00BE6935" w:rsidRPr="003E393B">
        <w:rPr>
          <w:snapToGrid w:val="0"/>
        </w:rPr>
        <w:t xml:space="preserve"> </w:t>
      </w:r>
      <w:r w:rsidRPr="003E393B">
        <w:rPr>
          <w:snapToGrid w:val="0"/>
        </w:rPr>
        <w:t>As</w:t>
      </w:r>
      <w:r w:rsidR="00BE6935" w:rsidRPr="003E393B">
        <w:rPr>
          <w:snapToGrid w:val="0"/>
        </w:rPr>
        <w:t xml:space="preserve"> </w:t>
      </w:r>
      <w:r w:rsidRPr="003E393B">
        <w:rPr>
          <w:snapToGrid w:val="0"/>
        </w:rPr>
        <w:t>shown</w:t>
      </w:r>
      <w:r w:rsidR="00BE6935" w:rsidRPr="003E393B">
        <w:rPr>
          <w:snapToGrid w:val="0"/>
        </w:rPr>
        <w:t xml:space="preserve"> </w:t>
      </w:r>
      <w:r w:rsidRPr="003E393B">
        <w:rPr>
          <w:snapToGrid w:val="0"/>
        </w:rPr>
        <w:t>in</w:t>
      </w:r>
      <w:r w:rsidR="00BE6935" w:rsidRPr="003E393B">
        <w:rPr>
          <w:snapToGrid w:val="0"/>
        </w:rPr>
        <w:t xml:space="preserve"> </w:t>
      </w:r>
      <w:r w:rsidR="008A71E8" w:rsidRPr="003E393B">
        <w:rPr>
          <w:snapToGrid w:val="0"/>
        </w:rPr>
        <w:t>Table 19</w:t>
      </w:r>
      <w:r w:rsidR="008A71E8">
        <w:rPr>
          <w:snapToGrid w:val="0"/>
        </w:rPr>
        <w:t xml:space="preserve"> of </w:t>
      </w:r>
      <w:r w:rsidR="00DF0FD5">
        <w:rPr>
          <w:snapToGrid w:val="0"/>
        </w:rPr>
        <w:t xml:space="preserve">Part A </w:t>
      </w:r>
      <w:r w:rsidRPr="003E393B">
        <w:rPr>
          <w:snapToGrid w:val="0"/>
        </w:rPr>
        <w:t>section</w:t>
      </w:r>
      <w:r w:rsidR="00BE6935" w:rsidRPr="003E393B">
        <w:rPr>
          <w:snapToGrid w:val="0"/>
        </w:rPr>
        <w:t xml:space="preserve"> </w:t>
      </w:r>
      <w:r w:rsidR="00BC07F4" w:rsidRPr="003E393B">
        <w:rPr>
          <w:snapToGrid w:val="0"/>
        </w:rPr>
        <w:t>A.16</w:t>
      </w:r>
      <w:r w:rsidR="008A71E8">
        <w:rPr>
          <w:snapToGrid w:val="0"/>
        </w:rPr>
        <w:t xml:space="preserve"> of this submission,</w:t>
      </w:r>
      <w:r w:rsidR="00BE6935" w:rsidRPr="003E393B">
        <w:rPr>
          <w:snapToGrid w:val="0"/>
        </w:rPr>
        <w:t xml:space="preserve"> </w:t>
      </w:r>
      <w:r w:rsidRPr="003E393B">
        <w:rPr>
          <w:snapToGrid w:val="0"/>
        </w:rPr>
        <w:t>frequent</w:t>
      </w:r>
      <w:r w:rsidR="00BE6935" w:rsidRPr="003E393B">
        <w:rPr>
          <w:snapToGrid w:val="0"/>
        </w:rPr>
        <w:t xml:space="preserve"> </w:t>
      </w:r>
      <w:r w:rsidRPr="003E393B">
        <w:rPr>
          <w:snapToGrid w:val="0"/>
        </w:rPr>
        <w:t>communications</w:t>
      </w:r>
      <w:r w:rsidR="00BE6935" w:rsidRPr="003E393B">
        <w:rPr>
          <w:snapToGrid w:val="0"/>
        </w:rPr>
        <w:t xml:space="preserve"> </w:t>
      </w:r>
      <w:r w:rsidRPr="003E393B">
        <w:rPr>
          <w:snapToGrid w:val="0"/>
        </w:rPr>
        <w:t>occur</w:t>
      </w:r>
      <w:r w:rsidR="00BE6935" w:rsidRPr="003E393B">
        <w:rPr>
          <w:snapToGrid w:val="0"/>
        </w:rPr>
        <w:t xml:space="preserve"> </w:t>
      </w:r>
      <w:r w:rsidRPr="003E393B">
        <w:rPr>
          <w:snapToGrid w:val="0"/>
        </w:rPr>
        <w:t>with</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institution</w:t>
      </w:r>
      <w:r w:rsidR="008A71E8">
        <w:rPr>
          <w:snapToGrid w:val="0"/>
        </w:rPr>
        <w:t>s</w:t>
      </w:r>
      <w:r w:rsidR="00BE6935" w:rsidRPr="003E393B">
        <w:rPr>
          <w:snapToGrid w:val="0"/>
        </w:rPr>
        <w:t xml:space="preserve"> </w:t>
      </w:r>
      <w:r w:rsidRPr="003E393B">
        <w:rPr>
          <w:snapToGrid w:val="0"/>
        </w:rPr>
        <w:t>over</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course</w:t>
      </w:r>
      <w:r w:rsidR="00BE6935" w:rsidRPr="003E393B">
        <w:rPr>
          <w:snapToGrid w:val="0"/>
        </w:rPr>
        <w:t xml:space="preserve"> </w:t>
      </w:r>
      <w:r w:rsidRPr="003E393B">
        <w:rPr>
          <w:snapToGrid w:val="0"/>
        </w:rPr>
        <w:t>of</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collection</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ensure</w:t>
      </w:r>
      <w:r w:rsidR="00BE6935" w:rsidRPr="003E393B">
        <w:rPr>
          <w:snapToGrid w:val="0"/>
        </w:rPr>
        <w:t xml:space="preserve"> </w:t>
      </w:r>
      <w:r w:rsidRPr="003E393B">
        <w:rPr>
          <w:snapToGrid w:val="0"/>
        </w:rPr>
        <w:t>compliance</w:t>
      </w:r>
      <w:r w:rsidR="00BE6935" w:rsidRPr="003E393B">
        <w:rPr>
          <w:snapToGrid w:val="0"/>
        </w:rPr>
        <w:t xml:space="preserve"> </w:t>
      </w:r>
      <w:r w:rsidRPr="003E393B">
        <w:rPr>
          <w:snapToGrid w:val="0"/>
        </w:rPr>
        <w:t>with</w:t>
      </w:r>
      <w:r w:rsidR="00BE6935" w:rsidRPr="003E393B">
        <w:rPr>
          <w:snapToGrid w:val="0"/>
        </w:rPr>
        <w:t xml:space="preserve"> </w:t>
      </w:r>
      <w:r w:rsidRPr="003E393B">
        <w:rPr>
          <w:snapToGrid w:val="0"/>
        </w:rPr>
        <w:t>this</w:t>
      </w:r>
      <w:r w:rsidR="00BE6935" w:rsidRPr="003E393B">
        <w:rPr>
          <w:snapToGrid w:val="0"/>
        </w:rPr>
        <w:t xml:space="preserve"> </w:t>
      </w:r>
      <w:r w:rsidRPr="003E393B">
        <w:rPr>
          <w:snapToGrid w:val="0"/>
        </w:rPr>
        <w:t>statutorily</w:t>
      </w:r>
      <w:r w:rsidR="00BE6935" w:rsidRPr="003E393B">
        <w:rPr>
          <w:snapToGrid w:val="0"/>
        </w:rPr>
        <w:t xml:space="preserve"> </w:t>
      </w:r>
      <w:r w:rsidRPr="003E393B">
        <w:rPr>
          <w:snapToGrid w:val="0"/>
        </w:rPr>
        <w:t>mandated</w:t>
      </w:r>
      <w:r w:rsidR="00BE6935" w:rsidRPr="003E393B">
        <w:rPr>
          <w:snapToGrid w:val="0"/>
        </w:rPr>
        <w:t xml:space="preserve"> </w:t>
      </w:r>
      <w:r w:rsidRPr="003E393B">
        <w:rPr>
          <w:snapToGrid w:val="0"/>
        </w:rPr>
        <w:t>collection.</w:t>
      </w:r>
      <w:r w:rsidR="00BE6935" w:rsidRPr="003E393B">
        <w:rPr>
          <w:snapToGrid w:val="0"/>
        </w:rPr>
        <w:t xml:space="preserve"> </w:t>
      </w:r>
      <w:r w:rsidRPr="003E393B">
        <w:rPr>
          <w:snapToGrid w:val="0"/>
        </w:rPr>
        <w:t>Follow-up</w:t>
      </w:r>
      <w:r w:rsidR="00BE6935" w:rsidRPr="003E393B">
        <w:rPr>
          <w:snapToGrid w:val="0"/>
        </w:rPr>
        <w:t xml:space="preserve"> </w:t>
      </w:r>
      <w:r w:rsidRPr="003E393B">
        <w:rPr>
          <w:snapToGrid w:val="0"/>
        </w:rPr>
        <w:t>e-mails</w:t>
      </w:r>
      <w:r w:rsidR="00BE6935" w:rsidRPr="003E393B">
        <w:rPr>
          <w:snapToGrid w:val="0"/>
        </w:rPr>
        <w:t xml:space="preserve"> </w:t>
      </w:r>
      <w:r w:rsidRPr="003E393B">
        <w:rPr>
          <w:snapToGrid w:val="0"/>
        </w:rPr>
        <w:t>are</w:t>
      </w:r>
      <w:r w:rsidR="00BE6935" w:rsidRPr="003E393B">
        <w:rPr>
          <w:snapToGrid w:val="0"/>
        </w:rPr>
        <w:t xml:space="preserve"> </w:t>
      </w:r>
      <w:r w:rsidRPr="003E393B">
        <w:rPr>
          <w:snapToGrid w:val="0"/>
        </w:rPr>
        <w:t>generated</w:t>
      </w:r>
      <w:r w:rsidR="00BE6935" w:rsidRPr="003E393B">
        <w:rPr>
          <w:snapToGrid w:val="0"/>
        </w:rPr>
        <w:t xml:space="preserve"> </w:t>
      </w:r>
      <w:r w:rsidRPr="003E393B">
        <w:rPr>
          <w:snapToGrid w:val="0"/>
        </w:rPr>
        <w:t>if</w:t>
      </w:r>
      <w:r w:rsidR="00BE6935" w:rsidRPr="003E393B">
        <w:rPr>
          <w:snapToGrid w:val="0"/>
        </w:rPr>
        <w:t xml:space="preserve"> </w:t>
      </w:r>
      <w:r w:rsidR="008A71E8">
        <w:rPr>
          <w:snapToGrid w:val="0"/>
        </w:rPr>
        <w:t>an</w:t>
      </w:r>
      <w:r w:rsidR="00BE6935" w:rsidRPr="003E393B">
        <w:rPr>
          <w:snapToGrid w:val="0"/>
        </w:rPr>
        <w:t xml:space="preserve"> </w:t>
      </w:r>
      <w:r w:rsidRPr="003E393B">
        <w:rPr>
          <w:snapToGrid w:val="0"/>
        </w:rPr>
        <w:t>institution</w:t>
      </w:r>
      <w:r w:rsidR="00BE6935" w:rsidRPr="003E393B">
        <w:rPr>
          <w:snapToGrid w:val="0"/>
        </w:rPr>
        <w:t xml:space="preserve"> </w:t>
      </w:r>
      <w:r w:rsidRPr="003E393B">
        <w:rPr>
          <w:snapToGrid w:val="0"/>
        </w:rPr>
        <w:t>does</w:t>
      </w:r>
      <w:r w:rsidR="00BE6935" w:rsidRPr="003E393B">
        <w:rPr>
          <w:snapToGrid w:val="0"/>
        </w:rPr>
        <w:t xml:space="preserve"> </w:t>
      </w:r>
      <w:r w:rsidRPr="003E393B">
        <w:rPr>
          <w:snapToGrid w:val="0"/>
        </w:rPr>
        <w:t>not</w:t>
      </w:r>
      <w:r w:rsidR="00BE6935" w:rsidRPr="003E393B">
        <w:rPr>
          <w:snapToGrid w:val="0"/>
        </w:rPr>
        <w:t xml:space="preserve"> </w:t>
      </w:r>
      <w:r w:rsidRPr="003E393B">
        <w:rPr>
          <w:snapToGrid w:val="0"/>
        </w:rPr>
        <w:t>attempt</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enter</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or</w:t>
      </w:r>
      <w:r w:rsidR="00BE6935" w:rsidRPr="003E393B">
        <w:rPr>
          <w:snapToGrid w:val="0"/>
        </w:rPr>
        <w:t xml:space="preserve"> </w:t>
      </w:r>
      <w:r w:rsidRPr="003E393B">
        <w:rPr>
          <w:snapToGrid w:val="0"/>
        </w:rPr>
        <w:t>if,</w:t>
      </w:r>
      <w:r w:rsidR="00BE6935" w:rsidRPr="003E393B">
        <w:rPr>
          <w:snapToGrid w:val="0"/>
        </w:rPr>
        <w:t xml:space="preserve"> </w:t>
      </w:r>
      <w:r w:rsidRPr="003E393B">
        <w:rPr>
          <w:snapToGrid w:val="0"/>
        </w:rPr>
        <w:t>at</w:t>
      </w:r>
      <w:r w:rsidR="00BE6935" w:rsidRPr="003E393B">
        <w:rPr>
          <w:snapToGrid w:val="0"/>
        </w:rPr>
        <w:t xml:space="preserve"> </w:t>
      </w:r>
      <w:r w:rsidR="00B40120" w:rsidRPr="003E393B">
        <w:rPr>
          <w:snapToGrid w:val="0"/>
        </w:rPr>
        <w:t>two</w:t>
      </w:r>
      <w:r w:rsidR="00BE6935" w:rsidRPr="003E393B">
        <w:rPr>
          <w:snapToGrid w:val="0"/>
        </w:rPr>
        <w:t xml:space="preserve"> </w:t>
      </w:r>
      <w:r w:rsidRPr="003E393B">
        <w:rPr>
          <w:snapToGrid w:val="0"/>
        </w:rPr>
        <w:t>weeks</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one</w:t>
      </w:r>
      <w:r w:rsidR="00BE6935" w:rsidRPr="003E393B">
        <w:rPr>
          <w:snapToGrid w:val="0"/>
        </w:rPr>
        <w:t xml:space="preserve"> </w:t>
      </w:r>
      <w:r w:rsidRPr="003E393B">
        <w:rPr>
          <w:snapToGrid w:val="0"/>
        </w:rPr>
        <w:t>week</w:t>
      </w:r>
      <w:r w:rsidR="00BE6935" w:rsidRPr="003E393B">
        <w:rPr>
          <w:snapToGrid w:val="0"/>
        </w:rPr>
        <w:t xml:space="preserve"> </w:t>
      </w:r>
      <w:r w:rsidRPr="003E393B">
        <w:rPr>
          <w:snapToGrid w:val="0"/>
        </w:rPr>
        <w:t>before</w:t>
      </w:r>
      <w:r w:rsidR="00BE6935" w:rsidRPr="003E393B">
        <w:rPr>
          <w:snapToGrid w:val="0"/>
        </w:rPr>
        <w:t xml:space="preserve"> </w:t>
      </w:r>
      <w:r w:rsidRPr="003E393B">
        <w:rPr>
          <w:snapToGrid w:val="0"/>
        </w:rPr>
        <w:t>closeout,</w:t>
      </w:r>
      <w:r w:rsidR="00BE6935" w:rsidRPr="003E393B">
        <w:rPr>
          <w:snapToGrid w:val="0"/>
        </w:rPr>
        <w:t xml:space="preserve"> </w:t>
      </w:r>
      <w:r w:rsidRPr="003E393B">
        <w:rPr>
          <w:snapToGrid w:val="0"/>
        </w:rPr>
        <w:t>the</w:t>
      </w:r>
      <w:r w:rsidR="00BE6935" w:rsidRPr="003E393B">
        <w:rPr>
          <w:snapToGrid w:val="0"/>
        </w:rPr>
        <w:t xml:space="preserve"> </w:t>
      </w:r>
      <w:r w:rsidR="00B40120" w:rsidRPr="003E393B">
        <w:rPr>
          <w:snapToGrid w:val="0"/>
        </w:rPr>
        <w:t>components</w:t>
      </w:r>
      <w:r w:rsidR="00BE6935" w:rsidRPr="003E393B">
        <w:rPr>
          <w:snapToGrid w:val="0"/>
        </w:rPr>
        <w:t xml:space="preserve"> </w:t>
      </w:r>
      <w:r w:rsidR="00B40120" w:rsidRPr="003E393B">
        <w:rPr>
          <w:snapToGrid w:val="0"/>
        </w:rPr>
        <w:t>are</w:t>
      </w:r>
      <w:r w:rsidR="00BE6935" w:rsidRPr="003E393B">
        <w:rPr>
          <w:snapToGrid w:val="0"/>
        </w:rPr>
        <w:t xml:space="preserve"> </w:t>
      </w:r>
      <w:r w:rsidRPr="003E393B">
        <w:rPr>
          <w:snapToGrid w:val="0"/>
        </w:rPr>
        <w:t>not</w:t>
      </w:r>
      <w:r w:rsidR="00BE6935" w:rsidRPr="003E393B">
        <w:rPr>
          <w:snapToGrid w:val="0"/>
        </w:rPr>
        <w:t xml:space="preserve"> </w:t>
      </w:r>
      <w:r w:rsidRPr="003E393B">
        <w:rPr>
          <w:snapToGrid w:val="0"/>
        </w:rPr>
        <w:t>locked.</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CEOs</w:t>
      </w:r>
      <w:r w:rsidR="00BE6935" w:rsidRPr="003E393B">
        <w:rPr>
          <w:snapToGrid w:val="0"/>
        </w:rPr>
        <w:t xml:space="preserve"> </w:t>
      </w:r>
      <w:r w:rsidRPr="003E393B">
        <w:rPr>
          <w:snapToGrid w:val="0"/>
        </w:rPr>
        <w:t>of</w:t>
      </w:r>
      <w:r w:rsidR="00BE6935" w:rsidRPr="003E393B">
        <w:rPr>
          <w:snapToGrid w:val="0"/>
        </w:rPr>
        <w:t xml:space="preserve"> </w:t>
      </w:r>
      <w:r w:rsidRPr="003E393B">
        <w:rPr>
          <w:snapToGrid w:val="0"/>
        </w:rPr>
        <w:t>non-responding</w:t>
      </w:r>
      <w:r w:rsidR="00BE6935" w:rsidRPr="003E393B">
        <w:rPr>
          <w:snapToGrid w:val="0"/>
        </w:rPr>
        <w:t xml:space="preserve"> </w:t>
      </w:r>
      <w:r w:rsidRPr="003E393B">
        <w:rPr>
          <w:snapToGrid w:val="0"/>
        </w:rPr>
        <w:t>institutions</w:t>
      </w:r>
      <w:r w:rsidR="00BE6935" w:rsidRPr="003E393B">
        <w:rPr>
          <w:snapToGrid w:val="0"/>
        </w:rPr>
        <w:t xml:space="preserve"> </w:t>
      </w:r>
      <w:r w:rsidRPr="003E393B">
        <w:rPr>
          <w:snapToGrid w:val="0"/>
        </w:rPr>
        <w:t>are</w:t>
      </w:r>
      <w:r w:rsidR="00BE6935" w:rsidRPr="003E393B">
        <w:rPr>
          <w:snapToGrid w:val="0"/>
        </w:rPr>
        <w:t xml:space="preserve"> </w:t>
      </w:r>
      <w:r w:rsidRPr="003E393B">
        <w:rPr>
          <w:snapToGrid w:val="0"/>
        </w:rPr>
        <w:t>also</w:t>
      </w:r>
      <w:r w:rsidR="00BE6935" w:rsidRPr="003E393B">
        <w:rPr>
          <w:snapToGrid w:val="0"/>
        </w:rPr>
        <w:t xml:space="preserve"> </w:t>
      </w:r>
      <w:r w:rsidRPr="003E393B">
        <w:rPr>
          <w:snapToGrid w:val="0"/>
        </w:rPr>
        <w:t>contacted</w:t>
      </w:r>
      <w:r w:rsidR="00BE6935" w:rsidRPr="003E393B">
        <w:rPr>
          <w:snapToGrid w:val="0"/>
        </w:rPr>
        <w:t xml:space="preserve"> </w:t>
      </w:r>
      <w:r w:rsidRPr="003E393B">
        <w:rPr>
          <w:snapToGrid w:val="0"/>
        </w:rPr>
        <w:t>by</w:t>
      </w:r>
      <w:r w:rsidR="00BE6935" w:rsidRPr="003E393B">
        <w:rPr>
          <w:snapToGrid w:val="0"/>
        </w:rPr>
        <w:t xml:space="preserve"> </w:t>
      </w:r>
      <w:r w:rsidRPr="003E393B">
        <w:rPr>
          <w:snapToGrid w:val="0"/>
        </w:rPr>
        <w:t>standard</w:t>
      </w:r>
      <w:r w:rsidR="00BE6935" w:rsidRPr="003E393B">
        <w:rPr>
          <w:snapToGrid w:val="0"/>
        </w:rPr>
        <w:t xml:space="preserve"> </w:t>
      </w:r>
      <w:r w:rsidRPr="003E393B">
        <w:rPr>
          <w:snapToGrid w:val="0"/>
        </w:rPr>
        <w:t>mail</w:t>
      </w:r>
      <w:r w:rsidR="00BE6935" w:rsidRPr="003E393B">
        <w:rPr>
          <w:snapToGrid w:val="0"/>
        </w:rPr>
        <w:t xml:space="preserve"> </w:t>
      </w:r>
      <w:r w:rsidR="00B40120" w:rsidRPr="003E393B">
        <w:rPr>
          <w:snapToGrid w:val="0"/>
        </w:rPr>
        <w:t>and</w:t>
      </w:r>
      <w:r w:rsidR="00BE6935" w:rsidRPr="003E393B">
        <w:rPr>
          <w:snapToGrid w:val="0"/>
        </w:rPr>
        <w:t xml:space="preserve"> </w:t>
      </w:r>
      <w:r w:rsidRPr="003E393B">
        <w:rPr>
          <w:snapToGrid w:val="0"/>
        </w:rPr>
        <w:t>with</w:t>
      </w:r>
      <w:r w:rsidR="00BE6935" w:rsidRPr="003E393B">
        <w:rPr>
          <w:snapToGrid w:val="0"/>
        </w:rPr>
        <w:t xml:space="preserve"> </w:t>
      </w:r>
      <w:r w:rsidRPr="003E393B">
        <w:rPr>
          <w:snapToGrid w:val="0"/>
        </w:rPr>
        <w:t>follow</w:t>
      </w:r>
      <w:r w:rsidR="00BE6935" w:rsidRPr="003E393B">
        <w:rPr>
          <w:snapToGrid w:val="0"/>
        </w:rPr>
        <w:t xml:space="preserve"> </w:t>
      </w:r>
      <w:r w:rsidRPr="003E393B">
        <w:rPr>
          <w:snapToGrid w:val="0"/>
        </w:rPr>
        <w:t>up</w:t>
      </w:r>
      <w:r w:rsidR="00BE6935" w:rsidRPr="003E393B">
        <w:rPr>
          <w:snapToGrid w:val="0"/>
        </w:rPr>
        <w:t xml:space="preserve"> </w:t>
      </w:r>
      <w:r w:rsidRPr="003E393B">
        <w:rPr>
          <w:snapToGrid w:val="0"/>
        </w:rPr>
        <w:t>phone</w:t>
      </w:r>
      <w:r w:rsidR="00BE6935" w:rsidRPr="003E393B">
        <w:rPr>
          <w:snapToGrid w:val="0"/>
        </w:rPr>
        <w:t xml:space="preserve"> </w:t>
      </w:r>
      <w:r w:rsidRPr="003E393B">
        <w:rPr>
          <w:snapToGrid w:val="0"/>
        </w:rPr>
        <w:t>calls</w:t>
      </w:r>
      <w:r w:rsidR="00BE6935" w:rsidRPr="003E393B">
        <w:rPr>
          <w:snapToGrid w:val="0"/>
        </w:rPr>
        <w:t xml:space="preserve"> </w:t>
      </w:r>
      <w:r w:rsidRPr="003E393B">
        <w:rPr>
          <w:snapToGrid w:val="0"/>
        </w:rPr>
        <w:t>if,</w:t>
      </w:r>
      <w:r w:rsidR="00BE6935" w:rsidRPr="003E393B">
        <w:rPr>
          <w:snapToGrid w:val="0"/>
        </w:rPr>
        <w:t xml:space="preserve"> </w:t>
      </w:r>
      <w:r w:rsidRPr="003E393B">
        <w:rPr>
          <w:snapToGrid w:val="0"/>
        </w:rPr>
        <w:t>two</w:t>
      </w:r>
      <w:r w:rsidR="00BE6935" w:rsidRPr="003E393B">
        <w:rPr>
          <w:snapToGrid w:val="0"/>
        </w:rPr>
        <w:t xml:space="preserve"> </w:t>
      </w:r>
      <w:r w:rsidRPr="003E393B">
        <w:rPr>
          <w:snapToGrid w:val="0"/>
        </w:rPr>
        <w:t>weeks</w:t>
      </w:r>
      <w:r w:rsidR="00BE6935" w:rsidRPr="003E393B">
        <w:rPr>
          <w:snapToGrid w:val="0"/>
        </w:rPr>
        <w:t xml:space="preserve"> </w:t>
      </w:r>
      <w:r w:rsidRPr="003E393B">
        <w:rPr>
          <w:snapToGrid w:val="0"/>
        </w:rPr>
        <w:t>prior</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closeout,</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school</w:t>
      </w:r>
      <w:r w:rsidR="00BE6935" w:rsidRPr="003E393B">
        <w:rPr>
          <w:snapToGrid w:val="0"/>
        </w:rPr>
        <w:t xml:space="preserve"> </w:t>
      </w:r>
      <w:r w:rsidRPr="003E393B">
        <w:rPr>
          <w:snapToGrid w:val="0"/>
        </w:rPr>
        <w:t>has</w:t>
      </w:r>
      <w:r w:rsidR="00BE6935" w:rsidRPr="003E393B">
        <w:rPr>
          <w:snapToGrid w:val="0"/>
        </w:rPr>
        <w:t xml:space="preserve"> </w:t>
      </w:r>
      <w:r w:rsidRPr="003E393B">
        <w:rPr>
          <w:snapToGrid w:val="0"/>
        </w:rPr>
        <w:t>not</w:t>
      </w:r>
      <w:r w:rsidR="00BE6935" w:rsidRPr="003E393B">
        <w:rPr>
          <w:snapToGrid w:val="0"/>
        </w:rPr>
        <w:t xml:space="preserve"> </w:t>
      </w:r>
      <w:r w:rsidRPr="003E393B">
        <w:rPr>
          <w:snapToGrid w:val="0"/>
        </w:rPr>
        <w:t>entered</w:t>
      </w:r>
      <w:r w:rsidR="00BE6935" w:rsidRPr="003E393B">
        <w:rPr>
          <w:snapToGrid w:val="0"/>
        </w:rPr>
        <w:t xml:space="preserve"> </w:t>
      </w:r>
      <w:r w:rsidRPr="003E393B">
        <w:rPr>
          <w:snapToGrid w:val="0"/>
        </w:rPr>
        <w:t>any</w:t>
      </w:r>
      <w:r w:rsidR="00BE6935" w:rsidRPr="003E393B">
        <w:rPr>
          <w:snapToGrid w:val="0"/>
        </w:rPr>
        <w:t xml:space="preserve"> </w:t>
      </w:r>
      <w:r w:rsidRPr="003E393B">
        <w:rPr>
          <w:snapToGrid w:val="0"/>
        </w:rPr>
        <w:t>data.</w:t>
      </w:r>
      <w:r w:rsidR="00BE6935" w:rsidRPr="003E393B">
        <w:rPr>
          <w:snapToGrid w:val="0"/>
        </w:rPr>
        <w:t xml:space="preserve"> </w:t>
      </w:r>
      <w:r w:rsidR="00EE180B" w:rsidRPr="003E393B">
        <w:rPr>
          <w:snapToGrid w:val="0"/>
        </w:rPr>
        <w:t>New</w:t>
      </w:r>
      <w:r w:rsidR="00BE6935" w:rsidRPr="003E393B">
        <w:rPr>
          <w:snapToGrid w:val="0"/>
        </w:rPr>
        <w:t xml:space="preserve"> </w:t>
      </w:r>
      <w:r w:rsidR="00EE180B" w:rsidRPr="003E393B">
        <w:rPr>
          <w:snapToGrid w:val="0"/>
        </w:rPr>
        <w:t>institutions</w:t>
      </w:r>
      <w:r w:rsidR="00BE6935" w:rsidRPr="003E393B">
        <w:rPr>
          <w:snapToGrid w:val="0"/>
        </w:rPr>
        <w:t xml:space="preserve"> </w:t>
      </w:r>
      <w:r w:rsidR="00EE180B" w:rsidRPr="003E393B">
        <w:rPr>
          <w:snapToGrid w:val="0"/>
        </w:rPr>
        <w:t>and</w:t>
      </w:r>
      <w:r w:rsidR="00BE6935" w:rsidRPr="003E393B">
        <w:rPr>
          <w:snapToGrid w:val="0"/>
        </w:rPr>
        <w:t xml:space="preserve"> </w:t>
      </w:r>
      <w:r w:rsidR="00EE180B" w:rsidRPr="003E393B">
        <w:rPr>
          <w:snapToGrid w:val="0"/>
        </w:rPr>
        <w:t>institutions</w:t>
      </w:r>
      <w:r w:rsidR="00BE6935" w:rsidRPr="003E393B">
        <w:rPr>
          <w:snapToGrid w:val="0"/>
        </w:rPr>
        <w:t xml:space="preserve"> </w:t>
      </w:r>
      <w:r w:rsidR="00EE180B" w:rsidRPr="003E393B">
        <w:rPr>
          <w:snapToGrid w:val="0"/>
        </w:rPr>
        <w:t>with</w:t>
      </w:r>
      <w:r w:rsidR="00BE6935" w:rsidRPr="003E393B">
        <w:rPr>
          <w:snapToGrid w:val="0"/>
        </w:rPr>
        <w:t xml:space="preserve"> </w:t>
      </w:r>
      <w:r w:rsidR="00EE180B" w:rsidRPr="003E393B">
        <w:rPr>
          <w:snapToGrid w:val="0"/>
        </w:rPr>
        <w:t>new</w:t>
      </w:r>
      <w:r w:rsidR="00BE6935" w:rsidRPr="003E393B">
        <w:rPr>
          <w:snapToGrid w:val="0"/>
        </w:rPr>
        <w:t xml:space="preserve"> </w:t>
      </w:r>
      <w:r w:rsidR="00EE180B" w:rsidRPr="003E393B">
        <w:rPr>
          <w:snapToGrid w:val="0"/>
        </w:rPr>
        <w:t>keyholders</w:t>
      </w:r>
      <w:r w:rsidR="00BE6935" w:rsidRPr="003E393B">
        <w:rPr>
          <w:snapToGrid w:val="0"/>
        </w:rPr>
        <w:t xml:space="preserve"> </w:t>
      </w:r>
      <w:r w:rsidR="00EE180B" w:rsidRPr="003E393B">
        <w:rPr>
          <w:snapToGrid w:val="0"/>
        </w:rPr>
        <w:t>receive</w:t>
      </w:r>
      <w:r w:rsidR="00BE6935" w:rsidRPr="003E393B">
        <w:rPr>
          <w:snapToGrid w:val="0"/>
        </w:rPr>
        <w:t xml:space="preserve"> </w:t>
      </w:r>
      <w:r w:rsidR="00EE180B" w:rsidRPr="003E393B">
        <w:rPr>
          <w:snapToGrid w:val="0"/>
        </w:rPr>
        <w:t>additional</w:t>
      </w:r>
      <w:r w:rsidR="00BE6935" w:rsidRPr="003E393B">
        <w:rPr>
          <w:snapToGrid w:val="0"/>
        </w:rPr>
        <w:t xml:space="preserve"> </w:t>
      </w:r>
      <w:r w:rsidR="00EE180B" w:rsidRPr="003E393B">
        <w:rPr>
          <w:snapToGrid w:val="0"/>
        </w:rPr>
        <w:t>telephone</w:t>
      </w:r>
      <w:r w:rsidR="00BE6935" w:rsidRPr="003E393B">
        <w:rPr>
          <w:snapToGrid w:val="0"/>
        </w:rPr>
        <w:t xml:space="preserve"> </w:t>
      </w:r>
      <w:r w:rsidR="00EE180B" w:rsidRPr="003E393B">
        <w:rPr>
          <w:snapToGrid w:val="0"/>
        </w:rPr>
        <w:t>and</w:t>
      </w:r>
      <w:r w:rsidR="00BE6935" w:rsidRPr="003E393B">
        <w:rPr>
          <w:snapToGrid w:val="0"/>
        </w:rPr>
        <w:t xml:space="preserve"> </w:t>
      </w:r>
      <w:r w:rsidR="00EE180B" w:rsidRPr="003E393B">
        <w:rPr>
          <w:snapToGrid w:val="0"/>
        </w:rPr>
        <w:t>email</w:t>
      </w:r>
      <w:r w:rsidR="00BE6935" w:rsidRPr="003E393B">
        <w:rPr>
          <w:snapToGrid w:val="0"/>
        </w:rPr>
        <w:t xml:space="preserve"> </w:t>
      </w:r>
      <w:r w:rsidR="00EE180B" w:rsidRPr="003E393B">
        <w:rPr>
          <w:snapToGrid w:val="0"/>
        </w:rPr>
        <w:t>prompts.</w:t>
      </w:r>
      <w:r w:rsidR="00BE6935" w:rsidRPr="003E393B">
        <w:rPr>
          <w:snapToGrid w:val="0"/>
        </w:rPr>
        <w:t xml:space="preserve"> </w:t>
      </w:r>
      <w:r w:rsidRPr="003E393B">
        <w:rPr>
          <w:snapToGrid w:val="0"/>
        </w:rPr>
        <w:t>This</w:t>
      </w:r>
      <w:r w:rsidR="00BE6935" w:rsidRPr="003E393B">
        <w:rPr>
          <w:snapToGrid w:val="0"/>
        </w:rPr>
        <w:t xml:space="preserve"> </w:t>
      </w:r>
      <w:r w:rsidRPr="003E393B">
        <w:rPr>
          <w:snapToGrid w:val="0"/>
        </w:rPr>
        <w:t>has</w:t>
      </w:r>
      <w:r w:rsidR="00BE6935" w:rsidRPr="003E393B">
        <w:rPr>
          <w:snapToGrid w:val="0"/>
        </w:rPr>
        <w:t xml:space="preserve"> </w:t>
      </w:r>
      <w:r w:rsidRPr="003E393B">
        <w:rPr>
          <w:snapToGrid w:val="0"/>
        </w:rPr>
        <w:t>proven</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be</w:t>
      </w:r>
      <w:r w:rsidR="00BE6935" w:rsidRPr="003E393B">
        <w:rPr>
          <w:snapToGrid w:val="0"/>
        </w:rPr>
        <w:t xml:space="preserve"> </w:t>
      </w:r>
      <w:r w:rsidRPr="003E393B">
        <w:rPr>
          <w:snapToGrid w:val="0"/>
        </w:rPr>
        <w:t>very</w:t>
      </w:r>
      <w:r w:rsidR="00BE6935" w:rsidRPr="003E393B">
        <w:rPr>
          <w:snapToGrid w:val="0"/>
        </w:rPr>
        <w:t xml:space="preserve"> </w:t>
      </w:r>
      <w:r w:rsidRPr="003E393B">
        <w:rPr>
          <w:snapToGrid w:val="0"/>
        </w:rPr>
        <w:t>successful</w:t>
      </w:r>
      <w:r w:rsidR="00BE6935" w:rsidRPr="003E393B">
        <w:rPr>
          <w:snapToGrid w:val="0"/>
        </w:rPr>
        <w:t xml:space="preserve"> </w:t>
      </w:r>
      <w:r w:rsidRPr="003E393B">
        <w:rPr>
          <w:snapToGrid w:val="0"/>
        </w:rPr>
        <w:t>in</w:t>
      </w:r>
      <w:r w:rsidR="00BE6935" w:rsidRPr="003E393B">
        <w:rPr>
          <w:snapToGrid w:val="0"/>
        </w:rPr>
        <w:t xml:space="preserve"> </w:t>
      </w:r>
      <w:r w:rsidRPr="003E393B">
        <w:rPr>
          <w:snapToGrid w:val="0"/>
        </w:rPr>
        <w:t>past</w:t>
      </w:r>
      <w:r w:rsidR="00BE6935" w:rsidRPr="003E393B">
        <w:rPr>
          <w:snapToGrid w:val="0"/>
        </w:rPr>
        <w:t xml:space="preserve"> </w:t>
      </w:r>
      <w:r w:rsidRPr="003E393B">
        <w:rPr>
          <w:snapToGrid w:val="0"/>
        </w:rPr>
        <w:t>years.</w:t>
      </w:r>
      <w:r w:rsidR="00BE6935" w:rsidRPr="003E393B">
        <w:rPr>
          <w:snapToGrid w:val="0"/>
        </w:rPr>
        <w:t xml:space="preserve"> </w:t>
      </w:r>
      <w:r w:rsidRPr="003E393B">
        <w:rPr>
          <w:snapToGrid w:val="0"/>
        </w:rPr>
        <w:t>In</w:t>
      </w:r>
      <w:r w:rsidR="00BE6935" w:rsidRPr="003E393B">
        <w:rPr>
          <w:snapToGrid w:val="0"/>
        </w:rPr>
        <w:t xml:space="preserve"> </w:t>
      </w:r>
      <w:r w:rsidRPr="003E393B">
        <w:rPr>
          <w:snapToGrid w:val="0"/>
        </w:rPr>
        <w:t>addition,</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names</w:t>
      </w:r>
      <w:r w:rsidR="00BE6935" w:rsidRPr="003E393B">
        <w:rPr>
          <w:snapToGrid w:val="0"/>
        </w:rPr>
        <w:t xml:space="preserve"> </w:t>
      </w:r>
      <w:r w:rsidRPr="003E393B">
        <w:rPr>
          <w:snapToGrid w:val="0"/>
        </w:rPr>
        <w:t>of</w:t>
      </w:r>
      <w:r w:rsidR="00BE6935" w:rsidRPr="003E393B">
        <w:rPr>
          <w:snapToGrid w:val="0"/>
        </w:rPr>
        <w:t xml:space="preserve"> </w:t>
      </w:r>
      <w:r w:rsidRPr="003E393B">
        <w:rPr>
          <w:snapToGrid w:val="0"/>
        </w:rPr>
        <w:t>institutions</w:t>
      </w:r>
      <w:r w:rsidR="00BE6935" w:rsidRPr="003E393B">
        <w:rPr>
          <w:snapToGrid w:val="0"/>
        </w:rPr>
        <w:t xml:space="preserve"> </w:t>
      </w:r>
      <w:r w:rsidRPr="003E393B">
        <w:rPr>
          <w:snapToGrid w:val="0"/>
        </w:rPr>
        <w:t>that</w:t>
      </w:r>
      <w:r w:rsidR="00BE6935" w:rsidRPr="003E393B">
        <w:rPr>
          <w:snapToGrid w:val="0"/>
        </w:rPr>
        <w:t xml:space="preserve"> </w:t>
      </w:r>
      <w:r w:rsidRPr="003E393B">
        <w:rPr>
          <w:snapToGrid w:val="0"/>
        </w:rPr>
        <w:t>do</w:t>
      </w:r>
      <w:r w:rsidR="00BE6935" w:rsidRPr="003E393B">
        <w:rPr>
          <w:snapToGrid w:val="0"/>
        </w:rPr>
        <w:t xml:space="preserve"> </w:t>
      </w:r>
      <w:r w:rsidRPr="003E393B">
        <w:rPr>
          <w:snapToGrid w:val="0"/>
        </w:rPr>
        <w:t>not</w:t>
      </w:r>
      <w:r w:rsidR="00BE6935" w:rsidRPr="003E393B">
        <w:rPr>
          <w:snapToGrid w:val="0"/>
        </w:rPr>
        <w:t xml:space="preserve"> </w:t>
      </w:r>
      <w:r w:rsidRPr="003E393B">
        <w:rPr>
          <w:snapToGrid w:val="0"/>
        </w:rPr>
        <w:t>respond</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IPEDS</w:t>
      </w:r>
      <w:r w:rsidR="00BE6935" w:rsidRPr="003E393B">
        <w:rPr>
          <w:snapToGrid w:val="0"/>
        </w:rPr>
        <w:t xml:space="preserve"> </w:t>
      </w:r>
      <w:r w:rsidRPr="003E393B">
        <w:rPr>
          <w:snapToGrid w:val="0"/>
        </w:rPr>
        <w:t>surveys,</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a</w:t>
      </w:r>
      <w:r w:rsidR="00BE6935" w:rsidRPr="003E393B">
        <w:rPr>
          <w:snapToGrid w:val="0"/>
        </w:rPr>
        <w:t xml:space="preserve"> </w:t>
      </w:r>
      <w:r w:rsidRPr="003E393B">
        <w:rPr>
          <w:snapToGrid w:val="0"/>
        </w:rPr>
        <w:t>history</w:t>
      </w:r>
      <w:r w:rsidR="00BE6935" w:rsidRPr="003E393B">
        <w:rPr>
          <w:snapToGrid w:val="0"/>
        </w:rPr>
        <w:t xml:space="preserve"> </w:t>
      </w:r>
      <w:r w:rsidRPr="003E393B">
        <w:rPr>
          <w:snapToGrid w:val="0"/>
        </w:rPr>
        <w:t>of</w:t>
      </w:r>
      <w:r w:rsidR="00BE6935" w:rsidRPr="003E393B">
        <w:rPr>
          <w:snapToGrid w:val="0"/>
        </w:rPr>
        <w:t xml:space="preserve"> </w:t>
      </w:r>
      <w:r w:rsidRPr="003E393B">
        <w:rPr>
          <w:snapToGrid w:val="0"/>
        </w:rPr>
        <w:t>all</w:t>
      </w:r>
      <w:r w:rsidR="00BE6935" w:rsidRPr="003E393B">
        <w:rPr>
          <w:snapToGrid w:val="0"/>
        </w:rPr>
        <w:t xml:space="preserve"> </w:t>
      </w:r>
      <w:r w:rsidRPr="003E393B">
        <w:rPr>
          <w:snapToGrid w:val="0"/>
        </w:rPr>
        <w:t>regular</w:t>
      </w:r>
      <w:r w:rsidR="00BE6935" w:rsidRPr="003E393B">
        <w:rPr>
          <w:snapToGrid w:val="0"/>
        </w:rPr>
        <w:t xml:space="preserve"> </w:t>
      </w:r>
      <w:r w:rsidRPr="003E393B">
        <w:rPr>
          <w:snapToGrid w:val="0"/>
        </w:rPr>
        <w:t>contact</w:t>
      </w:r>
      <w:r w:rsidR="00BE6935" w:rsidRPr="003E393B">
        <w:rPr>
          <w:snapToGrid w:val="0"/>
        </w:rPr>
        <w:t xml:space="preserve"> </w:t>
      </w:r>
      <w:r w:rsidRPr="003E393B">
        <w:rPr>
          <w:snapToGrid w:val="0"/>
        </w:rPr>
        <w:t>with</w:t>
      </w:r>
      <w:r w:rsidR="00BE6935" w:rsidRPr="003E393B">
        <w:rPr>
          <w:snapToGrid w:val="0"/>
        </w:rPr>
        <w:t xml:space="preserve"> </w:t>
      </w:r>
      <w:r w:rsidRPr="003E393B">
        <w:rPr>
          <w:snapToGrid w:val="0"/>
        </w:rPr>
        <w:t>these</w:t>
      </w:r>
      <w:r w:rsidR="00BE6935" w:rsidRPr="003E393B">
        <w:rPr>
          <w:snapToGrid w:val="0"/>
        </w:rPr>
        <w:t xml:space="preserve"> </w:t>
      </w:r>
      <w:r w:rsidRPr="003E393B">
        <w:rPr>
          <w:snapToGrid w:val="0"/>
        </w:rPr>
        <w:t>institutions,</w:t>
      </w:r>
      <w:r w:rsidR="00BE6935" w:rsidRPr="003E393B">
        <w:rPr>
          <w:snapToGrid w:val="0"/>
        </w:rPr>
        <w:t xml:space="preserve"> </w:t>
      </w:r>
      <w:r w:rsidRPr="003E393B">
        <w:rPr>
          <w:snapToGrid w:val="0"/>
        </w:rPr>
        <w:t>is</w:t>
      </w:r>
      <w:r w:rsidR="00BE6935" w:rsidRPr="003E393B">
        <w:rPr>
          <w:snapToGrid w:val="0"/>
        </w:rPr>
        <w:t xml:space="preserve"> </w:t>
      </w:r>
      <w:r w:rsidRPr="003E393B">
        <w:rPr>
          <w:snapToGrid w:val="0"/>
        </w:rPr>
        <w:t>provided</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Federal</w:t>
      </w:r>
      <w:r w:rsidR="00BE6935" w:rsidRPr="003E393B">
        <w:rPr>
          <w:snapToGrid w:val="0"/>
        </w:rPr>
        <w:t xml:space="preserve"> </w:t>
      </w:r>
      <w:r w:rsidRPr="003E393B">
        <w:rPr>
          <w:snapToGrid w:val="0"/>
        </w:rPr>
        <w:t>Student</w:t>
      </w:r>
      <w:r w:rsidR="00BE6935" w:rsidRPr="003E393B">
        <w:rPr>
          <w:snapToGrid w:val="0"/>
        </w:rPr>
        <w:t xml:space="preserve"> </w:t>
      </w:r>
      <w:r w:rsidRPr="003E393B">
        <w:rPr>
          <w:snapToGrid w:val="0"/>
        </w:rPr>
        <w:t>Aid</w:t>
      </w:r>
      <w:r w:rsidR="00BE6935" w:rsidRPr="003E393B">
        <w:rPr>
          <w:snapToGrid w:val="0"/>
        </w:rPr>
        <w:t xml:space="preserve"> </w:t>
      </w:r>
      <w:r w:rsidRPr="003E393B">
        <w:rPr>
          <w:snapToGrid w:val="0"/>
        </w:rPr>
        <w:t>office</w:t>
      </w:r>
      <w:r w:rsidR="00BE6935" w:rsidRPr="003E393B">
        <w:rPr>
          <w:snapToGrid w:val="0"/>
        </w:rPr>
        <w:t xml:space="preserve"> </w:t>
      </w:r>
      <w:r w:rsidRPr="003E393B">
        <w:rPr>
          <w:snapToGrid w:val="0"/>
        </w:rPr>
        <w:t>for</w:t>
      </w:r>
      <w:r w:rsidR="00BE6935" w:rsidRPr="003E393B">
        <w:rPr>
          <w:snapToGrid w:val="0"/>
        </w:rPr>
        <w:t xml:space="preserve"> </w:t>
      </w:r>
      <w:r w:rsidRPr="003E393B">
        <w:rPr>
          <w:snapToGrid w:val="0"/>
        </w:rPr>
        <w:t>appropriate</w:t>
      </w:r>
      <w:r w:rsidR="00BE6935" w:rsidRPr="003E393B">
        <w:rPr>
          <w:snapToGrid w:val="0"/>
        </w:rPr>
        <w:t xml:space="preserve"> </w:t>
      </w:r>
      <w:r w:rsidRPr="003E393B">
        <w:rPr>
          <w:snapToGrid w:val="0"/>
        </w:rPr>
        <w:t>action.</w:t>
      </w:r>
    </w:p>
    <w:p w14:paraId="7D7D9CA2" w14:textId="77777777" w:rsidR="00CF646B" w:rsidRPr="003E393B" w:rsidRDefault="00CF646B" w:rsidP="00E20590">
      <w:pPr>
        <w:widowControl w:val="0"/>
        <w:spacing w:line="279" w:lineRule="atLeast"/>
        <w:ind w:left="90"/>
        <w:rPr>
          <w:b/>
          <w:snapToGrid w:val="0"/>
        </w:rPr>
      </w:pPr>
    </w:p>
    <w:p w14:paraId="56EEE258" w14:textId="0C0A107C" w:rsidR="00CF646B" w:rsidRPr="003E393B" w:rsidRDefault="00CF646B" w:rsidP="00E20590">
      <w:pPr>
        <w:widowControl w:val="0"/>
        <w:spacing w:line="279" w:lineRule="atLeast"/>
        <w:ind w:left="90"/>
        <w:outlineLvl w:val="0"/>
        <w:rPr>
          <w:snapToGrid w:val="0"/>
        </w:rPr>
      </w:pPr>
      <w:r w:rsidRPr="003E393B">
        <w:rPr>
          <w:b/>
          <w:snapToGrid w:val="0"/>
        </w:rPr>
        <w:t>B.4.</w:t>
      </w:r>
      <w:r w:rsidRPr="003E393B">
        <w:rPr>
          <w:snapToGrid w:val="0"/>
        </w:rPr>
        <w:tab/>
      </w:r>
      <w:r w:rsidRPr="003E393B">
        <w:rPr>
          <w:b/>
          <w:snapToGrid w:val="0"/>
          <w:u w:val="single"/>
        </w:rPr>
        <w:t>Tests</w:t>
      </w:r>
      <w:r w:rsidR="00BE6935" w:rsidRPr="003E393B">
        <w:rPr>
          <w:b/>
          <w:snapToGrid w:val="0"/>
          <w:u w:val="single"/>
        </w:rPr>
        <w:t xml:space="preserve"> </w:t>
      </w:r>
      <w:r w:rsidRPr="003E393B">
        <w:rPr>
          <w:b/>
          <w:snapToGrid w:val="0"/>
          <w:u w:val="single"/>
        </w:rPr>
        <w:t>of</w:t>
      </w:r>
      <w:r w:rsidR="00BE6935" w:rsidRPr="003E393B">
        <w:rPr>
          <w:b/>
          <w:snapToGrid w:val="0"/>
          <w:u w:val="single"/>
        </w:rPr>
        <w:t xml:space="preserve"> </w:t>
      </w:r>
      <w:r w:rsidRPr="003E393B">
        <w:rPr>
          <w:b/>
          <w:snapToGrid w:val="0"/>
          <w:u w:val="single"/>
        </w:rPr>
        <w:t>Procedures</w:t>
      </w:r>
      <w:r w:rsidR="00BE6935" w:rsidRPr="003E393B">
        <w:rPr>
          <w:b/>
          <w:snapToGrid w:val="0"/>
          <w:u w:val="single"/>
        </w:rPr>
        <w:t xml:space="preserve"> </w:t>
      </w:r>
      <w:r w:rsidRPr="003E393B">
        <w:rPr>
          <w:b/>
          <w:snapToGrid w:val="0"/>
          <w:u w:val="single"/>
        </w:rPr>
        <w:t>and</w:t>
      </w:r>
      <w:r w:rsidR="00BE6935" w:rsidRPr="003E393B">
        <w:rPr>
          <w:b/>
          <w:snapToGrid w:val="0"/>
          <w:u w:val="single"/>
        </w:rPr>
        <w:t xml:space="preserve"> </w:t>
      </w:r>
      <w:r w:rsidRPr="003E393B">
        <w:rPr>
          <w:b/>
          <w:snapToGrid w:val="0"/>
          <w:u w:val="single"/>
        </w:rPr>
        <w:t>Methods</w:t>
      </w:r>
    </w:p>
    <w:p w14:paraId="256E2E99" w14:textId="77777777" w:rsidR="00CF646B" w:rsidRPr="003E393B" w:rsidRDefault="00CF646B" w:rsidP="00E20590">
      <w:pPr>
        <w:widowControl w:val="0"/>
        <w:spacing w:line="279" w:lineRule="atLeast"/>
        <w:ind w:left="90"/>
        <w:rPr>
          <w:snapToGrid w:val="0"/>
        </w:rPr>
      </w:pPr>
    </w:p>
    <w:p w14:paraId="0EFE7B40" w14:textId="282B89B0" w:rsidR="00CF646B" w:rsidRPr="003E393B" w:rsidRDefault="00CF646B" w:rsidP="00E20590">
      <w:pPr>
        <w:widowControl w:val="0"/>
        <w:spacing w:line="279" w:lineRule="atLeast"/>
        <w:ind w:left="90"/>
        <w:rPr>
          <w:snapToGrid w:val="0"/>
        </w:rPr>
      </w:pPr>
      <w:r w:rsidRPr="003E393B">
        <w:rPr>
          <w:snapToGrid w:val="0"/>
        </w:rPr>
        <w:t>The</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collection</w:t>
      </w:r>
      <w:r w:rsidR="00BE6935" w:rsidRPr="003E393B">
        <w:rPr>
          <w:snapToGrid w:val="0"/>
        </w:rPr>
        <w:t xml:space="preserve"> </w:t>
      </w:r>
      <w:r w:rsidRPr="003E393B">
        <w:rPr>
          <w:snapToGrid w:val="0"/>
        </w:rPr>
        <w:t>procedures</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items</w:t>
      </w:r>
      <w:r w:rsidR="00BE6935" w:rsidRPr="003E393B">
        <w:rPr>
          <w:snapToGrid w:val="0"/>
        </w:rPr>
        <w:t xml:space="preserve"> </w:t>
      </w:r>
      <w:r w:rsidRPr="003E393B">
        <w:rPr>
          <w:snapToGrid w:val="0"/>
        </w:rPr>
        <w:t>described</w:t>
      </w:r>
      <w:r w:rsidR="00BE6935" w:rsidRPr="003E393B">
        <w:rPr>
          <w:snapToGrid w:val="0"/>
        </w:rPr>
        <w:t xml:space="preserve"> </w:t>
      </w:r>
      <w:r w:rsidRPr="003E393B">
        <w:rPr>
          <w:snapToGrid w:val="0"/>
        </w:rPr>
        <w:t>in</w:t>
      </w:r>
      <w:r w:rsidR="00BE6935" w:rsidRPr="003E393B">
        <w:rPr>
          <w:snapToGrid w:val="0"/>
        </w:rPr>
        <w:t xml:space="preserve"> </w:t>
      </w:r>
      <w:r w:rsidRPr="003E393B">
        <w:rPr>
          <w:snapToGrid w:val="0"/>
        </w:rPr>
        <w:t>this</w:t>
      </w:r>
      <w:r w:rsidR="00BE6935" w:rsidRPr="003E393B">
        <w:rPr>
          <w:snapToGrid w:val="0"/>
        </w:rPr>
        <w:t xml:space="preserve"> </w:t>
      </w:r>
      <w:r w:rsidRPr="003E393B">
        <w:rPr>
          <w:snapToGrid w:val="0"/>
        </w:rPr>
        <w:t>submission</w:t>
      </w:r>
      <w:r w:rsidR="00BE6935" w:rsidRPr="003E393B">
        <w:rPr>
          <w:snapToGrid w:val="0"/>
        </w:rPr>
        <w:t xml:space="preserve"> </w:t>
      </w:r>
      <w:r w:rsidRPr="003E393B">
        <w:rPr>
          <w:snapToGrid w:val="0"/>
        </w:rPr>
        <w:t>have</w:t>
      </w:r>
      <w:r w:rsidR="00BE6935" w:rsidRPr="003E393B">
        <w:rPr>
          <w:snapToGrid w:val="0"/>
        </w:rPr>
        <w:t xml:space="preserve"> </w:t>
      </w:r>
      <w:r w:rsidRPr="003E393B">
        <w:rPr>
          <w:snapToGrid w:val="0"/>
        </w:rPr>
        <w:t>been</w:t>
      </w:r>
      <w:r w:rsidR="00BE6935" w:rsidRPr="003E393B">
        <w:rPr>
          <w:snapToGrid w:val="0"/>
        </w:rPr>
        <w:t xml:space="preserve"> </w:t>
      </w:r>
      <w:r w:rsidRPr="003E393B">
        <w:rPr>
          <w:snapToGrid w:val="0"/>
        </w:rPr>
        <w:t>tested</w:t>
      </w:r>
      <w:r w:rsidR="00BE6935" w:rsidRPr="003E393B">
        <w:rPr>
          <w:snapToGrid w:val="0"/>
        </w:rPr>
        <w:t xml:space="preserve"> </w:t>
      </w:r>
      <w:r w:rsidRPr="003E393B">
        <w:rPr>
          <w:snapToGrid w:val="0"/>
        </w:rPr>
        <w:t>in</w:t>
      </w:r>
      <w:r w:rsidR="00BE6935" w:rsidRPr="003E393B">
        <w:rPr>
          <w:snapToGrid w:val="0"/>
        </w:rPr>
        <w:t xml:space="preserve"> </w:t>
      </w:r>
      <w:r w:rsidRPr="003E393B">
        <w:rPr>
          <w:snapToGrid w:val="0"/>
        </w:rPr>
        <w:t>a</w:t>
      </w:r>
      <w:r w:rsidR="00BE6935" w:rsidRPr="003E393B">
        <w:rPr>
          <w:snapToGrid w:val="0"/>
        </w:rPr>
        <w:t xml:space="preserve"> </w:t>
      </w:r>
      <w:r w:rsidRPr="003E393B">
        <w:rPr>
          <w:snapToGrid w:val="0"/>
        </w:rPr>
        <w:t>number</w:t>
      </w:r>
      <w:r w:rsidR="00BE6935" w:rsidRPr="003E393B">
        <w:rPr>
          <w:snapToGrid w:val="0"/>
        </w:rPr>
        <w:t xml:space="preserve"> </w:t>
      </w:r>
      <w:r w:rsidRPr="003E393B">
        <w:rPr>
          <w:snapToGrid w:val="0"/>
        </w:rPr>
        <w:t>of</w:t>
      </w:r>
      <w:r w:rsidR="00BE6935" w:rsidRPr="003E393B">
        <w:rPr>
          <w:snapToGrid w:val="0"/>
        </w:rPr>
        <w:t xml:space="preserve"> </w:t>
      </w:r>
      <w:r w:rsidRPr="003E393B">
        <w:rPr>
          <w:snapToGrid w:val="0"/>
        </w:rPr>
        <w:t>ways.</w:t>
      </w:r>
      <w:r w:rsidR="00BE6935" w:rsidRPr="003E393B">
        <w:rPr>
          <w:snapToGrid w:val="0"/>
        </w:rPr>
        <w:t xml:space="preserve"> </w:t>
      </w:r>
      <w:r w:rsidRPr="003E393B">
        <w:rPr>
          <w:snapToGrid w:val="0"/>
        </w:rPr>
        <w:t>Most</w:t>
      </w:r>
      <w:r w:rsidR="00BE6935" w:rsidRPr="003E393B">
        <w:rPr>
          <w:snapToGrid w:val="0"/>
        </w:rPr>
        <w:t xml:space="preserve"> </w:t>
      </w:r>
      <w:r w:rsidRPr="003E393B">
        <w:rPr>
          <w:snapToGrid w:val="0"/>
        </w:rPr>
        <w:t>of</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elements</w:t>
      </w:r>
      <w:r w:rsidR="00BE6935" w:rsidRPr="003E393B">
        <w:rPr>
          <w:snapToGrid w:val="0"/>
        </w:rPr>
        <w:t xml:space="preserve"> </w:t>
      </w:r>
      <w:r w:rsidRPr="003E393B">
        <w:rPr>
          <w:snapToGrid w:val="0"/>
        </w:rPr>
        <w:t>requested</w:t>
      </w:r>
      <w:r w:rsidR="00BE6935" w:rsidRPr="003E393B">
        <w:rPr>
          <w:snapToGrid w:val="0"/>
        </w:rPr>
        <w:t xml:space="preserve"> </w:t>
      </w:r>
      <w:r w:rsidRPr="003E393B">
        <w:rPr>
          <w:snapToGrid w:val="0"/>
        </w:rPr>
        <w:t>have</w:t>
      </w:r>
      <w:r w:rsidR="00BE6935" w:rsidRPr="003E393B">
        <w:rPr>
          <w:snapToGrid w:val="0"/>
        </w:rPr>
        <w:t xml:space="preserve"> </w:t>
      </w:r>
      <w:r w:rsidRPr="003E393B">
        <w:rPr>
          <w:snapToGrid w:val="0"/>
        </w:rPr>
        <w:t>already</w:t>
      </w:r>
      <w:r w:rsidR="00BE6935" w:rsidRPr="003E393B">
        <w:rPr>
          <w:snapToGrid w:val="0"/>
        </w:rPr>
        <w:t xml:space="preserve"> </w:t>
      </w:r>
      <w:r w:rsidRPr="003E393B">
        <w:rPr>
          <w:snapToGrid w:val="0"/>
        </w:rPr>
        <w:t>been</w:t>
      </w:r>
      <w:r w:rsidR="00BE6935" w:rsidRPr="003E393B">
        <w:rPr>
          <w:snapToGrid w:val="0"/>
        </w:rPr>
        <w:t xml:space="preserve"> </w:t>
      </w:r>
      <w:r w:rsidRPr="003E393B">
        <w:rPr>
          <w:snapToGrid w:val="0"/>
        </w:rPr>
        <w:t>collected</w:t>
      </w:r>
      <w:r w:rsidR="00BE6935" w:rsidRPr="003E393B">
        <w:rPr>
          <w:snapToGrid w:val="0"/>
        </w:rPr>
        <w:t xml:space="preserve"> </w:t>
      </w:r>
      <w:r w:rsidRPr="003E393B">
        <w:rPr>
          <w:snapToGrid w:val="0"/>
        </w:rPr>
        <w:t>in</w:t>
      </w:r>
      <w:r w:rsidR="00BE6935" w:rsidRPr="003E393B">
        <w:rPr>
          <w:snapToGrid w:val="0"/>
        </w:rPr>
        <w:t xml:space="preserve"> </w:t>
      </w:r>
      <w:r w:rsidRPr="003E393B">
        <w:rPr>
          <w:snapToGrid w:val="0"/>
        </w:rPr>
        <w:t>previous</w:t>
      </w:r>
      <w:r w:rsidR="00BE6935" w:rsidRPr="003E393B">
        <w:rPr>
          <w:snapToGrid w:val="0"/>
        </w:rPr>
        <w:t xml:space="preserve"> </w:t>
      </w:r>
      <w:r w:rsidRPr="003E393B">
        <w:rPr>
          <w:snapToGrid w:val="0"/>
        </w:rPr>
        <w:t>IPEDS</w:t>
      </w:r>
      <w:r w:rsidR="00BE6935" w:rsidRPr="003E393B">
        <w:rPr>
          <w:snapToGrid w:val="0"/>
        </w:rPr>
        <w:t xml:space="preserve"> </w:t>
      </w:r>
      <w:r w:rsidRPr="003E393B">
        <w:rPr>
          <w:snapToGrid w:val="0"/>
        </w:rPr>
        <w:t>surveys</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prior</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that,</w:t>
      </w:r>
      <w:r w:rsidR="00BE6935" w:rsidRPr="003E393B">
        <w:rPr>
          <w:snapToGrid w:val="0"/>
        </w:rPr>
        <w:t xml:space="preserve"> </w:t>
      </w:r>
      <w:r w:rsidRPr="003E393B">
        <w:rPr>
          <w:snapToGrid w:val="0"/>
        </w:rPr>
        <w:t>similar</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elements</w:t>
      </w:r>
      <w:r w:rsidR="00BE6935" w:rsidRPr="003E393B">
        <w:rPr>
          <w:snapToGrid w:val="0"/>
        </w:rPr>
        <w:t xml:space="preserve"> </w:t>
      </w:r>
      <w:r w:rsidRPr="003E393B">
        <w:rPr>
          <w:snapToGrid w:val="0"/>
        </w:rPr>
        <w:t>had</w:t>
      </w:r>
      <w:r w:rsidR="00BE6935" w:rsidRPr="003E393B">
        <w:rPr>
          <w:snapToGrid w:val="0"/>
        </w:rPr>
        <w:t xml:space="preserve"> </w:t>
      </w:r>
      <w:r w:rsidRPr="003E393B">
        <w:rPr>
          <w:snapToGrid w:val="0"/>
        </w:rPr>
        <w:t>been</w:t>
      </w:r>
      <w:r w:rsidR="00BE6935" w:rsidRPr="003E393B">
        <w:rPr>
          <w:snapToGrid w:val="0"/>
        </w:rPr>
        <w:t xml:space="preserve"> </w:t>
      </w:r>
      <w:r w:rsidRPr="003E393B">
        <w:rPr>
          <w:snapToGrid w:val="0"/>
        </w:rPr>
        <w:t>collected</w:t>
      </w:r>
      <w:r w:rsidR="00BE6935" w:rsidRPr="003E393B">
        <w:rPr>
          <w:snapToGrid w:val="0"/>
        </w:rPr>
        <w:t xml:space="preserve"> </w:t>
      </w:r>
      <w:r w:rsidRPr="003E393B">
        <w:rPr>
          <w:snapToGrid w:val="0"/>
        </w:rPr>
        <w:t>for</w:t>
      </w:r>
      <w:r w:rsidR="00BE6935" w:rsidRPr="003E393B">
        <w:rPr>
          <w:snapToGrid w:val="0"/>
        </w:rPr>
        <w:t xml:space="preserve"> </w:t>
      </w:r>
      <w:r w:rsidRPr="003E393B">
        <w:rPr>
          <w:snapToGrid w:val="0"/>
        </w:rPr>
        <w:t>over</w:t>
      </w:r>
      <w:r w:rsidR="00BE6935" w:rsidRPr="003E393B">
        <w:rPr>
          <w:snapToGrid w:val="0"/>
        </w:rPr>
        <w:t xml:space="preserve"> </w:t>
      </w:r>
      <w:r w:rsidRPr="003E393B">
        <w:rPr>
          <w:snapToGrid w:val="0"/>
        </w:rPr>
        <w:t>20</w:t>
      </w:r>
      <w:r w:rsidR="00BE6935" w:rsidRPr="003E393B">
        <w:rPr>
          <w:snapToGrid w:val="0"/>
        </w:rPr>
        <w:t xml:space="preserve"> </w:t>
      </w:r>
      <w:r w:rsidRPr="003E393B">
        <w:rPr>
          <w:snapToGrid w:val="0"/>
        </w:rPr>
        <w:t>years</w:t>
      </w:r>
      <w:r w:rsidR="00BE6935" w:rsidRPr="003E393B">
        <w:rPr>
          <w:snapToGrid w:val="0"/>
        </w:rPr>
        <w:t xml:space="preserve"> </w:t>
      </w:r>
      <w:r w:rsidRPr="003E393B">
        <w:rPr>
          <w:snapToGrid w:val="0"/>
        </w:rPr>
        <w:t>in</w:t>
      </w:r>
      <w:r w:rsidR="00BE6935" w:rsidRPr="003E393B">
        <w:rPr>
          <w:snapToGrid w:val="0"/>
        </w:rPr>
        <w:t xml:space="preserve"> </w:t>
      </w:r>
      <w:r w:rsidR="00764097">
        <w:rPr>
          <w:snapToGrid w:val="0"/>
        </w:rPr>
        <w:t xml:space="preserve">the </w:t>
      </w:r>
      <w:r w:rsidR="00764097" w:rsidRPr="00764097">
        <w:rPr>
          <w:snapToGrid w:val="0"/>
        </w:rPr>
        <w:t>Higher Education General Information Survey (HEGIS)</w:t>
      </w:r>
      <w:r w:rsidR="009E6C7E">
        <w:rPr>
          <w:snapToGrid w:val="0"/>
        </w:rPr>
        <w:t>, the predecessor to IPEDS</w:t>
      </w:r>
      <w:r w:rsidRPr="003E393B">
        <w:rPr>
          <w:snapToGrid w:val="0"/>
        </w:rPr>
        <w:t>.</w:t>
      </w:r>
    </w:p>
    <w:p w14:paraId="53CB0DA8" w14:textId="77777777" w:rsidR="00CF646B" w:rsidRPr="003E393B" w:rsidRDefault="00CF646B" w:rsidP="00E20590">
      <w:pPr>
        <w:widowControl w:val="0"/>
        <w:spacing w:line="279" w:lineRule="atLeast"/>
        <w:ind w:left="90"/>
        <w:rPr>
          <w:snapToGrid w:val="0"/>
        </w:rPr>
      </w:pPr>
    </w:p>
    <w:p w14:paraId="492E1B31" w14:textId="0521BAF3" w:rsidR="00BE6935" w:rsidRPr="003E393B" w:rsidRDefault="00CF646B" w:rsidP="00E20590">
      <w:pPr>
        <w:widowControl w:val="0"/>
        <w:spacing w:line="279" w:lineRule="atLeast"/>
        <w:ind w:left="90"/>
        <w:rPr>
          <w:snapToGrid w:val="0"/>
        </w:rPr>
      </w:pPr>
      <w:r w:rsidRPr="003E393B">
        <w:rPr>
          <w:snapToGrid w:val="0"/>
        </w:rPr>
        <w:t>However,</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quality</w:t>
      </w:r>
      <w:r w:rsidR="00BE6935" w:rsidRPr="003E393B">
        <w:rPr>
          <w:snapToGrid w:val="0"/>
        </w:rPr>
        <w:t xml:space="preserve"> </w:t>
      </w:r>
      <w:r w:rsidRPr="003E393B">
        <w:rPr>
          <w:snapToGrid w:val="0"/>
        </w:rPr>
        <w:t>is</w:t>
      </w:r>
      <w:r w:rsidR="00BE6935" w:rsidRPr="003E393B">
        <w:rPr>
          <w:snapToGrid w:val="0"/>
        </w:rPr>
        <w:t xml:space="preserve"> </w:t>
      </w:r>
      <w:r w:rsidRPr="003E393B">
        <w:rPr>
          <w:snapToGrid w:val="0"/>
        </w:rPr>
        <w:t>an</w:t>
      </w:r>
      <w:r w:rsidR="00BE6935" w:rsidRPr="003E393B">
        <w:rPr>
          <w:snapToGrid w:val="0"/>
        </w:rPr>
        <w:t xml:space="preserve"> </w:t>
      </w:r>
      <w:r w:rsidRPr="003E393B">
        <w:rPr>
          <w:snapToGrid w:val="0"/>
        </w:rPr>
        <w:t>overriding</w:t>
      </w:r>
      <w:r w:rsidR="00BE6935" w:rsidRPr="003E393B">
        <w:rPr>
          <w:snapToGrid w:val="0"/>
        </w:rPr>
        <w:t xml:space="preserve"> </w:t>
      </w:r>
      <w:r w:rsidRPr="003E393B">
        <w:rPr>
          <w:snapToGrid w:val="0"/>
        </w:rPr>
        <w:t>concern</w:t>
      </w:r>
      <w:r w:rsidR="00BE6935" w:rsidRPr="003E393B">
        <w:rPr>
          <w:snapToGrid w:val="0"/>
        </w:rPr>
        <w:t xml:space="preserve"> </w:t>
      </w:r>
      <w:r w:rsidRPr="003E393B">
        <w:rPr>
          <w:snapToGrid w:val="0"/>
        </w:rPr>
        <w:t>that</w:t>
      </w:r>
      <w:r w:rsidR="00BE6935" w:rsidRPr="003E393B">
        <w:rPr>
          <w:snapToGrid w:val="0"/>
        </w:rPr>
        <w:t xml:space="preserve"> </w:t>
      </w:r>
      <w:r w:rsidRPr="003E393B">
        <w:rPr>
          <w:snapToGrid w:val="0"/>
        </w:rPr>
        <w:t>NCES</w:t>
      </w:r>
      <w:r w:rsidR="00BE6935" w:rsidRPr="003E393B">
        <w:rPr>
          <w:snapToGrid w:val="0"/>
        </w:rPr>
        <w:t xml:space="preserve"> </w:t>
      </w:r>
      <w:r w:rsidRPr="003E393B">
        <w:rPr>
          <w:snapToGrid w:val="0"/>
        </w:rPr>
        <w:t>must</w:t>
      </w:r>
      <w:r w:rsidR="00BE6935" w:rsidRPr="003E393B">
        <w:rPr>
          <w:snapToGrid w:val="0"/>
        </w:rPr>
        <w:t xml:space="preserve"> </w:t>
      </w:r>
      <w:r w:rsidRPr="003E393B">
        <w:rPr>
          <w:snapToGrid w:val="0"/>
        </w:rPr>
        <w:t>continue</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assess</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evaluate.</w:t>
      </w:r>
      <w:r w:rsidR="00BE6935" w:rsidRPr="003E393B">
        <w:rPr>
          <w:snapToGrid w:val="0"/>
        </w:rPr>
        <w:t xml:space="preserve"> </w:t>
      </w:r>
      <w:r w:rsidRPr="003E393B">
        <w:rPr>
          <w:snapToGrid w:val="0"/>
        </w:rPr>
        <w:t>One</w:t>
      </w:r>
      <w:r w:rsidR="00BE6935" w:rsidRPr="003E393B">
        <w:rPr>
          <w:snapToGrid w:val="0"/>
        </w:rPr>
        <w:t xml:space="preserve"> </w:t>
      </w:r>
      <w:r w:rsidRPr="003E393B">
        <w:rPr>
          <w:snapToGrid w:val="0"/>
        </w:rPr>
        <w:t>approach</w:t>
      </w:r>
      <w:r w:rsidR="00BE6935" w:rsidRPr="003E393B">
        <w:rPr>
          <w:snapToGrid w:val="0"/>
        </w:rPr>
        <w:t xml:space="preserve"> </w:t>
      </w:r>
      <w:r w:rsidRPr="003E393B">
        <w:rPr>
          <w:snapToGrid w:val="0"/>
        </w:rPr>
        <w:t>is</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assess</w:t>
      </w:r>
      <w:r w:rsidR="00BE6935" w:rsidRPr="003E393B">
        <w:rPr>
          <w:snapToGrid w:val="0"/>
        </w:rPr>
        <w:t xml:space="preserve"> </w:t>
      </w:r>
      <w:r w:rsidRPr="003E393B">
        <w:rPr>
          <w:snapToGrid w:val="0"/>
        </w:rPr>
        <w:t>relevant</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from</w:t>
      </w:r>
      <w:r w:rsidR="00BE6935" w:rsidRPr="003E393B">
        <w:rPr>
          <w:snapToGrid w:val="0"/>
        </w:rPr>
        <w:t xml:space="preserve"> </w:t>
      </w:r>
      <w:r w:rsidRPr="003E393B">
        <w:rPr>
          <w:snapToGrid w:val="0"/>
        </w:rPr>
        <w:t>different</w:t>
      </w:r>
      <w:r w:rsidR="00BE6935" w:rsidRPr="003E393B">
        <w:rPr>
          <w:snapToGrid w:val="0"/>
        </w:rPr>
        <w:t xml:space="preserve"> </w:t>
      </w:r>
      <w:r w:rsidRPr="003E393B">
        <w:rPr>
          <w:snapToGrid w:val="0"/>
        </w:rPr>
        <w:t>IPEDS</w:t>
      </w:r>
      <w:r w:rsidR="00BE6935" w:rsidRPr="003E393B">
        <w:rPr>
          <w:snapToGrid w:val="0"/>
        </w:rPr>
        <w:t xml:space="preserve"> </w:t>
      </w:r>
      <w:r w:rsidRPr="003E393B">
        <w:rPr>
          <w:snapToGrid w:val="0"/>
        </w:rPr>
        <w:t>components</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from</w:t>
      </w:r>
      <w:r w:rsidR="00BE6935" w:rsidRPr="003E393B">
        <w:rPr>
          <w:snapToGrid w:val="0"/>
        </w:rPr>
        <w:t xml:space="preserve"> </w:t>
      </w:r>
      <w:r w:rsidRPr="003E393B">
        <w:rPr>
          <w:snapToGrid w:val="0"/>
        </w:rPr>
        <w:t>different</w:t>
      </w:r>
      <w:r w:rsidR="00BE6935" w:rsidRPr="003E393B">
        <w:rPr>
          <w:snapToGrid w:val="0"/>
        </w:rPr>
        <w:t xml:space="preserve"> </w:t>
      </w:r>
      <w:r w:rsidRPr="003E393B">
        <w:rPr>
          <w:snapToGrid w:val="0"/>
        </w:rPr>
        <w:t>survey</w:t>
      </w:r>
      <w:r w:rsidR="00BE6935" w:rsidRPr="003E393B">
        <w:rPr>
          <w:snapToGrid w:val="0"/>
        </w:rPr>
        <w:t xml:space="preserve"> </w:t>
      </w:r>
      <w:r w:rsidRPr="003E393B">
        <w:rPr>
          <w:snapToGrid w:val="0"/>
        </w:rPr>
        <w:t>years</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evaluate</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consistency</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reliability</w:t>
      </w:r>
      <w:r w:rsidR="00BE6935" w:rsidRPr="003E393B">
        <w:rPr>
          <w:snapToGrid w:val="0"/>
        </w:rPr>
        <w:t xml:space="preserve"> </w:t>
      </w:r>
      <w:r w:rsidRPr="003E393B">
        <w:rPr>
          <w:snapToGrid w:val="0"/>
        </w:rPr>
        <w:t>of</w:t>
      </w:r>
      <w:r w:rsidR="00BE6935" w:rsidRPr="003E393B">
        <w:rPr>
          <w:snapToGrid w:val="0"/>
        </w:rPr>
        <w:t xml:space="preserve"> </w:t>
      </w:r>
      <w:r w:rsidRPr="003E393B">
        <w:rPr>
          <w:snapToGrid w:val="0"/>
        </w:rPr>
        <w:t>reported</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These</w:t>
      </w:r>
      <w:r w:rsidR="00BE6935" w:rsidRPr="003E393B">
        <w:rPr>
          <w:snapToGrid w:val="0"/>
        </w:rPr>
        <w:t xml:space="preserve"> </w:t>
      </w:r>
      <w:r w:rsidRPr="003E393B">
        <w:rPr>
          <w:snapToGrid w:val="0"/>
        </w:rPr>
        <w:t>interrelationships</w:t>
      </w:r>
      <w:r w:rsidR="00BE6935" w:rsidRPr="003E393B">
        <w:rPr>
          <w:snapToGrid w:val="0"/>
        </w:rPr>
        <w:t xml:space="preserve"> </w:t>
      </w:r>
      <w:r w:rsidRPr="003E393B">
        <w:rPr>
          <w:snapToGrid w:val="0"/>
        </w:rPr>
        <w:t>among</w:t>
      </w:r>
      <w:r w:rsidR="00BE6935" w:rsidRPr="003E393B">
        <w:rPr>
          <w:snapToGrid w:val="0"/>
        </w:rPr>
        <w:t xml:space="preserve"> </w:t>
      </w:r>
      <w:r w:rsidRPr="003E393B">
        <w:rPr>
          <w:snapToGrid w:val="0"/>
        </w:rPr>
        <w:t>surveys</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over</w:t>
      </w:r>
      <w:r w:rsidR="00BE6935" w:rsidRPr="003E393B">
        <w:rPr>
          <w:snapToGrid w:val="0"/>
        </w:rPr>
        <w:t xml:space="preserve"> </w:t>
      </w:r>
      <w:r w:rsidRPr="003E393B">
        <w:rPr>
          <w:snapToGrid w:val="0"/>
        </w:rPr>
        <w:t>time</w:t>
      </w:r>
      <w:r w:rsidR="00BE6935" w:rsidRPr="003E393B">
        <w:rPr>
          <w:snapToGrid w:val="0"/>
        </w:rPr>
        <w:t xml:space="preserve"> </w:t>
      </w:r>
      <w:r w:rsidRPr="003E393B">
        <w:rPr>
          <w:snapToGrid w:val="0"/>
        </w:rPr>
        <w:t>were</w:t>
      </w:r>
      <w:r w:rsidR="00BE6935" w:rsidRPr="003E393B">
        <w:rPr>
          <w:snapToGrid w:val="0"/>
        </w:rPr>
        <w:t xml:space="preserve"> </w:t>
      </w:r>
      <w:r w:rsidRPr="003E393B">
        <w:rPr>
          <w:snapToGrid w:val="0"/>
        </w:rPr>
        <w:t>used</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develop</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automated</w:t>
      </w:r>
      <w:r w:rsidR="00BE6935" w:rsidRPr="003E393B">
        <w:rPr>
          <w:snapToGrid w:val="0"/>
        </w:rPr>
        <w:t xml:space="preserve"> </w:t>
      </w:r>
      <w:r w:rsidRPr="003E393B">
        <w:rPr>
          <w:snapToGrid w:val="0"/>
        </w:rPr>
        <w:t>tests</w:t>
      </w:r>
      <w:r w:rsidR="00BE6935" w:rsidRPr="003E393B">
        <w:rPr>
          <w:snapToGrid w:val="0"/>
        </w:rPr>
        <w:t xml:space="preserve"> </w:t>
      </w:r>
      <w:r w:rsidRPr="003E393B">
        <w:rPr>
          <w:snapToGrid w:val="0"/>
        </w:rPr>
        <w:t>used</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edit</w:t>
      </w:r>
      <w:r w:rsidR="00BE6935" w:rsidRPr="003E393B">
        <w:rPr>
          <w:snapToGrid w:val="0"/>
        </w:rPr>
        <w:t xml:space="preserve"> </w:t>
      </w:r>
      <w:r w:rsidRPr="003E393B">
        <w:rPr>
          <w:snapToGrid w:val="0"/>
        </w:rPr>
        <w:t>each</w:t>
      </w:r>
      <w:r w:rsidR="00BE6935" w:rsidRPr="003E393B">
        <w:rPr>
          <w:snapToGrid w:val="0"/>
        </w:rPr>
        <w:t xml:space="preserve"> </w:t>
      </w:r>
      <w:r w:rsidRPr="003E393B">
        <w:rPr>
          <w:snapToGrid w:val="0"/>
        </w:rPr>
        <w:t>IPEDS</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submission.</w:t>
      </w:r>
      <w:r w:rsidR="00BE6935" w:rsidRPr="003E393B">
        <w:rPr>
          <w:snapToGrid w:val="0"/>
        </w:rPr>
        <w:t xml:space="preserve"> </w:t>
      </w:r>
      <w:r w:rsidRPr="003E393B">
        <w:rPr>
          <w:snapToGrid w:val="0"/>
        </w:rPr>
        <w:t>Edit</w:t>
      </w:r>
      <w:r w:rsidR="00BE6935" w:rsidRPr="003E393B">
        <w:rPr>
          <w:snapToGrid w:val="0"/>
        </w:rPr>
        <w:t xml:space="preserve"> </w:t>
      </w:r>
      <w:r w:rsidRPr="003E393B">
        <w:rPr>
          <w:snapToGrid w:val="0"/>
        </w:rPr>
        <w:t>checks</w:t>
      </w:r>
      <w:r w:rsidR="00BE6935" w:rsidRPr="003E393B">
        <w:rPr>
          <w:snapToGrid w:val="0"/>
        </w:rPr>
        <w:t xml:space="preserve"> </w:t>
      </w:r>
      <w:r w:rsidRPr="003E393B">
        <w:rPr>
          <w:snapToGrid w:val="0"/>
        </w:rPr>
        <w:t>currently</w:t>
      </w:r>
      <w:r w:rsidR="00BE6935" w:rsidRPr="003E393B">
        <w:rPr>
          <w:snapToGrid w:val="0"/>
        </w:rPr>
        <w:t xml:space="preserve"> </w:t>
      </w:r>
      <w:r w:rsidRPr="003E393B">
        <w:rPr>
          <w:snapToGrid w:val="0"/>
        </w:rPr>
        <w:t>help</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identify</w:t>
      </w:r>
      <w:r w:rsidR="00BE6935" w:rsidRPr="003E393B">
        <w:rPr>
          <w:snapToGrid w:val="0"/>
        </w:rPr>
        <w:t xml:space="preserve"> </w:t>
      </w:r>
      <w:r w:rsidRPr="003E393B">
        <w:rPr>
          <w:snapToGrid w:val="0"/>
        </w:rPr>
        <w:t>potential</w:t>
      </w:r>
      <w:r w:rsidR="00BE6935" w:rsidRPr="003E393B">
        <w:rPr>
          <w:snapToGrid w:val="0"/>
        </w:rPr>
        <w:t xml:space="preserve"> </w:t>
      </w:r>
      <w:r w:rsidRPr="003E393B">
        <w:rPr>
          <w:snapToGrid w:val="0"/>
        </w:rPr>
        <w:t>problems</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provide</w:t>
      </w:r>
      <w:r w:rsidR="00BE6935" w:rsidRPr="003E393B">
        <w:rPr>
          <w:snapToGrid w:val="0"/>
        </w:rPr>
        <w:t xml:space="preserve"> </w:t>
      </w:r>
      <w:r w:rsidRPr="003E393B">
        <w:rPr>
          <w:snapToGrid w:val="0"/>
        </w:rPr>
        <w:t>opportunities</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correct</w:t>
      </w:r>
      <w:r w:rsidR="00BE6935" w:rsidRPr="003E393B">
        <w:rPr>
          <w:snapToGrid w:val="0"/>
        </w:rPr>
        <w:t xml:space="preserve"> </w:t>
      </w:r>
      <w:r w:rsidRPr="003E393B">
        <w:rPr>
          <w:snapToGrid w:val="0"/>
        </w:rPr>
        <w:t>them</w:t>
      </w:r>
      <w:r w:rsidR="00BE6935" w:rsidRPr="003E393B">
        <w:rPr>
          <w:snapToGrid w:val="0"/>
        </w:rPr>
        <w:t xml:space="preserve"> </w:t>
      </w:r>
      <w:r w:rsidRPr="003E393B">
        <w:rPr>
          <w:snapToGrid w:val="0"/>
        </w:rPr>
        <w:t>early</w:t>
      </w:r>
      <w:r w:rsidR="00BE6935" w:rsidRPr="003E393B">
        <w:rPr>
          <w:snapToGrid w:val="0"/>
        </w:rPr>
        <w:t xml:space="preserve"> </w:t>
      </w:r>
      <w:r w:rsidRPr="003E393B">
        <w:rPr>
          <w:snapToGrid w:val="0"/>
        </w:rPr>
        <w:t>in</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collection.</w:t>
      </w:r>
      <w:r w:rsidR="00BE6935" w:rsidRPr="003E393B">
        <w:rPr>
          <w:snapToGrid w:val="0"/>
        </w:rPr>
        <w:t xml:space="preserve"> </w:t>
      </w:r>
      <w:r w:rsidRPr="003E393B">
        <w:rPr>
          <w:snapToGrid w:val="0"/>
        </w:rPr>
        <w:t>As</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number</w:t>
      </w:r>
      <w:r w:rsidR="00BE6935" w:rsidRPr="003E393B">
        <w:rPr>
          <w:snapToGrid w:val="0"/>
        </w:rPr>
        <w:t xml:space="preserve"> </w:t>
      </w:r>
      <w:r w:rsidRPr="003E393B">
        <w:rPr>
          <w:snapToGrid w:val="0"/>
        </w:rPr>
        <w:t>of</w:t>
      </w:r>
      <w:r w:rsidR="00BE6935" w:rsidRPr="003E393B">
        <w:rPr>
          <w:snapToGrid w:val="0"/>
        </w:rPr>
        <w:t xml:space="preserve"> </w:t>
      </w:r>
      <w:r w:rsidRPr="003E393B">
        <w:rPr>
          <w:snapToGrid w:val="0"/>
        </w:rPr>
        <w:t>institutions</w:t>
      </w:r>
      <w:r w:rsidR="00BE6935" w:rsidRPr="003E393B">
        <w:rPr>
          <w:snapToGrid w:val="0"/>
        </w:rPr>
        <w:t xml:space="preserve"> </w:t>
      </w:r>
      <w:r w:rsidRPr="003E393B">
        <w:rPr>
          <w:snapToGrid w:val="0"/>
        </w:rPr>
        <w:t>that</w:t>
      </w:r>
      <w:r w:rsidR="00BE6935" w:rsidRPr="003E393B">
        <w:rPr>
          <w:snapToGrid w:val="0"/>
        </w:rPr>
        <w:t xml:space="preserve"> </w:t>
      </w:r>
      <w:r w:rsidRPr="003E393B">
        <w:rPr>
          <w:snapToGrid w:val="0"/>
        </w:rPr>
        <w:t>automate</w:t>
      </w:r>
      <w:r w:rsidR="00BE6935" w:rsidRPr="003E393B">
        <w:rPr>
          <w:snapToGrid w:val="0"/>
        </w:rPr>
        <w:t xml:space="preserve"> </w:t>
      </w:r>
      <w:r w:rsidRPr="003E393B">
        <w:rPr>
          <w:snapToGrid w:val="0"/>
        </w:rPr>
        <w:t>their</w:t>
      </w:r>
      <w:r w:rsidR="00BE6935" w:rsidRPr="003E393B">
        <w:rPr>
          <w:snapToGrid w:val="0"/>
        </w:rPr>
        <w:t xml:space="preserve"> </w:t>
      </w:r>
      <w:r w:rsidRPr="003E393B">
        <w:rPr>
          <w:snapToGrid w:val="0"/>
        </w:rPr>
        <w:t>responses</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IPEDS</w:t>
      </w:r>
      <w:r w:rsidR="00BE6935" w:rsidRPr="003E393B">
        <w:rPr>
          <w:snapToGrid w:val="0"/>
        </w:rPr>
        <w:t xml:space="preserve"> </w:t>
      </w:r>
      <w:r w:rsidRPr="003E393B">
        <w:rPr>
          <w:snapToGrid w:val="0"/>
        </w:rPr>
        <w:t>increases,</w:t>
      </w:r>
      <w:r w:rsidR="00BE6935" w:rsidRPr="003E393B">
        <w:rPr>
          <w:snapToGrid w:val="0"/>
        </w:rPr>
        <w:t xml:space="preserve"> </w:t>
      </w:r>
      <w:r w:rsidRPr="003E393B">
        <w:rPr>
          <w:snapToGrid w:val="0"/>
        </w:rPr>
        <w:t>it</w:t>
      </w:r>
      <w:r w:rsidR="00BE6935" w:rsidRPr="003E393B">
        <w:rPr>
          <w:snapToGrid w:val="0"/>
        </w:rPr>
        <w:t xml:space="preserve"> </w:t>
      </w:r>
      <w:r w:rsidRPr="003E393B">
        <w:rPr>
          <w:snapToGrid w:val="0"/>
        </w:rPr>
        <w:t>becomes</w:t>
      </w:r>
      <w:r w:rsidR="00BE6935" w:rsidRPr="003E393B">
        <w:rPr>
          <w:snapToGrid w:val="0"/>
        </w:rPr>
        <w:t xml:space="preserve"> </w:t>
      </w:r>
      <w:r w:rsidRPr="003E393B">
        <w:rPr>
          <w:snapToGrid w:val="0"/>
        </w:rPr>
        <w:t>increasingly</w:t>
      </w:r>
      <w:r w:rsidR="00BE6935" w:rsidRPr="003E393B">
        <w:rPr>
          <w:snapToGrid w:val="0"/>
        </w:rPr>
        <w:t xml:space="preserve"> </w:t>
      </w:r>
      <w:r w:rsidRPr="003E393B">
        <w:rPr>
          <w:snapToGrid w:val="0"/>
        </w:rPr>
        <w:t>difficult</w:t>
      </w:r>
      <w:r w:rsidR="00BE6935" w:rsidRPr="003E393B">
        <w:rPr>
          <w:snapToGrid w:val="0"/>
        </w:rPr>
        <w:t xml:space="preserve"> </w:t>
      </w:r>
      <w:r w:rsidRPr="003E393B">
        <w:rPr>
          <w:snapToGrid w:val="0"/>
        </w:rPr>
        <w:t>to</w:t>
      </w:r>
      <w:r w:rsidR="00BE6935" w:rsidRPr="003E393B">
        <w:rPr>
          <w:snapToGrid w:val="0"/>
        </w:rPr>
        <w:t xml:space="preserve"> </w:t>
      </w:r>
      <w:r w:rsidRPr="003E393B">
        <w:rPr>
          <w:snapToGrid w:val="0"/>
        </w:rPr>
        <w:t>fully</w:t>
      </w:r>
      <w:r w:rsidR="00BE6935" w:rsidRPr="003E393B">
        <w:rPr>
          <w:snapToGrid w:val="0"/>
        </w:rPr>
        <w:t xml:space="preserve"> </w:t>
      </w:r>
      <w:r w:rsidRPr="003E393B">
        <w:rPr>
          <w:snapToGrid w:val="0"/>
        </w:rPr>
        <w:t>validate</w:t>
      </w:r>
      <w:r w:rsidR="00BE6935" w:rsidRPr="003E393B">
        <w:rPr>
          <w:snapToGrid w:val="0"/>
        </w:rPr>
        <w:t xml:space="preserve"> </w:t>
      </w:r>
      <w:r w:rsidRPr="003E393B">
        <w:rPr>
          <w:snapToGrid w:val="0"/>
        </w:rPr>
        <w:t>their</w:t>
      </w:r>
      <w:r w:rsidR="00BE6935" w:rsidRPr="003E393B">
        <w:rPr>
          <w:snapToGrid w:val="0"/>
        </w:rPr>
        <w:t xml:space="preserve"> </w:t>
      </w:r>
      <w:r w:rsidRPr="003E393B">
        <w:rPr>
          <w:snapToGrid w:val="0"/>
        </w:rPr>
        <w:t>responses.</w:t>
      </w:r>
      <w:r w:rsidR="00BE6935" w:rsidRPr="003E393B">
        <w:rPr>
          <w:snapToGrid w:val="0"/>
        </w:rPr>
        <w:t xml:space="preserve"> </w:t>
      </w:r>
      <w:r w:rsidRPr="003E393B">
        <w:rPr>
          <w:snapToGrid w:val="0"/>
        </w:rPr>
        <w:t>However,</w:t>
      </w:r>
      <w:r w:rsidR="00BE6935" w:rsidRPr="003E393B">
        <w:rPr>
          <w:snapToGrid w:val="0"/>
        </w:rPr>
        <w:t xml:space="preserve"> </w:t>
      </w:r>
      <w:r w:rsidRPr="003E393B">
        <w:rPr>
          <w:snapToGrid w:val="0"/>
        </w:rPr>
        <w:t>by</w:t>
      </w:r>
      <w:r w:rsidR="00BE6935" w:rsidRPr="003E393B">
        <w:rPr>
          <w:snapToGrid w:val="0"/>
        </w:rPr>
        <w:t xml:space="preserve"> </w:t>
      </w:r>
      <w:r w:rsidRPr="003E393B">
        <w:rPr>
          <w:snapToGrid w:val="0"/>
        </w:rPr>
        <w:t>implementing</w:t>
      </w:r>
      <w:r w:rsidR="00BE6935" w:rsidRPr="003E393B">
        <w:rPr>
          <w:snapToGrid w:val="0"/>
        </w:rPr>
        <w:t xml:space="preserve"> </w:t>
      </w:r>
      <w:r w:rsidRPr="003E393B">
        <w:rPr>
          <w:snapToGrid w:val="0"/>
        </w:rPr>
        <w:t>a</w:t>
      </w:r>
      <w:r w:rsidR="00BE6935" w:rsidRPr="003E393B">
        <w:rPr>
          <w:snapToGrid w:val="0"/>
        </w:rPr>
        <w:t xml:space="preserve"> </w:t>
      </w:r>
      <w:r w:rsidRPr="003E393B">
        <w:rPr>
          <w:snapToGrid w:val="0"/>
        </w:rPr>
        <w:t>web-based</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collection</w:t>
      </w:r>
      <w:r w:rsidR="00BE6935" w:rsidRPr="003E393B">
        <w:rPr>
          <w:snapToGrid w:val="0"/>
        </w:rPr>
        <w:t xml:space="preserve"> </w:t>
      </w:r>
      <w:r w:rsidRPr="003E393B">
        <w:rPr>
          <w:snapToGrid w:val="0"/>
        </w:rPr>
        <w:t>effort</w:t>
      </w:r>
      <w:r w:rsidR="00BE6935" w:rsidRPr="003E393B">
        <w:rPr>
          <w:snapToGrid w:val="0"/>
        </w:rPr>
        <w:t xml:space="preserve"> </w:t>
      </w:r>
      <w:r w:rsidRPr="003E393B">
        <w:rPr>
          <w:snapToGrid w:val="0"/>
        </w:rPr>
        <w:t>that</w:t>
      </w:r>
      <w:r w:rsidR="00BE6935" w:rsidRPr="003E393B">
        <w:rPr>
          <w:snapToGrid w:val="0"/>
        </w:rPr>
        <w:t xml:space="preserve"> </w:t>
      </w:r>
      <w:r w:rsidRPr="003E393B">
        <w:rPr>
          <w:snapToGrid w:val="0"/>
        </w:rPr>
        <w:t>requires</w:t>
      </w:r>
      <w:r w:rsidR="00BE6935" w:rsidRPr="003E393B">
        <w:rPr>
          <w:snapToGrid w:val="0"/>
        </w:rPr>
        <w:t xml:space="preserve"> </w:t>
      </w:r>
      <w:r w:rsidRPr="003E393B">
        <w:rPr>
          <w:snapToGrid w:val="0"/>
        </w:rPr>
        <w:t>error</w:t>
      </w:r>
      <w:r w:rsidR="00BE6935" w:rsidRPr="003E393B">
        <w:rPr>
          <w:snapToGrid w:val="0"/>
        </w:rPr>
        <w:t xml:space="preserve"> </w:t>
      </w:r>
      <w:r w:rsidRPr="003E393B">
        <w:rPr>
          <w:snapToGrid w:val="0"/>
        </w:rPr>
        <w:t>resolution</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correction</w:t>
      </w:r>
      <w:r w:rsidR="00BE6935" w:rsidRPr="003E393B">
        <w:rPr>
          <w:snapToGrid w:val="0"/>
        </w:rPr>
        <w:t xml:space="preserve"> </w:t>
      </w:r>
      <w:r w:rsidRPr="003E393B">
        <w:rPr>
          <w:i/>
          <w:snapToGrid w:val="0"/>
        </w:rPr>
        <w:t>prior</w:t>
      </w:r>
      <w:r w:rsidR="00BE6935" w:rsidRPr="003E393B">
        <w:rPr>
          <w:i/>
          <w:snapToGrid w:val="0"/>
        </w:rPr>
        <w:t xml:space="preserve"> </w:t>
      </w:r>
      <w:r w:rsidRPr="003E393B">
        <w:rPr>
          <w:i/>
          <w:snapToGrid w:val="0"/>
        </w:rPr>
        <w:t>to</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submission,</w:t>
      </w:r>
      <w:r w:rsidR="00BE6935" w:rsidRPr="003E393B">
        <w:rPr>
          <w:snapToGrid w:val="0"/>
        </w:rPr>
        <w:t xml:space="preserve"> </w:t>
      </w:r>
      <w:r w:rsidRPr="003E393B">
        <w:rPr>
          <w:snapToGrid w:val="0"/>
        </w:rPr>
        <w:t>NCES</w:t>
      </w:r>
      <w:r w:rsidR="00BE6935" w:rsidRPr="003E393B">
        <w:rPr>
          <w:snapToGrid w:val="0"/>
        </w:rPr>
        <w:t xml:space="preserve"> </w:t>
      </w:r>
      <w:r w:rsidRPr="003E393B">
        <w:rPr>
          <w:snapToGrid w:val="0"/>
        </w:rPr>
        <w:t>has</w:t>
      </w:r>
      <w:r w:rsidR="00BE6935" w:rsidRPr="003E393B">
        <w:rPr>
          <w:snapToGrid w:val="0"/>
        </w:rPr>
        <w:t xml:space="preserve"> </w:t>
      </w:r>
      <w:r w:rsidRPr="003E393B">
        <w:rPr>
          <w:snapToGrid w:val="0"/>
        </w:rPr>
        <w:t>been</w:t>
      </w:r>
      <w:r w:rsidR="00BE6935" w:rsidRPr="003E393B">
        <w:rPr>
          <w:snapToGrid w:val="0"/>
        </w:rPr>
        <w:t xml:space="preserve"> </w:t>
      </w:r>
      <w:r w:rsidRPr="003E393B">
        <w:rPr>
          <w:snapToGrid w:val="0"/>
        </w:rPr>
        <w:t>gathering</w:t>
      </w:r>
      <w:r w:rsidR="00BE6935" w:rsidRPr="003E393B">
        <w:rPr>
          <w:snapToGrid w:val="0"/>
        </w:rPr>
        <w:t xml:space="preserve"> </w:t>
      </w:r>
      <w:r w:rsidRPr="003E393B">
        <w:rPr>
          <w:snapToGrid w:val="0"/>
        </w:rPr>
        <w:t>cleaner</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in</w:t>
      </w:r>
      <w:r w:rsidR="00BE6935" w:rsidRPr="003E393B">
        <w:rPr>
          <w:snapToGrid w:val="0"/>
        </w:rPr>
        <w:t xml:space="preserve"> </w:t>
      </w:r>
      <w:r w:rsidRPr="003E393B">
        <w:rPr>
          <w:snapToGrid w:val="0"/>
        </w:rPr>
        <w:t>a</w:t>
      </w:r>
      <w:r w:rsidR="00BE6935" w:rsidRPr="003E393B">
        <w:rPr>
          <w:snapToGrid w:val="0"/>
        </w:rPr>
        <w:t xml:space="preserve"> </w:t>
      </w:r>
      <w:r w:rsidRPr="003E393B">
        <w:rPr>
          <w:snapToGrid w:val="0"/>
        </w:rPr>
        <w:t>more</w:t>
      </w:r>
      <w:r w:rsidR="00BE6935" w:rsidRPr="003E393B">
        <w:rPr>
          <w:snapToGrid w:val="0"/>
        </w:rPr>
        <w:t xml:space="preserve"> </w:t>
      </w:r>
      <w:r w:rsidRPr="003E393B">
        <w:rPr>
          <w:snapToGrid w:val="0"/>
        </w:rPr>
        <w:t>timely</w:t>
      </w:r>
      <w:r w:rsidR="00BE6935" w:rsidRPr="003E393B">
        <w:rPr>
          <w:snapToGrid w:val="0"/>
        </w:rPr>
        <w:t xml:space="preserve"> </w:t>
      </w:r>
      <w:r w:rsidRPr="003E393B">
        <w:rPr>
          <w:snapToGrid w:val="0"/>
        </w:rPr>
        <w:t>fashion.</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web-based</w:t>
      </w:r>
      <w:r w:rsidR="00BE6935" w:rsidRPr="003E393B">
        <w:rPr>
          <w:snapToGrid w:val="0"/>
        </w:rPr>
        <w:t xml:space="preserve"> </w:t>
      </w:r>
      <w:r w:rsidRPr="003E393B">
        <w:rPr>
          <w:snapToGrid w:val="0"/>
        </w:rPr>
        <w:t>system</w:t>
      </w:r>
      <w:r w:rsidR="00BE6935" w:rsidRPr="003E393B">
        <w:rPr>
          <w:snapToGrid w:val="0"/>
        </w:rPr>
        <w:t xml:space="preserve"> </w:t>
      </w:r>
      <w:r w:rsidRPr="003E393B">
        <w:rPr>
          <w:snapToGrid w:val="0"/>
        </w:rPr>
        <w:t>still</w:t>
      </w:r>
      <w:r w:rsidR="00BE6935" w:rsidRPr="003E393B">
        <w:rPr>
          <w:snapToGrid w:val="0"/>
        </w:rPr>
        <w:t xml:space="preserve"> </w:t>
      </w:r>
      <w:r w:rsidRPr="003E393B">
        <w:rPr>
          <w:snapToGrid w:val="0"/>
        </w:rPr>
        <w:t>accommodates</w:t>
      </w:r>
      <w:r w:rsidR="00BE6935" w:rsidRPr="003E393B">
        <w:rPr>
          <w:snapToGrid w:val="0"/>
        </w:rPr>
        <w:t xml:space="preserve"> </w:t>
      </w:r>
      <w:r w:rsidRPr="003E393B">
        <w:rPr>
          <w:snapToGrid w:val="0"/>
        </w:rPr>
        <w:t>intermediate</w:t>
      </w:r>
      <w:r w:rsidR="00BE6935" w:rsidRPr="003E393B">
        <w:rPr>
          <w:snapToGrid w:val="0"/>
        </w:rPr>
        <w:t xml:space="preserve"> </w:t>
      </w:r>
      <w:r w:rsidRPr="003E393B">
        <w:rPr>
          <w:snapToGrid w:val="0"/>
        </w:rPr>
        <w:t>reporting</w:t>
      </w:r>
      <w:r w:rsidR="00BE6935" w:rsidRPr="003E393B">
        <w:rPr>
          <w:snapToGrid w:val="0"/>
        </w:rPr>
        <w:t xml:space="preserve"> </w:t>
      </w:r>
      <w:r w:rsidRPr="003E393B">
        <w:rPr>
          <w:snapToGrid w:val="0"/>
        </w:rPr>
        <w:t>units</w:t>
      </w:r>
      <w:r w:rsidR="00BE6935" w:rsidRPr="003E393B">
        <w:rPr>
          <w:snapToGrid w:val="0"/>
        </w:rPr>
        <w:t xml:space="preserve"> </w:t>
      </w:r>
      <w:r w:rsidRPr="003E393B">
        <w:rPr>
          <w:snapToGrid w:val="0"/>
        </w:rPr>
        <w:t>such</w:t>
      </w:r>
      <w:r w:rsidR="00BE6935" w:rsidRPr="003E393B">
        <w:rPr>
          <w:snapToGrid w:val="0"/>
        </w:rPr>
        <w:t xml:space="preserve"> </w:t>
      </w:r>
      <w:r w:rsidRPr="003E393B">
        <w:rPr>
          <w:snapToGrid w:val="0"/>
        </w:rPr>
        <w:t>as</w:t>
      </w:r>
      <w:r w:rsidR="00BE6935" w:rsidRPr="003E393B">
        <w:rPr>
          <w:snapToGrid w:val="0"/>
        </w:rPr>
        <w:t xml:space="preserve"> </w:t>
      </w:r>
      <w:r w:rsidRPr="003E393B">
        <w:rPr>
          <w:snapToGrid w:val="0"/>
        </w:rPr>
        <w:t>community</w:t>
      </w:r>
      <w:r w:rsidR="00BE6935" w:rsidRPr="003E393B">
        <w:rPr>
          <w:snapToGrid w:val="0"/>
        </w:rPr>
        <w:t xml:space="preserve"> </w:t>
      </w:r>
      <w:r w:rsidRPr="003E393B">
        <w:rPr>
          <w:snapToGrid w:val="0"/>
        </w:rPr>
        <w:t>college</w:t>
      </w:r>
      <w:r w:rsidR="00BE6935" w:rsidRPr="003E393B">
        <w:rPr>
          <w:snapToGrid w:val="0"/>
        </w:rPr>
        <w:t xml:space="preserve"> </w:t>
      </w:r>
      <w:r w:rsidRPr="003E393B">
        <w:rPr>
          <w:snapToGrid w:val="0"/>
        </w:rPr>
        <w:t>boards,</w:t>
      </w:r>
      <w:r w:rsidR="00BE6935" w:rsidRPr="003E393B">
        <w:rPr>
          <w:snapToGrid w:val="0"/>
        </w:rPr>
        <w:t xml:space="preserve"> </w:t>
      </w:r>
      <w:r w:rsidRPr="003E393B">
        <w:rPr>
          <w:snapToGrid w:val="0"/>
        </w:rPr>
        <w:t>state</w:t>
      </w:r>
      <w:r w:rsidR="00BE6935" w:rsidRPr="003E393B">
        <w:rPr>
          <w:snapToGrid w:val="0"/>
        </w:rPr>
        <w:t xml:space="preserve"> </w:t>
      </w:r>
      <w:r w:rsidRPr="003E393B">
        <w:rPr>
          <w:snapToGrid w:val="0"/>
        </w:rPr>
        <w:t>university</w:t>
      </w:r>
      <w:r w:rsidR="00BE6935" w:rsidRPr="003E393B">
        <w:rPr>
          <w:snapToGrid w:val="0"/>
        </w:rPr>
        <w:t xml:space="preserve"> </w:t>
      </w:r>
      <w:r w:rsidRPr="003E393B">
        <w:rPr>
          <w:snapToGrid w:val="0"/>
        </w:rPr>
        <w:t>systems</w:t>
      </w:r>
      <w:r w:rsidR="00BE6935" w:rsidRPr="003E393B">
        <w:rPr>
          <w:snapToGrid w:val="0"/>
        </w:rPr>
        <w:t xml:space="preserve"> </w:t>
      </w:r>
      <w:r w:rsidRPr="003E393B">
        <w:rPr>
          <w:snapToGrid w:val="0"/>
        </w:rPr>
        <w:t>offices,</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corporate</w:t>
      </w:r>
      <w:r w:rsidR="00BE6935" w:rsidRPr="003E393B">
        <w:rPr>
          <w:snapToGrid w:val="0"/>
        </w:rPr>
        <w:t xml:space="preserve"> </w:t>
      </w:r>
      <w:r w:rsidRPr="003E393B">
        <w:rPr>
          <w:snapToGrid w:val="0"/>
        </w:rPr>
        <w:t>offices.</w:t>
      </w:r>
    </w:p>
    <w:p w14:paraId="0380F8D5" w14:textId="4F09E1F4" w:rsidR="00CF646B" w:rsidRPr="003E393B" w:rsidRDefault="00CF646B" w:rsidP="00E20590">
      <w:pPr>
        <w:widowControl w:val="0"/>
        <w:spacing w:line="279" w:lineRule="atLeast"/>
        <w:ind w:left="90"/>
        <w:rPr>
          <w:snapToGrid w:val="0"/>
        </w:rPr>
      </w:pPr>
    </w:p>
    <w:p w14:paraId="14E08562" w14:textId="7E06C171" w:rsidR="00BE6935" w:rsidRPr="003E393B" w:rsidRDefault="00CF646B" w:rsidP="00E20590">
      <w:pPr>
        <w:widowControl w:val="0"/>
        <w:spacing w:line="279" w:lineRule="atLeast"/>
        <w:ind w:left="90"/>
        <w:rPr>
          <w:snapToGrid w:val="0"/>
        </w:rPr>
      </w:pPr>
      <w:r w:rsidRPr="003E393B">
        <w:rPr>
          <w:snapToGrid w:val="0"/>
        </w:rPr>
        <w:t>The</w:t>
      </w:r>
      <w:r w:rsidR="00BE6935" w:rsidRPr="003E393B">
        <w:rPr>
          <w:snapToGrid w:val="0"/>
        </w:rPr>
        <w:t xml:space="preserve"> </w:t>
      </w:r>
      <w:r w:rsidRPr="003E393B">
        <w:rPr>
          <w:snapToGrid w:val="0"/>
        </w:rPr>
        <w:t>web-based</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collection</w:t>
      </w:r>
      <w:r w:rsidR="00BE6935" w:rsidRPr="003E393B">
        <w:rPr>
          <w:snapToGrid w:val="0"/>
        </w:rPr>
        <w:t xml:space="preserve"> </w:t>
      </w:r>
      <w:r w:rsidRPr="003E393B">
        <w:rPr>
          <w:snapToGrid w:val="0"/>
        </w:rPr>
        <w:t>method</w:t>
      </w:r>
      <w:r w:rsidR="00BE6935" w:rsidRPr="003E393B">
        <w:rPr>
          <w:snapToGrid w:val="0"/>
        </w:rPr>
        <w:t xml:space="preserve"> </w:t>
      </w:r>
      <w:r w:rsidRPr="003E393B">
        <w:rPr>
          <w:snapToGrid w:val="0"/>
        </w:rPr>
        <w:t>was</w:t>
      </w:r>
      <w:r w:rsidR="00BE6935" w:rsidRPr="003E393B">
        <w:rPr>
          <w:snapToGrid w:val="0"/>
        </w:rPr>
        <w:t xml:space="preserve"> </w:t>
      </w:r>
      <w:r w:rsidRPr="003E393B">
        <w:rPr>
          <w:snapToGrid w:val="0"/>
        </w:rPr>
        <w:t>tested</w:t>
      </w:r>
      <w:r w:rsidR="00BE6935" w:rsidRPr="003E393B">
        <w:rPr>
          <w:snapToGrid w:val="0"/>
        </w:rPr>
        <w:t xml:space="preserve"> </w:t>
      </w:r>
      <w:r w:rsidRPr="003E393B">
        <w:rPr>
          <w:snapToGrid w:val="0"/>
        </w:rPr>
        <w:t>in</w:t>
      </w:r>
      <w:r w:rsidR="00BE6935" w:rsidRPr="003E393B">
        <w:rPr>
          <w:snapToGrid w:val="0"/>
        </w:rPr>
        <w:t xml:space="preserve"> </w:t>
      </w:r>
      <w:r w:rsidRPr="003E393B">
        <w:rPr>
          <w:snapToGrid w:val="0"/>
        </w:rPr>
        <w:t>a</w:t>
      </w:r>
      <w:r w:rsidR="00BE6935" w:rsidRPr="003E393B">
        <w:rPr>
          <w:snapToGrid w:val="0"/>
        </w:rPr>
        <w:t xml:space="preserve"> </w:t>
      </w:r>
      <w:r w:rsidRPr="003E393B">
        <w:rPr>
          <w:snapToGrid w:val="0"/>
        </w:rPr>
        <w:t>successful</w:t>
      </w:r>
      <w:r w:rsidR="00BE6935" w:rsidRPr="003E393B">
        <w:rPr>
          <w:snapToGrid w:val="0"/>
        </w:rPr>
        <w:t xml:space="preserve"> </w:t>
      </w:r>
      <w:r w:rsidRPr="003E393B">
        <w:rPr>
          <w:snapToGrid w:val="0"/>
        </w:rPr>
        <w:t>pilot</w:t>
      </w:r>
      <w:r w:rsidR="00BE6935" w:rsidRPr="003E393B">
        <w:rPr>
          <w:snapToGrid w:val="0"/>
        </w:rPr>
        <w:t xml:space="preserve"> </w:t>
      </w:r>
      <w:r w:rsidRPr="003E393B">
        <w:rPr>
          <w:snapToGrid w:val="0"/>
        </w:rPr>
        <w:t>collection</w:t>
      </w:r>
      <w:r w:rsidR="00BE6935" w:rsidRPr="003E393B">
        <w:rPr>
          <w:snapToGrid w:val="0"/>
        </w:rPr>
        <w:t xml:space="preserve"> </w:t>
      </w:r>
      <w:r w:rsidRPr="003E393B">
        <w:rPr>
          <w:snapToGrid w:val="0"/>
        </w:rPr>
        <w:t>of</w:t>
      </w:r>
      <w:r w:rsidR="00BE6935" w:rsidRPr="003E393B">
        <w:rPr>
          <w:snapToGrid w:val="0"/>
        </w:rPr>
        <w:t xml:space="preserve"> </w:t>
      </w:r>
      <w:r w:rsidRPr="003E393B">
        <w:rPr>
          <w:snapToGrid w:val="0"/>
        </w:rPr>
        <w:t>Institutional</w:t>
      </w:r>
      <w:r w:rsidR="00BE6935" w:rsidRPr="003E393B">
        <w:rPr>
          <w:snapToGrid w:val="0"/>
        </w:rPr>
        <w:t xml:space="preserve"> </w:t>
      </w:r>
      <w:r w:rsidRPr="003E393B">
        <w:rPr>
          <w:snapToGrid w:val="0"/>
        </w:rPr>
        <w:t>Price</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Student</w:t>
      </w:r>
      <w:r w:rsidR="00BE6935" w:rsidRPr="003E393B">
        <w:rPr>
          <w:snapToGrid w:val="0"/>
        </w:rPr>
        <w:t xml:space="preserve"> </w:t>
      </w:r>
      <w:r w:rsidRPr="003E393B">
        <w:rPr>
          <w:snapToGrid w:val="0"/>
        </w:rPr>
        <w:t>Financial</w:t>
      </w:r>
      <w:r w:rsidR="00BE6935" w:rsidRPr="003E393B">
        <w:rPr>
          <w:snapToGrid w:val="0"/>
        </w:rPr>
        <w:t xml:space="preserve"> </w:t>
      </w:r>
      <w:r w:rsidRPr="003E393B">
        <w:rPr>
          <w:snapToGrid w:val="0"/>
        </w:rPr>
        <w:t>Aid</w:t>
      </w:r>
      <w:r w:rsidR="00BE6935" w:rsidRPr="003E393B">
        <w:rPr>
          <w:snapToGrid w:val="0"/>
        </w:rPr>
        <w:t xml:space="preserve"> </w:t>
      </w:r>
      <w:r w:rsidRPr="003E393B">
        <w:rPr>
          <w:snapToGrid w:val="0"/>
        </w:rPr>
        <w:t>information</w:t>
      </w:r>
      <w:r w:rsidR="00BE6935" w:rsidRPr="003E393B">
        <w:rPr>
          <w:snapToGrid w:val="0"/>
        </w:rPr>
        <w:t xml:space="preserve"> </w:t>
      </w:r>
      <w:r w:rsidRPr="003E393B">
        <w:rPr>
          <w:snapToGrid w:val="0"/>
        </w:rPr>
        <w:t>in</w:t>
      </w:r>
      <w:r w:rsidR="00BE6935" w:rsidRPr="003E393B">
        <w:rPr>
          <w:snapToGrid w:val="0"/>
        </w:rPr>
        <w:t xml:space="preserve"> </w:t>
      </w:r>
      <w:r w:rsidRPr="003E393B">
        <w:rPr>
          <w:snapToGrid w:val="0"/>
        </w:rPr>
        <w:t>August</w:t>
      </w:r>
      <w:r w:rsidR="00BE6935" w:rsidRPr="003E393B">
        <w:rPr>
          <w:snapToGrid w:val="0"/>
        </w:rPr>
        <w:t xml:space="preserve"> </w:t>
      </w:r>
      <w:r w:rsidRPr="003E393B">
        <w:rPr>
          <w:snapToGrid w:val="0"/>
        </w:rPr>
        <w:t>1999,</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has</w:t>
      </w:r>
      <w:r w:rsidR="00BE6935" w:rsidRPr="003E393B">
        <w:rPr>
          <w:snapToGrid w:val="0"/>
        </w:rPr>
        <w:t xml:space="preserve"> </w:t>
      </w:r>
      <w:r w:rsidRPr="003E393B">
        <w:rPr>
          <w:snapToGrid w:val="0"/>
        </w:rPr>
        <w:t>been</w:t>
      </w:r>
      <w:r w:rsidR="00BE6935" w:rsidRPr="003E393B">
        <w:rPr>
          <w:snapToGrid w:val="0"/>
        </w:rPr>
        <w:t xml:space="preserve"> </w:t>
      </w:r>
      <w:r w:rsidRPr="003E393B">
        <w:rPr>
          <w:snapToGrid w:val="0"/>
        </w:rPr>
        <w:t>in</w:t>
      </w:r>
      <w:r w:rsidR="00BE6935" w:rsidRPr="003E393B">
        <w:rPr>
          <w:snapToGrid w:val="0"/>
        </w:rPr>
        <w:t xml:space="preserve"> </w:t>
      </w:r>
      <w:r w:rsidRPr="003E393B">
        <w:rPr>
          <w:snapToGrid w:val="0"/>
        </w:rPr>
        <w:t>full-scale</w:t>
      </w:r>
      <w:r w:rsidR="00BE6935" w:rsidRPr="003E393B">
        <w:rPr>
          <w:snapToGrid w:val="0"/>
        </w:rPr>
        <w:t xml:space="preserve"> </w:t>
      </w:r>
      <w:r w:rsidRPr="003E393B">
        <w:rPr>
          <w:snapToGrid w:val="0"/>
        </w:rPr>
        <w:t>implementation</w:t>
      </w:r>
      <w:r w:rsidR="00BE6935" w:rsidRPr="003E393B">
        <w:rPr>
          <w:snapToGrid w:val="0"/>
        </w:rPr>
        <w:t xml:space="preserve"> </w:t>
      </w:r>
      <w:r w:rsidRPr="003E393B">
        <w:rPr>
          <w:snapToGrid w:val="0"/>
        </w:rPr>
        <w:t>since</w:t>
      </w:r>
      <w:r w:rsidR="00BE6935" w:rsidRPr="003E393B">
        <w:rPr>
          <w:snapToGrid w:val="0"/>
        </w:rPr>
        <w:t xml:space="preserve"> </w:t>
      </w:r>
      <w:r w:rsidRPr="003E393B">
        <w:rPr>
          <w:snapToGrid w:val="0"/>
        </w:rPr>
        <w:t>the</w:t>
      </w:r>
      <w:r w:rsidR="00BE6935" w:rsidRPr="003E393B">
        <w:rPr>
          <w:snapToGrid w:val="0"/>
        </w:rPr>
        <w:t xml:space="preserve"> </w:t>
      </w:r>
      <w:r w:rsidR="00AD1E04">
        <w:rPr>
          <w:snapToGrid w:val="0"/>
        </w:rPr>
        <w:t>f</w:t>
      </w:r>
      <w:r w:rsidRPr="003E393B">
        <w:rPr>
          <w:snapToGrid w:val="0"/>
        </w:rPr>
        <w:t>all</w:t>
      </w:r>
      <w:r w:rsidR="00BE6935" w:rsidRPr="003E393B">
        <w:rPr>
          <w:snapToGrid w:val="0"/>
        </w:rPr>
        <w:t xml:space="preserve"> </w:t>
      </w:r>
      <w:r w:rsidRPr="003E393B">
        <w:rPr>
          <w:snapToGrid w:val="0"/>
        </w:rPr>
        <w:t>of</w:t>
      </w:r>
      <w:r w:rsidR="00BE6935" w:rsidRPr="003E393B">
        <w:rPr>
          <w:snapToGrid w:val="0"/>
        </w:rPr>
        <w:t xml:space="preserve"> </w:t>
      </w:r>
      <w:r w:rsidRPr="003E393B">
        <w:rPr>
          <w:snapToGrid w:val="0"/>
        </w:rPr>
        <w:t>2000.</w:t>
      </w:r>
      <w:r w:rsidR="00BE6935" w:rsidRPr="003E393B">
        <w:rPr>
          <w:snapToGrid w:val="0"/>
        </w:rPr>
        <w:t xml:space="preserve"> </w:t>
      </w:r>
      <w:r w:rsidRPr="003E393B">
        <w:rPr>
          <w:snapToGrid w:val="0"/>
        </w:rPr>
        <w:t>Throughout</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implementation</w:t>
      </w:r>
      <w:r w:rsidR="00BE6935" w:rsidRPr="003E393B">
        <w:rPr>
          <w:snapToGrid w:val="0"/>
        </w:rPr>
        <w:t xml:space="preserve"> </w:t>
      </w:r>
      <w:r w:rsidRPr="003E393B">
        <w:rPr>
          <w:snapToGrid w:val="0"/>
        </w:rPr>
        <w:t>of</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web-based</w:t>
      </w:r>
      <w:r w:rsidR="00BE6935" w:rsidRPr="003E393B">
        <w:rPr>
          <w:snapToGrid w:val="0"/>
        </w:rPr>
        <w:t xml:space="preserve"> </w:t>
      </w:r>
      <w:r w:rsidRPr="003E393B">
        <w:rPr>
          <w:snapToGrid w:val="0"/>
        </w:rPr>
        <w:t>system,</w:t>
      </w:r>
      <w:r w:rsidR="00BE6935" w:rsidRPr="003E393B">
        <w:rPr>
          <w:snapToGrid w:val="0"/>
        </w:rPr>
        <w:t xml:space="preserve"> </w:t>
      </w:r>
      <w:r w:rsidRPr="003E393B">
        <w:rPr>
          <w:snapToGrid w:val="0"/>
        </w:rPr>
        <w:t>as</w:t>
      </w:r>
      <w:r w:rsidR="00BE6935" w:rsidRPr="003E393B">
        <w:rPr>
          <w:snapToGrid w:val="0"/>
        </w:rPr>
        <w:t xml:space="preserve"> </w:t>
      </w:r>
      <w:r w:rsidRPr="003E393B">
        <w:rPr>
          <w:snapToGrid w:val="0"/>
        </w:rPr>
        <w:t>a</w:t>
      </w:r>
      <w:r w:rsidR="00BE6935" w:rsidRPr="003E393B">
        <w:rPr>
          <w:snapToGrid w:val="0"/>
        </w:rPr>
        <w:t xml:space="preserve"> </w:t>
      </w:r>
      <w:r w:rsidRPr="003E393B">
        <w:rPr>
          <w:snapToGrid w:val="0"/>
        </w:rPr>
        <w:t>result</w:t>
      </w:r>
      <w:r w:rsidR="00BE6935" w:rsidRPr="003E393B">
        <w:rPr>
          <w:snapToGrid w:val="0"/>
        </w:rPr>
        <w:t xml:space="preserve"> </w:t>
      </w:r>
      <w:r w:rsidRPr="003E393B">
        <w:rPr>
          <w:snapToGrid w:val="0"/>
        </w:rPr>
        <w:t>of</w:t>
      </w:r>
      <w:r w:rsidR="00BE6935" w:rsidRPr="003E393B">
        <w:rPr>
          <w:snapToGrid w:val="0"/>
        </w:rPr>
        <w:t xml:space="preserve"> </w:t>
      </w:r>
      <w:r w:rsidRPr="003E393B">
        <w:rPr>
          <w:snapToGrid w:val="0"/>
        </w:rPr>
        <w:t>discussions</w:t>
      </w:r>
      <w:r w:rsidR="00BE6935" w:rsidRPr="003E393B">
        <w:rPr>
          <w:snapToGrid w:val="0"/>
        </w:rPr>
        <w:t xml:space="preserve"> </w:t>
      </w:r>
      <w:r w:rsidRPr="003E393B">
        <w:rPr>
          <w:snapToGrid w:val="0"/>
        </w:rPr>
        <w:t>with</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providers</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associations</w:t>
      </w:r>
      <w:r w:rsidR="00BE6935" w:rsidRPr="003E393B">
        <w:rPr>
          <w:snapToGrid w:val="0"/>
        </w:rPr>
        <w:t xml:space="preserve"> </w:t>
      </w:r>
      <w:r w:rsidRPr="003E393B">
        <w:rPr>
          <w:snapToGrid w:val="0"/>
        </w:rPr>
        <w:t>that</w:t>
      </w:r>
      <w:r w:rsidR="00BE6935" w:rsidRPr="003E393B">
        <w:rPr>
          <w:snapToGrid w:val="0"/>
        </w:rPr>
        <w:t xml:space="preserve"> </w:t>
      </w:r>
      <w:r w:rsidRPr="003E393B">
        <w:rPr>
          <w:snapToGrid w:val="0"/>
        </w:rPr>
        <w:t>use</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NCES</w:t>
      </w:r>
      <w:r w:rsidR="00BE6935" w:rsidRPr="003E393B">
        <w:rPr>
          <w:snapToGrid w:val="0"/>
        </w:rPr>
        <w:t xml:space="preserve"> </w:t>
      </w:r>
      <w:r w:rsidRPr="003E393B">
        <w:rPr>
          <w:snapToGrid w:val="0"/>
        </w:rPr>
        <w:t>has</w:t>
      </w:r>
      <w:r w:rsidR="00BE6935" w:rsidRPr="003E393B">
        <w:rPr>
          <w:snapToGrid w:val="0"/>
        </w:rPr>
        <w:t xml:space="preserve"> </w:t>
      </w:r>
      <w:r w:rsidRPr="003E393B">
        <w:rPr>
          <w:snapToGrid w:val="0"/>
        </w:rPr>
        <w:t>revised</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collection</w:t>
      </w:r>
      <w:r w:rsidR="00BE6935" w:rsidRPr="003E393B">
        <w:rPr>
          <w:snapToGrid w:val="0"/>
        </w:rPr>
        <w:t xml:space="preserve"> </w:t>
      </w:r>
      <w:r w:rsidRPr="003E393B">
        <w:rPr>
          <w:snapToGrid w:val="0"/>
        </w:rPr>
        <w:t>items,</w:t>
      </w:r>
      <w:r w:rsidR="00BE6935" w:rsidRPr="003E393B">
        <w:rPr>
          <w:snapToGrid w:val="0"/>
        </w:rPr>
        <w:t xml:space="preserve"> </w:t>
      </w:r>
      <w:r w:rsidRPr="003E393B">
        <w:rPr>
          <w:snapToGrid w:val="0"/>
        </w:rPr>
        <w:t>definitions,</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instructions</w:t>
      </w:r>
      <w:r w:rsidR="00BE6935" w:rsidRPr="003E393B">
        <w:rPr>
          <w:snapToGrid w:val="0"/>
        </w:rPr>
        <w:t xml:space="preserve"> </w:t>
      </w:r>
      <w:r w:rsidRPr="003E393B">
        <w:rPr>
          <w:snapToGrid w:val="0"/>
        </w:rPr>
        <w:t>based</w:t>
      </w:r>
      <w:r w:rsidR="00BE6935" w:rsidRPr="003E393B">
        <w:rPr>
          <w:snapToGrid w:val="0"/>
        </w:rPr>
        <w:t xml:space="preserve"> </w:t>
      </w:r>
      <w:r w:rsidRPr="003E393B">
        <w:rPr>
          <w:snapToGrid w:val="0"/>
        </w:rPr>
        <w:t>on</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recommendations</w:t>
      </w:r>
      <w:r w:rsidR="00BE6935" w:rsidRPr="003E393B">
        <w:rPr>
          <w:snapToGrid w:val="0"/>
        </w:rPr>
        <w:t xml:space="preserve"> </w:t>
      </w:r>
      <w:r w:rsidRPr="003E393B">
        <w:rPr>
          <w:snapToGrid w:val="0"/>
        </w:rPr>
        <w:t>of</w:t>
      </w:r>
      <w:r w:rsidR="00BE6935" w:rsidRPr="003E393B">
        <w:rPr>
          <w:snapToGrid w:val="0"/>
        </w:rPr>
        <w:t xml:space="preserve"> </w:t>
      </w:r>
      <w:r w:rsidR="00AD1E04">
        <w:rPr>
          <w:snapToGrid w:val="0"/>
        </w:rPr>
        <w:t>IPEDS</w:t>
      </w:r>
      <w:r w:rsidR="00BE6935" w:rsidRPr="003E393B">
        <w:rPr>
          <w:snapToGrid w:val="0"/>
        </w:rPr>
        <w:t xml:space="preserve"> </w:t>
      </w:r>
      <w:r w:rsidRPr="003E393B">
        <w:rPr>
          <w:snapToGrid w:val="0"/>
        </w:rPr>
        <w:t>constituents,</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following</w:t>
      </w:r>
      <w:r w:rsidR="00BE6935" w:rsidRPr="003E393B">
        <w:rPr>
          <w:snapToGrid w:val="0"/>
        </w:rPr>
        <w:t xml:space="preserve"> </w:t>
      </w:r>
      <w:r w:rsidRPr="003E393B">
        <w:rPr>
          <w:snapToGrid w:val="0"/>
        </w:rPr>
        <w:t>appropriate</w:t>
      </w:r>
      <w:r w:rsidR="00BE6935" w:rsidRPr="003E393B">
        <w:rPr>
          <w:snapToGrid w:val="0"/>
        </w:rPr>
        <w:t xml:space="preserve"> </w:t>
      </w:r>
      <w:r w:rsidRPr="003E393B">
        <w:rPr>
          <w:snapToGrid w:val="0"/>
        </w:rPr>
        <w:t>public</w:t>
      </w:r>
      <w:r w:rsidR="00BE6935" w:rsidRPr="003E393B">
        <w:rPr>
          <w:snapToGrid w:val="0"/>
        </w:rPr>
        <w:t xml:space="preserve"> </w:t>
      </w:r>
      <w:r w:rsidRPr="003E393B">
        <w:rPr>
          <w:snapToGrid w:val="0"/>
        </w:rPr>
        <w:t>comment</w:t>
      </w:r>
      <w:r w:rsidR="00BE6935" w:rsidRPr="003E393B">
        <w:rPr>
          <w:snapToGrid w:val="0"/>
        </w:rPr>
        <w:t xml:space="preserve"> </w:t>
      </w:r>
      <w:r w:rsidRPr="003E393B">
        <w:rPr>
          <w:snapToGrid w:val="0"/>
        </w:rPr>
        <w:t>periods.</w:t>
      </w:r>
    </w:p>
    <w:p w14:paraId="1AE3CDB4" w14:textId="08D60092" w:rsidR="00CF646B" w:rsidRPr="003E393B" w:rsidRDefault="00CF646B" w:rsidP="00E20590">
      <w:pPr>
        <w:widowControl w:val="0"/>
        <w:spacing w:line="279" w:lineRule="atLeast"/>
        <w:ind w:left="90"/>
        <w:rPr>
          <w:snapToGrid w:val="0"/>
        </w:rPr>
      </w:pPr>
    </w:p>
    <w:p w14:paraId="30574351" w14:textId="0BFB4CD2" w:rsidR="00CF646B" w:rsidRPr="003E393B" w:rsidRDefault="00CF646B" w:rsidP="00E20590">
      <w:pPr>
        <w:widowControl w:val="0"/>
        <w:spacing w:line="279" w:lineRule="atLeast"/>
        <w:ind w:left="90"/>
        <w:rPr>
          <w:snapToGrid w:val="0"/>
          <w:u w:val="single"/>
        </w:rPr>
      </w:pPr>
      <w:r w:rsidRPr="003E393B">
        <w:rPr>
          <w:b/>
          <w:snapToGrid w:val="0"/>
        </w:rPr>
        <w:t>B.5.</w:t>
      </w:r>
      <w:r w:rsidRPr="003E393B">
        <w:rPr>
          <w:snapToGrid w:val="0"/>
        </w:rPr>
        <w:tab/>
      </w:r>
      <w:r w:rsidRPr="003E393B">
        <w:rPr>
          <w:b/>
          <w:snapToGrid w:val="0"/>
          <w:u w:val="single"/>
        </w:rPr>
        <w:t>Reviewing</w:t>
      </w:r>
      <w:r w:rsidR="00BE6935" w:rsidRPr="003E393B">
        <w:rPr>
          <w:b/>
          <w:snapToGrid w:val="0"/>
          <w:u w:val="single"/>
        </w:rPr>
        <w:t xml:space="preserve"> </w:t>
      </w:r>
      <w:r w:rsidRPr="003E393B">
        <w:rPr>
          <w:b/>
          <w:snapToGrid w:val="0"/>
          <w:u w:val="single"/>
        </w:rPr>
        <w:t>Individuals</w:t>
      </w:r>
    </w:p>
    <w:p w14:paraId="1EBE347F" w14:textId="77777777" w:rsidR="00CF646B" w:rsidRPr="003E393B" w:rsidRDefault="00CF646B" w:rsidP="00E20590">
      <w:pPr>
        <w:widowControl w:val="0"/>
        <w:ind w:left="90"/>
        <w:rPr>
          <w:snapToGrid w:val="0"/>
        </w:rPr>
      </w:pPr>
    </w:p>
    <w:p w14:paraId="66BB0E99" w14:textId="77777777" w:rsidR="00BE6935" w:rsidRPr="003E393B" w:rsidRDefault="00CF646B" w:rsidP="00E20590">
      <w:pPr>
        <w:widowControl w:val="0"/>
        <w:ind w:left="90"/>
        <w:rPr>
          <w:snapToGrid w:val="0"/>
        </w:rPr>
      </w:pPr>
      <w:r w:rsidRPr="003E393B">
        <w:rPr>
          <w:snapToGrid w:val="0"/>
        </w:rPr>
        <w:t>Listed</w:t>
      </w:r>
      <w:r w:rsidR="00BE6935" w:rsidRPr="003E393B">
        <w:rPr>
          <w:snapToGrid w:val="0"/>
        </w:rPr>
        <w:t xml:space="preserve"> </w:t>
      </w:r>
      <w:r w:rsidRPr="003E393B">
        <w:rPr>
          <w:snapToGrid w:val="0"/>
        </w:rPr>
        <w:t>below</w:t>
      </w:r>
      <w:r w:rsidR="00BE6935" w:rsidRPr="003E393B">
        <w:rPr>
          <w:snapToGrid w:val="0"/>
        </w:rPr>
        <w:t xml:space="preserve"> </w:t>
      </w:r>
      <w:r w:rsidRPr="003E393B">
        <w:rPr>
          <w:snapToGrid w:val="0"/>
        </w:rPr>
        <w:t>are</w:t>
      </w:r>
      <w:r w:rsidR="00BE6935" w:rsidRPr="003E393B">
        <w:rPr>
          <w:snapToGrid w:val="0"/>
        </w:rPr>
        <w:t xml:space="preserve"> </w:t>
      </w:r>
      <w:r w:rsidRPr="003E393B">
        <w:rPr>
          <w:snapToGrid w:val="0"/>
        </w:rPr>
        <w:t>individuals</w:t>
      </w:r>
      <w:r w:rsidR="00BE6935" w:rsidRPr="003E393B">
        <w:rPr>
          <w:snapToGrid w:val="0"/>
        </w:rPr>
        <w:t xml:space="preserve"> </w:t>
      </w:r>
      <w:r w:rsidRPr="003E393B">
        <w:rPr>
          <w:snapToGrid w:val="0"/>
        </w:rPr>
        <w:t>who</w:t>
      </w:r>
      <w:r w:rsidR="00BE6935" w:rsidRPr="003E393B">
        <w:rPr>
          <w:snapToGrid w:val="0"/>
        </w:rPr>
        <w:t xml:space="preserve"> </w:t>
      </w:r>
      <w:r w:rsidRPr="003E393B">
        <w:rPr>
          <w:snapToGrid w:val="0"/>
        </w:rPr>
        <w:t>have</w:t>
      </w:r>
      <w:r w:rsidR="00BE6935" w:rsidRPr="003E393B">
        <w:rPr>
          <w:snapToGrid w:val="0"/>
        </w:rPr>
        <w:t xml:space="preserve"> </w:t>
      </w:r>
      <w:r w:rsidRPr="003E393B">
        <w:rPr>
          <w:snapToGrid w:val="0"/>
        </w:rPr>
        <w:t>reviewed,</w:t>
      </w:r>
      <w:r w:rsidR="00BE6935" w:rsidRPr="003E393B">
        <w:rPr>
          <w:snapToGrid w:val="0"/>
        </w:rPr>
        <w:t xml:space="preserve"> </w:t>
      </w:r>
      <w:r w:rsidRPr="003E393B">
        <w:rPr>
          <w:snapToGrid w:val="0"/>
        </w:rPr>
        <w:t>in</w:t>
      </w:r>
      <w:r w:rsidR="00BE6935" w:rsidRPr="003E393B">
        <w:rPr>
          <w:snapToGrid w:val="0"/>
        </w:rPr>
        <w:t xml:space="preserve"> </w:t>
      </w:r>
      <w:r w:rsidRPr="003E393B">
        <w:rPr>
          <w:snapToGrid w:val="0"/>
        </w:rPr>
        <w:t>whole</w:t>
      </w:r>
      <w:r w:rsidR="00BE6935" w:rsidRPr="003E393B">
        <w:rPr>
          <w:snapToGrid w:val="0"/>
        </w:rPr>
        <w:t xml:space="preserve"> </w:t>
      </w:r>
      <w:r w:rsidRPr="003E393B">
        <w:rPr>
          <w:snapToGrid w:val="0"/>
        </w:rPr>
        <w:t>or</w:t>
      </w:r>
      <w:r w:rsidR="00BE6935" w:rsidRPr="003E393B">
        <w:rPr>
          <w:snapToGrid w:val="0"/>
        </w:rPr>
        <w:t xml:space="preserve"> </w:t>
      </w:r>
      <w:r w:rsidRPr="003E393B">
        <w:rPr>
          <w:snapToGrid w:val="0"/>
        </w:rPr>
        <w:t>in</w:t>
      </w:r>
      <w:r w:rsidR="00BE6935" w:rsidRPr="003E393B">
        <w:rPr>
          <w:snapToGrid w:val="0"/>
        </w:rPr>
        <w:t xml:space="preserve"> </w:t>
      </w:r>
      <w:r w:rsidRPr="003E393B">
        <w:rPr>
          <w:snapToGrid w:val="0"/>
        </w:rPr>
        <w:t>part,</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IPEDS</w:t>
      </w:r>
      <w:r w:rsidR="00BE6935" w:rsidRPr="003E393B">
        <w:rPr>
          <w:snapToGrid w:val="0"/>
        </w:rPr>
        <w:t xml:space="preserve"> </w:t>
      </w:r>
      <w:r w:rsidRPr="003E393B">
        <w:rPr>
          <w:snapToGrid w:val="0"/>
        </w:rPr>
        <w:t>surveys,</w:t>
      </w:r>
      <w:r w:rsidR="00BE6935" w:rsidRPr="003E393B">
        <w:rPr>
          <w:snapToGrid w:val="0"/>
        </w:rPr>
        <w:t xml:space="preserve"> </w:t>
      </w:r>
      <w:r w:rsidRPr="003E393B">
        <w:rPr>
          <w:snapToGrid w:val="0"/>
        </w:rPr>
        <w:t>and/or</w:t>
      </w:r>
      <w:r w:rsidR="00BE6935" w:rsidRPr="003E393B">
        <w:rPr>
          <w:snapToGrid w:val="0"/>
        </w:rPr>
        <w:t xml:space="preserve"> </w:t>
      </w:r>
      <w:r w:rsidRPr="003E393B">
        <w:rPr>
          <w:snapToGrid w:val="0"/>
        </w:rPr>
        <w:t>participated</w:t>
      </w:r>
      <w:r w:rsidR="00BE6935" w:rsidRPr="003E393B">
        <w:rPr>
          <w:snapToGrid w:val="0"/>
        </w:rPr>
        <w:t xml:space="preserve"> </w:t>
      </w:r>
      <w:r w:rsidRPr="003E393B">
        <w:rPr>
          <w:snapToGrid w:val="0"/>
        </w:rPr>
        <w:t>in</w:t>
      </w:r>
      <w:r w:rsidR="00BE6935" w:rsidRPr="003E393B">
        <w:rPr>
          <w:snapToGrid w:val="0"/>
        </w:rPr>
        <w:t xml:space="preserve"> </w:t>
      </w:r>
      <w:r w:rsidRPr="003E393B">
        <w:rPr>
          <w:snapToGrid w:val="0"/>
        </w:rPr>
        <w:t>Technical</w:t>
      </w:r>
      <w:r w:rsidR="00BE6935" w:rsidRPr="003E393B">
        <w:rPr>
          <w:snapToGrid w:val="0"/>
        </w:rPr>
        <w:t xml:space="preserve"> </w:t>
      </w:r>
      <w:r w:rsidRPr="003E393B">
        <w:rPr>
          <w:snapToGrid w:val="0"/>
        </w:rPr>
        <w:t>Review</w:t>
      </w:r>
      <w:r w:rsidR="00BE6935" w:rsidRPr="003E393B">
        <w:rPr>
          <w:snapToGrid w:val="0"/>
        </w:rPr>
        <w:t xml:space="preserve"> </w:t>
      </w:r>
      <w:r w:rsidRPr="003E393B">
        <w:rPr>
          <w:snapToGrid w:val="0"/>
        </w:rPr>
        <w:t>Panel</w:t>
      </w:r>
      <w:r w:rsidR="00BE6935" w:rsidRPr="003E393B">
        <w:rPr>
          <w:snapToGrid w:val="0"/>
        </w:rPr>
        <w:t xml:space="preserve"> </w:t>
      </w:r>
      <w:r w:rsidRPr="003E393B">
        <w:rPr>
          <w:snapToGrid w:val="0"/>
        </w:rPr>
        <w:t>meetings</w:t>
      </w:r>
      <w:r w:rsidR="00BE6935" w:rsidRPr="003E393B">
        <w:rPr>
          <w:snapToGrid w:val="0"/>
        </w:rPr>
        <w:t xml:space="preserve"> </w:t>
      </w:r>
      <w:r w:rsidRPr="003E393B">
        <w:rPr>
          <w:snapToGrid w:val="0"/>
        </w:rPr>
        <w:t>charged</w:t>
      </w:r>
      <w:r w:rsidR="00BE6935" w:rsidRPr="003E393B">
        <w:rPr>
          <w:snapToGrid w:val="0"/>
        </w:rPr>
        <w:t xml:space="preserve"> </w:t>
      </w:r>
      <w:r w:rsidRPr="003E393B">
        <w:rPr>
          <w:snapToGrid w:val="0"/>
        </w:rPr>
        <w:t>with</w:t>
      </w:r>
      <w:r w:rsidR="00BE6935" w:rsidRPr="003E393B">
        <w:rPr>
          <w:snapToGrid w:val="0"/>
        </w:rPr>
        <w:t xml:space="preserve"> </w:t>
      </w:r>
      <w:r w:rsidRPr="003E393B">
        <w:rPr>
          <w:snapToGrid w:val="0"/>
        </w:rPr>
        <w:t>revising</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refining</w:t>
      </w:r>
      <w:r w:rsidR="00BE6935" w:rsidRPr="003E393B">
        <w:rPr>
          <w:snapToGrid w:val="0"/>
        </w:rPr>
        <w:t xml:space="preserve"> </w:t>
      </w:r>
      <w:r w:rsidRPr="003E393B">
        <w:rPr>
          <w:snapToGrid w:val="0"/>
        </w:rPr>
        <w:t>the</w:t>
      </w:r>
      <w:r w:rsidR="00BE6935" w:rsidRPr="003E393B">
        <w:rPr>
          <w:snapToGrid w:val="0"/>
        </w:rPr>
        <w:t xml:space="preserve"> </w:t>
      </w:r>
      <w:r w:rsidRPr="003E393B">
        <w:rPr>
          <w:snapToGrid w:val="0"/>
        </w:rPr>
        <w:t>surveys</w:t>
      </w:r>
      <w:r w:rsidR="00BE6935" w:rsidRPr="003E393B">
        <w:rPr>
          <w:snapToGrid w:val="0"/>
        </w:rPr>
        <w:t xml:space="preserve"> </w:t>
      </w:r>
      <w:r w:rsidRPr="003E393B">
        <w:rPr>
          <w:snapToGrid w:val="0"/>
        </w:rPr>
        <w:t>and</w:t>
      </w:r>
      <w:r w:rsidR="00BE6935" w:rsidRPr="003E393B">
        <w:rPr>
          <w:snapToGrid w:val="0"/>
        </w:rPr>
        <w:t xml:space="preserve"> </w:t>
      </w:r>
      <w:r w:rsidRPr="003E393B">
        <w:rPr>
          <w:snapToGrid w:val="0"/>
        </w:rPr>
        <w:t>data</w:t>
      </w:r>
      <w:r w:rsidR="00BE6935" w:rsidRPr="003E393B">
        <w:rPr>
          <w:snapToGrid w:val="0"/>
        </w:rPr>
        <w:t xml:space="preserve"> </w:t>
      </w:r>
      <w:r w:rsidRPr="003E393B">
        <w:rPr>
          <w:snapToGrid w:val="0"/>
        </w:rPr>
        <w:t>items</w:t>
      </w:r>
      <w:r w:rsidR="00BE6935" w:rsidRPr="003E393B">
        <w:rPr>
          <w:snapToGrid w:val="0"/>
        </w:rPr>
        <w:t xml:space="preserve"> </w:t>
      </w:r>
      <w:r w:rsidRPr="003E393B">
        <w:rPr>
          <w:snapToGrid w:val="0"/>
        </w:rPr>
        <w:t>collected.</w:t>
      </w:r>
    </w:p>
    <w:p w14:paraId="0B9788A0" w14:textId="26784EA8" w:rsidR="00CF646B" w:rsidRPr="003E393B" w:rsidRDefault="00CF646B" w:rsidP="00E20590">
      <w:pPr>
        <w:pStyle w:val="Bulletlevel2"/>
        <w:widowControl w:val="0"/>
        <w:numPr>
          <w:ilvl w:val="0"/>
          <w:numId w:val="0"/>
        </w:numPr>
        <w:ind w:left="90"/>
        <w:rPr>
          <w:snapToGrid w:val="0"/>
          <w:szCs w:val="24"/>
        </w:rPr>
      </w:pPr>
    </w:p>
    <w:p w14:paraId="1047B9B6" w14:textId="706E3FA5" w:rsidR="00A872F0" w:rsidRPr="006F2AA6" w:rsidRDefault="00A872F0" w:rsidP="00E20590">
      <w:pPr>
        <w:widowControl w:val="0"/>
        <w:ind w:left="90"/>
        <w:rPr>
          <w:snapToGrid w:val="0"/>
          <w:sz w:val="23"/>
          <w:szCs w:val="23"/>
          <w:u w:val="single"/>
        </w:rPr>
      </w:pPr>
      <w:r w:rsidRPr="006F2AA6">
        <w:rPr>
          <w:snapToGrid w:val="0"/>
          <w:sz w:val="23"/>
          <w:szCs w:val="23"/>
          <w:u w:val="single"/>
        </w:rPr>
        <w:t>Representatives from the National Center for Education Statistics</w:t>
      </w:r>
    </w:p>
    <w:p w14:paraId="2AAC3557" w14:textId="16DB44A8" w:rsidR="00A872F0" w:rsidRPr="006F2AA6" w:rsidRDefault="00A872F0" w:rsidP="00A872F0">
      <w:pPr>
        <w:ind w:left="810"/>
        <w:rPr>
          <w:sz w:val="23"/>
          <w:szCs w:val="23"/>
        </w:rPr>
      </w:pPr>
      <w:r w:rsidRPr="006F2AA6">
        <w:rPr>
          <w:sz w:val="23"/>
          <w:szCs w:val="23"/>
        </w:rPr>
        <w:t>Aida Ali</w:t>
      </w:r>
      <w:r w:rsidR="00B124C8" w:rsidRPr="006F2AA6">
        <w:rPr>
          <w:sz w:val="23"/>
          <w:szCs w:val="23"/>
        </w:rPr>
        <w:t xml:space="preserve"> Akreyi</w:t>
      </w:r>
      <w:r w:rsidRPr="006F2AA6">
        <w:rPr>
          <w:sz w:val="23"/>
          <w:szCs w:val="23"/>
        </w:rPr>
        <w:t>, Survey Director</w:t>
      </w:r>
      <w:r w:rsidRPr="006F2AA6">
        <w:rPr>
          <w:rStyle w:val="FootnoteReference"/>
          <w:sz w:val="23"/>
          <w:szCs w:val="23"/>
        </w:rPr>
        <w:footnoteReference w:id="1"/>
      </w:r>
    </w:p>
    <w:p w14:paraId="2B870341" w14:textId="77777777" w:rsidR="00A872F0" w:rsidRPr="006F2AA6" w:rsidRDefault="00A872F0" w:rsidP="00A872F0">
      <w:pPr>
        <w:ind w:left="810"/>
        <w:rPr>
          <w:sz w:val="23"/>
          <w:szCs w:val="23"/>
        </w:rPr>
      </w:pPr>
      <w:r w:rsidRPr="006F2AA6">
        <w:rPr>
          <w:sz w:val="23"/>
          <w:szCs w:val="23"/>
        </w:rPr>
        <w:t>Samuel Barbett, Mathematical Statistician</w:t>
      </w:r>
      <w:r w:rsidRPr="006F2AA6">
        <w:rPr>
          <w:sz w:val="23"/>
          <w:szCs w:val="23"/>
          <w:vertAlign w:val="superscript"/>
        </w:rPr>
        <w:t>1</w:t>
      </w:r>
    </w:p>
    <w:p w14:paraId="75949460" w14:textId="77777777" w:rsidR="00A872F0" w:rsidRPr="006F2AA6" w:rsidRDefault="00A872F0" w:rsidP="00A872F0">
      <w:pPr>
        <w:ind w:left="810"/>
        <w:rPr>
          <w:sz w:val="23"/>
          <w:szCs w:val="23"/>
        </w:rPr>
      </w:pPr>
      <w:r w:rsidRPr="006F2AA6">
        <w:rPr>
          <w:sz w:val="23"/>
          <w:szCs w:val="23"/>
        </w:rPr>
        <w:t>Peggy Carr, Associate Commissioner, NCES</w:t>
      </w:r>
      <w:r w:rsidRPr="006F2AA6">
        <w:rPr>
          <w:sz w:val="23"/>
          <w:szCs w:val="23"/>
          <w:vertAlign w:val="superscript"/>
        </w:rPr>
        <w:t>1</w:t>
      </w:r>
    </w:p>
    <w:p w14:paraId="600D16D1" w14:textId="77777777" w:rsidR="00A872F0" w:rsidRPr="006F2AA6" w:rsidRDefault="00A872F0" w:rsidP="00A872F0">
      <w:pPr>
        <w:ind w:left="810"/>
        <w:rPr>
          <w:sz w:val="23"/>
          <w:szCs w:val="23"/>
        </w:rPr>
      </w:pPr>
      <w:r w:rsidRPr="006F2AA6">
        <w:rPr>
          <w:sz w:val="23"/>
          <w:szCs w:val="23"/>
        </w:rPr>
        <w:t>Elise Christopher, Project Officer, High School Longitudinal Studies</w:t>
      </w:r>
      <w:r w:rsidRPr="006F2AA6">
        <w:rPr>
          <w:sz w:val="23"/>
          <w:szCs w:val="23"/>
          <w:vertAlign w:val="superscript"/>
        </w:rPr>
        <w:t>1</w:t>
      </w:r>
    </w:p>
    <w:p w14:paraId="71313826" w14:textId="77777777" w:rsidR="00A872F0" w:rsidRPr="006F2AA6" w:rsidRDefault="00A872F0" w:rsidP="00A872F0">
      <w:pPr>
        <w:ind w:left="810"/>
        <w:rPr>
          <w:sz w:val="23"/>
          <w:szCs w:val="23"/>
        </w:rPr>
      </w:pPr>
      <w:r w:rsidRPr="006F2AA6">
        <w:rPr>
          <w:sz w:val="23"/>
          <w:szCs w:val="23"/>
        </w:rPr>
        <w:t>Christopher Cody, Survey Director</w:t>
      </w:r>
      <w:r w:rsidRPr="006F2AA6">
        <w:rPr>
          <w:sz w:val="23"/>
          <w:szCs w:val="23"/>
          <w:vertAlign w:val="superscript"/>
        </w:rPr>
        <w:t>1</w:t>
      </w:r>
    </w:p>
    <w:p w14:paraId="1AD4C00A" w14:textId="77777777" w:rsidR="001C5865" w:rsidRPr="006F2AA6" w:rsidRDefault="00A872F0" w:rsidP="00A872F0">
      <w:pPr>
        <w:ind w:left="810"/>
        <w:rPr>
          <w:sz w:val="23"/>
          <w:szCs w:val="23"/>
        </w:rPr>
      </w:pPr>
      <w:r w:rsidRPr="006F2AA6">
        <w:rPr>
          <w:sz w:val="23"/>
          <w:szCs w:val="23"/>
        </w:rPr>
        <w:t>Michelle Coon, Technical Adviser</w:t>
      </w:r>
      <w:r w:rsidRPr="006F2AA6">
        <w:rPr>
          <w:sz w:val="23"/>
          <w:szCs w:val="23"/>
          <w:vertAlign w:val="superscript"/>
        </w:rPr>
        <w:t>1</w:t>
      </w:r>
    </w:p>
    <w:p w14:paraId="334F76EC" w14:textId="1BD6CF20" w:rsidR="00A872F0" w:rsidRPr="006F2AA6" w:rsidRDefault="00A872F0" w:rsidP="00A872F0">
      <w:pPr>
        <w:ind w:left="810"/>
        <w:rPr>
          <w:sz w:val="23"/>
          <w:szCs w:val="23"/>
        </w:rPr>
      </w:pPr>
      <w:r w:rsidRPr="006F2AA6">
        <w:rPr>
          <w:sz w:val="23"/>
          <w:szCs w:val="23"/>
        </w:rPr>
        <w:t>Amanda Dean, American Institutes for Research</w:t>
      </w:r>
      <w:r w:rsidRPr="006F2AA6">
        <w:rPr>
          <w:sz w:val="23"/>
          <w:szCs w:val="23"/>
          <w:vertAlign w:val="superscript"/>
        </w:rPr>
        <w:t>1</w:t>
      </w:r>
    </w:p>
    <w:p w14:paraId="0A92131B" w14:textId="77777777" w:rsidR="00A872F0" w:rsidRPr="006F2AA6" w:rsidRDefault="00A872F0" w:rsidP="00A872F0">
      <w:pPr>
        <w:ind w:left="810"/>
        <w:rPr>
          <w:sz w:val="23"/>
          <w:szCs w:val="23"/>
        </w:rPr>
      </w:pPr>
      <w:r w:rsidRPr="006F2AA6">
        <w:rPr>
          <w:sz w:val="23"/>
          <w:szCs w:val="23"/>
        </w:rPr>
        <w:t>Moussa Ezzeddine, Statistician</w:t>
      </w:r>
      <w:r w:rsidRPr="006F2AA6">
        <w:rPr>
          <w:sz w:val="23"/>
          <w:szCs w:val="23"/>
          <w:vertAlign w:val="superscript"/>
        </w:rPr>
        <w:t>1</w:t>
      </w:r>
    </w:p>
    <w:p w14:paraId="20F39E58" w14:textId="77777777" w:rsidR="00A872F0" w:rsidRPr="006F2AA6" w:rsidRDefault="00A872F0" w:rsidP="00A872F0">
      <w:pPr>
        <w:ind w:left="810"/>
        <w:rPr>
          <w:sz w:val="23"/>
          <w:szCs w:val="23"/>
        </w:rPr>
      </w:pPr>
      <w:r w:rsidRPr="006F2AA6">
        <w:rPr>
          <w:sz w:val="23"/>
          <w:szCs w:val="23"/>
        </w:rPr>
        <w:t>Tracy Hunt-White, Education Statistician</w:t>
      </w:r>
      <w:r w:rsidRPr="006F2AA6">
        <w:rPr>
          <w:sz w:val="23"/>
          <w:szCs w:val="23"/>
          <w:vertAlign w:val="superscript"/>
        </w:rPr>
        <w:t>1</w:t>
      </w:r>
    </w:p>
    <w:p w14:paraId="3D0E5DE7" w14:textId="77777777" w:rsidR="00A872F0" w:rsidRPr="006F2AA6" w:rsidRDefault="00A872F0" w:rsidP="00A872F0">
      <w:pPr>
        <w:ind w:left="810"/>
        <w:rPr>
          <w:sz w:val="23"/>
          <w:szCs w:val="23"/>
        </w:rPr>
      </w:pPr>
      <w:r w:rsidRPr="006F2AA6">
        <w:rPr>
          <w:sz w:val="23"/>
          <w:szCs w:val="23"/>
        </w:rPr>
        <w:t>Gigi Jones, Education Research Scientist</w:t>
      </w:r>
      <w:r w:rsidRPr="006F2AA6">
        <w:rPr>
          <w:sz w:val="23"/>
          <w:szCs w:val="23"/>
          <w:vertAlign w:val="superscript"/>
        </w:rPr>
        <w:t>1</w:t>
      </w:r>
    </w:p>
    <w:p w14:paraId="6B3528C7" w14:textId="77777777" w:rsidR="00A872F0" w:rsidRPr="006F2AA6" w:rsidRDefault="00A872F0" w:rsidP="00A872F0">
      <w:pPr>
        <w:ind w:left="810"/>
        <w:rPr>
          <w:sz w:val="23"/>
          <w:szCs w:val="23"/>
        </w:rPr>
      </w:pPr>
      <w:r w:rsidRPr="006F2AA6">
        <w:rPr>
          <w:sz w:val="23"/>
          <w:szCs w:val="23"/>
        </w:rPr>
        <w:t>Kashka Kubzdela, OMB Liaison</w:t>
      </w:r>
      <w:r w:rsidRPr="006F2AA6">
        <w:rPr>
          <w:sz w:val="23"/>
          <w:szCs w:val="23"/>
          <w:vertAlign w:val="superscript"/>
        </w:rPr>
        <w:t>1</w:t>
      </w:r>
    </w:p>
    <w:p w14:paraId="716A4D88" w14:textId="77777777" w:rsidR="00A872F0" w:rsidRPr="006F2AA6" w:rsidRDefault="00A872F0" w:rsidP="00A872F0">
      <w:pPr>
        <w:ind w:left="810"/>
        <w:rPr>
          <w:sz w:val="23"/>
          <w:szCs w:val="23"/>
        </w:rPr>
      </w:pPr>
      <w:r w:rsidRPr="006F2AA6">
        <w:rPr>
          <w:sz w:val="23"/>
          <w:szCs w:val="23"/>
        </w:rPr>
        <w:t>Tara Lawley, Team Lead, IPEDS Operations</w:t>
      </w:r>
      <w:r w:rsidRPr="006F2AA6">
        <w:rPr>
          <w:sz w:val="23"/>
          <w:szCs w:val="23"/>
          <w:vertAlign w:val="superscript"/>
        </w:rPr>
        <w:t>1</w:t>
      </w:r>
    </w:p>
    <w:p w14:paraId="162D4256" w14:textId="77777777" w:rsidR="00A872F0" w:rsidRPr="006F2AA6" w:rsidRDefault="00A872F0" w:rsidP="00A872F0">
      <w:pPr>
        <w:ind w:left="810"/>
        <w:rPr>
          <w:sz w:val="23"/>
          <w:szCs w:val="23"/>
        </w:rPr>
      </w:pPr>
      <w:r w:rsidRPr="006F2AA6">
        <w:rPr>
          <w:sz w:val="23"/>
          <w:szCs w:val="23"/>
        </w:rPr>
        <w:t>Bao Le, Associate Education Research Scientist</w:t>
      </w:r>
      <w:r w:rsidRPr="006F2AA6">
        <w:rPr>
          <w:sz w:val="23"/>
          <w:szCs w:val="23"/>
          <w:vertAlign w:val="superscript"/>
        </w:rPr>
        <w:t>1</w:t>
      </w:r>
    </w:p>
    <w:p w14:paraId="61568E52" w14:textId="77777777" w:rsidR="00A872F0" w:rsidRPr="006F2AA6" w:rsidRDefault="00A872F0" w:rsidP="00A872F0">
      <w:pPr>
        <w:ind w:left="810"/>
        <w:rPr>
          <w:sz w:val="23"/>
          <w:szCs w:val="23"/>
        </w:rPr>
      </w:pPr>
      <w:r w:rsidRPr="006F2AA6">
        <w:rPr>
          <w:sz w:val="23"/>
          <w:szCs w:val="23"/>
        </w:rPr>
        <w:t>Marie Marcum, Program Director, Administrative Data Division: Elementary and Secondary Branch</w:t>
      </w:r>
    </w:p>
    <w:p w14:paraId="509EB8A7" w14:textId="77777777" w:rsidR="00A872F0" w:rsidRPr="006F2AA6" w:rsidRDefault="00A872F0" w:rsidP="00A872F0">
      <w:pPr>
        <w:ind w:left="810"/>
        <w:rPr>
          <w:sz w:val="23"/>
          <w:szCs w:val="23"/>
        </w:rPr>
      </w:pPr>
      <w:r w:rsidRPr="006F2AA6">
        <w:rPr>
          <w:sz w:val="23"/>
          <w:szCs w:val="23"/>
        </w:rPr>
        <w:t>Andrew Mary, Statistician</w:t>
      </w:r>
      <w:r w:rsidRPr="006F2AA6">
        <w:rPr>
          <w:sz w:val="23"/>
          <w:szCs w:val="23"/>
          <w:vertAlign w:val="superscript"/>
        </w:rPr>
        <w:t>1</w:t>
      </w:r>
    </w:p>
    <w:p w14:paraId="741EC8D7" w14:textId="77777777" w:rsidR="00A872F0" w:rsidRPr="006F2AA6" w:rsidRDefault="00A872F0" w:rsidP="00A872F0">
      <w:pPr>
        <w:ind w:left="810"/>
        <w:rPr>
          <w:sz w:val="23"/>
          <w:szCs w:val="23"/>
        </w:rPr>
      </w:pPr>
      <w:r w:rsidRPr="006F2AA6">
        <w:rPr>
          <w:sz w:val="23"/>
          <w:szCs w:val="23"/>
        </w:rPr>
        <w:t>Stefanie McDonald, IC/SFA Survey Director</w:t>
      </w:r>
      <w:r w:rsidRPr="006F2AA6">
        <w:rPr>
          <w:sz w:val="23"/>
          <w:szCs w:val="23"/>
          <w:vertAlign w:val="superscript"/>
        </w:rPr>
        <w:t>1</w:t>
      </w:r>
    </w:p>
    <w:p w14:paraId="5C0BC8B4" w14:textId="77777777" w:rsidR="00A872F0" w:rsidRPr="006F2AA6" w:rsidRDefault="00A872F0" w:rsidP="00A872F0">
      <w:pPr>
        <w:ind w:left="810"/>
        <w:rPr>
          <w:sz w:val="23"/>
          <w:szCs w:val="23"/>
        </w:rPr>
      </w:pPr>
      <w:r w:rsidRPr="006F2AA6">
        <w:rPr>
          <w:sz w:val="23"/>
          <w:szCs w:val="23"/>
        </w:rPr>
        <w:t>Richard Reeves, IPEDS Program Director</w:t>
      </w:r>
      <w:r w:rsidRPr="006F2AA6">
        <w:rPr>
          <w:sz w:val="23"/>
          <w:szCs w:val="23"/>
          <w:vertAlign w:val="superscript"/>
        </w:rPr>
        <w:t>1</w:t>
      </w:r>
    </w:p>
    <w:p w14:paraId="4B1F911C" w14:textId="77777777" w:rsidR="00A872F0" w:rsidRPr="006F2AA6" w:rsidRDefault="00A872F0" w:rsidP="00A872F0">
      <w:pPr>
        <w:ind w:left="810"/>
        <w:rPr>
          <w:sz w:val="23"/>
          <w:szCs w:val="23"/>
        </w:rPr>
      </w:pPr>
      <w:r w:rsidRPr="006F2AA6">
        <w:rPr>
          <w:sz w:val="23"/>
          <w:szCs w:val="23"/>
        </w:rPr>
        <w:t>David Richards, Education Statistician</w:t>
      </w:r>
      <w:r w:rsidRPr="006F2AA6">
        <w:rPr>
          <w:sz w:val="23"/>
          <w:szCs w:val="23"/>
          <w:vertAlign w:val="superscript"/>
        </w:rPr>
        <w:t>1</w:t>
      </w:r>
    </w:p>
    <w:p w14:paraId="150EB258" w14:textId="77777777" w:rsidR="00A872F0" w:rsidRPr="006F2AA6" w:rsidRDefault="00A872F0" w:rsidP="00A872F0">
      <w:pPr>
        <w:ind w:left="810"/>
        <w:rPr>
          <w:sz w:val="23"/>
          <w:szCs w:val="23"/>
        </w:rPr>
      </w:pPr>
      <w:r w:rsidRPr="006F2AA6">
        <w:rPr>
          <w:sz w:val="23"/>
          <w:szCs w:val="23"/>
        </w:rPr>
        <w:t>Ross Santy, Associate Commissioner, Administrative Data Division, NCES</w:t>
      </w:r>
      <w:r w:rsidRPr="006F2AA6">
        <w:rPr>
          <w:sz w:val="23"/>
          <w:szCs w:val="23"/>
          <w:vertAlign w:val="superscript"/>
        </w:rPr>
        <w:t>1</w:t>
      </w:r>
    </w:p>
    <w:p w14:paraId="6FDCA545" w14:textId="77777777" w:rsidR="00A872F0" w:rsidRPr="006F2AA6" w:rsidRDefault="00A872F0" w:rsidP="00A872F0">
      <w:pPr>
        <w:ind w:left="810"/>
        <w:rPr>
          <w:sz w:val="23"/>
          <w:szCs w:val="23"/>
        </w:rPr>
      </w:pPr>
      <w:r w:rsidRPr="006F2AA6">
        <w:rPr>
          <w:sz w:val="23"/>
          <w:szCs w:val="23"/>
        </w:rPr>
        <w:t>Marilyn Seastrom, Chief Statistician and Staff Director</w:t>
      </w:r>
      <w:r w:rsidRPr="006F2AA6">
        <w:rPr>
          <w:sz w:val="23"/>
          <w:szCs w:val="23"/>
          <w:vertAlign w:val="superscript"/>
        </w:rPr>
        <w:t>1</w:t>
      </w:r>
    </w:p>
    <w:p w14:paraId="7EBD36F5" w14:textId="77777777" w:rsidR="00A872F0" w:rsidRPr="006F2AA6" w:rsidRDefault="00A872F0" w:rsidP="00A872F0">
      <w:pPr>
        <w:ind w:left="810"/>
        <w:rPr>
          <w:sz w:val="23"/>
          <w:szCs w:val="23"/>
        </w:rPr>
      </w:pPr>
      <w:r w:rsidRPr="006F2AA6">
        <w:rPr>
          <w:sz w:val="23"/>
          <w:szCs w:val="23"/>
        </w:rPr>
        <w:t>Thomas Snyder, Director, Annual Reports and Information Staff</w:t>
      </w:r>
      <w:r w:rsidRPr="006F2AA6">
        <w:rPr>
          <w:sz w:val="23"/>
          <w:szCs w:val="23"/>
          <w:vertAlign w:val="superscript"/>
        </w:rPr>
        <w:t>1</w:t>
      </w:r>
    </w:p>
    <w:p w14:paraId="3BF24E9D" w14:textId="77777777" w:rsidR="00A872F0" w:rsidRPr="006F2AA6" w:rsidRDefault="00A872F0" w:rsidP="00A872F0">
      <w:pPr>
        <w:ind w:left="810"/>
        <w:rPr>
          <w:sz w:val="23"/>
          <w:szCs w:val="23"/>
        </w:rPr>
      </w:pPr>
      <w:r w:rsidRPr="006F2AA6">
        <w:rPr>
          <w:sz w:val="23"/>
          <w:szCs w:val="23"/>
        </w:rPr>
        <w:t>Ted Socha, Mathematical Statistician</w:t>
      </w:r>
    </w:p>
    <w:p w14:paraId="59BEAF61" w14:textId="77777777" w:rsidR="00A872F0" w:rsidRPr="006F2AA6" w:rsidRDefault="00A872F0" w:rsidP="00A872F0">
      <w:pPr>
        <w:ind w:left="810"/>
        <w:rPr>
          <w:sz w:val="23"/>
          <w:szCs w:val="23"/>
        </w:rPr>
      </w:pPr>
      <w:r w:rsidRPr="006F2AA6">
        <w:rPr>
          <w:sz w:val="23"/>
          <w:szCs w:val="23"/>
        </w:rPr>
        <w:t>Imani Stutely, Survey Director</w:t>
      </w:r>
      <w:r w:rsidRPr="006F2AA6">
        <w:rPr>
          <w:sz w:val="23"/>
          <w:szCs w:val="23"/>
          <w:vertAlign w:val="superscript"/>
        </w:rPr>
        <w:t>1</w:t>
      </w:r>
    </w:p>
    <w:p w14:paraId="035B0DFC" w14:textId="77777777" w:rsidR="00A872F0" w:rsidRPr="006F2AA6" w:rsidRDefault="00A872F0" w:rsidP="00A872F0">
      <w:pPr>
        <w:ind w:left="810"/>
        <w:rPr>
          <w:sz w:val="23"/>
          <w:szCs w:val="23"/>
        </w:rPr>
      </w:pPr>
      <w:r w:rsidRPr="006F2AA6">
        <w:rPr>
          <w:sz w:val="23"/>
          <w:szCs w:val="23"/>
        </w:rPr>
        <w:t>Jie Sun, SAS Programmer</w:t>
      </w:r>
      <w:r w:rsidRPr="006F2AA6">
        <w:rPr>
          <w:sz w:val="23"/>
          <w:szCs w:val="23"/>
          <w:vertAlign w:val="superscript"/>
        </w:rPr>
        <w:t>1</w:t>
      </w:r>
    </w:p>
    <w:p w14:paraId="573425AE" w14:textId="77777777" w:rsidR="00A872F0" w:rsidRPr="006F2AA6" w:rsidRDefault="00A872F0" w:rsidP="00A872F0">
      <w:pPr>
        <w:ind w:left="810"/>
        <w:rPr>
          <w:sz w:val="23"/>
          <w:szCs w:val="23"/>
        </w:rPr>
      </w:pPr>
      <w:r w:rsidRPr="006F2AA6">
        <w:rPr>
          <w:sz w:val="23"/>
          <w:szCs w:val="23"/>
        </w:rPr>
        <w:t>James L. Woodworth, Commissioner</w:t>
      </w:r>
    </w:p>
    <w:p w14:paraId="069679B4" w14:textId="77777777" w:rsidR="00A872F0" w:rsidRPr="006F2AA6" w:rsidRDefault="00A872F0" w:rsidP="00A872F0">
      <w:pPr>
        <w:ind w:left="810"/>
        <w:rPr>
          <w:sz w:val="23"/>
          <w:szCs w:val="23"/>
        </w:rPr>
      </w:pPr>
      <w:r w:rsidRPr="006F2AA6">
        <w:rPr>
          <w:sz w:val="23"/>
          <w:szCs w:val="23"/>
        </w:rPr>
        <w:t>Kelly Worthington, Administrative Data Division: Elementary and Secondary Branch</w:t>
      </w:r>
    </w:p>
    <w:p w14:paraId="55C79AAC" w14:textId="77777777" w:rsidR="00A872F0" w:rsidRPr="006F2AA6" w:rsidRDefault="00A872F0" w:rsidP="00A872F0">
      <w:pPr>
        <w:ind w:left="810"/>
        <w:rPr>
          <w:sz w:val="23"/>
          <w:szCs w:val="23"/>
        </w:rPr>
      </w:pPr>
    </w:p>
    <w:p w14:paraId="65859FBC" w14:textId="77777777" w:rsidR="00A872F0" w:rsidRPr="006F2AA6" w:rsidRDefault="00A872F0" w:rsidP="00C73D5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3"/>
          <w:szCs w:val="23"/>
          <w:u w:val="single"/>
        </w:rPr>
      </w:pPr>
      <w:r w:rsidRPr="006F2AA6">
        <w:rPr>
          <w:snapToGrid w:val="0"/>
          <w:sz w:val="23"/>
          <w:szCs w:val="23"/>
          <w:u w:val="single"/>
        </w:rPr>
        <w:t>Representatives from Associations, Postsecondary Institutions/Systems, and Other Federal Offices</w:t>
      </w:r>
    </w:p>
    <w:p w14:paraId="524DD4AD" w14:textId="77777777" w:rsidR="00A872F0" w:rsidRPr="006F2AA6" w:rsidRDefault="00A872F0" w:rsidP="00A872F0">
      <w:pPr>
        <w:ind w:left="810"/>
        <w:rPr>
          <w:sz w:val="23"/>
          <w:szCs w:val="23"/>
        </w:rPr>
      </w:pPr>
      <w:r w:rsidRPr="006F2AA6">
        <w:rPr>
          <w:sz w:val="23"/>
          <w:szCs w:val="23"/>
        </w:rPr>
        <w:t>Seth Allen, Pomona College</w:t>
      </w:r>
      <w:r w:rsidRPr="006F2AA6">
        <w:rPr>
          <w:rStyle w:val="FootnoteReference"/>
          <w:sz w:val="23"/>
          <w:szCs w:val="23"/>
        </w:rPr>
        <w:footnoteReference w:id="2"/>
      </w:r>
    </w:p>
    <w:p w14:paraId="0EE4C179" w14:textId="77777777" w:rsidR="00A872F0" w:rsidRPr="006F2AA6" w:rsidRDefault="00A872F0" w:rsidP="00A872F0">
      <w:pPr>
        <w:ind w:left="810"/>
        <w:rPr>
          <w:sz w:val="23"/>
          <w:szCs w:val="23"/>
        </w:rPr>
      </w:pPr>
      <w:r w:rsidRPr="006F2AA6">
        <w:rPr>
          <w:sz w:val="23"/>
          <w:szCs w:val="23"/>
        </w:rPr>
        <w:t>LaJanis Allen, Douglas J Aveda Institute</w:t>
      </w:r>
      <w:r w:rsidRPr="006F2AA6">
        <w:rPr>
          <w:sz w:val="23"/>
          <w:szCs w:val="23"/>
          <w:vertAlign w:val="superscript"/>
        </w:rPr>
        <w:t>2</w:t>
      </w:r>
    </w:p>
    <w:p w14:paraId="78DF0383" w14:textId="77777777" w:rsidR="00A872F0" w:rsidRPr="006F2AA6" w:rsidRDefault="00A872F0" w:rsidP="00A872F0">
      <w:pPr>
        <w:ind w:left="810"/>
        <w:rPr>
          <w:sz w:val="23"/>
          <w:szCs w:val="23"/>
        </w:rPr>
      </w:pPr>
      <w:r w:rsidRPr="006F2AA6">
        <w:rPr>
          <w:sz w:val="23"/>
          <w:szCs w:val="23"/>
        </w:rPr>
        <w:t>Michelle Appel, University of Maryland</w:t>
      </w:r>
      <w:r w:rsidRPr="006F2AA6">
        <w:rPr>
          <w:sz w:val="23"/>
          <w:szCs w:val="23"/>
          <w:vertAlign w:val="superscript"/>
        </w:rPr>
        <w:t>2</w:t>
      </w:r>
    </w:p>
    <w:p w14:paraId="1E96C083" w14:textId="77777777" w:rsidR="00A872F0" w:rsidRPr="006F2AA6" w:rsidRDefault="00A872F0" w:rsidP="00A872F0">
      <w:pPr>
        <w:ind w:left="810"/>
        <w:rPr>
          <w:sz w:val="23"/>
          <w:szCs w:val="23"/>
        </w:rPr>
      </w:pPr>
      <w:r w:rsidRPr="006F2AA6">
        <w:rPr>
          <w:sz w:val="23"/>
          <w:szCs w:val="23"/>
        </w:rPr>
        <w:t>Eric Atchison, Mississippi Institutions of Higher Learning</w:t>
      </w:r>
      <w:r w:rsidRPr="006F2AA6">
        <w:rPr>
          <w:sz w:val="23"/>
          <w:szCs w:val="23"/>
          <w:vertAlign w:val="superscript"/>
        </w:rPr>
        <w:t>2</w:t>
      </w:r>
    </w:p>
    <w:p w14:paraId="18642840" w14:textId="77777777" w:rsidR="00A872F0" w:rsidRPr="006F2AA6" w:rsidRDefault="00A872F0" w:rsidP="00A872F0">
      <w:pPr>
        <w:ind w:left="810"/>
        <w:rPr>
          <w:sz w:val="23"/>
          <w:szCs w:val="23"/>
        </w:rPr>
      </w:pPr>
      <w:r w:rsidRPr="006F2AA6">
        <w:rPr>
          <w:sz w:val="23"/>
          <w:szCs w:val="23"/>
        </w:rPr>
        <w:t>Frank Balz, National Association of Independent Colleges and Universities (NAICU)</w:t>
      </w:r>
      <w:r w:rsidRPr="006F2AA6">
        <w:rPr>
          <w:sz w:val="23"/>
          <w:szCs w:val="23"/>
          <w:vertAlign w:val="superscript"/>
        </w:rPr>
        <w:t>2</w:t>
      </w:r>
    </w:p>
    <w:p w14:paraId="5568DDBD" w14:textId="77777777" w:rsidR="00A872F0" w:rsidRPr="006F2AA6" w:rsidRDefault="00A872F0" w:rsidP="00A872F0">
      <w:pPr>
        <w:ind w:left="810"/>
        <w:rPr>
          <w:sz w:val="23"/>
          <w:szCs w:val="23"/>
        </w:rPr>
      </w:pPr>
      <w:r w:rsidRPr="006F2AA6">
        <w:rPr>
          <w:sz w:val="23"/>
          <w:szCs w:val="23"/>
        </w:rPr>
        <w:t>Dianne Barker, Technical College System of Georgia</w:t>
      </w:r>
    </w:p>
    <w:p w14:paraId="330F883B" w14:textId="77777777" w:rsidR="00A872F0" w:rsidRPr="006F2AA6" w:rsidRDefault="00A872F0" w:rsidP="00A872F0">
      <w:pPr>
        <w:ind w:left="810"/>
        <w:rPr>
          <w:sz w:val="23"/>
          <w:szCs w:val="23"/>
        </w:rPr>
      </w:pPr>
      <w:r w:rsidRPr="006F2AA6">
        <w:rPr>
          <w:sz w:val="23"/>
          <w:szCs w:val="23"/>
        </w:rPr>
        <w:t>Sandy Baum, Urban Institute</w:t>
      </w:r>
      <w:r w:rsidRPr="006F2AA6">
        <w:rPr>
          <w:sz w:val="23"/>
          <w:szCs w:val="23"/>
          <w:vertAlign w:val="superscript"/>
        </w:rPr>
        <w:t>2</w:t>
      </w:r>
    </w:p>
    <w:p w14:paraId="75EA20D6" w14:textId="77777777" w:rsidR="00A872F0" w:rsidRPr="006F2AA6" w:rsidRDefault="00A872F0" w:rsidP="00A872F0">
      <w:pPr>
        <w:ind w:left="810"/>
        <w:rPr>
          <w:sz w:val="23"/>
          <w:szCs w:val="23"/>
        </w:rPr>
      </w:pPr>
      <w:r w:rsidRPr="006F2AA6">
        <w:rPr>
          <w:sz w:val="23"/>
          <w:szCs w:val="23"/>
        </w:rPr>
        <w:t>Angela Bell, Board of Regents of University System of Georgia</w:t>
      </w:r>
      <w:r w:rsidRPr="006F2AA6">
        <w:rPr>
          <w:sz w:val="23"/>
          <w:szCs w:val="23"/>
          <w:vertAlign w:val="superscript"/>
        </w:rPr>
        <w:t>2</w:t>
      </w:r>
    </w:p>
    <w:p w14:paraId="31FAB70A" w14:textId="77777777" w:rsidR="00A872F0" w:rsidRPr="006F2AA6" w:rsidRDefault="00A872F0" w:rsidP="00A872F0">
      <w:pPr>
        <w:ind w:left="810"/>
        <w:rPr>
          <w:sz w:val="23"/>
          <w:szCs w:val="23"/>
        </w:rPr>
      </w:pPr>
      <w:r w:rsidRPr="006F2AA6">
        <w:rPr>
          <w:sz w:val="23"/>
          <w:szCs w:val="23"/>
        </w:rPr>
        <w:t>Alexandra Bernadotte, Beyond 12</w:t>
      </w:r>
    </w:p>
    <w:p w14:paraId="7A4CD9DD" w14:textId="77777777" w:rsidR="00A872F0" w:rsidRPr="006F2AA6" w:rsidRDefault="00A872F0" w:rsidP="00A872F0">
      <w:pPr>
        <w:ind w:left="810"/>
        <w:rPr>
          <w:sz w:val="23"/>
          <w:szCs w:val="23"/>
        </w:rPr>
      </w:pPr>
      <w:r w:rsidRPr="006F2AA6">
        <w:rPr>
          <w:sz w:val="23"/>
          <w:szCs w:val="23"/>
        </w:rPr>
        <w:t>Jon Boeckenstedt, DePaul University</w:t>
      </w:r>
    </w:p>
    <w:p w14:paraId="714EEE51" w14:textId="77777777" w:rsidR="00A872F0" w:rsidRPr="006F2AA6" w:rsidRDefault="00A872F0" w:rsidP="00A872F0">
      <w:pPr>
        <w:ind w:left="810"/>
        <w:rPr>
          <w:sz w:val="23"/>
          <w:szCs w:val="23"/>
        </w:rPr>
      </w:pPr>
      <w:r w:rsidRPr="006F2AA6">
        <w:rPr>
          <w:sz w:val="23"/>
          <w:szCs w:val="23"/>
        </w:rPr>
        <w:t>Sharon Boivin, Commission on Evidence-Based Policymaking</w:t>
      </w:r>
    </w:p>
    <w:p w14:paraId="7C197D27" w14:textId="77777777" w:rsidR="00A872F0" w:rsidRPr="006F2AA6" w:rsidRDefault="00A872F0" w:rsidP="00A872F0">
      <w:pPr>
        <w:ind w:left="810"/>
        <w:rPr>
          <w:sz w:val="23"/>
          <w:szCs w:val="23"/>
        </w:rPr>
      </w:pPr>
      <w:r w:rsidRPr="006F2AA6">
        <w:rPr>
          <w:sz w:val="23"/>
          <w:szCs w:val="23"/>
        </w:rPr>
        <w:t>Rachel Boon, Iowa Board of Regents</w:t>
      </w:r>
    </w:p>
    <w:p w14:paraId="78E33860" w14:textId="77777777" w:rsidR="00A872F0" w:rsidRPr="006F2AA6" w:rsidRDefault="00A872F0" w:rsidP="00A872F0">
      <w:pPr>
        <w:ind w:left="810"/>
        <w:rPr>
          <w:sz w:val="23"/>
          <w:szCs w:val="23"/>
        </w:rPr>
      </w:pPr>
      <w:r w:rsidRPr="006F2AA6">
        <w:rPr>
          <w:sz w:val="23"/>
          <w:szCs w:val="23"/>
        </w:rPr>
        <w:t>Victor Borden, Indiana University</w:t>
      </w:r>
      <w:r w:rsidRPr="006F2AA6">
        <w:rPr>
          <w:sz w:val="23"/>
          <w:szCs w:val="23"/>
          <w:vertAlign w:val="superscript"/>
        </w:rPr>
        <w:t>2</w:t>
      </w:r>
    </w:p>
    <w:p w14:paraId="3FF6BAC7" w14:textId="77777777" w:rsidR="00A872F0" w:rsidRPr="006F2AA6" w:rsidRDefault="00A872F0" w:rsidP="00A872F0">
      <w:pPr>
        <w:ind w:left="810"/>
        <w:rPr>
          <w:sz w:val="23"/>
          <w:szCs w:val="23"/>
        </w:rPr>
      </w:pPr>
      <w:r w:rsidRPr="006F2AA6">
        <w:rPr>
          <w:sz w:val="23"/>
          <w:szCs w:val="23"/>
        </w:rPr>
        <w:t>Eileen Brennan, Henry Ford College</w:t>
      </w:r>
      <w:r w:rsidRPr="006F2AA6">
        <w:rPr>
          <w:sz w:val="23"/>
          <w:szCs w:val="23"/>
          <w:vertAlign w:val="superscript"/>
        </w:rPr>
        <w:t>2</w:t>
      </w:r>
    </w:p>
    <w:p w14:paraId="77684087" w14:textId="77777777" w:rsidR="00A872F0" w:rsidRPr="006F2AA6" w:rsidRDefault="00A872F0" w:rsidP="00A872F0">
      <w:pPr>
        <w:ind w:left="810"/>
        <w:rPr>
          <w:sz w:val="23"/>
          <w:szCs w:val="23"/>
        </w:rPr>
      </w:pPr>
      <w:r w:rsidRPr="006F2AA6">
        <w:rPr>
          <w:sz w:val="23"/>
          <w:szCs w:val="23"/>
        </w:rPr>
        <w:t>Camille Brown, SC Commission on Higher Education</w:t>
      </w:r>
      <w:r w:rsidRPr="006F2AA6">
        <w:rPr>
          <w:sz w:val="23"/>
          <w:szCs w:val="23"/>
          <w:vertAlign w:val="superscript"/>
        </w:rPr>
        <w:t>2</w:t>
      </w:r>
    </w:p>
    <w:p w14:paraId="75806BE2" w14:textId="77777777" w:rsidR="00A872F0" w:rsidRPr="006F2AA6" w:rsidRDefault="00A872F0" w:rsidP="00A872F0">
      <w:pPr>
        <w:ind w:left="810"/>
        <w:rPr>
          <w:sz w:val="23"/>
          <w:szCs w:val="23"/>
        </w:rPr>
      </w:pPr>
      <w:r w:rsidRPr="006F2AA6">
        <w:rPr>
          <w:sz w:val="23"/>
          <w:szCs w:val="23"/>
        </w:rPr>
        <w:t>Julia Carpenter-Hubin, Ohio State University</w:t>
      </w:r>
      <w:r w:rsidRPr="006F2AA6">
        <w:rPr>
          <w:sz w:val="23"/>
          <w:szCs w:val="23"/>
          <w:vertAlign w:val="superscript"/>
        </w:rPr>
        <w:t>2</w:t>
      </w:r>
    </w:p>
    <w:p w14:paraId="3FC65387" w14:textId="77777777" w:rsidR="001C5865" w:rsidRPr="006F2AA6" w:rsidRDefault="00A872F0" w:rsidP="00A872F0">
      <w:pPr>
        <w:ind w:left="810"/>
        <w:rPr>
          <w:sz w:val="23"/>
          <w:szCs w:val="23"/>
        </w:rPr>
      </w:pPr>
      <w:r w:rsidRPr="006F2AA6">
        <w:rPr>
          <w:sz w:val="23"/>
          <w:szCs w:val="23"/>
        </w:rPr>
        <w:t>Meghan Carr, University of Missouri</w:t>
      </w:r>
    </w:p>
    <w:p w14:paraId="5356C891" w14:textId="1FD4BF94" w:rsidR="00A872F0" w:rsidRPr="006F2AA6" w:rsidRDefault="00A872F0" w:rsidP="00A872F0">
      <w:pPr>
        <w:ind w:left="810"/>
        <w:rPr>
          <w:sz w:val="23"/>
          <w:szCs w:val="23"/>
        </w:rPr>
      </w:pPr>
      <w:r w:rsidRPr="006F2AA6">
        <w:rPr>
          <w:sz w:val="23"/>
          <w:szCs w:val="23"/>
        </w:rPr>
        <w:t>E. Ann Carson, Office of Management and Budget (OMB)</w:t>
      </w:r>
      <w:r w:rsidRPr="006F2AA6">
        <w:rPr>
          <w:sz w:val="23"/>
          <w:szCs w:val="23"/>
          <w:vertAlign w:val="superscript"/>
        </w:rPr>
        <w:t xml:space="preserve"> 2</w:t>
      </w:r>
    </w:p>
    <w:p w14:paraId="435955EA" w14:textId="77777777" w:rsidR="00A872F0" w:rsidRPr="006F2AA6" w:rsidRDefault="00A872F0" w:rsidP="00A872F0">
      <w:pPr>
        <w:ind w:left="810"/>
        <w:rPr>
          <w:sz w:val="23"/>
          <w:szCs w:val="23"/>
        </w:rPr>
      </w:pPr>
      <w:r w:rsidRPr="006F2AA6">
        <w:rPr>
          <w:sz w:val="23"/>
          <w:szCs w:val="23"/>
        </w:rPr>
        <w:t>Benjamin Castleman , University of Virginia</w:t>
      </w:r>
    </w:p>
    <w:p w14:paraId="5541D9C8" w14:textId="77777777" w:rsidR="00A872F0" w:rsidRPr="006F2AA6" w:rsidRDefault="00A872F0" w:rsidP="00A872F0">
      <w:pPr>
        <w:ind w:left="810"/>
        <w:rPr>
          <w:sz w:val="23"/>
          <w:szCs w:val="23"/>
        </w:rPr>
      </w:pPr>
      <w:r w:rsidRPr="006F2AA6">
        <w:rPr>
          <w:sz w:val="23"/>
          <w:szCs w:val="23"/>
        </w:rPr>
        <w:t>Andrés Castro Samayoa, Penn Center for Minority Serving Institutions</w:t>
      </w:r>
    </w:p>
    <w:p w14:paraId="5A4CBD73" w14:textId="77777777" w:rsidR="00A872F0" w:rsidRPr="006F2AA6" w:rsidRDefault="00A872F0" w:rsidP="00A872F0">
      <w:pPr>
        <w:ind w:left="810"/>
        <w:rPr>
          <w:sz w:val="23"/>
          <w:szCs w:val="23"/>
        </w:rPr>
      </w:pPr>
      <w:r w:rsidRPr="006F2AA6">
        <w:rPr>
          <w:sz w:val="23"/>
          <w:szCs w:val="23"/>
        </w:rPr>
        <w:t>Stephanie Cellini, George Washington University</w:t>
      </w:r>
      <w:r w:rsidRPr="006F2AA6">
        <w:rPr>
          <w:sz w:val="23"/>
          <w:szCs w:val="23"/>
          <w:vertAlign w:val="superscript"/>
        </w:rPr>
        <w:t>2</w:t>
      </w:r>
    </w:p>
    <w:p w14:paraId="4D0CBEEA" w14:textId="77777777" w:rsidR="00A872F0" w:rsidRPr="006F2AA6" w:rsidRDefault="00A872F0" w:rsidP="00A872F0">
      <w:pPr>
        <w:ind w:left="810"/>
        <w:rPr>
          <w:sz w:val="23"/>
          <w:szCs w:val="23"/>
        </w:rPr>
      </w:pPr>
      <w:r w:rsidRPr="006F2AA6">
        <w:rPr>
          <w:sz w:val="23"/>
          <w:szCs w:val="23"/>
        </w:rPr>
        <w:t>Diane Cheng, The Institute for College Access &amp; Success</w:t>
      </w:r>
      <w:r w:rsidRPr="006F2AA6">
        <w:rPr>
          <w:sz w:val="23"/>
          <w:szCs w:val="23"/>
          <w:vertAlign w:val="superscript"/>
        </w:rPr>
        <w:t>2</w:t>
      </w:r>
    </w:p>
    <w:p w14:paraId="7D05048D" w14:textId="77777777" w:rsidR="00A872F0" w:rsidRPr="006F2AA6" w:rsidRDefault="00A872F0" w:rsidP="00A872F0">
      <w:pPr>
        <w:ind w:left="810"/>
        <w:rPr>
          <w:sz w:val="23"/>
          <w:szCs w:val="23"/>
        </w:rPr>
      </w:pPr>
      <w:r w:rsidRPr="006F2AA6">
        <w:rPr>
          <w:sz w:val="23"/>
          <w:szCs w:val="23"/>
        </w:rPr>
        <w:t>Henry Childers, University of Arizona</w:t>
      </w:r>
    </w:p>
    <w:p w14:paraId="448C847E" w14:textId="77777777" w:rsidR="00A872F0" w:rsidRPr="006F2AA6" w:rsidRDefault="00A872F0" w:rsidP="00A872F0">
      <w:pPr>
        <w:ind w:left="810"/>
        <w:rPr>
          <w:sz w:val="23"/>
          <w:szCs w:val="23"/>
        </w:rPr>
      </w:pPr>
      <w:r w:rsidRPr="006F2AA6">
        <w:rPr>
          <w:sz w:val="23"/>
          <w:szCs w:val="23"/>
        </w:rPr>
        <w:t>Matthew Chingos, Urban Institute</w:t>
      </w:r>
    </w:p>
    <w:p w14:paraId="5DC3A592" w14:textId="77777777" w:rsidR="00A872F0" w:rsidRPr="006F2AA6" w:rsidRDefault="00A872F0" w:rsidP="00A872F0">
      <w:pPr>
        <w:ind w:left="810"/>
        <w:rPr>
          <w:sz w:val="23"/>
          <w:szCs w:val="23"/>
        </w:rPr>
      </w:pPr>
      <w:r w:rsidRPr="006F2AA6">
        <w:rPr>
          <w:sz w:val="23"/>
          <w:szCs w:val="23"/>
        </w:rPr>
        <w:t>Marin Clarkberg, Cornell University</w:t>
      </w:r>
    </w:p>
    <w:p w14:paraId="35B3BD0A" w14:textId="77777777" w:rsidR="00A872F0" w:rsidRPr="006F2AA6" w:rsidRDefault="00A872F0" w:rsidP="00A872F0">
      <w:pPr>
        <w:ind w:left="810"/>
        <w:rPr>
          <w:sz w:val="23"/>
          <w:szCs w:val="23"/>
        </w:rPr>
      </w:pPr>
      <w:r w:rsidRPr="006F2AA6">
        <w:rPr>
          <w:sz w:val="23"/>
          <w:szCs w:val="23"/>
        </w:rPr>
        <w:t>Cory Clasemann-Ryan, Ivy Tech Community College</w:t>
      </w:r>
    </w:p>
    <w:p w14:paraId="4B67EACB" w14:textId="77777777" w:rsidR="00A872F0" w:rsidRPr="006F2AA6" w:rsidRDefault="00A872F0" w:rsidP="00A872F0">
      <w:pPr>
        <w:ind w:left="810"/>
        <w:rPr>
          <w:sz w:val="23"/>
          <w:szCs w:val="23"/>
        </w:rPr>
      </w:pPr>
      <w:r w:rsidRPr="006F2AA6">
        <w:rPr>
          <w:sz w:val="23"/>
          <w:szCs w:val="23"/>
        </w:rPr>
        <w:t>John Clayton, Johnson County Community College</w:t>
      </w:r>
    </w:p>
    <w:p w14:paraId="6CA7567E" w14:textId="77777777" w:rsidR="00A872F0" w:rsidRPr="006F2AA6" w:rsidRDefault="00A872F0" w:rsidP="00A872F0">
      <w:pPr>
        <w:ind w:left="810"/>
        <w:rPr>
          <w:sz w:val="23"/>
          <w:szCs w:val="23"/>
        </w:rPr>
      </w:pPr>
      <w:r w:rsidRPr="006F2AA6">
        <w:rPr>
          <w:sz w:val="23"/>
          <w:szCs w:val="23"/>
        </w:rPr>
        <w:t>Melissa Clinedinst, National Association for College Admission Counseling</w:t>
      </w:r>
      <w:r w:rsidRPr="006F2AA6">
        <w:rPr>
          <w:sz w:val="23"/>
          <w:szCs w:val="23"/>
          <w:vertAlign w:val="superscript"/>
        </w:rPr>
        <w:t>2</w:t>
      </w:r>
    </w:p>
    <w:p w14:paraId="6AAE1D6D" w14:textId="77777777" w:rsidR="00A872F0" w:rsidRPr="006F2AA6" w:rsidRDefault="00A872F0" w:rsidP="00A872F0">
      <w:pPr>
        <w:ind w:left="810"/>
        <w:rPr>
          <w:sz w:val="23"/>
          <w:szCs w:val="23"/>
        </w:rPr>
      </w:pPr>
      <w:r w:rsidRPr="006F2AA6">
        <w:rPr>
          <w:sz w:val="23"/>
          <w:szCs w:val="23"/>
        </w:rPr>
        <w:t>Elizabeth Clune-Kneuer, Prince George's Community College</w:t>
      </w:r>
      <w:r w:rsidRPr="006F2AA6">
        <w:rPr>
          <w:sz w:val="23"/>
          <w:szCs w:val="23"/>
          <w:vertAlign w:val="superscript"/>
        </w:rPr>
        <w:t>2</w:t>
      </w:r>
    </w:p>
    <w:p w14:paraId="4AF9856F" w14:textId="77777777" w:rsidR="001C5865" w:rsidRPr="006F2AA6" w:rsidRDefault="00A872F0" w:rsidP="00A872F0">
      <w:pPr>
        <w:ind w:left="810"/>
        <w:rPr>
          <w:sz w:val="23"/>
          <w:szCs w:val="23"/>
        </w:rPr>
      </w:pPr>
      <w:r w:rsidRPr="006F2AA6">
        <w:rPr>
          <w:sz w:val="23"/>
          <w:szCs w:val="23"/>
        </w:rPr>
        <w:t>William Congdon, Social and Behavioral Sciences Team</w:t>
      </w:r>
    </w:p>
    <w:p w14:paraId="3E5609C0" w14:textId="367F4151" w:rsidR="00A872F0" w:rsidRPr="006F2AA6" w:rsidRDefault="00A872F0" w:rsidP="00A872F0">
      <w:pPr>
        <w:ind w:left="810"/>
        <w:rPr>
          <w:sz w:val="23"/>
          <w:szCs w:val="23"/>
        </w:rPr>
      </w:pPr>
      <w:r w:rsidRPr="006F2AA6">
        <w:rPr>
          <w:sz w:val="23"/>
          <w:szCs w:val="23"/>
        </w:rPr>
        <w:t>Bryan Cook, The Association of Public and Land-grant Universities</w:t>
      </w:r>
      <w:r w:rsidRPr="006F2AA6">
        <w:rPr>
          <w:sz w:val="23"/>
          <w:szCs w:val="23"/>
          <w:vertAlign w:val="superscript"/>
        </w:rPr>
        <w:t>2</w:t>
      </w:r>
    </w:p>
    <w:p w14:paraId="05C0EE7C" w14:textId="77777777" w:rsidR="00A872F0" w:rsidRPr="006F2AA6" w:rsidRDefault="00A872F0" w:rsidP="00A872F0">
      <w:pPr>
        <w:ind w:left="810"/>
        <w:rPr>
          <w:sz w:val="23"/>
          <w:szCs w:val="23"/>
        </w:rPr>
      </w:pPr>
      <w:r w:rsidRPr="006F2AA6">
        <w:rPr>
          <w:sz w:val="23"/>
          <w:szCs w:val="23"/>
        </w:rPr>
        <w:t>Kim Cook, National College Access Network</w:t>
      </w:r>
      <w:r w:rsidRPr="006F2AA6">
        <w:rPr>
          <w:sz w:val="23"/>
          <w:szCs w:val="23"/>
          <w:vertAlign w:val="superscript"/>
        </w:rPr>
        <w:t>2</w:t>
      </w:r>
    </w:p>
    <w:p w14:paraId="5589B575" w14:textId="77777777" w:rsidR="00A872F0" w:rsidRPr="006F2AA6" w:rsidRDefault="00A872F0" w:rsidP="00A872F0">
      <w:pPr>
        <w:ind w:left="810"/>
        <w:rPr>
          <w:sz w:val="23"/>
          <w:szCs w:val="23"/>
        </w:rPr>
      </w:pPr>
      <w:r w:rsidRPr="006F2AA6">
        <w:rPr>
          <w:sz w:val="23"/>
          <w:szCs w:val="23"/>
        </w:rPr>
        <w:t>Mary Ann Coughlin, Springfield College</w:t>
      </w:r>
      <w:r w:rsidRPr="006F2AA6">
        <w:rPr>
          <w:sz w:val="23"/>
          <w:szCs w:val="23"/>
          <w:vertAlign w:val="superscript"/>
        </w:rPr>
        <w:t>2</w:t>
      </w:r>
    </w:p>
    <w:p w14:paraId="1F031C01" w14:textId="77777777" w:rsidR="00A872F0" w:rsidRPr="006F2AA6" w:rsidRDefault="00A872F0" w:rsidP="00A872F0">
      <w:pPr>
        <w:ind w:left="810"/>
        <w:rPr>
          <w:sz w:val="23"/>
          <w:szCs w:val="23"/>
        </w:rPr>
      </w:pPr>
      <w:r w:rsidRPr="006F2AA6">
        <w:rPr>
          <w:sz w:val="23"/>
          <w:szCs w:val="23"/>
        </w:rPr>
        <w:t>Gloria Crisp, Oregon State University</w:t>
      </w:r>
    </w:p>
    <w:p w14:paraId="55560550" w14:textId="77777777" w:rsidR="00A872F0" w:rsidRPr="006F2AA6" w:rsidRDefault="00A872F0" w:rsidP="00A872F0">
      <w:pPr>
        <w:ind w:left="810"/>
        <w:rPr>
          <w:sz w:val="23"/>
          <w:szCs w:val="23"/>
        </w:rPr>
      </w:pPr>
      <w:r w:rsidRPr="006F2AA6">
        <w:rPr>
          <w:sz w:val="23"/>
          <w:szCs w:val="23"/>
        </w:rPr>
        <w:t>Alicia Crouch, Kentucky Community and Technical College System</w:t>
      </w:r>
    </w:p>
    <w:p w14:paraId="6016BBAE" w14:textId="77777777" w:rsidR="00A872F0" w:rsidRPr="006F2AA6" w:rsidRDefault="00A872F0" w:rsidP="00A872F0">
      <w:pPr>
        <w:ind w:left="810"/>
        <w:rPr>
          <w:sz w:val="23"/>
          <w:szCs w:val="23"/>
        </w:rPr>
      </w:pPr>
      <w:r w:rsidRPr="006F2AA6">
        <w:rPr>
          <w:sz w:val="23"/>
          <w:szCs w:val="23"/>
        </w:rPr>
        <w:t>Archie Cubarrubia, Miami Dade College</w:t>
      </w:r>
      <w:r w:rsidRPr="006F2AA6">
        <w:rPr>
          <w:sz w:val="23"/>
          <w:szCs w:val="23"/>
          <w:vertAlign w:val="superscript"/>
        </w:rPr>
        <w:t>2</w:t>
      </w:r>
    </w:p>
    <w:p w14:paraId="632AF872" w14:textId="77777777" w:rsidR="00A872F0" w:rsidRPr="006F2AA6" w:rsidRDefault="00A872F0" w:rsidP="00A872F0">
      <w:pPr>
        <w:ind w:left="810"/>
        <w:rPr>
          <w:sz w:val="23"/>
          <w:szCs w:val="23"/>
        </w:rPr>
      </w:pPr>
      <w:r w:rsidRPr="006F2AA6">
        <w:rPr>
          <w:sz w:val="23"/>
          <w:szCs w:val="23"/>
        </w:rPr>
        <w:t>Alisa Cunningham, rpkGroup</w:t>
      </w:r>
      <w:r w:rsidRPr="006F2AA6">
        <w:rPr>
          <w:sz w:val="23"/>
          <w:szCs w:val="23"/>
          <w:vertAlign w:val="superscript"/>
        </w:rPr>
        <w:t>2</w:t>
      </w:r>
    </w:p>
    <w:p w14:paraId="028A1F62" w14:textId="77777777" w:rsidR="00A872F0" w:rsidRPr="006F2AA6" w:rsidRDefault="00A872F0" w:rsidP="00A872F0">
      <w:pPr>
        <w:ind w:left="810"/>
        <w:rPr>
          <w:sz w:val="23"/>
          <w:szCs w:val="23"/>
        </w:rPr>
      </w:pPr>
      <w:r w:rsidRPr="006F2AA6">
        <w:rPr>
          <w:sz w:val="23"/>
          <w:szCs w:val="23"/>
        </w:rPr>
        <w:t>Cassandria Dortch, Congressional Research Service (CRS)</w:t>
      </w:r>
      <w:r w:rsidRPr="006F2AA6">
        <w:rPr>
          <w:sz w:val="23"/>
          <w:szCs w:val="23"/>
          <w:vertAlign w:val="superscript"/>
        </w:rPr>
        <w:t xml:space="preserve"> 2</w:t>
      </w:r>
    </w:p>
    <w:p w14:paraId="07E2B0A5" w14:textId="77777777" w:rsidR="00A872F0" w:rsidRPr="006F2AA6" w:rsidRDefault="00A872F0" w:rsidP="00A872F0">
      <w:pPr>
        <w:ind w:left="810"/>
        <w:rPr>
          <w:sz w:val="23"/>
          <w:szCs w:val="23"/>
        </w:rPr>
      </w:pPr>
      <w:r w:rsidRPr="006F2AA6">
        <w:rPr>
          <w:sz w:val="23"/>
          <w:szCs w:val="23"/>
        </w:rPr>
        <w:t>Rebecca Drennen, Berkeley College</w:t>
      </w:r>
      <w:r w:rsidRPr="006F2AA6">
        <w:rPr>
          <w:sz w:val="23"/>
          <w:szCs w:val="23"/>
          <w:vertAlign w:val="superscript"/>
        </w:rPr>
        <w:t>2</w:t>
      </w:r>
    </w:p>
    <w:p w14:paraId="1E9F6CB5" w14:textId="77777777" w:rsidR="00A872F0" w:rsidRPr="006F2AA6" w:rsidRDefault="00A872F0" w:rsidP="00A872F0">
      <w:pPr>
        <w:ind w:left="810"/>
        <w:rPr>
          <w:sz w:val="23"/>
          <w:szCs w:val="23"/>
        </w:rPr>
      </w:pPr>
      <w:r w:rsidRPr="006F2AA6">
        <w:rPr>
          <w:sz w:val="23"/>
          <w:szCs w:val="23"/>
        </w:rPr>
        <w:t>Julie Edmunds, SERVE Center at University of North Carolina at Greensboro</w:t>
      </w:r>
    </w:p>
    <w:p w14:paraId="651A2027" w14:textId="77777777" w:rsidR="00A872F0" w:rsidRPr="006F2AA6" w:rsidRDefault="00A872F0" w:rsidP="00A872F0">
      <w:pPr>
        <w:ind w:left="810"/>
        <w:rPr>
          <w:sz w:val="23"/>
          <w:szCs w:val="23"/>
        </w:rPr>
      </w:pPr>
      <w:r w:rsidRPr="006F2AA6">
        <w:rPr>
          <w:sz w:val="23"/>
          <w:szCs w:val="23"/>
        </w:rPr>
        <w:t>Marne Einarson, Cornell University</w:t>
      </w:r>
    </w:p>
    <w:p w14:paraId="365062E7" w14:textId="77777777" w:rsidR="00A872F0" w:rsidRPr="006F2AA6" w:rsidRDefault="00A872F0" w:rsidP="00A872F0">
      <w:pPr>
        <w:ind w:left="810"/>
        <w:rPr>
          <w:sz w:val="23"/>
          <w:szCs w:val="23"/>
        </w:rPr>
      </w:pPr>
      <w:r w:rsidRPr="006F2AA6">
        <w:rPr>
          <w:sz w:val="23"/>
          <w:szCs w:val="23"/>
        </w:rPr>
        <w:t>Gillian Emmons, Boston University</w:t>
      </w:r>
      <w:r w:rsidRPr="006F2AA6">
        <w:rPr>
          <w:sz w:val="23"/>
          <w:szCs w:val="23"/>
          <w:vertAlign w:val="superscript"/>
        </w:rPr>
        <w:t>2</w:t>
      </w:r>
    </w:p>
    <w:p w14:paraId="44EF1B46" w14:textId="77777777" w:rsidR="00A872F0" w:rsidRPr="006F2AA6" w:rsidRDefault="00A872F0" w:rsidP="00A872F0">
      <w:pPr>
        <w:ind w:left="810"/>
        <w:rPr>
          <w:sz w:val="23"/>
          <w:szCs w:val="23"/>
        </w:rPr>
      </w:pPr>
      <w:r w:rsidRPr="006F2AA6">
        <w:rPr>
          <w:sz w:val="23"/>
          <w:szCs w:val="23"/>
        </w:rPr>
        <w:t>Jaquelina Falkenheim, National Science Foundation</w:t>
      </w:r>
    </w:p>
    <w:p w14:paraId="23F620BA" w14:textId="77777777" w:rsidR="00A872F0" w:rsidRPr="006F2AA6" w:rsidRDefault="00A872F0" w:rsidP="00A872F0">
      <w:pPr>
        <w:ind w:left="810"/>
        <w:rPr>
          <w:sz w:val="23"/>
          <w:szCs w:val="23"/>
        </w:rPr>
      </w:pPr>
      <w:r w:rsidRPr="006F2AA6">
        <w:rPr>
          <w:sz w:val="23"/>
          <w:szCs w:val="23"/>
        </w:rPr>
        <w:t>Gayle Fink, Bowie State University</w:t>
      </w:r>
      <w:r w:rsidRPr="006F2AA6">
        <w:rPr>
          <w:sz w:val="23"/>
          <w:szCs w:val="23"/>
          <w:vertAlign w:val="superscript"/>
        </w:rPr>
        <w:t>2</w:t>
      </w:r>
    </w:p>
    <w:p w14:paraId="3452404F" w14:textId="77777777" w:rsidR="00A872F0" w:rsidRPr="006F2AA6" w:rsidRDefault="00A872F0" w:rsidP="00A872F0">
      <w:pPr>
        <w:ind w:left="810"/>
        <w:rPr>
          <w:sz w:val="23"/>
          <w:szCs w:val="23"/>
        </w:rPr>
      </w:pPr>
      <w:r w:rsidRPr="006F2AA6">
        <w:rPr>
          <w:sz w:val="23"/>
          <w:szCs w:val="23"/>
        </w:rPr>
        <w:t>John Fink, Community College Research Center, Teachers College, Columbia University</w:t>
      </w:r>
      <w:r w:rsidRPr="006F2AA6">
        <w:rPr>
          <w:sz w:val="23"/>
          <w:szCs w:val="23"/>
          <w:vertAlign w:val="superscript"/>
        </w:rPr>
        <w:t>2</w:t>
      </w:r>
    </w:p>
    <w:p w14:paraId="5279EE24" w14:textId="77777777" w:rsidR="00A872F0" w:rsidRPr="006F2AA6" w:rsidRDefault="00A872F0" w:rsidP="00A872F0">
      <w:pPr>
        <w:ind w:left="810"/>
        <w:rPr>
          <w:sz w:val="23"/>
          <w:szCs w:val="23"/>
        </w:rPr>
      </w:pPr>
      <w:r w:rsidRPr="006F2AA6">
        <w:rPr>
          <w:sz w:val="23"/>
          <w:szCs w:val="23"/>
        </w:rPr>
        <w:t>Nancy Floyd, North Carolina State University</w:t>
      </w:r>
    </w:p>
    <w:p w14:paraId="2AB1B3F2" w14:textId="77777777" w:rsidR="00A872F0" w:rsidRPr="006F2AA6" w:rsidRDefault="00A872F0" w:rsidP="00A872F0">
      <w:pPr>
        <w:ind w:left="810"/>
        <w:rPr>
          <w:sz w:val="23"/>
          <w:szCs w:val="23"/>
        </w:rPr>
      </w:pPr>
      <w:r w:rsidRPr="006F2AA6">
        <w:rPr>
          <w:sz w:val="23"/>
          <w:szCs w:val="23"/>
        </w:rPr>
        <w:t>Dan Foley, National Science Foundation</w:t>
      </w:r>
    </w:p>
    <w:p w14:paraId="7E510EB8" w14:textId="77777777" w:rsidR="00A872F0" w:rsidRPr="006F2AA6" w:rsidRDefault="00A872F0" w:rsidP="00A872F0">
      <w:pPr>
        <w:ind w:left="810"/>
        <w:rPr>
          <w:sz w:val="23"/>
          <w:szCs w:val="23"/>
        </w:rPr>
      </w:pPr>
      <w:r w:rsidRPr="006F2AA6">
        <w:rPr>
          <w:sz w:val="23"/>
          <w:szCs w:val="23"/>
        </w:rPr>
        <w:t>Marissa Fox, Career Education Corporation</w:t>
      </w:r>
      <w:r w:rsidRPr="006F2AA6">
        <w:rPr>
          <w:sz w:val="23"/>
          <w:szCs w:val="23"/>
          <w:vertAlign w:val="superscript"/>
        </w:rPr>
        <w:t>2</w:t>
      </w:r>
    </w:p>
    <w:p w14:paraId="06AEB7D0" w14:textId="77777777" w:rsidR="00A872F0" w:rsidRPr="006F2AA6" w:rsidRDefault="00A872F0" w:rsidP="00A872F0">
      <w:pPr>
        <w:ind w:left="810"/>
        <w:rPr>
          <w:sz w:val="23"/>
          <w:szCs w:val="23"/>
        </w:rPr>
      </w:pPr>
      <w:r w:rsidRPr="006F2AA6">
        <w:rPr>
          <w:sz w:val="23"/>
          <w:szCs w:val="23"/>
        </w:rPr>
        <w:t>Donyell Francis, Technical College System of GA</w:t>
      </w:r>
      <w:r w:rsidRPr="006F2AA6">
        <w:rPr>
          <w:sz w:val="23"/>
          <w:szCs w:val="23"/>
          <w:vertAlign w:val="superscript"/>
        </w:rPr>
        <w:t>2</w:t>
      </w:r>
    </w:p>
    <w:p w14:paraId="77CE498D" w14:textId="77777777" w:rsidR="00A872F0" w:rsidRPr="006F2AA6" w:rsidRDefault="00A872F0" w:rsidP="00A872F0">
      <w:pPr>
        <w:ind w:left="810"/>
        <w:rPr>
          <w:sz w:val="23"/>
          <w:szCs w:val="23"/>
        </w:rPr>
      </w:pPr>
      <w:r w:rsidRPr="006F2AA6">
        <w:rPr>
          <w:sz w:val="23"/>
          <w:szCs w:val="23"/>
        </w:rPr>
        <w:t>Khadish Franklin, The Pell Institute</w:t>
      </w:r>
    </w:p>
    <w:p w14:paraId="3FE89FC2" w14:textId="77777777" w:rsidR="00A872F0" w:rsidRPr="006F2AA6" w:rsidRDefault="00A872F0" w:rsidP="00A872F0">
      <w:pPr>
        <w:ind w:left="810"/>
        <w:rPr>
          <w:sz w:val="23"/>
          <w:szCs w:val="23"/>
        </w:rPr>
      </w:pPr>
      <w:r w:rsidRPr="006F2AA6">
        <w:rPr>
          <w:sz w:val="23"/>
          <w:szCs w:val="23"/>
        </w:rPr>
        <w:t>Doug Franklin, University of Illinois Springfield</w:t>
      </w:r>
      <w:r w:rsidRPr="006F2AA6">
        <w:rPr>
          <w:sz w:val="23"/>
          <w:szCs w:val="23"/>
          <w:vertAlign w:val="superscript"/>
        </w:rPr>
        <w:t>2</w:t>
      </w:r>
    </w:p>
    <w:p w14:paraId="5A45A0EE" w14:textId="77777777" w:rsidR="00A872F0" w:rsidRPr="006F2AA6" w:rsidRDefault="00A872F0" w:rsidP="00A872F0">
      <w:pPr>
        <w:ind w:left="810"/>
        <w:rPr>
          <w:sz w:val="23"/>
          <w:szCs w:val="23"/>
        </w:rPr>
      </w:pPr>
      <w:r w:rsidRPr="006F2AA6">
        <w:rPr>
          <w:sz w:val="23"/>
          <w:szCs w:val="23"/>
        </w:rPr>
        <w:t>Pam Frugoli, Department of Labor, Employment &amp; Training Administration</w:t>
      </w:r>
    </w:p>
    <w:p w14:paraId="3C3BA0EE" w14:textId="77777777" w:rsidR="00A872F0" w:rsidRPr="006F2AA6" w:rsidRDefault="00A872F0" w:rsidP="00A872F0">
      <w:pPr>
        <w:ind w:left="810"/>
        <w:rPr>
          <w:sz w:val="23"/>
          <w:szCs w:val="23"/>
        </w:rPr>
      </w:pPr>
      <w:r w:rsidRPr="006F2AA6">
        <w:rPr>
          <w:sz w:val="23"/>
          <w:szCs w:val="23"/>
        </w:rPr>
        <w:t>Brian Fu, U.S. Department of Education</w:t>
      </w:r>
      <w:r w:rsidRPr="006F2AA6">
        <w:rPr>
          <w:sz w:val="23"/>
          <w:szCs w:val="23"/>
          <w:vertAlign w:val="superscript"/>
        </w:rPr>
        <w:t>2</w:t>
      </w:r>
    </w:p>
    <w:p w14:paraId="56999577" w14:textId="77777777" w:rsidR="00A872F0" w:rsidRPr="006F2AA6" w:rsidRDefault="00A872F0" w:rsidP="00A872F0">
      <w:pPr>
        <w:ind w:left="810"/>
        <w:rPr>
          <w:sz w:val="23"/>
          <w:szCs w:val="23"/>
        </w:rPr>
      </w:pPr>
      <w:r w:rsidRPr="006F2AA6">
        <w:rPr>
          <w:sz w:val="23"/>
          <w:szCs w:val="23"/>
        </w:rPr>
        <w:t>Chris Furgiuele, University of California Office of the President</w:t>
      </w:r>
      <w:r w:rsidRPr="006F2AA6">
        <w:rPr>
          <w:sz w:val="23"/>
          <w:szCs w:val="23"/>
          <w:vertAlign w:val="superscript"/>
        </w:rPr>
        <w:t>2</w:t>
      </w:r>
    </w:p>
    <w:p w14:paraId="5D07C940" w14:textId="77777777" w:rsidR="00A872F0" w:rsidRPr="006F2AA6" w:rsidRDefault="00A872F0" w:rsidP="00A872F0">
      <w:pPr>
        <w:ind w:left="810"/>
        <w:rPr>
          <w:sz w:val="23"/>
          <w:szCs w:val="23"/>
        </w:rPr>
      </w:pPr>
      <w:r w:rsidRPr="006F2AA6">
        <w:rPr>
          <w:sz w:val="23"/>
          <w:szCs w:val="23"/>
        </w:rPr>
        <w:t>Tanya Garcia, Georgetown University Center on Education and the Workforce</w:t>
      </w:r>
      <w:r w:rsidRPr="006F2AA6">
        <w:rPr>
          <w:sz w:val="23"/>
          <w:szCs w:val="23"/>
          <w:vertAlign w:val="superscript"/>
        </w:rPr>
        <w:t>2</w:t>
      </w:r>
    </w:p>
    <w:p w14:paraId="0EC07FFC" w14:textId="77777777" w:rsidR="00A872F0" w:rsidRPr="006F2AA6" w:rsidRDefault="00A872F0" w:rsidP="00A872F0">
      <w:pPr>
        <w:ind w:left="810"/>
        <w:rPr>
          <w:sz w:val="23"/>
          <w:szCs w:val="23"/>
        </w:rPr>
      </w:pPr>
      <w:r w:rsidRPr="006F2AA6">
        <w:rPr>
          <w:sz w:val="23"/>
          <w:szCs w:val="23"/>
        </w:rPr>
        <w:t>Marybeth Gasman, Penn Center for Minority-Serving Institutions</w:t>
      </w:r>
      <w:r w:rsidRPr="006F2AA6">
        <w:rPr>
          <w:sz w:val="23"/>
          <w:szCs w:val="23"/>
          <w:vertAlign w:val="superscript"/>
        </w:rPr>
        <w:t>2</w:t>
      </w:r>
    </w:p>
    <w:p w14:paraId="09FA90F6" w14:textId="77777777" w:rsidR="00A872F0" w:rsidRPr="006F2AA6" w:rsidRDefault="00A872F0" w:rsidP="00A872F0">
      <w:pPr>
        <w:ind w:left="810"/>
        <w:rPr>
          <w:sz w:val="23"/>
          <w:szCs w:val="23"/>
        </w:rPr>
      </w:pPr>
      <w:r w:rsidRPr="006F2AA6">
        <w:rPr>
          <w:sz w:val="23"/>
          <w:szCs w:val="23"/>
        </w:rPr>
        <w:t>Michael Gass, University of North Carolina at Asheville</w:t>
      </w:r>
    </w:p>
    <w:p w14:paraId="6C97D97F" w14:textId="77777777" w:rsidR="00A872F0" w:rsidRPr="006F2AA6" w:rsidRDefault="00A872F0" w:rsidP="00A872F0">
      <w:pPr>
        <w:ind w:left="810"/>
        <w:rPr>
          <w:sz w:val="23"/>
          <w:szCs w:val="23"/>
        </w:rPr>
      </w:pPr>
      <w:r w:rsidRPr="006F2AA6">
        <w:rPr>
          <w:sz w:val="23"/>
          <w:szCs w:val="23"/>
        </w:rPr>
        <w:t>Luke Gentala, Liberty University</w:t>
      </w:r>
      <w:r w:rsidRPr="006F2AA6">
        <w:rPr>
          <w:sz w:val="23"/>
          <w:szCs w:val="23"/>
          <w:vertAlign w:val="superscript"/>
        </w:rPr>
        <w:t>2</w:t>
      </w:r>
    </w:p>
    <w:p w14:paraId="187FDCD1" w14:textId="77777777" w:rsidR="00A872F0" w:rsidRPr="006F2AA6" w:rsidRDefault="00A872F0" w:rsidP="00A872F0">
      <w:pPr>
        <w:ind w:left="810"/>
        <w:rPr>
          <w:sz w:val="23"/>
          <w:szCs w:val="23"/>
        </w:rPr>
      </w:pPr>
      <w:r w:rsidRPr="006F2AA6">
        <w:rPr>
          <w:sz w:val="23"/>
          <w:szCs w:val="23"/>
        </w:rPr>
        <w:t>Eric Godin, Division of Florida Colleges</w:t>
      </w:r>
    </w:p>
    <w:p w14:paraId="7C47052E" w14:textId="77777777" w:rsidR="00A872F0" w:rsidRPr="006F2AA6" w:rsidRDefault="00A872F0" w:rsidP="00A872F0">
      <w:pPr>
        <w:ind w:left="810"/>
        <w:rPr>
          <w:sz w:val="23"/>
          <w:szCs w:val="23"/>
        </w:rPr>
      </w:pPr>
      <w:r w:rsidRPr="006F2AA6">
        <w:rPr>
          <w:sz w:val="23"/>
          <w:szCs w:val="23"/>
        </w:rPr>
        <w:t>Carlos Gonzalez, Education Management Corporation (EDMC)</w:t>
      </w:r>
      <w:r w:rsidRPr="006F2AA6">
        <w:rPr>
          <w:sz w:val="23"/>
          <w:szCs w:val="23"/>
          <w:vertAlign w:val="superscript"/>
        </w:rPr>
        <w:t xml:space="preserve"> 2</w:t>
      </w:r>
    </w:p>
    <w:p w14:paraId="4B9EABF3" w14:textId="77777777" w:rsidR="00A872F0" w:rsidRPr="006F2AA6" w:rsidRDefault="00A872F0" w:rsidP="00A872F0">
      <w:pPr>
        <w:ind w:left="810"/>
        <w:rPr>
          <w:sz w:val="23"/>
          <w:szCs w:val="23"/>
        </w:rPr>
      </w:pPr>
      <w:r w:rsidRPr="006F2AA6">
        <w:rPr>
          <w:sz w:val="23"/>
          <w:szCs w:val="23"/>
        </w:rPr>
        <w:t>Mary Goodhue Lynch, Massasoit Community College</w:t>
      </w:r>
      <w:r w:rsidRPr="006F2AA6">
        <w:rPr>
          <w:sz w:val="23"/>
          <w:szCs w:val="23"/>
          <w:vertAlign w:val="superscript"/>
        </w:rPr>
        <w:t>2</w:t>
      </w:r>
    </w:p>
    <w:p w14:paraId="21375508" w14:textId="77777777" w:rsidR="00A872F0" w:rsidRPr="006F2AA6" w:rsidRDefault="00A872F0" w:rsidP="00A872F0">
      <w:pPr>
        <w:ind w:left="810"/>
        <w:rPr>
          <w:sz w:val="23"/>
          <w:szCs w:val="23"/>
        </w:rPr>
      </w:pPr>
      <w:r w:rsidRPr="006F2AA6">
        <w:rPr>
          <w:sz w:val="23"/>
          <w:szCs w:val="23"/>
        </w:rPr>
        <w:t>Kurt Gunnell, Western Governors University</w:t>
      </w:r>
      <w:r w:rsidRPr="006F2AA6">
        <w:rPr>
          <w:sz w:val="23"/>
          <w:szCs w:val="23"/>
          <w:vertAlign w:val="superscript"/>
        </w:rPr>
        <w:t>2</w:t>
      </w:r>
    </w:p>
    <w:p w14:paraId="62C5DFE2" w14:textId="77777777" w:rsidR="00A872F0" w:rsidRPr="006F2AA6" w:rsidRDefault="00A872F0" w:rsidP="00A872F0">
      <w:pPr>
        <w:ind w:left="810"/>
        <w:rPr>
          <w:sz w:val="23"/>
          <w:szCs w:val="23"/>
        </w:rPr>
      </w:pPr>
      <w:r w:rsidRPr="006F2AA6">
        <w:rPr>
          <w:sz w:val="23"/>
          <w:szCs w:val="23"/>
        </w:rPr>
        <w:t>Lou Guthrie, LED Fast Start - Louisiana Community &amp; Technical College System</w:t>
      </w:r>
    </w:p>
    <w:p w14:paraId="5C2AC1FC" w14:textId="77777777" w:rsidR="00A872F0" w:rsidRPr="006F2AA6" w:rsidRDefault="00A872F0" w:rsidP="00A872F0">
      <w:pPr>
        <w:ind w:left="810"/>
        <w:rPr>
          <w:sz w:val="23"/>
          <w:szCs w:val="23"/>
        </w:rPr>
      </w:pPr>
      <w:r w:rsidRPr="006F2AA6">
        <w:rPr>
          <w:sz w:val="23"/>
          <w:szCs w:val="23"/>
        </w:rPr>
        <w:t>Lakia Hairston, P&amp;A Scholars Beauty School</w:t>
      </w:r>
      <w:r w:rsidRPr="006F2AA6">
        <w:rPr>
          <w:sz w:val="23"/>
          <w:szCs w:val="23"/>
          <w:vertAlign w:val="superscript"/>
        </w:rPr>
        <w:t>2</w:t>
      </w:r>
    </w:p>
    <w:p w14:paraId="6F60B510" w14:textId="77777777" w:rsidR="00A872F0" w:rsidRPr="006F2AA6" w:rsidRDefault="00A872F0" w:rsidP="00A872F0">
      <w:pPr>
        <w:ind w:left="810"/>
        <w:rPr>
          <w:sz w:val="23"/>
          <w:szCs w:val="23"/>
        </w:rPr>
      </w:pPr>
      <w:r w:rsidRPr="006F2AA6">
        <w:rPr>
          <w:sz w:val="23"/>
          <w:szCs w:val="23"/>
        </w:rPr>
        <w:t>Mark Hamburg, U.S. Department of Education (FSA)</w:t>
      </w:r>
      <w:r w:rsidRPr="006F2AA6">
        <w:rPr>
          <w:sz w:val="23"/>
          <w:szCs w:val="23"/>
          <w:vertAlign w:val="superscript"/>
        </w:rPr>
        <w:t>2</w:t>
      </w:r>
    </w:p>
    <w:p w14:paraId="6C0F22D1" w14:textId="77777777" w:rsidR="00A872F0" w:rsidRPr="006F2AA6" w:rsidRDefault="00A872F0" w:rsidP="00A872F0">
      <w:pPr>
        <w:ind w:left="810"/>
        <w:rPr>
          <w:sz w:val="23"/>
          <w:szCs w:val="23"/>
        </w:rPr>
      </w:pPr>
      <w:r w:rsidRPr="006F2AA6">
        <w:rPr>
          <w:sz w:val="23"/>
          <w:szCs w:val="23"/>
        </w:rPr>
        <w:t>Eric Hardy, U.S. Department of Education, FSA</w:t>
      </w:r>
    </w:p>
    <w:p w14:paraId="1BB79D72" w14:textId="77777777" w:rsidR="00A872F0" w:rsidRPr="006F2AA6" w:rsidRDefault="00A872F0" w:rsidP="00A872F0">
      <w:pPr>
        <w:ind w:left="810"/>
        <w:rPr>
          <w:sz w:val="23"/>
          <w:szCs w:val="23"/>
        </w:rPr>
      </w:pPr>
      <w:r w:rsidRPr="006F2AA6">
        <w:rPr>
          <w:sz w:val="23"/>
          <w:szCs w:val="23"/>
        </w:rPr>
        <w:t>Thomas Harnisch, American Association of State Colleges and Universities (AASCU)</w:t>
      </w:r>
      <w:r w:rsidRPr="006F2AA6">
        <w:rPr>
          <w:sz w:val="23"/>
          <w:szCs w:val="23"/>
          <w:vertAlign w:val="superscript"/>
        </w:rPr>
        <w:t xml:space="preserve"> 2</w:t>
      </w:r>
    </w:p>
    <w:p w14:paraId="6E1FD915" w14:textId="77777777" w:rsidR="00A872F0" w:rsidRPr="006F2AA6" w:rsidRDefault="00A872F0" w:rsidP="00A872F0">
      <w:pPr>
        <w:ind w:left="810"/>
        <w:rPr>
          <w:sz w:val="23"/>
          <w:szCs w:val="23"/>
        </w:rPr>
      </w:pPr>
      <w:r w:rsidRPr="006F2AA6">
        <w:rPr>
          <w:sz w:val="23"/>
          <w:szCs w:val="23"/>
        </w:rPr>
        <w:t>Stephen Haworth, Adtalem Global Education</w:t>
      </w:r>
      <w:r w:rsidRPr="006F2AA6">
        <w:rPr>
          <w:sz w:val="23"/>
          <w:szCs w:val="23"/>
          <w:vertAlign w:val="superscript"/>
        </w:rPr>
        <w:t>2</w:t>
      </w:r>
    </w:p>
    <w:p w14:paraId="56D7DD15" w14:textId="77777777" w:rsidR="00A872F0" w:rsidRPr="006F2AA6" w:rsidRDefault="00A872F0" w:rsidP="00A872F0">
      <w:pPr>
        <w:ind w:left="810"/>
        <w:rPr>
          <w:sz w:val="23"/>
          <w:szCs w:val="23"/>
        </w:rPr>
      </w:pPr>
      <w:r w:rsidRPr="006F2AA6">
        <w:rPr>
          <w:sz w:val="23"/>
          <w:szCs w:val="23"/>
        </w:rPr>
        <w:t>Heidi Hedegard, University System of New Hampshire System Office</w:t>
      </w:r>
    </w:p>
    <w:p w14:paraId="3249628B" w14:textId="77777777" w:rsidR="00A872F0" w:rsidRPr="006F2AA6" w:rsidRDefault="00A872F0" w:rsidP="00A872F0">
      <w:pPr>
        <w:ind w:left="810"/>
        <w:rPr>
          <w:sz w:val="23"/>
          <w:szCs w:val="23"/>
        </w:rPr>
      </w:pPr>
      <w:r w:rsidRPr="006F2AA6">
        <w:rPr>
          <w:sz w:val="23"/>
          <w:szCs w:val="23"/>
        </w:rPr>
        <w:t>Dennis Hengstler, University of Tennessee System Office</w:t>
      </w:r>
    </w:p>
    <w:p w14:paraId="44564843" w14:textId="77777777" w:rsidR="00A872F0" w:rsidRPr="006F2AA6" w:rsidRDefault="00A872F0" w:rsidP="00A872F0">
      <w:pPr>
        <w:ind w:left="810"/>
        <w:rPr>
          <w:sz w:val="23"/>
          <w:szCs w:val="23"/>
        </w:rPr>
      </w:pPr>
      <w:r w:rsidRPr="006F2AA6">
        <w:rPr>
          <w:sz w:val="23"/>
          <w:szCs w:val="23"/>
        </w:rPr>
        <w:t>Nicholas Hillman, University of Wisconsin-Madison</w:t>
      </w:r>
      <w:r w:rsidRPr="006F2AA6">
        <w:rPr>
          <w:sz w:val="23"/>
          <w:szCs w:val="23"/>
          <w:vertAlign w:val="superscript"/>
        </w:rPr>
        <w:t>2</w:t>
      </w:r>
    </w:p>
    <w:p w14:paraId="3D1EFD0B" w14:textId="77777777" w:rsidR="00A872F0" w:rsidRPr="006F2AA6" w:rsidRDefault="00A872F0" w:rsidP="00A872F0">
      <w:pPr>
        <w:ind w:left="810"/>
        <w:rPr>
          <w:sz w:val="23"/>
          <w:szCs w:val="23"/>
        </w:rPr>
      </w:pPr>
      <w:r w:rsidRPr="006F2AA6">
        <w:rPr>
          <w:sz w:val="23"/>
          <w:szCs w:val="23"/>
        </w:rPr>
        <w:t>Teri Hinds, Student Affairs Administrators in higher Education (NASPA)</w:t>
      </w:r>
      <w:r w:rsidRPr="006F2AA6">
        <w:rPr>
          <w:sz w:val="23"/>
          <w:szCs w:val="23"/>
          <w:vertAlign w:val="superscript"/>
        </w:rPr>
        <w:t xml:space="preserve"> 2</w:t>
      </w:r>
    </w:p>
    <w:p w14:paraId="68DE6C81" w14:textId="77777777" w:rsidR="00A872F0" w:rsidRPr="006F2AA6" w:rsidRDefault="00A872F0" w:rsidP="00A872F0">
      <w:pPr>
        <w:ind w:left="810"/>
        <w:rPr>
          <w:sz w:val="23"/>
          <w:szCs w:val="23"/>
        </w:rPr>
      </w:pPr>
      <w:r w:rsidRPr="006F2AA6">
        <w:rPr>
          <w:sz w:val="23"/>
          <w:szCs w:val="23"/>
        </w:rPr>
        <w:t>Braden Hosch, Stony Brook University</w:t>
      </w:r>
      <w:r w:rsidRPr="006F2AA6">
        <w:rPr>
          <w:sz w:val="23"/>
          <w:szCs w:val="23"/>
          <w:vertAlign w:val="superscript"/>
        </w:rPr>
        <w:t>2</w:t>
      </w:r>
    </w:p>
    <w:p w14:paraId="37F58514" w14:textId="77777777" w:rsidR="00A872F0" w:rsidRPr="006F2AA6" w:rsidRDefault="00A872F0" w:rsidP="00A872F0">
      <w:pPr>
        <w:ind w:left="810"/>
        <w:rPr>
          <w:sz w:val="23"/>
          <w:szCs w:val="23"/>
        </w:rPr>
      </w:pPr>
      <w:r w:rsidRPr="006F2AA6">
        <w:rPr>
          <w:sz w:val="23"/>
          <w:szCs w:val="23"/>
        </w:rPr>
        <w:t>Lisa Hudson, Sample Surveys Division: Cross-Sectional Surveys Branch, NCES</w:t>
      </w:r>
      <w:r w:rsidRPr="006F2AA6">
        <w:rPr>
          <w:sz w:val="23"/>
          <w:szCs w:val="23"/>
          <w:vertAlign w:val="superscript"/>
        </w:rPr>
        <w:t>2</w:t>
      </w:r>
    </w:p>
    <w:p w14:paraId="60FF1F8A" w14:textId="77777777" w:rsidR="00A872F0" w:rsidRPr="006F2AA6" w:rsidRDefault="00A872F0" w:rsidP="00A872F0">
      <w:pPr>
        <w:ind w:left="810"/>
        <w:rPr>
          <w:sz w:val="23"/>
          <w:szCs w:val="23"/>
        </w:rPr>
      </w:pPr>
      <w:r w:rsidRPr="006F2AA6">
        <w:rPr>
          <w:sz w:val="23"/>
          <w:szCs w:val="23"/>
        </w:rPr>
        <w:t>John Ingram, Community College of Allegheny County</w:t>
      </w:r>
    </w:p>
    <w:p w14:paraId="3669D1B7" w14:textId="77777777" w:rsidR="00A872F0" w:rsidRPr="006F2AA6" w:rsidRDefault="00A872F0" w:rsidP="00A872F0">
      <w:pPr>
        <w:ind w:left="810"/>
        <w:rPr>
          <w:sz w:val="23"/>
          <w:szCs w:val="23"/>
        </w:rPr>
      </w:pPr>
      <w:r w:rsidRPr="006F2AA6">
        <w:rPr>
          <w:sz w:val="23"/>
          <w:szCs w:val="23"/>
        </w:rPr>
        <w:t>Michael Itzkowitz, Office of Postsecondary Education (OPE)</w:t>
      </w:r>
      <w:r w:rsidRPr="006F2AA6">
        <w:rPr>
          <w:sz w:val="23"/>
          <w:szCs w:val="23"/>
          <w:vertAlign w:val="superscript"/>
        </w:rPr>
        <w:t>2</w:t>
      </w:r>
    </w:p>
    <w:p w14:paraId="149F387E" w14:textId="77777777" w:rsidR="00A872F0" w:rsidRPr="006F2AA6" w:rsidRDefault="00A872F0" w:rsidP="00A872F0">
      <w:pPr>
        <w:ind w:left="810"/>
        <w:rPr>
          <w:sz w:val="23"/>
          <w:szCs w:val="23"/>
        </w:rPr>
      </w:pPr>
      <w:r w:rsidRPr="006F2AA6">
        <w:rPr>
          <w:sz w:val="23"/>
          <w:szCs w:val="23"/>
        </w:rPr>
        <w:t>Manju Iyer , Lincoln Tech</w:t>
      </w:r>
      <w:r w:rsidRPr="006F2AA6">
        <w:rPr>
          <w:sz w:val="23"/>
          <w:szCs w:val="23"/>
          <w:vertAlign w:val="superscript"/>
        </w:rPr>
        <w:t>2</w:t>
      </w:r>
    </w:p>
    <w:p w14:paraId="3B46F98A" w14:textId="77777777" w:rsidR="00A872F0" w:rsidRPr="006F2AA6" w:rsidRDefault="00A872F0" w:rsidP="00A872F0">
      <w:pPr>
        <w:ind w:left="810"/>
        <w:rPr>
          <w:sz w:val="23"/>
          <w:szCs w:val="23"/>
        </w:rPr>
      </w:pPr>
      <w:r w:rsidRPr="006F2AA6">
        <w:rPr>
          <w:sz w:val="23"/>
          <w:szCs w:val="23"/>
        </w:rPr>
        <w:t>Matt Jans, Abt Associates</w:t>
      </w:r>
    </w:p>
    <w:p w14:paraId="2CDFECB7" w14:textId="77777777" w:rsidR="00A872F0" w:rsidRPr="006F2AA6" w:rsidRDefault="00A872F0" w:rsidP="00A872F0">
      <w:pPr>
        <w:ind w:left="810"/>
        <w:rPr>
          <w:sz w:val="23"/>
          <w:szCs w:val="23"/>
        </w:rPr>
      </w:pPr>
      <w:r w:rsidRPr="006F2AA6">
        <w:rPr>
          <w:sz w:val="23"/>
          <w:szCs w:val="23"/>
        </w:rPr>
        <w:t>Carrie Jones, Department of Labor, Bureau of Labor Statistics</w:t>
      </w:r>
    </w:p>
    <w:p w14:paraId="2588EA32" w14:textId="77777777" w:rsidR="00A872F0" w:rsidRPr="006F2AA6" w:rsidRDefault="00A872F0" w:rsidP="00A872F0">
      <w:pPr>
        <w:ind w:left="810"/>
        <w:rPr>
          <w:sz w:val="23"/>
          <w:szCs w:val="23"/>
        </w:rPr>
      </w:pPr>
      <w:r w:rsidRPr="006F2AA6">
        <w:rPr>
          <w:sz w:val="23"/>
          <w:szCs w:val="23"/>
        </w:rPr>
        <w:t>Jolanta Juszkiewicz, American Association of Community Colleges</w:t>
      </w:r>
    </w:p>
    <w:p w14:paraId="108D3F1B" w14:textId="77777777" w:rsidR="00A872F0" w:rsidRPr="006F2AA6" w:rsidRDefault="00A872F0" w:rsidP="00A872F0">
      <w:pPr>
        <w:ind w:left="810"/>
        <w:rPr>
          <w:sz w:val="23"/>
          <w:szCs w:val="23"/>
        </w:rPr>
      </w:pPr>
      <w:r w:rsidRPr="006F2AA6">
        <w:rPr>
          <w:sz w:val="23"/>
          <w:szCs w:val="23"/>
        </w:rPr>
        <w:t>Darby Kaikkonen, Washington State Board for Community and Technical Colleges</w:t>
      </w:r>
      <w:r w:rsidRPr="006F2AA6">
        <w:rPr>
          <w:sz w:val="23"/>
          <w:szCs w:val="23"/>
          <w:vertAlign w:val="superscript"/>
        </w:rPr>
        <w:t>2</w:t>
      </w:r>
    </w:p>
    <w:p w14:paraId="15BAB877" w14:textId="77777777" w:rsidR="00A872F0" w:rsidRPr="006F2AA6" w:rsidRDefault="00A872F0" w:rsidP="00A872F0">
      <w:pPr>
        <w:ind w:left="810"/>
        <w:rPr>
          <w:sz w:val="23"/>
          <w:szCs w:val="23"/>
        </w:rPr>
      </w:pPr>
      <w:r w:rsidRPr="006F2AA6">
        <w:rPr>
          <w:sz w:val="23"/>
          <w:szCs w:val="23"/>
        </w:rPr>
        <w:t>James Karangu, U.S. Department of Education, Federal Student Aid</w:t>
      </w:r>
      <w:r w:rsidRPr="006F2AA6">
        <w:rPr>
          <w:sz w:val="23"/>
          <w:szCs w:val="23"/>
          <w:vertAlign w:val="superscript"/>
        </w:rPr>
        <w:t>2</w:t>
      </w:r>
    </w:p>
    <w:p w14:paraId="374375E9" w14:textId="77777777" w:rsidR="00A872F0" w:rsidRPr="006F2AA6" w:rsidRDefault="00A872F0" w:rsidP="00A872F0">
      <w:pPr>
        <w:ind w:left="810"/>
        <w:rPr>
          <w:sz w:val="23"/>
          <w:szCs w:val="23"/>
        </w:rPr>
      </w:pPr>
      <w:r w:rsidRPr="006F2AA6">
        <w:rPr>
          <w:sz w:val="23"/>
          <w:szCs w:val="23"/>
        </w:rPr>
        <w:t>Robert Kelchen, Department of Education Leadership, Management and Policy</w:t>
      </w:r>
      <w:r w:rsidRPr="006F2AA6">
        <w:rPr>
          <w:sz w:val="23"/>
          <w:szCs w:val="23"/>
          <w:vertAlign w:val="superscript"/>
        </w:rPr>
        <w:t>2</w:t>
      </w:r>
    </w:p>
    <w:p w14:paraId="320F4CD4" w14:textId="77777777" w:rsidR="00A872F0" w:rsidRPr="006F2AA6" w:rsidRDefault="00A872F0" w:rsidP="00A872F0">
      <w:pPr>
        <w:ind w:left="810"/>
        <w:rPr>
          <w:sz w:val="23"/>
          <w:szCs w:val="23"/>
        </w:rPr>
      </w:pPr>
      <w:r w:rsidRPr="006F2AA6">
        <w:rPr>
          <w:sz w:val="23"/>
          <w:szCs w:val="23"/>
        </w:rPr>
        <w:t>Jonathan Keller, Massachusetts Department of Higher Education</w:t>
      </w:r>
      <w:r w:rsidRPr="006F2AA6">
        <w:rPr>
          <w:sz w:val="23"/>
          <w:szCs w:val="23"/>
          <w:vertAlign w:val="superscript"/>
        </w:rPr>
        <w:t>2</w:t>
      </w:r>
    </w:p>
    <w:p w14:paraId="10032B0C" w14:textId="77777777" w:rsidR="00A872F0" w:rsidRPr="006F2AA6" w:rsidRDefault="00A872F0" w:rsidP="00A872F0">
      <w:pPr>
        <w:ind w:left="810"/>
        <w:rPr>
          <w:sz w:val="23"/>
          <w:szCs w:val="23"/>
        </w:rPr>
      </w:pPr>
      <w:r w:rsidRPr="006F2AA6">
        <w:rPr>
          <w:sz w:val="23"/>
          <w:szCs w:val="23"/>
        </w:rPr>
        <w:t>Heather Kelly, University of Delaware</w:t>
      </w:r>
      <w:r w:rsidRPr="006F2AA6">
        <w:rPr>
          <w:sz w:val="23"/>
          <w:szCs w:val="23"/>
          <w:vertAlign w:val="superscript"/>
        </w:rPr>
        <w:t>2</w:t>
      </w:r>
    </w:p>
    <w:p w14:paraId="64973084" w14:textId="77777777" w:rsidR="00A872F0" w:rsidRPr="006F2AA6" w:rsidRDefault="00A872F0" w:rsidP="00A872F0">
      <w:pPr>
        <w:ind w:left="810"/>
        <w:rPr>
          <w:sz w:val="23"/>
          <w:szCs w:val="23"/>
        </w:rPr>
      </w:pPr>
      <w:r w:rsidRPr="006F2AA6">
        <w:rPr>
          <w:sz w:val="23"/>
          <w:szCs w:val="23"/>
        </w:rPr>
        <w:t>Patrick Kelly, National Center for Higher Education Management Systems (NCHEMS)</w:t>
      </w:r>
      <w:r w:rsidRPr="006F2AA6">
        <w:rPr>
          <w:sz w:val="23"/>
          <w:szCs w:val="23"/>
          <w:vertAlign w:val="superscript"/>
        </w:rPr>
        <w:t xml:space="preserve"> 2</w:t>
      </w:r>
    </w:p>
    <w:p w14:paraId="172D2AE5" w14:textId="77777777" w:rsidR="00A872F0" w:rsidRPr="006F2AA6" w:rsidRDefault="00A872F0" w:rsidP="00A872F0">
      <w:pPr>
        <w:ind w:left="810"/>
        <w:rPr>
          <w:sz w:val="23"/>
          <w:szCs w:val="23"/>
        </w:rPr>
      </w:pPr>
      <w:r w:rsidRPr="006F2AA6">
        <w:rPr>
          <w:sz w:val="23"/>
          <w:szCs w:val="23"/>
        </w:rPr>
        <w:t>Dawn Kenney, Central New Mexico Community College</w:t>
      </w:r>
      <w:r w:rsidRPr="006F2AA6">
        <w:rPr>
          <w:sz w:val="23"/>
          <w:szCs w:val="23"/>
          <w:vertAlign w:val="superscript"/>
        </w:rPr>
        <w:t>2</w:t>
      </w:r>
    </w:p>
    <w:p w14:paraId="3AD35F18" w14:textId="77777777" w:rsidR="00A872F0" w:rsidRPr="006F2AA6" w:rsidRDefault="00A872F0" w:rsidP="00A872F0">
      <w:pPr>
        <w:ind w:left="810"/>
        <w:rPr>
          <w:sz w:val="23"/>
          <w:szCs w:val="23"/>
        </w:rPr>
      </w:pPr>
      <w:r w:rsidRPr="006F2AA6">
        <w:rPr>
          <w:sz w:val="23"/>
          <w:szCs w:val="23"/>
        </w:rPr>
        <w:t>Wendy Kilgore, American Association of Collegiate Registrars and Admissions Officers (AACRAO)</w:t>
      </w:r>
    </w:p>
    <w:p w14:paraId="59F3F5A2" w14:textId="77777777" w:rsidR="00A872F0" w:rsidRPr="006F2AA6" w:rsidRDefault="00A872F0" w:rsidP="00A872F0">
      <w:pPr>
        <w:ind w:left="810"/>
        <w:rPr>
          <w:sz w:val="23"/>
          <w:szCs w:val="23"/>
        </w:rPr>
      </w:pPr>
      <w:r w:rsidRPr="006F2AA6">
        <w:rPr>
          <w:sz w:val="23"/>
          <w:szCs w:val="23"/>
        </w:rPr>
        <w:t>Stephen Kimata, University of Virginia</w:t>
      </w:r>
      <w:r w:rsidRPr="006F2AA6">
        <w:rPr>
          <w:sz w:val="23"/>
          <w:szCs w:val="23"/>
          <w:vertAlign w:val="superscript"/>
        </w:rPr>
        <w:t>2</w:t>
      </w:r>
    </w:p>
    <w:p w14:paraId="7F23207D" w14:textId="77777777" w:rsidR="00A872F0" w:rsidRPr="006F2AA6" w:rsidRDefault="00A872F0" w:rsidP="00A872F0">
      <w:pPr>
        <w:ind w:left="810"/>
        <w:rPr>
          <w:sz w:val="23"/>
          <w:szCs w:val="23"/>
        </w:rPr>
      </w:pPr>
      <w:r w:rsidRPr="006F2AA6">
        <w:rPr>
          <w:sz w:val="23"/>
          <w:szCs w:val="23"/>
        </w:rPr>
        <w:t>Sandra Kinney, Georgia Institute of Technology</w:t>
      </w:r>
      <w:r w:rsidRPr="006F2AA6">
        <w:rPr>
          <w:sz w:val="23"/>
          <w:szCs w:val="23"/>
          <w:vertAlign w:val="superscript"/>
        </w:rPr>
        <w:t>2</w:t>
      </w:r>
    </w:p>
    <w:p w14:paraId="01A2570C" w14:textId="77777777" w:rsidR="00A872F0" w:rsidRPr="006F2AA6" w:rsidRDefault="00A872F0" w:rsidP="00A872F0">
      <w:pPr>
        <w:ind w:left="810"/>
        <w:rPr>
          <w:sz w:val="23"/>
          <w:szCs w:val="23"/>
        </w:rPr>
      </w:pPr>
      <w:r w:rsidRPr="006F2AA6">
        <w:rPr>
          <w:sz w:val="23"/>
          <w:szCs w:val="23"/>
        </w:rPr>
        <w:t>Jeremy Kintzel, Missouri Department of Higher Education</w:t>
      </w:r>
      <w:r w:rsidRPr="006F2AA6">
        <w:rPr>
          <w:sz w:val="23"/>
          <w:szCs w:val="23"/>
          <w:vertAlign w:val="superscript"/>
        </w:rPr>
        <w:t>2</w:t>
      </w:r>
    </w:p>
    <w:p w14:paraId="4BF20FBF" w14:textId="77777777" w:rsidR="00A872F0" w:rsidRPr="006F2AA6" w:rsidRDefault="00A872F0" w:rsidP="00A872F0">
      <w:pPr>
        <w:ind w:left="810"/>
        <w:rPr>
          <w:sz w:val="23"/>
          <w:szCs w:val="23"/>
        </w:rPr>
      </w:pPr>
      <w:r w:rsidRPr="006F2AA6">
        <w:rPr>
          <w:sz w:val="23"/>
          <w:szCs w:val="23"/>
        </w:rPr>
        <w:t>Kimberly Kirkpatrick, Louisiana Board of Regents</w:t>
      </w:r>
      <w:r w:rsidRPr="006F2AA6">
        <w:rPr>
          <w:sz w:val="23"/>
          <w:szCs w:val="23"/>
          <w:vertAlign w:val="superscript"/>
        </w:rPr>
        <w:t>2</w:t>
      </w:r>
    </w:p>
    <w:p w14:paraId="2052E88F" w14:textId="77777777" w:rsidR="00A872F0" w:rsidRPr="006F2AA6" w:rsidRDefault="00A872F0" w:rsidP="00A872F0">
      <w:pPr>
        <w:ind w:left="810"/>
        <w:rPr>
          <w:sz w:val="23"/>
          <w:szCs w:val="23"/>
        </w:rPr>
      </w:pPr>
      <w:r w:rsidRPr="006F2AA6">
        <w:rPr>
          <w:sz w:val="23"/>
          <w:szCs w:val="23"/>
        </w:rPr>
        <w:t>Duane Knudson, Texas State University</w:t>
      </w:r>
    </w:p>
    <w:p w14:paraId="27B0708C" w14:textId="77777777" w:rsidR="00A872F0" w:rsidRPr="006F2AA6" w:rsidRDefault="00A872F0" w:rsidP="00A872F0">
      <w:pPr>
        <w:ind w:left="810"/>
        <w:rPr>
          <w:sz w:val="23"/>
          <w:szCs w:val="23"/>
        </w:rPr>
      </w:pPr>
      <w:r w:rsidRPr="006F2AA6">
        <w:rPr>
          <w:sz w:val="23"/>
          <w:szCs w:val="23"/>
        </w:rPr>
        <w:t>Laurie Koehler, George Washington University</w:t>
      </w:r>
    </w:p>
    <w:p w14:paraId="36DA5FFC" w14:textId="77777777" w:rsidR="00A872F0" w:rsidRPr="006F2AA6" w:rsidRDefault="00A872F0" w:rsidP="00A872F0">
      <w:pPr>
        <w:ind w:left="810"/>
        <w:rPr>
          <w:sz w:val="23"/>
          <w:szCs w:val="23"/>
        </w:rPr>
      </w:pPr>
      <w:r w:rsidRPr="006F2AA6">
        <w:rPr>
          <w:sz w:val="23"/>
          <w:szCs w:val="23"/>
        </w:rPr>
        <w:t>Tammy Kolbe, University of Vermont</w:t>
      </w:r>
      <w:r w:rsidRPr="006F2AA6">
        <w:rPr>
          <w:sz w:val="23"/>
          <w:szCs w:val="23"/>
          <w:vertAlign w:val="superscript"/>
        </w:rPr>
        <w:t>2</w:t>
      </w:r>
    </w:p>
    <w:p w14:paraId="72A11811" w14:textId="77777777" w:rsidR="00A872F0" w:rsidRPr="006F2AA6" w:rsidRDefault="00A872F0" w:rsidP="00A872F0">
      <w:pPr>
        <w:ind w:left="810"/>
        <w:rPr>
          <w:sz w:val="23"/>
          <w:szCs w:val="23"/>
        </w:rPr>
      </w:pPr>
      <w:r w:rsidRPr="006F2AA6">
        <w:rPr>
          <w:sz w:val="23"/>
          <w:szCs w:val="23"/>
        </w:rPr>
        <w:t>Sophia Laderman, SHEEO</w:t>
      </w:r>
    </w:p>
    <w:p w14:paraId="292535FE" w14:textId="77777777" w:rsidR="00A872F0" w:rsidRPr="006F2AA6" w:rsidRDefault="00A872F0" w:rsidP="00A872F0">
      <w:pPr>
        <w:ind w:left="810"/>
        <w:rPr>
          <w:sz w:val="23"/>
          <w:szCs w:val="23"/>
        </w:rPr>
      </w:pPr>
      <w:r w:rsidRPr="006F2AA6">
        <w:rPr>
          <w:sz w:val="23"/>
          <w:szCs w:val="23"/>
        </w:rPr>
        <w:t>Erez Lenchner, CUNY John Jay College</w:t>
      </w:r>
      <w:r w:rsidRPr="006F2AA6">
        <w:rPr>
          <w:sz w:val="23"/>
          <w:szCs w:val="23"/>
          <w:vertAlign w:val="superscript"/>
        </w:rPr>
        <w:t>2</w:t>
      </w:r>
    </w:p>
    <w:p w14:paraId="139527D2" w14:textId="77777777" w:rsidR="00A872F0" w:rsidRPr="006F2AA6" w:rsidRDefault="00A872F0" w:rsidP="00A872F0">
      <w:pPr>
        <w:ind w:left="810"/>
        <w:rPr>
          <w:sz w:val="23"/>
          <w:szCs w:val="23"/>
        </w:rPr>
      </w:pPr>
      <w:r w:rsidRPr="006F2AA6">
        <w:rPr>
          <w:sz w:val="23"/>
          <w:szCs w:val="23"/>
        </w:rPr>
        <w:t>Eric Lichtenberger, Illinois Board of Higher Education</w:t>
      </w:r>
    </w:p>
    <w:p w14:paraId="5C254EE5" w14:textId="77777777" w:rsidR="00A872F0" w:rsidRPr="006F2AA6" w:rsidRDefault="00A872F0" w:rsidP="00A872F0">
      <w:pPr>
        <w:ind w:left="810"/>
        <w:rPr>
          <w:sz w:val="23"/>
          <w:szCs w:val="23"/>
        </w:rPr>
      </w:pPr>
      <w:r w:rsidRPr="006F2AA6">
        <w:rPr>
          <w:sz w:val="23"/>
          <w:szCs w:val="23"/>
        </w:rPr>
        <w:t>Marc LoGrasso, Bryant &amp; Stratton College</w:t>
      </w:r>
      <w:r w:rsidRPr="006F2AA6">
        <w:rPr>
          <w:sz w:val="23"/>
          <w:szCs w:val="23"/>
          <w:vertAlign w:val="superscript"/>
        </w:rPr>
        <w:t>2</w:t>
      </w:r>
    </w:p>
    <w:p w14:paraId="1E509C75" w14:textId="77777777" w:rsidR="00A872F0" w:rsidRPr="006F2AA6" w:rsidRDefault="00A872F0" w:rsidP="00A872F0">
      <w:pPr>
        <w:ind w:left="810"/>
        <w:rPr>
          <w:sz w:val="23"/>
          <w:szCs w:val="23"/>
        </w:rPr>
      </w:pPr>
      <w:r w:rsidRPr="006F2AA6">
        <w:rPr>
          <w:sz w:val="23"/>
          <w:szCs w:val="23"/>
        </w:rPr>
        <w:t>Adam Looney, U.S. Department of the Treasury</w:t>
      </w:r>
    </w:p>
    <w:p w14:paraId="158EF23F" w14:textId="77777777" w:rsidR="00A872F0" w:rsidRPr="006F2AA6" w:rsidRDefault="00A872F0" w:rsidP="00A872F0">
      <w:pPr>
        <w:ind w:left="810"/>
        <w:rPr>
          <w:sz w:val="23"/>
          <w:szCs w:val="23"/>
        </w:rPr>
      </w:pPr>
      <w:r w:rsidRPr="006F2AA6">
        <w:rPr>
          <w:sz w:val="23"/>
          <w:szCs w:val="23"/>
        </w:rPr>
        <w:t>Susan Lounsbury, Southern Regional Education Board (SREB)</w:t>
      </w:r>
      <w:r w:rsidRPr="006F2AA6">
        <w:rPr>
          <w:sz w:val="23"/>
          <w:szCs w:val="23"/>
          <w:vertAlign w:val="superscript"/>
        </w:rPr>
        <w:t>2</w:t>
      </w:r>
    </w:p>
    <w:p w14:paraId="27F02824" w14:textId="77777777" w:rsidR="00A872F0" w:rsidRPr="006F2AA6" w:rsidRDefault="00A872F0" w:rsidP="00A872F0">
      <w:pPr>
        <w:ind w:left="810"/>
        <w:rPr>
          <w:sz w:val="23"/>
          <w:szCs w:val="23"/>
        </w:rPr>
      </w:pPr>
      <w:r w:rsidRPr="006F2AA6">
        <w:rPr>
          <w:sz w:val="23"/>
          <w:szCs w:val="23"/>
        </w:rPr>
        <w:t>Mona Lucas, University of Connecticut</w:t>
      </w:r>
      <w:r w:rsidRPr="006F2AA6">
        <w:rPr>
          <w:sz w:val="23"/>
          <w:szCs w:val="23"/>
          <w:vertAlign w:val="superscript"/>
        </w:rPr>
        <w:t>2</w:t>
      </w:r>
    </w:p>
    <w:p w14:paraId="4340AAF8" w14:textId="77777777" w:rsidR="00A872F0" w:rsidRPr="006F2AA6" w:rsidRDefault="00A872F0" w:rsidP="00A872F0">
      <w:pPr>
        <w:ind w:left="810"/>
        <w:rPr>
          <w:sz w:val="23"/>
          <w:szCs w:val="23"/>
        </w:rPr>
      </w:pPr>
      <w:r w:rsidRPr="006F2AA6">
        <w:rPr>
          <w:sz w:val="23"/>
          <w:szCs w:val="23"/>
        </w:rPr>
        <w:t>Jennifer Ma, The College Board</w:t>
      </w:r>
      <w:r w:rsidRPr="006F2AA6">
        <w:rPr>
          <w:sz w:val="23"/>
          <w:szCs w:val="23"/>
          <w:vertAlign w:val="superscript"/>
        </w:rPr>
        <w:t>2</w:t>
      </w:r>
    </w:p>
    <w:p w14:paraId="22EBC749" w14:textId="77777777" w:rsidR="00A872F0" w:rsidRPr="006F2AA6" w:rsidRDefault="00A872F0" w:rsidP="00A872F0">
      <w:pPr>
        <w:ind w:left="810"/>
        <w:rPr>
          <w:sz w:val="23"/>
          <w:szCs w:val="23"/>
        </w:rPr>
      </w:pPr>
      <w:r w:rsidRPr="006F2AA6">
        <w:rPr>
          <w:sz w:val="23"/>
          <w:szCs w:val="23"/>
        </w:rPr>
        <w:t>Marta Maldonado, Education Corporation of America</w:t>
      </w:r>
      <w:r w:rsidRPr="006F2AA6">
        <w:rPr>
          <w:sz w:val="23"/>
          <w:szCs w:val="23"/>
          <w:vertAlign w:val="superscript"/>
        </w:rPr>
        <w:t>2</w:t>
      </w:r>
    </w:p>
    <w:p w14:paraId="4A48F12B" w14:textId="77777777" w:rsidR="00A872F0" w:rsidRPr="006F2AA6" w:rsidRDefault="00A872F0" w:rsidP="00A872F0">
      <w:pPr>
        <w:ind w:left="810"/>
        <w:rPr>
          <w:sz w:val="23"/>
          <w:szCs w:val="23"/>
        </w:rPr>
      </w:pPr>
      <w:r w:rsidRPr="006F2AA6">
        <w:rPr>
          <w:sz w:val="23"/>
          <w:szCs w:val="23"/>
        </w:rPr>
        <w:t>Noah Mann, Office of Management and Budget (OMB)</w:t>
      </w:r>
      <w:r w:rsidRPr="006F2AA6">
        <w:rPr>
          <w:sz w:val="23"/>
          <w:szCs w:val="23"/>
          <w:vertAlign w:val="superscript"/>
        </w:rPr>
        <w:t>2</w:t>
      </w:r>
    </w:p>
    <w:p w14:paraId="6B58DA8E" w14:textId="77777777" w:rsidR="00A872F0" w:rsidRPr="006F2AA6" w:rsidRDefault="00A872F0" w:rsidP="00A872F0">
      <w:pPr>
        <w:ind w:left="810"/>
        <w:rPr>
          <w:sz w:val="23"/>
          <w:szCs w:val="23"/>
        </w:rPr>
      </w:pPr>
      <w:r w:rsidRPr="006F2AA6">
        <w:rPr>
          <w:sz w:val="23"/>
          <w:szCs w:val="23"/>
        </w:rPr>
        <w:t>Tod Massa, State Council of Higher Education for Virginia</w:t>
      </w:r>
      <w:r w:rsidRPr="006F2AA6">
        <w:rPr>
          <w:sz w:val="23"/>
          <w:szCs w:val="23"/>
          <w:vertAlign w:val="superscript"/>
        </w:rPr>
        <w:t>2</w:t>
      </w:r>
    </w:p>
    <w:p w14:paraId="4AC574EB" w14:textId="77777777" w:rsidR="00A872F0" w:rsidRPr="006F2AA6" w:rsidRDefault="00A872F0" w:rsidP="00A872F0">
      <w:pPr>
        <w:ind w:left="810"/>
        <w:rPr>
          <w:sz w:val="23"/>
          <w:szCs w:val="23"/>
        </w:rPr>
      </w:pPr>
      <w:r w:rsidRPr="006F2AA6">
        <w:rPr>
          <w:sz w:val="23"/>
          <w:szCs w:val="23"/>
        </w:rPr>
        <w:t>Carolyn Mata, Georgia Independent College Association</w:t>
      </w:r>
      <w:r w:rsidRPr="006F2AA6">
        <w:rPr>
          <w:sz w:val="23"/>
          <w:szCs w:val="23"/>
          <w:vertAlign w:val="superscript"/>
        </w:rPr>
        <w:t>2</w:t>
      </w:r>
    </w:p>
    <w:p w14:paraId="1423349D" w14:textId="77777777" w:rsidR="00A872F0" w:rsidRPr="006F2AA6" w:rsidRDefault="00A872F0" w:rsidP="00A872F0">
      <w:pPr>
        <w:ind w:left="810"/>
        <w:rPr>
          <w:sz w:val="23"/>
          <w:szCs w:val="23"/>
        </w:rPr>
      </w:pPr>
      <w:r w:rsidRPr="006F2AA6">
        <w:rPr>
          <w:sz w:val="23"/>
          <w:szCs w:val="23"/>
        </w:rPr>
        <w:t>Michael Matier, Academic Analytics (AcA).</w:t>
      </w:r>
      <w:r w:rsidRPr="006F2AA6">
        <w:rPr>
          <w:sz w:val="23"/>
          <w:szCs w:val="23"/>
          <w:vertAlign w:val="superscript"/>
        </w:rPr>
        <w:t>2</w:t>
      </w:r>
    </w:p>
    <w:p w14:paraId="25A62B53" w14:textId="77777777" w:rsidR="00A872F0" w:rsidRPr="006F2AA6" w:rsidRDefault="00A872F0" w:rsidP="00A872F0">
      <w:pPr>
        <w:ind w:left="810"/>
        <w:rPr>
          <w:sz w:val="23"/>
          <w:szCs w:val="23"/>
        </w:rPr>
      </w:pPr>
      <w:r w:rsidRPr="006F2AA6">
        <w:rPr>
          <w:sz w:val="23"/>
          <w:szCs w:val="23"/>
        </w:rPr>
        <w:t>Jordan Matsudaira, Cornell University</w:t>
      </w:r>
    </w:p>
    <w:p w14:paraId="72D8E325" w14:textId="77777777" w:rsidR="00A872F0" w:rsidRPr="006F2AA6" w:rsidRDefault="00A872F0" w:rsidP="00A872F0">
      <w:pPr>
        <w:ind w:left="810"/>
        <w:rPr>
          <w:sz w:val="23"/>
          <w:szCs w:val="23"/>
        </w:rPr>
      </w:pPr>
      <w:r w:rsidRPr="006F2AA6">
        <w:rPr>
          <w:sz w:val="23"/>
          <w:szCs w:val="23"/>
        </w:rPr>
        <w:t>Lisa Mazure, Lansing Community College</w:t>
      </w:r>
    </w:p>
    <w:p w14:paraId="058EF409" w14:textId="77777777" w:rsidR="00A872F0" w:rsidRPr="006F2AA6" w:rsidRDefault="00A872F0" w:rsidP="00A872F0">
      <w:pPr>
        <w:ind w:left="810"/>
        <w:rPr>
          <w:sz w:val="23"/>
          <w:szCs w:val="23"/>
        </w:rPr>
      </w:pPr>
      <w:r w:rsidRPr="006F2AA6">
        <w:rPr>
          <w:sz w:val="23"/>
          <w:szCs w:val="23"/>
        </w:rPr>
        <w:t>Clare McCann, Office of Planning, Evaluation and Policy Development (OPEPD)</w:t>
      </w:r>
      <w:r w:rsidRPr="006F2AA6">
        <w:rPr>
          <w:sz w:val="23"/>
          <w:szCs w:val="23"/>
          <w:vertAlign w:val="superscript"/>
        </w:rPr>
        <w:t>2</w:t>
      </w:r>
    </w:p>
    <w:p w14:paraId="5834BED5" w14:textId="77777777" w:rsidR="00A872F0" w:rsidRPr="006F2AA6" w:rsidRDefault="00A872F0" w:rsidP="00A872F0">
      <w:pPr>
        <w:ind w:left="810"/>
        <w:rPr>
          <w:sz w:val="23"/>
          <w:szCs w:val="23"/>
        </w:rPr>
      </w:pPr>
      <w:r w:rsidRPr="006F2AA6">
        <w:rPr>
          <w:sz w:val="23"/>
          <w:szCs w:val="23"/>
        </w:rPr>
        <w:t>Deborah McNeal, Coahoma Community College</w:t>
      </w:r>
      <w:r w:rsidRPr="006F2AA6">
        <w:rPr>
          <w:sz w:val="23"/>
          <w:szCs w:val="23"/>
          <w:vertAlign w:val="superscript"/>
        </w:rPr>
        <w:t>2</w:t>
      </w:r>
    </w:p>
    <w:p w14:paraId="7A89C8BE" w14:textId="77777777" w:rsidR="00A872F0" w:rsidRPr="006F2AA6" w:rsidRDefault="00A872F0" w:rsidP="00A872F0">
      <w:pPr>
        <w:ind w:left="810"/>
        <w:rPr>
          <w:sz w:val="23"/>
          <w:szCs w:val="23"/>
        </w:rPr>
      </w:pPr>
      <w:r w:rsidRPr="006F2AA6">
        <w:rPr>
          <w:sz w:val="23"/>
          <w:szCs w:val="23"/>
        </w:rPr>
        <w:t>Allan Medwick, Urisdae Analytics</w:t>
      </w:r>
      <w:r w:rsidRPr="006F2AA6">
        <w:rPr>
          <w:sz w:val="23"/>
          <w:szCs w:val="23"/>
          <w:vertAlign w:val="superscript"/>
        </w:rPr>
        <w:t>2</w:t>
      </w:r>
    </w:p>
    <w:p w14:paraId="12E71949" w14:textId="77777777" w:rsidR="00A872F0" w:rsidRPr="006F2AA6" w:rsidRDefault="00A872F0" w:rsidP="00A872F0">
      <w:pPr>
        <w:ind w:left="810"/>
        <w:rPr>
          <w:sz w:val="23"/>
          <w:szCs w:val="23"/>
        </w:rPr>
      </w:pPr>
      <w:r w:rsidRPr="006F2AA6">
        <w:rPr>
          <w:sz w:val="23"/>
          <w:szCs w:val="23"/>
        </w:rPr>
        <w:t>Patrick Meldrim, Tennessee Independent Colleges and Universities Association (TICUA)</w:t>
      </w:r>
      <w:r w:rsidRPr="006F2AA6">
        <w:rPr>
          <w:sz w:val="23"/>
          <w:szCs w:val="23"/>
          <w:vertAlign w:val="superscript"/>
        </w:rPr>
        <w:t>2</w:t>
      </w:r>
    </w:p>
    <w:p w14:paraId="46C1CD87" w14:textId="77777777" w:rsidR="00A872F0" w:rsidRPr="006F2AA6" w:rsidRDefault="00A872F0" w:rsidP="00A872F0">
      <w:pPr>
        <w:ind w:left="810"/>
        <w:rPr>
          <w:sz w:val="23"/>
          <w:szCs w:val="23"/>
        </w:rPr>
      </w:pPr>
      <w:r w:rsidRPr="006F2AA6">
        <w:rPr>
          <w:sz w:val="23"/>
          <w:szCs w:val="23"/>
        </w:rPr>
        <w:t>Susan Menditto, National Association of College and University Business Officers (NACUBO)</w:t>
      </w:r>
      <w:r w:rsidRPr="006F2AA6">
        <w:rPr>
          <w:sz w:val="23"/>
          <w:szCs w:val="23"/>
          <w:vertAlign w:val="superscript"/>
        </w:rPr>
        <w:t>2</w:t>
      </w:r>
    </w:p>
    <w:p w14:paraId="13F67CE0" w14:textId="77777777" w:rsidR="00A872F0" w:rsidRPr="006F2AA6" w:rsidRDefault="00A872F0" w:rsidP="00A872F0">
      <w:pPr>
        <w:ind w:left="810"/>
        <w:rPr>
          <w:sz w:val="23"/>
          <w:szCs w:val="23"/>
        </w:rPr>
      </w:pPr>
      <w:r w:rsidRPr="006F2AA6">
        <w:rPr>
          <w:sz w:val="23"/>
          <w:szCs w:val="23"/>
        </w:rPr>
        <w:t>Soon Merz, Austin Community College</w:t>
      </w:r>
      <w:r w:rsidRPr="006F2AA6">
        <w:rPr>
          <w:sz w:val="23"/>
          <w:szCs w:val="23"/>
          <w:vertAlign w:val="superscript"/>
        </w:rPr>
        <w:t>2</w:t>
      </w:r>
    </w:p>
    <w:p w14:paraId="72216621" w14:textId="77777777" w:rsidR="00A872F0" w:rsidRPr="006F2AA6" w:rsidRDefault="00A872F0" w:rsidP="00A872F0">
      <w:pPr>
        <w:ind w:left="810"/>
        <w:rPr>
          <w:sz w:val="23"/>
          <w:szCs w:val="23"/>
        </w:rPr>
      </w:pPr>
      <w:r w:rsidRPr="006F2AA6">
        <w:rPr>
          <w:sz w:val="23"/>
          <w:szCs w:val="23"/>
        </w:rPr>
        <w:t>Ivan Metzger, U.S. Department of Education</w:t>
      </w:r>
    </w:p>
    <w:p w14:paraId="0657E824" w14:textId="77777777" w:rsidR="00A872F0" w:rsidRPr="006F2AA6" w:rsidRDefault="00A872F0" w:rsidP="00A872F0">
      <w:pPr>
        <w:ind w:left="810"/>
        <w:rPr>
          <w:sz w:val="23"/>
          <w:szCs w:val="23"/>
        </w:rPr>
      </w:pPr>
      <w:r w:rsidRPr="006F2AA6">
        <w:rPr>
          <w:sz w:val="23"/>
          <w:szCs w:val="23"/>
        </w:rPr>
        <w:t>Erie Meyer, The White House</w:t>
      </w:r>
    </w:p>
    <w:p w14:paraId="75717322" w14:textId="77777777" w:rsidR="00A872F0" w:rsidRPr="006F2AA6" w:rsidRDefault="00A872F0" w:rsidP="00A872F0">
      <w:pPr>
        <w:ind w:left="810"/>
        <w:rPr>
          <w:sz w:val="23"/>
          <w:szCs w:val="23"/>
        </w:rPr>
      </w:pPr>
      <w:r w:rsidRPr="006F2AA6">
        <w:rPr>
          <w:sz w:val="23"/>
          <w:szCs w:val="23"/>
        </w:rPr>
        <w:t>John Milam, Lord Fairfax Community College</w:t>
      </w:r>
      <w:r w:rsidRPr="006F2AA6">
        <w:rPr>
          <w:sz w:val="23"/>
          <w:szCs w:val="23"/>
          <w:vertAlign w:val="superscript"/>
        </w:rPr>
        <w:t>2</w:t>
      </w:r>
    </w:p>
    <w:p w14:paraId="1C5AD930" w14:textId="77777777" w:rsidR="00A872F0" w:rsidRPr="006F2AA6" w:rsidRDefault="00A872F0" w:rsidP="00A872F0">
      <w:pPr>
        <w:ind w:left="810"/>
        <w:rPr>
          <w:sz w:val="23"/>
          <w:szCs w:val="23"/>
        </w:rPr>
      </w:pPr>
      <w:r w:rsidRPr="006F2AA6">
        <w:rPr>
          <w:sz w:val="23"/>
          <w:szCs w:val="23"/>
        </w:rPr>
        <w:t>Abby Miller, Coffey Consulting, LLC</w:t>
      </w:r>
      <w:r w:rsidRPr="006F2AA6">
        <w:rPr>
          <w:sz w:val="23"/>
          <w:szCs w:val="23"/>
          <w:vertAlign w:val="superscript"/>
        </w:rPr>
        <w:t>2</w:t>
      </w:r>
    </w:p>
    <w:p w14:paraId="644AC766" w14:textId="77777777" w:rsidR="00A872F0" w:rsidRPr="006F2AA6" w:rsidRDefault="00A872F0" w:rsidP="00A872F0">
      <w:pPr>
        <w:ind w:left="810"/>
        <w:rPr>
          <w:sz w:val="23"/>
          <w:szCs w:val="23"/>
        </w:rPr>
      </w:pPr>
      <w:r w:rsidRPr="006F2AA6">
        <w:rPr>
          <w:sz w:val="23"/>
          <w:szCs w:val="23"/>
        </w:rPr>
        <w:t>Ben Miller, Center for American Progress</w:t>
      </w:r>
      <w:r w:rsidRPr="006F2AA6">
        <w:rPr>
          <w:sz w:val="23"/>
          <w:szCs w:val="23"/>
          <w:vertAlign w:val="superscript"/>
        </w:rPr>
        <w:t>2</w:t>
      </w:r>
    </w:p>
    <w:p w14:paraId="23D08067" w14:textId="77777777" w:rsidR="00A872F0" w:rsidRPr="006F2AA6" w:rsidRDefault="00A872F0" w:rsidP="00A872F0">
      <w:pPr>
        <w:ind w:left="810"/>
        <w:rPr>
          <w:sz w:val="23"/>
          <w:szCs w:val="23"/>
        </w:rPr>
      </w:pPr>
      <w:r w:rsidRPr="006F2AA6">
        <w:rPr>
          <w:sz w:val="23"/>
          <w:szCs w:val="23"/>
        </w:rPr>
        <w:t>Jack Miner, The Ohio State University</w:t>
      </w:r>
    </w:p>
    <w:p w14:paraId="10DABBEC" w14:textId="77777777" w:rsidR="00A872F0" w:rsidRPr="006F2AA6" w:rsidRDefault="00A872F0" w:rsidP="00A872F0">
      <w:pPr>
        <w:ind w:left="810"/>
        <w:rPr>
          <w:sz w:val="23"/>
          <w:szCs w:val="23"/>
        </w:rPr>
      </w:pPr>
      <w:r w:rsidRPr="006F2AA6">
        <w:rPr>
          <w:sz w:val="23"/>
          <w:szCs w:val="23"/>
        </w:rPr>
        <w:t>Ted Mitchell, U.S. Department of Education</w:t>
      </w:r>
      <w:r w:rsidRPr="006F2AA6">
        <w:rPr>
          <w:sz w:val="23"/>
          <w:szCs w:val="23"/>
          <w:vertAlign w:val="superscript"/>
        </w:rPr>
        <w:t>2</w:t>
      </w:r>
    </w:p>
    <w:p w14:paraId="326811AB" w14:textId="77777777" w:rsidR="00A872F0" w:rsidRPr="006F2AA6" w:rsidRDefault="00A872F0" w:rsidP="00A872F0">
      <w:pPr>
        <w:ind w:left="810"/>
        <w:rPr>
          <w:sz w:val="23"/>
          <w:szCs w:val="23"/>
        </w:rPr>
      </w:pPr>
      <w:r w:rsidRPr="006F2AA6">
        <w:rPr>
          <w:sz w:val="23"/>
          <w:szCs w:val="23"/>
        </w:rPr>
        <w:t>Julie Morgan, Bill &amp; Melinda Gates Foundation</w:t>
      </w:r>
      <w:r w:rsidRPr="006F2AA6">
        <w:rPr>
          <w:sz w:val="23"/>
          <w:szCs w:val="23"/>
          <w:vertAlign w:val="superscript"/>
        </w:rPr>
        <w:t>2</w:t>
      </w:r>
    </w:p>
    <w:p w14:paraId="5D7AAB28" w14:textId="77777777" w:rsidR="00A872F0" w:rsidRPr="006F2AA6" w:rsidRDefault="00A872F0" w:rsidP="00A872F0">
      <w:pPr>
        <w:ind w:left="810"/>
        <w:rPr>
          <w:sz w:val="23"/>
          <w:szCs w:val="23"/>
        </w:rPr>
      </w:pPr>
      <w:r w:rsidRPr="006F2AA6">
        <w:rPr>
          <w:sz w:val="23"/>
          <w:szCs w:val="23"/>
        </w:rPr>
        <w:t>Christopher Mullin, Strong Start to Finish</w:t>
      </w:r>
      <w:r w:rsidRPr="006F2AA6">
        <w:rPr>
          <w:sz w:val="23"/>
          <w:szCs w:val="23"/>
          <w:vertAlign w:val="superscript"/>
        </w:rPr>
        <w:t>2</w:t>
      </w:r>
    </w:p>
    <w:p w14:paraId="4604F5CC" w14:textId="77777777" w:rsidR="00A872F0" w:rsidRPr="006F2AA6" w:rsidRDefault="00A872F0" w:rsidP="00A872F0">
      <w:pPr>
        <w:ind w:left="810"/>
        <w:rPr>
          <w:sz w:val="23"/>
          <w:szCs w:val="23"/>
        </w:rPr>
      </w:pPr>
      <w:r w:rsidRPr="006F2AA6">
        <w:rPr>
          <w:sz w:val="23"/>
          <w:szCs w:val="23"/>
        </w:rPr>
        <w:t>Denise Nadasen, Association of Public and Land-Grant Universities</w:t>
      </w:r>
      <w:r w:rsidRPr="006F2AA6">
        <w:rPr>
          <w:sz w:val="23"/>
          <w:szCs w:val="23"/>
          <w:vertAlign w:val="superscript"/>
        </w:rPr>
        <w:t>2</w:t>
      </w:r>
    </w:p>
    <w:p w14:paraId="47566BE6" w14:textId="77777777" w:rsidR="00A872F0" w:rsidRPr="006F2AA6" w:rsidRDefault="00A872F0" w:rsidP="00A872F0">
      <w:pPr>
        <w:ind w:left="810"/>
        <w:rPr>
          <w:sz w:val="23"/>
          <w:szCs w:val="23"/>
        </w:rPr>
      </w:pPr>
      <w:r w:rsidRPr="006F2AA6">
        <w:rPr>
          <w:sz w:val="23"/>
          <w:szCs w:val="23"/>
        </w:rPr>
        <w:t>Amanda Nagle , Office of Management and Budget (OMB)</w:t>
      </w:r>
    </w:p>
    <w:p w14:paraId="597639C2" w14:textId="77777777" w:rsidR="00A872F0" w:rsidRPr="006F2AA6" w:rsidRDefault="00A872F0" w:rsidP="00A872F0">
      <w:pPr>
        <w:ind w:left="810"/>
        <w:rPr>
          <w:sz w:val="23"/>
          <w:szCs w:val="23"/>
        </w:rPr>
      </w:pPr>
      <w:r w:rsidRPr="006F2AA6">
        <w:rPr>
          <w:sz w:val="23"/>
          <w:szCs w:val="23"/>
        </w:rPr>
        <w:t>Ayushi Narayan, Council of Economic Advisers</w:t>
      </w:r>
    </w:p>
    <w:p w14:paraId="2792B433" w14:textId="77777777" w:rsidR="00A872F0" w:rsidRPr="006F2AA6" w:rsidRDefault="00A872F0" w:rsidP="00A872F0">
      <w:pPr>
        <w:ind w:left="810"/>
        <w:rPr>
          <w:sz w:val="23"/>
          <w:szCs w:val="23"/>
        </w:rPr>
      </w:pPr>
      <w:r w:rsidRPr="006F2AA6">
        <w:rPr>
          <w:sz w:val="23"/>
          <w:szCs w:val="23"/>
        </w:rPr>
        <w:t>Christopher Nellum, The Education Trust–West (ETW)</w:t>
      </w:r>
      <w:r w:rsidRPr="006F2AA6">
        <w:rPr>
          <w:sz w:val="23"/>
          <w:szCs w:val="23"/>
          <w:vertAlign w:val="superscript"/>
        </w:rPr>
        <w:t>2</w:t>
      </w:r>
    </w:p>
    <w:p w14:paraId="4217D182" w14:textId="77777777" w:rsidR="00A872F0" w:rsidRPr="006F2AA6" w:rsidRDefault="00A872F0" w:rsidP="00A872F0">
      <w:pPr>
        <w:ind w:left="810"/>
        <w:rPr>
          <w:sz w:val="23"/>
          <w:szCs w:val="23"/>
        </w:rPr>
      </w:pPr>
      <w:r w:rsidRPr="006F2AA6">
        <w:rPr>
          <w:sz w:val="23"/>
          <w:szCs w:val="23"/>
        </w:rPr>
        <w:t>Andrew Nichols, The Education Trust</w:t>
      </w:r>
    </w:p>
    <w:p w14:paraId="26CD3EEC" w14:textId="77777777" w:rsidR="00A872F0" w:rsidRPr="006F2AA6" w:rsidRDefault="00A872F0" w:rsidP="00A872F0">
      <w:pPr>
        <w:ind w:left="810"/>
        <w:rPr>
          <w:sz w:val="23"/>
          <w:szCs w:val="23"/>
        </w:rPr>
      </w:pPr>
      <w:r w:rsidRPr="006F2AA6">
        <w:rPr>
          <w:sz w:val="23"/>
          <w:szCs w:val="23"/>
        </w:rPr>
        <w:t>Danyelle Norman, Association of Independent California Colleges and Universities (AICCU)</w:t>
      </w:r>
    </w:p>
    <w:p w14:paraId="2AF39D48" w14:textId="77777777" w:rsidR="00A872F0" w:rsidRPr="006F2AA6" w:rsidRDefault="00A872F0" w:rsidP="00A872F0">
      <w:pPr>
        <w:ind w:left="810"/>
        <w:rPr>
          <w:sz w:val="23"/>
          <w:szCs w:val="23"/>
        </w:rPr>
      </w:pPr>
      <w:r w:rsidRPr="006F2AA6">
        <w:rPr>
          <w:sz w:val="23"/>
          <w:szCs w:val="23"/>
        </w:rPr>
        <w:t>Jon O'Bergh, Office of the Under Secretary (OUS)</w:t>
      </w:r>
      <w:r w:rsidRPr="006F2AA6">
        <w:rPr>
          <w:sz w:val="23"/>
          <w:szCs w:val="23"/>
          <w:vertAlign w:val="superscript"/>
        </w:rPr>
        <w:t xml:space="preserve"> 2</w:t>
      </w:r>
    </w:p>
    <w:p w14:paraId="5EE599D0" w14:textId="77777777" w:rsidR="00A872F0" w:rsidRPr="006F2AA6" w:rsidRDefault="00A872F0" w:rsidP="00A872F0">
      <w:pPr>
        <w:ind w:left="810"/>
        <w:rPr>
          <w:sz w:val="23"/>
          <w:szCs w:val="23"/>
        </w:rPr>
      </w:pPr>
      <w:r w:rsidRPr="006F2AA6">
        <w:rPr>
          <w:sz w:val="23"/>
          <w:szCs w:val="23"/>
        </w:rPr>
        <w:t>Karen O'Brien, Penn State University, University Budget Office</w:t>
      </w:r>
      <w:r w:rsidRPr="006F2AA6">
        <w:rPr>
          <w:sz w:val="23"/>
          <w:szCs w:val="23"/>
          <w:vertAlign w:val="superscript"/>
        </w:rPr>
        <w:t>2</w:t>
      </w:r>
    </w:p>
    <w:p w14:paraId="294AA56B" w14:textId="77777777" w:rsidR="00A872F0" w:rsidRPr="006F2AA6" w:rsidRDefault="00A872F0" w:rsidP="00A872F0">
      <w:pPr>
        <w:ind w:left="810"/>
        <w:rPr>
          <w:sz w:val="23"/>
          <w:szCs w:val="23"/>
        </w:rPr>
      </w:pPr>
      <w:r w:rsidRPr="006F2AA6">
        <w:rPr>
          <w:sz w:val="23"/>
          <w:szCs w:val="23"/>
        </w:rPr>
        <w:t>Martha Oburn, Houston Community College</w:t>
      </w:r>
      <w:r w:rsidRPr="006F2AA6">
        <w:rPr>
          <w:sz w:val="23"/>
          <w:szCs w:val="23"/>
          <w:vertAlign w:val="superscript"/>
        </w:rPr>
        <w:t>2</w:t>
      </w:r>
    </w:p>
    <w:p w14:paraId="2FB8C015" w14:textId="77777777" w:rsidR="00A872F0" w:rsidRPr="006F2AA6" w:rsidRDefault="00A872F0" w:rsidP="00A872F0">
      <w:pPr>
        <w:ind w:left="810"/>
        <w:rPr>
          <w:sz w:val="23"/>
          <w:szCs w:val="23"/>
        </w:rPr>
      </w:pPr>
      <w:r w:rsidRPr="006F2AA6">
        <w:rPr>
          <w:sz w:val="23"/>
          <w:szCs w:val="23"/>
        </w:rPr>
        <w:t>Peter Oldershaw, American Institutes for Research/NCES</w:t>
      </w:r>
      <w:r w:rsidRPr="006F2AA6">
        <w:rPr>
          <w:sz w:val="23"/>
          <w:szCs w:val="23"/>
          <w:vertAlign w:val="superscript"/>
        </w:rPr>
        <w:t>2</w:t>
      </w:r>
    </w:p>
    <w:p w14:paraId="5DADA0AC" w14:textId="77777777" w:rsidR="00A872F0" w:rsidRPr="006F2AA6" w:rsidRDefault="00A872F0" w:rsidP="00A872F0">
      <w:pPr>
        <w:ind w:left="810"/>
        <w:rPr>
          <w:sz w:val="23"/>
          <w:szCs w:val="23"/>
        </w:rPr>
      </w:pPr>
      <w:r w:rsidRPr="006F2AA6">
        <w:rPr>
          <w:sz w:val="23"/>
          <w:szCs w:val="23"/>
        </w:rPr>
        <w:t>Iris Palmer, New America</w:t>
      </w:r>
    </w:p>
    <w:p w14:paraId="68F9C56B" w14:textId="77777777" w:rsidR="00A872F0" w:rsidRPr="006F2AA6" w:rsidRDefault="00A872F0" w:rsidP="00A872F0">
      <w:pPr>
        <w:ind w:left="810"/>
        <w:rPr>
          <w:sz w:val="23"/>
          <w:szCs w:val="23"/>
        </w:rPr>
      </w:pPr>
      <w:r w:rsidRPr="006F2AA6">
        <w:rPr>
          <w:sz w:val="23"/>
          <w:szCs w:val="23"/>
        </w:rPr>
        <w:t>Anthony Parandi, Indiana Wesleyan University</w:t>
      </w:r>
    </w:p>
    <w:p w14:paraId="51177908" w14:textId="77777777" w:rsidR="00A872F0" w:rsidRPr="006F2AA6" w:rsidRDefault="00A872F0" w:rsidP="00A872F0">
      <w:pPr>
        <w:ind w:left="810"/>
        <w:rPr>
          <w:sz w:val="23"/>
          <w:szCs w:val="23"/>
        </w:rPr>
      </w:pPr>
      <w:r w:rsidRPr="006F2AA6">
        <w:rPr>
          <w:sz w:val="23"/>
          <w:szCs w:val="23"/>
        </w:rPr>
        <w:t>Emily Parker, American Association of State Colleges and Universities (AASCU)</w:t>
      </w:r>
      <w:r w:rsidRPr="006F2AA6">
        <w:rPr>
          <w:sz w:val="23"/>
          <w:szCs w:val="23"/>
          <w:vertAlign w:val="superscript"/>
        </w:rPr>
        <w:t>2</w:t>
      </w:r>
    </w:p>
    <w:p w14:paraId="0C8AF59C" w14:textId="77777777" w:rsidR="00A872F0" w:rsidRPr="006F2AA6" w:rsidRDefault="00A872F0" w:rsidP="00A872F0">
      <w:pPr>
        <w:ind w:left="810"/>
        <w:rPr>
          <w:sz w:val="23"/>
          <w:szCs w:val="23"/>
        </w:rPr>
      </w:pPr>
      <w:r w:rsidRPr="006F2AA6">
        <w:rPr>
          <w:sz w:val="23"/>
          <w:szCs w:val="23"/>
        </w:rPr>
        <w:t>Amelia Parnell, Student Affairs Professionals in Higher Education</w:t>
      </w:r>
    </w:p>
    <w:p w14:paraId="49FD2302" w14:textId="77777777" w:rsidR="00A872F0" w:rsidRPr="006F2AA6" w:rsidRDefault="00A872F0" w:rsidP="00A872F0">
      <w:pPr>
        <w:ind w:left="810"/>
        <w:rPr>
          <w:sz w:val="23"/>
          <w:szCs w:val="23"/>
        </w:rPr>
      </w:pPr>
      <w:r w:rsidRPr="006F2AA6">
        <w:rPr>
          <w:sz w:val="23"/>
          <w:szCs w:val="23"/>
        </w:rPr>
        <w:t>Audrey Peek, American Institutes for Research</w:t>
      </w:r>
      <w:r w:rsidRPr="006F2AA6">
        <w:rPr>
          <w:sz w:val="23"/>
          <w:szCs w:val="23"/>
          <w:vertAlign w:val="superscript"/>
        </w:rPr>
        <w:t>2</w:t>
      </w:r>
    </w:p>
    <w:p w14:paraId="0F34EC8E" w14:textId="77777777" w:rsidR="00A872F0" w:rsidRPr="006F2AA6" w:rsidRDefault="00A872F0" w:rsidP="00A872F0">
      <w:pPr>
        <w:ind w:left="810"/>
        <w:rPr>
          <w:sz w:val="23"/>
          <w:szCs w:val="23"/>
        </w:rPr>
      </w:pPr>
      <w:r w:rsidRPr="006F2AA6">
        <w:rPr>
          <w:sz w:val="23"/>
          <w:szCs w:val="23"/>
        </w:rPr>
        <w:t>Patrick Perry, California State University</w:t>
      </w:r>
      <w:r w:rsidRPr="006F2AA6">
        <w:rPr>
          <w:sz w:val="23"/>
          <w:szCs w:val="23"/>
          <w:vertAlign w:val="superscript"/>
        </w:rPr>
        <w:t>2</w:t>
      </w:r>
    </w:p>
    <w:p w14:paraId="7C63BB7B" w14:textId="77777777" w:rsidR="00A872F0" w:rsidRPr="006F2AA6" w:rsidRDefault="00A872F0" w:rsidP="00A872F0">
      <w:pPr>
        <w:ind w:left="810"/>
        <w:rPr>
          <w:sz w:val="23"/>
          <w:szCs w:val="23"/>
        </w:rPr>
      </w:pPr>
      <w:r w:rsidRPr="006F2AA6">
        <w:rPr>
          <w:sz w:val="23"/>
          <w:szCs w:val="23"/>
        </w:rPr>
        <w:t>Kent Phillippe, American Association of Community Colleges</w:t>
      </w:r>
      <w:r w:rsidRPr="006F2AA6">
        <w:rPr>
          <w:sz w:val="23"/>
          <w:szCs w:val="23"/>
          <w:vertAlign w:val="superscript"/>
        </w:rPr>
        <w:t>2</w:t>
      </w:r>
    </w:p>
    <w:p w14:paraId="191C4ADB" w14:textId="77777777" w:rsidR="00A872F0" w:rsidRPr="006F2AA6" w:rsidRDefault="00A872F0" w:rsidP="00A872F0">
      <w:pPr>
        <w:ind w:left="810"/>
        <w:rPr>
          <w:sz w:val="23"/>
          <w:szCs w:val="23"/>
        </w:rPr>
      </w:pPr>
      <w:r w:rsidRPr="006F2AA6">
        <w:rPr>
          <w:sz w:val="23"/>
          <w:szCs w:val="23"/>
        </w:rPr>
        <w:t>Shawn Potter, Tulane University</w:t>
      </w:r>
    </w:p>
    <w:p w14:paraId="6D70800F" w14:textId="77777777" w:rsidR="00A872F0" w:rsidRPr="006F2AA6" w:rsidRDefault="00A872F0" w:rsidP="00A872F0">
      <w:pPr>
        <w:ind w:left="810"/>
        <w:rPr>
          <w:sz w:val="23"/>
          <w:szCs w:val="23"/>
        </w:rPr>
      </w:pPr>
      <w:r w:rsidRPr="006F2AA6">
        <w:rPr>
          <w:sz w:val="23"/>
          <w:szCs w:val="23"/>
        </w:rPr>
        <w:t>Kristina Powers, K Powers Consulting Inc</w:t>
      </w:r>
      <w:r w:rsidRPr="006F2AA6">
        <w:rPr>
          <w:sz w:val="23"/>
          <w:szCs w:val="23"/>
          <w:vertAlign w:val="superscript"/>
        </w:rPr>
        <w:t>2</w:t>
      </w:r>
    </w:p>
    <w:p w14:paraId="0FEDAAC0" w14:textId="77777777" w:rsidR="00A872F0" w:rsidRPr="006F2AA6" w:rsidRDefault="00A872F0" w:rsidP="00A872F0">
      <w:pPr>
        <w:ind w:left="810"/>
        <w:rPr>
          <w:sz w:val="23"/>
          <w:szCs w:val="23"/>
        </w:rPr>
      </w:pPr>
      <w:r w:rsidRPr="006F2AA6">
        <w:rPr>
          <w:sz w:val="23"/>
          <w:szCs w:val="23"/>
        </w:rPr>
        <w:t>Brian Prescott, The National Center for Higher Education Management Systems (NCHEMS)</w:t>
      </w:r>
      <w:r w:rsidRPr="006F2AA6">
        <w:rPr>
          <w:sz w:val="23"/>
          <w:szCs w:val="23"/>
          <w:vertAlign w:val="superscript"/>
        </w:rPr>
        <w:t xml:space="preserve"> 2</w:t>
      </w:r>
    </w:p>
    <w:p w14:paraId="2BBC3F6C" w14:textId="77777777" w:rsidR="00A872F0" w:rsidRPr="006F2AA6" w:rsidRDefault="00A872F0" w:rsidP="00A872F0">
      <w:pPr>
        <w:ind w:left="810"/>
        <w:rPr>
          <w:sz w:val="23"/>
          <w:szCs w:val="23"/>
        </w:rPr>
      </w:pPr>
      <w:r w:rsidRPr="006F2AA6">
        <w:rPr>
          <w:sz w:val="23"/>
          <w:szCs w:val="23"/>
        </w:rPr>
        <w:t>David Price, Ancora Education Inc.</w:t>
      </w:r>
      <w:r w:rsidRPr="006F2AA6">
        <w:rPr>
          <w:sz w:val="23"/>
          <w:szCs w:val="23"/>
          <w:vertAlign w:val="superscript"/>
        </w:rPr>
        <w:t xml:space="preserve"> 2</w:t>
      </w:r>
    </w:p>
    <w:p w14:paraId="6FD9EA7F" w14:textId="77777777" w:rsidR="00A872F0" w:rsidRPr="006F2AA6" w:rsidRDefault="00A872F0" w:rsidP="00A872F0">
      <w:pPr>
        <w:ind w:left="810"/>
        <w:rPr>
          <w:sz w:val="23"/>
          <w:szCs w:val="23"/>
        </w:rPr>
      </w:pPr>
      <w:r w:rsidRPr="006F2AA6">
        <w:rPr>
          <w:sz w:val="23"/>
          <w:szCs w:val="23"/>
        </w:rPr>
        <w:t>Sam Quinney, U.S. Department of Education</w:t>
      </w:r>
    </w:p>
    <w:p w14:paraId="1606094B" w14:textId="77777777" w:rsidR="00A872F0" w:rsidRPr="006F2AA6" w:rsidRDefault="00A872F0" w:rsidP="00A872F0">
      <w:pPr>
        <w:ind w:left="810"/>
        <w:rPr>
          <w:sz w:val="23"/>
          <w:szCs w:val="23"/>
        </w:rPr>
      </w:pPr>
      <w:r w:rsidRPr="006F2AA6">
        <w:rPr>
          <w:sz w:val="23"/>
          <w:szCs w:val="23"/>
        </w:rPr>
        <w:t>Jason Ramirez, National Association of Independent Colleges and Universities</w:t>
      </w:r>
      <w:r w:rsidRPr="006F2AA6">
        <w:rPr>
          <w:sz w:val="23"/>
          <w:szCs w:val="23"/>
          <w:vertAlign w:val="superscript"/>
        </w:rPr>
        <w:t>2</w:t>
      </w:r>
    </w:p>
    <w:p w14:paraId="009F3F2B" w14:textId="77777777" w:rsidR="00A872F0" w:rsidRPr="006F2AA6" w:rsidRDefault="00A872F0" w:rsidP="00A872F0">
      <w:pPr>
        <w:ind w:left="810"/>
        <w:rPr>
          <w:sz w:val="23"/>
          <w:szCs w:val="23"/>
        </w:rPr>
      </w:pPr>
      <w:r w:rsidRPr="006F2AA6">
        <w:rPr>
          <w:sz w:val="23"/>
          <w:szCs w:val="23"/>
        </w:rPr>
        <w:t>Kenneth Redd, National Association of College and University Business Officers (NACUBO)</w:t>
      </w:r>
      <w:r w:rsidRPr="006F2AA6">
        <w:rPr>
          <w:sz w:val="23"/>
          <w:szCs w:val="23"/>
          <w:vertAlign w:val="superscript"/>
        </w:rPr>
        <w:t xml:space="preserve"> 2</w:t>
      </w:r>
    </w:p>
    <w:p w14:paraId="7846FB95" w14:textId="77777777" w:rsidR="00A872F0" w:rsidRPr="006F2AA6" w:rsidRDefault="00A872F0" w:rsidP="00A872F0">
      <w:pPr>
        <w:ind w:left="810"/>
        <w:rPr>
          <w:sz w:val="23"/>
          <w:szCs w:val="23"/>
        </w:rPr>
      </w:pPr>
      <w:r w:rsidRPr="006F2AA6">
        <w:rPr>
          <w:sz w:val="23"/>
          <w:szCs w:val="23"/>
        </w:rPr>
        <w:t>Nerissa Rivera, Duke University</w:t>
      </w:r>
      <w:r w:rsidRPr="006F2AA6">
        <w:rPr>
          <w:sz w:val="23"/>
          <w:szCs w:val="23"/>
          <w:vertAlign w:val="superscript"/>
        </w:rPr>
        <w:t>2</w:t>
      </w:r>
    </w:p>
    <w:p w14:paraId="562E6E5A" w14:textId="77777777" w:rsidR="00A872F0" w:rsidRPr="006F2AA6" w:rsidRDefault="00A872F0" w:rsidP="00A872F0">
      <w:pPr>
        <w:ind w:left="810"/>
        <w:rPr>
          <w:sz w:val="23"/>
          <w:szCs w:val="23"/>
        </w:rPr>
      </w:pPr>
      <w:r w:rsidRPr="006F2AA6">
        <w:rPr>
          <w:sz w:val="23"/>
          <w:szCs w:val="23"/>
        </w:rPr>
        <w:t>Jamey Rorison, Bill and Melinda Gates Foundation</w:t>
      </w:r>
    </w:p>
    <w:p w14:paraId="4E4C5560" w14:textId="77777777" w:rsidR="00A872F0" w:rsidRPr="006F2AA6" w:rsidRDefault="00A872F0" w:rsidP="00A872F0">
      <w:pPr>
        <w:ind w:left="810"/>
        <w:rPr>
          <w:sz w:val="23"/>
          <w:szCs w:val="23"/>
        </w:rPr>
      </w:pPr>
      <w:r w:rsidRPr="006F2AA6">
        <w:rPr>
          <w:sz w:val="23"/>
          <w:szCs w:val="23"/>
        </w:rPr>
        <w:t>D'Juana Scarborough, Centura/AIM/Tidewater Tech Corporate</w:t>
      </w:r>
      <w:r w:rsidRPr="006F2AA6">
        <w:rPr>
          <w:sz w:val="23"/>
          <w:szCs w:val="23"/>
          <w:vertAlign w:val="superscript"/>
        </w:rPr>
        <w:t>2</w:t>
      </w:r>
    </w:p>
    <w:p w14:paraId="6174262E" w14:textId="77777777" w:rsidR="00A872F0" w:rsidRPr="006F2AA6" w:rsidRDefault="00A872F0" w:rsidP="00A872F0">
      <w:pPr>
        <w:ind w:left="810"/>
        <w:rPr>
          <w:sz w:val="23"/>
          <w:szCs w:val="23"/>
        </w:rPr>
      </w:pPr>
      <w:r w:rsidRPr="006F2AA6">
        <w:rPr>
          <w:sz w:val="23"/>
          <w:szCs w:val="23"/>
        </w:rPr>
        <w:t>Oliver Schak, Department of Education / OPEPD / PPSS</w:t>
      </w:r>
      <w:r w:rsidRPr="006F2AA6">
        <w:rPr>
          <w:sz w:val="23"/>
          <w:szCs w:val="23"/>
          <w:vertAlign w:val="superscript"/>
        </w:rPr>
        <w:t>2</w:t>
      </w:r>
    </w:p>
    <w:p w14:paraId="3FE9988A" w14:textId="77777777" w:rsidR="00A872F0" w:rsidRPr="006F2AA6" w:rsidRDefault="00A872F0" w:rsidP="00A872F0">
      <w:pPr>
        <w:ind w:left="810"/>
        <w:rPr>
          <w:sz w:val="23"/>
          <w:szCs w:val="23"/>
        </w:rPr>
      </w:pPr>
      <w:r w:rsidRPr="006F2AA6">
        <w:rPr>
          <w:sz w:val="23"/>
          <w:szCs w:val="23"/>
        </w:rPr>
        <w:t>Abigail Seldin, America Forward</w:t>
      </w:r>
      <w:r w:rsidRPr="006F2AA6">
        <w:rPr>
          <w:sz w:val="23"/>
          <w:szCs w:val="23"/>
          <w:vertAlign w:val="superscript"/>
        </w:rPr>
        <w:t>2</w:t>
      </w:r>
    </w:p>
    <w:p w14:paraId="7F8DBA33" w14:textId="77777777" w:rsidR="00A872F0" w:rsidRPr="006F2AA6" w:rsidRDefault="00A872F0" w:rsidP="00A872F0">
      <w:pPr>
        <w:ind w:left="810"/>
        <w:rPr>
          <w:sz w:val="23"/>
          <w:szCs w:val="23"/>
        </w:rPr>
      </w:pPr>
      <w:r w:rsidRPr="006F2AA6">
        <w:rPr>
          <w:sz w:val="23"/>
          <w:szCs w:val="23"/>
        </w:rPr>
        <w:t>Rajat Shah, Lincoln Tech</w:t>
      </w:r>
      <w:r w:rsidRPr="006F2AA6">
        <w:rPr>
          <w:sz w:val="23"/>
          <w:szCs w:val="23"/>
          <w:vertAlign w:val="superscript"/>
        </w:rPr>
        <w:t>2</w:t>
      </w:r>
    </w:p>
    <w:p w14:paraId="7B2D2F15" w14:textId="77777777" w:rsidR="00A872F0" w:rsidRPr="006F2AA6" w:rsidRDefault="00A872F0" w:rsidP="00A872F0">
      <w:pPr>
        <w:ind w:left="810"/>
        <w:rPr>
          <w:sz w:val="23"/>
          <w:szCs w:val="23"/>
        </w:rPr>
      </w:pPr>
      <w:r w:rsidRPr="006F2AA6">
        <w:rPr>
          <w:sz w:val="23"/>
          <w:szCs w:val="23"/>
        </w:rPr>
        <w:t>Jessica Sharkness, Tufts University</w:t>
      </w:r>
    </w:p>
    <w:p w14:paraId="0F7442E0" w14:textId="77777777" w:rsidR="00A872F0" w:rsidRPr="006F2AA6" w:rsidRDefault="00A872F0" w:rsidP="00A872F0">
      <w:pPr>
        <w:ind w:left="810"/>
        <w:rPr>
          <w:sz w:val="23"/>
          <w:szCs w:val="23"/>
        </w:rPr>
      </w:pPr>
      <w:r w:rsidRPr="006F2AA6">
        <w:rPr>
          <w:sz w:val="23"/>
          <w:szCs w:val="23"/>
        </w:rPr>
        <w:t>Learty Shaw, Georgia Institute of Technology</w:t>
      </w:r>
    </w:p>
    <w:p w14:paraId="7A3643CB" w14:textId="77777777" w:rsidR="00A872F0" w:rsidRPr="006F2AA6" w:rsidRDefault="00A872F0" w:rsidP="00A872F0">
      <w:pPr>
        <w:ind w:left="810"/>
        <w:rPr>
          <w:sz w:val="23"/>
          <w:szCs w:val="23"/>
        </w:rPr>
      </w:pPr>
      <w:r w:rsidRPr="006F2AA6">
        <w:rPr>
          <w:sz w:val="23"/>
          <w:szCs w:val="23"/>
        </w:rPr>
        <w:t>Daniel Shephard, U.S. General Services Administration</w:t>
      </w:r>
    </w:p>
    <w:p w14:paraId="0ED3BA56" w14:textId="77777777" w:rsidR="00A872F0" w:rsidRPr="006F2AA6" w:rsidRDefault="00A872F0" w:rsidP="00A872F0">
      <w:pPr>
        <w:ind w:left="810"/>
        <w:rPr>
          <w:sz w:val="23"/>
          <w:szCs w:val="23"/>
        </w:rPr>
      </w:pPr>
      <w:r w:rsidRPr="006F2AA6">
        <w:rPr>
          <w:sz w:val="23"/>
          <w:szCs w:val="23"/>
        </w:rPr>
        <w:t>Lena Shi, Office of Planning, Evaluation, and Policy Development (OPEPD)</w:t>
      </w:r>
      <w:r w:rsidRPr="006F2AA6">
        <w:rPr>
          <w:sz w:val="23"/>
          <w:szCs w:val="23"/>
          <w:vertAlign w:val="superscript"/>
        </w:rPr>
        <w:t>2</w:t>
      </w:r>
    </w:p>
    <w:p w14:paraId="6BA024D2" w14:textId="77777777" w:rsidR="00A872F0" w:rsidRPr="006F2AA6" w:rsidRDefault="00A872F0" w:rsidP="00A872F0">
      <w:pPr>
        <w:ind w:left="810"/>
        <w:rPr>
          <w:sz w:val="23"/>
          <w:szCs w:val="23"/>
        </w:rPr>
      </w:pPr>
      <w:r w:rsidRPr="006F2AA6">
        <w:rPr>
          <w:sz w:val="23"/>
          <w:szCs w:val="23"/>
        </w:rPr>
        <w:t>Christy Siegerdt, State University System of Florida - Board of Governors</w:t>
      </w:r>
      <w:r w:rsidRPr="006F2AA6">
        <w:rPr>
          <w:sz w:val="23"/>
          <w:szCs w:val="23"/>
          <w:vertAlign w:val="superscript"/>
        </w:rPr>
        <w:t>2</w:t>
      </w:r>
    </w:p>
    <w:p w14:paraId="79B1733D" w14:textId="77777777" w:rsidR="00A872F0" w:rsidRPr="006F2AA6" w:rsidRDefault="00A872F0" w:rsidP="00A872F0">
      <w:pPr>
        <w:ind w:left="810"/>
        <w:rPr>
          <w:sz w:val="23"/>
          <w:szCs w:val="23"/>
        </w:rPr>
      </w:pPr>
      <w:r w:rsidRPr="006F2AA6">
        <w:rPr>
          <w:sz w:val="23"/>
          <w:szCs w:val="23"/>
        </w:rPr>
        <w:t>Donna Silber, Maricopa Community College District</w:t>
      </w:r>
      <w:r w:rsidRPr="006F2AA6">
        <w:rPr>
          <w:sz w:val="23"/>
          <w:szCs w:val="23"/>
          <w:vertAlign w:val="superscript"/>
        </w:rPr>
        <w:t>2</w:t>
      </w:r>
    </w:p>
    <w:p w14:paraId="279EDB2E" w14:textId="77777777" w:rsidR="00A872F0" w:rsidRPr="006F2AA6" w:rsidRDefault="00A872F0" w:rsidP="00A872F0">
      <w:pPr>
        <w:ind w:left="810"/>
        <w:rPr>
          <w:sz w:val="23"/>
          <w:szCs w:val="23"/>
        </w:rPr>
      </w:pPr>
      <w:r w:rsidRPr="006F2AA6">
        <w:rPr>
          <w:sz w:val="23"/>
          <w:szCs w:val="23"/>
        </w:rPr>
        <w:t>Sean Simone, NJ Longitudinal Data System</w:t>
      </w:r>
      <w:r w:rsidRPr="006F2AA6">
        <w:rPr>
          <w:sz w:val="23"/>
          <w:szCs w:val="23"/>
          <w:vertAlign w:val="superscript"/>
        </w:rPr>
        <w:t>2</w:t>
      </w:r>
    </w:p>
    <w:p w14:paraId="144B3C78" w14:textId="77777777" w:rsidR="00A872F0" w:rsidRPr="006F2AA6" w:rsidRDefault="00A872F0" w:rsidP="00A872F0">
      <w:pPr>
        <w:ind w:left="810"/>
        <w:rPr>
          <w:sz w:val="23"/>
          <w:szCs w:val="23"/>
        </w:rPr>
      </w:pPr>
      <w:r w:rsidRPr="006F2AA6">
        <w:rPr>
          <w:sz w:val="23"/>
          <w:szCs w:val="23"/>
        </w:rPr>
        <w:t>Robert Sivinski, Office of Management and Budget (OMB)</w:t>
      </w:r>
      <w:r w:rsidRPr="006F2AA6">
        <w:rPr>
          <w:sz w:val="23"/>
          <w:szCs w:val="23"/>
          <w:vertAlign w:val="superscript"/>
        </w:rPr>
        <w:t>2</w:t>
      </w:r>
    </w:p>
    <w:p w14:paraId="255B8962" w14:textId="77777777" w:rsidR="00A872F0" w:rsidRPr="006F2AA6" w:rsidRDefault="00A872F0" w:rsidP="00A872F0">
      <w:pPr>
        <w:ind w:left="810"/>
        <w:rPr>
          <w:sz w:val="23"/>
          <w:szCs w:val="23"/>
        </w:rPr>
      </w:pPr>
      <w:r w:rsidRPr="006F2AA6">
        <w:rPr>
          <w:sz w:val="23"/>
          <w:szCs w:val="23"/>
        </w:rPr>
        <w:t>Sharon Snyder, Department of Homeland Security - ICE</w:t>
      </w:r>
    </w:p>
    <w:p w14:paraId="43B23A82" w14:textId="77777777" w:rsidR="00A872F0" w:rsidRPr="006F2AA6" w:rsidRDefault="00A872F0" w:rsidP="00A872F0">
      <w:pPr>
        <w:ind w:left="810"/>
        <w:rPr>
          <w:sz w:val="23"/>
          <w:szCs w:val="23"/>
        </w:rPr>
      </w:pPr>
      <w:r w:rsidRPr="006F2AA6">
        <w:rPr>
          <w:sz w:val="23"/>
          <w:szCs w:val="23"/>
        </w:rPr>
        <w:t>Matthew Soldner, Institute of Education Sciences</w:t>
      </w:r>
      <w:r w:rsidRPr="006F2AA6">
        <w:rPr>
          <w:sz w:val="23"/>
          <w:szCs w:val="23"/>
          <w:vertAlign w:val="superscript"/>
        </w:rPr>
        <w:t>2</w:t>
      </w:r>
    </w:p>
    <w:p w14:paraId="277B7920" w14:textId="77777777" w:rsidR="00A872F0" w:rsidRPr="006F2AA6" w:rsidRDefault="00A872F0" w:rsidP="00A872F0">
      <w:pPr>
        <w:ind w:left="810"/>
        <w:rPr>
          <w:sz w:val="23"/>
          <w:szCs w:val="23"/>
        </w:rPr>
      </w:pPr>
      <w:r w:rsidRPr="006F2AA6">
        <w:rPr>
          <w:sz w:val="23"/>
          <w:szCs w:val="23"/>
        </w:rPr>
        <w:t>Mike Sperko, Kent State University</w:t>
      </w:r>
      <w:r w:rsidRPr="006F2AA6">
        <w:rPr>
          <w:sz w:val="23"/>
          <w:szCs w:val="23"/>
          <w:vertAlign w:val="superscript"/>
        </w:rPr>
        <w:t>2</w:t>
      </w:r>
    </w:p>
    <w:p w14:paraId="46E289AE" w14:textId="77777777" w:rsidR="00A872F0" w:rsidRPr="006F2AA6" w:rsidRDefault="00A872F0" w:rsidP="00A872F0">
      <w:pPr>
        <w:ind w:left="810"/>
        <w:rPr>
          <w:sz w:val="23"/>
          <w:szCs w:val="23"/>
        </w:rPr>
      </w:pPr>
      <w:r w:rsidRPr="006F2AA6">
        <w:rPr>
          <w:sz w:val="23"/>
          <w:szCs w:val="23"/>
        </w:rPr>
        <w:t>Shafali Srivastava, National Center for Health Workforce Analysis</w:t>
      </w:r>
    </w:p>
    <w:p w14:paraId="7BC8B5DE" w14:textId="77777777" w:rsidR="00A872F0" w:rsidRPr="006F2AA6" w:rsidRDefault="00A872F0" w:rsidP="00A872F0">
      <w:pPr>
        <w:ind w:left="810"/>
        <w:rPr>
          <w:sz w:val="23"/>
          <w:szCs w:val="23"/>
        </w:rPr>
      </w:pPr>
      <w:r w:rsidRPr="006F2AA6">
        <w:rPr>
          <w:sz w:val="23"/>
          <w:szCs w:val="23"/>
        </w:rPr>
        <w:t>Jamienne Studley, Deputy Under Secretary of Education</w:t>
      </w:r>
      <w:r w:rsidRPr="006F2AA6">
        <w:rPr>
          <w:sz w:val="23"/>
          <w:szCs w:val="23"/>
          <w:vertAlign w:val="superscript"/>
        </w:rPr>
        <w:t>2</w:t>
      </w:r>
    </w:p>
    <w:p w14:paraId="5DF607CC" w14:textId="77777777" w:rsidR="00A872F0" w:rsidRPr="006F2AA6" w:rsidRDefault="00A872F0" w:rsidP="00A872F0">
      <w:pPr>
        <w:ind w:left="810"/>
        <w:rPr>
          <w:sz w:val="23"/>
          <w:szCs w:val="23"/>
        </w:rPr>
      </w:pPr>
      <w:r w:rsidRPr="006F2AA6">
        <w:rPr>
          <w:sz w:val="23"/>
          <w:szCs w:val="23"/>
        </w:rPr>
        <w:t>Jennifer Sutton, National Institutes of Health</w:t>
      </w:r>
    </w:p>
    <w:p w14:paraId="42960A94" w14:textId="77777777" w:rsidR="00A872F0" w:rsidRPr="006F2AA6" w:rsidRDefault="00A872F0" w:rsidP="00A872F0">
      <w:pPr>
        <w:ind w:left="810"/>
        <w:rPr>
          <w:sz w:val="23"/>
          <w:szCs w:val="23"/>
        </w:rPr>
      </w:pPr>
      <w:r w:rsidRPr="006F2AA6">
        <w:rPr>
          <w:sz w:val="23"/>
          <w:szCs w:val="23"/>
        </w:rPr>
        <w:t>David Tandberg, State Higher Education Executive Officers (SHEEO)</w:t>
      </w:r>
    </w:p>
    <w:p w14:paraId="1120B812" w14:textId="77777777" w:rsidR="00A872F0" w:rsidRPr="006F2AA6" w:rsidRDefault="00A872F0" w:rsidP="00A872F0">
      <w:pPr>
        <w:ind w:left="810"/>
        <w:rPr>
          <w:sz w:val="23"/>
          <w:szCs w:val="23"/>
        </w:rPr>
      </w:pPr>
      <w:r w:rsidRPr="006F2AA6">
        <w:rPr>
          <w:sz w:val="23"/>
          <w:szCs w:val="23"/>
        </w:rPr>
        <w:t>Jason Taylor, University of Utah</w:t>
      </w:r>
    </w:p>
    <w:p w14:paraId="2F423806" w14:textId="77777777" w:rsidR="00A872F0" w:rsidRPr="006F2AA6" w:rsidRDefault="00A872F0" w:rsidP="00A872F0">
      <w:pPr>
        <w:ind w:left="810"/>
        <w:rPr>
          <w:sz w:val="23"/>
          <w:szCs w:val="23"/>
        </w:rPr>
      </w:pPr>
      <w:r w:rsidRPr="006F2AA6">
        <w:rPr>
          <w:sz w:val="23"/>
          <w:szCs w:val="23"/>
        </w:rPr>
        <w:t>Jessica Teal, The White House</w:t>
      </w:r>
    </w:p>
    <w:p w14:paraId="1A6BFB79" w14:textId="77777777" w:rsidR="00A872F0" w:rsidRPr="006F2AA6" w:rsidRDefault="00A872F0" w:rsidP="00A872F0">
      <w:pPr>
        <w:ind w:left="810"/>
        <w:rPr>
          <w:sz w:val="23"/>
          <w:szCs w:val="23"/>
        </w:rPr>
      </w:pPr>
      <w:r w:rsidRPr="006F2AA6">
        <w:rPr>
          <w:sz w:val="23"/>
          <w:szCs w:val="23"/>
        </w:rPr>
        <w:t>Charles Tegen, Clemson University</w:t>
      </w:r>
      <w:r w:rsidRPr="006F2AA6">
        <w:rPr>
          <w:sz w:val="23"/>
          <w:szCs w:val="23"/>
          <w:vertAlign w:val="superscript"/>
        </w:rPr>
        <w:t>2</w:t>
      </w:r>
    </w:p>
    <w:p w14:paraId="3B9B1AC3" w14:textId="77777777" w:rsidR="00A872F0" w:rsidRPr="006F2AA6" w:rsidRDefault="00A872F0" w:rsidP="00A872F0">
      <w:pPr>
        <w:ind w:left="810"/>
        <w:rPr>
          <w:sz w:val="23"/>
          <w:szCs w:val="23"/>
        </w:rPr>
      </w:pPr>
      <w:r w:rsidRPr="006F2AA6">
        <w:rPr>
          <w:sz w:val="23"/>
          <w:szCs w:val="23"/>
        </w:rPr>
        <w:t>Dawn Terkla, Tufts University</w:t>
      </w:r>
      <w:r w:rsidRPr="006F2AA6">
        <w:rPr>
          <w:sz w:val="23"/>
          <w:szCs w:val="23"/>
          <w:vertAlign w:val="superscript"/>
        </w:rPr>
        <w:t>2</w:t>
      </w:r>
    </w:p>
    <w:p w14:paraId="485E8175" w14:textId="77777777" w:rsidR="00A872F0" w:rsidRPr="006F2AA6" w:rsidRDefault="00A872F0" w:rsidP="00A872F0">
      <w:pPr>
        <w:ind w:left="810"/>
        <w:rPr>
          <w:sz w:val="23"/>
          <w:szCs w:val="23"/>
        </w:rPr>
      </w:pPr>
      <w:r w:rsidRPr="006F2AA6">
        <w:rPr>
          <w:sz w:val="23"/>
          <w:szCs w:val="23"/>
        </w:rPr>
        <w:t>Kimberly Thompson, University of Phoenix-Central Office</w:t>
      </w:r>
      <w:r w:rsidRPr="006F2AA6">
        <w:rPr>
          <w:sz w:val="23"/>
          <w:szCs w:val="23"/>
          <w:vertAlign w:val="superscript"/>
        </w:rPr>
        <w:t>2</w:t>
      </w:r>
    </w:p>
    <w:p w14:paraId="6C993E71" w14:textId="77777777" w:rsidR="00A872F0" w:rsidRPr="006F2AA6" w:rsidRDefault="00A872F0" w:rsidP="00A872F0">
      <w:pPr>
        <w:ind w:left="810"/>
        <w:rPr>
          <w:sz w:val="23"/>
          <w:szCs w:val="23"/>
        </w:rPr>
      </w:pPr>
      <w:r w:rsidRPr="006F2AA6">
        <w:rPr>
          <w:sz w:val="23"/>
          <w:szCs w:val="23"/>
        </w:rPr>
        <w:t>Jessica Thompson, Institute for College Access &amp; Success (TICAS)</w:t>
      </w:r>
    </w:p>
    <w:p w14:paraId="4DFD6631" w14:textId="77777777" w:rsidR="00A872F0" w:rsidRPr="006F2AA6" w:rsidRDefault="00A872F0" w:rsidP="00A872F0">
      <w:pPr>
        <w:ind w:left="810"/>
        <w:rPr>
          <w:sz w:val="23"/>
          <w:szCs w:val="23"/>
        </w:rPr>
      </w:pPr>
      <w:r w:rsidRPr="006F2AA6">
        <w:rPr>
          <w:sz w:val="23"/>
          <w:szCs w:val="23"/>
        </w:rPr>
        <w:t>Philip Tizzani, Office of Management and Budget (OMB)</w:t>
      </w:r>
    </w:p>
    <w:p w14:paraId="0D464A6F" w14:textId="77777777" w:rsidR="00A872F0" w:rsidRPr="006F2AA6" w:rsidRDefault="00A872F0" w:rsidP="00A872F0">
      <w:pPr>
        <w:ind w:left="810"/>
        <w:rPr>
          <w:sz w:val="23"/>
          <w:szCs w:val="23"/>
        </w:rPr>
      </w:pPr>
      <w:r w:rsidRPr="006F2AA6">
        <w:rPr>
          <w:sz w:val="23"/>
          <w:szCs w:val="23"/>
        </w:rPr>
        <w:t>Amelia Topper, Coffey Consulting, LLC</w:t>
      </w:r>
    </w:p>
    <w:p w14:paraId="5CA235A0" w14:textId="77777777" w:rsidR="00A872F0" w:rsidRPr="006F2AA6" w:rsidRDefault="00A872F0" w:rsidP="00A872F0">
      <w:pPr>
        <w:ind w:left="810"/>
        <w:rPr>
          <w:sz w:val="23"/>
          <w:szCs w:val="23"/>
        </w:rPr>
      </w:pPr>
      <w:r w:rsidRPr="006F2AA6">
        <w:rPr>
          <w:sz w:val="23"/>
          <w:szCs w:val="23"/>
        </w:rPr>
        <w:t>Christine Tracy, American Association of Colleges of Nursing (AACN)</w:t>
      </w:r>
      <w:r w:rsidRPr="006F2AA6">
        <w:rPr>
          <w:sz w:val="23"/>
          <w:szCs w:val="23"/>
          <w:vertAlign w:val="superscript"/>
        </w:rPr>
        <w:t>2</w:t>
      </w:r>
    </w:p>
    <w:p w14:paraId="55F028E5" w14:textId="77777777" w:rsidR="00A872F0" w:rsidRPr="006F2AA6" w:rsidRDefault="00A872F0" w:rsidP="00A872F0">
      <w:pPr>
        <w:ind w:left="810"/>
        <w:rPr>
          <w:sz w:val="23"/>
          <w:szCs w:val="23"/>
        </w:rPr>
      </w:pPr>
      <w:r w:rsidRPr="006F2AA6">
        <w:rPr>
          <w:sz w:val="23"/>
          <w:szCs w:val="23"/>
        </w:rPr>
        <w:t>Red Tremmel, Tulane University</w:t>
      </w:r>
    </w:p>
    <w:p w14:paraId="795DB700" w14:textId="77777777" w:rsidR="00A872F0" w:rsidRPr="006F2AA6" w:rsidRDefault="00A872F0" w:rsidP="00A872F0">
      <w:pPr>
        <w:ind w:left="810"/>
        <w:rPr>
          <w:sz w:val="23"/>
          <w:szCs w:val="23"/>
        </w:rPr>
      </w:pPr>
      <w:r w:rsidRPr="006F2AA6">
        <w:rPr>
          <w:sz w:val="23"/>
          <w:szCs w:val="23"/>
        </w:rPr>
        <w:t>Jill Triplett, Spelman College</w:t>
      </w:r>
    </w:p>
    <w:p w14:paraId="1B4264BA" w14:textId="77777777" w:rsidR="00A872F0" w:rsidRPr="006F2AA6" w:rsidRDefault="00A872F0" w:rsidP="00A872F0">
      <w:pPr>
        <w:ind w:left="810"/>
        <w:rPr>
          <w:sz w:val="23"/>
          <w:szCs w:val="23"/>
        </w:rPr>
      </w:pPr>
      <w:r w:rsidRPr="006F2AA6">
        <w:rPr>
          <w:sz w:val="23"/>
          <w:szCs w:val="23"/>
        </w:rPr>
        <w:t>David Troutman, University of Texas System</w:t>
      </w:r>
      <w:r w:rsidRPr="006F2AA6">
        <w:rPr>
          <w:sz w:val="23"/>
          <w:szCs w:val="23"/>
          <w:vertAlign w:val="superscript"/>
        </w:rPr>
        <w:t>2</w:t>
      </w:r>
    </w:p>
    <w:p w14:paraId="5D1EF26F" w14:textId="77777777" w:rsidR="00A872F0" w:rsidRPr="006F2AA6" w:rsidRDefault="00A872F0" w:rsidP="00A872F0">
      <w:pPr>
        <w:ind w:left="810"/>
        <w:rPr>
          <w:sz w:val="23"/>
          <w:szCs w:val="23"/>
        </w:rPr>
      </w:pPr>
      <w:r w:rsidRPr="006F2AA6">
        <w:rPr>
          <w:sz w:val="23"/>
          <w:szCs w:val="23"/>
        </w:rPr>
        <w:t>Jonathan Turk, American Council on Education (ACE)</w:t>
      </w:r>
      <w:r w:rsidRPr="006F2AA6">
        <w:rPr>
          <w:sz w:val="23"/>
          <w:szCs w:val="23"/>
          <w:vertAlign w:val="superscript"/>
        </w:rPr>
        <w:t>2</w:t>
      </w:r>
    </w:p>
    <w:p w14:paraId="07477561" w14:textId="77777777" w:rsidR="00A872F0" w:rsidRPr="006F2AA6" w:rsidRDefault="00A872F0" w:rsidP="00A872F0">
      <w:pPr>
        <w:ind w:left="810"/>
        <w:rPr>
          <w:sz w:val="23"/>
          <w:szCs w:val="23"/>
        </w:rPr>
      </w:pPr>
      <w:r w:rsidRPr="006F2AA6">
        <w:rPr>
          <w:sz w:val="23"/>
          <w:szCs w:val="23"/>
        </w:rPr>
        <w:t>Laura Uerling, Roxbury Community College</w:t>
      </w:r>
      <w:r w:rsidRPr="006F2AA6">
        <w:rPr>
          <w:sz w:val="23"/>
          <w:szCs w:val="23"/>
          <w:vertAlign w:val="superscript"/>
        </w:rPr>
        <w:t>2</w:t>
      </w:r>
    </w:p>
    <w:p w14:paraId="5B6EB0AD" w14:textId="77777777" w:rsidR="00A872F0" w:rsidRPr="006F2AA6" w:rsidRDefault="00A872F0" w:rsidP="00A872F0">
      <w:pPr>
        <w:ind w:left="810"/>
        <w:rPr>
          <w:sz w:val="23"/>
          <w:szCs w:val="23"/>
        </w:rPr>
      </w:pPr>
      <w:r w:rsidRPr="006F2AA6">
        <w:rPr>
          <w:sz w:val="23"/>
          <w:szCs w:val="23"/>
        </w:rPr>
        <w:t>Mamie Voight, Institute for Higher Education Policy (IHEP)</w:t>
      </w:r>
      <w:r w:rsidRPr="006F2AA6">
        <w:rPr>
          <w:sz w:val="23"/>
          <w:szCs w:val="23"/>
          <w:vertAlign w:val="superscript"/>
        </w:rPr>
        <w:t>2</w:t>
      </w:r>
    </w:p>
    <w:p w14:paraId="407CBDA8" w14:textId="77777777" w:rsidR="00A872F0" w:rsidRPr="006F2AA6" w:rsidRDefault="00A872F0" w:rsidP="00A872F0">
      <w:pPr>
        <w:ind w:left="810"/>
        <w:rPr>
          <w:sz w:val="23"/>
          <w:szCs w:val="23"/>
        </w:rPr>
      </w:pPr>
      <w:r w:rsidRPr="006F2AA6">
        <w:rPr>
          <w:sz w:val="23"/>
          <w:szCs w:val="23"/>
        </w:rPr>
        <w:t>Lindsay Wayt, National Association of College and University Business Officers (NACUBO)</w:t>
      </w:r>
      <w:r w:rsidRPr="006F2AA6">
        <w:rPr>
          <w:sz w:val="23"/>
          <w:szCs w:val="23"/>
          <w:vertAlign w:val="superscript"/>
        </w:rPr>
        <w:t>2</w:t>
      </w:r>
    </w:p>
    <w:p w14:paraId="0C84A396" w14:textId="77777777" w:rsidR="00A872F0" w:rsidRPr="006F2AA6" w:rsidRDefault="00A872F0" w:rsidP="00A872F0">
      <w:pPr>
        <w:ind w:left="810"/>
        <w:rPr>
          <w:sz w:val="23"/>
          <w:szCs w:val="23"/>
        </w:rPr>
      </w:pPr>
      <w:r w:rsidRPr="006F2AA6">
        <w:rPr>
          <w:sz w:val="23"/>
          <w:szCs w:val="23"/>
        </w:rPr>
        <w:t>Jeffrey West, University of Utah</w:t>
      </w:r>
      <w:r w:rsidRPr="006F2AA6">
        <w:rPr>
          <w:sz w:val="23"/>
          <w:szCs w:val="23"/>
          <w:vertAlign w:val="superscript"/>
        </w:rPr>
        <w:t>2</w:t>
      </w:r>
    </w:p>
    <w:p w14:paraId="578464E4" w14:textId="77777777" w:rsidR="00A872F0" w:rsidRPr="006F2AA6" w:rsidRDefault="00A872F0" w:rsidP="00A872F0">
      <w:pPr>
        <w:ind w:left="810"/>
        <w:rPr>
          <w:sz w:val="23"/>
          <w:szCs w:val="23"/>
        </w:rPr>
      </w:pPr>
      <w:r w:rsidRPr="006F2AA6">
        <w:rPr>
          <w:sz w:val="23"/>
          <w:szCs w:val="23"/>
        </w:rPr>
        <w:t>Christina Whitfield, State Higher Education Executive Officers (SHEEO)</w:t>
      </w:r>
      <w:r w:rsidRPr="006F2AA6">
        <w:rPr>
          <w:sz w:val="23"/>
          <w:szCs w:val="23"/>
          <w:vertAlign w:val="superscript"/>
        </w:rPr>
        <w:t>2</w:t>
      </w:r>
    </w:p>
    <w:p w14:paraId="0D1F6FE6" w14:textId="77777777" w:rsidR="00A872F0" w:rsidRPr="006F2AA6" w:rsidRDefault="00A872F0" w:rsidP="00A872F0">
      <w:pPr>
        <w:ind w:left="810"/>
        <w:rPr>
          <w:sz w:val="23"/>
          <w:szCs w:val="23"/>
        </w:rPr>
      </w:pPr>
      <w:r w:rsidRPr="006F2AA6">
        <w:rPr>
          <w:sz w:val="23"/>
          <w:szCs w:val="23"/>
        </w:rPr>
        <w:t>Sabrina Williams, The White House</w:t>
      </w:r>
    </w:p>
    <w:p w14:paraId="0A1481B5" w14:textId="77777777" w:rsidR="00A872F0" w:rsidRPr="006F2AA6" w:rsidRDefault="00A872F0" w:rsidP="00A872F0">
      <w:pPr>
        <w:ind w:left="810"/>
        <w:rPr>
          <w:sz w:val="23"/>
          <w:szCs w:val="23"/>
        </w:rPr>
      </w:pPr>
      <w:r w:rsidRPr="006F2AA6">
        <w:rPr>
          <w:sz w:val="23"/>
          <w:szCs w:val="23"/>
        </w:rPr>
        <w:t>Michael Williams, Ruffalo Noel Levitz</w:t>
      </w:r>
    </w:p>
    <w:p w14:paraId="4FC0A43E" w14:textId="77777777" w:rsidR="00A872F0" w:rsidRPr="006F2AA6" w:rsidRDefault="00A872F0" w:rsidP="00A872F0">
      <w:pPr>
        <w:ind w:left="810"/>
        <w:rPr>
          <w:sz w:val="23"/>
          <w:szCs w:val="23"/>
        </w:rPr>
      </w:pPr>
      <w:r w:rsidRPr="006F2AA6">
        <w:rPr>
          <w:sz w:val="23"/>
          <w:szCs w:val="23"/>
        </w:rPr>
        <w:t>Nathan Wilson, Illinois Community College Board</w:t>
      </w:r>
      <w:r w:rsidRPr="006F2AA6">
        <w:rPr>
          <w:sz w:val="23"/>
          <w:szCs w:val="23"/>
          <w:vertAlign w:val="superscript"/>
        </w:rPr>
        <w:t>2</w:t>
      </w:r>
    </w:p>
    <w:p w14:paraId="05D7A0A0" w14:textId="05CFDA84" w:rsidR="00CF646B" w:rsidRPr="006F2AA6" w:rsidRDefault="00A872F0" w:rsidP="007A7B10">
      <w:pPr>
        <w:ind w:left="810"/>
        <w:rPr>
          <w:sz w:val="23"/>
          <w:szCs w:val="23"/>
        </w:rPr>
      </w:pPr>
      <w:r w:rsidRPr="006F2AA6">
        <w:rPr>
          <w:sz w:val="23"/>
          <w:szCs w:val="23"/>
        </w:rPr>
        <w:t>Jennifer Zinth, Education Commission of the States</w:t>
      </w:r>
    </w:p>
    <w:sectPr w:rsidR="00CF646B" w:rsidRPr="006F2AA6" w:rsidSect="00205A80">
      <w:footerReference w:type="even" r:id="rId11"/>
      <w:footerReference w:type="default" r:id="rId12"/>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CBAE3" w14:textId="77777777" w:rsidR="0041308A" w:rsidRDefault="0041308A">
      <w:r>
        <w:separator/>
      </w:r>
    </w:p>
  </w:endnote>
  <w:endnote w:type="continuationSeparator" w:id="0">
    <w:p w14:paraId="4885EAB2" w14:textId="77777777" w:rsidR="0041308A" w:rsidRDefault="0041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DC425" w14:textId="77777777" w:rsidR="00B57CFB" w:rsidRDefault="00B57CFB" w:rsidP="00816DB0">
    <w:pPr>
      <w:pStyle w:val="Footer"/>
      <w:ind w:right="360"/>
      <w:jc w:val="center"/>
    </w:pPr>
    <w: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0CF59" w14:textId="77777777" w:rsidR="00B57CFB" w:rsidRDefault="00B57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0CF7036" w14:textId="77777777" w:rsidR="00B57CFB" w:rsidRDefault="00B57C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77BAE" w14:textId="77777777" w:rsidR="00B57CFB" w:rsidRDefault="00B57C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F0BAEC" w14:textId="77777777" w:rsidR="00B57CFB" w:rsidRDefault="00B57CF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76577"/>
      <w:docPartObj>
        <w:docPartGallery w:val="Page Numbers (Bottom of Page)"/>
        <w:docPartUnique/>
      </w:docPartObj>
    </w:sdtPr>
    <w:sdtEndPr>
      <w:rPr>
        <w:noProof/>
      </w:rPr>
    </w:sdtEndPr>
    <w:sdtContent>
      <w:p w14:paraId="3598ED49" w14:textId="1465C2DC" w:rsidR="00B57CFB" w:rsidRDefault="00B57CFB" w:rsidP="00BE6935">
        <w:pPr>
          <w:pStyle w:val="Footer"/>
          <w:jc w:val="center"/>
        </w:pPr>
        <w:r>
          <w:fldChar w:fldCharType="begin"/>
        </w:r>
        <w:r>
          <w:instrText xml:space="preserve"> PAGE   \* MERGEFORMAT </w:instrText>
        </w:r>
        <w:r>
          <w:fldChar w:fldCharType="separate"/>
        </w:r>
        <w:r w:rsidR="00205E9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D2B8E" w14:textId="77777777" w:rsidR="0041308A" w:rsidRDefault="0041308A">
      <w:r>
        <w:separator/>
      </w:r>
    </w:p>
  </w:footnote>
  <w:footnote w:type="continuationSeparator" w:id="0">
    <w:p w14:paraId="152630F5" w14:textId="77777777" w:rsidR="0041308A" w:rsidRDefault="0041308A">
      <w:r>
        <w:continuationSeparator/>
      </w:r>
    </w:p>
  </w:footnote>
  <w:footnote w:id="1">
    <w:p w14:paraId="638DA44F" w14:textId="4ED2AC9A" w:rsidR="00B57CFB" w:rsidRPr="003E393B" w:rsidRDefault="00B57CFB" w:rsidP="003E393B">
      <w:pPr>
        <w:pStyle w:val="FootnoteText"/>
        <w:ind w:left="90" w:hanging="90"/>
        <w:rPr>
          <w:sz w:val="18"/>
          <w:szCs w:val="18"/>
        </w:rPr>
      </w:pPr>
      <w:r w:rsidRPr="003E393B">
        <w:rPr>
          <w:rStyle w:val="FootnoteReference"/>
          <w:sz w:val="18"/>
          <w:szCs w:val="18"/>
        </w:rPr>
        <w:footnoteRef/>
      </w:r>
      <w:r w:rsidRPr="003E393B">
        <w:rPr>
          <w:sz w:val="18"/>
          <w:szCs w:val="18"/>
        </w:rPr>
        <w:t xml:space="preserve"> Individual attended multiple Technical Review Panels at different times and in differing capacities, as an NCES representative and as a represent</w:t>
      </w:r>
      <w:r>
        <w:rPr>
          <w:sz w:val="18"/>
          <w:szCs w:val="18"/>
        </w:rPr>
        <w:t>ative for another organization.</w:t>
      </w:r>
    </w:p>
  </w:footnote>
  <w:footnote w:id="2">
    <w:p w14:paraId="375A9E99" w14:textId="508C9B1F" w:rsidR="00B57CFB" w:rsidRPr="003E393B" w:rsidRDefault="00B57CFB" w:rsidP="003E393B">
      <w:pPr>
        <w:pStyle w:val="FootnoteText"/>
        <w:ind w:left="90" w:hanging="90"/>
        <w:rPr>
          <w:sz w:val="18"/>
          <w:szCs w:val="18"/>
        </w:rPr>
      </w:pPr>
      <w:r w:rsidRPr="003E393B">
        <w:rPr>
          <w:rStyle w:val="FootnoteReference"/>
          <w:sz w:val="18"/>
          <w:szCs w:val="18"/>
        </w:rPr>
        <w:footnoteRef/>
      </w:r>
      <w:r w:rsidRPr="003E393B">
        <w:rPr>
          <w:sz w:val="18"/>
          <w:szCs w:val="18"/>
        </w:rPr>
        <w:t xml:space="preserve"> Individual attended multiple Technical Review Panels at different times and in differing capacities, as a representative from more than one organization.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64FB"/>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AC140A6"/>
    <w:multiLevelType w:val="multilevel"/>
    <w:tmpl w:val="EFD08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3D0A81"/>
    <w:multiLevelType w:val="multilevel"/>
    <w:tmpl w:val="3086DC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4E839EB"/>
    <w:multiLevelType w:val="hybridMultilevel"/>
    <w:tmpl w:val="6B1A2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B93A7F"/>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0872277"/>
    <w:multiLevelType w:val="hybridMultilevel"/>
    <w:tmpl w:val="6F3027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C84F4E"/>
    <w:multiLevelType w:val="hybridMultilevel"/>
    <w:tmpl w:val="26063182"/>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1670A3"/>
    <w:multiLevelType w:val="hybridMultilevel"/>
    <w:tmpl w:val="EFD08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1"/>
  </w:num>
  <w:num w:numId="5">
    <w:abstractNumId w:val="4"/>
  </w:num>
  <w:num w:numId="6">
    <w:abstractNumId w:val="0"/>
  </w:num>
  <w:num w:numId="7">
    <w:abstractNumId w:val="2"/>
  </w:num>
  <w:num w:numId="8">
    <w:abstractNumId w:val="7"/>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6F"/>
    <w:rsid w:val="00003448"/>
    <w:rsid w:val="00003464"/>
    <w:rsid w:val="00011228"/>
    <w:rsid w:val="00017E6F"/>
    <w:rsid w:val="0002028A"/>
    <w:rsid w:val="00075799"/>
    <w:rsid w:val="00091854"/>
    <w:rsid w:val="000B1679"/>
    <w:rsid w:val="000C65D8"/>
    <w:rsid w:val="000E4821"/>
    <w:rsid w:val="000F38E6"/>
    <w:rsid w:val="000F4181"/>
    <w:rsid w:val="00117D68"/>
    <w:rsid w:val="00143583"/>
    <w:rsid w:val="00167A4F"/>
    <w:rsid w:val="00170CEC"/>
    <w:rsid w:val="0018021C"/>
    <w:rsid w:val="00186B39"/>
    <w:rsid w:val="001A0225"/>
    <w:rsid w:val="001A29C5"/>
    <w:rsid w:val="001C0698"/>
    <w:rsid w:val="001C5865"/>
    <w:rsid w:val="001C797E"/>
    <w:rsid w:val="001D1773"/>
    <w:rsid w:val="00204320"/>
    <w:rsid w:val="00205A80"/>
    <w:rsid w:val="00205E92"/>
    <w:rsid w:val="002202CA"/>
    <w:rsid w:val="00231CF3"/>
    <w:rsid w:val="0023442F"/>
    <w:rsid w:val="002548B1"/>
    <w:rsid w:val="00267F61"/>
    <w:rsid w:val="00290A61"/>
    <w:rsid w:val="0029373E"/>
    <w:rsid w:val="002B686F"/>
    <w:rsid w:val="002C4E80"/>
    <w:rsid w:val="002C6FBF"/>
    <w:rsid w:val="002E583D"/>
    <w:rsid w:val="002F1501"/>
    <w:rsid w:val="002F4956"/>
    <w:rsid w:val="0030249B"/>
    <w:rsid w:val="00314545"/>
    <w:rsid w:val="00315CAF"/>
    <w:rsid w:val="00340EC8"/>
    <w:rsid w:val="00341071"/>
    <w:rsid w:val="00347C49"/>
    <w:rsid w:val="00381F82"/>
    <w:rsid w:val="00397F2C"/>
    <w:rsid w:val="003B05A5"/>
    <w:rsid w:val="003E393B"/>
    <w:rsid w:val="003E625C"/>
    <w:rsid w:val="003F1201"/>
    <w:rsid w:val="003F7CFE"/>
    <w:rsid w:val="0040498F"/>
    <w:rsid w:val="0041308A"/>
    <w:rsid w:val="00474A11"/>
    <w:rsid w:val="00483DC9"/>
    <w:rsid w:val="0048538C"/>
    <w:rsid w:val="004B755C"/>
    <w:rsid w:val="004C4F36"/>
    <w:rsid w:val="004D0C36"/>
    <w:rsid w:val="004E56C4"/>
    <w:rsid w:val="004F0CD2"/>
    <w:rsid w:val="0050343E"/>
    <w:rsid w:val="0052344C"/>
    <w:rsid w:val="00530F09"/>
    <w:rsid w:val="00544BAA"/>
    <w:rsid w:val="00551079"/>
    <w:rsid w:val="00591264"/>
    <w:rsid w:val="005A2757"/>
    <w:rsid w:val="005C5EC1"/>
    <w:rsid w:val="005E190A"/>
    <w:rsid w:val="005E6A3D"/>
    <w:rsid w:val="005E712E"/>
    <w:rsid w:val="005E729B"/>
    <w:rsid w:val="00604D5B"/>
    <w:rsid w:val="00642D3B"/>
    <w:rsid w:val="00664B52"/>
    <w:rsid w:val="006676A0"/>
    <w:rsid w:val="0069037B"/>
    <w:rsid w:val="00695402"/>
    <w:rsid w:val="006A2BBC"/>
    <w:rsid w:val="006A51F2"/>
    <w:rsid w:val="006B378C"/>
    <w:rsid w:val="006B41D0"/>
    <w:rsid w:val="006B5B1E"/>
    <w:rsid w:val="006C1CE7"/>
    <w:rsid w:val="006D3DF9"/>
    <w:rsid w:val="006E4A2C"/>
    <w:rsid w:val="006F2AA6"/>
    <w:rsid w:val="00702AA2"/>
    <w:rsid w:val="00704B68"/>
    <w:rsid w:val="00707AE0"/>
    <w:rsid w:val="00721859"/>
    <w:rsid w:val="00764097"/>
    <w:rsid w:val="00767F9F"/>
    <w:rsid w:val="0077103A"/>
    <w:rsid w:val="007722B3"/>
    <w:rsid w:val="00780BFF"/>
    <w:rsid w:val="00781567"/>
    <w:rsid w:val="00783AFE"/>
    <w:rsid w:val="007A1A83"/>
    <w:rsid w:val="007A7B10"/>
    <w:rsid w:val="007F1288"/>
    <w:rsid w:val="00803D35"/>
    <w:rsid w:val="00816DB0"/>
    <w:rsid w:val="00827B2B"/>
    <w:rsid w:val="00861E6E"/>
    <w:rsid w:val="00862C5A"/>
    <w:rsid w:val="008633AC"/>
    <w:rsid w:val="00865F0A"/>
    <w:rsid w:val="008668B8"/>
    <w:rsid w:val="008755C6"/>
    <w:rsid w:val="00882D84"/>
    <w:rsid w:val="008915D7"/>
    <w:rsid w:val="0089168D"/>
    <w:rsid w:val="0089434B"/>
    <w:rsid w:val="00895BA2"/>
    <w:rsid w:val="008A71E8"/>
    <w:rsid w:val="008B3FE0"/>
    <w:rsid w:val="008B7D76"/>
    <w:rsid w:val="008C0E61"/>
    <w:rsid w:val="008D47A3"/>
    <w:rsid w:val="008D789A"/>
    <w:rsid w:val="008E005C"/>
    <w:rsid w:val="008F23C4"/>
    <w:rsid w:val="00903099"/>
    <w:rsid w:val="00910534"/>
    <w:rsid w:val="009143E0"/>
    <w:rsid w:val="00925B7C"/>
    <w:rsid w:val="00953818"/>
    <w:rsid w:val="00980629"/>
    <w:rsid w:val="0098308E"/>
    <w:rsid w:val="00994B47"/>
    <w:rsid w:val="009C715F"/>
    <w:rsid w:val="009E05DE"/>
    <w:rsid w:val="009E6C7E"/>
    <w:rsid w:val="009F517C"/>
    <w:rsid w:val="009F549A"/>
    <w:rsid w:val="00A116E4"/>
    <w:rsid w:val="00A20A34"/>
    <w:rsid w:val="00A22548"/>
    <w:rsid w:val="00A30F3D"/>
    <w:rsid w:val="00A6698A"/>
    <w:rsid w:val="00A66EAE"/>
    <w:rsid w:val="00A71E01"/>
    <w:rsid w:val="00A872F0"/>
    <w:rsid w:val="00A90A94"/>
    <w:rsid w:val="00A947E8"/>
    <w:rsid w:val="00AA6D93"/>
    <w:rsid w:val="00AC2E4C"/>
    <w:rsid w:val="00AC7065"/>
    <w:rsid w:val="00AD1E04"/>
    <w:rsid w:val="00AD412C"/>
    <w:rsid w:val="00AF01C4"/>
    <w:rsid w:val="00B03E91"/>
    <w:rsid w:val="00B048DE"/>
    <w:rsid w:val="00B1149F"/>
    <w:rsid w:val="00B124C8"/>
    <w:rsid w:val="00B1295C"/>
    <w:rsid w:val="00B163B0"/>
    <w:rsid w:val="00B40120"/>
    <w:rsid w:val="00B4778D"/>
    <w:rsid w:val="00B53FB1"/>
    <w:rsid w:val="00B57CFB"/>
    <w:rsid w:val="00B61E62"/>
    <w:rsid w:val="00B643AD"/>
    <w:rsid w:val="00B836C3"/>
    <w:rsid w:val="00B97397"/>
    <w:rsid w:val="00BA0FF7"/>
    <w:rsid w:val="00BC07F4"/>
    <w:rsid w:val="00BC2904"/>
    <w:rsid w:val="00BE6935"/>
    <w:rsid w:val="00C1225B"/>
    <w:rsid w:val="00C24CAD"/>
    <w:rsid w:val="00C63C31"/>
    <w:rsid w:val="00C700BD"/>
    <w:rsid w:val="00C73D54"/>
    <w:rsid w:val="00C94E00"/>
    <w:rsid w:val="00CC6EE8"/>
    <w:rsid w:val="00CF646B"/>
    <w:rsid w:val="00D01920"/>
    <w:rsid w:val="00D06EBA"/>
    <w:rsid w:val="00D22D0F"/>
    <w:rsid w:val="00D32449"/>
    <w:rsid w:val="00D64515"/>
    <w:rsid w:val="00D87949"/>
    <w:rsid w:val="00DC490D"/>
    <w:rsid w:val="00DD1C11"/>
    <w:rsid w:val="00DD4854"/>
    <w:rsid w:val="00DE69D6"/>
    <w:rsid w:val="00DF0FD5"/>
    <w:rsid w:val="00DF2EF3"/>
    <w:rsid w:val="00E20590"/>
    <w:rsid w:val="00E22F86"/>
    <w:rsid w:val="00E27FCD"/>
    <w:rsid w:val="00E413B5"/>
    <w:rsid w:val="00E454C3"/>
    <w:rsid w:val="00E50074"/>
    <w:rsid w:val="00E50493"/>
    <w:rsid w:val="00E571E1"/>
    <w:rsid w:val="00E64DBF"/>
    <w:rsid w:val="00E73900"/>
    <w:rsid w:val="00E957C3"/>
    <w:rsid w:val="00EA554A"/>
    <w:rsid w:val="00EB202F"/>
    <w:rsid w:val="00EE180B"/>
    <w:rsid w:val="00EE278E"/>
    <w:rsid w:val="00EE6D5C"/>
    <w:rsid w:val="00EF7F21"/>
    <w:rsid w:val="00F23A9C"/>
    <w:rsid w:val="00F2681C"/>
    <w:rsid w:val="00F41128"/>
    <w:rsid w:val="00F458B8"/>
    <w:rsid w:val="00F6064C"/>
    <w:rsid w:val="00F84AC5"/>
    <w:rsid w:val="00F86FC8"/>
    <w:rsid w:val="00F93EC8"/>
    <w:rsid w:val="00FD375E"/>
    <w:rsid w:val="00FD66FD"/>
    <w:rsid w:val="00FF22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A4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3"/>
    <w:rPr>
      <w:sz w:val="24"/>
      <w:szCs w:val="24"/>
    </w:rPr>
  </w:style>
  <w:style w:type="paragraph" w:styleId="Heading2">
    <w:name w:val="heading 2"/>
    <w:basedOn w:val="Normal"/>
    <w:next w:val="Normal"/>
    <w:link w:val="Heading2Char"/>
    <w:semiHidden/>
    <w:unhideWhenUsed/>
    <w:qFormat/>
    <w:locked/>
    <w:rsid w:val="009105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locked/>
    <w:rsid w:val="00910534"/>
    <w:pPr>
      <w:keepNext/>
      <w:ind w:left="360"/>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rsid w:val="00143583"/>
    <w:rPr>
      <w:rFonts w:cs="Times New Roman"/>
    </w:rPr>
  </w:style>
  <w:style w:type="paragraph" w:styleId="Footer">
    <w:name w:val="footer"/>
    <w:basedOn w:val="Normal"/>
    <w:link w:val="FooterChar"/>
    <w:uiPriority w:val="99"/>
    <w:rsid w:val="00143583"/>
    <w:pPr>
      <w:tabs>
        <w:tab w:val="center" w:pos="4320"/>
        <w:tab w:val="right" w:pos="8640"/>
      </w:tabs>
    </w:pPr>
    <w:rPr>
      <w:szCs w:val="20"/>
    </w:rPr>
  </w:style>
  <w:style w:type="character" w:customStyle="1" w:styleId="FooterChar">
    <w:name w:val="Footer Char"/>
    <w:basedOn w:val="DefaultParagraphFont"/>
    <w:link w:val="Footer"/>
    <w:uiPriority w:val="99"/>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semiHidden/>
    <w:unhideWhenUsed/>
    <w:rsid w:val="00B97397"/>
  </w:style>
  <w:style w:type="character" w:customStyle="1" w:styleId="CommentTextChar">
    <w:name w:val="Comment Text Char"/>
    <w:basedOn w:val="DefaultParagraphFont"/>
    <w:link w:val="CommentText"/>
    <w:uiPriority w:val="99"/>
    <w:semiHidden/>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 w:type="paragraph" w:styleId="EndnoteText">
    <w:name w:val="endnote text"/>
    <w:basedOn w:val="Normal"/>
    <w:link w:val="EndnoteTextChar"/>
    <w:uiPriority w:val="99"/>
    <w:semiHidden/>
    <w:unhideWhenUsed/>
    <w:rsid w:val="00E50493"/>
    <w:rPr>
      <w:sz w:val="20"/>
      <w:szCs w:val="20"/>
    </w:rPr>
  </w:style>
  <w:style w:type="character" w:customStyle="1" w:styleId="EndnoteTextChar">
    <w:name w:val="Endnote Text Char"/>
    <w:basedOn w:val="DefaultParagraphFont"/>
    <w:link w:val="EndnoteText"/>
    <w:uiPriority w:val="99"/>
    <w:semiHidden/>
    <w:rsid w:val="00E50493"/>
    <w:rPr>
      <w:sz w:val="20"/>
      <w:szCs w:val="20"/>
    </w:rPr>
  </w:style>
  <w:style w:type="character" w:styleId="EndnoteReference">
    <w:name w:val="endnote reference"/>
    <w:basedOn w:val="DefaultParagraphFont"/>
    <w:uiPriority w:val="99"/>
    <w:semiHidden/>
    <w:unhideWhenUsed/>
    <w:rsid w:val="00E50493"/>
    <w:rPr>
      <w:vertAlign w:val="superscript"/>
    </w:rPr>
  </w:style>
  <w:style w:type="character" w:customStyle="1" w:styleId="Heading4Char">
    <w:name w:val="Heading 4 Char"/>
    <w:basedOn w:val="DefaultParagraphFont"/>
    <w:link w:val="Heading4"/>
    <w:uiPriority w:val="99"/>
    <w:rsid w:val="00910534"/>
    <w:rPr>
      <w:rFonts w:ascii="Arial" w:hAnsi="Arial" w:cs="Arial"/>
      <w:b/>
      <w:szCs w:val="20"/>
    </w:rPr>
  </w:style>
  <w:style w:type="paragraph" w:customStyle="1" w:styleId="Volume">
    <w:name w:val="Volume"/>
    <w:basedOn w:val="Normal"/>
    <w:autoRedefine/>
    <w:uiPriority w:val="99"/>
    <w:rsid w:val="00910534"/>
    <w:pPr>
      <w:spacing w:after="240"/>
    </w:pPr>
    <w:rPr>
      <w:rFonts w:ascii="Arial" w:hAnsi="Arial" w:cs="Arial"/>
      <w:b/>
      <w:sz w:val="28"/>
      <w:szCs w:val="20"/>
    </w:rPr>
  </w:style>
  <w:style w:type="paragraph" w:customStyle="1" w:styleId="submit">
    <w:name w:val="submit"/>
    <w:basedOn w:val="Heading2"/>
    <w:uiPriority w:val="99"/>
    <w:rsid w:val="00910534"/>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910534"/>
    <w:pPr>
      <w:ind w:left="720"/>
    </w:pPr>
    <w:rPr>
      <w:rFonts w:asciiTheme="minorHAnsi" w:hAnsiTheme="minorHAnsi"/>
      <w:b/>
      <w:i/>
    </w:rPr>
  </w:style>
  <w:style w:type="character" w:customStyle="1" w:styleId="Heading2Char">
    <w:name w:val="Heading 2 Char"/>
    <w:basedOn w:val="DefaultParagraphFont"/>
    <w:link w:val="Heading2"/>
    <w:semiHidden/>
    <w:rsid w:val="00910534"/>
    <w:rPr>
      <w:rFonts w:asciiTheme="majorHAnsi" w:eastAsiaTheme="majorEastAsia" w:hAnsiTheme="majorHAnsi" w:cstheme="majorBidi"/>
      <w:b/>
      <w:bCs/>
      <w:color w:val="4F81BD" w:themeColor="accent1"/>
      <w:sz w:val="26"/>
      <w:szCs w:val="26"/>
    </w:rPr>
  </w:style>
  <w:style w:type="table" w:styleId="TableGrid">
    <w:name w:val="Table Grid"/>
    <w:basedOn w:val="TableNormal"/>
    <w:locked/>
    <w:rsid w:val="007A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3"/>
    <w:rPr>
      <w:sz w:val="24"/>
      <w:szCs w:val="24"/>
    </w:rPr>
  </w:style>
  <w:style w:type="paragraph" w:styleId="Heading2">
    <w:name w:val="heading 2"/>
    <w:basedOn w:val="Normal"/>
    <w:next w:val="Normal"/>
    <w:link w:val="Heading2Char"/>
    <w:semiHidden/>
    <w:unhideWhenUsed/>
    <w:qFormat/>
    <w:locked/>
    <w:rsid w:val="009105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locked/>
    <w:rsid w:val="00910534"/>
    <w:pPr>
      <w:keepNext/>
      <w:ind w:left="360"/>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rsid w:val="00143583"/>
    <w:rPr>
      <w:rFonts w:cs="Times New Roman"/>
    </w:rPr>
  </w:style>
  <w:style w:type="paragraph" w:styleId="Footer">
    <w:name w:val="footer"/>
    <w:basedOn w:val="Normal"/>
    <w:link w:val="FooterChar"/>
    <w:uiPriority w:val="99"/>
    <w:rsid w:val="00143583"/>
    <w:pPr>
      <w:tabs>
        <w:tab w:val="center" w:pos="4320"/>
        <w:tab w:val="right" w:pos="8640"/>
      </w:tabs>
    </w:pPr>
    <w:rPr>
      <w:szCs w:val="20"/>
    </w:rPr>
  </w:style>
  <w:style w:type="character" w:customStyle="1" w:styleId="FooterChar">
    <w:name w:val="Footer Char"/>
    <w:basedOn w:val="DefaultParagraphFont"/>
    <w:link w:val="Footer"/>
    <w:uiPriority w:val="99"/>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semiHidden/>
    <w:unhideWhenUsed/>
    <w:rsid w:val="00B97397"/>
  </w:style>
  <w:style w:type="character" w:customStyle="1" w:styleId="CommentTextChar">
    <w:name w:val="Comment Text Char"/>
    <w:basedOn w:val="DefaultParagraphFont"/>
    <w:link w:val="CommentText"/>
    <w:uiPriority w:val="99"/>
    <w:semiHidden/>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 w:type="paragraph" w:styleId="EndnoteText">
    <w:name w:val="endnote text"/>
    <w:basedOn w:val="Normal"/>
    <w:link w:val="EndnoteTextChar"/>
    <w:uiPriority w:val="99"/>
    <w:semiHidden/>
    <w:unhideWhenUsed/>
    <w:rsid w:val="00E50493"/>
    <w:rPr>
      <w:sz w:val="20"/>
      <w:szCs w:val="20"/>
    </w:rPr>
  </w:style>
  <w:style w:type="character" w:customStyle="1" w:styleId="EndnoteTextChar">
    <w:name w:val="Endnote Text Char"/>
    <w:basedOn w:val="DefaultParagraphFont"/>
    <w:link w:val="EndnoteText"/>
    <w:uiPriority w:val="99"/>
    <w:semiHidden/>
    <w:rsid w:val="00E50493"/>
    <w:rPr>
      <w:sz w:val="20"/>
      <w:szCs w:val="20"/>
    </w:rPr>
  </w:style>
  <w:style w:type="character" w:styleId="EndnoteReference">
    <w:name w:val="endnote reference"/>
    <w:basedOn w:val="DefaultParagraphFont"/>
    <w:uiPriority w:val="99"/>
    <w:semiHidden/>
    <w:unhideWhenUsed/>
    <w:rsid w:val="00E50493"/>
    <w:rPr>
      <w:vertAlign w:val="superscript"/>
    </w:rPr>
  </w:style>
  <w:style w:type="character" w:customStyle="1" w:styleId="Heading4Char">
    <w:name w:val="Heading 4 Char"/>
    <w:basedOn w:val="DefaultParagraphFont"/>
    <w:link w:val="Heading4"/>
    <w:uiPriority w:val="99"/>
    <w:rsid w:val="00910534"/>
    <w:rPr>
      <w:rFonts w:ascii="Arial" w:hAnsi="Arial" w:cs="Arial"/>
      <w:b/>
      <w:szCs w:val="20"/>
    </w:rPr>
  </w:style>
  <w:style w:type="paragraph" w:customStyle="1" w:styleId="Volume">
    <w:name w:val="Volume"/>
    <w:basedOn w:val="Normal"/>
    <w:autoRedefine/>
    <w:uiPriority w:val="99"/>
    <w:rsid w:val="00910534"/>
    <w:pPr>
      <w:spacing w:after="240"/>
    </w:pPr>
    <w:rPr>
      <w:rFonts w:ascii="Arial" w:hAnsi="Arial" w:cs="Arial"/>
      <w:b/>
      <w:sz w:val="28"/>
      <w:szCs w:val="20"/>
    </w:rPr>
  </w:style>
  <w:style w:type="paragraph" w:customStyle="1" w:styleId="submit">
    <w:name w:val="submit"/>
    <w:basedOn w:val="Heading2"/>
    <w:uiPriority w:val="99"/>
    <w:rsid w:val="00910534"/>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910534"/>
    <w:pPr>
      <w:ind w:left="720"/>
    </w:pPr>
    <w:rPr>
      <w:rFonts w:asciiTheme="minorHAnsi" w:hAnsiTheme="minorHAnsi"/>
      <w:b/>
      <w:i/>
    </w:rPr>
  </w:style>
  <w:style w:type="character" w:customStyle="1" w:styleId="Heading2Char">
    <w:name w:val="Heading 2 Char"/>
    <w:basedOn w:val="DefaultParagraphFont"/>
    <w:link w:val="Heading2"/>
    <w:semiHidden/>
    <w:rsid w:val="00910534"/>
    <w:rPr>
      <w:rFonts w:asciiTheme="majorHAnsi" w:eastAsiaTheme="majorEastAsia" w:hAnsiTheme="majorHAnsi" w:cstheme="majorBidi"/>
      <w:b/>
      <w:bCs/>
      <w:color w:val="4F81BD" w:themeColor="accent1"/>
      <w:sz w:val="26"/>
      <w:szCs w:val="26"/>
    </w:rPr>
  </w:style>
  <w:style w:type="table" w:styleId="TableGrid">
    <w:name w:val="Table Grid"/>
    <w:basedOn w:val="TableNormal"/>
    <w:locked/>
    <w:rsid w:val="007A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5621">
      <w:bodyDiv w:val="1"/>
      <w:marLeft w:val="0"/>
      <w:marRight w:val="0"/>
      <w:marTop w:val="0"/>
      <w:marBottom w:val="0"/>
      <w:divBdr>
        <w:top w:val="none" w:sz="0" w:space="0" w:color="auto"/>
        <w:left w:val="none" w:sz="0" w:space="0" w:color="auto"/>
        <w:bottom w:val="none" w:sz="0" w:space="0" w:color="auto"/>
        <w:right w:val="none" w:sz="0" w:space="0" w:color="auto"/>
      </w:divBdr>
    </w:div>
    <w:div w:id="392893818">
      <w:bodyDiv w:val="1"/>
      <w:marLeft w:val="0"/>
      <w:marRight w:val="0"/>
      <w:marTop w:val="0"/>
      <w:marBottom w:val="0"/>
      <w:divBdr>
        <w:top w:val="none" w:sz="0" w:space="0" w:color="auto"/>
        <w:left w:val="none" w:sz="0" w:space="0" w:color="auto"/>
        <w:bottom w:val="none" w:sz="0" w:space="0" w:color="auto"/>
        <w:right w:val="none" w:sz="0" w:space="0" w:color="auto"/>
      </w:divBdr>
    </w:div>
    <w:div w:id="694813922">
      <w:bodyDiv w:val="1"/>
      <w:marLeft w:val="0"/>
      <w:marRight w:val="0"/>
      <w:marTop w:val="0"/>
      <w:marBottom w:val="0"/>
      <w:divBdr>
        <w:top w:val="none" w:sz="0" w:space="0" w:color="auto"/>
        <w:left w:val="none" w:sz="0" w:space="0" w:color="auto"/>
        <w:bottom w:val="none" w:sz="0" w:space="0" w:color="auto"/>
        <w:right w:val="none" w:sz="0" w:space="0" w:color="auto"/>
      </w:divBdr>
    </w:div>
    <w:div w:id="858003642">
      <w:bodyDiv w:val="1"/>
      <w:marLeft w:val="0"/>
      <w:marRight w:val="0"/>
      <w:marTop w:val="0"/>
      <w:marBottom w:val="0"/>
      <w:divBdr>
        <w:top w:val="none" w:sz="0" w:space="0" w:color="auto"/>
        <w:left w:val="none" w:sz="0" w:space="0" w:color="auto"/>
        <w:bottom w:val="none" w:sz="0" w:space="0" w:color="auto"/>
        <w:right w:val="none" w:sz="0" w:space="0" w:color="auto"/>
      </w:divBdr>
    </w:div>
    <w:div w:id="1386833556">
      <w:bodyDiv w:val="1"/>
      <w:marLeft w:val="0"/>
      <w:marRight w:val="0"/>
      <w:marTop w:val="0"/>
      <w:marBottom w:val="0"/>
      <w:divBdr>
        <w:top w:val="none" w:sz="0" w:space="0" w:color="auto"/>
        <w:left w:val="none" w:sz="0" w:space="0" w:color="auto"/>
        <w:bottom w:val="none" w:sz="0" w:space="0" w:color="auto"/>
        <w:right w:val="none" w:sz="0" w:space="0" w:color="auto"/>
      </w:divBdr>
    </w:div>
    <w:div w:id="1599023723">
      <w:bodyDiv w:val="1"/>
      <w:marLeft w:val="0"/>
      <w:marRight w:val="0"/>
      <w:marTop w:val="0"/>
      <w:marBottom w:val="0"/>
      <w:divBdr>
        <w:top w:val="none" w:sz="0" w:space="0" w:color="auto"/>
        <w:left w:val="none" w:sz="0" w:space="0" w:color="auto"/>
        <w:bottom w:val="none" w:sz="0" w:space="0" w:color="auto"/>
        <w:right w:val="none" w:sz="0" w:space="0" w:color="auto"/>
      </w:divBdr>
    </w:div>
    <w:div w:id="183502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e.miller\AppData\Local\Microsoft\Windows\Temporary%20Internet%20Files\Content.Outlook\KXWN9Y4O\Att_IPEDS%20Section%2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8F8AE-7475-4DC8-B795-1E59C120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Att_IPEDS Section B</Template>
  <TotalTime>0</TotalTime>
  <Pages>2</Pages>
  <Words>3023</Words>
  <Characters>17233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SECTION B</vt:lpstr>
    </vt:vector>
  </TitlesOfParts>
  <Company>DoED</Company>
  <LinksUpToDate>false</LinksUpToDate>
  <CharactersWithSpaces>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creator>Authorised User</dc:creator>
  <cp:lastModifiedBy>SYSTEM</cp:lastModifiedBy>
  <cp:revision>2</cp:revision>
  <cp:lastPrinted>2015-11-17T18:44:00Z</cp:lastPrinted>
  <dcterms:created xsi:type="dcterms:W3CDTF">2019-06-25T17:13:00Z</dcterms:created>
  <dcterms:modified xsi:type="dcterms:W3CDTF">2019-06-25T17:13:00Z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