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78F4" w:rsidR="00BA13A2" w:rsidP="00432256" w:rsidRDefault="00386054" w14:paraId="551EFA3F" w14:textId="77777777">
      <w:pPr>
        <w:pStyle w:val="Title"/>
      </w:pPr>
      <w:r w:rsidRPr="00B578F4">
        <w:t>SUPPORTING STATEMENT</w:t>
      </w:r>
      <w:r w:rsidR="00432256">
        <w:t xml:space="preserve"> </w:t>
      </w:r>
      <w:r w:rsidRPr="00B578F4">
        <w:t>FOR PAPERWORK REDUCTION ACT SUBMISSION</w:t>
      </w:r>
    </w:p>
    <w:p w:rsidR="00386054" w:rsidP="00432256" w:rsidRDefault="00016E14" w14:paraId="551EFA40" w14:textId="77777777">
      <w:pPr>
        <w:pStyle w:val="Heading1"/>
        <w:numPr>
          <w:ilvl w:val="0"/>
          <w:numId w:val="24"/>
        </w:numPr>
        <w:rPr>
          <w:rFonts w:cs="Times New Roman"/>
          <w:szCs w:val="28"/>
        </w:rPr>
      </w:pPr>
      <w:r w:rsidRPr="00B578F4">
        <w:rPr>
          <w:rFonts w:cs="Times New Roman"/>
          <w:szCs w:val="28"/>
        </w:rPr>
        <w:t xml:space="preserve">Justification </w:t>
      </w:r>
    </w:p>
    <w:p w:rsidR="00441A39" w:rsidP="00432256" w:rsidRDefault="00441A39" w14:paraId="551EFA41" w14:textId="77777777">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CF7773" w:rsidP="00B3331D" w:rsidRDefault="001C53D4" w14:paraId="7E17A395" w14:textId="5E5A447C">
      <w:pPr>
        <w:ind w:left="720"/>
      </w:pPr>
      <w:r w:rsidRPr="002E3C3C">
        <w:t>This is a request</w:t>
      </w:r>
      <w:r w:rsidR="00A066DA">
        <w:t xml:space="preserve"> for an emergency approval for a </w:t>
      </w:r>
      <w:r w:rsidR="00730AD7">
        <w:t xml:space="preserve">revision </w:t>
      </w:r>
      <w:r w:rsidR="00A066DA">
        <w:t>to the OMB approved 181</w:t>
      </w:r>
      <w:r w:rsidR="00162D6E">
        <w:t>0-0741</w:t>
      </w:r>
      <w:r w:rsidRPr="002E3C3C">
        <w:t xml:space="preserve"> information collection. </w:t>
      </w:r>
      <w:r w:rsidRPr="002E3C3C" w:rsidR="00CF0041">
        <w:t xml:space="preserve">The Department was granted approval for </w:t>
      </w:r>
      <w:r w:rsidR="002B2921">
        <w:t>this</w:t>
      </w:r>
      <w:r w:rsidRPr="002E3C3C" w:rsidR="00E314D0">
        <w:t xml:space="preserve"> </w:t>
      </w:r>
      <w:r w:rsidRPr="002E3C3C" w:rsidR="006300EB">
        <w:t>information collection</w:t>
      </w:r>
      <w:r w:rsidR="002B2921">
        <w:t xml:space="preserve"> on April 13, 2020,</w:t>
      </w:r>
      <w:r w:rsidRPr="002E3C3C" w:rsidR="006300EB">
        <w:t xml:space="preserve"> that </w:t>
      </w:r>
      <w:r w:rsidRPr="002E3C3C" w:rsidR="00587E4F">
        <w:t>solicit</w:t>
      </w:r>
      <w:r w:rsidR="002B2921">
        <w:t>s</w:t>
      </w:r>
      <w:r w:rsidRPr="002E3C3C" w:rsidR="00587E4F">
        <w:t xml:space="preserve"> from State educational agencies (SEAs)</w:t>
      </w:r>
      <w:r w:rsidRPr="002E3C3C" w:rsidR="007034D3">
        <w:t xml:space="preserve"> applications for funding under </w:t>
      </w:r>
      <w:r w:rsidRPr="002E3C3C" w:rsidR="00C36A00">
        <w:t>section 18002(a)</w:t>
      </w:r>
      <w:r w:rsidRPr="002E3C3C" w:rsidR="009756EB">
        <w:t xml:space="preserve"> of the CARES Act</w:t>
      </w:r>
      <w:r w:rsidRPr="002E3C3C" w:rsidR="007034D3">
        <w:t>,</w:t>
      </w:r>
      <w:r w:rsidRPr="002E3C3C" w:rsidR="009756EB">
        <w:t xml:space="preserve"> the</w:t>
      </w:r>
      <w:r w:rsidRPr="002E3C3C" w:rsidR="007034D3">
        <w:t xml:space="preserve"> Governor’s Emergency Education Relief Fund (GEER</w:t>
      </w:r>
      <w:r w:rsidRPr="002E3C3C" w:rsidR="00CD2D38">
        <w:t xml:space="preserve"> </w:t>
      </w:r>
      <w:r w:rsidRPr="002E3C3C" w:rsidR="007034D3">
        <w:t>F</w:t>
      </w:r>
      <w:r w:rsidRPr="002E3C3C" w:rsidR="00CD2D38">
        <w:t>und</w:t>
      </w:r>
      <w:r w:rsidRPr="002E3C3C" w:rsidR="007034D3">
        <w:t>).</w:t>
      </w:r>
      <w:r w:rsidRPr="002E3C3C" w:rsidR="00587E4F">
        <w:t xml:space="preserve"> </w:t>
      </w:r>
      <w:r w:rsidRPr="002E3C3C" w:rsidR="001E6A39">
        <w:t xml:space="preserve"> </w:t>
      </w:r>
      <w:r w:rsidR="00162D6E">
        <w:t xml:space="preserve">Subsequently, </w:t>
      </w:r>
      <w:r w:rsidR="006C5FA2">
        <w:t xml:space="preserve">on June </w:t>
      </w:r>
      <w:r w:rsidR="00280945">
        <w:t xml:space="preserve">5, </w:t>
      </w:r>
      <w:proofErr w:type="gramStart"/>
      <w:r w:rsidR="00280945">
        <w:t>2020</w:t>
      </w:r>
      <w:proofErr w:type="gramEnd"/>
      <w:r w:rsidR="00280945">
        <w:t xml:space="preserve"> OMB approved a change request </w:t>
      </w:r>
      <w:r w:rsidR="00E34ECA">
        <w:t>so that the Department could use the 1810-0741 collection for the</w:t>
      </w:r>
      <w:r w:rsidR="004B6A6F">
        <w:t xml:space="preserve"> </w:t>
      </w:r>
      <w:r w:rsidR="000723E3">
        <w:t>C</w:t>
      </w:r>
      <w:r w:rsidRPr="000723E3" w:rsidR="000723E3">
        <w:t>oronavirus Response and Relief Supplemental Appropriations Act, 2021</w:t>
      </w:r>
      <w:r w:rsidR="00E34ECA">
        <w:t xml:space="preserve"> </w:t>
      </w:r>
      <w:r w:rsidR="00234A3C">
        <w:t>E</w:t>
      </w:r>
      <w:r w:rsidRPr="198865E8" w:rsidR="00234A3C">
        <w:t>mergency Assistance to Non-Public Schools (</w:t>
      </w:r>
      <w:r w:rsidR="00234A3C">
        <w:t xml:space="preserve">CRRSA </w:t>
      </w:r>
      <w:r w:rsidRPr="198865E8" w:rsidR="00234A3C">
        <w:t xml:space="preserve">EANS) program as part of the Governor’s </w:t>
      </w:r>
      <w:r w:rsidR="00234A3C">
        <w:t xml:space="preserve">Emergency </w:t>
      </w:r>
      <w:r w:rsidRPr="198865E8" w:rsidR="00234A3C">
        <w:t xml:space="preserve">Education Relief </w:t>
      </w:r>
      <w:r w:rsidR="00234A3C">
        <w:t xml:space="preserve">(GEER II) </w:t>
      </w:r>
      <w:r w:rsidRPr="198865E8" w:rsidR="00234A3C">
        <w:t xml:space="preserve">Fund </w:t>
      </w:r>
      <w:r w:rsidR="00234A3C">
        <w:t xml:space="preserve">to </w:t>
      </w:r>
      <w:r w:rsidRPr="198865E8" w:rsidR="00234A3C">
        <w:t>provid</w:t>
      </w:r>
      <w:r w:rsidR="00234A3C">
        <w:t>e</w:t>
      </w:r>
      <w:r w:rsidRPr="198865E8" w:rsidR="00234A3C">
        <w:t xml:space="preserve"> emergency services or assistance to non-public schools in the wake of </w:t>
      </w:r>
      <w:r w:rsidR="00234A3C">
        <w:t xml:space="preserve">the Coronavirus Disease 2019 (COVID-19). </w:t>
      </w:r>
      <w:r w:rsidR="000243E5">
        <w:rPr>
          <w:rFonts w:cs="Courier New"/>
        </w:rPr>
        <w:t xml:space="preserve">The American Rescue Plan Act of 2021 (ARP Act), Pub. L. No. </w:t>
      </w:r>
      <w:r w:rsidR="000243E5">
        <w:t>117-2 (March 11, 2021),</w:t>
      </w:r>
      <w:r w:rsidR="000243E5">
        <w:rPr>
          <w:rFonts w:cs="Courier New"/>
        </w:rPr>
        <w:t xml:space="preserve"> authorized a second round of funding (ARP EANS) to provide services or assistance to non-public schools. The Department is requesti</w:t>
      </w:r>
      <w:r w:rsidR="00795E0B">
        <w:rPr>
          <w:rFonts w:cs="Courier New"/>
        </w:rPr>
        <w:t xml:space="preserve">ng this </w:t>
      </w:r>
      <w:r w:rsidR="00082AA6">
        <w:rPr>
          <w:rFonts w:cs="Courier New"/>
        </w:rPr>
        <w:t>revision</w:t>
      </w:r>
      <w:r w:rsidR="00795E0B">
        <w:rPr>
          <w:rFonts w:cs="Courier New"/>
        </w:rPr>
        <w:t xml:space="preserve"> in order for the application </w:t>
      </w:r>
      <w:r w:rsidR="003001B8">
        <w:rPr>
          <w:rFonts w:cs="Courier New"/>
        </w:rPr>
        <w:t>to meet the requirements of the ARP EANS programs</w:t>
      </w:r>
      <w:r w:rsidR="00C4600F">
        <w:rPr>
          <w:rFonts w:cs="Courier New"/>
        </w:rPr>
        <w:t xml:space="preserve">. </w:t>
      </w:r>
      <w:r w:rsidR="00CE2515">
        <w:rPr>
          <w:rFonts w:cs="Courier New"/>
        </w:rPr>
        <w:t>W</w:t>
      </w:r>
      <w:r w:rsidRPr="00C142E6" w:rsidR="00CE2515">
        <w:rPr>
          <w:rFonts w:cs="Courier New"/>
        </w:rPr>
        <w:t>ith two exceptions, the requirements of ARP EANS are the same as those in section 312(d) of the CRRSA Act. The two exceptions are: (1) a State educational agency (SEA) may only provide services or assistance under ARP EANS to non-public schools that enroll a significant percentage of</w:t>
      </w:r>
      <w:r w:rsidR="00CE2515">
        <w:rPr>
          <w:rFonts w:cs="Courier New"/>
        </w:rPr>
        <w:t xml:space="preserve"> students from</w:t>
      </w:r>
      <w:r w:rsidRPr="00C142E6" w:rsidR="00CE2515">
        <w:rPr>
          <w:rFonts w:cs="Courier New"/>
        </w:rPr>
        <w:t xml:space="preserve"> low-income </w:t>
      </w:r>
      <w:r w:rsidR="00CE2515">
        <w:rPr>
          <w:rFonts w:cs="Courier New"/>
        </w:rPr>
        <w:t>families</w:t>
      </w:r>
      <w:r w:rsidRPr="00C142E6" w:rsidR="00CE2515">
        <w:rPr>
          <w:rFonts w:cs="Courier New"/>
        </w:rPr>
        <w:t xml:space="preserve"> and are most impacted by COVID-19 and (2) an SEA may not use ARP EANS funds to reimburse a non-public school for costs the school incurred to address the impact of COVID-19</w:t>
      </w:r>
      <w:r w:rsidR="00CE2515">
        <w:rPr>
          <w:rFonts w:cs="Courier New"/>
        </w:rPr>
        <w:t>.</w:t>
      </w:r>
      <w:r w:rsidR="00F125DF">
        <w:rPr>
          <w:rFonts w:cs="Courier New"/>
        </w:rPr>
        <w:t xml:space="preserve"> In addition, </w:t>
      </w:r>
      <w:r w:rsidR="00CF7773">
        <w:rPr>
          <w:rFonts w:cs="Courier New"/>
        </w:rPr>
        <w:t>t</w:t>
      </w:r>
      <w:r w:rsidR="00F125DF">
        <w:t>he</w:t>
      </w:r>
      <w:r w:rsidR="00CF7773">
        <w:t xml:space="preserve"> forthcoming </w:t>
      </w:r>
      <w:r w:rsidR="00F125DF">
        <w:t xml:space="preserve">final requirements </w:t>
      </w:r>
      <w:r w:rsidR="00CF7773">
        <w:t xml:space="preserve">for the ARP EANS program </w:t>
      </w:r>
      <w:r w:rsidR="00F125DF">
        <w:t>create an information collection requirement for SEAs. T</w:t>
      </w:r>
      <w:r w:rsidRPr="009E382F" w:rsidR="00F125DF">
        <w:t>his regulatory action establishes</w:t>
      </w:r>
      <w:r w:rsidR="00F125DF">
        <w:t xml:space="preserve"> a</w:t>
      </w:r>
      <w:r w:rsidRPr="009E382F" w:rsidR="00F125DF">
        <w:t xml:space="preserve"> requirement</w:t>
      </w:r>
      <w:r w:rsidR="00F125DF">
        <w:t xml:space="preserve"> that</w:t>
      </w:r>
      <w:r w:rsidRPr="009E382F" w:rsidR="00F125DF">
        <w:t xml:space="preserve"> an SEA</w:t>
      </w:r>
      <w:r w:rsidR="00F125DF">
        <w:t xml:space="preserve"> must provide transparency </w:t>
      </w:r>
      <w:r w:rsidRPr="00F7004E" w:rsidR="00F125DF">
        <w:t>in program administration by publishing on the SEA website the minimum percentage used to determine whether a non-public school enrolls a significant percentage of students from low-income families and the factors to be used to determine whether a school is most impacted by COVID-19</w:t>
      </w:r>
      <w:r w:rsidR="00F125DF">
        <w:t>.</w:t>
      </w:r>
    </w:p>
    <w:p w:rsidRPr="001E6A39" w:rsidR="00B83FB3" w:rsidP="001E6A39" w:rsidRDefault="00F345C4" w14:paraId="551EFA46" w14:textId="08EDDBF2">
      <w:pPr>
        <w:pStyle w:val="ListParagraph"/>
        <w:numPr>
          <w:ilvl w:val="0"/>
          <w:numId w:val="28"/>
        </w:numPr>
        <w:rPr>
          <w:b/>
        </w:rPr>
      </w:pPr>
      <w:r w:rsidRPr="001E6A39">
        <w:rPr>
          <w:b/>
        </w:rPr>
        <w:t>I</w:t>
      </w:r>
      <w:r w:rsidRPr="001E6A39" w:rsidR="00386054">
        <w:rPr>
          <w:b/>
        </w:rPr>
        <w:t>ndicate how, by whom, and for what purpose the information is to be used.  Except for a new collection, indicate the actual use the agency has made of the information received from the current collection.</w:t>
      </w:r>
    </w:p>
    <w:p w:rsidR="00CE29AC" w:rsidP="00432256" w:rsidRDefault="006300EB" w14:paraId="79736510" w14:textId="0E19CDA7">
      <w:pPr>
        <w:pStyle w:val="ListParagraph"/>
        <w:tabs>
          <w:tab w:val="center" w:pos="8505"/>
        </w:tabs>
        <w:contextualSpacing/>
      </w:pPr>
      <w:r>
        <w:t xml:space="preserve">The information will be reviewed by U.S. Department of Education employees </w:t>
      </w:r>
      <w:r w:rsidR="00CE29AC">
        <w:t xml:space="preserve">to </w:t>
      </w:r>
      <w:r w:rsidR="001E6A39">
        <w:t xml:space="preserve">allocate </w:t>
      </w:r>
      <w:r w:rsidR="00CD2D38">
        <w:t>and award</w:t>
      </w:r>
      <w:r w:rsidR="0058394E">
        <w:t xml:space="preserve"> EANS</w:t>
      </w:r>
      <w:r w:rsidR="001E6A39">
        <w:t xml:space="preserve"> </w:t>
      </w:r>
      <w:r w:rsidR="00CD2D38">
        <w:t>F</w:t>
      </w:r>
      <w:r w:rsidR="001E6A39">
        <w:t>unds to SEA</w:t>
      </w:r>
      <w:r w:rsidR="00CD2D38">
        <w:t xml:space="preserve">s and ensure those funds are used in accordance with section </w:t>
      </w:r>
      <w:r w:rsidR="00886EBD">
        <w:t xml:space="preserve">2002 of the </w:t>
      </w:r>
      <w:r w:rsidR="00886EBD">
        <w:rPr>
          <w:rFonts w:cs="Courier New"/>
        </w:rPr>
        <w:t xml:space="preserve">American Rescue Plan Act of 2021 (ARP Act), Pub. L. No. </w:t>
      </w:r>
      <w:r w:rsidR="00886EBD">
        <w:t>117-2.</w:t>
      </w:r>
    </w:p>
    <w:p w:rsidR="000340DC" w:rsidP="000340DC" w:rsidRDefault="000340DC" w14:paraId="5980C4C6" w14:textId="39D73AF2">
      <w:pPr>
        <w:suppressAutoHyphens/>
        <w:spacing w:line="240" w:lineRule="exact"/>
        <w:ind w:left="720"/>
      </w:pPr>
      <w:r>
        <w:lastRenderedPageBreak/>
        <w:t>For the transparency requirement,</w:t>
      </w:r>
      <w:r w:rsidR="006A7A52">
        <w:t xml:space="preserve"> the Department will not collect this information. However,</w:t>
      </w:r>
      <w:r>
        <w:t xml:space="preserve"> f</w:t>
      </w:r>
      <w:r w:rsidRPr="00911B22">
        <w:t>ollowing approval of the Governor’s ARP EANS application by the Secretary, an SEA must publish on its website, on or before the date it makes applications for services or assistance available to non-public schools, the State’s approved (1) minimum percentage to determine whether a non-public school enrolls a significant percentage of students from low-income families; and (2) factors to determine whether a non-public school is most impacted by COVID-19.</w:t>
      </w:r>
      <w:r>
        <w:t xml:space="preserve"> This requirement for transparency in SEA administration of the program will </w:t>
      </w:r>
      <w:r w:rsidRPr="00EE03DA">
        <w:t>ensure that all stakeholders are aware of the specific criteria each State plans to apply in determining which non-public schools receive services or assistance under the ARP EANS program.</w:t>
      </w:r>
    </w:p>
    <w:p w:rsidR="00CE29AC" w:rsidP="00432256" w:rsidRDefault="00CE29AC" w14:paraId="209D2A77" w14:textId="77777777">
      <w:pPr>
        <w:pStyle w:val="ListParagraph"/>
        <w:tabs>
          <w:tab w:val="center" w:pos="8505"/>
        </w:tabs>
        <w:contextualSpacing/>
      </w:pPr>
    </w:p>
    <w:p w:rsidR="00B83FB3" w:rsidP="00432256" w:rsidRDefault="00386054" w14:paraId="551EFA49" w14:textId="77777777">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C7F32" w:rsidP="007C7F32" w:rsidRDefault="007C7F32" w14:paraId="551EFA4A" w14:textId="1BE0D2D8">
      <w:pPr>
        <w:ind w:left="720"/>
      </w:pPr>
      <w:r>
        <w:t>ED</w:t>
      </w:r>
      <w:r w:rsidRPr="007C7F32">
        <w:t xml:space="preserve"> </w:t>
      </w:r>
      <w:r w:rsidR="00CE29AC">
        <w:t xml:space="preserve">will </w:t>
      </w:r>
      <w:r w:rsidRPr="007C7F32">
        <w:t>encourag</w:t>
      </w:r>
      <w:r>
        <w:t>e</w:t>
      </w:r>
      <w:r w:rsidRPr="007C7F32">
        <w:t xml:space="preserve"> </w:t>
      </w:r>
      <w:r>
        <w:t>all State</w:t>
      </w:r>
      <w:r w:rsidR="00CE29AC">
        <w:t xml:space="preserve"> educational agencies t</w:t>
      </w:r>
      <w:r w:rsidRPr="007C7F32">
        <w:t xml:space="preserve">o submit </w:t>
      </w:r>
      <w:r>
        <w:t xml:space="preserve">their </w:t>
      </w:r>
      <w:r w:rsidR="008B3000">
        <w:t>applications</w:t>
      </w:r>
      <w:r w:rsidR="00CE29AC">
        <w:t xml:space="preserve"> el</w:t>
      </w:r>
      <w:r w:rsidRPr="007C7F32">
        <w:t xml:space="preserve">ectronically.  </w:t>
      </w:r>
    </w:p>
    <w:p w:rsidR="00872D56" w:rsidP="00432256" w:rsidRDefault="00872D56" w14:paraId="551EFA4B" w14:textId="77777777">
      <w:pPr>
        <w:pStyle w:val="ListParagraph"/>
        <w:numPr>
          <w:ilvl w:val="0"/>
          <w:numId w:val="28"/>
        </w:numPr>
      </w:pPr>
      <w:r w:rsidRPr="00872D56">
        <w:rPr>
          <w:b/>
        </w:rPr>
        <w:t>Describe efforts to identify duplication. Show specifically why any similar information already available cannot be used or modified for use for the purposes described in Item 2 above</w:t>
      </w:r>
      <w:r w:rsidRPr="00431228">
        <w:t>.</w:t>
      </w:r>
    </w:p>
    <w:p w:rsidR="00297AB8" w:rsidP="00432256" w:rsidRDefault="007C7F32" w14:paraId="551EFA4C" w14:textId="042D21B5">
      <w:pPr>
        <w:ind w:left="720"/>
      </w:pPr>
      <w:r>
        <w:t>This is a unique collection; t</w:t>
      </w:r>
      <w:r w:rsidRPr="007C7F32">
        <w:t xml:space="preserve">here are no </w:t>
      </w:r>
      <w:r w:rsidR="00E9209F">
        <w:t>other</w:t>
      </w:r>
      <w:r w:rsidRPr="007C7F32">
        <w:t xml:space="preserve"> data collections which </w:t>
      </w:r>
      <w:r>
        <w:t xml:space="preserve">seek </w:t>
      </w:r>
      <w:r w:rsidRPr="007C7F32">
        <w:t>this information.</w:t>
      </w:r>
    </w:p>
    <w:p w:rsidR="00A86335" w:rsidP="00A86335" w:rsidRDefault="00A86335" w14:paraId="1954FCFD" w14:textId="2466614A">
      <w:pPr>
        <w:pStyle w:val="ListParagraph"/>
        <w:tabs>
          <w:tab w:val="left" w:pos="-720"/>
        </w:tabs>
        <w:suppressAutoHyphens/>
      </w:pPr>
      <w:r>
        <w:t xml:space="preserve">SEAs are required to post the information to their websites. This will be the easiest method of sharing the information for the SEAs and will ensure the widest possible distribution for stakeholders.  </w:t>
      </w:r>
    </w:p>
    <w:p w:rsidR="00B83FB3" w:rsidP="00432256" w:rsidRDefault="00386054" w14:paraId="551EFA4D" w14:textId="77777777">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297AB8" w:rsidP="00994136" w:rsidRDefault="007C7F32" w14:paraId="551EFA4E" w14:textId="6C5315C7">
      <w:pPr>
        <w:ind w:left="720"/>
      </w:pPr>
      <w:r>
        <w:t>The collection does not impact small businesses or other small entities.</w:t>
      </w:r>
    </w:p>
    <w:p w:rsidR="00B83FB3" w:rsidP="00432256" w:rsidRDefault="00386054" w14:paraId="551EFA4F" w14:textId="4158BF97">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C12BD1" w:rsidP="00C12BD1" w:rsidRDefault="00C12BD1" w14:paraId="04BAE245" w14:textId="10871F73">
      <w:pPr>
        <w:pStyle w:val="ListParagraph"/>
      </w:pPr>
      <w:r>
        <w:rPr>
          <w:rFonts w:eastAsia="Arial Unicode MS"/>
        </w:rPr>
        <w:t xml:space="preserve">This collection is the result of the final requirements for the ARP EANS program. If the Department is unable to release the final requirements and the information collection activity within them, SEAs will lack clear guidance </w:t>
      </w:r>
      <w:r w:rsidRPr="008869B0">
        <w:rPr>
          <w:rFonts w:eastAsia="Arial Unicode MS"/>
        </w:rPr>
        <w:t>requirements applicable to the ARP EANS program, including the requirement to provide services or assistance to non-public schools that enroll a significant percentage of students from low-income families and are most impacted by the novel Coronavirus Disea</w:t>
      </w:r>
      <w:r w:rsidRPr="00681863">
        <w:t xml:space="preserve">se 2019 (COVID-19).  In response to the </w:t>
      </w:r>
      <w:r w:rsidRPr="00681863">
        <w:lastRenderedPageBreak/>
        <w:t>pr</w:t>
      </w:r>
      <w:r w:rsidRPr="00C3267F">
        <w:t>essing need for S</w:t>
      </w:r>
      <w:r>
        <w:t>EAs</w:t>
      </w:r>
      <w:r w:rsidRPr="00C3267F">
        <w:t xml:space="preserve"> to have clear guidance on </w:t>
      </w:r>
      <w:r>
        <w:t xml:space="preserve">the </w:t>
      </w:r>
      <w:r w:rsidRPr="00681863">
        <w:t>requirements applicable to the ARP EANS program</w:t>
      </w:r>
      <w:r>
        <w:t xml:space="preserve"> information collection activities related to them. In addition, the transparency requirement will </w:t>
      </w:r>
      <w:r w:rsidRPr="004556EE">
        <w:t>ensure that all stakeholders are aware of the specific criteria each State plans to apply in determining which non-public schools receive services or assistance under the ARP EANS program.</w:t>
      </w:r>
    </w:p>
    <w:p w:rsidR="00CD2D38" w:rsidP="00CE29AC" w:rsidRDefault="00AB5519" w14:paraId="737877A2" w14:textId="6379EF7F">
      <w:pPr>
        <w:ind w:left="720"/>
      </w:pPr>
      <w:r w:rsidRPr="00AB5519">
        <w:t xml:space="preserve">If this collection is not allowed to proceed, the Department will not be able to fulfill the mandates of the </w:t>
      </w:r>
      <w:r w:rsidR="00402A15">
        <w:t>American Rescue Plan</w:t>
      </w:r>
      <w:r w:rsidRPr="00AB5519">
        <w:t xml:space="preserve"> Act</w:t>
      </w:r>
      <w:r w:rsidR="00B3331D">
        <w:t>,</w:t>
      </w:r>
      <w:r w:rsidRPr="00AB5519">
        <w:t xml:space="preserve"> and </w:t>
      </w:r>
      <w:r>
        <w:t>SEAs and</w:t>
      </w:r>
      <w:r w:rsidRPr="00AB5519">
        <w:t xml:space="preserve"> their students will not be able to receive the financial assistance authorized by Congress and signed into law by the President.</w:t>
      </w:r>
    </w:p>
    <w:p w:rsidR="00AB5519" w:rsidP="00CE29AC" w:rsidRDefault="00AB5519" w14:paraId="25453D72" w14:textId="77777777">
      <w:pPr>
        <w:ind w:left="720"/>
      </w:pPr>
    </w:p>
    <w:p w:rsidRPr="00D330C4" w:rsidR="00386054" w:rsidP="00432256" w:rsidRDefault="00386054" w14:paraId="551EFA51" w14:textId="77777777">
      <w:pPr>
        <w:pStyle w:val="ListParagraph"/>
        <w:numPr>
          <w:ilvl w:val="0"/>
          <w:numId w:val="28"/>
        </w:numPr>
        <w:rPr>
          <w:b/>
        </w:rPr>
      </w:pPr>
      <w:r w:rsidRPr="00D330C4">
        <w:rPr>
          <w:b/>
        </w:rPr>
        <w:t>Explain any special circumstances that would cause an information collection to be conducted in a manner:</w:t>
      </w:r>
    </w:p>
    <w:p w:rsidRPr="00D330C4" w:rsidR="00386054" w:rsidP="00432256" w:rsidRDefault="00386054" w14:paraId="551EFA52" w14:textId="77777777">
      <w:pPr>
        <w:pStyle w:val="ListParagraph"/>
        <w:numPr>
          <w:ilvl w:val="0"/>
          <w:numId w:val="21"/>
        </w:numPr>
        <w:rPr>
          <w:b/>
        </w:rPr>
      </w:pPr>
      <w:r w:rsidRPr="00D330C4">
        <w:rPr>
          <w:b/>
        </w:rPr>
        <w:t>requiring respondents to report information to the agency more often than quarterly;</w:t>
      </w:r>
    </w:p>
    <w:p w:rsidRPr="00D330C4" w:rsidR="00386054" w:rsidP="00432256" w:rsidRDefault="00386054" w14:paraId="551EFA53" w14:textId="77777777">
      <w:pPr>
        <w:pStyle w:val="ListParagraph"/>
        <w:numPr>
          <w:ilvl w:val="0"/>
          <w:numId w:val="21"/>
        </w:numPr>
        <w:rPr>
          <w:b/>
        </w:rPr>
      </w:pPr>
      <w:r w:rsidRPr="00D330C4">
        <w:rPr>
          <w:b/>
        </w:rPr>
        <w:t>requiring respondents to prepare a written response to a collection of information in fewer than 30 days after receipt of it;</w:t>
      </w:r>
    </w:p>
    <w:p w:rsidRPr="00D330C4" w:rsidR="00386054" w:rsidP="00432256" w:rsidRDefault="00386054" w14:paraId="551EFA54" w14:textId="77777777">
      <w:pPr>
        <w:pStyle w:val="ListParagraph"/>
        <w:numPr>
          <w:ilvl w:val="0"/>
          <w:numId w:val="21"/>
        </w:numPr>
        <w:rPr>
          <w:b/>
        </w:rPr>
      </w:pPr>
      <w:r w:rsidRPr="00D330C4">
        <w:rPr>
          <w:b/>
        </w:rPr>
        <w:t>requiring respondents to submit more than an original and two copies of any document;</w:t>
      </w:r>
    </w:p>
    <w:p w:rsidRPr="00D330C4" w:rsidR="00386054" w:rsidP="00432256" w:rsidRDefault="00386054" w14:paraId="551EFA55" w14:textId="77777777">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Pr="00D330C4" w:rsidR="00386054" w:rsidP="00432256" w:rsidRDefault="00386054" w14:paraId="551EFA56" w14:textId="77777777">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Pr="00D330C4" w:rsidR="00386054" w:rsidP="00432256" w:rsidRDefault="00386054" w14:paraId="551EFA57" w14:textId="77777777">
      <w:pPr>
        <w:pStyle w:val="ListParagraph"/>
        <w:numPr>
          <w:ilvl w:val="0"/>
          <w:numId w:val="21"/>
        </w:numPr>
        <w:rPr>
          <w:b/>
        </w:rPr>
      </w:pPr>
      <w:r w:rsidRPr="00D330C4">
        <w:rPr>
          <w:b/>
        </w:rPr>
        <w:t>requiring the use of a statistical data classification that has not been reviewed and approved by OMB;</w:t>
      </w:r>
    </w:p>
    <w:p w:rsidRPr="00D330C4" w:rsidR="00386054" w:rsidP="00432256" w:rsidRDefault="00386054" w14:paraId="551EFA58" w14:textId="77777777">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432256" w:rsidRDefault="00386054" w14:paraId="551EFA59" w14:textId="77777777">
      <w:pPr>
        <w:pStyle w:val="ListParagraph"/>
        <w:numPr>
          <w:ilvl w:val="0"/>
          <w:numId w:val="21"/>
        </w:numPr>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P="00432256" w:rsidRDefault="00D330C4" w14:paraId="551EFA5A" w14:textId="77777777">
      <w:pPr>
        <w:ind w:left="720"/>
      </w:pPr>
      <w:r>
        <w:t>No such circumstances exist.</w:t>
      </w:r>
    </w:p>
    <w:p w:rsidRPr="004206FC" w:rsidR="00386054" w:rsidP="00432256" w:rsidRDefault="001743A5" w14:paraId="551EFA5B" w14:textId="77777777">
      <w:pPr>
        <w:pStyle w:val="ListParagraph"/>
        <w:numPr>
          <w:ilvl w:val="0"/>
          <w:numId w:val="28"/>
        </w:numPr>
        <w:rPr>
          <w:b/>
        </w:rPr>
      </w:pPr>
      <w:r w:rsidRPr="004206FC">
        <w:rPr>
          <w:b/>
        </w:rPr>
        <w:t xml:space="preserve">As </w:t>
      </w:r>
      <w:r w:rsidRPr="004206FC" w:rsidR="00386054">
        <w:rPr>
          <w:b/>
        </w:rPr>
        <w:t xml:space="preserve">applicable, </w:t>
      </w:r>
      <w:r w:rsidRPr="004206FC">
        <w:rPr>
          <w:b/>
        </w:rPr>
        <w:t>state that the Department has published t</w:t>
      </w:r>
      <w:bookmarkStart w:name="_Hlk37413339" w:id="0"/>
      <w:r w:rsidRPr="004206FC">
        <w:rPr>
          <w:b/>
        </w:rPr>
        <w:t xml:space="preserve">he 60 and 30 Federal Register notices as </w:t>
      </w:r>
      <w:r w:rsidRPr="004206FC" w:rsidR="00386054">
        <w:rPr>
          <w:b/>
        </w:rPr>
        <w:t xml:space="preserve">required by 5 CFR 1320.8(d), soliciting comments on the information collection </w:t>
      </w:r>
      <w:bookmarkEnd w:id="0"/>
      <w:r w:rsidRPr="004206FC" w:rsidR="00386054">
        <w:rPr>
          <w:b/>
        </w:rPr>
        <w:t>prior to submission to OMB.  Summarize public comments received in response to that notice and describe actions taken by the agency in response to these comments.  Specifically address comments received on cost and hour burden.</w:t>
      </w:r>
    </w:p>
    <w:p w:rsidRPr="004206FC" w:rsidR="00386054" w:rsidP="00432256" w:rsidRDefault="00386054" w14:paraId="551EFA5C" w14:textId="77777777">
      <w:pPr>
        <w:pStyle w:val="ListParagraph"/>
        <w:rPr>
          <w:rStyle w:val="a"/>
          <w:b/>
        </w:rPr>
      </w:pPr>
      <w:r w:rsidRPr="004206FC">
        <w:rPr>
          <w:rStyle w:val="a"/>
          <w:b/>
        </w:rPr>
        <w:t xml:space="preserve">Describe efforts to consult with persons outside the agency to obtain their views on the availability of data, frequency of collection, the clarity of instruction and record </w:t>
      </w:r>
      <w:r w:rsidRPr="004206FC">
        <w:rPr>
          <w:rStyle w:val="a"/>
          <w:b/>
        </w:rPr>
        <w:lastRenderedPageBreak/>
        <w:t>keeping, disclosure, or reporting format (if any), and on the data elements to be recorded, disclosed, or reported.</w:t>
      </w:r>
    </w:p>
    <w:p w:rsidR="00386054" w:rsidP="00432256" w:rsidRDefault="00386054" w14:paraId="551EFA5D" w14:textId="61A3DAF6">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50768" w:rsidP="00432256" w:rsidRDefault="00E55674" w14:paraId="02A9B003" w14:textId="482CC856">
      <w:pPr>
        <w:pStyle w:val="ListParagraph"/>
        <w:rPr>
          <w:rStyle w:val="a"/>
        </w:rPr>
      </w:pPr>
      <w:r>
        <w:rPr>
          <w:rStyle w:val="a"/>
        </w:rPr>
        <w:t xml:space="preserve">The Department is seeking emergency processing for this ICR to align with the Notice of Final Requirements. Since there is not sufficient time for comments on the emergency ICR, the Department is providing a </w:t>
      </w:r>
      <w:r w:rsidR="00062BEF">
        <w:rPr>
          <w:rStyle w:val="a"/>
        </w:rPr>
        <w:t>6</w:t>
      </w:r>
      <w:r>
        <w:rPr>
          <w:rStyle w:val="a"/>
        </w:rPr>
        <w:t>0-day comment period for the regular ICR within the notice of Final Requirements. The Department will address any comments associated with the ICR upon the submittal to OMB.</w:t>
      </w:r>
    </w:p>
    <w:p w:rsidR="00E55674" w:rsidP="00432256" w:rsidRDefault="00E55674" w14:paraId="4A5EF557" w14:textId="77777777">
      <w:pPr>
        <w:pStyle w:val="ListParagraph"/>
        <w:rPr>
          <w:rStyle w:val="a"/>
          <w:b/>
        </w:rPr>
      </w:pPr>
    </w:p>
    <w:p w:rsidR="00386054" w:rsidP="00432256" w:rsidRDefault="00386054" w14:paraId="551EFA5F" w14:textId="77777777">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4206FC" w:rsidP="00432256" w:rsidRDefault="002C10D1" w14:paraId="551EFA60" w14:textId="77777777">
      <w:pPr>
        <w:ind w:left="720"/>
        <w:rPr>
          <w:rStyle w:val="a"/>
        </w:rPr>
      </w:pPr>
      <w:r>
        <w:rPr>
          <w:rStyle w:val="a"/>
        </w:rPr>
        <w:t xml:space="preserve">There are no payments or gifts to respondents. </w:t>
      </w:r>
    </w:p>
    <w:p w:rsidR="00B83FB3" w:rsidP="00432256" w:rsidRDefault="00386054" w14:paraId="551EFA61" w14:textId="77777777">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t xml:space="preserve">confidentiality </w:t>
      </w:r>
      <w:r w:rsidRPr="004206FC">
        <w:rPr>
          <w:b/>
        </w:rPr>
        <w:t>should be provided.</w:t>
      </w:r>
      <w:r w:rsidRPr="004206FC" w:rsidR="00CF7053">
        <w:rPr>
          <w:b/>
        </w:rPr>
        <w:t xml:space="preserve"> </w:t>
      </w:r>
      <w:r w:rsidRPr="004206FC" w:rsidR="00016E1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4206FC" w:rsidR="00CF7053">
        <w:rPr>
          <w:b/>
        </w:rPr>
        <w:t xml:space="preserve">. </w:t>
      </w:r>
      <w:r w:rsidRPr="004206FC" w:rsidR="001743A5">
        <w:rPr>
          <w:b/>
        </w:rPr>
        <w:t>If the collection is subject to the Privacy Act, the Privacy Act statement is deemed sufficient with 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4206FC" w:rsidP="00432256" w:rsidRDefault="002C10D1" w14:paraId="551EFA62" w14:textId="77777777">
      <w:pPr>
        <w:ind w:left="720"/>
      </w:pPr>
      <w:r>
        <w:t xml:space="preserve">There are no assurances of confidentiality. </w:t>
      </w:r>
    </w:p>
    <w:p w:rsidR="00B83FB3" w:rsidP="00432256" w:rsidRDefault="00386054" w14:paraId="551EFA63" w14:textId="77777777">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P="00432256" w:rsidRDefault="00CA38F1" w14:paraId="551EFA64" w14:textId="77777777">
      <w:pPr>
        <w:ind w:firstLine="720"/>
      </w:pPr>
      <w:r>
        <w:t>There are no questions of a sensitive nature.</w:t>
      </w:r>
    </w:p>
    <w:p w:rsidRPr="001C5D8A" w:rsidR="00386054" w:rsidP="00432256" w:rsidRDefault="00386054" w14:paraId="551EFA65" w14:textId="77777777">
      <w:pPr>
        <w:pStyle w:val="ListParagraph"/>
        <w:numPr>
          <w:ilvl w:val="0"/>
          <w:numId w:val="28"/>
        </w:numPr>
        <w:rPr>
          <w:rStyle w:val="a"/>
          <w:b/>
        </w:rPr>
      </w:pPr>
      <w:r w:rsidRPr="001C5D8A">
        <w:rPr>
          <w:rStyle w:val="a"/>
          <w:b/>
        </w:rPr>
        <w:lastRenderedPageBreak/>
        <w:t>Provide estimates of the hour burden of the collection of information.  The statement should:</w:t>
      </w:r>
    </w:p>
    <w:p w:rsidRPr="001C5D8A" w:rsidR="00386054" w:rsidP="00432256" w:rsidRDefault="00386054" w14:paraId="551EFA66" w14:textId="77777777">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432256" w:rsidRDefault="00386054" w14:paraId="551EFA67" w14:textId="77777777">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CA47FD" w:rsidP="00CA47FD" w:rsidRDefault="00386054" w14:paraId="112C25CB" w14:textId="4E1DC451">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CA47FD" w:rsidP="00CA47FD" w:rsidRDefault="00CA47FD" w14:paraId="5D6E474C" w14:textId="6AB20D64">
      <w:pPr>
        <w:rPr>
          <w:rStyle w:val="a"/>
        </w:rPr>
      </w:pPr>
      <w:r>
        <w:rPr>
          <w:rStyle w:val="a"/>
        </w:rPr>
        <w:tab/>
      </w:r>
    </w:p>
    <w:p w:rsidRPr="00CA47FD" w:rsidR="008F601F" w:rsidP="00E247AC" w:rsidRDefault="00CA47FD" w14:paraId="4CAE366A" w14:textId="3A6785D8">
      <w:pPr>
        <w:tabs>
          <w:tab w:val="left" w:pos="624"/>
          <w:tab w:val="left" w:pos="2340"/>
          <w:tab w:val="right" w:pos="9588"/>
        </w:tabs>
        <w:ind w:left="720"/>
      </w:pPr>
      <w:r w:rsidRPr="00CA47FD">
        <w:rPr>
          <w:u w:val="single"/>
        </w:rPr>
        <w:t>SEA ARP EANS Application</w:t>
      </w:r>
    </w:p>
    <w:p w:rsidR="003E21E1" w:rsidP="00E247AC" w:rsidRDefault="00AB5519" w14:paraId="551EFA69" w14:textId="750B3C85">
      <w:pPr>
        <w:tabs>
          <w:tab w:val="left" w:pos="624"/>
          <w:tab w:val="left" w:pos="2340"/>
          <w:tab w:val="right" w:pos="9588"/>
        </w:tabs>
        <w:ind w:left="720"/>
        <w:rPr>
          <w:bCs/>
        </w:rPr>
      </w:pPr>
      <w:r>
        <w:rPr>
          <w:bCs/>
        </w:rPr>
        <w:t>A</w:t>
      </w:r>
      <w:r>
        <w:t>ll</w:t>
      </w:r>
      <w:r w:rsidRPr="005B1909">
        <w:t xml:space="preserve"> 50 States, as well as the District of Columbia, and the Commonwealth of Puerto Rico</w:t>
      </w:r>
      <w:r w:rsidR="0098339F">
        <w:rPr>
          <w:bCs/>
        </w:rPr>
        <w:t xml:space="preserve"> are eligible agencies for</w:t>
      </w:r>
      <w:r>
        <w:rPr>
          <w:bCs/>
        </w:rPr>
        <w:t xml:space="preserve"> awards under the</w:t>
      </w:r>
      <w:r w:rsidR="00312A2C">
        <w:rPr>
          <w:bCs/>
        </w:rPr>
        <w:t xml:space="preserve"> ARP EANS program</w:t>
      </w:r>
      <w:r>
        <w:rPr>
          <w:bCs/>
        </w:rPr>
        <w:t xml:space="preserve">. </w:t>
      </w:r>
      <w:r w:rsidR="003E21E1">
        <w:rPr>
          <w:bCs/>
        </w:rPr>
        <w:t xml:space="preserve">We estimate that </w:t>
      </w:r>
      <w:r w:rsidR="0098339F">
        <w:rPr>
          <w:bCs/>
        </w:rPr>
        <w:t>one</w:t>
      </w:r>
      <w:r>
        <w:rPr>
          <w:bCs/>
        </w:rPr>
        <w:t xml:space="preserve"> application</w:t>
      </w:r>
      <w:r w:rsidR="0098339F">
        <w:rPr>
          <w:bCs/>
        </w:rPr>
        <w:t xml:space="preserve"> will be </w:t>
      </w:r>
      <w:r w:rsidR="003E21E1">
        <w:rPr>
          <w:bCs/>
        </w:rPr>
        <w:t xml:space="preserve">received </w:t>
      </w:r>
      <w:r w:rsidR="0098339F">
        <w:rPr>
          <w:bCs/>
        </w:rPr>
        <w:t>from each of these State educational agencies</w:t>
      </w:r>
      <w:r w:rsidR="000D2F6A">
        <w:rPr>
          <w:bCs/>
        </w:rPr>
        <w:t xml:space="preserve">. </w:t>
      </w:r>
      <w:r w:rsidR="003E21E1">
        <w:rPr>
          <w:bCs/>
        </w:rPr>
        <w:t xml:space="preserve">As indicated in the table below, we estimate that the number of burden hours per response will be </w:t>
      </w:r>
      <w:r w:rsidR="00324D28">
        <w:rPr>
          <w:bCs/>
        </w:rPr>
        <w:t>2 hours</w:t>
      </w:r>
      <w:r w:rsidR="003E21E1">
        <w:rPr>
          <w:bCs/>
        </w:rPr>
        <w:t xml:space="preserve">.  The total estimated number of burden hours </w:t>
      </w:r>
      <w:r>
        <w:rPr>
          <w:bCs/>
        </w:rPr>
        <w:t xml:space="preserve">is </w:t>
      </w:r>
      <w:r w:rsidR="001D3C26">
        <w:rPr>
          <w:bCs/>
        </w:rPr>
        <w:t>104</w:t>
      </w:r>
      <w:r w:rsidR="0098339F">
        <w:rPr>
          <w:bCs/>
        </w:rPr>
        <w:t xml:space="preserve"> hours</w:t>
      </w:r>
      <w:r w:rsidR="003E21E1">
        <w:rPr>
          <w:bCs/>
        </w:rPr>
        <w:t>.</w:t>
      </w:r>
      <w:r w:rsidR="00520E0A">
        <w:rPr>
          <w:bCs/>
        </w:rPr>
        <w:t xml:space="preserve"> </w:t>
      </w:r>
      <w:r w:rsidRPr="004736B0" w:rsidR="00520E0A">
        <w:t>At $97.28 per hour, the total estimated cost for 52 SEAs</w:t>
      </w:r>
      <w:r w:rsidR="00520E0A">
        <w:t xml:space="preserve"> to complete the ARP EANS application</w:t>
      </w:r>
      <w:r w:rsidRPr="004736B0" w:rsidR="00520E0A">
        <w:t xml:space="preserve"> (including the District of Columbia and the Commonwealth of Puerto Rico) is approximately $10,100</w:t>
      </w:r>
      <w:r w:rsidR="009F0768">
        <w:t>.</w:t>
      </w:r>
    </w:p>
    <w:p w:rsidRPr="00373A26" w:rsidR="00A2186D" w:rsidP="00A2186D" w:rsidRDefault="00A2186D" w14:paraId="0D530AD8" w14:textId="77777777">
      <w:pPr>
        <w:pStyle w:val="ListParagraph"/>
        <w:tabs>
          <w:tab w:val="left" w:pos="-720"/>
        </w:tabs>
        <w:suppressAutoHyphens/>
        <w:rPr>
          <w:u w:val="single"/>
        </w:rPr>
      </w:pPr>
      <w:r>
        <w:rPr>
          <w:u w:val="single"/>
        </w:rPr>
        <w:t xml:space="preserve">SEA Program Administration </w:t>
      </w:r>
      <w:r w:rsidRPr="00373A26">
        <w:rPr>
          <w:u w:val="single"/>
        </w:rPr>
        <w:t>Transparency</w:t>
      </w:r>
    </w:p>
    <w:p w:rsidR="00A2186D" w:rsidP="00A2186D" w:rsidRDefault="00A2186D" w14:paraId="45D3B8E4" w14:textId="0E44C889">
      <w:pPr>
        <w:pStyle w:val="ListParagraph"/>
        <w:tabs>
          <w:tab w:val="left" w:pos="-720"/>
        </w:tabs>
        <w:suppressAutoHyphens/>
      </w:pPr>
      <w:r w:rsidRPr="004736B0">
        <w:t>For the final requirement to provide transparency in program administration by publishing on the SEA website the minimum percentage used to determine whether a non-public school enrolls a significant percentage of students from low-income families and the factors to be used to determine whether a school is most impacted by COVID-19, we estimate that each SEA will need two hours to comply with the website posting requirement.  At $97.28 per hour, the total estimated cost for 52 SEAs</w:t>
      </w:r>
      <w:r>
        <w:t xml:space="preserve"> for the transparency requirement</w:t>
      </w:r>
      <w:r w:rsidRPr="004736B0">
        <w:t xml:space="preserve"> (including the District of Columbia and the Commonwealth of Puerto Rico) is approximately $10,100, and the total estimated burden is 104 hours.</w:t>
      </w:r>
    </w:p>
    <w:p w:rsidR="00B03732" w:rsidP="00A2186D" w:rsidRDefault="00B03732" w14:paraId="7FCDECC2" w14:textId="77777777">
      <w:pPr>
        <w:pStyle w:val="ListParagraph"/>
        <w:tabs>
          <w:tab w:val="left" w:pos="-720"/>
        </w:tabs>
        <w:suppressAutoHyphens/>
      </w:pPr>
    </w:p>
    <w:p w:rsidRPr="00920F63" w:rsidR="00CA51FD" w:rsidP="00CA51FD" w:rsidRDefault="00CA51FD" w14:paraId="1FDDB243" w14:textId="77777777">
      <w:pPr>
        <w:pStyle w:val="Caption"/>
        <w:jc w:val="center"/>
        <w:rPr>
          <w:color w:val="000000" w:themeColor="text1"/>
          <w:sz w:val="24"/>
          <w:szCs w:val="24"/>
        </w:rPr>
      </w:pPr>
      <w:r w:rsidRPr="00920F63">
        <w:rPr>
          <w:color w:val="000000" w:themeColor="text1"/>
          <w:sz w:val="24"/>
          <w:szCs w:val="24"/>
        </w:rPr>
        <w:t xml:space="preserve">Estimated </w:t>
      </w:r>
      <w:r>
        <w:rPr>
          <w:color w:val="000000" w:themeColor="text1"/>
          <w:sz w:val="24"/>
          <w:szCs w:val="24"/>
        </w:rPr>
        <w:t>Annual Burden and Respondent Costs Table</w:t>
      </w:r>
    </w:p>
    <w:tbl>
      <w:tblPr>
        <w:tblStyle w:val="TableGridLight"/>
        <w:tblpPr w:leftFromText="180" w:rightFromText="180" w:vertAnchor="text" w:horzAnchor="margin" w:tblpXSpec="center" w:tblpY="174"/>
        <w:tblW w:w="9715" w:type="dxa"/>
        <w:tblLayout w:type="fixed"/>
        <w:tblLook w:val="0020" w:firstRow="1" w:lastRow="0" w:firstColumn="0" w:lastColumn="0" w:noHBand="0" w:noVBand="0"/>
      </w:tblPr>
      <w:tblGrid>
        <w:gridCol w:w="1885"/>
        <w:gridCol w:w="1260"/>
        <w:gridCol w:w="1285"/>
        <w:gridCol w:w="1335"/>
        <w:gridCol w:w="1250"/>
        <w:gridCol w:w="1180"/>
        <w:gridCol w:w="1520"/>
      </w:tblGrid>
      <w:tr w:rsidRPr="00442E07" w:rsidR="00CA51FD" w:rsidTr="006704AB" w14:paraId="0DF92AD1" w14:textId="77777777">
        <w:trPr>
          <w:tblHeader/>
        </w:trPr>
        <w:tc>
          <w:tcPr>
            <w:tcW w:w="1885" w:type="dxa"/>
          </w:tcPr>
          <w:p w:rsidR="00CA51FD" w:rsidP="006704AB" w:rsidRDefault="00CA51FD" w14:paraId="170C6592" w14:textId="77777777">
            <w:pPr>
              <w:jc w:val="center"/>
              <w:rPr>
                <w:sz w:val="20"/>
              </w:rPr>
            </w:pPr>
          </w:p>
          <w:p w:rsidR="00CA51FD" w:rsidP="006704AB" w:rsidRDefault="00CA51FD" w14:paraId="51A1527A" w14:textId="77777777">
            <w:pPr>
              <w:jc w:val="center"/>
              <w:rPr>
                <w:sz w:val="20"/>
              </w:rPr>
            </w:pPr>
          </w:p>
          <w:p w:rsidRPr="007F6104" w:rsidR="00CA51FD" w:rsidP="006704AB" w:rsidRDefault="00CA51FD" w14:paraId="34E5F441" w14:textId="77777777">
            <w:pPr>
              <w:jc w:val="center"/>
              <w:rPr>
                <w:sz w:val="20"/>
              </w:rPr>
            </w:pPr>
            <w:r w:rsidRPr="007F6104">
              <w:rPr>
                <w:sz w:val="20"/>
              </w:rPr>
              <w:t>Information Activity or IC</w:t>
            </w:r>
            <w:r>
              <w:rPr>
                <w:sz w:val="20"/>
              </w:rPr>
              <w:t xml:space="preserve"> (with type of respondent)</w:t>
            </w:r>
          </w:p>
        </w:tc>
        <w:tc>
          <w:tcPr>
            <w:tcW w:w="1260" w:type="dxa"/>
          </w:tcPr>
          <w:p w:rsidR="00CA51FD" w:rsidP="006704AB" w:rsidRDefault="00CA51FD" w14:paraId="74D82499" w14:textId="77777777">
            <w:pPr>
              <w:jc w:val="center"/>
              <w:rPr>
                <w:sz w:val="20"/>
              </w:rPr>
            </w:pPr>
          </w:p>
          <w:p w:rsidR="00CA51FD" w:rsidP="006704AB" w:rsidRDefault="00CA51FD" w14:paraId="2300EA42" w14:textId="77777777">
            <w:pPr>
              <w:jc w:val="center"/>
              <w:rPr>
                <w:sz w:val="20"/>
              </w:rPr>
            </w:pPr>
          </w:p>
          <w:p w:rsidRPr="007F6104" w:rsidR="00CA51FD" w:rsidP="006704AB" w:rsidRDefault="00CA51FD" w14:paraId="7527B65F" w14:textId="77777777">
            <w:pPr>
              <w:jc w:val="center"/>
              <w:rPr>
                <w:sz w:val="20"/>
              </w:rPr>
            </w:pPr>
            <w:r w:rsidRPr="007F6104">
              <w:rPr>
                <w:sz w:val="20"/>
              </w:rPr>
              <w:t>Num</w:t>
            </w:r>
            <w:r>
              <w:rPr>
                <w:sz w:val="20"/>
              </w:rPr>
              <w:t>b</w:t>
            </w:r>
            <w:r w:rsidRPr="007F6104">
              <w:rPr>
                <w:sz w:val="20"/>
              </w:rPr>
              <w:t>er of Respondents</w:t>
            </w:r>
          </w:p>
        </w:tc>
        <w:tc>
          <w:tcPr>
            <w:tcW w:w="1285" w:type="dxa"/>
          </w:tcPr>
          <w:p w:rsidR="00CA51FD" w:rsidP="006704AB" w:rsidRDefault="00CA51FD" w14:paraId="0F8C56E5" w14:textId="77777777">
            <w:pPr>
              <w:jc w:val="center"/>
              <w:rPr>
                <w:sz w:val="20"/>
              </w:rPr>
            </w:pPr>
          </w:p>
          <w:p w:rsidR="00CA51FD" w:rsidP="006704AB" w:rsidRDefault="00CA51FD" w14:paraId="15EE56C0" w14:textId="77777777">
            <w:pPr>
              <w:jc w:val="center"/>
              <w:rPr>
                <w:sz w:val="20"/>
              </w:rPr>
            </w:pPr>
          </w:p>
          <w:p w:rsidRPr="007F6104" w:rsidR="00CA51FD" w:rsidP="006704AB" w:rsidRDefault="00CA51FD" w14:paraId="7382C921" w14:textId="77777777">
            <w:pPr>
              <w:jc w:val="center"/>
              <w:rPr>
                <w:sz w:val="20"/>
              </w:rPr>
            </w:pPr>
            <w:r w:rsidRPr="007F6104">
              <w:rPr>
                <w:sz w:val="20"/>
              </w:rPr>
              <w:t>Number of Responses</w:t>
            </w:r>
          </w:p>
        </w:tc>
        <w:tc>
          <w:tcPr>
            <w:tcW w:w="1335" w:type="dxa"/>
          </w:tcPr>
          <w:p w:rsidR="00CA51FD" w:rsidP="006704AB" w:rsidRDefault="00CA51FD" w14:paraId="7B6AFED4" w14:textId="77777777">
            <w:pPr>
              <w:jc w:val="center"/>
              <w:rPr>
                <w:sz w:val="20"/>
              </w:rPr>
            </w:pPr>
          </w:p>
          <w:p w:rsidRPr="007F6104" w:rsidR="00CA51FD" w:rsidP="006704AB" w:rsidRDefault="00CA51FD" w14:paraId="52BF175B" w14:textId="77777777">
            <w:pPr>
              <w:jc w:val="center"/>
              <w:rPr>
                <w:sz w:val="20"/>
              </w:rPr>
            </w:pPr>
            <w:r w:rsidRPr="007F6104">
              <w:rPr>
                <w:sz w:val="20"/>
              </w:rPr>
              <w:t>Average Burden Hours per Response</w:t>
            </w:r>
          </w:p>
        </w:tc>
        <w:tc>
          <w:tcPr>
            <w:tcW w:w="1250" w:type="dxa"/>
          </w:tcPr>
          <w:p w:rsidR="00CA51FD" w:rsidP="006704AB" w:rsidRDefault="00CA51FD" w14:paraId="07EFE025" w14:textId="77777777">
            <w:pPr>
              <w:jc w:val="center"/>
              <w:rPr>
                <w:sz w:val="20"/>
              </w:rPr>
            </w:pPr>
          </w:p>
          <w:p w:rsidRPr="007F6104" w:rsidR="00CA51FD" w:rsidP="006704AB" w:rsidRDefault="00CA51FD" w14:paraId="18769601" w14:textId="77777777">
            <w:pPr>
              <w:jc w:val="center"/>
              <w:rPr>
                <w:sz w:val="20"/>
              </w:rPr>
            </w:pPr>
            <w:r w:rsidRPr="007F6104">
              <w:rPr>
                <w:sz w:val="20"/>
              </w:rPr>
              <w:t xml:space="preserve">Total </w:t>
            </w:r>
            <w:r>
              <w:rPr>
                <w:sz w:val="20"/>
              </w:rPr>
              <w:t xml:space="preserve">Annual </w:t>
            </w:r>
            <w:r w:rsidRPr="007F6104">
              <w:rPr>
                <w:sz w:val="20"/>
              </w:rPr>
              <w:t>Burden Hours</w:t>
            </w:r>
          </w:p>
        </w:tc>
        <w:tc>
          <w:tcPr>
            <w:tcW w:w="1180" w:type="dxa"/>
          </w:tcPr>
          <w:p w:rsidR="00CA51FD" w:rsidP="006704AB" w:rsidRDefault="00CA51FD" w14:paraId="18655E6F" w14:textId="77777777">
            <w:pPr>
              <w:jc w:val="center"/>
              <w:rPr>
                <w:sz w:val="20"/>
              </w:rPr>
            </w:pPr>
          </w:p>
          <w:p w:rsidRPr="007F6104" w:rsidR="00CA51FD" w:rsidP="006704AB" w:rsidRDefault="00CA51FD" w14:paraId="03E49967" w14:textId="77777777">
            <w:pPr>
              <w:jc w:val="center"/>
              <w:rPr>
                <w:sz w:val="20"/>
              </w:rPr>
            </w:pPr>
            <w:r w:rsidRPr="00FE1BAE">
              <w:rPr>
                <w:sz w:val="20"/>
              </w:rPr>
              <w:t>Estimated Respondent Average Hourly Wage</w:t>
            </w:r>
          </w:p>
        </w:tc>
        <w:tc>
          <w:tcPr>
            <w:tcW w:w="1520" w:type="dxa"/>
          </w:tcPr>
          <w:p w:rsidR="00CA51FD" w:rsidP="006704AB" w:rsidRDefault="00CA51FD" w14:paraId="73DDA60F" w14:textId="77777777">
            <w:pPr>
              <w:jc w:val="center"/>
              <w:rPr>
                <w:sz w:val="20"/>
              </w:rPr>
            </w:pPr>
          </w:p>
          <w:p w:rsidR="00CA51FD" w:rsidP="006704AB" w:rsidRDefault="00CA51FD" w14:paraId="19387CA5" w14:textId="77777777">
            <w:pPr>
              <w:jc w:val="center"/>
              <w:rPr>
                <w:sz w:val="20"/>
              </w:rPr>
            </w:pPr>
          </w:p>
          <w:p w:rsidRPr="007F6104" w:rsidR="00CA51FD" w:rsidP="006704AB" w:rsidRDefault="00CA51FD" w14:paraId="27128EB3" w14:textId="77777777">
            <w:pPr>
              <w:jc w:val="center"/>
              <w:rPr>
                <w:sz w:val="20"/>
              </w:rPr>
            </w:pPr>
            <w:r w:rsidRPr="007F6104">
              <w:rPr>
                <w:sz w:val="20"/>
              </w:rPr>
              <w:t xml:space="preserve">Total Annual Costs (hourly </w:t>
            </w:r>
            <w:r>
              <w:rPr>
                <w:sz w:val="20"/>
              </w:rPr>
              <w:t>wage x</w:t>
            </w:r>
            <w:r w:rsidRPr="007F6104">
              <w:rPr>
                <w:sz w:val="20"/>
              </w:rPr>
              <w:t xml:space="preserve"> </w:t>
            </w:r>
            <w:r>
              <w:rPr>
                <w:sz w:val="20"/>
              </w:rPr>
              <w:t>total burden hours</w:t>
            </w:r>
            <w:r w:rsidRPr="007F6104">
              <w:rPr>
                <w:sz w:val="20"/>
              </w:rPr>
              <w:t>)</w:t>
            </w:r>
          </w:p>
        </w:tc>
      </w:tr>
      <w:tr w:rsidRPr="00442E07" w:rsidR="00CA51FD" w:rsidTr="006704AB" w14:paraId="79217074" w14:textId="77777777">
        <w:trPr>
          <w:trHeight w:val="395"/>
        </w:trPr>
        <w:tc>
          <w:tcPr>
            <w:tcW w:w="1885" w:type="dxa"/>
          </w:tcPr>
          <w:p w:rsidRPr="002E556E" w:rsidR="00CA51FD" w:rsidP="006704AB" w:rsidRDefault="00CA51FD" w14:paraId="2AEC59D6" w14:textId="77777777">
            <w:pPr>
              <w:rPr>
                <w:sz w:val="22"/>
                <w:szCs w:val="22"/>
              </w:rPr>
            </w:pPr>
            <w:r w:rsidRPr="002E556E">
              <w:rPr>
                <w:sz w:val="22"/>
                <w:szCs w:val="22"/>
              </w:rPr>
              <w:t>SEA</w:t>
            </w:r>
            <w:r>
              <w:rPr>
                <w:sz w:val="22"/>
                <w:szCs w:val="22"/>
              </w:rPr>
              <w:t xml:space="preserve"> Program Administration Transparency</w:t>
            </w:r>
          </w:p>
        </w:tc>
        <w:tc>
          <w:tcPr>
            <w:tcW w:w="1260" w:type="dxa"/>
          </w:tcPr>
          <w:p w:rsidR="00CA51FD" w:rsidP="006704AB" w:rsidRDefault="00CA51FD" w14:paraId="483F2C47" w14:textId="77777777">
            <w:pPr>
              <w:jc w:val="center"/>
              <w:rPr>
                <w:sz w:val="22"/>
                <w:szCs w:val="22"/>
              </w:rPr>
            </w:pPr>
          </w:p>
          <w:p w:rsidR="00CA51FD" w:rsidP="006704AB" w:rsidRDefault="00CA51FD" w14:paraId="3A9268D9" w14:textId="77777777">
            <w:pPr>
              <w:jc w:val="center"/>
              <w:rPr>
                <w:sz w:val="22"/>
                <w:szCs w:val="22"/>
              </w:rPr>
            </w:pPr>
          </w:p>
          <w:p w:rsidRPr="002E556E" w:rsidR="00CA51FD" w:rsidP="006704AB" w:rsidRDefault="00CA51FD" w14:paraId="1DCD2A7F" w14:textId="77777777">
            <w:pPr>
              <w:jc w:val="center"/>
              <w:rPr>
                <w:sz w:val="22"/>
                <w:szCs w:val="22"/>
              </w:rPr>
            </w:pPr>
            <w:r w:rsidRPr="002E556E">
              <w:rPr>
                <w:sz w:val="22"/>
                <w:szCs w:val="22"/>
              </w:rPr>
              <w:t>52</w:t>
            </w:r>
          </w:p>
        </w:tc>
        <w:tc>
          <w:tcPr>
            <w:tcW w:w="1285" w:type="dxa"/>
          </w:tcPr>
          <w:p w:rsidR="00CA51FD" w:rsidP="006704AB" w:rsidRDefault="00CA51FD" w14:paraId="62E3FF8F" w14:textId="77777777">
            <w:pPr>
              <w:jc w:val="center"/>
              <w:rPr>
                <w:sz w:val="22"/>
                <w:szCs w:val="22"/>
              </w:rPr>
            </w:pPr>
          </w:p>
          <w:p w:rsidR="00CA51FD" w:rsidP="006704AB" w:rsidRDefault="00CA51FD" w14:paraId="5FCFFE58" w14:textId="77777777">
            <w:pPr>
              <w:jc w:val="center"/>
              <w:rPr>
                <w:sz w:val="22"/>
                <w:szCs w:val="22"/>
              </w:rPr>
            </w:pPr>
          </w:p>
          <w:p w:rsidRPr="002E556E" w:rsidR="00CA51FD" w:rsidP="006704AB" w:rsidRDefault="00CA51FD" w14:paraId="495D574D" w14:textId="77777777">
            <w:pPr>
              <w:jc w:val="center"/>
              <w:rPr>
                <w:sz w:val="22"/>
                <w:szCs w:val="22"/>
              </w:rPr>
            </w:pPr>
            <w:r w:rsidRPr="002E556E">
              <w:rPr>
                <w:sz w:val="22"/>
                <w:szCs w:val="22"/>
              </w:rPr>
              <w:t>1</w:t>
            </w:r>
          </w:p>
        </w:tc>
        <w:tc>
          <w:tcPr>
            <w:tcW w:w="1335" w:type="dxa"/>
            <w:vAlign w:val="bottom"/>
          </w:tcPr>
          <w:p w:rsidRPr="002E556E" w:rsidR="00CA51FD" w:rsidP="006704AB" w:rsidRDefault="00CA51FD" w14:paraId="1CEAFCF1" w14:textId="77777777">
            <w:pPr>
              <w:jc w:val="center"/>
              <w:rPr>
                <w:sz w:val="22"/>
                <w:szCs w:val="22"/>
              </w:rPr>
            </w:pPr>
            <w:r>
              <w:rPr>
                <w:sz w:val="22"/>
                <w:szCs w:val="22"/>
              </w:rPr>
              <w:t>2</w:t>
            </w:r>
          </w:p>
        </w:tc>
        <w:tc>
          <w:tcPr>
            <w:tcW w:w="1250" w:type="dxa"/>
            <w:vAlign w:val="bottom"/>
          </w:tcPr>
          <w:p w:rsidRPr="002E556E" w:rsidR="00CA51FD" w:rsidP="006704AB" w:rsidRDefault="00CA51FD" w14:paraId="7DF66677" w14:textId="77777777">
            <w:pPr>
              <w:jc w:val="center"/>
              <w:rPr>
                <w:sz w:val="22"/>
                <w:szCs w:val="22"/>
              </w:rPr>
            </w:pPr>
            <w:r>
              <w:rPr>
                <w:sz w:val="22"/>
                <w:szCs w:val="22"/>
              </w:rPr>
              <w:t>104</w:t>
            </w:r>
          </w:p>
        </w:tc>
        <w:tc>
          <w:tcPr>
            <w:tcW w:w="1180" w:type="dxa"/>
          </w:tcPr>
          <w:p w:rsidR="00CA51FD" w:rsidP="006704AB" w:rsidRDefault="00CA51FD" w14:paraId="70C5D6EB" w14:textId="77777777">
            <w:pPr>
              <w:jc w:val="center"/>
              <w:rPr>
                <w:sz w:val="22"/>
                <w:szCs w:val="22"/>
              </w:rPr>
            </w:pPr>
          </w:p>
          <w:p w:rsidR="00CA51FD" w:rsidP="006704AB" w:rsidRDefault="00CA51FD" w14:paraId="70D2E097" w14:textId="77777777">
            <w:pPr>
              <w:jc w:val="center"/>
              <w:rPr>
                <w:sz w:val="22"/>
                <w:szCs w:val="22"/>
              </w:rPr>
            </w:pPr>
          </w:p>
          <w:p w:rsidRPr="002E556E" w:rsidR="00CA51FD" w:rsidP="006704AB" w:rsidRDefault="00CA51FD" w14:paraId="64FEFE5C" w14:textId="77777777">
            <w:pPr>
              <w:jc w:val="center"/>
              <w:rPr>
                <w:sz w:val="22"/>
                <w:szCs w:val="22"/>
              </w:rPr>
            </w:pPr>
            <w:r>
              <w:rPr>
                <w:sz w:val="22"/>
                <w:szCs w:val="22"/>
              </w:rPr>
              <w:t>$97.28</w:t>
            </w:r>
          </w:p>
        </w:tc>
        <w:tc>
          <w:tcPr>
            <w:tcW w:w="1520" w:type="dxa"/>
            <w:vAlign w:val="bottom"/>
          </w:tcPr>
          <w:p w:rsidRPr="002E556E" w:rsidR="00CA51FD" w:rsidP="006704AB" w:rsidRDefault="00CA51FD" w14:paraId="2570F2DB" w14:textId="77777777">
            <w:pPr>
              <w:jc w:val="center"/>
              <w:rPr>
                <w:sz w:val="22"/>
                <w:szCs w:val="22"/>
              </w:rPr>
            </w:pPr>
            <w:r w:rsidRPr="006B095F">
              <w:rPr>
                <w:sz w:val="22"/>
                <w:szCs w:val="22"/>
              </w:rPr>
              <w:t>$</w:t>
            </w:r>
            <w:r>
              <w:rPr>
                <w:sz w:val="22"/>
                <w:szCs w:val="22"/>
              </w:rPr>
              <w:t>10,100</w:t>
            </w:r>
          </w:p>
        </w:tc>
      </w:tr>
      <w:tr w:rsidRPr="00442E07" w:rsidR="00CA51FD" w:rsidTr="006704AB" w14:paraId="675BA036" w14:textId="77777777">
        <w:trPr>
          <w:trHeight w:val="395"/>
        </w:trPr>
        <w:tc>
          <w:tcPr>
            <w:tcW w:w="1885" w:type="dxa"/>
          </w:tcPr>
          <w:p w:rsidRPr="002E556E" w:rsidR="00CA51FD" w:rsidP="006704AB" w:rsidRDefault="00CA51FD" w14:paraId="12E41B7D" w14:textId="77777777">
            <w:pPr>
              <w:rPr>
                <w:sz w:val="22"/>
                <w:szCs w:val="22"/>
              </w:rPr>
            </w:pPr>
            <w:r>
              <w:rPr>
                <w:sz w:val="22"/>
                <w:szCs w:val="22"/>
              </w:rPr>
              <w:t>SEA ARP EANS Application</w:t>
            </w:r>
          </w:p>
        </w:tc>
        <w:tc>
          <w:tcPr>
            <w:tcW w:w="1260" w:type="dxa"/>
          </w:tcPr>
          <w:p w:rsidR="00CA51FD" w:rsidP="006704AB" w:rsidRDefault="00CA51FD" w14:paraId="53FF3BF0" w14:textId="77777777">
            <w:pPr>
              <w:jc w:val="center"/>
              <w:rPr>
                <w:sz w:val="22"/>
                <w:szCs w:val="22"/>
              </w:rPr>
            </w:pPr>
          </w:p>
          <w:p w:rsidR="00CA51FD" w:rsidP="006704AB" w:rsidRDefault="00CA51FD" w14:paraId="01AB4281" w14:textId="77777777">
            <w:pPr>
              <w:jc w:val="center"/>
              <w:rPr>
                <w:sz w:val="22"/>
                <w:szCs w:val="22"/>
              </w:rPr>
            </w:pPr>
            <w:r>
              <w:rPr>
                <w:sz w:val="22"/>
                <w:szCs w:val="22"/>
              </w:rPr>
              <w:t>52</w:t>
            </w:r>
          </w:p>
        </w:tc>
        <w:tc>
          <w:tcPr>
            <w:tcW w:w="1285" w:type="dxa"/>
          </w:tcPr>
          <w:p w:rsidR="00CA51FD" w:rsidP="006704AB" w:rsidRDefault="00CA51FD" w14:paraId="2222F9F3" w14:textId="77777777">
            <w:pPr>
              <w:jc w:val="center"/>
              <w:rPr>
                <w:sz w:val="22"/>
                <w:szCs w:val="22"/>
              </w:rPr>
            </w:pPr>
          </w:p>
          <w:p w:rsidR="00CA51FD" w:rsidP="006704AB" w:rsidRDefault="00CA51FD" w14:paraId="32DBA3C4" w14:textId="77777777">
            <w:pPr>
              <w:jc w:val="center"/>
              <w:rPr>
                <w:sz w:val="22"/>
                <w:szCs w:val="22"/>
              </w:rPr>
            </w:pPr>
            <w:r>
              <w:rPr>
                <w:sz w:val="22"/>
                <w:szCs w:val="22"/>
              </w:rPr>
              <w:t>1</w:t>
            </w:r>
          </w:p>
        </w:tc>
        <w:tc>
          <w:tcPr>
            <w:tcW w:w="1335" w:type="dxa"/>
            <w:vAlign w:val="bottom"/>
          </w:tcPr>
          <w:p w:rsidR="00CA51FD" w:rsidP="006704AB" w:rsidRDefault="00CA51FD" w14:paraId="2F26616F" w14:textId="77777777">
            <w:pPr>
              <w:jc w:val="center"/>
              <w:rPr>
                <w:sz w:val="22"/>
                <w:szCs w:val="22"/>
              </w:rPr>
            </w:pPr>
            <w:r>
              <w:rPr>
                <w:sz w:val="22"/>
                <w:szCs w:val="22"/>
              </w:rPr>
              <w:t>2</w:t>
            </w:r>
          </w:p>
        </w:tc>
        <w:tc>
          <w:tcPr>
            <w:tcW w:w="1250" w:type="dxa"/>
            <w:vAlign w:val="bottom"/>
          </w:tcPr>
          <w:p w:rsidR="00CA51FD" w:rsidP="006704AB" w:rsidRDefault="00CA51FD" w14:paraId="6E74A0E2" w14:textId="77777777">
            <w:pPr>
              <w:jc w:val="center"/>
              <w:rPr>
                <w:sz w:val="22"/>
                <w:szCs w:val="22"/>
              </w:rPr>
            </w:pPr>
            <w:r>
              <w:rPr>
                <w:sz w:val="22"/>
                <w:szCs w:val="22"/>
              </w:rPr>
              <w:t>104</w:t>
            </w:r>
          </w:p>
        </w:tc>
        <w:tc>
          <w:tcPr>
            <w:tcW w:w="1180" w:type="dxa"/>
          </w:tcPr>
          <w:p w:rsidR="00CA51FD" w:rsidP="006704AB" w:rsidRDefault="00CA51FD" w14:paraId="0B4CFBD6" w14:textId="77777777">
            <w:pPr>
              <w:jc w:val="center"/>
              <w:rPr>
                <w:sz w:val="22"/>
                <w:szCs w:val="22"/>
              </w:rPr>
            </w:pPr>
          </w:p>
          <w:p w:rsidR="00CA51FD" w:rsidP="006704AB" w:rsidRDefault="00CA51FD" w14:paraId="2365EC6D" w14:textId="77777777">
            <w:pPr>
              <w:jc w:val="center"/>
              <w:rPr>
                <w:sz w:val="22"/>
                <w:szCs w:val="22"/>
              </w:rPr>
            </w:pPr>
            <w:r>
              <w:rPr>
                <w:sz w:val="22"/>
                <w:szCs w:val="22"/>
              </w:rPr>
              <w:t>$97.28</w:t>
            </w:r>
          </w:p>
        </w:tc>
        <w:tc>
          <w:tcPr>
            <w:tcW w:w="1520" w:type="dxa"/>
            <w:vAlign w:val="bottom"/>
          </w:tcPr>
          <w:p w:rsidRPr="006B095F" w:rsidR="00CA51FD" w:rsidP="006704AB" w:rsidRDefault="00CA51FD" w14:paraId="182BE778" w14:textId="77777777">
            <w:pPr>
              <w:jc w:val="center"/>
              <w:rPr>
                <w:sz w:val="22"/>
                <w:szCs w:val="22"/>
              </w:rPr>
            </w:pPr>
            <w:r>
              <w:rPr>
                <w:sz w:val="22"/>
                <w:szCs w:val="22"/>
              </w:rPr>
              <w:t>$10,100</w:t>
            </w:r>
          </w:p>
        </w:tc>
      </w:tr>
      <w:tr w:rsidRPr="00442E07" w:rsidR="00CA51FD" w:rsidTr="006704AB" w14:paraId="1D5050D6" w14:textId="77777777">
        <w:trPr>
          <w:trHeight w:val="440"/>
        </w:trPr>
        <w:tc>
          <w:tcPr>
            <w:tcW w:w="1885" w:type="dxa"/>
          </w:tcPr>
          <w:p w:rsidR="00CA51FD" w:rsidP="006704AB" w:rsidRDefault="00CA51FD" w14:paraId="411E2B9B" w14:textId="77777777">
            <w:pPr>
              <w:rPr>
                <w:sz w:val="22"/>
                <w:szCs w:val="22"/>
              </w:rPr>
            </w:pPr>
          </w:p>
          <w:p w:rsidRPr="00C60201" w:rsidR="00CA51FD" w:rsidP="006704AB" w:rsidRDefault="00CA51FD" w14:paraId="3D7BBA0B" w14:textId="77777777">
            <w:pPr>
              <w:rPr>
                <w:sz w:val="22"/>
                <w:szCs w:val="22"/>
              </w:rPr>
            </w:pPr>
            <w:r w:rsidRPr="00C60201">
              <w:rPr>
                <w:sz w:val="22"/>
                <w:szCs w:val="22"/>
              </w:rPr>
              <w:t>Annualized Totals</w:t>
            </w:r>
          </w:p>
        </w:tc>
        <w:tc>
          <w:tcPr>
            <w:tcW w:w="1260" w:type="dxa"/>
            <w:vAlign w:val="bottom"/>
          </w:tcPr>
          <w:p w:rsidRPr="002E556E" w:rsidR="00CA51FD" w:rsidP="006704AB" w:rsidRDefault="00CA51FD" w14:paraId="4E9CFE94" w14:textId="77777777">
            <w:pPr>
              <w:jc w:val="center"/>
              <w:rPr>
                <w:sz w:val="22"/>
                <w:szCs w:val="22"/>
              </w:rPr>
            </w:pPr>
            <w:r>
              <w:rPr>
                <w:sz w:val="22"/>
                <w:szCs w:val="22"/>
              </w:rPr>
              <w:t>52</w:t>
            </w:r>
          </w:p>
        </w:tc>
        <w:tc>
          <w:tcPr>
            <w:tcW w:w="1285" w:type="dxa"/>
          </w:tcPr>
          <w:p w:rsidRPr="002E556E" w:rsidR="00CA51FD" w:rsidP="006704AB" w:rsidRDefault="00CA51FD" w14:paraId="77DF51A6" w14:textId="77777777">
            <w:pPr>
              <w:jc w:val="center"/>
              <w:rPr>
                <w:sz w:val="22"/>
                <w:szCs w:val="22"/>
              </w:rPr>
            </w:pPr>
          </w:p>
        </w:tc>
        <w:tc>
          <w:tcPr>
            <w:tcW w:w="1335" w:type="dxa"/>
          </w:tcPr>
          <w:p w:rsidR="00CA51FD" w:rsidP="006704AB" w:rsidRDefault="00CA51FD" w14:paraId="4D4C3DFF" w14:textId="77777777">
            <w:pPr>
              <w:jc w:val="center"/>
              <w:rPr>
                <w:sz w:val="22"/>
                <w:szCs w:val="22"/>
              </w:rPr>
            </w:pPr>
          </w:p>
          <w:p w:rsidRPr="002E556E" w:rsidR="00CA51FD" w:rsidP="006704AB" w:rsidRDefault="00CA51FD" w14:paraId="00F340AC" w14:textId="77777777">
            <w:pPr>
              <w:jc w:val="center"/>
              <w:rPr>
                <w:sz w:val="22"/>
                <w:szCs w:val="22"/>
              </w:rPr>
            </w:pPr>
            <w:r>
              <w:rPr>
                <w:sz w:val="22"/>
                <w:szCs w:val="22"/>
              </w:rPr>
              <w:t>4</w:t>
            </w:r>
          </w:p>
        </w:tc>
        <w:tc>
          <w:tcPr>
            <w:tcW w:w="1250" w:type="dxa"/>
            <w:vAlign w:val="bottom"/>
          </w:tcPr>
          <w:p w:rsidRPr="002E556E" w:rsidR="00CA51FD" w:rsidP="006704AB" w:rsidRDefault="00CA51FD" w14:paraId="0F04C295" w14:textId="77777777">
            <w:pPr>
              <w:jc w:val="center"/>
              <w:rPr>
                <w:sz w:val="22"/>
                <w:szCs w:val="22"/>
              </w:rPr>
            </w:pPr>
            <w:r>
              <w:rPr>
                <w:sz w:val="22"/>
                <w:szCs w:val="22"/>
              </w:rPr>
              <w:t>208</w:t>
            </w:r>
          </w:p>
        </w:tc>
        <w:tc>
          <w:tcPr>
            <w:tcW w:w="1180" w:type="dxa"/>
          </w:tcPr>
          <w:p w:rsidRPr="002E556E" w:rsidR="00CA51FD" w:rsidP="006704AB" w:rsidRDefault="00CA51FD" w14:paraId="44A9752B" w14:textId="77777777">
            <w:pPr>
              <w:jc w:val="center"/>
              <w:rPr>
                <w:sz w:val="22"/>
                <w:szCs w:val="22"/>
              </w:rPr>
            </w:pPr>
          </w:p>
        </w:tc>
        <w:tc>
          <w:tcPr>
            <w:tcW w:w="1520" w:type="dxa"/>
            <w:vAlign w:val="bottom"/>
          </w:tcPr>
          <w:p w:rsidRPr="002E556E" w:rsidR="00CA51FD" w:rsidP="006704AB" w:rsidRDefault="00CA51FD" w14:paraId="3400C9F3" w14:textId="77777777">
            <w:pPr>
              <w:jc w:val="center"/>
              <w:rPr>
                <w:sz w:val="22"/>
                <w:szCs w:val="22"/>
              </w:rPr>
            </w:pPr>
            <w:r w:rsidRPr="006B095F">
              <w:rPr>
                <w:sz w:val="22"/>
                <w:szCs w:val="22"/>
              </w:rPr>
              <w:t>$</w:t>
            </w:r>
            <w:r>
              <w:rPr>
                <w:sz w:val="22"/>
                <w:szCs w:val="22"/>
              </w:rPr>
              <w:t>20,200</w:t>
            </w:r>
          </w:p>
        </w:tc>
      </w:tr>
    </w:tbl>
    <w:p w:rsidR="00A2186D" w:rsidP="00E247AC" w:rsidRDefault="00A2186D" w14:paraId="6CFBA76E" w14:textId="77777777">
      <w:pPr>
        <w:tabs>
          <w:tab w:val="left" w:pos="624"/>
          <w:tab w:val="left" w:pos="2340"/>
          <w:tab w:val="right" w:pos="9588"/>
        </w:tabs>
        <w:ind w:left="720"/>
        <w:rPr>
          <w:bCs/>
        </w:rPr>
      </w:pPr>
    </w:p>
    <w:p w:rsidR="00E4449A" w:rsidP="00E247AC" w:rsidRDefault="00E4449A" w14:paraId="551EFA94" w14:textId="77777777">
      <w:pPr>
        <w:tabs>
          <w:tab w:val="left" w:pos="624"/>
          <w:tab w:val="left" w:pos="2340"/>
          <w:tab w:val="right" w:pos="9588"/>
        </w:tabs>
        <w:ind w:left="720"/>
        <w:rPr>
          <w:bCs/>
        </w:rPr>
      </w:pPr>
    </w:p>
    <w:p w:rsidR="00E4449A" w:rsidP="00E247AC" w:rsidRDefault="00E4449A" w14:paraId="551EFAC7" w14:textId="105249C9">
      <w:pPr>
        <w:tabs>
          <w:tab w:val="left" w:pos="624"/>
          <w:tab w:val="left" w:pos="2340"/>
          <w:tab w:val="right" w:pos="9588"/>
        </w:tabs>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 xml:space="preserve">carry out this work to be </w:t>
      </w:r>
      <w:r w:rsidRPr="004736B0" w:rsidR="00103D2B">
        <w:t>$97.28 per hour</w:t>
      </w:r>
      <w:r w:rsidR="006706E9">
        <w:t xml:space="preserve"> including salary and benefits</w:t>
      </w:r>
      <w:r w:rsidR="0016518E">
        <w:t>. T</w:t>
      </w:r>
      <w:r w:rsidRPr="004736B0" w:rsidR="00103D2B">
        <w:t>he total estimated cost for 52 SEAs (including the District of Columbia and the Commonwealth of Puerto Rico) is approximately $</w:t>
      </w:r>
      <w:r w:rsidR="00CA51FD">
        <w:t>2</w:t>
      </w:r>
      <w:r w:rsidRPr="004736B0" w:rsidR="00103D2B">
        <w:t>0,</w:t>
      </w:r>
      <w:r w:rsidR="00CA51FD">
        <w:t>2</w:t>
      </w:r>
      <w:r w:rsidRPr="004736B0" w:rsidR="00103D2B">
        <w:t xml:space="preserve">00, and the total estimated burden is </w:t>
      </w:r>
      <w:r w:rsidR="00CA51FD">
        <w:t>2</w:t>
      </w:r>
      <w:r w:rsidRPr="004736B0" w:rsidR="00103D2B">
        <w:t>0</w:t>
      </w:r>
      <w:r w:rsidR="00CA51FD">
        <w:t>8</w:t>
      </w:r>
      <w:r w:rsidRPr="004736B0" w:rsidR="00103D2B">
        <w:t xml:space="preserve"> hours.</w:t>
      </w:r>
      <w:r w:rsidR="00120C6D">
        <w:rPr>
          <w:bCs/>
        </w:rPr>
        <w:t xml:space="preserve"> </w:t>
      </w:r>
    </w:p>
    <w:p w:rsidRPr="00DA46CF" w:rsidR="00386054" w:rsidP="00432256" w:rsidRDefault="00386054" w14:paraId="551EFAC8" w14:textId="77777777">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432256" w:rsidRDefault="00386054" w14:paraId="551EFAC9" w14:textId="77777777">
      <w:pPr>
        <w:pStyle w:val="ListParagraph"/>
        <w:numPr>
          <w:ilvl w:val="0"/>
          <w:numId w:val="23"/>
        </w:numPr>
        <w:ind w:left="1080"/>
        <w:rPr>
          <w:b/>
        </w:rPr>
      </w:pPr>
      <w:r w:rsidRPr="00DA46C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A46CF" w:rsidR="00386054" w:rsidP="00432256" w:rsidRDefault="00386054" w14:paraId="551EFACA" w14:textId="77777777">
      <w:pPr>
        <w:pStyle w:val="ListParagraph"/>
        <w:numPr>
          <w:ilvl w:val="0"/>
          <w:numId w:val="23"/>
        </w:numPr>
        <w:ind w:left="1080"/>
        <w:rPr>
          <w:b/>
        </w:rPr>
      </w:pPr>
      <w:r w:rsidRPr="00DA46CF">
        <w:rPr>
          <w:b/>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w:t>
      </w:r>
      <w:r w:rsidRPr="00DA46CF">
        <w:rPr>
          <w:b/>
        </w:rPr>
        <w:lastRenderedPageBreak/>
        <w:t>comment process and use existing economic or regulatory impact analysis associated with the rulemaking containing the information collection, as appropriate.</w:t>
      </w:r>
    </w:p>
    <w:p w:rsidRPr="002E5597" w:rsidR="00386054" w:rsidP="00432256" w:rsidRDefault="00386054" w14:paraId="551EFACB" w14:textId="77777777">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p>
    <w:p w:rsidRPr="002E5597" w:rsidR="00386054" w:rsidP="00432256" w:rsidRDefault="00386054" w14:paraId="551EFACC" w14:textId="77777777">
      <w:pPr>
        <w:pStyle w:val="ListParagraph"/>
        <w:ind w:left="1080"/>
        <w:rPr>
          <w:b/>
        </w:rPr>
      </w:pPr>
      <w:r w:rsidRPr="002E5597">
        <w:rPr>
          <w:b/>
        </w:rPr>
        <w:t>Total Annualized Capital/Startup Cost:</w:t>
      </w:r>
    </w:p>
    <w:p w:rsidRPr="002E5597" w:rsidR="00386054" w:rsidP="00432256" w:rsidRDefault="00386054" w14:paraId="551EFACD" w14:textId="77777777">
      <w:pPr>
        <w:tabs>
          <w:tab w:val="left" w:pos="-720"/>
        </w:tabs>
        <w:suppressAutoHyphens/>
        <w:ind w:left="1080"/>
        <w:rPr>
          <w:b/>
        </w:rPr>
      </w:pPr>
      <w:r w:rsidRPr="002E5597">
        <w:rPr>
          <w:b/>
        </w:rPr>
        <w:t xml:space="preserve">Total Annual Costs (O&amp;M): </w:t>
      </w:r>
    </w:p>
    <w:p w:rsidR="00386054" w:rsidP="00432256" w:rsidRDefault="00386054" w14:paraId="551EFACE" w14:textId="77777777">
      <w:pPr>
        <w:tabs>
          <w:tab w:val="left" w:pos="-720"/>
        </w:tabs>
        <w:suppressAutoHyphens/>
        <w:ind w:left="1080"/>
        <w:rPr>
          <w:b/>
        </w:rPr>
      </w:pPr>
      <w:r w:rsidRPr="002E5597">
        <w:rPr>
          <w:b/>
        </w:rPr>
        <w:t>Total Annualized Costs Requested:</w:t>
      </w:r>
    </w:p>
    <w:p w:rsidRPr="00EF7FF5" w:rsidR="000C4863" w:rsidP="00432256" w:rsidRDefault="000C4863" w14:paraId="551EFACF" w14:textId="3F843FF9">
      <w:pPr>
        <w:tabs>
          <w:tab w:val="left" w:pos="-720"/>
        </w:tabs>
        <w:suppressAutoHyphens/>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question 12 of this supporting statement. </w:t>
      </w:r>
    </w:p>
    <w:p w:rsidR="00B83FB3" w:rsidP="00432256" w:rsidRDefault="00386054" w14:paraId="551EFAD0" w14:textId="77777777">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0C6D" w:rsidP="00DD1A99" w:rsidRDefault="00DD1A99" w14:paraId="551EFAD1" w14:textId="5B79B1D3">
      <w:pPr>
        <w:pStyle w:val="ListParagraph"/>
        <w:rPr>
          <w:rStyle w:val="a"/>
        </w:rPr>
      </w:pPr>
      <w:r>
        <w:rPr>
          <w:rStyle w:val="a"/>
        </w:rPr>
        <w:t>As indicated in the table below, t</w:t>
      </w:r>
      <w:r w:rsidRPr="00120C6D" w:rsidR="00120C6D">
        <w:rPr>
          <w:rStyle w:val="a"/>
        </w:rPr>
        <w:t xml:space="preserve">he </w:t>
      </w:r>
      <w:r>
        <w:rPr>
          <w:rStyle w:val="a"/>
        </w:rPr>
        <w:t xml:space="preserve">estimated annualized cost to the Federal government is </w:t>
      </w:r>
      <w:r w:rsidRPr="00DD1A99">
        <w:rPr>
          <w:rStyle w:val="a"/>
        </w:rPr>
        <w:t>$</w:t>
      </w:r>
      <w:r w:rsidR="00882B27">
        <w:rPr>
          <w:rStyle w:val="a"/>
        </w:rPr>
        <w:t>4,566.12</w:t>
      </w:r>
      <w:r>
        <w:rPr>
          <w:rStyle w:val="a"/>
        </w:rPr>
        <w:t xml:space="preserve">.  </w:t>
      </w:r>
      <w:r w:rsidRPr="00120C6D" w:rsidR="00120C6D">
        <w:rPr>
          <w:rStyle w:val="a"/>
        </w:rPr>
        <w:t xml:space="preserve">This includes </w:t>
      </w:r>
      <w:r w:rsidR="00F84836">
        <w:rPr>
          <w:rStyle w:val="a"/>
        </w:rPr>
        <w:t xml:space="preserve">the </w:t>
      </w:r>
      <w:r w:rsidRPr="00120C6D" w:rsidR="00120C6D">
        <w:rPr>
          <w:rStyle w:val="a"/>
        </w:rPr>
        <w:t xml:space="preserve">salaries of </w:t>
      </w:r>
      <w:r w:rsidR="00F84836">
        <w:rPr>
          <w:rStyle w:val="a"/>
        </w:rPr>
        <w:t>the employees who will r</w:t>
      </w:r>
      <w:r w:rsidRPr="00120C6D" w:rsidR="00120C6D">
        <w:rPr>
          <w:rStyle w:val="a"/>
        </w:rPr>
        <w:t xml:space="preserve">eview </w:t>
      </w:r>
      <w:r w:rsidR="00F84836">
        <w:rPr>
          <w:rStyle w:val="a"/>
        </w:rPr>
        <w:t xml:space="preserve">the </w:t>
      </w:r>
      <w:r w:rsidR="004529D8">
        <w:rPr>
          <w:rStyle w:val="a"/>
        </w:rPr>
        <w:t>applications</w:t>
      </w:r>
      <w:r w:rsidR="00F84836">
        <w:rPr>
          <w:rStyle w:val="a"/>
        </w:rPr>
        <w:t xml:space="preserve">. </w:t>
      </w:r>
    </w:p>
    <w:p w:rsidR="00E9209F" w:rsidP="00DD1A99" w:rsidRDefault="00E9209F" w14:paraId="4F1F392A" w14:textId="77777777">
      <w:pPr>
        <w:pStyle w:val="ListParagraph"/>
        <w:rPr>
          <w:rStyle w:val="a"/>
        </w:rPr>
      </w:pPr>
    </w:p>
    <w:tbl>
      <w:tblPr>
        <w:tblStyle w:val="TableGrid"/>
        <w:tblW w:w="0" w:type="auto"/>
        <w:tblInd w:w="720" w:type="dxa"/>
        <w:tblLook w:val="04A0" w:firstRow="1" w:lastRow="0" w:firstColumn="1" w:lastColumn="0" w:noHBand="0" w:noVBand="1"/>
      </w:tblPr>
      <w:tblGrid>
        <w:gridCol w:w="823"/>
        <w:gridCol w:w="1283"/>
        <w:gridCol w:w="1397"/>
        <w:gridCol w:w="1263"/>
        <w:gridCol w:w="1176"/>
        <w:gridCol w:w="1252"/>
        <w:gridCol w:w="1436"/>
      </w:tblGrid>
      <w:tr w:rsidR="000D2F6A" w:rsidTr="00E9209F" w14:paraId="2765C270" w14:textId="77777777">
        <w:tc>
          <w:tcPr>
            <w:tcW w:w="823" w:type="dxa"/>
          </w:tcPr>
          <w:p w:rsidR="000D2F6A" w:rsidP="00B145E8" w:rsidRDefault="000D2F6A" w14:paraId="4C4FA7F5" w14:textId="77777777">
            <w:pPr>
              <w:tabs>
                <w:tab w:val="left" w:pos="-4050"/>
                <w:tab w:val="left" w:pos="2340"/>
                <w:tab w:val="right" w:pos="9588"/>
              </w:tabs>
              <w:rPr>
                <w:bCs/>
              </w:rPr>
            </w:pPr>
            <w:r>
              <w:rPr>
                <w:bCs/>
              </w:rPr>
              <w:t>Year</w:t>
            </w:r>
          </w:p>
        </w:tc>
        <w:tc>
          <w:tcPr>
            <w:tcW w:w="1283" w:type="dxa"/>
          </w:tcPr>
          <w:p w:rsidR="000D2F6A" w:rsidP="00B145E8" w:rsidRDefault="000D2F6A" w14:paraId="26EB4A28" w14:textId="77777777">
            <w:pPr>
              <w:tabs>
                <w:tab w:val="left" w:pos="-4050"/>
                <w:tab w:val="left" w:pos="2340"/>
                <w:tab w:val="right" w:pos="9588"/>
              </w:tabs>
              <w:rPr>
                <w:bCs/>
              </w:rPr>
            </w:pPr>
            <w:r>
              <w:rPr>
                <w:bCs/>
              </w:rPr>
              <w:t>Number of Employees</w:t>
            </w:r>
          </w:p>
        </w:tc>
        <w:tc>
          <w:tcPr>
            <w:tcW w:w="1397" w:type="dxa"/>
          </w:tcPr>
          <w:p w:rsidR="000D2F6A" w:rsidP="00B145E8" w:rsidRDefault="000D2F6A" w14:paraId="2B88A671" w14:textId="77777777">
            <w:pPr>
              <w:tabs>
                <w:tab w:val="left" w:pos="-4050"/>
                <w:tab w:val="left" w:pos="2340"/>
                <w:tab w:val="right" w:pos="9588"/>
              </w:tabs>
              <w:rPr>
                <w:bCs/>
              </w:rPr>
            </w:pPr>
            <w:r>
              <w:rPr>
                <w:bCs/>
              </w:rPr>
              <w:t>Employee Grade</w:t>
            </w:r>
          </w:p>
        </w:tc>
        <w:tc>
          <w:tcPr>
            <w:tcW w:w="1263" w:type="dxa"/>
          </w:tcPr>
          <w:p w:rsidR="000D2F6A" w:rsidP="00B145E8" w:rsidRDefault="000D2F6A" w14:paraId="34660296" w14:textId="77777777">
            <w:pPr>
              <w:tabs>
                <w:tab w:val="left" w:pos="-4050"/>
                <w:tab w:val="left" w:pos="2340"/>
                <w:tab w:val="right" w:pos="9588"/>
              </w:tabs>
              <w:rPr>
                <w:bCs/>
              </w:rPr>
            </w:pPr>
            <w:r>
              <w:rPr>
                <w:bCs/>
              </w:rPr>
              <w:t>Estimated Number of Hours Per Employee</w:t>
            </w:r>
          </w:p>
        </w:tc>
        <w:tc>
          <w:tcPr>
            <w:tcW w:w="1176" w:type="dxa"/>
          </w:tcPr>
          <w:p w:rsidR="000D2F6A" w:rsidP="00B145E8" w:rsidRDefault="000D2F6A" w14:paraId="487DFD8C" w14:textId="77777777">
            <w:pPr>
              <w:tabs>
                <w:tab w:val="left" w:pos="-4050"/>
                <w:tab w:val="left" w:pos="2340"/>
                <w:tab w:val="right" w:pos="9588"/>
              </w:tabs>
              <w:rPr>
                <w:bCs/>
              </w:rPr>
            </w:pPr>
            <w:r>
              <w:rPr>
                <w:bCs/>
              </w:rPr>
              <w:t>Total Number of Estimated Hours</w:t>
            </w:r>
          </w:p>
          <w:p w:rsidR="000D2F6A" w:rsidP="00B145E8" w:rsidRDefault="000D2F6A" w14:paraId="2474C186" w14:textId="77777777">
            <w:pPr>
              <w:tabs>
                <w:tab w:val="left" w:pos="-4050"/>
                <w:tab w:val="left" w:pos="2340"/>
                <w:tab w:val="right" w:pos="9588"/>
              </w:tabs>
              <w:rPr>
                <w:bCs/>
              </w:rPr>
            </w:pPr>
          </w:p>
        </w:tc>
        <w:tc>
          <w:tcPr>
            <w:tcW w:w="1252" w:type="dxa"/>
          </w:tcPr>
          <w:p w:rsidR="000D2F6A" w:rsidP="00B145E8" w:rsidRDefault="000D2F6A" w14:paraId="2E30E71B" w14:textId="77777777">
            <w:pPr>
              <w:tabs>
                <w:tab w:val="left" w:pos="-4050"/>
                <w:tab w:val="left" w:pos="2340"/>
                <w:tab w:val="right" w:pos="9588"/>
              </w:tabs>
              <w:rPr>
                <w:bCs/>
              </w:rPr>
            </w:pPr>
            <w:r>
              <w:rPr>
                <w:bCs/>
              </w:rPr>
              <w:t>Estimated Hourly Cost</w:t>
            </w:r>
          </w:p>
        </w:tc>
        <w:tc>
          <w:tcPr>
            <w:tcW w:w="1436" w:type="dxa"/>
          </w:tcPr>
          <w:p w:rsidR="000D2F6A" w:rsidP="00B145E8" w:rsidRDefault="000D2F6A" w14:paraId="251EBDD8" w14:textId="77777777">
            <w:pPr>
              <w:tabs>
                <w:tab w:val="left" w:pos="-4050"/>
                <w:tab w:val="left" w:pos="2340"/>
                <w:tab w:val="right" w:pos="9588"/>
              </w:tabs>
              <w:rPr>
                <w:bCs/>
              </w:rPr>
            </w:pPr>
            <w:r>
              <w:rPr>
                <w:bCs/>
              </w:rPr>
              <w:t xml:space="preserve">Total Annualized Costs </w:t>
            </w:r>
          </w:p>
        </w:tc>
      </w:tr>
      <w:tr w:rsidR="000D2F6A" w:rsidTr="00E9209F" w14:paraId="3205BB06" w14:textId="77777777">
        <w:tc>
          <w:tcPr>
            <w:tcW w:w="823" w:type="dxa"/>
          </w:tcPr>
          <w:p w:rsidR="000D2F6A" w:rsidP="00B145E8" w:rsidRDefault="000D2F6A" w14:paraId="05E11AA8" w14:textId="72365BB7">
            <w:pPr>
              <w:tabs>
                <w:tab w:val="left" w:pos="-4050"/>
                <w:tab w:val="left" w:pos="2340"/>
                <w:tab w:val="right" w:pos="9588"/>
              </w:tabs>
              <w:rPr>
                <w:bCs/>
              </w:rPr>
            </w:pPr>
            <w:r>
              <w:rPr>
                <w:bCs/>
              </w:rPr>
              <w:t>2020</w:t>
            </w:r>
          </w:p>
        </w:tc>
        <w:tc>
          <w:tcPr>
            <w:tcW w:w="1283" w:type="dxa"/>
          </w:tcPr>
          <w:p w:rsidR="000D2F6A" w:rsidP="00B145E8" w:rsidRDefault="00E9209F" w14:paraId="27C85BF3" w14:textId="4BC5120E">
            <w:pPr>
              <w:tabs>
                <w:tab w:val="left" w:pos="-4050"/>
                <w:tab w:val="left" w:pos="2340"/>
                <w:tab w:val="right" w:pos="9588"/>
              </w:tabs>
              <w:jc w:val="center"/>
              <w:rPr>
                <w:bCs/>
              </w:rPr>
            </w:pPr>
            <w:r>
              <w:rPr>
                <w:bCs/>
              </w:rPr>
              <w:t>2</w:t>
            </w:r>
          </w:p>
          <w:p w:rsidR="000D2F6A" w:rsidP="00B145E8" w:rsidRDefault="000D2F6A" w14:paraId="4C7C469A" w14:textId="25BC7807">
            <w:pPr>
              <w:tabs>
                <w:tab w:val="left" w:pos="-4050"/>
                <w:tab w:val="left" w:pos="2340"/>
                <w:tab w:val="right" w:pos="9588"/>
              </w:tabs>
              <w:jc w:val="center"/>
              <w:rPr>
                <w:bCs/>
              </w:rPr>
            </w:pPr>
          </w:p>
          <w:p w:rsidR="000D2F6A" w:rsidP="00B145E8" w:rsidRDefault="000D2F6A" w14:paraId="56AD6D2B" w14:textId="4A5575D7">
            <w:pPr>
              <w:tabs>
                <w:tab w:val="left" w:pos="-4050"/>
                <w:tab w:val="left" w:pos="2340"/>
                <w:tab w:val="right" w:pos="9588"/>
              </w:tabs>
              <w:jc w:val="center"/>
              <w:rPr>
                <w:bCs/>
              </w:rPr>
            </w:pPr>
          </w:p>
        </w:tc>
        <w:tc>
          <w:tcPr>
            <w:tcW w:w="1397" w:type="dxa"/>
          </w:tcPr>
          <w:p w:rsidR="000D2F6A" w:rsidP="00B145E8" w:rsidRDefault="000D2F6A" w14:paraId="5641E1B0" w14:textId="142A43C5">
            <w:pPr>
              <w:tabs>
                <w:tab w:val="left" w:pos="-4050"/>
                <w:tab w:val="left" w:pos="2340"/>
                <w:tab w:val="right" w:pos="9588"/>
              </w:tabs>
              <w:rPr>
                <w:bCs/>
              </w:rPr>
            </w:pPr>
            <w:r>
              <w:rPr>
                <w:bCs/>
              </w:rPr>
              <w:t>GS-1</w:t>
            </w:r>
            <w:r w:rsidR="00E9209F">
              <w:rPr>
                <w:bCs/>
              </w:rPr>
              <w:t>4</w:t>
            </w:r>
          </w:p>
          <w:p w:rsidR="000D2F6A" w:rsidP="00B145E8" w:rsidRDefault="000D2F6A" w14:paraId="5B2D4A67" w14:textId="77777777">
            <w:pPr>
              <w:tabs>
                <w:tab w:val="left" w:pos="-4050"/>
                <w:tab w:val="left" w:pos="2340"/>
                <w:tab w:val="right" w:pos="9588"/>
              </w:tabs>
              <w:rPr>
                <w:bCs/>
              </w:rPr>
            </w:pPr>
          </w:p>
        </w:tc>
        <w:tc>
          <w:tcPr>
            <w:tcW w:w="1263" w:type="dxa"/>
          </w:tcPr>
          <w:p w:rsidR="000D2F6A" w:rsidP="00B145E8" w:rsidRDefault="00882B27" w14:paraId="11307222" w14:textId="14373D0D">
            <w:pPr>
              <w:tabs>
                <w:tab w:val="left" w:pos="-4050"/>
                <w:tab w:val="left" w:pos="2340"/>
                <w:tab w:val="right" w:pos="9588"/>
              </w:tabs>
              <w:jc w:val="center"/>
              <w:rPr>
                <w:bCs/>
              </w:rPr>
            </w:pPr>
            <w:r>
              <w:rPr>
                <w:bCs/>
              </w:rPr>
              <w:t>39</w:t>
            </w:r>
          </w:p>
        </w:tc>
        <w:tc>
          <w:tcPr>
            <w:tcW w:w="1176" w:type="dxa"/>
          </w:tcPr>
          <w:p w:rsidR="000D2F6A" w:rsidP="00B145E8" w:rsidRDefault="00882B27" w14:paraId="0A9736CE" w14:textId="19D878B4">
            <w:pPr>
              <w:tabs>
                <w:tab w:val="left" w:pos="-4050"/>
                <w:tab w:val="left" w:pos="2340"/>
                <w:tab w:val="right" w:pos="9588"/>
              </w:tabs>
              <w:jc w:val="center"/>
              <w:rPr>
                <w:bCs/>
              </w:rPr>
            </w:pPr>
            <w:r>
              <w:rPr>
                <w:bCs/>
              </w:rPr>
              <w:t>78</w:t>
            </w:r>
          </w:p>
          <w:p w:rsidR="000D2F6A" w:rsidP="00B145E8" w:rsidRDefault="000D2F6A" w14:paraId="300AB4E8" w14:textId="06C1B64B">
            <w:pPr>
              <w:tabs>
                <w:tab w:val="left" w:pos="-4050"/>
                <w:tab w:val="left" w:pos="2340"/>
                <w:tab w:val="right" w:pos="9588"/>
              </w:tabs>
              <w:jc w:val="center"/>
              <w:rPr>
                <w:bCs/>
              </w:rPr>
            </w:pPr>
          </w:p>
        </w:tc>
        <w:tc>
          <w:tcPr>
            <w:tcW w:w="1252" w:type="dxa"/>
          </w:tcPr>
          <w:p w:rsidR="000D2F6A" w:rsidP="00B145E8" w:rsidRDefault="00E9209F" w14:paraId="771A7C92" w14:textId="4B29B9D1">
            <w:pPr>
              <w:tabs>
                <w:tab w:val="left" w:pos="-4050"/>
                <w:tab w:val="left" w:pos="2340"/>
                <w:tab w:val="right" w:pos="9588"/>
              </w:tabs>
              <w:jc w:val="center"/>
              <w:rPr>
                <w:bCs/>
              </w:rPr>
            </w:pPr>
            <w:bookmarkStart w:name="OLE_LINK1" w:id="1"/>
            <w:r>
              <w:rPr>
                <w:bCs/>
              </w:rPr>
              <w:t>$</w:t>
            </w:r>
            <w:r w:rsidRPr="00E9209F">
              <w:rPr>
                <w:bCs/>
              </w:rPr>
              <w:t>58.5</w:t>
            </w:r>
            <w:r>
              <w:rPr>
                <w:bCs/>
              </w:rPr>
              <w:t>4</w:t>
            </w:r>
          </w:p>
          <w:bookmarkEnd w:id="1"/>
          <w:p w:rsidR="000D2F6A" w:rsidP="00B145E8" w:rsidRDefault="000D2F6A" w14:paraId="4E29E00E" w14:textId="740037E9">
            <w:pPr>
              <w:tabs>
                <w:tab w:val="left" w:pos="-4050"/>
                <w:tab w:val="left" w:pos="2340"/>
                <w:tab w:val="right" w:pos="9588"/>
              </w:tabs>
              <w:jc w:val="center"/>
              <w:rPr>
                <w:bCs/>
              </w:rPr>
            </w:pPr>
          </w:p>
          <w:p w:rsidRPr="00E247AC" w:rsidR="000D2F6A" w:rsidP="00B145E8" w:rsidRDefault="000D2F6A" w14:paraId="37854C08" w14:textId="17DDE457">
            <w:pPr>
              <w:tabs>
                <w:tab w:val="left" w:pos="-4050"/>
                <w:tab w:val="left" w:pos="2340"/>
                <w:tab w:val="right" w:pos="9588"/>
              </w:tabs>
              <w:jc w:val="center"/>
              <w:rPr>
                <w:bCs/>
              </w:rPr>
            </w:pPr>
          </w:p>
        </w:tc>
        <w:tc>
          <w:tcPr>
            <w:tcW w:w="1436" w:type="dxa"/>
          </w:tcPr>
          <w:p w:rsidRPr="00E247AC" w:rsidR="000D2F6A" w:rsidP="00B145E8" w:rsidRDefault="00E9209F" w14:paraId="42DCF73D" w14:textId="23CAA52F">
            <w:pPr>
              <w:tabs>
                <w:tab w:val="left" w:pos="-4050"/>
                <w:tab w:val="left" w:pos="2340"/>
                <w:tab w:val="right" w:pos="9588"/>
              </w:tabs>
              <w:jc w:val="center"/>
              <w:rPr>
                <w:bCs/>
              </w:rPr>
            </w:pPr>
            <w:r w:rsidRPr="00E9209F">
              <w:rPr>
                <w:bCs/>
              </w:rPr>
              <w:t>$</w:t>
            </w:r>
            <w:r w:rsidR="00882B27">
              <w:rPr>
                <w:bCs/>
              </w:rPr>
              <w:t>4,566.12</w:t>
            </w:r>
          </w:p>
        </w:tc>
      </w:tr>
    </w:tbl>
    <w:p w:rsidRPr="00120C6D" w:rsidR="000D2F6A" w:rsidP="00DD1A99" w:rsidRDefault="000D2F6A" w14:paraId="6938F77E" w14:textId="77777777">
      <w:pPr>
        <w:pStyle w:val="ListParagraph"/>
        <w:rPr>
          <w:rStyle w:val="a"/>
        </w:rPr>
      </w:pPr>
    </w:p>
    <w:p w:rsidR="00B83FB3" w:rsidP="00432256" w:rsidRDefault="00386054" w14:paraId="551EFB22" w14:textId="77777777">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3E618B" w:rsidR="002473CE">
        <w:rPr>
          <w:b/>
        </w:rPr>
        <w:t xml:space="preserve">totals for </w:t>
      </w:r>
      <w:r w:rsidRPr="003E618B">
        <w:rPr>
          <w:b/>
        </w:rPr>
        <w:t>changes in burden hours</w:t>
      </w:r>
      <w:r w:rsidRPr="003E618B" w:rsidR="002473CE">
        <w:rPr>
          <w:b/>
        </w:rPr>
        <w:t>, responses</w:t>
      </w:r>
      <w:r w:rsidRPr="003E618B">
        <w:rPr>
          <w:b/>
        </w:rPr>
        <w:t xml:space="preserve"> and cost</w:t>
      </w:r>
      <w:r w:rsidRPr="003E618B" w:rsidR="002473CE">
        <w:rPr>
          <w:b/>
        </w:rPr>
        <w:t>s</w:t>
      </w:r>
      <w:r w:rsidRPr="003E618B">
        <w:rPr>
          <w:b/>
        </w:rPr>
        <w:t xml:space="preserve"> </w:t>
      </w:r>
      <w:r w:rsidRPr="003E618B" w:rsidR="002473CE">
        <w:rPr>
          <w:b/>
        </w:rPr>
        <w:t>(if applicable)</w:t>
      </w:r>
      <w:r w:rsidRPr="00322E02">
        <w:t>.</w:t>
      </w:r>
    </w:p>
    <w:p w:rsidR="00D4437E" w:rsidP="00F84836" w:rsidRDefault="007E4717" w14:paraId="14174D89" w14:textId="6402DC9F">
      <w:pPr>
        <w:ind w:left="720"/>
      </w:pPr>
      <w:r>
        <w:rPr>
          <w:rFonts w:cs="Courier New"/>
        </w:rPr>
        <w:t>We estimate the proposed changes to the CR</w:t>
      </w:r>
      <w:r w:rsidR="0040705D">
        <w:rPr>
          <w:rFonts w:cs="Courier New"/>
        </w:rPr>
        <w:t>RSSA EANS program</w:t>
      </w:r>
      <w:r>
        <w:rPr>
          <w:rFonts w:cs="Courier New"/>
        </w:rPr>
        <w:t xml:space="preserve"> application</w:t>
      </w:r>
      <w:r w:rsidR="00B03732">
        <w:rPr>
          <w:rFonts w:cs="Courier New"/>
        </w:rPr>
        <w:t xml:space="preserve"> for the ARP EANS application and collection requirement within the</w:t>
      </w:r>
      <w:r w:rsidR="00CF0860">
        <w:rPr>
          <w:rFonts w:cs="Courier New"/>
        </w:rPr>
        <w:t xml:space="preserve"> ARP EANS program</w:t>
      </w:r>
      <w:r w:rsidR="00B03732">
        <w:rPr>
          <w:rFonts w:cs="Courier New"/>
        </w:rPr>
        <w:t xml:space="preserve"> notice of Final Requirements</w:t>
      </w:r>
      <w:r>
        <w:rPr>
          <w:rFonts w:cs="Courier New"/>
        </w:rPr>
        <w:t xml:space="preserve"> will result in a</w:t>
      </w:r>
      <w:r w:rsidR="00CF0860">
        <w:rPr>
          <w:rFonts w:cs="Courier New"/>
        </w:rPr>
        <w:t>n increase</w:t>
      </w:r>
      <w:r>
        <w:rPr>
          <w:rFonts w:cs="Courier New"/>
        </w:rPr>
        <w:t xml:space="preserve"> of burden hours from 2.5 hours per respondent to </w:t>
      </w:r>
      <w:r w:rsidR="00B54B8B">
        <w:rPr>
          <w:rFonts w:cs="Courier New"/>
        </w:rPr>
        <w:t>4</w:t>
      </w:r>
      <w:r>
        <w:rPr>
          <w:rFonts w:cs="Courier New"/>
        </w:rPr>
        <w:t xml:space="preserve"> hour per respondent. </w:t>
      </w:r>
      <w:r w:rsidR="00643B70">
        <w:rPr>
          <w:rFonts w:cs="Courier New"/>
        </w:rPr>
        <w:t>T</w:t>
      </w:r>
      <w:r>
        <w:rPr>
          <w:rFonts w:cs="Courier New"/>
        </w:rPr>
        <w:t xml:space="preserve">he eligible applicants for the </w:t>
      </w:r>
      <w:r w:rsidR="00643B70">
        <w:rPr>
          <w:rFonts w:cs="Courier New"/>
        </w:rPr>
        <w:t>CRRSSA EANS program</w:t>
      </w:r>
      <w:r>
        <w:rPr>
          <w:rFonts w:cs="Courier New"/>
        </w:rPr>
        <w:t xml:space="preserve"> and the</w:t>
      </w:r>
      <w:r w:rsidR="00643B70">
        <w:rPr>
          <w:rFonts w:cs="Courier New"/>
        </w:rPr>
        <w:t xml:space="preserve"> ARP</w:t>
      </w:r>
      <w:r>
        <w:rPr>
          <w:rFonts w:cs="Courier New"/>
        </w:rPr>
        <w:t xml:space="preserve"> EANS program are the same; the </w:t>
      </w:r>
      <w:r w:rsidRPr="008E1D95">
        <w:rPr>
          <w:rFonts w:cs="Courier New"/>
        </w:rPr>
        <w:t xml:space="preserve">Governor of </w:t>
      </w:r>
      <w:r>
        <w:rPr>
          <w:rFonts w:cs="Courier New"/>
        </w:rPr>
        <w:t xml:space="preserve">each of </w:t>
      </w:r>
      <w:r w:rsidRPr="008E1D95">
        <w:rPr>
          <w:rFonts w:cs="Courier New"/>
        </w:rPr>
        <w:t xml:space="preserve">the 50 States and the Commonwealth of Puerto Rico, as well as the Mayor of the </w:t>
      </w:r>
      <w:r w:rsidRPr="004B0598">
        <w:rPr>
          <w:rFonts w:cs="Courier New"/>
        </w:rPr>
        <w:t>District of Columbia</w:t>
      </w:r>
      <w:r w:rsidRPr="004B0598">
        <w:t>.</w:t>
      </w:r>
      <w:r>
        <w:t xml:space="preserve"> The applicants will be familiar with the application, which will make it less burdensome for applicants and increase the quality of applications submitted to ED.</w:t>
      </w:r>
      <w:r w:rsidR="003B220B">
        <w:t xml:space="preserve"> </w:t>
      </w:r>
      <w:r w:rsidR="00B54B8B">
        <w:t xml:space="preserve">This is a total increase of </w:t>
      </w:r>
      <w:r w:rsidR="006F7006">
        <w:t>78</w:t>
      </w:r>
      <w:r w:rsidR="001E5CCD">
        <w:t xml:space="preserve"> burden hours for the public</w:t>
      </w:r>
      <w:r w:rsidR="00F854FB">
        <w:t>, and a total increase in the cost to the public of $20,200</w:t>
      </w:r>
      <w:r w:rsidR="001E5CCD">
        <w:t xml:space="preserve">. </w:t>
      </w:r>
    </w:p>
    <w:p w:rsidR="00B73A37" w:rsidP="00F84836" w:rsidRDefault="00B73A37" w14:paraId="20F3049B" w14:textId="77777777">
      <w:pPr>
        <w:ind w:left="720"/>
      </w:pPr>
    </w:p>
    <w:tbl>
      <w:tblPr>
        <w:tblStyle w:val="TableGrid"/>
        <w:tblW w:w="9445" w:type="dxa"/>
        <w:tblLook w:val="04A0" w:firstRow="1" w:lastRow="0" w:firstColumn="1" w:lastColumn="0" w:noHBand="0" w:noVBand="1"/>
      </w:tblPr>
      <w:tblGrid>
        <w:gridCol w:w="2048"/>
        <w:gridCol w:w="2048"/>
        <w:gridCol w:w="2829"/>
        <w:gridCol w:w="2520"/>
      </w:tblGrid>
      <w:tr w:rsidR="00B73A37" w:rsidTr="009B2433" w14:paraId="4A0A38A9" w14:textId="77777777">
        <w:tc>
          <w:tcPr>
            <w:tcW w:w="2048" w:type="dxa"/>
            <w:shd w:val="clear" w:color="auto" w:fill="D9D9D9" w:themeFill="background1" w:themeFillShade="D9"/>
          </w:tcPr>
          <w:p w:rsidR="00B73A37" w:rsidP="009B2433" w:rsidRDefault="00B73A37" w14:paraId="21165FF3" w14:textId="77777777">
            <w:pPr>
              <w:tabs>
                <w:tab w:val="left" w:pos="-720"/>
              </w:tabs>
              <w:suppressAutoHyphens/>
              <w:rPr>
                <w:b/>
              </w:rPr>
            </w:pPr>
          </w:p>
        </w:tc>
        <w:tc>
          <w:tcPr>
            <w:tcW w:w="2048" w:type="dxa"/>
          </w:tcPr>
          <w:p w:rsidR="00B73A37" w:rsidP="009B2433" w:rsidRDefault="00B73A37" w14:paraId="726BA146" w14:textId="77777777">
            <w:pPr>
              <w:tabs>
                <w:tab w:val="left" w:pos="-720"/>
              </w:tabs>
              <w:suppressAutoHyphens/>
              <w:rPr>
                <w:b/>
              </w:rPr>
            </w:pPr>
            <w:r>
              <w:rPr>
                <w:b/>
              </w:rPr>
              <w:t>Program Change Due to New Statute</w:t>
            </w:r>
          </w:p>
        </w:tc>
        <w:tc>
          <w:tcPr>
            <w:tcW w:w="2829" w:type="dxa"/>
          </w:tcPr>
          <w:p w:rsidR="00B73A37" w:rsidP="009B2433" w:rsidRDefault="00B73A37" w14:paraId="2616FCE2" w14:textId="77777777">
            <w:pPr>
              <w:tabs>
                <w:tab w:val="left" w:pos="-720"/>
              </w:tabs>
              <w:suppressAutoHyphens/>
              <w:rPr>
                <w:b/>
              </w:rPr>
            </w:pPr>
            <w:r>
              <w:rPr>
                <w:b/>
              </w:rPr>
              <w:t>Program Change Due to Agency Discretion</w:t>
            </w:r>
          </w:p>
        </w:tc>
        <w:tc>
          <w:tcPr>
            <w:tcW w:w="2520" w:type="dxa"/>
          </w:tcPr>
          <w:p w:rsidR="00B73A37" w:rsidP="009B2433" w:rsidRDefault="00B73A37" w14:paraId="5AF026B8" w14:textId="77777777">
            <w:pPr>
              <w:tabs>
                <w:tab w:val="left" w:pos="-720"/>
              </w:tabs>
              <w:suppressAutoHyphens/>
              <w:rPr>
                <w:b/>
              </w:rPr>
            </w:pPr>
            <w:r>
              <w:rPr>
                <w:b/>
              </w:rPr>
              <w:t>Change Due to Adjustment in Agency Estimate</w:t>
            </w:r>
          </w:p>
        </w:tc>
      </w:tr>
      <w:tr w:rsidR="00B73A37" w:rsidTr="009B2433" w14:paraId="1B15BE8C" w14:textId="77777777">
        <w:tc>
          <w:tcPr>
            <w:tcW w:w="2048" w:type="dxa"/>
          </w:tcPr>
          <w:p w:rsidR="00B73A37" w:rsidP="009B2433" w:rsidRDefault="00B73A37" w14:paraId="052C80BE" w14:textId="77777777">
            <w:pPr>
              <w:tabs>
                <w:tab w:val="left" w:pos="-720"/>
              </w:tabs>
              <w:suppressAutoHyphens/>
              <w:rPr>
                <w:b/>
              </w:rPr>
            </w:pPr>
            <w:r>
              <w:rPr>
                <w:b/>
              </w:rPr>
              <w:t>Total Burden</w:t>
            </w:r>
          </w:p>
        </w:tc>
        <w:tc>
          <w:tcPr>
            <w:tcW w:w="2048" w:type="dxa"/>
          </w:tcPr>
          <w:p w:rsidR="00B73A37" w:rsidP="009B2433" w:rsidRDefault="008E3B9B" w14:paraId="1753A83B" w14:textId="14349183">
            <w:pPr>
              <w:tabs>
                <w:tab w:val="left" w:pos="-720"/>
              </w:tabs>
              <w:suppressAutoHyphens/>
              <w:rPr>
                <w:b/>
              </w:rPr>
            </w:pPr>
            <w:r>
              <w:rPr>
                <w:b/>
              </w:rPr>
              <w:t>78</w:t>
            </w:r>
          </w:p>
        </w:tc>
        <w:tc>
          <w:tcPr>
            <w:tcW w:w="2829" w:type="dxa"/>
          </w:tcPr>
          <w:p w:rsidR="00B73A37" w:rsidP="009B2433" w:rsidRDefault="00B73A37" w14:paraId="7F69A38A" w14:textId="77777777">
            <w:pPr>
              <w:tabs>
                <w:tab w:val="left" w:pos="-720"/>
              </w:tabs>
              <w:suppressAutoHyphens/>
              <w:rPr>
                <w:b/>
              </w:rPr>
            </w:pPr>
          </w:p>
        </w:tc>
        <w:tc>
          <w:tcPr>
            <w:tcW w:w="2520" w:type="dxa"/>
          </w:tcPr>
          <w:p w:rsidR="00B73A37" w:rsidP="009B2433" w:rsidRDefault="00B73A37" w14:paraId="12B3E99C" w14:textId="77777777">
            <w:pPr>
              <w:tabs>
                <w:tab w:val="left" w:pos="-720"/>
              </w:tabs>
              <w:suppressAutoHyphens/>
              <w:rPr>
                <w:b/>
              </w:rPr>
            </w:pPr>
          </w:p>
        </w:tc>
      </w:tr>
      <w:tr w:rsidR="00B73A37" w:rsidTr="009B2433" w14:paraId="3F071673" w14:textId="77777777">
        <w:tc>
          <w:tcPr>
            <w:tcW w:w="2048" w:type="dxa"/>
          </w:tcPr>
          <w:p w:rsidR="00B73A37" w:rsidP="009B2433" w:rsidRDefault="00B73A37" w14:paraId="2C3BAF2B" w14:textId="77777777">
            <w:pPr>
              <w:tabs>
                <w:tab w:val="left" w:pos="-720"/>
              </w:tabs>
              <w:suppressAutoHyphens/>
              <w:rPr>
                <w:b/>
              </w:rPr>
            </w:pPr>
            <w:r>
              <w:rPr>
                <w:b/>
              </w:rPr>
              <w:t>Total Responses</w:t>
            </w:r>
          </w:p>
        </w:tc>
        <w:tc>
          <w:tcPr>
            <w:tcW w:w="2048" w:type="dxa"/>
          </w:tcPr>
          <w:p w:rsidR="00B73A37" w:rsidP="009B2433" w:rsidRDefault="001811D3" w14:paraId="08BBC1D7" w14:textId="05A6EE2F">
            <w:pPr>
              <w:tabs>
                <w:tab w:val="left" w:pos="-720"/>
              </w:tabs>
              <w:suppressAutoHyphens/>
              <w:rPr>
                <w:b/>
              </w:rPr>
            </w:pPr>
            <w:r>
              <w:rPr>
                <w:b/>
              </w:rPr>
              <w:t>0</w:t>
            </w:r>
          </w:p>
        </w:tc>
        <w:tc>
          <w:tcPr>
            <w:tcW w:w="2829" w:type="dxa"/>
          </w:tcPr>
          <w:p w:rsidR="00B73A37" w:rsidP="009B2433" w:rsidRDefault="00B73A37" w14:paraId="260817F2" w14:textId="77777777">
            <w:pPr>
              <w:tabs>
                <w:tab w:val="left" w:pos="-720"/>
              </w:tabs>
              <w:suppressAutoHyphens/>
              <w:rPr>
                <w:b/>
              </w:rPr>
            </w:pPr>
          </w:p>
        </w:tc>
        <w:tc>
          <w:tcPr>
            <w:tcW w:w="2520" w:type="dxa"/>
          </w:tcPr>
          <w:p w:rsidR="00B73A37" w:rsidP="009B2433" w:rsidRDefault="00B73A37" w14:paraId="1F8B534B" w14:textId="77777777">
            <w:pPr>
              <w:tabs>
                <w:tab w:val="left" w:pos="-720"/>
              </w:tabs>
              <w:suppressAutoHyphens/>
              <w:rPr>
                <w:b/>
              </w:rPr>
            </w:pPr>
          </w:p>
        </w:tc>
      </w:tr>
      <w:tr w:rsidR="00B73A37" w:rsidTr="009B2433" w14:paraId="364C55DE" w14:textId="77777777">
        <w:tc>
          <w:tcPr>
            <w:tcW w:w="2048" w:type="dxa"/>
          </w:tcPr>
          <w:p w:rsidR="00B73A37" w:rsidP="009B2433" w:rsidRDefault="00B73A37" w14:paraId="0DF50815" w14:textId="77777777">
            <w:pPr>
              <w:tabs>
                <w:tab w:val="left" w:pos="-720"/>
              </w:tabs>
              <w:suppressAutoHyphens/>
              <w:rPr>
                <w:b/>
              </w:rPr>
            </w:pPr>
            <w:r>
              <w:rPr>
                <w:b/>
              </w:rPr>
              <w:t>Total Costs (if applicable)</w:t>
            </w:r>
          </w:p>
        </w:tc>
        <w:tc>
          <w:tcPr>
            <w:tcW w:w="2048" w:type="dxa"/>
          </w:tcPr>
          <w:p w:rsidR="00B73A37" w:rsidP="009B2433" w:rsidRDefault="00281142" w14:paraId="0C43B9FD" w14:textId="2EB10EA3">
            <w:pPr>
              <w:tabs>
                <w:tab w:val="left" w:pos="-720"/>
              </w:tabs>
              <w:suppressAutoHyphens/>
              <w:rPr>
                <w:b/>
              </w:rPr>
            </w:pPr>
            <w:r>
              <w:rPr>
                <w:b/>
              </w:rPr>
              <w:t>$20,</w:t>
            </w:r>
            <w:r w:rsidR="00F854FB">
              <w:rPr>
                <w:b/>
              </w:rPr>
              <w:t>200</w:t>
            </w:r>
          </w:p>
        </w:tc>
        <w:tc>
          <w:tcPr>
            <w:tcW w:w="2829" w:type="dxa"/>
          </w:tcPr>
          <w:p w:rsidR="00B73A37" w:rsidP="009B2433" w:rsidRDefault="00B73A37" w14:paraId="1D42E6C5" w14:textId="77777777">
            <w:pPr>
              <w:tabs>
                <w:tab w:val="left" w:pos="-720"/>
              </w:tabs>
              <w:suppressAutoHyphens/>
              <w:rPr>
                <w:b/>
              </w:rPr>
            </w:pPr>
          </w:p>
        </w:tc>
        <w:tc>
          <w:tcPr>
            <w:tcW w:w="2520" w:type="dxa"/>
          </w:tcPr>
          <w:p w:rsidR="00B73A37" w:rsidP="009B2433" w:rsidRDefault="00B73A37" w14:paraId="2A9BCE76" w14:textId="77777777">
            <w:pPr>
              <w:tabs>
                <w:tab w:val="left" w:pos="-720"/>
              </w:tabs>
              <w:suppressAutoHyphens/>
              <w:rPr>
                <w:b/>
              </w:rPr>
            </w:pPr>
          </w:p>
        </w:tc>
      </w:tr>
    </w:tbl>
    <w:p w:rsidR="001E5CCD" w:rsidP="00F84836" w:rsidRDefault="001E5CCD" w14:paraId="1DB30B65" w14:textId="1D84E055">
      <w:pPr>
        <w:ind w:left="720"/>
      </w:pPr>
    </w:p>
    <w:p w:rsidR="00B73A37" w:rsidP="00F84836" w:rsidRDefault="00B73A37" w14:paraId="0D9ED321" w14:textId="77777777">
      <w:pPr>
        <w:ind w:left="720"/>
      </w:pPr>
    </w:p>
    <w:p w:rsidR="00B83FB3" w:rsidP="00F84836" w:rsidRDefault="00386054" w14:paraId="551EFB24" w14:textId="5F84E0C0">
      <w:pPr>
        <w:pStyle w:val="ListParagraph"/>
        <w:numPr>
          <w:ilvl w:val="0"/>
          <w:numId w:val="28"/>
        </w:numPr>
        <w:rPr>
          <w:rStyle w:val="a"/>
        </w:rPr>
      </w:pPr>
      <w:r w:rsidRPr="00F84836">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Pr="00234459" w:rsidR="00D16B30" w:rsidP="00D16B30" w:rsidRDefault="00D16B30" w14:paraId="51A1F532" w14:textId="13BA7C72">
      <w:pPr>
        <w:ind w:left="720"/>
        <w:rPr>
          <w:rStyle w:val="a"/>
        </w:rPr>
      </w:pPr>
      <w:r w:rsidRPr="00D16B30">
        <w:t>The results of this information collection will not be published.</w:t>
      </w:r>
    </w:p>
    <w:p w:rsidR="00B83FB3" w:rsidP="00432256" w:rsidRDefault="00386054" w14:paraId="551EFB26" w14:textId="49EAC06F">
      <w:pPr>
        <w:pStyle w:val="ListParagraph"/>
        <w:numPr>
          <w:ilvl w:val="0"/>
          <w:numId w:val="28"/>
        </w:numPr>
        <w:rPr>
          <w:rStyle w:val="a"/>
        </w:rPr>
      </w:pPr>
      <w:r w:rsidRPr="009331B3">
        <w:rPr>
          <w:rStyle w:val="a"/>
          <w:b/>
        </w:rPr>
        <w:t xml:space="preserve">If seeking approval to not display the expiration date for OMB approval of </w:t>
      </w:r>
      <w:proofErr w:type="gramStart"/>
      <w:r w:rsidRPr="009331B3">
        <w:rPr>
          <w:rStyle w:val="a"/>
          <w:b/>
        </w:rPr>
        <w:t xml:space="preserve">the </w:t>
      </w:r>
      <w:r w:rsidR="00E314D0">
        <w:rPr>
          <w:rStyle w:val="a"/>
          <w:b/>
        </w:rPr>
        <w:t xml:space="preserve"> </w:t>
      </w:r>
      <w:r w:rsidRPr="009331B3">
        <w:rPr>
          <w:rStyle w:val="a"/>
          <w:b/>
        </w:rPr>
        <w:t>information</w:t>
      </w:r>
      <w:proofErr w:type="gramEnd"/>
      <w:r w:rsidRPr="009331B3">
        <w:rPr>
          <w:rStyle w:val="a"/>
          <w:b/>
        </w:rPr>
        <w:t xml:space="preserve"> collection, explain the reasons that display would be inappropriate</w:t>
      </w:r>
      <w:r w:rsidRPr="00322E02">
        <w:rPr>
          <w:rStyle w:val="a"/>
        </w:rPr>
        <w:t>.</w:t>
      </w:r>
    </w:p>
    <w:p w:rsidR="009F5F47" w:rsidP="00432256" w:rsidRDefault="009331B3" w14:paraId="551EFB27" w14:textId="77777777">
      <w:pPr>
        <w:ind w:left="720"/>
        <w:rPr>
          <w:rStyle w:val="a"/>
        </w:rPr>
      </w:pPr>
      <w:r>
        <w:rPr>
          <w:rStyle w:val="a"/>
        </w:rPr>
        <w:t>We are not seeking this approval.</w:t>
      </w:r>
    </w:p>
    <w:p w:rsidR="00386054" w:rsidP="00432256" w:rsidRDefault="00386054" w14:paraId="551EFB28" w14:textId="77777777">
      <w:pPr>
        <w:pStyle w:val="ListParagraph"/>
        <w:numPr>
          <w:ilvl w:val="0"/>
          <w:numId w:val="28"/>
        </w:numPr>
        <w:rPr>
          <w:rStyle w:val="a"/>
          <w:b/>
        </w:rPr>
      </w:pPr>
      <w:r w:rsidRPr="000E2D4B">
        <w:rPr>
          <w:rStyle w:val="a"/>
          <w:b/>
        </w:rPr>
        <w:lastRenderedPageBreak/>
        <w:t>Explain each exception to the certification statement identified in the Certification of Paperwork Reduction Act.</w:t>
      </w:r>
    </w:p>
    <w:p w:rsidR="00567824" w:rsidP="00432256" w:rsidRDefault="00DA46CF" w14:paraId="551EFB29" w14:textId="6DBF4C10">
      <w:pPr>
        <w:pStyle w:val="ListParagraph"/>
        <w:rPr>
          <w:rStyle w:val="a"/>
        </w:rPr>
      </w:pPr>
      <w:r>
        <w:rPr>
          <w:rStyle w:val="a"/>
        </w:rPr>
        <w:t xml:space="preserve">There are no exceptions to the certification statement identified in the Certification of Paperwork Reduction Act. </w:t>
      </w:r>
    </w:p>
    <w:p w:rsidR="007753DB" w:rsidP="00432256" w:rsidRDefault="007753DB" w14:paraId="5ED5FE57" w14:textId="528B4B9C">
      <w:pPr>
        <w:pStyle w:val="ListParagraph"/>
        <w:rPr>
          <w:rStyle w:val="a"/>
        </w:rPr>
      </w:pPr>
    </w:p>
    <w:p w:rsidRPr="00567824" w:rsidR="007753DB" w:rsidP="00432256" w:rsidRDefault="007753DB" w14:paraId="44E0911D" w14:textId="7F5B570E">
      <w:pPr>
        <w:pStyle w:val="ListParagraph"/>
      </w:pPr>
    </w:p>
    <w:sectPr w:rsidRPr="00567824" w:rsidR="007753DB"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9E18E" w14:textId="77777777" w:rsidR="00CC116D" w:rsidRDefault="00CC116D">
      <w:pPr>
        <w:spacing w:line="20" w:lineRule="exact"/>
      </w:pPr>
    </w:p>
  </w:endnote>
  <w:endnote w:type="continuationSeparator" w:id="0">
    <w:p w14:paraId="0CA045B4" w14:textId="77777777" w:rsidR="00CC116D" w:rsidRDefault="00CC116D">
      <w:r>
        <w:t xml:space="preserve"> </w:t>
      </w:r>
    </w:p>
  </w:endnote>
  <w:endnote w:type="continuationNotice" w:id="1">
    <w:p w14:paraId="11EFB5F5" w14:textId="77777777" w:rsidR="00CC116D" w:rsidRDefault="00CC116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30"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551EFB31" wp14:editId="551EFB3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51EFB31"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51EFB35" w14:textId="77777777" w:rsidR="006A0E21" w:rsidRDefault="006A0E21" w:rsidP="00431228">
                    <w:pPr>
                      <w:tabs>
                        <w:tab w:val="center" w:pos="4650"/>
                      </w:tabs>
                      <w:suppressAutoHyphens/>
                      <w:jc w:val="center"/>
                    </w:pPr>
                    <w:r>
                      <w:fldChar w:fldCharType="begin"/>
                    </w:r>
                    <w:r>
                      <w:instrText>page \* arabic</w:instrText>
                    </w:r>
                    <w:r>
                      <w:fldChar w:fldCharType="separate"/>
                    </w:r>
                    <w:r w:rsidR="00D3459D">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895AF" w14:textId="77777777" w:rsidR="00CC116D" w:rsidRDefault="00CC116D">
      <w:r>
        <w:separator/>
      </w:r>
    </w:p>
  </w:footnote>
  <w:footnote w:type="continuationSeparator" w:id="0">
    <w:p w14:paraId="67C836B3" w14:textId="77777777" w:rsidR="00CC116D" w:rsidRDefault="00CC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EFB2F" w14:textId="77777777" w:rsidR="006A0E21" w:rsidRPr="00F71727" w:rsidRDefault="006A0E21" w:rsidP="00F7172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2337C"/>
    <w:rsid w:val="000243E5"/>
    <w:rsid w:val="000340DC"/>
    <w:rsid w:val="00050CBE"/>
    <w:rsid w:val="00051378"/>
    <w:rsid w:val="00062BEF"/>
    <w:rsid w:val="00064A19"/>
    <w:rsid w:val="00064BFC"/>
    <w:rsid w:val="000723E3"/>
    <w:rsid w:val="00082AA6"/>
    <w:rsid w:val="000909E0"/>
    <w:rsid w:val="000929BC"/>
    <w:rsid w:val="000A2965"/>
    <w:rsid w:val="000B14D8"/>
    <w:rsid w:val="000C4863"/>
    <w:rsid w:val="000D0D8F"/>
    <w:rsid w:val="000D2F6A"/>
    <w:rsid w:val="000E2D4B"/>
    <w:rsid w:val="000E592D"/>
    <w:rsid w:val="000F175B"/>
    <w:rsid w:val="00103D2B"/>
    <w:rsid w:val="00120C6D"/>
    <w:rsid w:val="00142579"/>
    <w:rsid w:val="00144834"/>
    <w:rsid w:val="0014500F"/>
    <w:rsid w:val="00153F20"/>
    <w:rsid w:val="00162D6E"/>
    <w:rsid w:val="00163B1F"/>
    <w:rsid w:val="0016518E"/>
    <w:rsid w:val="001743A5"/>
    <w:rsid w:val="001811D3"/>
    <w:rsid w:val="0018279C"/>
    <w:rsid w:val="00193EC6"/>
    <w:rsid w:val="001C53D4"/>
    <w:rsid w:val="001C5D8A"/>
    <w:rsid w:val="001D3C26"/>
    <w:rsid w:val="001E5CCD"/>
    <w:rsid w:val="001E6A39"/>
    <w:rsid w:val="001F52EB"/>
    <w:rsid w:val="00211CF9"/>
    <w:rsid w:val="00213A2C"/>
    <w:rsid w:val="00234459"/>
    <w:rsid w:val="00234480"/>
    <w:rsid w:val="00234A3C"/>
    <w:rsid w:val="002446B3"/>
    <w:rsid w:val="002473CE"/>
    <w:rsid w:val="00280945"/>
    <w:rsid w:val="00281142"/>
    <w:rsid w:val="00282500"/>
    <w:rsid w:val="00297AB8"/>
    <w:rsid w:val="002B0412"/>
    <w:rsid w:val="002B0A95"/>
    <w:rsid w:val="002B2921"/>
    <w:rsid w:val="002C10D1"/>
    <w:rsid w:val="002C1F75"/>
    <w:rsid w:val="002E3C3C"/>
    <w:rsid w:val="002E5597"/>
    <w:rsid w:val="002F2F4A"/>
    <w:rsid w:val="003001B8"/>
    <w:rsid w:val="00312A2C"/>
    <w:rsid w:val="00322E02"/>
    <w:rsid w:val="00324D28"/>
    <w:rsid w:val="003344AD"/>
    <w:rsid w:val="00341998"/>
    <w:rsid w:val="0035561A"/>
    <w:rsid w:val="00361FC6"/>
    <w:rsid w:val="003702B1"/>
    <w:rsid w:val="0037056C"/>
    <w:rsid w:val="00386054"/>
    <w:rsid w:val="003A48AA"/>
    <w:rsid w:val="003B220B"/>
    <w:rsid w:val="003C29C2"/>
    <w:rsid w:val="003C7F70"/>
    <w:rsid w:val="003E0E92"/>
    <w:rsid w:val="003E21E1"/>
    <w:rsid w:val="003E285A"/>
    <w:rsid w:val="003E3B9E"/>
    <w:rsid w:val="003E4FC7"/>
    <w:rsid w:val="003E539A"/>
    <w:rsid w:val="003E618B"/>
    <w:rsid w:val="003F5E80"/>
    <w:rsid w:val="004022CA"/>
    <w:rsid w:val="00402A15"/>
    <w:rsid w:val="0040705D"/>
    <w:rsid w:val="004206FC"/>
    <w:rsid w:val="00431228"/>
    <w:rsid w:val="00432256"/>
    <w:rsid w:val="00441A39"/>
    <w:rsid w:val="004529D8"/>
    <w:rsid w:val="004A2DBB"/>
    <w:rsid w:val="004B19CF"/>
    <w:rsid w:val="004B66A8"/>
    <w:rsid w:val="004B6A6F"/>
    <w:rsid w:val="004D05A6"/>
    <w:rsid w:val="004D6005"/>
    <w:rsid w:val="004E23D9"/>
    <w:rsid w:val="004F21F5"/>
    <w:rsid w:val="004F692A"/>
    <w:rsid w:val="0050686A"/>
    <w:rsid w:val="00512598"/>
    <w:rsid w:val="00520E0A"/>
    <w:rsid w:val="005275D6"/>
    <w:rsid w:val="0053551D"/>
    <w:rsid w:val="00550768"/>
    <w:rsid w:val="005513C7"/>
    <w:rsid w:val="00563CCF"/>
    <w:rsid w:val="00567824"/>
    <w:rsid w:val="005749DE"/>
    <w:rsid w:val="005768B8"/>
    <w:rsid w:val="0058394E"/>
    <w:rsid w:val="00587E4F"/>
    <w:rsid w:val="00590801"/>
    <w:rsid w:val="005A1566"/>
    <w:rsid w:val="005A1DFC"/>
    <w:rsid w:val="005A4185"/>
    <w:rsid w:val="005A6B2A"/>
    <w:rsid w:val="005A6D09"/>
    <w:rsid w:val="005B3DFD"/>
    <w:rsid w:val="005C1581"/>
    <w:rsid w:val="005C16AF"/>
    <w:rsid w:val="005D07EB"/>
    <w:rsid w:val="005D2E7B"/>
    <w:rsid w:val="00617A98"/>
    <w:rsid w:val="006300EB"/>
    <w:rsid w:val="0063484C"/>
    <w:rsid w:val="00643B70"/>
    <w:rsid w:val="00654305"/>
    <w:rsid w:val="006678A4"/>
    <w:rsid w:val="006706E9"/>
    <w:rsid w:val="00670EE3"/>
    <w:rsid w:val="006737C0"/>
    <w:rsid w:val="00677BC2"/>
    <w:rsid w:val="00687030"/>
    <w:rsid w:val="00694667"/>
    <w:rsid w:val="006A0E21"/>
    <w:rsid w:val="006A3B5C"/>
    <w:rsid w:val="006A7A52"/>
    <w:rsid w:val="006C01BB"/>
    <w:rsid w:val="006C01D0"/>
    <w:rsid w:val="006C5FA2"/>
    <w:rsid w:val="006D14A7"/>
    <w:rsid w:val="006F60A4"/>
    <w:rsid w:val="006F7006"/>
    <w:rsid w:val="006F78F0"/>
    <w:rsid w:val="006F7D2A"/>
    <w:rsid w:val="007034D3"/>
    <w:rsid w:val="00725A81"/>
    <w:rsid w:val="00730AD7"/>
    <w:rsid w:val="00753FF0"/>
    <w:rsid w:val="007661D9"/>
    <w:rsid w:val="00770810"/>
    <w:rsid w:val="007753DB"/>
    <w:rsid w:val="00787B58"/>
    <w:rsid w:val="00795E0B"/>
    <w:rsid w:val="007B14E8"/>
    <w:rsid w:val="007C12B5"/>
    <w:rsid w:val="007C7F32"/>
    <w:rsid w:val="007D76B6"/>
    <w:rsid w:val="007E445C"/>
    <w:rsid w:val="007E4717"/>
    <w:rsid w:val="007E77FA"/>
    <w:rsid w:val="007F393F"/>
    <w:rsid w:val="007F3F39"/>
    <w:rsid w:val="008011B6"/>
    <w:rsid w:val="00805C85"/>
    <w:rsid w:val="00867BB4"/>
    <w:rsid w:val="00872D56"/>
    <w:rsid w:val="0087796F"/>
    <w:rsid w:val="00882B27"/>
    <w:rsid w:val="00886EBD"/>
    <w:rsid w:val="00887242"/>
    <w:rsid w:val="008B3000"/>
    <w:rsid w:val="008D41C6"/>
    <w:rsid w:val="008E3AF8"/>
    <w:rsid w:val="008E3B9B"/>
    <w:rsid w:val="008E430B"/>
    <w:rsid w:val="008F3062"/>
    <w:rsid w:val="008F601F"/>
    <w:rsid w:val="00921CB1"/>
    <w:rsid w:val="009331B3"/>
    <w:rsid w:val="00944AA9"/>
    <w:rsid w:val="009544A3"/>
    <w:rsid w:val="0095752C"/>
    <w:rsid w:val="00960548"/>
    <w:rsid w:val="009628C1"/>
    <w:rsid w:val="00962D82"/>
    <w:rsid w:val="009634C0"/>
    <w:rsid w:val="009756EB"/>
    <w:rsid w:val="0098339F"/>
    <w:rsid w:val="00994136"/>
    <w:rsid w:val="009949A8"/>
    <w:rsid w:val="009F0768"/>
    <w:rsid w:val="009F5F47"/>
    <w:rsid w:val="00A01331"/>
    <w:rsid w:val="00A066DA"/>
    <w:rsid w:val="00A0797D"/>
    <w:rsid w:val="00A11F20"/>
    <w:rsid w:val="00A2186D"/>
    <w:rsid w:val="00A41F2C"/>
    <w:rsid w:val="00A61D94"/>
    <w:rsid w:val="00A84396"/>
    <w:rsid w:val="00A86335"/>
    <w:rsid w:val="00A87940"/>
    <w:rsid w:val="00A94CCB"/>
    <w:rsid w:val="00AB0D7D"/>
    <w:rsid w:val="00AB5519"/>
    <w:rsid w:val="00AC222D"/>
    <w:rsid w:val="00AC3646"/>
    <w:rsid w:val="00B03732"/>
    <w:rsid w:val="00B23EC0"/>
    <w:rsid w:val="00B3331D"/>
    <w:rsid w:val="00B54B8B"/>
    <w:rsid w:val="00B578F4"/>
    <w:rsid w:val="00B64288"/>
    <w:rsid w:val="00B73A37"/>
    <w:rsid w:val="00B83FB3"/>
    <w:rsid w:val="00BA13A2"/>
    <w:rsid w:val="00BB0B79"/>
    <w:rsid w:val="00BC244F"/>
    <w:rsid w:val="00BD1325"/>
    <w:rsid w:val="00C12BD1"/>
    <w:rsid w:val="00C36A00"/>
    <w:rsid w:val="00C4478A"/>
    <w:rsid w:val="00C4600F"/>
    <w:rsid w:val="00C47A80"/>
    <w:rsid w:val="00C641E9"/>
    <w:rsid w:val="00C6471B"/>
    <w:rsid w:val="00C71525"/>
    <w:rsid w:val="00C723C2"/>
    <w:rsid w:val="00C74D95"/>
    <w:rsid w:val="00C9556E"/>
    <w:rsid w:val="00CA38BB"/>
    <w:rsid w:val="00CA38F1"/>
    <w:rsid w:val="00CA47FD"/>
    <w:rsid w:val="00CA51FD"/>
    <w:rsid w:val="00CC116D"/>
    <w:rsid w:val="00CD2D38"/>
    <w:rsid w:val="00CE2515"/>
    <w:rsid w:val="00CE29AC"/>
    <w:rsid w:val="00CE72AF"/>
    <w:rsid w:val="00CF0041"/>
    <w:rsid w:val="00CF0860"/>
    <w:rsid w:val="00CF353A"/>
    <w:rsid w:val="00CF4BE3"/>
    <w:rsid w:val="00CF7053"/>
    <w:rsid w:val="00CF7773"/>
    <w:rsid w:val="00D004BE"/>
    <w:rsid w:val="00D011E9"/>
    <w:rsid w:val="00D115BF"/>
    <w:rsid w:val="00D13CFA"/>
    <w:rsid w:val="00D16B30"/>
    <w:rsid w:val="00D23925"/>
    <w:rsid w:val="00D269C3"/>
    <w:rsid w:val="00D330C4"/>
    <w:rsid w:val="00D3459D"/>
    <w:rsid w:val="00D4437E"/>
    <w:rsid w:val="00DA46CF"/>
    <w:rsid w:val="00DD1A99"/>
    <w:rsid w:val="00DE224B"/>
    <w:rsid w:val="00DF110C"/>
    <w:rsid w:val="00DF2E2E"/>
    <w:rsid w:val="00E0199C"/>
    <w:rsid w:val="00E023B7"/>
    <w:rsid w:val="00E053AE"/>
    <w:rsid w:val="00E07290"/>
    <w:rsid w:val="00E247AC"/>
    <w:rsid w:val="00E2721C"/>
    <w:rsid w:val="00E314D0"/>
    <w:rsid w:val="00E34ECA"/>
    <w:rsid w:val="00E44319"/>
    <w:rsid w:val="00E4449A"/>
    <w:rsid w:val="00E52F91"/>
    <w:rsid w:val="00E55674"/>
    <w:rsid w:val="00E56F86"/>
    <w:rsid w:val="00E61ADA"/>
    <w:rsid w:val="00E732B0"/>
    <w:rsid w:val="00E75025"/>
    <w:rsid w:val="00E9209F"/>
    <w:rsid w:val="00EA3C1F"/>
    <w:rsid w:val="00EC2CC4"/>
    <w:rsid w:val="00EC5977"/>
    <w:rsid w:val="00EF7FF5"/>
    <w:rsid w:val="00F113A5"/>
    <w:rsid w:val="00F125DF"/>
    <w:rsid w:val="00F1668C"/>
    <w:rsid w:val="00F313DF"/>
    <w:rsid w:val="00F345C4"/>
    <w:rsid w:val="00F36CEC"/>
    <w:rsid w:val="00F55170"/>
    <w:rsid w:val="00F651D1"/>
    <w:rsid w:val="00F67F2F"/>
    <w:rsid w:val="00F71727"/>
    <w:rsid w:val="00F84836"/>
    <w:rsid w:val="00F85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51EFA3F"/>
  <w15:docId w15:val="{5CD42C20-A5F5-47D3-BB85-EDCE5EA1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semiHidden/>
    <w:rsid w:val="00E07290"/>
    <w:pPr>
      <w:tabs>
        <w:tab w:val="left" w:pos="-720"/>
      </w:tabs>
      <w:suppressAutoHyphens/>
    </w:pPr>
  </w:style>
  <w:style w:type="character" w:customStyle="1" w:styleId="FootnoteTextChar">
    <w:name w:val="Footnote Text Char"/>
    <w:aliases w:val="F1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character" w:styleId="FollowedHyperlink">
    <w:name w:val="FollowedHyperlink"/>
    <w:basedOn w:val="DefaultParagraphFont"/>
    <w:uiPriority w:val="99"/>
    <w:semiHidden/>
    <w:unhideWhenUsed/>
    <w:rsid w:val="00962D82"/>
    <w:rPr>
      <w:color w:val="800080" w:themeColor="followedHyperlink"/>
      <w:u w:val="single"/>
    </w:rPr>
  </w:style>
  <w:style w:type="character" w:customStyle="1" w:styleId="normaltextrun1">
    <w:name w:val="normaltextrun1"/>
    <w:rsid w:val="007D76B6"/>
  </w:style>
  <w:style w:type="character" w:customStyle="1" w:styleId="eop">
    <w:name w:val="eop"/>
    <w:rsid w:val="007D76B6"/>
  </w:style>
  <w:style w:type="table" w:styleId="TableGridLight">
    <w:name w:val="Grid Table Light"/>
    <w:basedOn w:val="TableNormal"/>
    <w:uiPriority w:val="40"/>
    <w:rsid w:val="00CA51F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35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8" ma:contentTypeDescription="Create a new document." ma:contentTypeScope="" ma:versionID="f9cc178ca83a1dff51742d984773b18f">
  <xsd:schema xmlns:xsd="http://www.w3.org/2001/XMLSchema" xmlns:xs="http://www.w3.org/2001/XMLSchema" xmlns:p="http://schemas.microsoft.com/office/2006/metadata/properties" xmlns:ns3="b534e84d-31bc-4581-84de-2eeea5b49994" targetNamespace="http://schemas.microsoft.com/office/2006/metadata/properties" ma:root="true" ma:fieldsID="0387d5c1309015d1ff541eaa673a2010" ns3:_="">
    <xsd:import namespace="b534e84d-31bc-4581-84de-2eeea5b499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8B51F-051D-4F8D-A8D5-D62812C08906}">
  <ds:schemaRefs>
    <ds:schemaRef ds:uri="http://schemas.microsoft.com/sharepoint/v3/contenttype/forms"/>
  </ds:schemaRefs>
</ds:datastoreItem>
</file>

<file path=customXml/itemProps2.xml><?xml version="1.0" encoding="utf-8"?>
<ds:datastoreItem xmlns:ds="http://schemas.openxmlformats.org/officeDocument/2006/customXml" ds:itemID="{A6008B80-06AF-4724-8F01-65D223E71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E1D441-00BD-4F48-82CB-BFD9A49FBF37}">
  <ds:schemaRefs>
    <ds:schemaRef ds:uri="http://schemas.openxmlformats.org/officeDocument/2006/bibliography"/>
  </ds:schemaRefs>
</ds:datastoreItem>
</file>

<file path=customXml/itemProps4.xml><?xml version="1.0" encoding="utf-8"?>
<ds:datastoreItem xmlns:ds="http://schemas.openxmlformats.org/officeDocument/2006/customXml" ds:itemID="{D9035886-36E4-4918-842B-EEB1AE22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3432</Words>
  <Characters>19059</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2016-06-09T17:54:00Z</cp:lastPrinted>
  <dcterms:created xsi:type="dcterms:W3CDTF">2021-07-08T15:11:00Z</dcterms:created>
  <dcterms:modified xsi:type="dcterms:W3CDTF">2021-07-08T15:11:00Z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