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4C9C754E" w14:textId="4DC988BA">
      <w:pPr>
        <w:pStyle w:val="Header"/>
        <w:rPr>
          <w:rFonts w:ascii="Times New Roman" w:hAnsi="Times New Roman"/>
          <w:szCs w:val="24"/>
        </w:rPr>
      </w:pPr>
      <w:r w:rsidRPr="00C875E8">
        <w:rPr>
          <w:rFonts w:ascii="Times New Roman" w:hAnsi="Times New Roman"/>
          <w:szCs w:val="24"/>
        </w:rPr>
        <w:t xml:space="preserve">Tracking and OMB Number: </w:t>
      </w:r>
      <w:r w:rsidRPr="00240ABA" w:rsidR="00240ABA">
        <w:rPr>
          <w:rFonts w:ascii="Times New Roman" w:hAnsi="Times New Roman"/>
          <w:szCs w:val="24"/>
        </w:rPr>
        <w:t>1810-NEW</w:t>
      </w:r>
    </w:p>
    <w:p w:rsidRPr="00AD381B" w:rsidR="0022543B" w:rsidP="00AD381B" w:rsidRDefault="0022543B" w14:paraId="478F32A5" w14:textId="77777777">
      <w:pPr>
        <w:pStyle w:val="Header"/>
        <w:rPr>
          <w:rFonts w:ascii="Times New Roman" w:hAnsi="Times New Roman"/>
          <w:color w:val="FFFFFF" w:themeColor="background1"/>
          <w:szCs w:val="24"/>
        </w:rPr>
      </w:pPr>
    </w:p>
    <w:p w:rsidRPr="00AD381B" w:rsidR="00043C32" w:rsidP="00AD381B" w:rsidRDefault="00043C32" w14:paraId="4C9C7550" w14:textId="77777777">
      <w:pPr>
        <w:pStyle w:val="Heading1"/>
        <w:rPr>
          <w:sz w:val="24"/>
          <w:szCs w:val="24"/>
        </w:rPr>
      </w:pPr>
      <w:r w:rsidRPr="00AD381B">
        <w:rPr>
          <w:sz w:val="24"/>
          <w:szCs w:val="24"/>
        </w:rPr>
        <w:t>SUPPORTING STATEMENT</w:t>
      </w:r>
    </w:p>
    <w:p w:rsidRPr="00AD381B" w:rsidR="00043C32" w:rsidP="00AD381B" w:rsidRDefault="00043C32" w14:paraId="4C9C7551" w14:textId="77777777">
      <w:pPr>
        <w:pStyle w:val="Heading1"/>
        <w:rPr>
          <w:sz w:val="24"/>
          <w:szCs w:val="24"/>
        </w:rPr>
      </w:pPr>
      <w:r w:rsidRPr="00AD381B">
        <w:rPr>
          <w:sz w:val="24"/>
          <w:szCs w:val="24"/>
        </w:rPr>
        <w:t>FOR PAPERWORK REDUCTION ACT SUBMISSION</w:t>
      </w:r>
    </w:p>
    <w:p w:rsidRPr="00AD381B" w:rsidR="00043C32" w:rsidP="00AD381B" w:rsidRDefault="00043C32" w14:paraId="4C9C7552" w14:textId="77777777">
      <w:pPr>
        <w:tabs>
          <w:tab w:val="left" w:pos="0"/>
        </w:tabs>
        <w:suppressAutoHyphens/>
        <w:rPr>
          <w:rFonts w:ascii="Times New Roman" w:hAnsi="Times New Roman"/>
          <w:szCs w:val="24"/>
        </w:rPr>
      </w:pPr>
    </w:p>
    <w:p w:rsidRPr="00AD381B" w:rsidR="00EA1767" w:rsidP="00AD381B" w:rsidRDefault="00043C32" w14:paraId="4C9C7553"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40ABA" w:rsidRDefault="00AD381B" w14:paraId="4C9C7554" w14:textId="7E791E29">
      <w:pPr>
        <w:suppressAutoHyphens/>
        <w:spacing w:line="240" w:lineRule="exact"/>
        <w:rPr>
          <w:rFonts w:ascii="Times New Roman" w:hAnsi="Times New Roman"/>
          <w:szCs w:val="24"/>
        </w:rPr>
      </w:pPr>
    </w:p>
    <w:p w:rsidRPr="00B27E16" w:rsidR="00315E14" w:rsidP="00240ABA" w:rsidRDefault="006B3569" w14:paraId="2EFD0BAA" w14:textId="75387E59">
      <w:pPr>
        <w:suppressAutoHyphens/>
        <w:spacing w:line="240" w:lineRule="exact"/>
        <w:rPr>
          <w:rFonts w:ascii="Times New Roman" w:hAnsi="Times New Roman"/>
          <w:szCs w:val="24"/>
        </w:rPr>
      </w:pPr>
      <w:r w:rsidRPr="00B27E16">
        <w:rPr>
          <w:rFonts w:ascii="Times New Roman" w:hAnsi="Times New Roman"/>
          <w:szCs w:val="24"/>
        </w:rPr>
        <w:t xml:space="preserve">Due to the continued extraordinary circumstances created by the COVID-19 pandemic and unprecedented obstacles students, educators, and schools are facing during the 2020-2021 school year, the U.S. Department of Education (the Department) is offering each State educational agency (SEA) the opportunity to request waivers that will afford additional fiscal flexibility for certain funds received under the Elementary and Secondary Education Act of 1965 (ESEA), pursuant to the Department's authority under section 8401 of the ESEA. Specifically, the Department is offering a waiver for an SEA to be able to approve a local educational agency (LEA) to carry over more than 15 percent of its fiscal year (FY) 2020 Title I, Part A funds (i.e., the Title I, Part A funds that will become carryover funds on October 1, 2021), even if the LEA has received a waiver from its SEA to exceed this limitation for its FY 2018 or FY 2019 Title I, Part A funds. Second, we are offering flexibility to each SEA to be able to extend for itself and its subgrantees the period of availability of FY 2019 funds </w:t>
      </w:r>
      <w:r w:rsidRPr="00B27E16" w:rsidR="00FB6775">
        <w:rPr>
          <w:rFonts w:ascii="Times New Roman" w:hAnsi="Times New Roman"/>
          <w:szCs w:val="24"/>
        </w:rPr>
        <w:t xml:space="preserve">by one year </w:t>
      </w:r>
      <w:r w:rsidRPr="00B27E16">
        <w:rPr>
          <w:rFonts w:ascii="Times New Roman" w:hAnsi="Times New Roman"/>
          <w:szCs w:val="24"/>
        </w:rPr>
        <w:t>for programs included in the State’s consolidated State plan to allow additional time to obligate those funds.</w:t>
      </w:r>
    </w:p>
    <w:p w:rsidRPr="00B27E16" w:rsidR="006B3569" w:rsidP="00240ABA" w:rsidRDefault="006B3569" w14:paraId="03ADEF0F" w14:textId="77777777">
      <w:pPr>
        <w:suppressAutoHyphens/>
        <w:spacing w:line="240" w:lineRule="exact"/>
        <w:rPr>
          <w:rFonts w:ascii="Times New Roman" w:hAnsi="Times New Roman"/>
          <w:szCs w:val="24"/>
        </w:rPr>
      </w:pPr>
    </w:p>
    <w:p w:rsidRPr="00B27E16" w:rsidR="00240ABA" w:rsidP="00240ABA" w:rsidRDefault="00240ABA" w14:paraId="07870542" w14:textId="40F5823A">
      <w:pPr>
        <w:suppressAutoHyphens/>
        <w:spacing w:line="240" w:lineRule="exact"/>
        <w:rPr>
          <w:rFonts w:ascii="Times New Roman" w:hAnsi="Times New Roman"/>
          <w:szCs w:val="24"/>
        </w:rPr>
      </w:pPr>
      <w:r w:rsidRPr="00B27E16">
        <w:rPr>
          <w:rFonts w:ascii="Times New Roman" w:hAnsi="Times New Roman"/>
          <w:szCs w:val="24"/>
        </w:rPr>
        <w:t>The purpose for this new collection is collect these waiver requests</w:t>
      </w:r>
      <w:r w:rsidRPr="00B27E16" w:rsidR="000C6730">
        <w:rPr>
          <w:rFonts w:ascii="Times New Roman" w:hAnsi="Times New Roman"/>
          <w:szCs w:val="24"/>
        </w:rPr>
        <w:t xml:space="preserve"> using a streamlined process</w:t>
      </w:r>
      <w:r w:rsidRPr="00B27E16">
        <w:rPr>
          <w:rFonts w:ascii="Times New Roman" w:hAnsi="Times New Roman"/>
          <w:szCs w:val="24"/>
        </w:rPr>
        <w:t xml:space="preserve"> from each State education agency (SEA) wishing to use the waiver template.</w:t>
      </w:r>
      <w:r w:rsidRPr="00B27E16" w:rsidR="00F558E7">
        <w:rPr>
          <w:rFonts w:ascii="Times New Roman" w:hAnsi="Times New Roman"/>
          <w:szCs w:val="24"/>
        </w:rPr>
        <w:t xml:space="preserve"> No rulemaking is associated with this collection of information.</w:t>
      </w:r>
    </w:p>
    <w:p w:rsidRPr="00AD381B" w:rsidR="00AD381B" w:rsidP="00AD381B" w:rsidRDefault="00AD381B" w14:paraId="4C9C7555" w14:textId="77777777">
      <w:pPr>
        <w:pStyle w:val="ListParagraph"/>
        <w:suppressAutoHyphens/>
        <w:spacing w:line="240" w:lineRule="exact"/>
        <w:contextualSpacing w:val="0"/>
        <w:rPr>
          <w:rFonts w:ascii="Times New Roman" w:hAnsi="Times New Roman"/>
          <w:szCs w:val="24"/>
        </w:rPr>
      </w:pPr>
    </w:p>
    <w:p w:rsidR="00AD381B" w:rsidP="00AD381B" w:rsidRDefault="00043C32" w14:paraId="4C9C755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B27E16" w:rsidR="00AD381B" w:rsidP="00AD381B" w:rsidRDefault="00AD381B" w14:paraId="4C9C7557" w14:textId="3D6E342C">
      <w:pPr>
        <w:suppressAutoHyphens/>
        <w:spacing w:line="240" w:lineRule="exact"/>
        <w:rPr>
          <w:rFonts w:ascii="Times New Roman" w:hAnsi="Times New Roman"/>
          <w:szCs w:val="24"/>
        </w:rPr>
      </w:pPr>
    </w:p>
    <w:p w:rsidRPr="00B27E16" w:rsidR="00240ABA" w:rsidP="00AD381B" w:rsidRDefault="00240ABA" w14:paraId="47D44C15" w14:textId="3D6C2B9D">
      <w:pPr>
        <w:suppressAutoHyphens/>
        <w:spacing w:line="240" w:lineRule="exact"/>
        <w:rPr>
          <w:rFonts w:ascii="Times New Roman" w:hAnsi="Times New Roman"/>
          <w:szCs w:val="24"/>
        </w:rPr>
      </w:pPr>
      <w:r w:rsidRPr="00B27E16">
        <w:rPr>
          <w:rFonts w:ascii="Times New Roman" w:hAnsi="Times New Roman"/>
          <w:szCs w:val="24"/>
        </w:rPr>
        <w:t xml:space="preserve">The Department will use this information to review each SEA’s waiver request and </w:t>
      </w:r>
      <w:r w:rsidRPr="00B27E16" w:rsidR="00F558E7">
        <w:rPr>
          <w:rFonts w:ascii="Times New Roman" w:hAnsi="Times New Roman"/>
          <w:szCs w:val="24"/>
        </w:rPr>
        <w:t xml:space="preserve">determine which </w:t>
      </w:r>
      <w:r w:rsidRPr="00B27E16">
        <w:rPr>
          <w:rFonts w:ascii="Times New Roman" w:hAnsi="Times New Roman"/>
          <w:szCs w:val="24"/>
        </w:rPr>
        <w:t>requirements</w:t>
      </w:r>
      <w:r w:rsidRPr="00B27E16" w:rsidR="00F558E7">
        <w:rPr>
          <w:rFonts w:ascii="Times New Roman" w:hAnsi="Times New Roman"/>
          <w:szCs w:val="24"/>
        </w:rPr>
        <w:t xml:space="preserve"> will be</w:t>
      </w:r>
      <w:r w:rsidRPr="00B27E16" w:rsidR="003F4EB1">
        <w:rPr>
          <w:rFonts w:ascii="Times New Roman" w:hAnsi="Times New Roman"/>
          <w:szCs w:val="24"/>
        </w:rPr>
        <w:t xml:space="preserve"> waived for</w:t>
      </w:r>
      <w:r w:rsidRPr="00B27E16" w:rsidR="00F558E7">
        <w:rPr>
          <w:rFonts w:ascii="Times New Roman" w:hAnsi="Times New Roman"/>
          <w:szCs w:val="24"/>
        </w:rPr>
        <w:t xml:space="preserve"> each SEA</w:t>
      </w:r>
      <w:r w:rsidRPr="00B27E16">
        <w:rPr>
          <w:rFonts w:ascii="Times New Roman" w:hAnsi="Times New Roman"/>
          <w:szCs w:val="24"/>
        </w:rPr>
        <w:t>.</w:t>
      </w:r>
    </w:p>
    <w:p w:rsidRPr="00AD381B" w:rsidR="00043C32" w:rsidP="00AD381B" w:rsidRDefault="00043C32" w14:paraId="4C9C7558" w14:textId="77777777">
      <w:pPr>
        <w:suppressAutoHyphens/>
        <w:spacing w:line="240" w:lineRule="exact"/>
        <w:rPr>
          <w:rFonts w:ascii="Times New Roman" w:hAnsi="Times New Roman"/>
          <w:szCs w:val="24"/>
        </w:rPr>
      </w:pPr>
    </w:p>
    <w:p w:rsidRPr="00AD381B" w:rsidR="00043C32" w:rsidP="00AD381B" w:rsidRDefault="00043C32" w14:paraId="4C9C755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240ABA" w:rsidP="00240ABA" w:rsidRDefault="00240ABA" w14:paraId="07728D32" w14:textId="77777777">
      <w:pPr>
        <w:tabs>
          <w:tab w:val="left" w:pos="-720"/>
        </w:tabs>
        <w:suppressAutoHyphens/>
        <w:rPr>
          <w:rFonts w:ascii="Times New Roman" w:hAnsi="Times New Roman"/>
          <w:szCs w:val="24"/>
        </w:rPr>
      </w:pPr>
    </w:p>
    <w:p w:rsidRPr="00B27E16" w:rsidR="00AD381B" w:rsidP="00240ABA" w:rsidRDefault="00240ABA" w14:paraId="4C9C755A" w14:textId="37DC0170">
      <w:pPr>
        <w:tabs>
          <w:tab w:val="left" w:pos="-720"/>
        </w:tabs>
        <w:suppressAutoHyphens/>
        <w:rPr>
          <w:rFonts w:ascii="Times New Roman" w:hAnsi="Times New Roman"/>
          <w:szCs w:val="24"/>
        </w:rPr>
      </w:pPr>
      <w:r w:rsidRPr="00B27E16">
        <w:rPr>
          <w:rFonts w:ascii="Times New Roman" w:hAnsi="Times New Roman"/>
          <w:szCs w:val="24"/>
        </w:rPr>
        <w:t>SEAs will be encouraged to submit information under this collection in electronic format via e-mail</w:t>
      </w:r>
      <w:r w:rsidRPr="00B27E16" w:rsidR="00F558E7">
        <w:rPr>
          <w:rFonts w:ascii="Times New Roman" w:hAnsi="Times New Roman"/>
          <w:szCs w:val="24"/>
        </w:rPr>
        <w:t xml:space="preserve"> to </w:t>
      </w:r>
      <w:hyperlink w:history="1" r:id="rId11">
        <w:r w:rsidRPr="00B27E16" w:rsidR="00F558E7">
          <w:rPr>
            <w:rStyle w:val="Hyperlink"/>
            <w:rFonts w:ascii="Times New Roman" w:hAnsi="Times New Roman"/>
            <w:szCs w:val="24"/>
          </w:rPr>
          <w:t>OESE.TitleI-A@ed.gov</w:t>
        </w:r>
      </w:hyperlink>
      <w:r w:rsidRPr="00B27E16" w:rsidR="00F558E7">
        <w:rPr>
          <w:rFonts w:ascii="Times New Roman" w:hAnsi="Times New Roman"/>
          <w:szCs w:val="24"/>
        </w:rPr>
        <w:t>. The basis for this decision was to provide the least amount of burden on the SEAs.</w:t>
      </w:r>
    </w:p>
    <w:p w:rsidR="00AD381B" w:rsidP="00AD381B" w:rsidRDefault="00AD381B" w14:paraId="4C9C755B" w14:textId="77777777">
      <w:pPr>
        <w:pStyle w:val="ListParagraph"/>
        <w:tabs>
          <w:tab w:val="left" w:pos="-720"/>
        </w:tabs>
        <w:suppressAutoHyphens/>
        <w:contextualSpacing w:val="0"/>
        <w:rPr>
          <w:rFonts w:ascii="Times New Roman" w:hAnsi="Times New Roman"/>
          <w:szCs w:val="24"/>
        </w:rPr>
      </w:pPr>
    </w:p>
    <w:p w:rsidR="00AD381B" w:rsidP="00AD381B" w:rsidRDefault="00043C32" w14:paraId="4C9C755C"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B27E16" w:rsidR="00246FE9" w:rsidP="00392A6C" w:rsidRDefault="00246FE9" w14:paraId="4C9C755D" w14:textId="625B85FD">
      <w:pPr>
        <w:tabs>
          <w:tab w:val="left" w:pos="-720"/>
        </w:tabs>
        <w:suppressAutoHyphens/>
        <w:rPr>
          <w:rFonts w:ascii="Times New Roman" w:hAnsi="Times New Roman"/>
          <w:b/>
          <w:szCs w:val="24"/>
        </w:rPr>
      </w:pPr>
    </w:p>
    <w:p w:rsidRPr="00B27E16" w:rsidR="00392A6C" w:rsidP="00392A6C" w:rsidRDefault="00F558E7" w14:paraId="6C3029CD" w14:textId="568B716F">
      <w:pPr>
        <w:tabs>
          <w:tab w:val="left" w:pos="-720"/>
        </w:tabs>
        <w:suppressAutoHyphens/>
        <w:rPr>
          <w:rFonts w:ascii="Times New Roman" w:hAnsi="Times New Roman"/>
          <w:bCs/>
          <w:szCs w:val="24"/>
        </w:rPr>
      </w:pPr>
      <w:r w:rsidRPr="00B27E16">
        <w:rPr>
          <w:rFonts w:ascii="Times New Roman" w:hAnsi="Times New Roman"/>
          <w:bCs/>
          <w:szCs w:val="24"/>
        </w:rPr>
        <w:t>This is a unique collection. There are no other standardized means for SEAs to request waivers of these statutory requirements.</w:t>
      </w:r>
    </w:p>
    <w:p w:rsidR="00043C32" w:rsidP="00AD381B" w:rsidRDefault="00043C32" w14:paraId="4C9C755E"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500F3E" w:rsidRDefault="00AD381B" w14:paraId="4C9C755F" w14:textId="056DA971">
      <w:pPr>
        <w:rPr>
          <w:rFonts w:ascii="Times New Roman" w:hAnsi="Times New Roman"/>
          <w:szCs w:val="24"/>
        </w:rPr>
      </w:pPr>
    </w:p>
    <w:p w:rsidRPr="00B27E16" w:rsidR="00500F3E" w:rsidP="00500F3E" w:rsidRDefault="00500F3E" w14:paraId="5B0A0A39" w14:textId="5C7F74A7">
      <w:pPr>
        <w:rPr>
          <w:rFonts w:ascii="Times New Roman" w:hAnsi="Times New Roman"/>
          <w:szCs w:val="24"/>
        </w:rPr>
      </w:pPr>
      <w:r w:rsidRPr="00B27E16">
        <w:rPr>
          <w:rFonts w:ascii="Times New Roman" w:hAnsi="Times New Roman"/>
          <w:szCs w:val="24"/>
        </w:rPr>
        <w:t>Small businesses are not impacted by this data collection.</w:t>
      </w:r>
      <w:r w:rsidRPr="00B27E16" w:rsidR="00F558E7">
        <w:rPr>
          <w:rFonts w:ascii="Times New Roman" w:hAnsi="Times New Roman"/>
          <w:szCs w:val="24"/>
        </w:rPr>
        <w:t xml:space="preserve"> The Department is only requesting information from SEAs.</w:t>
      </w:r>
      <w:r w:rsidRPr="00B27E16">
        <w:rPr>
          <w:rFonts w:ascii="Times New Roman" w:hAnsi="Times New Roman"/>
          <w:szCs w:val="24"/>
        </w:rPr>
        <w:t xml:space="preserve"> </w:t>
      </w:r>
    </w:p>
    <w:p w:rsidR="00AD381B" w:rsidP="00AD381B" w:rsidRDefault="00AD381B" w14:paraId="4C9C7560" w14:textId="77777777">
      <w:pPr>
        <w:pStyle w:val="ListParagraph"/>
        <w:contextualSpacing w:val="0"/>
        <w:rPr>
          <w:rFonts w:ascii="Times New Roman" w:hAnsi="Times New Roman"/>
          <w:szCs w:val="24"/>
        </w:rPr>
      </w:pPr>
    </w:p>
    <w:p w:rsidR="00043C32" w:rsidP="00AD381B" w:rsidRDefault="00043C32" w14:paraId="4C9C7561" w14:textId="16C87106">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46482C" w:rsidP="0046482C" w:rsidRDefault="0046482C" w14:paraId="22A4C0A8" w14:textId="7288CFED">
      <w:pPr>
        <w:tabs>
          <w:tab w:val="left" w:pos="-720"/>
        </w:tabs>
        <w:suppressAutoHyphens/>
        <w:rPr>
          <w:rFonts w:ascii="Times New Roman" w:hAnsi="Times New Roman"/>
          <w:b/>
          <w:szCs w:val="24"/>
        </w:rPr>
      </w:pPr>
    </w:p>
    <w:p w:rsidRPr="00B27E16" w:rsidR="0046482C" w:rsidP="003B1B44" w:rsidRDefault="00D522F0" w14:paraId="7B1F1580" w14:textId="0EEC8B34">
      <w:pPr>
        <w:tabs>
          <w:tab w:val="left" w:pos="-720"/>
        </w:tabs>
        <w:suppressAutoHyphens/>
        <w:rPr>
          <w:rFonts w:ascii="Times New Roman" w:hAnsi="Times New Roman"/>
          <w:bCs/>
          <w:szCs w:val="24"/>
        </w:rPr>
      </w:pPr>
      <w:r w:rsidRPr="00B27E16">
        <w:rPr>
          <w:rFonts w:ascii="Times New Roman" w:hAnsi="Times New Roman"/>
          <w:bCs/>
          <w:szCs w:val="24"/>
        </w:rPr>
        <w:t>Without</w:t>
      </w:r>
      <w:r w:rsidRPr="00B27E16" w:rsidR="00F558E7">
        <w:rPr>
          <w:rFonts w:ascii="Times New Roman" w:hAnsi="Times New Roman"/>
          <w:bCs/>
          <w:szCs w:val="24"/>
        </w:rPr>
        <w:t xml:space="preserve"> this </w:t>
      </w:r>
      <w:r w:rsidRPr="00B27E16">
        <w:rPr>
          <w:rFonts w:ascii="Times New Roman" w:hAnsi="Times New Roman"/>
          <w:bCs/>
          <w:szCs w:val="24"/>
        </w:rPr>
        <w:t xml:space="preserve">information </w:t>
      </w:r>
      <w:r w:rsidRPr="00B27E16" w:rsidR="00F558E7">
        <w:rPr>
          <w:rFonts w:ascii="Times New Roman" w:hAnsi="Times New Roman"/>
          <w:bCs/>
          <w:szCs w:val="24"/>
        </w:rPr>
        <w:t>collection</w:t>
      </w:r>
      <w:r w:rsidRPr="00B27E16">
        <w:rPr>
          <w:rFonts w:ascii="Times New Roman" w:hAnsi="Times New Roman"/>
          <w:bCs/>
          <w:szCs w:val="24"/>
        </w:rPr>
        <w:t>,</w:t>
      </w:r>
      <w:r w:rsidRPr="00B27E16" w:rsidR="00F558E7">
        <w:rPr>
          <w:rFonts w:ascii="Times New Roman" w:hAnsi="Times New Roman"/>
          <w:bCs/>
          <w:szCs w:val="24"/>
        </w:rPr>
        <w:t xml:space="preserve"> SEAs </w:t>
      </w:r>
      <w:r w:rsidRPr="00B27E16">
        <w:rPr>
          <w:rFonts w:ascii="Times New Roman" w:hAnsi="Times New Roman"/>
          <w:bCs/>
          <w:szCs w:val="24"/>
        </w:rPr>
        <w:t>would</w:t>
      </w:r>
      <w:r w:rsidRPr="00B27E16" w:rsidR="00F558E7">
        <w:rPr>
          <w:rFonts w:ascii="Times New Roman" w:hAnsi="Times New Roman"/>
          <w:bCs/>
          <w:szCs w:val="24"/>
        </w:rPr>
        <w:t xml:space="preserve"> spend more time </w:t>
      </w:r>
      <w:r w:rsidRPr="00B27E16" w:rsidR="006836B0">
        <w:rPr>
          <w:rFonts w:ascii="Times New Roman" w:hAnsi="Times New Roman"/>
          <w:bCs/>
          <w:szCs w:val="24"/>
        </w:rPr>
        <w:t>drafting</w:t>
      </w:r>
      <w:r w:rsidRPr="00B27E16" w:rsidR="00F558E7">
        <w:rPr>
          <w:rFonts w:ascii="Times New Roman" w:hAnsi="Times New Roman"/>
          <w:bCs/>
          <w:szCs w:val="24"/>
        </w:rPr>
        <w:t xml:space="preserve"> a waiver request that meets the statutory requirements</w:t>
      </w:r>
      <w:r w:rsidRPr="00B27E16" w:rsidR="005F1DE9">
        <w:rPr>
          <w:rFonts w:ascii="Times New Roman" w:hAnsi="Times New Roman"/>
          <w:bCs/>
          <w:szCs w:val="24"/>
        </w:rPr>
        <w:t>.</w:t>
      </w:r>
      <w:r w:rsidRPr="00B27E16" w:rsidR="006836B0">
        <w:rPr>
          <w:rFonts w:ascii="Times New Roman" w:hAnsi="Times New Roman"/>
          <w:bCs/>
          <w:szCs w:val="24"/>
        </w:rPr>
        <w:t xml:space="preserve"> </w:t>
      </w:r>
      <w:proofErr w:type="gramStart"/>
      <w:r w:rsidRPr="00B27E16" w:rsidR="006836B0">
        <w:rPr>
          <w:rFonts w:ascii="Times New Roman" w:hAnsi="Times New Roman"/>
          <w:bCs/>
          <w:szCs w:val="24"/>
        </w:rPr>
        <w:t>In particular, this</w:t>
      </w:r>
      <w:proofErr w:type="gramEnd"/>
      <w:r w:rsidRPr="00B27E16" w:rsidR="006836B0">
        <w:rPr>
          <w:rFonts w:ascii="Times New Roman" w:hAnsi="Times New Roman"/>
          <w:bCs/>
          <w:szCs w:val="24"/>
        </w:rPr>
        <w:t xml:space="preserve"> waiver template will make it clear</w:t>
      </w:r>
      <w:r w:rsidRPr="00B27E16" w:rsidR="005F1DE9">
        <w:rPr>
          <w:rFonts w:ascii="Times New Roman" w:hAnsi="Times New Roman"/>
          <w:bCs/>
          <w:szCs w:val="24"/>
        </w:rPr>
        <w:t xml:space="preserve"> to </w:t>
      </w:r>
      <w:r w:rsidRPr="00B27E16" w:rsidR="006836B0">
        <w:rPr>
          <w:rFonts w:ascii="Times New Roman" w:hAnsi="Times New Roman"/>
          <w:bCs/>
          <w:szCs w:val="24"/>
        </w:rPr>
        <w:t xml:space="preserve">SEAs what information is necessary in order for the Department to determine that </w:t>
      </w:r>
      <w:r w:rsidRPr="00B27E16" w:rsidR="005F1DE9">
        <w:rPr>
          <w:rFonts w:ascii="Times New Roman" w:hAnsi="Times New Roman"/>
          <w:bCs/>
          <w:szCs w:val="24"/>
        </w:rPr>
        <w:t xml:space="preserve">the </w:t>
      </w:r>
      <w:r w:rsidRPr="00B27E16" w:rsidR="006836B0">
        <w:rPr>
          <w:rFonts w:ascii="Times New Roman" w:hAnsi="Times New Roman"/>
          <w:bCs/>
          <w:szCs w:val="24"/>
        </w:rPr>
        <w:t xml:space="preserve">SEA meets the requirements in </w:t>
      </w:r>
      <w:r w:rsidRPr="00B27E16" w:rsidR="003D6F69">
        <w:rPr>
          <w:rFonts w:ascii="Times New Roman" w:hAnsi="Times New Roman"/>
          <w:bCs/>
          <w:szCs w:val="24"/>
        </w:rPr>
        <w:t xml:space="preserve">ESEA section </w:t>
      </w:r>
      <w:r w:rsidRPr="00B27E16" w:rsidR="006836B0">
        <w:rPr>
          <w:rFonts w:ascii="Times New Roman" w:hAnsi="Times New Roman"/>
          <w:bCs/>
          <w:szCs w:val="24"/>
        </w:rPr>
        <w:t>8401(b)</w:t>
      </w:r>
      <w:r w:rsidRPr="00B27E16">
        <w:rPr>
          <w:rFonts w:ascii="Times New Roman" w:hAnsi="Times New Roman"/>
          <w:bCs/>
          <w:szCs w:val="24"/>
        </w:rPr>
        <w:t xml:space="preserve"> under these circumstances</w:t>
      </w:r>
      <w:r w:rsidRPr="00B27E16" w:rsidR="006836B0">
        <w:rPr>
          <w:rFonts w:ascii="Times New Roman" w:hAnsi="Times New Roman"/>
          <w:bCs/>
          <w:szCs w:val="24"/>
        </w:rPr>
        <w:t>.</w:t>
      </w:r>
      <w:r w:rsidRPr="00B27E16" w:rsidR="00F558E7">
        <w:rPr>
          <w:rFonts w:ascii="Times New Roman" w:hAnsi="Times New Roman"/>
          <w:bCs/>
          <w:szCs w:val="24"/>
        </w:rPr>
        <w:t xml:space="preserve"> </w:t>
      </w:r>
      <w:r w:rsidRPr="00B27E16" w:rsidR="005F1DE9">
        <w:rPr>
          <w:rFonts w:ascii="Times New Roman" w:hAnsi="Times New Roman"/>
          <w:bCs/>
          <w:szCs w:val="24"/>
        </w:rPr>
        <w:t>SEAs</w:t>
      </w:r>
      <w:r w:rsidRPr="00B27E16" w:rsidR="00315E14">
        <w:rPr>
          <w:rFonts w:ascii="Times New Roman" w:hAnsi="Times New Roman"/>
          <w:bCs/>
          <w:szCs w:val="24"/>
        </w:rPr>
        <w:t xml:space="preserve"> and their subgrantees</w:t>
      </w:r>
      <w:r w:rsidRPr="00B27E16" w:rsidR="005F1DE9">
        <w:rPr>
          <w:rFonts w:ascii="Times New Roman" w:hAnsi="Times New Roman"/>
          <w:bCs/>
          <w:szCs w:val="24"/>
        </w:rPr>
        <w:t xml:space="preserve"> would have less time to respond to the unique circumstances they are facing</w:t>
      </w:r>
      <w:r w:rsidRPr="00B27E16" w:rsidR="00315E14">
        <w:rPr>
          <w:rFonts w:ascii="Times New Roman" w:hAnsi="Times New Roman"/>
          <w:bCs/>
          <w:szCs w:val="24"/>
        </w:rPr>
        <w:t xml:space="preserve"> and focus on making timely and responsible decisions about the obligation of all Federal funds</w:t>
      </w:r>
      <w:r w:rsidRPr="00B27E16" w:rsidR="005F1DE9">
        <w:rPr>
          <w:rFonts w:ascii="Times New Roman" w:hAnsi="Times New Roman"/>
          <w:bCs/>
          <w:szCs w:val="24"/>
        </w:rPr>
        <w:t>.</w:t>
      </w:r>
      <w:r w:rsidRPr="00B27E16" w:rsidR="00F558E7">
        <w:rPr>
          <w:rFonts w:ascii="Times New Roman" w:hAnsi="Times New Roman"/>
          <w:bCs/>
          <w:szCs w:val="24"/>
        </w:rPr>
        <w:t xml:space="preserve"> </w:t>
      </w:r>
      <w:r w:rsidRPr="00B27E16" w:rsidR="00D04071">
        <w:rPr>
          <w:rFonts w:ascii="Times New Roman" w:hAnsi="Times New Roman"/>
          <w:bCs/>
          <w:szCs w:val="24"/>
        </w:rPr>
        <w:t>In addition, it is imperative that SEAs receive decisions on these waivers as quickly as possible</w:t>
      </w:r>
      <w:r w:rsidRPr="00B27E16" w:rsidR="00315E14">
        <w:rPr>
          <w:rFonts w:ascii="Times New Roman" w:hAnsi="Times New Roman"/>
          <w:bCs/>
          <w:szCs w:val="24"/>
        </w:rPr>
        <w:t xml:space="preserve"> </w:t>
      </w:r>
      <w:r w:rsidRPr="00B27E16" w:rsidR="00712B52">
        <w:rPr>
          <w:rFonts w:ascii="Times New Roman" w:hAnsi="Times New Roman"/>
          <w:bCs/>
          <w:szCs w:val="24"/>
        </w:rPr>
        <w:t>to inform</w:t>
      </w:r>
      <w:r w:rsidRPr="00B27E16" w:rsidR="00A53556">
        <w:rPr>
          <w:rFonts w:ascii="Times New Roman" w:hAnsi="Times New Roman"/>
          <w:bCs/>
          <w:szCs w:val="24"/>
        </w:rPr>
        <w:t xml:space="preserve"> </w:t>
      </w:r>
      <w:proofErr w:type="spellStart"/>
      <w:r w:rsidRPr="00B27E16" w:rsidR="00A53556">
        <w:rPr>
          <w:rFonts w:ascii="Times New Roman" w:hAnsi="Times New Roman"/>
          <w:bCs/>
          <w:szCs w:val="24"/>
        </w:rPr>
        <w:t>SEAs’</w:t>
      </w:r>
      <w:proofErr w:type="spellEnd"/>
      <w:r w:rsidRPr="00B27E16" w:rsidR="00A53556">
        <w:rPr>
          <w:rFonts w:ascii="Times New Roman" w:hAnsi="Times New Roman"/>
          <w:bCs/>
          <w:szCs w:val="24"/>
        </w:rPr>
        <w:t xml:space="preserve"> and their subgrantees’ </w:t>
      </w:r>
      <w:r w:rsidRPr="00B27E16" w:rsidR="00712B52">
        <w:rPr>
          <w:rFonts w:ascii="Times New Roman" w:hAnsi="Times New Roman"/>
          <w:bCs/>
          <w:szCs w:val="24"/>
        </w:rPr>
        <w:t>financial decisions</w:t>
      </w:r>
      <w:r w:rsidRPr="00B27E16" w:rsidR="00315E14">
        <w:rPr>
          <w:rFonts w:ascii="Times New Roman" w:hAnsi="Times New Roman"/>
          <w:bCs/>
          <w:szCs w:val="24"/>
        </w:rPr>
        <w:t xml:space="preserve"> as the end of the fiscal year approaches.</w:t>
      </w:r>
      <w:r w:rsidRPr="00B27E16" w:rsidR="00D04071">
        <w:rPr>
          <w:rFonts w:ascii="Times New Roman" w:hAnsi="Times New Roman"/>
          <w:bCs/>
          <w:szCs w:val="24"/>
        </w:rPr>
        <w:t xml:space="preserve"> A streamlined and standardized template will allow the Department to make timely </w:t>
      </w:r>
      <w:proofErr w:type="spellStart"/>
      <w:r w:rsidRPr="00B27E16" w:rsidR="00D04071">
        <w:rPr>
          <w:rFonts w:ascii="Times New Roman" w:hAnsi="Times New Roman"/>
          <w:bCs/>
          <w:szCs w:val="24"/>
        </w:rPr>
        <w:t>determiniations</w:t>
      </w:r>
      <w:proofErr w:type="spellEnd"/>
      <w:r w:rsidRPr="00B27E16" w:rsidR="00D04071">
        <w:rPr>
          <w:rFonts w:ascii="Times New Roman" w:hAnsi="Times New Roman"/>
          <w:bCs/>
          <w:szCs w:val="24"/>
        </w:rPr>
        <w:t xml:space="preserve"> on each request. </w:t>
      </w:r>
    </w:p>
    <w:p w:rsidRPr="0046482C" w:rsidR="00F558E7" w:rsidP="0046482C" w:rsidRDefault="00F558E7" w14:paraId="1BD876DB" w14:textId="77777777">
      <w:pPr>
        <w:tabs>
          <w:tab w:val="left" w:pos="-720"/>
        </w:tabs>
        <w:suppressAutoHyphens/>
        <w:rPr>
          <w:rFonts w:ascii="Times New Roman" w:hAnsi="Times New Roman"/>
          <w:b/>
          <w:szCs w:val="24"/>
        </w:rPr>
      </w:pPr>
    </w:p>
    <w:p w:rsidRPr="00AD381B" w:rsidR="00043C32" w:rsidP="00AD381B" w:rsidRDefault="00043C32" w14:paraId="4C9C75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4C9C7563" w14:textId="77777777">
      <w:pPr>
        <w:tabs>
          <w:tab w:val="left" w:pos="-720"/>
        </w:tabs>
        <w:suppressAutoHyphens/>
        <w:rPr>
          <w:rFonts w:ascii="Times New Roman" w:hAnsi="Times New Roman"/>
          <w:b/>
          <w:szCs w:val="24"/>
        </w:rPr>
      </w:pPr>
    </w:p>
    <w:p w:rsidRPr="00AD381B" w:rsidR="00043C32" w:rsidP="00AD381B" w:rsidRDefault="00043C32" w14:paraId="4C9C75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4C9C75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C9C75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4C9C75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4C9C75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4C9C75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4C9C75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4C9C75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C9C75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4C9C7571" w14:textId="77777777">
      <w:pPr>
        <w:numPr>
          <w:ilvl w:val="12"/>
          <w:numId w:val="0"/>
        </w:numPr>
        <w:tabs>
          <w:tab w:val="left" w:pos="-720"/>
        </w:tabs>
        <w:suppressAutoHyphens/>
        <w:rPr>
          <w:rFonts w:ascii="Times New Roman" w:hAnsi="Times New Roman"/>
          <w:b/>
          <w:szCs w:val="24"/>
        </w:rPr>
      </w:pPr>
    </w:p>
    <w:p w:rsidR="00043C32" w:rsidP="00AD381B" w:rsidRDefault="00043C32" w14:paraId="4C9C75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6482C" w:rsidP="0046482C" w:rsidRDefault="0046482C" w14:paraId="5D2F4FAC" w14:textId="77777777">
      <w:pPr>
        <w:rPr>
          <w:rFonts w:ascii="Times New Roman" w:hAnsi="Times New Roman"/>
          <w:bCs/>
          <w:i/>
          <w:iCs/>
          <w:szCs w:val="24"/>
        </w:rPr>
      </w:pPr>
    </w:p>
    <w:p w:rsidRPr="00B27E16" w:rsidR="00AD381B" w:rsidP="0046482C" w:rsidRDefault="0046482C" w14:paraId="4C9C7573" w14:textId="6B880B88">
      <w:pPr>
        <w:rPr>
          <w:rFonts w:ascii="Times New Roman" w:hAnsi="Times New Roman"/>
          <w:bCs/>
          <w:szCs w:val="24"/>
        </w:rPr>
      </w:pPr>
      <w:r w:rsidRPr="00B27E16">
        <w:rPr>
          <w:rFonts w:ascii="Times New Roman" w:hAnsi="Times New Roman"/>
          <w:bCs/>
          <w:szCs w:val="24"/>
        </w:rPr>
        <w:t>There are no special circumstances that apply to this collection.</w:t>
      </w:r>
    </w:p>
    <w:p w:rsidRPr="00AD381B" w:rsidR="00AD381B" w:rsidP="00AD381B" w:rsidRDefault="00AD381B" w14:paraId="4C9C7574" w14:textId="77777777">
      <w:pPr>
        <w:tabs>
          <w:tab w:val="left" w:pos="-720"/>
        </w:tabs>
        <w:suppressAutoHyphens/>
        <w:rPr>
          <w:rFonts w:ascii="Times New Roman" w:hAnsi="Times New Roman"/>
          <w:szCs w:val="24"/>
        </w:rPr>
      </w:pPr>
    </w:p>
    <w:p w:rsidR="00D75313" w:rsidP="00AD381B" w:rsidRDefault="00043C32" w14:paraId="4C9C757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4C9C7576"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4C9C757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4C9C7578"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4C9C757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4C9C757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4C9C757B" w14:textId="77777777">
      <w:pPr>
        <w:tabs>
          <w:tab w:val="left" w:pos="-720"/>
        </w:tabs>
        <w:suppressAutoHyphens/>
        <w:rPr>
          <w:rStyle w:val="a"/>
          <w:rFonts w:ascii="Times New Roman" w:hAnsi="Times New Roman"/>
          <w:b/>
          <w:szCs w:val="24"/>
        </w:rPr>
      </w:pPr>
    </w:p>
    <w:p w:rsidR="00043C32" w:rsidP="00AD381B" w:rsidRDefault="00043C32" w14:paraId="4C9C757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27E16" w:rsidR="001832CE" w:rsidP="001832CE" w:rsidRDefault="001832CE" w14:paraId="79BB6B7A" w14:textId="77777777">
      <w:pPr>
        <w:tabs>
          <w:tab w:val="left" w:pos="-720"/>
        </w:tabs>
        <w:suppressAutoHyphens/>
        <w:rPr>
          <w:rFonts w:ascii="Times New Roman" w:hAnsi="Times New Roman"/>
          <w:bCs/>
          <w:szCs w:val="24"/>
        </w:rPr>
      </w:pPr>
    </w:p>
    <w:p w:rsidRPr="00B27E16" w:rsidR="00315E14" w:rsidP="00315E14" w:rsidRDefault="001832CE" w14:paraId="57D6FF33" w14:textId="736B8892">
      <w:pPr>
        <w:tabs>
          <w:tab w:val="left" w:pos="-720"/>
        </w:tabs>
        <w:suppressAutoHyphens/>
        <w:rPr>
          <w:rFonts w:ascii="Times New Roman" w:hAnsi="Times New Roman"/>
          <w:szCs w:val="24"/>
        </w:rPr>
      </w:pPr>
      <w:r w:rsidRPr="00B27E16">
        <w:rPr>
          <w:rFonts w:ascii="Times New Roman" w:hAnsi="Times New Roman"/>
          <w:szCs w:val="24"/>
        </w:rPr>
        <w:t xml:space="preserve">The Department is requesting emergency clearance and OMB approval </w:t>
      </w:r>
      <w:proofErr w:type="gramStart"/>
      <w:r w:rsidRPr="00B27E16">
        <w:rPr>
          <w:rFonts w:ascii="Times New Roman" w:hAnsi="Times New Roman"/>
          <w:szCs w:val="24"/>
        </w:rPr>
        <w:t>in order to</w:t>
      </w:r>
      <w:proofErr w:type="gramEnd"/>
      <w:r w:rsidRPr="00B27E16">
        <w:rPr>
          <w:rFonts w:ascii="Times New Roman" w:hAnsi="Times New Roman"/>
          <w:szCs w:val="24"/>
        </w:rPr>
        <w:t xml:space="preserve"> collect waiver requests from SEAs as soon as possible</w:t>
      </w:r>
      <w:r w:rsidRPr="00B27E16" w:rsidR="00857A91">
        <w:rPr>
          <w:rFonts w:ascii="Times New Roman" w:hAnsi="Times New Roman"/>
          <w:szCs w:val="24"/>
        </w:rPr>
        <w:t xml:space="preserve"> </w:t>
      </w:r>
      <w:r w:rsidRPr="00B27E16" w:rsidR="00857A91">
        <w:rPr>
          <w:rFonts w:ascii="Times New Roman" w:hAnsi="Times New Roman"/>
          <w:bCs/>
          <w:szCs w:val="24"/>
        </w:rPr>
        <w:t xml:space="preserve">to inform </w:t>
      </w:r>
      <w:proofErr w:type="spellStart"/>
      <w:r w:rsidRPr="00B27E16" w:rsidR="00A53556">
        <w:rPr>
          <w:rFonts w:ascii="Times New Roman" w:hAnsi="Times New Roman"/>
          <w:bCs/>
          <w:szCs w:val="24"/>
        </w:rPr>
        <w:t>SEAs’</w:t>
      </w:r>
      <w:proofErr w:type="spellEnd"/>
      <w:r w:rsidRPr="00B27E16" w:rsidR="00857A91">
        <w:rPr>
          <w:rFonts w:ascii="Times New Roman" w:hAnsi="Times New Roman"/>
          <w:bCs/>
          <w:szCs w:val="24"/>
        </w:rPr>
        <w:t xml:space="preserve"> </w:t>
      </w:r>
      <w:r w:rsidRPr="00B27E16" w:rsidR="00A53556">
        <w:rPr>
          <w:rFonts w:ascii="Times New Roman" w:hAnsi="Times New Roman"/>
          <w:bCs/>
          <w:szCs w:val="24"/>
        </w:rPr>
        <w:t xml:space="preserve">and their subgrantees’ </w:t>
      </w:r>
      <w:r w:rsidRPr="00B27E16" w:rsidR="00857A91">
        <w:rPr>
          <w:rFonts w:ascii="Times New Roman" w:hAnsi="Times New Roman"/>
          <w:bCs/>
          <w:szCs w:val="24"/>
        </w:rPr>
        <w:t>financial decisions as the end of the fiscal year approaches</w:t>
      </w:r>
      <w:r w:rsidRPr="00B27E16">
        <w:rPr>
          <w:rFonts w:ascii="Times New Roman" w:hAnsi="Times New Roman"/>
          <w:szCs w:val="24"/>
        </w:rPr>
        <w:t>.</w:t>
      </w:r>
      <w:r w:rsidRPr="00B27E16" w:rsidR="00F2555E">
        <w:rPr>
          <w:rFonts w:ascii="Times New Roman" w:hAnsi="Times New Roman"/>
          <w:szCs w:val="24"/>
        </w:rPr>
        <w:t xml:space="preserve"> </w:t>
      </w:r>
      <w:r w:rsidRPr="00B27E16" w:rsidR="00315E14">
        <w:rPr>
          <w:rFonts w:ascii="Times New Roman" w:hAnsi="Times New Roman"/>
          <w:szCs w:val="24"/>
        </w:rPr>
        <w:t xml:space="preserve">The Department recognizes it may not be possible to obligate these funds on a timely and responsible basis due to several factors. The extraordinary and unpredictable circumstances created by the COVID-19 pandemic and unprecedented obstacles students, educators, and schools are facing during the 2020-2021 school year has delayed expenditures. Additionally, the welcome influx of additional Federal funds (e.g., ESSER I, ESSER II, and the American Rescue Plan (ARP)) to address unique needs created by COVID-19 have, in some cases, delayed the expenditures of funds from programs that are part of </w:t>
      </w:r>
      <w:r w:rsidRPr="00B27E16" w:rsidR="00255547">
        <w:rPr>
          <w:rFonts w:ascii="Times New Roman" w:hAnsi="Times New Roman"/>
          <w:szCs w:val="24"/>
        </w:rPr>
        <w:t xml:space="preserve">each State’s </w:t>
      </w:r>
      <w:r w:rsidRPr="00B27E16" w:rsidR="00315E14">
        <w:rPr>
          <w:rFonts w:ascii="Times New Roman" w:hAnsi="Times New Roman"/>
          <w:szCs w:val="24"/>
        </w:rPr>
        <w:t>consolidated State plan because those additional Federal funds may be used generally for activities that are allowable under the programs in the State plan.</w:t>
      </w:r>
    </w:p>
    <w:p w:rsidRPr="00B27E16" w:rsidR="00A5039A" w:rsidP="001832CE" w:rsidRDefault="00A5039A" w14:paraId="6A2FD2AE" w14:textId="77777777">
      <w:pPr>
        <w:tabs>
          <w:tab w:val="left" w:pos="-720"/>
        </w:tabs>
        <w:suppressAutoHyphens/>
        <w:rPr>
          <w:rFonts w:ascii="Times New Roman" w:hAnsi="Times New Roman"/>
          <w:szCs w:val="24"/>
        </w:rPr>
      </w:pPr>
    </w:p>
    <w:p w:rsidRPr="00B27E16" w:rsidR="00E66550" w:rsidP="001832CE" w:rsidRDefault="001832CE" w14:paraId="4C9C757E" w14:textId="1E6B07CB">
      <w:pPr>
        <w:tabs>
          <w:tab w:val="left" w:pos="-720"/>
        </w:tabs>
        <w:suppressAutoHyphens/>
        <w:rPr>
          <w:rFonts w:ascii="Times New Roman" w:hAnsi="Times New Roman"/>
          <w:szCs w:val="24"/>
        </w:rPr>
      </w:pPr>
      <w:r w:rsidRPr="00B27E16">
        <w:rPr>
          <w:rFonts w:ascii="Times New Roman" w:hAnsi="Times New Roman"/>
          <w:szCs w:val="24"/>
        </w:rPr>
        <w:t>The Department will publish 60</w:t>
      </w:r>
      <w:r w:rsidRPr="00B27E16" w:rsidR="004A3599">
        <w:rPr>
          <w:rFonts w:ascii="Times New Roman" w:hAnsi="Times New Roman"/>
          <w:szCs w:val="24"/>
        </w:rPr>
        <w:t>-</w:t>
      </w:r>
      <w:r w:rsidRPr="00B27E16">
        <w:rPr>
          <w:rFonts w:ascii="Times New Roman" w:hAnsi="Times New Roman"/>
          <w:szCs w:val="24"/>
        </w:rPr>
        <w:t xml:space="preserve"> and 30</w:t>
      </w:r>
      <w:r w:rsidRPr="00B27E16" w:rsidR="004A3599">
        <w:rPr>
          <w:rFonts w:ascii="Times New Roman" w:hAnsi="Times New Roman"/>
          <w:szCs w:val="24"/>
        </w:rPr>
        <w:t xml:space="preserve">-day </w:t>
      </w:r>
      <w:r w:rsidRPr="00B27E16">
        <w:rPr>
          <w:rFonts w:ascii="Times New Roman" w:hAnsi="Times New Roman"/>
          <w:szCs w:val="24"/>
        </w:rPr>
        <w:t>Federal Register notices as required by 5 CFR 1320.8(d), soliciting comments on the information collection.</w:t>
      </w:r>
    </w:p>
    <w:p w:rsidRPr="001832CE" w:rsidR="001832CE" w:rsidP="001832CE" w:rsidRDefault="001832CE" w14:paraId="5DDBD976" w14:textId="77777777">
      <w:pPr>
        <w:tabs>
          <w:tab w:val="left" w:pos="-720"/>
        </w:tabs>
        <w:suppressAutoHyphens/>
        <w:rPr>
          <w:rFonts w:ascii="Times New Roman" w:hAnsi="Times New Roman"/>
          <w:i/>
          <w:iCs/>
          <w:szCs w:val="24"/>
        </w:rPr>
      </w:pPr>
    </w:p>
    <w:p w:rsidR="00043C32" w:rsidP="00AD381B" w:rsidRDefault="00043C32" w14:paraId="4C9C757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764BC4" w:rsidRDefault="00920F63" w14:paraId="4C9C7580" w14:textId="3723F847">
      <w:pPr>
        <w:tabs>
          <w:tab w:val="left" w:pos="-720"/>
        </w:tabs>
        <w:suppressAutoHyphens/>
        <w:rPr>
          <w:rFonts w:ascii="Times New Roman" w:hAnsi="Times New Roman"/>
          <w:b/>
          <w:szCs w:val="24"/>
        </w:rPr>
      </w:pPr>
    </w:p>
    <w:p w:rsidRPr="00B27E16" w:rsidR="00764BC4" w:rsidP="00764BC4" w:rsidRDefault="00764BC4" w14:paraId="79F881B3" w14:textId="18646527">
      <w:pPr>
        <w:tabs>
          <w:tab w:val="left" w:pos="-720"/>
        </w:tabs>
        <w:suppressAutoHyphens/>
        <w:rPr>
          <w:rFonts w:ascii="Times New Roman" w:hAnsi="Times New Roman"/>
          <w:bCs/>
          <w:szCs w:val="24"/>
        </w:rPr>
      </w:pPr>
      <w:r w:rsidRPr="00B27E16">
        <w:rPr>
          <w:rFonts w:ascii="Times New Roman" w:hAnsi="Times New Roman"/>
          <w:bCs/>
          <w:szCs w:val="24"/>
        </w:rPr>
        <w:t>No payments or gifts are involved in this information collection.</w:t>
      </w:r>
    </w:p>
    <w:p w:rsidRPr="00920F63" w:rsidR="00920F63" w:rsidP="00920F63" w:rsidRDefault="00920F63" w14:paraId="4C9C7581"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4C9C758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4C9C7583" w14:textId="4F6419B3">
      <w:pPr>
        <w:tabs>
          <w:tab w:val="left" w:pos="-720"/>
        </w:tabs>
        <w:suppressAutoHyphens/>
        <w:rPr>
          <w:rFonts w:ascii="Times New Roman" w:hAnsi="Times New Roman"/>
          <w:b/>
          <w:szCs w:val="24"/>
        </w:rPr>
      </w:pPr>
    </w:p>
    <w:p w:rsidRPr="00B27E16" w:rsidR="00B659D3" w:rsidP="00920F63" w:rsidRDefault="00B659D3" w14:paraId="4E3AB50E" w14:textId="3A1739E3">
      <w:pPr>
        <w:tabs>
          <w:tab w:val="left" w:pos="-720"/>
        </w:tabs>
        <w:suppressAutoHyphens/>
        <w:rPr>
          <w:rFonts w:ascii="Times New Roman" w:hAnsi="Times New Roman"/>
          <w:bCs/>
          <w:szCs w:val="24"/>
        </w:rPr>
      </w:pPr>
      <w:r w:rsidRPr="00B27E16">
        <w:rPr>
          <w:rFonts w:ascii="Times New Roman" w:hAnsi="Times New Roman"/>
          <w:bCs/>
          <w:szCs w:val="24"/>
        </w:rPr>
        <w:t xml:space="preserve">There is no assurance of confidentiality provided to respondents </w:t>
      </w:r>
      <w:proofErr w:type="gramStart"/>
      <w:r w:rsidRPr="00B27E16">
        <w:rPr>
          <w:rFonts w:ascii="Times New Roman" w:hAnsi="Times New Roman"/>
          <w:bCs/>
          <w:szCs w:val="24"/>
        </w:rPr>
        <w:t>with regard to</w:t>
      </w:r>
      <w:proofErr w:type="gramEnd"/>
      <w:r w:rsidRPr="00B27E16">
        <w:rPr>
          <w:rFonts w:ascii="Times New Roman" w:hAnsi="Times New Roman"/>
          <w:bCs/>
          <w:szCs w:val="24"/>
        </w:rPr>
        <w:t xml:space="preserve"> required information. We do not request any Personally Identifiable Information.</w:t>
      </w:r>
    </w:p>
    <w:p w:rsidRPr="00920F63" w:rsidR="00920F63" w:rsidP="00E25EBC" w:rsidRDefault="00920F63" w14:paraId="4C9C7584" w14:textId="77777777">
      <w:pPr>
        <w:tabs>
          <w:tab w:val="left" w:pos="-720"/>
        </w:tabs>
        <w:suppressAutoHyphens/>
        <w:rPr>
          <w:rFonts w:ascii="Times New Roman" w:hAnsi="Times New Roman"/>
          <w:szCs w:val="24"/>
        </w:rPr>
      </w:pPr>
    </w:p>
    <w:p w:rsidR="00920F63" w:rsidP="00920F63" w:rsidRDefault="00043C32" w14:paraId="4C9C7586" w14:textId="197F4A8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59D3" w:rsidP="00B659D3" w:rsidRDefault="00B659D3" w14:paraId="435BF6D6" w14:textId="609AD3F1">
      <w:pPr>
        <w:tabs>
          <w:tab w:val="left" w:pos="-720"/>
        </w:tabs>
        <w:suppressAutoHyphens/>
        <w:rPr>
          <w:rFonts w:ascii="Times New Roman" w:hAnsi="Times New Roman"/>
          <w:b/>
          <w:szCs w:val="24"/>
        </w:rPr>
      </w:pPr>
    </w:p>
    <w:p w:rsidRPr="00B27E16" w:rsidR="00B659D3" w:rsidP="00B659D3" w:rsidRDefault="00B659D3" w14:paraId="2EC19D44" w14:textId="4280CDE6">
      <w:pPr>
        <w:tabs>
          <w:tab w:val="left" w:pos="-720"/>
        </w:tabs>
        <w:suppressAutoHyphens/>
        <w:rPr>
          <w:rFonts w:ascii="Times New Roman" w:hAnsi="Times New Roman"/>
          <w:bCs/>
          <w:szCs w:val="24"/>
        </w:rPr>
      </w:pPr>
      <w:r w:rsidRPr="00B27E16">
        <w:rPr>
          <w:rFonts w:ascii="Times New Roman" w:hAnsi="Times New Roman"/>
          <w:bCs/>
          <w:szCs w:val="24"/>
        </w:rPr>
        <w:t>This collection does not ask questions of a sensitive nature.</w:t>
      </w:r>
    </w:p>
    <w:p w:rsidRPr="00920F63" w:rsidR="00920F63" w:rsidP="00920F63" w:rsidRDefault="00920F63" w14:paraId="4C9C7587" w14:textId="77777777">
      <w:pPr>
        <w:tabs>
          <w:tab w:val="left" w:pos="-720"/>
        </w:tabs>
        <w:suppressAutoHyphens/>
        <w:ind w:left="180"/>
        <w:rPr>
          <w:rFonts w:ascii="Times New Roman" w:hAnsi="Times New Roman"/>
          <w:szCs w:val="24"/>
        </w:rPr>
      </w:pPr>
    </w:p>
    <w:p w:rsidRPr="00920F63" w:rsidR="00043C32" w:rsidP="00AD381B" w:rsidRDefault="00043C32" w14:paraId="4C9C758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C9C7589" w14:textId="77777777">
      <w:pPr>
        <w:tabs>
          <w:tab w:val="left" w:pos="-720"/>
        </w:tabs>
        <w:suppressAutoHyphens/>
        <w:rPr>
          <w:rStyle w:val="a"/>
          <w:rFonts w:ascii="Times New Roman" w:hAnsi="Times New Roman"/>
          <w:b/>
          <w:szCs w:val="24"/>
        </w:rPr>
      </w:pPr>
    </w:p>
    <w:p w:rsidR="00C224FD" w:rsidP="00C224FD" w:rsidRDefault="00C224FD" w14:paraId="4C9C758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4C9C758B"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4C9C758C"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C9C758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C9C758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C9C758F" w14:textId="77777777">
      <w:pPr>
        <w:tabs>
          <w:tab w:val="left" w:pos="-720"/>
          <w:tab w:val="left" w:pos="1247"/>
        </w:tabs>
        <w:suppressAutoHyphens/>
        <w:rPr>
          <w:rStyle w:val="a"/>
          <w:rFonts w:ascii="Times New Roman" w:hAnsi="Times New Roman"/>
          <w:b/>
          <w:szCs w:val="24"/>
        </w:rPr>
      </w:pPr>
    </w:p>
    <w:p w:rsidR="00946126" w:rsidP="00946126" w:rsidRDefault="00946126" w14:paraId="4C9C7590" w14:textId="50D85BD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92A56" w:rsidP="00F92A56" w:rsidRDefault="00F92A56" w14:paraId="1B22C3EF" w14:textId="77777777">
      <w:pPr>
        <w:pStyle w:val="ListParagraph"/>
        <w:tabs>
          <w:tab w:val="left" w:pos="-720"/>
        </w:tabs>
        <w:suppressAutoHyphens/>
        <w:rPr>
          <w:rFonts w:ascii="Times New Roman" w:hAnsi="Times New Roman"/>
          <w:bCs/>
          <w:i/>
          <w:iCs/>
          <w:sz w:val="26"/>
          <w:szCs w:val="26"/>
        </w:rPr>
      </w:pPr>
    </w:p>
    <w:p w:rsidRPr="00B27E16" w:rsidR="00F92A56" w:rsidP="00F92A56" w:rsidRDefault="00F92A56" w14:paraId="7271887B" w14:textId="7E906D65">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 xml:space="preserve">The burden estimate is based on the time SEA staff will take to read </w:t>
      </w:r>
      <w:r w:rsidRPr="00B27E16" w:rsidR="00A53556">
        <w:rPr>
          <w:rFonts w:ascii="Times New Roman" w:hAnsi="Times New Roman"/>
          <w:bCs/>
          <w:szCs w:val="24"/>
        </w:rPr>
        <w:t xml:space="preserve">the </w:t>
      </w:r>
      <w:r w:rsidRPr="00B27E16">
        <w:rPr>
          <w:rFonts w:ascii="Times New Roman" w:hAnsi="Times New Roman"/>
          <w:bCs/>
          <w:szCs w:val="24"/>
        </w:rPr>
        <w:t xml:space="preserve">letter and templates prepared by the Department and obviate then respond.  The average respondent burden for receiving, reading, filling out and emailing the waiver template is estimated at </w:t>
      </w:r>
      <w:r w:rsidRPr="00B27E16" w:rsidR="00A53556">
        <w:rPr>
          <w:rFonts w:ascii="Times New Roman" w:hAnsi="Times New Roman"/>
          <w:bCs/>
          <w:szCs w:val="24"/>
        </w:rPr>
        <w:t>1</w:t>
      </w:r>
      <w:r w:rsidRPr="00B27E16" w:rsidR="004A3599">
        <w:rPr>
          <w:rFonts w:ascii="Times New Roman" w:hAnsi="Times New Roman"/>
          <w:bCs/>
          <w:szCs w:val="24"/>
        </w:rPr>
        <w:t xml:space="preserve"> </w:t>
      </w:r>
      <w:r w:rsidRPr="00B27E16">
        <w:rPr>
          <w:rFonts w:ascii="Times New Roman" w:hAnsi="Times New Roman"/>
          <w:bCs/>
          <w:szCs w:val="24"/>
        </w:rPr>
        <w:t>hour</w:t>
      </w:r>
      <w:r w:rsidRPr="00B27E16" w:rsidR="002C0CC3">
        <w:rPr>
          <w:rFonts w:ascii="Times New Roman" w:hAnsi="Times New Roman"/>
          <w:bCs/>
          <w:szCs w:val="24"/>
        </w:rPr>
        <w:t>.</w:t>
      </w:r>
      <w:r w:rsidRPr="00B27E16">
        <w:rPr>
          <w:rFonts w:ascii="Times New Roman" w:hAnsi="Times New Roman"/>
          <w:bCs/>
          <w:szCs w:val="24"/>
        </w:rPr>
        <w:t xml:space="preserve">  This includes reading the instructions, collecting the information needed, attaching the form to the </w:t>
      </w:r>
      <w:proofErr w:type="gramStart"/>
      <w:r w:rsidRPr="00B27E16">
        <w:rPr>
          <w:rFonts w:ascii="Times New Roman" w:hAnsi="Times New Roman"/>
          <w:bCs/>
          <w:szCs w:val="24"/>
        </w:rPr>
        <w:t>email</w:t>
      </w:r>
      <w:proofErr w:type="gramEnd"/>
      <w:r w:rsidRPr="00B27E16">
        <w:rPr>
          <w:rFonts w:ascii="Times New Roman" w:hAnsi="Times New Roman"/>
          <w:bCs/>
          <w:szCs w:val="24"/>
        </w:rPr>
        <w:t xml:space="preserve"> and emailing it to the </w:t>
      </w:r>
      <w:hyperlink w:history="1" r:id="rId13">
        <w:r w:rsidRPr="00B27E16">
          <w:rPr>
            <w:rStyle w:val="Hyperlink"/>
            <w:rFonts w:ascii="Times New Roman" w:hAnsi="Times New Roman"/>
            <w:szCs w:val="24"/>
          </w:rPr>
          <w:t>OESE.TitleI-A@ed.gov</w:t>
        </w:r>
      </w:hyperlink>
      <w:r w:rsidRPr="00B27E16">
        <w:rPr>
          <w:rFonts w:ascii="Times New Roman" w:hAnsi="Times New Roman"/>
          <w:szCs w:val="24"/>
        </w:rPr>
        <w:t xml:space="preserve"> </w:t>
      </w:r>
      <w:r w:rsidRPr="00B27E16">
        <w:rPr>
          <w:rFonts w:ascii="Times New Roman" w:hAnsi="Times New Roman"/>
          <w:bCs/>
          <w:szCs w:val="24"/>
        </w:rPr>
        <w:t xml:space="preserve">mailbox. The estimated salary for SEA staff is $50 per hour.  The total burden is estimated as follows: </w:t>
      </w:r>
    </w:p>
    <w:p w:rsidRPr="00B27E16" w:rsidR="00F92A56" w:rsidP="00F92A56" w:rsidRDefault="00F92A56" w14:paraId="088DDDB5" w14:textId="77777777">
      <w:pPr>
        <w:pStyle w:val="ListParagraph"/>
        <w:tabs>
          <w:tab w:val="left" w:pos="-720"/>
        </w:tabs>
        <w:suppressAutoHyphens/>
        <w:ind w:left="0"/>
        <w:rPr>
          <w:rFonts w:ascii="Times New Roman" w:hAnsi="Times New Roman"/>
          <w:bCs/>
          <w:szCs w:val="24"/>
        </w:rPr>
      </w:pPr>
    </w:p>
    <w:p w:rsidRPr="00B27E16" w:rsidR="00F92A56" w:rsidP="00F92A56" w:rsidRDefault="00F92A56" w14:paraId="3A423FE6" w14:textId="74D66079">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t>5</w:t>
      </w:r>
      <w:r w:rsidRPr="00B27E16" w:rsidR="001832CE">
        <w:rPr>
          <w:rFonts w:ascii="Times New Roman" w:hAnsi="Times New Roman"/>
          <w:bCs/>
          <w:szCs w:val="24"/>
        </w:rPr>
        <w:t>3</w:t>
      </w:r>
      <w:r w:rsidRPr="00B27E16">
        <w:rPr>
          <w:rFonts w:ascii="Times New Roman" w:hAnsi="Times New Roman"/>
          <w:bCs/>
          <w:szCs w:val="24"/>
        </w:rPr>
        <w:t xml:space="preserve"> SEA Staff x </w:t>
      </w:r>
      <w:r w:rsidRPr="00B27E16" w:rsidR="00A53556">
        <w:rPr>
          <w:rFonts w:ascii="Times New Roman" w:hAnsi="Times New Roman"/>
          <w:bCs/>
          <w:szCs w:val="24"/>
        </w:rPr>
        <w:t>1</w:t>
      </w:r>
      <w:r w:rsidRPr="00B27E16" w:rsidR="004A3599">
        <w:rPr>
          <w:rFonts w:ascii="Times New Roman" w:hAnsi="Times New Roman"/>
          <w:bCs/>
          <w:szCs w:val="24"/>
        </w:rPr>
        <w:t xml:space="preserve"> </w:t>
      </w:r>
      <w:r w:rsidRPr="00B27E16">
        <w:rPr>
          <w:rFonts w:ascii="Times New Roman" w:hAnsi="Times New Roman"/>
          <w:bCs/>
          <w:szCs w:val="24"/>
        </w:rPr>
        <w:t>hours per SEA</w:t>
      </w:r>
      <w:r w:rsidRPr="00B27E16">
        <w:rPr>
          <w:rFonts w:ascii="Times New Roman" w:hAnsi="Times New Roman"/>
          <w:bCs/>
          <w:szCs w:val="24"/>
        </w:rPr>
        <w:tab/>
        <w:t>=</w:t>
      </w:r>
      <w:r w:rsidRPr="00B27E16">
        <w:rPr>
          <w:rFonts w:ascii="Times New Roman" w:hAnsi="Times New Roman"/>
          <w:bCs/>
          <w:szCs w:val="24"/>
        </w:rPr>
        <w:tab/>
      </w:r>
      <w:r w:rsidRPr="00B27E16" w:rsidR="00A53556">
        <w:rPr>
          <w:rFonts w:ascii="Times New Roman" w:hAnsi="Times New Roman"/>
          <w:bCs/>
          <w:szCs w:val="24"/>
        </w:rPr>
        <w:t>53</w:t>
      </w:r>
      <w:r w:rsidRPr="00B27E16" w:rsidR="00B47395">
        <w:rPr>
          <w:rFonts w:ascii="Times New Roman" w:hAnsi="Times New Roman"/>
          <w:bCs/>
          <w:szCs w:val="24"/>
        </w:rPr>
        <w:t xml:space="preserve"> </w:t>
      </w:r>
      <w:r w:rsidRPr="00B27E16">
        <w:rPr>
          <w:rFonts w:ascii="Times New Roman" w:hAnsi="Times New Roman"/>
          <w:bCs/>
          <w:szCs w:val="24"/>
        </w:rPr>
        <w:t>hours per year</w:t>
      </w:r>
      <w:r w:rsidRPr="00B27E16">
        <w:rPr>
          <w:rFonts w:ascii="Times New Roman" w:hAnsi="Times New Roman"/>
          <w:bCs/>
          <w:szCs w:val="24"/>
        </w:rPr>
        <w:tab/>
      </w:r>
      <w:r w:rsidRPr="00B27E16" w:rsidR="005667E6">
        <w:rPr>
          <w:rFonts w:ascii="Times New Roman" w:hAnsi="Times New Roman"/>
          <w:bCs/>
          <w:szCs w:val="24"/>
        </w:rPr>
        <w:tab/>
      </w:r>
      <w:r w:rsidRPr="00B27E16" w:rsidR="005667E6">
        <w:rPr>
          <w:rFonts w:ascii="Times New Roman" w:hAnsi="Times New Roman"/>
          <w:bCs/>
          <w:szCs w:val="24"/>
        </w:rPr>
        <w:tab/>
      </w:r>
      <w:r w:rsidRPr="00B27E16">
        <w:rPr>
          <w:rFonts w:ascii="Times New Roman" w:hAnsi="Times New Roman"/>
          <w:bCs/>
          <w:szCs w:val="24"/>
        </w:rPr>
        <w:tab/>
      </w:r>
    </w:p>
    <w:p w:rsidRPr="00B27E16" w:rsidR="00F92A56" w:rsidP="00F92A56" w:rsidRDefault="00F92A56" w14:paraId="1A9A1C45" w14:textId="77777777">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r>
    </w:p>
    <w:p w:rsidRPr="00B27E16" w:rsidR="00F92A56" w:rsidP="00F92A56" w:rsidRDefault="00F92A56" w14:paraId="253B4202" w14:textId="5BFDF1B7">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t>Total SEA Staff Hours</w:t>
      </w:r>
      <w:r w:rsidRPr="00B27E16" w:rsidR="00A53556">
        <w:rPr>
          <w:rFonts w:ascii="Times New Roman" w:hAnsi="Times New Roman"/>
          <w:bCs/>
          <w:szCs w:val="24"/>
        </w:rPr>
        <w:tab/>
      </w:r>
      <w:r w:rsidRPr="00B27E16" w:rsidR="00A53556">
        <w:rPr>
          <w:rFonts w:ascii="Times New Roman" w:hAnsi="Times New Roman"/>
          <w:bCs/>
          <w:szCs w:val="24"/>
        </w:rPr>
        <w:tab/>
      </w:r>
      <w:r w:rsidRPr="00B27E16">
        <w:rPr>
          <w:rFonts w:ascii="Times New Roman" w:hAnsi="Times New Roman"/>
          <w:bCs/>
          <w:szCs w:val="24"/>
        </w:rPr>
        <w:tab/>
        <w:t>=</w:t>
      </w:r>
      <w:r w:rsidRPr="00B27E16">
        <w:rPr>
          <w:rFonts w:ascii="Times New Roman" w:hAnsi="Times New Roman"/>
          <w:bCs/>
          <w:szCs w:val="24"/>
        </w:rPr>
        <w:tab/>
      </w:r>
      <w:r w:rsidRPr="00B27E16" w:rsidR="00A53556">
        <w:rPr>
          <w:rFonts w:ascii="Times New Roman" w:hAnsi="Times New Roman"/>
          <w:bCs/>
          <w:szCs w:val="24"/>
        </w:rPr>
        <w:t>53</w:t>
      </w:r>
      <w:r w:rsidRPr="00B27E16" w:rsidR="00B47395">
        <w:rPr>
          <w:rFonts w:ascii="Times New Roman" w:hAnsi="Times New Roman"/>
          <w:bCs/>
          <w:szCs w:val="24"/>
        </w:rPr>
        <w:t xml:space="preserve"> </w:t>
      </w:r>
      <w:r w:rsidRPr="00B27E16">
        <w:rPr>
          <w:rFonts w:ascii="Times New Roman" w:hAnsi="Times New Roman"/>
          <w:bCs/>
          <w:szCs w:val="24"/>
        </w:rPr>
        <w:t>hours</w:t>
      </w:r>
    </w:p>
    <w:p w:rsidRPr="00B27E16" w:rsidR="00F92A56" w:rsidP="00F92A56" w:rsidRDefault="00F92A56" w14:paraId="6D601061" w14:textId="43FD3ACE">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r>
      <w:r w:rsidRPr="00B27E16">
        <w:rPr>
          <w:rFonts w:ascii="Times New Roman" w:hAnsi="Times New Roman"/>
          <w:bCs/>
          <w:szCs w:val="24"/>
        </w:rPr>
        <w:tab/>
      </w:r>
      <w:r w:rsidRPr="00B27E16" w:rsidR="005667E6">
        <w:rPr>
          <w:rFonts w:ascii="Times New Roman" w:hAnsi="Times New Roman"/>
          <w:bCs/>
          <w:szCs w:val="24"/>
        </w:rPr>
        <w:tab/>
      </w:r>
      <w:r w:rsidRPr="00B27E16" w:rsidR="005667E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r>
      <w:r w:rsidRPr="00B27E16">
        <w:rPr>
          <w:rFonts w:ascii="Times New Roman" w:hAnsi="Times New Roman"/>
          <w:bCs/>
          <w:szCs w:val="24"/>
        </w:rPr>
        <w:tab/>
        <w:t>x $50 per hour</w:t>
      </w:r>
    </w:p>
    <w:p w:rsidRPr="00B27E16" w:rsidR="00F92A56" w:rsidP="00F92A56" w:rsidRDefault="00F92A56" w14:paraId="10739B21" w14:textId="77777777">
      <w:pPr>
        <w:pStyle w:val="ListParagraph"/>
        <w:tabs>
          <w:tab w:val="left" w:pos="-720"/>
        </w:tabs>
        <w:suppressAutoHyphens/>
        <w:ind w:left="0"/>
        <w:rPr>
          <w:rFonts w:ascii="Times New Roman" w:hAnsi="Times New Roman"/>
          <w:bCs/>
          <w:szCs w:val="24"/>
        </w:rPr>
      </w:pPr>
    </w:p>
    <w:p w:rsidRPr="00B27E16" w:rsidR="00F92A56" w:rsidP="00F92A56" w:rsidRDefault="00F92A56" w14:paraId="19614849" w14:textId="66165ABB">
      <w:pPr>
        <w:pStyle w:val="ListParagraph"/>
        <w:tabs>
          <w:tab w:val="left" w:pos="-720"/>
        </w:tabs>
        <w:suppressAutoHyphens/>
        <w:ind w:left="0"/>
        <w:rPr>
          <w:rFonts w:ascii="Times New Roman" w:hAnsi="Times New Roman"/>
          <w:bCs/>
          <w:szCs w:val="24"/>
        </w:rPr>
      </w:pPr>
      <w:r w:rsidRPr="00B27E16">
        <w:rPr>
          <w:rFonts w:ascii="Times New Roman" w:hAnsi="Times New Roman"/>
          <w:bCs/>
          <w:szCs w:val="24"/>
        </w:rPr>
        <w:tab/>
        <w:t>Total SEA Staff Cost</w:t>
      </w:r>
      <w:r w:rsidRPr="00B27E16">
        <w:rPr>
          <w:rFonts w:ascii="Times New Roman" w:hAnsi="Times New Roman"/>
          <w:bCs/>
          <w:szCs w:val="24"/>
        </w:rPr>
        <w:tab/>
      </w:r>
      <w:r w:rsidRPr="00B27E16" w:rsidR="00A53556">
        <w:rPr>
          <w:rFonts w:ascii="Times New Roman" w:hAnsi="Times New Roman"/>
          <w:bCs/>
          <w:szCs w:val="24"/>
        </w:rPr>
        <w:tab/>
      </w:r>
      <w:r w:rsidRPr="00B27E16" w:rsidR="00A53556">
        <w:rPr>
          <w:rFonts w:ascii="Times New Roman" w:hAnsi="Times New Roman"/>
          <w:bCs/>
          <w:szCs w:val="24"/>
        </w:rPr>
        <w:tab/>
      </w:r>
      <w:r w:rsidRPr="00B27E16">
        <w:rPr>
          <w:rFonts w:ascii="Times New Roman" w:hAnsi="Times New Roman"/>
          <w:bCs/>
          <w:szCs w:val="24"/>
        </w:rPr>
        <w:t>=</w:t>
      </w:r>
      <w:r w:rsidRPr="00B27E16">
        <w:rPr>
          <w:rFonts w:ascii="Times New Roman" w:hAnsi="Times New Roman"/>
          <w:bCs/>
          <w:szCs w:val="24"/>
        </w:rPr>
        <w:tab/>
        <w:t>$</w:t>
      </w:r>
      <w:r w:rsidRPr="00B27E16" w:rsidR="00A53556">
        <w:rPr>
          <w:rFonts w:ascii="Times New Roman" w:hAnsi="Times New Roman"/>
          <w:bCs/>
          <w:szCs w:val="24"/>
        </w:rPr>
        <w:t>2,650</w:t>
      </w:r>
    </w:p>
    <w:p w:rsidRPr="00B27E16" w:rsidR="00F92A56" w:rsidP="00F92A56" w:rsidRDefault="00F92A56" w14:paraId="441ED37D" w14:textId="77777777">
      <w:pPr>
        <w:pStyle w:val="ListParagraph"/>
        <w:tabs>
          <w:tab w:val="left" w:pos="-720"/>
        </w:tabs>
        <w:suppressAutoHyphens/>
        <w:ind w:left="0"/>
        <w:rPr>
          <w:rFonts w:ascii="Times New Roman" w:hAnsi="Times New Roman"/>
          <w:bCs/>
          <w:szCs w:val="24"/>
        </w:rPr>
      </w:pPr>
    </w:p>
    <w:p w:rsidRPr="00B27E16" w:rsidR="00F92A56" w:rsidP="00F92A56" w:rsidRDefault="00F92A56" w14:paraId="174815DC" w14:textId="4A5B1047">
      <w:pPr>
        <w:pStyle w:val="ListParagraph"/>
        <w:tabs>
          <w:tab w:val="left" w:pos="-720"/>
        </w:tabs>
        <w:suppressAutoHyphens/>
        <w:ind w:left="0"/>
        <w:contextualSpacing w:val="0"/>
        <w:rPr>
          <w:rFonts w:ascii="Times New Roman" w:hAnsi="Times New Roman"/>
          <w:bCs/>
          <w:szCs w:val="24"/>
        </w:rPr>
      </w:pPr>
      <w:r w:rsidRPr="00B27E16">
        <w:rPr>
          <w:rFonts w:ascii="Times New Roman" w:hAnsi="Times New Roman"/>
          <w:bCs/>
          <w:szCs w:val="24"/>
        </w:rPr>
        <w:t xml:space="preserve">The number respondents </w:t>
      </w:r>
      <w:proofErr w:type="gramStart"/>
      <w:r w:rsidRPr="00B27E16" w:rsidR="000500D2">
        <w:rPr>
          <w:rFonts w:ascii="Times New Roman" w:hAnsi="Times New Roman"/>
          <w:bCs/>
          <w:szCs w:val="24"/>
        </w:rPr>
        <w:t>equals</w:t>
      </w:r>
      <w:proofErr w:type="gramEnd"/>
      <w:r w:rsidRPr="00B27E16" w:rsidR="000500D2">
        <w:rPr>
          <w:rFonts w:ascii="Times New Roman" w:hAnsi="Times New Roman"/>
          <w:bCs/>
          <w:szCs w:val="24"/>
        </w:rPr>
        <w:t xml:space="preserve"> the number of SEAs that participate in Title I, Part A</w:t>
      </w:r>
      <w:r w:rsidRPr="00B27E16">
        <w:rPr>
          <w:rFonts w:ascii="Times New Roman" w:hAnsi="Times New Roman"/>
          <w:bCs/>
          <w:szCs w:val="24"/>
        </w:rPr>
        <w:t xml:space="preserve">. </w:t>
      </w:r>
      <w:r w:rsidRPr="00B27E16" w:rsidR="000500D2">
        <w:rPr>
          <w:rFonts w:ascii="Times New Roman" w:hAnsi="Times New Roman"/>
          <w:bCs/>
          <w:szCs w:val="24"/>
        </w:rPr>
        <w:t>The SEAs are those in the</w:t>
      </w:r>
      <w:r w:rsidRPr="00B27E16">
        <w:rPr>
          <w:rFonts w:ascii="Times New Roman" w:hAnsi="Times New Roman"/>
          <w:bCs/>
          <w:szCs w:val="24"/>
        </w:rPr>
        <w:t xml:space="preserve"> 50 States, the District of Columbia</w:t>
      </w:r>
      <w:r w:rsidRPr="00B27E16" w:rsidR="0021682F">
        <w:rPr>
          <w:rFonts w:ascii="Times New Roman" w:hAnsi="Times New Roman"/>
          <w:bCs/>
          <w:szCs w:val="24"/>
        </w:rPr>
        <w:t>,</w:t>
      </w:r>
      <w:r w:rsidRPr="00B27E16">
        <w:rPr>
          <w:rFonts w:ascii="Times New Roman" w:hAnsi="Times New Roman"/>
          <w:bCs/>
          <w:szCs w:val="24"/>
        </w:rPr>
        <w:t xml:space="preserve"> the Commonwealth of Puerto Rico</w:t>
      </w:r>
      <w:r w:rsidRPr="00B27E16" w:rsidR="000500D2">
        <w:rPr>
          <w:rFonts w:ascii="Times New Roman" w:hAnsi="Times New Roman"/>
          <w:bCs/>
          <w:szCs w:val="24"/>
        </w:rPr>
        <w:t>, and</w:t>
      </w:r>
      <w:r w:rsidRPr="00B27E16">
        <w:rPr>
          <w:rFonts w:ascii="Times New Roman" w:hAnsi="Times New Roman"/>
          <w:bCs/>
          <w:szCs w:val="24"/>
        </w:rPr>
        <w:t xml:space="preserve"> the Bureau of Indian Education. The Department expects all 5</w:t>
      </w:r>
      <w:r w:rsidRPr="00B27E16" w:rsidR="000500D2">
        <w:rPr>
          <w:rFonts w:ascii="Times New Roman" w:hAnsi="Times New Roman"/>
          <w:bCs/>
          <w:szCs w:val="24"/>
        </w:rPr>
        <w:t>3</w:t>
      </w:r>
      <w:r w:rsidRPr="00B27E16">
        <w:rPr>
          <w:rFonts w:ascii="Times New Roman" w:hAnsi="Times New Roman"/>
          <w:bCs/>
          <w:szCs w:val="24"/>
        </w:rPr>
        <w:t xml:space="preserve"> </w:t>
      </w:r>
      <w:r w:rsidRPr="00B27E16" w:rsidR="000500D2">
        <w:rPr>
          <w:rFonts w:ascii="Times New Roman" w:hAnsi="Times New Roman"/>
          <w:bCs/>
          <w:szCs w:val="24"/>
        </w:rPr>
        <w:t>SEAs</w:t>
      </w:r>
      <w:r w:rsidRPr="00B27E16">
        <w:rPr>
          <w:rFonts w:ascii="Times New Roman" w:hAnsi="Times New Roman"/>
          <w:bCs/>
          <w:szCs w:val="24"/>
        </w:rPr>
        <w:t xml:space="preserve"> to request a waive</w:t>
      </w:r>
      <w:r w:rsidRPr="00B27E16" w:rsidR="0021682F">
        <w:rPr>
          <w:rFonts w:ascii="Times New Roman" w:hAnsi="Times New Roman"/>
          <w:bCs/>
          <w:szCs w:val="24"/>
        </w:rPr>
        <w:t>r</w:t>
      </w:r>
      <w:r w:rsidRPr="00B27E16">
        <w:rPr>
          <w:rFonts w:ascii="Times New Roman" w:hAnsi="Times New Roman"/>
          <w:bCs/>
          <w:szCs w:val="24"/>
        </w:rPr>
        <w:t xml:space="preserve">. </w:t>
      </w:r>
    </w:p>
    <w:p w:rsidRPr="00F92A56" w:rsidR="00920F63" w:rsidP="00F92A56" w:rsidRDefault="00920F63" w14:paraId="4C9C7591" w14:textId="77777777">
      <w:pPr>
        <w:pStyle w:val="ListParagraph"/>
        <w:tabs>
          <w:tab w:val="left" w:pos="-720"/>
        </w:tabs>
        <w:suppressAutoHyphens/>
        <w:ind w:left="0"/>
        <w:rPr>
          <w:rStyle w:val="a"/>
          <w:rFonts w:ascii="Times New Roman" w:hAnsi="Times New Roman"/>
          <w:szCs w:val="24"/>
        </w:rPr>
      </w:pPr>
    </w:p>
    <w:p w:rsidRPr="00920F63" w:rsidR="00ED7195" w:rsidP="00756FD3" w:rsidRDefault="00ED7195" w14:paraId="4C9C7592" w14:textId="2D2B6C52">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92A56">
        <w:rPr>
          <w:rFonts w:ascii="Times New Roman" w:hAnsi="Times New Roman"/>
          <w:color w:val="000000" w:themeColor="text1"/>
          <w:sz w:val="24"/>
          <w:szCs w:val="24"/>
        </w:rPr>
        <w:t xml:space="preserve">One-Time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CellMar>
          <w:bottom w:w="43" w:type="dxa"/>
        </w:tblCellMar>
        <w:tblLook w:val="0020" w:firstRow="1" w:lastRow="0" w:firstColumn="0" w:lastColumn="0" w:noHBand="0" w:noVBand="0"/>
      </w:tblPr>
      <w:tblGrid>
        <w:gridCol w:w="1525"/>
        <w:gridCol w:w="1260"/>
        <w:gridCol w:w="1080"/>
        <w:gridCol w:w="1170"/>
        <w:gridCol w:w="900"/>
        <w:gridCol w:w="1530"/>
        <w:gridCol w:w="1350"/>
      </w:tblGrid>
      <w:tr w:rsidRPr="00442E07" w:rsidR="00F92A56" w:rsidTr="00A53556" w14:paraId="4C9C75AA" w14:textId="77777777">
        <w:trPr>
          <w:trHeight w:val="1073"/>
          <w:tblHeader/>
        </w:trPr>
        <w:tc>
          <w:tcPr>
            <w:tcW w:w="1525" w:type="dxa"/>
            <w:vAlign w:val="bottom"/>
          </w:tcPr>
          <w:p w:rsidRPr="007F6104" w:rsidR="00F92A56" w:rsidP="00A53556" w:rsidRDefault="00F92A56" w14:paraId="4C9C759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vAlign w:val="bottom"/>
          </w:tcPr>
          <w:p w:rsidRPr="007F6104" w:rsidR="00F92A56" w:rsidP="00A53556" w:rsidRDefault="00F92A56" w14:paraId="4C9C759C"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bottom"/>
          </w:tcPr>
          <w:p w:rsidRPr="007F6104" w:rsidR="00F92A56" w:rsidP="00A53556" w:rsidRDefault="00F92A56" w14:paraId="4C9C759F" w14:textId="77777777">
            <w:pPr>
              <w:jc w:val="center"/>
              <w:rPr>
                <w:rFonts w:ascii="Times New Roman" w:hAnsi="Times New Roman"/>
                <w:sz w:val="20"/>
              </w:rPr>
            </w:pPr>
            <w:r w:rsidRPr="007F6104">
              <w:rPr>
                <w:rFonts w:ascii="Times New Roman" w:hAnsi="Times New Roman"/>
                <w:sz w:val="20"/>
              </w:rPr>
              <w:t>Number of Responses</w:t>
            </w:r>
          </w:p>
        </w:tc>
        <w:tc>
          <w:tcPr>
            <w:tcW w:w="1170" w:type="dxa"/>
            <w:vAlign w:val="bottom"/>
          </w:tcPr>
          <w:p w:rsidRPr="007F6104" w:rsidR="00F92A56" w:rsidP="00A53556" w:rsidRDefault="00F92A56" w14:paraId="4C9C75A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bottom"/>
          </w:tcPr>
          <w:p w:rsidRPr="007F6104" w:rsidR="00F92A56" w:rsidP="00A53556" w:rsidRDefault="00F92A56" w14:paraId="4C9C75A3"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bottom"/>
          </w:tcPr>
          <w:p w:rsidRPr="007F6104" w:rsidR="00F92A56" w:rsidP="00A53556" w:rsidRDefault="00F92A56" w14:paraId="4C9C75A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bottom"/>
          </w:tcPr>
          <w:p w:rsidRPr="007F6104" w:rsidR="00F92A56" w:rsidP="00A53556" w:rsidRDefault="00F92A56" w14:paraId="4C9C75A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F92A56" w:rsidTr="00A53556" w14:paraId="15374684" w14:textId="77777777">
        <w:tc>
          <w:tcPr>
            <w:tcW w:w="1525" w:type="dxa"/>
          </w:tcPr>
          <w:p w:rsidRPr="00F92A56" w:rsidR="00F92A56" w:rsidP="00FE1BAE" w:rsidRDefault="00F92A56" w14:paraId="1085DE01" w14:textId="6CB2BD07">
            <w:pPr>
              <w:rPr>
                <w:rFonts w:ascii="Times New Roman" w:hAnsi="Times New Roman"/>
                <w:sz w:val="22"/>
                <w:szCs w:val="22"/>
              </w:rPr>
            </w:pPr>
            <w:r w:rsidRPr="00F92A56">
              <w:rPr>
                <w:rFonts w:ascii="Times New Roman" w:hAnsi="Times New Roman"/>
                <w:sz w:val="22"/>
                <w:szCs w:val="22"/>
              </w:rPr>
              <w:t xml:space="preserve">SEA </w:t>
            </w:r>
            <w:r w:rsidR="00A53556">
              <w:rPr>
                <w:rFonts w:ascii="Times New Roman" w:hAnsi="Times New Roman"/>
                <w:sz w:val="22"/>
                <w:szCs w:val="22"/>
              </w:rPr>
              <w:t>Fiscal</w:t>
            </w:r>
            <w:r w:rsidRPr="00F92A56">
              <w:rPr>
                <w:rFonts w:ascii="Times New Roman" w:hAnsi="Times New Roman"/>
                <w:sz w:val="22"/>
                <w:szCs w:val="22"/>
              </w:rPr>
              <w:t xml:space="preserve"> Waiver Request</w:t>
            </w:r>
          </w:p>
        </w:tc>
        <w:tc>
          <w:tcPr>
            <w:tcW w:w="1260" w:type="dxa"/>
          </w:tcPr>
          <w:p w:rsidRPr="00F92A56" w:rsidR="00F92A56" w:rsidP="00DC23FD" w:rsidRDefault="00F92A56" w14:paraId="7AA27D5D" w14:textId="3C848E6E">
            <w:pPr>
              <w:jc w:val="center"/>
              <w:rPr>
                <w:rFonts w:ascii="Times New Roman" w:hAnsi="Times New Roman"/>
                <w:sz w:val="22"/>
                <w:szCs w:val="22"/>
              </w:rPr>
            </w:pPr>
            <w:r w:rsidRPr="00F92A56">
              <w:rPr>
                <w:rFonts w:ascii="Times New Roman" w:hAnsi="Times New Roman"/>
                <w:sz w:val="22"/>
                <w:szCs w:val="22"/>
              </w:rPr>
              <w:t>53</w:t>
            </w:r>
          </w:p>
        </w:tc>
        <w:tc>
          <w:tcPr>
            <w:tcW w:w="1080" w:type="dxa"/>
          </w:tcPr>
          <w:p w:rsidRPr="00F92A56" w:rsidR="00F92A56" w:rsidP="00FE1BAE" w:rsidRDefault="00F92A56" w14:paraId="46B0510C" w14:textId="2C513B61">
            <w:pPr>
              <w:jc w:val="center"/>
              <w:rPr>
                <w:rFonts w:ascii="Times New Roman" w:hAnsi="Times New Roman"/>
                <w:sz w:val="22"/>
                <w:szCs w:val="22"/>
              </w:rPr>
            </w:pPr>
            <w:r w:rsidRPr="00F92A56">
              <w:rPr>
                <w:rFonts w:ascii="Times New Roman" w:hAnsi="Times New Roman"/>
                <w:sz w:val="22"/>
                <w:szCs w:val="22"/>
              </w:rPr>
              <w:t>53</w:t>
            </w:r>
          </w:p>
        </w:tc>
        <w:tc>
          <w:tcPr>
            <w:tcW w:w="1170" w:type="dxa"/>
          </w:tcPr>
          <w:p w:rsidRPr="00F92A56" w:rsidR="00F92A56" w:rsidP="00FE1BAE" w:rsidRDefault="00A53556" w14:paraId="7522015D" w14:textId="72CB2386">
            <w:pPr>
              <w:jc w:val="center"/>
              <w:rPr>
                <w:rFonts w:ascii="Times New Roman" w:hAnsi="Times New Roman"/>
                <w:sz w:val="22"/>
                <w:szCs w:val="22"/>
              </w:rPr>
            </w:pPr>
            <w:r>
              <w:rPr>
                <w:rFonts w:ascii="Times New Roman" w:hAnsi="Times New Roman"/>
                <w:sz w:val="22"/>
                <w:szCs w:val="22"/>
              </w:rPr>
              <w:t>1</w:t>
            </w:r>
          </w:p>
        </w:tc>
        <w:tc>
          <w:tcPr>
            <w:tcW w:w="900" w:type="dxa"/>
          </w:tcPr>
          <w:p w:rsidRPr="00F92A56" w:rsidR="00F92A56" w:rsidP="00FE1BAE" w:rsidRDefault="00A53556" w14:paraId="349B3BFB" w14:textId="2B177D7E">
            <w:pPr>
              <w:rPr>
                <w:rFonts w:ascii="Times New Roman" w:hAnsi="Times New Roman"/>
                <w:sz w:val="22"/>
                <w:szCs w:val="22"/>
              </w:rPr>
            </w:pPr>
            <w:r>
              <w:rPr>
                <w:rFonts w:ascii="Times New Roman" w:hAnsi="Times New Roman"/>
                <w:sz w:val="22"/>
                <w:szCs w:val="22"/>
              </w:rPr>
              <w:t>53</w:t>
            </w:r>
          </w:p>
        </w:tc>
        <w:tc>
          <w:tcPr>
            <w:tcW w:w="1530" w:type="dxa"/>
          </w:tcPr>
          <w:p w:rsidRPr="00F92A56" w:rsidR="00F92A56" w:rsidP="00FE1BAE" w:rsidRDefault="00F92A56" w14:paraId="4258D4F0" w14:textId="56768135">
            <w:pPr>
              <w:rPr>
                <w:rFonts w:ascii="Times New Roman" w:hAnsi="Times New Roman"/>
                <w:sz w:val="22"/>
                <w:szCs w:val="22"/>
              </w:rPr>
            </w:pPr>
            <w:r w:rsidRPr="00F92A56">
              <w:rPr>
                <w:rFonts w:ascii="Times New Roman" w:hAnsi="Times New Roman"/>
                <w:sz w:val="22"/>
                <w:szCs w:val="22"/>
              </w:rPr>
              <w:t>$50</w:t>
            </w:r>
          </w:p>
        </w:tc>
        <w:tc>
          <w:tcPr>
            <w:tcW w:w="1350" w:type="dxa"/>
          </w:tcPr>
          <w:p w:rsidRPr="00F92A56" w:rsidR="00F92A56" w:rsidP="00FE1BAE" w:rsidRDefault="00F92A56" w14:paraId="64EDE356" w14:textId="25926222">
            <w:pPr>
              <w:rPr>
                <w:rFonts w:ascii="Times New Roman" w:hAnsi="Times New Roman"/>
                <w:sz w:val="22"/>
                <w:szCs w:val="22"/>
              </w:rPr>
            </w:pPr>
            <w:r w:rsidRPr="00F92A56">
              <w:rPr>
                <w:rFonts w:ascii="Times New Roman" w:hAnsi="Times New Roman"/>
                <w:sz w:val="22"/>
                <w:szCs w:val="22"/>
              </w:rPr>
              <w:t>$</w:t>
            </w:r>
            <w:r w:rsidRPr="00A53556" w:rsidR="00A53556">
              <w:rPr>
                <w:rFonts w:ascii="Times New Roman" w:hAnsi="Times New Roman"/>
                <w:sz w:val="22"/>
                <w:szCs w:val="22"/>
              </w:rPr>
              <w:t>2,650</w:t>
            </w:r>
          </w:p>
        </w:tc>
      </w:tr>
      <w:tr w:rsidRPr="00442E07" w:rsidR="00F92A56" w:rsidTr="00A53556" w14:paraId="4C9C75DC" w14:textId="77777777">
        <w:tc>
          <w:tcPr>
            <w:tcW w:w="1525" w:type="dxa"/>
          </w:tcPr>
          <w:p w:rsidRPr="00F92A56" w:rsidR="00F92A56" w:rsidP="00FE1BAE" w:rsidRDefault="00F92A56" w14:paraId="4C9C75D3" w14:textId="77777777">
            <w:pPr>
              <w:rPr>
                <w:rFonts w:ascii="Times New Roman" w:hAnsi="Times New Roman"/>
                <w:sz w:val="22"/>
                <w:szCs w:val="22"/>
              </w:rPr>
            </w:pPr>
            <w:r w:rsidRPr="00F92A56">
              <w:rPr>
                <w:rFonts w:ascii="Times New Roman" w:hAnsi="Times New Roman"/>
                <w:sz w:val="22"/>
                <w:szCs w:val="22"/>
              </w:rPr>
              <w:t>Annualized Totals</w:t>
            </w:r>
          </w:p>
        </w:tc>
        <w:tc>
          <w:tcPr>
            <w:tcW w:w="1260" w:type="dxa"/>
          </w:tcPr>
          <w:p w:rsidRPr="00F92A56" w:rsidR="00F92A56" w:rsidP="00DC23FD" w:rsidRDefault="00E32FA1" w14:paraId="4C9C75D6" w14:textId="6572DAE0">
            <w:pPr>
              <w:jc w:val="center"/>
              <w:rPr>
                <w:rFonts w:ascii="Times New Roman" w:hAnsi="Times New Roman"/>
                <w:sz w:val="22"/>
                <w:szCs w:val="22"/>
              </w:rPr>
            </w:pPr>
            <w:r>
              <w:rPr>
                <w:rFonts w:ascii="Times New Roman" w:hAnsi="Times New Roman"/>
                <w:sz w:val="22"/>
                <w:szCs w:val="22"/>
              </w:rPr>
              <w:t>53</w:t>
            </w:r>
          </w:p>
        </w:tc>
        <w:tc>
          <w:tcPr>
            <w:tcW w:w="1080" w:type="dxa"/>
          </w:tcPr>
          <w:p w:rsidRPr="00F92A56" w:rsidR="00F92A56" w:rsidP="00DC23FD" w:rsidRDefault="002C0CC3" w14:paraId="4C9C75D7" w14:textId="67497F80">
            <w:pPr>
              <w:jc w:val="center"/>
              <w:rPr>
                <w:rFonts w:ascii="Times New Roman" w:hAnsi="Times New Roman"/>
                <w:sz w:val="22"/>
                <w:szCs w:val="22"/>
              </w:rPr>
            </w:pPr>
            <w:r>
              <w:rPr>
                <w:rFonts w:ascii="Times New Roman" w:hAnsi="Times New Roman"/>
                <w:sz w:val="22"/>
                <w:szCs w:val="22"/>
              </w:rPr>
              <w:t>53</w:t>
            </w:r>
          </w:p>
        </w:tc>
        <w:tc>
          <w:tcPr>
            <w:tcW w:w="1170" w:type="dxa"/>
          </w:tcPr>
          <w:p w:rsidRPr="00F92A56" w:rsidR="00F92A56" w:rsidP="00FE1BAE" w:rsidRDefault="00F92A56" w14:paraId="4C9C75D8" w14:textId="77777777">
            <w:pPr>
              <w:rPr>
                <w:rFonts w:ascii="Times New Roman" w:hAnsi="Times New Roman"/>
                <w:sz w:val="22"/>
                <w:szCs w:val="22"/>
              </w:rPr>
            </w:pPr>
          </w:p>
        </w:tc>
        <w:tc>
          <w:tcPr>
            <w:tcW w:w="900" w:type="dxa"/>
          </w:tcPr>
          <w:p w:rsidRPr="00F92A56" w:rsidR="00F92A56" w:rsidP="00FE1BAE" w:rsidRDefault="00A53556" w14:paraId="4C9C75D9" w14:textId="7DDFD8E9">
            <w:pPr>
              <w:rPr>
                <w:rFonts w:ascii="Times New Roman" w:hAnsi="Times New Roman"/>
                <w:sz w:val="22"/>
                <w:szCs w:val="22"/>
              </w:rPr>
            </w:pPr>
            <w:r>
              <w:rPr>
                <w:rFonts w:ascii="Times New Roman" w:hAnsi="Times New Roman"/>
                <w:sz w:val="22"/>
                <w:szCs w:val="22"/>
              </w:rPr>
              <w:t>53</w:t>
            </w:r>
          </w:p>
        </w:tc>
        <w:tc>
          <w:tcPr>
            <w:tcW w:w="1530" w:type="dxa"/>
          </w:tcPr>
          <w:p w:rsidRPr="00F92A56" w:rsidR="00F92A56" w:rsidP="00FE1BAE" w:rsidRDefault="00F92A56" w14:paraId="4C9C75DA" w14:textId="77777777">
            <w:pPr>
              <w:rPr>
                <w:rFonts w:ascii="Times New Roman" w:hAnsi="Times New Roman"/>
                <w:sz w:val="22"/>
                <w:szCs w:val="22"/>
              </w:rPr>
            </w:pPr>
          </w:p>
        </w:tc>
        <w:tc>
          <w:tcPr>
            <w:tcW w:w="1350" w:type="dxa"/>
          </w:tcPr>
          <w:p w:rsidRPr="00F92A56" w:rsidR="00F92A56" w:rsidP="00FE1BAE" w:rsidRDefault="00251FA7" w14:paraId="4C9C75DB" w14:textId="55E753C2">
            <w:pPr>
              <w:rPr>
                <w:rFonts w:ascii="Times New Roman" w:hAnsi="Times New Roman"/>
                <w:sz w:val="22"/>
                <w:szCs w:val="22"/>
              </w:rPr>
            </w:pPr>
            <w:r w:rsidRPr="00F92A56">
              <w:rPr>
                <w:rFonts w:ascii="Times New Roman" w:hAnsi="Times New Roman"/>
                <w:sz w:val="22"/>
                <w:szCs w:val="22"/>
              </w:rPr>
              <w:t>$</w:t>
            </w:r>
            <w:r w:rsidRPr="00A53556" w:rsidR="00A53556">
              <w:rPr>
                <w:rFonts w:ascii="Times New Roman" w:hAnsi="Times New Roman"/>
                <w:sz w:val="22"/>
                <w:szCs w:val="22"/>
              </w:rPr>
              <w:t>2,650</w:t>
            </w:r>
          </w:p>
        </w:tc>
      </w:tr>
    </w:tbl>
    <w:p w:rsidR="001A6AE0" w:rsidP="000446F5" w:rsidRDefault="001A6AE0" w14:paraId="4C9C75DD"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4C9C75DE"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4C9C75D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4C9C75E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C9C75E1" w14:textId="77777777">
      <w:pPr>
        <w:tabs>
          <w:tab w:val="left" w:pos="-720"/>
        </w:tabs>
        <w:suppressAutoHyphens/>
        <w:rPr>
          <w:rFonts w:ascii="Times New Roman" w:hAnsi="Times New Roman"/>
          <w:b/>
          <w:szCs w:val="24"/>
        </w:rPr>
      </w:pPr>
    </w:p>
    <w:p w:rsidRPr="00ED7195" w:rsidR="00043C32" w:rsidP="00AD381B" w:rsidRDefault="00043C32" w14:paraId="4C9C75E2"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4C9C75E3"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C9C75E4"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w:t>
      </w:r>
      <w:r w:rsidRPr="00ED7195">
        <w:rPr>
          <w:rFonts w:ascii="Times New Roman" w:hAnsi="Times New Roman"/>
          <w:b/>
          <w:szCs w:val="24"/>
        </w:rPr>
        <w:lastRenderedPageBreak/>
        <w:t xml:space="preserve">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4C9C75E5"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C9C75E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C9C75E7" w14:textId="77777777">
      <w:pPr>
        <w:tabs>
          <w:tab w:val="left" w:pos="-720"/>
        </w:tabs>
        <w:suppressAutoHyphens/>
        <w:rPr>
          <w:rFonts w:ascii="Times New Roman" w:hAnsi="Times New Roman"/>
          <w:b/>
          <w:szCs w:val="24"/>
        </w:rPr>
      </w:pPr>
    </w:p>
    <w:p w:rsidRPr="00ED7195" w:rsidR="00043C32" w:rsidP="00AD381B" w:rsidRDefault="00043C32" w14:paraId="4C9C75E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4C9C75E9"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4C9C75EA" w14:textId="7E0EBD7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B27E16" w:rsidR="00350690" w:rsidP="00AD381B" w:rsidRDefault="00350690" w14:paraId="1686BB19" w14:textId="49C46B26">
      <w:pPr>
        <w:tabs>
          <w:tab w:val="left" w:pos="-720"/>
        </w:tabs>
        <w:suppressAutoHyphens/>
        <w:rPr>
          <w:rFonts w:ascii="Times New Roman" w:hAnsi="Times New Roman"/>
          <w:b/>
          <w:szCs w:val="24"/>
        </w:rPr>
      </w:pPr>
    </w:p>
    <w:p w:rsidRPr="00B27E16" w:rsidR="00350690" w:rsidP="00AD381B" w:rsidRDefault="00350690" w14:paraId="0F4F6C12" w14:textId="51173448">
      <w:pPr>
        <w:tabs>
          <w:tab w:val="left" w:pos="-720"/>
        </w:tabs>
        <w:suppressAutoHyphens/>
        <w:rPr>
          <w:rFonts w:ascii="Times New Roman" w:hAnsi="Times New Roman"/>
          <w:bCs/>
          <w:szCs w:val="24"/>
        </w:rPr>
      </w:pPr>
      <w:r w:rsidRPr="00B27E16">
        <w:rPr>
          <w:rFonts w:ascii="Times New Roman" w:hAnsi="Times New Roman"/>
          <w:bCs/>
          <w:szCs w:val="24"/>
        </w:rPr>
        <w:t>This information collection does not require the use of capital, start-up, operation and maintenance, or purchase costs.</w:t>
      </w:r>
    </w:p>
    <w:p w:rsidR="00043C32" w:rsidP="00AD381B" w:rsidRDefault="00043C32" w14:paraId="4C9C75EB" w14:textId="77777777">
      <w:pPr>
        <w:tabs>
          <w:tab w:val="left" w:pos="-720"/>
        </w:tabs>
        <w:suppressAutoHyphens/>
        <w:rPr>
          <w:rFonts w:ascii="Times New Roman" w:hAnsi="Times New Roman"/>
          <w:szCs w:val="24"/>
        </w:rPr>
      </w:pPr>
    </w:p>
    <w:p w:rsidRPr="00534B4A" w:rsidR="00043C32" w:rsidP="00AD381B" w:rsidRDefault="00043C32" w14:paraId="4C9C75E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F1DE9" w:rsidP="005F1DE9" w:rsidRDefault="005F1DE9" w14:paraId="71AFBDE7" w14:textId="77777777">
      <w:pPr>
        <w:tabs>
          <w:tab w:val="left" w:pos="-720"/>
        </w:tabs>
        <w:suppressAutoHyphens/>
        <w:rPr>
          <w:rFonts w:ascii="Times New Roman" w:hAnsi="Times New Roman"/>
          <w:szCs w:val="24"/>
        </w:rPr>
      </w:pPr>
    </w:p>
    <w:p w:rsidRPr="00B27E16" w:rsidR="005F1DE9" w:rsidP="005F1DE9" w:rsidRDefault="005F1DE9" w14:paraId="6180D164" w14:textId="089982E8">
      <w:pPr>
        <w:tabs>
          <w:tab w:val="left" w:pos="-720"/>
        </w:tabs>
        <w:suppressAutoHyphens/>
        <w:rPr>
          <w:rFonts w:ascii="Times New Roman" w:hAnsi="Times New Roman"/>
          <w:szCs w:val="24"/>
        </w:rPr>
      </w:pPr>
      <w:r w:rsidRPr="00B27E16">
        <w:rPr>
          <w:rFonts w:ascii="Times New Roman" w:hAnsi="Times New Roman"/>
          <w:szCs w:val="24"/>
        </w:rPr>
        <w:t>Tasks for review:</w:t>
      </w:r>
    </w:p>
    <w:p w:rsidRPr="00B27E16" w:rsidR="005F1DE9" w:rsidP="005F1DE9" w:rsidRDefault="005F1DE9" w14:paraId="2D371C5D" w14:textId="63DE4B69">
      <w:pPr>
        <w:pStyle w:val="ListParagraph"/>
        <w:numPr>
          <w:ilvl w:val="0"/>
          <w:numId w:val="6"/>
        </w:numPr>
        <w:tabs>
          <w:tab w:val="left" w:pos="-720"/>
        </w:tabs>
        <w:suppressAutoHyphens/>
        <w:rPr>
          <w:rFonts w:ascii="Times New Roman" w:hAnsi="Times New Roman"/>
          <w:szCs w:val="24"/>
        </w:rPr>
      </w:pPr>
      <w:r w:rsidRPr="00B27E16">
        <w:rPr>
          <w:rFonts w:ascii="Times New Roman" w:hAnsi="Times New Roman"/>
          <w:szCs w:val="24"/>
        </w:rPr>
        <w:t>Review the submitted State requests for the waiver:</w:t>
      </w:r>
    </w:p>
    <w:p w:rsidRPr="00B27E16" w:rsidR="005F1DE9" w:rsidP="005F1DE9" w:rsidRDefault="002B6AE2" w14:paraId="7FF7A031" w14:textId="1950A24F">
      <w:pPr>
        <w:pStyle w:val="ListParagraph"/>
        <w:numPr>
          <w:ilvl w:val="0"/>
          <w:numId w:val="6"/>
        </w:numPr>
        <w:tabs>
          <w:tab w:val="left" w:pos="-720"/>
        </w:tabs>
        <w:suppressAutoHyphens/>
        <w:rPr>
          <w:rFonts w:ascii="Times New Roman" w:hAnsi="Times New Roman"/>
          <w:szCs w:val="24"/>
        </w:rPr>
      </w:pPr>
      <w:r w:rsidRPr="00B27E16">
        <w:rPr>
          <w:rFonts w:ascii="Times New Roman" w:hAnsi="Times New Roman"/>
          <w:szCs w:val="24"/>
        </w:rPr>
        <w:t>53</w:t>
      </w:r>
      <w:r w:rsidRPr="00B27E16" w:rsidR="005F1DE9">
        <w:rPr>
          <w:rFonts w:ascii="Times New Roman" w:hAnsi="Times New Roman"/>
          <w:szCs w:val="24"/>
        </w:rPr>
        <w:t xml:space="preserve"> State requests</w:t>
      </w:r>
      <w:r w:rsidRPr="00B27E16" w:rsidR="00E32FA1">
        <w:rPr>
          <w:rFonts w:ascii="Times New Roman" w:hAnsi="Times New Roman"/>
          <w:szCs w:val="24"/>
        </w:rPr>
        <w:t xml:space="preserve"> </w:t>
      </w:r>
      <w:r w:rsidRPr="00B27E16" w:rsidR="005F1DE9">
        <w:rPr>
          <w:rFonts w:ascii="Times New Roman" w:hAnsi="Times New Roman"/>
          <w:szCs w:val="24"/>
        </w:rPr>
        <w:t xml:space="preserve">@ 1 per </w:t>
      </w:r>
      <w:r w:rsidRPr="00B27E16" w:rsidR="0071224D">
        <w:rPr>
          <w:rFonts w:ascii="Times New Roman" w:hAnsi="Times New Roman"/>
          <w:szCs w:val="24"/>
        </w:rPr>
        <w:t>.</w:t>
      </w:r>
      <w:r w:rsidRPr="00B27E16" w:rsidR="00A53556">
        <w:rPr>
          <w:rFonts w:ascii="Times New Roman" w:hAnsi="Times New Roman"/>
          <w:szCs w:val="24"/>
        </w:rPr>
        <w:t>25</w:t>
      </w:r>
      <w:r w:rsidRPr="00B27E16" w:rsidR="005F1DE9">
        <w:rPr>
          <w:rFonts w:ascii="Times New Roman" w:hAnsi="Times New Roman"/>
          <w:szCs w:val="24"/>
        </w:rPr>
        <w:t xml:space="preserve"> hou</w:t>
      </w:r>
      <w:r w:rsidRPr="00B27E16" w:rsidR="0071224D">
        <w:rPr>
          <w:rFonts w:ascii="Times New Roman" w:hAnsi="Times New Roman"/>
          <w:szCs w:val="24"/>
        </w:rPr>
        <w:t>rs</w:t>
      </w:r>
      <w:r w:rsidRPr="00B27E16" w:rsidR="005F1DE9">
        <w:rPr>
          <w:rFonts w:ascii="Times New Roman" w:hAnsi="Times New Roman"/>
          <w:szCs w:val="24"/>
        </w:rPr>
        <w:t xml:space="preserve"> = </w:t>
      </w:r>
      <w:r w:rsidRPr="00B27E16" w:rsidR="00A53556">
        <w:rPr>
          <w:rFonts w:ascii="Times New Roman" w:hAnsi="Times New Roman"/>
          <w:szCs w:val="24"/>
        </w:rPr>
        <w:t>13</w:t>
      </w:r>
      <w:r w:rsidRPr="00B27E16">
        <w:rPr>
          <w:rFonts w:ascii="Times New Roman" w:hAnsi="Times New Roman"/>
          <w:szCs w:val="24"/>
        </w:rPr>
        <w:t>.</w:t>
      </w:r>
      <w:r w:rsidRPr="00B27E16" w:rsidR="00A53556">
        <w:rPr>
          <w:rFonts w:ascii="Times New Roman" w:hAnsi="Times New Roman"/>
          <w:szCs w:val="24"/>
        </w:rPr>
        <w:t>2</w:t>
      </w:r>
      <w:r w:rsidRPr="00B27E16">
        <w:rPr>
          <w:rFonts w:ascii="Times New Roman" w:hAnsi="Times New Roman"/>
          <w:szCs w:val="24"/>
        </w:rPr>
        <w:t>5</w:t>
      </w:r>
      <w:r w:rsidRPr="00B27E16" w:rsidR="005F1DE9">
        <w:rPr>
          <w:rFonts w:ascii="Times New Roman" w:hAnsi="Times New Roman"/>
          <w:szCs w:val="24"/>
        </w:rPr>
        <w:t xml:space="preserve"> hours</w:t>
      </w:r>
    </w:p>
    <w:p w:rsidRPr="00B27E16" w:rsidR="005F1DE9" w:rsidP="005F1DE9" w:rsidRDefault="005F1DE9" w14:paraId="21A30963" w14:textId="3650A503">
      <w:pPr>
        <w:pStyle w:val="ListParagraph"/>
        <w:numPr>
          <w:ilvl w:val="0"/>
          <w:numId w:val="6"/>
        </w:numPr>
        <w:tabs>
          <w:tab w:val="left" w:pos="-720"/>
        </w:tabs>
        <w:suppressAutoHyphens/>
        <w:rPr>
          <w:rFonts w:ascii="Times New Roman" w:hAnsi="Times New Roman"/>
          <w:szCs w:val="24"/>
        </w:rPr>
      </w:pPr>
      <w:r w:rsidRPr="00B27E16">
        <w:rPr>
          <w:rFonts w:ascii="Times New Roman" w:hAnsi="Times New Roman"/>
          <w:szCs w:val="24"/>
        </w:rPr>
        <w:t>5 staff @ $45/hour = $225/hour</w:t>
      </w:r>
    </w:p>
    <w:p w:rsidRPr="00B27E16" w:rsidR="00534B4A" w:rsidP="005F1DE9" w:rsidRDefault="005F1DE9" w14:paraId="4C9C75ED" w14:textId="259577A7">
      <w:pPr>
        <w:pStyle w:val="ListParagraph"/>
        <w:numPr>
          <w:ilvl w:val="0"/>
          <w:numId w:val="6"/>
        </w:numPr>
        <w:tabs>
          <w:tab w:val="left" w:pos="-720"/>
        </w:tabs>
        <w:suppressAutoHyphens/>
        <w:rPr>
          <w:rFonts w:ascii="Times New Roman" w:hAnsi="Times New Roman"/>
          <w:szCs w:val="24"/>
        </w:rPr>
      </w:pPr>
      <w:r w:rsidRPr="00B27E16">
        <w:rPr>
          <w:rFonts w:ascii="Times New Roman" w:hAnsi="Times New Roman"/>
          <w:szCs w:val="24"/>
        </w:rPr>
        <w:t>Total = $</w:t>
      </w:r>
      <w:r w:rsidRPr="00B27E16" w:rsidR="00A53556">
        <w:rPr>
          <w:rFonts w:ascii="Times New Roman" w:hAnsi="Times New Roman"/>
          <w:szCs w:val="24"/>
        </w:rPr>
        <w:t>2,981.25</w:t>
      </w:r>
    </w:p>
    <w:p w:rsidR="00534B4A" w:rsidP="00534B4A" w:rsidRDefault="00534B4A" w14:paraId="4C9C75EE"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4C9C75E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4C9C75F0"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4C9C75F1" w14:textId="3A26EE0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6257D2" w:rsidP="006257D2" w:rsidRDefault="006257D2" w14:paraId="152B32DB" w14:textId="742C2BD7">
      <w:pPr>
        <w:tabs>
          <w:tab w:val="left" w:pos="-720"/>
        </w:tabs>
        <w:suppressAutoHyphens/>
        <w:rPr>
          <w:rFonts w:ascii="Times New Roman" w:hAnsi="Times New Roman"/>
          <w:b/>
          <w:sz w:val="26"/>
          <w:szCs w:val="26"/>
        </w:rPr>
      </w:pPr>
    </w:p>
    <w:p w:rsidRPr="00B27E16" w:rsidR="006257D2" w:rsidP="006257D2" w:rsidRDefault="006257D2" w14:paraId="5D9ABC1B" w14:textId="5554C183">
      <w:pPr>
        <w:tabs>
          <w:tab w:val="left" w:pos="-720"/>
        </w:tabs>
        <w:suppressAutoHyphens/>
        <w:rPr>
          <w:rFonts w:ascii="Times New Roman" w:hAnsi="Times New Roman"/>
          <w:bCs/>
          <w:sz w:val="26"/>
          <w:szCs w:val="26"/>
        </w:rPr>
      </w:pPr>
      <w:r w:rsidRPr="00B27E16">
        <w:rPr>
          <w:rFonts w:ascii="Times New Roman" w:hAnsi="Times New Roman"/>
          <w:szCs w:val="24"/>
        </w:rPr>
        <w:t xml:space="preserve">This is a new information collection to </w:t>
      </w:r>
      <w:r w:rsidRPr="00B27E16">
        <w:rPr>
          <w:rFonts w:ascii="Times New Roman" w:hAnsi="Times New Roman"/>
          <w:sz w:val="22"/>
          <w:szCs w:val="22"/>
        </w:rPr>
        <w:t>collect</w:t>
      </w:r>
      <w:r w:rsidRPr="00B27E16">
        <w:rPr>
          <w:rFonts w:ascii="Times New Roman" w:hAnsi="Times New Roman"/>
        </w:rPr>
        <w:t xml:space="preserve"> </w:t>
      </w:r>
      <w:r w:rsidRPr="00B27E16">
        <w:rPr>
          <w:rFonts w:ascii="Times New Roman" w:hAnsi="Times New Roman"/>
          <w:szCs w:val="24"/>
        </w:rPr>
        <w:t xml:space="preserve">waiver requests using a streamlined process from each State education agency (SEA) wishing to use the waiver templates. These are optional </w:t>
      </w:r>
      <w:proofErr w:type="gramStart"/>
      <w:r w:rsidRPr="00B27E16">
        <w:rPr>
          <w:rFonts w:ascii="Times New Roman" w:hAnsi="Times New Roman"/>
          <w:szCs w:val="24"/>
        </w:rPr>
        <w:t>templates</w:t>
      </w:r>
      <w:proofErr w:type="gramEnd"/>
      <w:r w:rsidRPr="00B27E16">
        <w:rPr>
          <w:rFonts w:ascii="Times New Roman" w:hAnsi="Times New Roman"/>
          <w:szCs w:val="24"/>
        </w:rPr>
        <w:t xml:space="preserve"> and the Department has made this change due to agency discretion in order to allow SEAs </w:t>
      </w:r>
      <w:r w:rsidRPr="00B27E16" w:rsidR="006B5AA6">
        <w:rPr>
          <w:rFonts w:ascii="Times New Roman" w:hAnsi="Times New Roman"/>
          <w:szCs w:val="24"/>
        </w:rPr>
        <w:t xml:space="preserve">and their subgrantees </w:t>
      </w:r>
      <w:r w:rsidRPr="00B27E16">
        <w:rPr>
          <w:rFonts w:ascii="Times New Roman" w:hAnsi="Times New Roman"/>
          <w:szCs w:val="24"/>
        </w:rPr>
        <w:t>more time to maintain their immediate focus</w:t>
      </w:r>
      <w:r w:rsidRPr="00B27E16" w:rsidR="006B5AA6">
        <w:rPr>
          <w:rFonts w:ascii="Times New Roman" w:hAnsi="Times New Roman"/>
          <w:szCs w:val="24"/>
        </w:rPr>
        <w:t xml:space="preserve"> on obligating Federal funds and</w:t>
      </w:r>
      <w:r w:rsidRPr="00B27E16">
        <w:rPr>
          <w:rFonts w:ascii="Times New Roman" w:hAnsi="Times New Roman"/>
          <w:szCs w:val="24"/>
        </w:rPr>
        <w:t xml:space="preserve"> supporting students’ social, emotional, and academic development.</w:t>
      </w:r>
    </w:p>
    <w:p w:rsidR="00534B4A" w:rsidP="00534B4A" w:rsidRDefault="00534B4A" w14:paraId="4C9C75F2"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4C9C75F7" w14:textId="77777777">
        <w:tc>
          <w:tcPr>
            <w:tcW w:w="2048" w:type="dxa"/>
            <w:shd w:val="clear" w:color="auto" w:fill="D9D9D9" w:themeFill="background1" w:themeFillShade="D9"/>
          </w:tcPr>
          <w:p w:rsidR="0052073E" w:rsidP="00534B4A" w:rsidRDefault="0052073E" w14:paraId="4C9C75F3" w14:textId="77777777">
            <w:pPr>
              <w:tabs>
                <w:tab w:val="left" w:pos="-720"/>
              </w:tabs>
              <w:suppressAutoHyphens/>
              <w:rPr>
                <w:rFonts w:ascii="Times New Roman" w:hAnsi="Times New Roman"/>
                <w:b/>
                <w:szCs w:val="24"/>
              </w:rPr>
            </w:pPr>
          </w:p>
        </w:tc>
        <w:tc>
          <w:tcPr>
            <w:tcW w:w="2048" w:type="dxa"/>
          </w:tcPr>
          <w:p w:rsidR="0052073E" w:rsidP="00534B4A" w:rsidRDefault="0052073E" w14:paraId="4C9C75F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4C9C75F5"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C9C75F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4C9C75FC" w14:textId="77777777">
        <w:tc>
          <w:tcPr>
            <w:tcW w:w="2048" w:type="dxa"/>
          </w:tcPr>
          <w:p w:rsidR="0052073E" w:rsidP="00534B4A" w:rsidRDefault="0052073E" w14:paraId="4C9C75F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4C9C75F9" w14:textId="77777777">
            <w:pPr>
              <w:tabs>
                <w:tab w:val="left" w:pos="-720"/>
              </w:tabs>
              <w:suppressAutoHyphens/>
              <w:rPr>
                <w:rFonts w:ascii="Times New Roman" w:hAnsi="Times New Roman"/>
                <w:b/>
                <w:szCs w:val="24"/>
              </w:rPr>
            </w:pPr>
          </w:p>
        </w:tc>
        <w:tc>
          <w:tcPr>
            <w:tcW w:w="2829" w:type="dxa"/>
          </w:tcPr>
          <w:p w:rsidRPr="006257D2" w:rsidR="0052073E" w:rsidP="00534B4A" w:rsidRDefault="00A53556" w14:paraId="4C9C75FA" w14:textId="2CB7C420">
            <w:pPr>
              <w:tabs>
                <w:tab w:val="left" w:pos="-720"/>
              </w:tabs>
              <w:suppressAutoHyphens/>
              <w:rPr>
                <w:rFonts w:ascii="Times New Roman" w:hAnsi="Times New Roman"/>
                <w:bCs/>
                <w:szCs w:val="24"/>
              </w:rPr>
            </w:pPr>
            <w:r>
              <w:rPr>
                <w:rFonts w:ascii="Times New Roman" w:hAnsi="Times New Roman"/>
                <w:bCs/>
                <w:szCs w:val="24"/>
              </w:rPr>
              <w:t>53</w:t>
            </w:r>
            <w:r w:rsidRPr="006257D2" w:rsidR="006257D2">
              <w:rPr>
                <w:rFonts w:ascii="Times New Roman" w:hAnsi="Times New Roman"/>
                <w:bCs/>
                <w:szCs w:val="24"/>
              </w:rPr>
              <w:t xml:space="preserve"> hours</w:t>
            </w:r>
          </w:p>
        </w:tc>
        <w:tc>
          <w:tcPr>
            <w:tcW w:w="2520" w:type="dxa"/>
          </w:tcPr>
          <w:p w:rsidR="0052073E" w:rsidP="00534B4A" w:rsidRDefault="0052073E" w14:paraId="4C9C75FB" w14:textId="77777777">
            <w:pPr>
              <w:tabs>
                <w:tab w:val="left" w:pos="-720"/>
              </w:tabs>
              <w:suppressAutoHyphens/>
              <w:rPr>
                <w:rFonts w:ascii="Times New Roman" w:hAnsi="Times New Roman"/>
                <w:b/>
                <w:szCs w:val="24"/>
              </w:rPr>
            </w:pPr>
          </w:p>
        </w:tc>
      </w:tr>
      <w:tr w:rsidR="0052073E" w:rsidTr="0052073E" w14:paraId="4C9C7601" w14:textId="77777777">
        <w:tc>
          <w:tcPr>
            <w:tcW w:w="2048" w:type="dxa"/>
          </w:tcPr>
          <w:p w:rsidR="0052073E" w:rsidP="00534B4A" w:rsidRDefault="0052073E" w14:paraId="4C9C75F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C9C75FE" w14:textId="77777777">
            <w:pPr>
              <w:tabs>
                <w:tab w:val="left" w:pos="-720"/>
              </w:tabs>
              <w:suppressAutoHyphens/>
              <w:rPr>
                <w:rFonts w:ascii="Times New Roman" w:hAnsi="Times New Roman"/>
                <w:b/>
                <w:szCs w:val="24"/>
              </w:rPr>
            </w:pPr>
          </w:p>
        </w:tc>
        <w:tc>
          <w:tcPr>
            <w:tcW w:w="2829" w:type="dxa"/>
          </w:tcPr>
          <w:p w:rsidRPr="006257D2" w:rsidR="0052073E" w:rsidP="00534B4A" w:rsidRDefault="008A247F" w14:paraId="4C9C75FF" w14:textId="1E6C9E14">
            <w:pPr>
              <w:tabs>
                <w:tab w:val="left" w:pos="-720"/>
              </w:tabs>
              <w:suppressAutoHyphens/>
              <w:rPr>
                <w:rFonts w:ascii="Times New Roman" w:hAnsi="Times New Roman"/>
                <w:bCs/>
                <w:szCs w:val="24"/>
              </w:rPr>
            </w:pPr>
            <w:r>
              <w:rPr>
                <w:rFonts w:ascii="Times New Roman" w:hAnsi="Times New Roman"/>
                <w:bCs/>
                <w:szCs w:val="24"/>
              </w:rPr>
              <w:t>53</w:t>
            </w:r>
          </w:p>
        </w:tc>
        <w:tc>
          <w:tcPr>
            <w:tcW w:w="2520" w:type="dxa"/>
          </w:tcPr>
          <w:p w:rsidR="0052073E" w:rsidP="00534B4A" w:rsidRDefault="0052073E" w14:paraId="4C9C7600" w14:textId="77777777">
            <w:pPr>
              <w:tabs>
                <w:tab w:val="left" w:pos="-720"/>
              </w:tabs>
              <w:suppressAutoHyphens/>
              <w:rPr>
                <w:rFonts w:ascii="Times New Roman" w:hAnsi="Times New Roman"/>
                <w:b/>
                <w:szCs w:val="24"/>
              </w:rPr>
            </w:pPr>
          </w:p>
        </w:tc>
      </w:tr>
      <w:tr w:rsidR="0052073E" w:rsidTr="0052073E" w14:paraId="4C9C7606" w14:textId="77777777">
        <w:tc>
          <w:tcPr>
            <w:tcW w:w="2048" w:type="dxa"/>
          </w:tcPr>
          <w:p w:rsidR="0052073E" w:rsidP="00534B4A" w:rsidRDefault="0052073E" w14:paraId="4C9C7602"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C9C7603" w14:textId="77777777">
            <w:pPr>
              <w:tabs>
                <w:tab w:val="left" w:pos="-720"/>
              </w:tabs>
              <w:suppressAutoHyphens/>
              <w:rPr>
                <w:rFonts w:ascii="Times New Roman" w:hAnsi="Times New Roman"/>
                <w:b/>
                <w:szCs w:val="24"/>
              </w:rPr>
            </w:pPr>
          </w:p>
        </w:tc>
        <w:tc>
          <w:tcPr>
            <w:tcW w:w="2829" w:type="dxa"/>
          </w:tcPr>
          <w:p w:rsidRPr="006257D2" w:rsidR="0052073E" w:rsidP="00534B4A" w:rsidRDefault="00A53556" w14:paraId="4C9C7604" w14:textId="51C2B40F">
            <w:pPr>
              <w:tabs>
                <w:tab w:val="left" w:pos="-720"/>
              </w:tabs>
              <w:suppressAutoHyphens/>
              <w:rPr>
                <w:rFonts w:ascii="Times New Roman" w:hAnsi="Times New Roman"/>
                <w:bCs/>
                <w:szCs w:val="24"/>
              </w:rPr>
            </w:pPr>
            <w:r w:rsidRPr="00A53556">
              <w:rPr>
                <w:rFonts w:ascii="Times New Roman" w:hAnsi="Times New Roman"/>
                <w:bCs/>
                <w:szCs w:val="24"/>
              </w:rPr>
              <w:t>$2,650</w:t>
            </w:r>
          </w:p>
        </w:tc>
        <w:tc>
          <w:tcPr>
            <w:tcW w:w="2520" w:type="dxa"/>
          </w:tcPr>
          <w:p w:rsidR="0052073E" w:rsidP="00534B4A" w:rsidRDefault="0052073E" w14:paraId="4C9C7605" w14:textId="77777777">
            <w:pPr>
              <w:tabs>
                <w:tab w:val="left" w:pos="-720"/>
              </w:tabs>
              <w:suppressAutoHyphens/>
              <w:rPr>
                <w:rFonts w:ascii="Times New Roman" w:hAnsi="Times New Roman"/>
                <w:b/>
                <w:szCs w:val="24"/>
              </w:rPr>
            </w:pPr>
          </w:p>
        </w:tc>
      </w:tr>
    </w:tbl>
    <w:p w:rsidR="00F27AAF" w:rsidP="00534B4A" w:rsidRDefault="00F27AAF" w14:paraId="4C9C7607" w14:textId="023D7E2F">
      <w:pPr>
        <w:tabs>
          <w:tab w:val="left" w:pos="-720"/>
        </w:tabs>
        <w:suppressAutoHyphens/>
        <w:rPr>
          <w:rFonts w:ascii="Times New Roman" w:hAnsi="Times New Roman"/>
          <w:b/>
          <w:szCs w:val="24"/>
        </w:rPr>
      </w:pPr>
    </w:p>
    <w:p w:rsidRPr="00534B4A" w:rsidR="00534B4A" w:rsidP="00534B4A" w:rsidRDefault="00534B4A" w14:paraId="4C9C7608" w14:textId="77777777">
      <w:pPr>
        <w:tabs>
          <w:tab w:val="left" w:pos="-720"/>
        </w:tabs>
        <w:suppressAutoHyphens/>
        <w:rPr>
          <w:rFonts w:ascii="Times New Roman" w:hAnsi="Times New Roman"/>
          <w:szCs w:val="24"/>
        </w:rPr>
      </w:pPr>
    </w:p>
    <w:p w:rsidR="00043C32" w:rsidP="00AD381B" w:rsidRDefault="00043C32" w14:paraId="4C9C7609"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4C9C760A" w14:textId="1A43C405">
      <w:pPr>
        <w:tabs>
          <w:tab w:val="left" w:pos="-720"/>
        </w:tabs>
        <w:suppressAutoHyphens/>
        <w:rPr>
          <w:rFonts w:ascii="Times New Roman" w:hAnsi="Times New Roman"/>
          <w:szCs w:val="24"/>
        </w:rPr>
      </w:pPr>
    </w:p>
    <w:p w:rsidRPr="00B27E16" w:rsidR="00DA1151" w:rsidP="00534B4A" w:rsidRDefault="00C97969" w14:paraId="305A1B47" w14:textId="13AE642B">
      <w:pPr>
        <w:tabs>
          <w:tab w:val="left" w:pos="-720"/>
        </w:tabs>
        <w:suppressAutoHyphens/>
        <w:rPr>
          <w:rFonts w:ascii="Times New Roman" w:hAnsi="Times New Roman"/>
          <w:szCs w:val="24"/>
        </w:rPr>
      </w:pPr>
      <w:r w:rsidRPr="00B27E16">
        <w:rPr>
          <w:rFonts w:ascii="Times New Roman" w:hAnsi="Times New Roman"/>
          <w:szCs w:val="24"/>
        </w:rPr>
        <w:t>The results of the information collection will not be published. However, t</w:t>
      </w:r>
      <w:r w:rsidRPr="00B27E16" w:rsidR="00350690">
        <w:rPr>
          <w:rFonts w:ascii="Times New Roman" w:hAnsi="Times New Roman"/>
          <w:szCs w:val="24"/>
        </w:rPr>
        <w:t xml:space="preserve">he Department </w:t>
      </w:r>
      <w:r w:rsidRPr="00B27E16" w:rsidR="00DA1151">
        <w:rPr>
          <w:rFonts w:ascii="Times New Roman" w:hAnsi="Times New Roman"/>
          <w:szCs w:val="24"/>
        </w:rPr>
        <w:t xml:space="preserve">will publicly announce waivers granted </w:t>
      </w:r>
      <w:proofErr w:type="gramStart"/>
      <w:r w:rsidRPr="00B27E16" w:rsidR="00DA1151">
        <w:rPr>
          <w:rFonts w:ascii="Times New Roman" w:hAnsi="Times New Roman"/>
          <w:szCs w:val="24"/>
        </w:rPr>
        <w:t>as a result of</w:t>
      </w:r>
      <w:proofErr w:type="gramEnd"/>
      <w:r w:rsidRPr="00B27E16" w:rsidR="00DA1151">
        <w:rPr>
          <w:rFonts w:ascii="Times New Roman" w:hAnsi="Times New Roman"/>
          <w:szCs w:val="24"/>
        </w:rPr>
        <w:t xml:space="preserve"> this information collection.</w:t>
      </w:r>
    </w:p>
    <w:p w:rsidRPr="00B27E16" w:rsidR="00DA1151" w:rsidP="00534B4A" w:rsidRDefault="00DA1151" w14:paraId="0DED16ED" w14:textId="77777777">
      <w:pPr>
        <w:tabs>
          <w:tab w:val="left" w:pos="-720"/>
        </w:tabs>
        <w:suppressAutoHyphens/>
        <w:rPr>
          <w:rFonts w:ascii="Times New Roman" w:hAnsi="Times New Roman"/>
          <w:szCs w:val="24"/>
        </w:rPr>
      </w:pPr>
    </w:p>
    <w:p w:rsidRPr="00B27E16" w:rsidR="00350690" w:rsidP="00534B4A" w:rsidRDefault="00DA1151" w14:paraId="34C3BB86" w14:textId="35D5D9B6">
      <w:pPr>
        <w:tabs>
          <w:tab w:val="left" w:pos="-720"/>
        </w:tabs>
        <w:suppressAutoHyphens/>
        <w:rPr>
          <w:rFonts w:ascii="Times New Roman" w:hAnsi="Times New Roman"/>
          <w:szCs w:val="24"/>
        </w:rPr>
      </w:pPr>
      <w:r w:rsidRPr="00B27E16">
        <w:rPr>
          <w:rFonts w:ascii="Times New Roman" w:hAnsi="Times New Roman"/>
          <w:szCs w:val="24"/>
        </w:rPr>
        <w:t xml:space="preserve">Section 8401(g) of the ESEA requires the Secretary to publish, in the Federal Register, and disseminate to interested parties, a notice of the Secretary's decision to grant a waiver under section 8401(a) of the ESEA. Moreover, we recognize the significant public interest in waivers related to COVID-19. </w:t>
      </w:r>
    </w:p>
    <w:p w:rsidRPr="00B27E16" w:rsidR="00D80ED2" w:rsidP="00534B4A" w:rsidRDefault="00D80ED2" w14:paraId="680DE704" w14:textId="786484BA">
      <w:pPr>
        <w:tabs>
          <w:tab w:val="left" w:pos="-720"/>
        </w:tabs>
        <w:suppressAutoHyphens/>
        <w:rPr>
          <w:rFonts w:ascii="Times New Roman" w:hAnsi="Times New Roman"/>
          <w:szCs w:val="24"/>
        </w:rPr>
      </w:pPr>
    </w:p>
    <w:p w:rsidRPr="00B27E16" w:rsidR="00D80ED2" w:rsidP="00534B4A" w:rsidRDefault="00D80ED2" w14:paraId="4344D293" w14:textId="1344BDE6">
      <w:pPr>
        <w:tabs>
          <w:tab w:val="left" w:pos="-720"/>
        </w:tabs>
        <w:suppressAutoHyphens/>
        <w:rPr>
          <w:rFonts w:ascii="Times New Roman" w:hAnsi="Times New Roman"/>
          <w:szCs w:val="24"/>
        </w:rPr>
      </w:pPr>
      <w:r w:rsidRPr="00B27E16">
        <w:rPr>
          <w:rFonts w:ascii="Times New Roman" w:hAnsi="Times New Roman"/>
          <w:szCs w:val="24"/>
        </w:rPr>
        <w:t>In addition to posting waivers granted on the Federal Register, the Department also intends to publicly post these on the oese.ed.gov website.</w:t>
      </w:r>
    </w:p>
    <w:p w:rsidRPr="00534B4A" w:rsidR="00534B4A" w:rsidP="00534B4A" w:rsidRDefault="00534B4A" w14:paraId="4C9C760B" w14:textId="04425D63">
      <w:pPr>
        <w:tabs>
          <w:tab w:val="left" w:pos="-720"/>
        </w:tabs>
        <w:suppressAutoHyphens/>
        <w:rPr>
          <w:rFonts w:ascii="Times New Roman" w:hAnsi="Times New Roman"/>
          <w:szCs w:val="24"/>
        </w:rPr>
      </w:pPr>
    </w:p>
    <w:p w:rsidRPr="00534B4A" w:rsidR="00043C32" w:rsidP="00AD381B" w:rsidRDefault="00043C32" w14:paraId="4C9C760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50690" w:rsidRDefault="00534B4A" w14:paraId="4C9C760D" w14:textId="78D445A6">
      <w:pPr>
        <w:tabs>
          <w:tab w:val="left" w:pos="-720"/>
        </w:tabs>
        <w:suppressAutoHyphens/>
        <w:rPr>
          <w:rFonts w:ascii="Times New Roman" w:hAnsi="Times New Roman"/>
          <w:b/>
          <w:szCs w:val="24"/>
        </w:rPr>
      </w:pPr>
    </w:p>
    <w:p w:rsidRPr="00B27E16" w:rsidR="00350690" w:rsidP="00350690" w:rsidRDefault="00350690" w14:paraId="0280E6A5" w14:textId="79A6178C">
      <w:pPr>
        <w:tabs>
          <w:tab w:val="left" w:pos="-720"/>
        </w:tabs>
        <w:suppressAutoHyphens/>
        <w:rPr>
          <w:rFonts w:ascii="Times New Roman" w:hAnsi="Times New Roman"/>
          <w:bCs/>
          <w:szCs w:val="24"/>
        </w:rPr>
      </w:pPr>
      <w:r w:rsidRPr="00B27E16">
        <w:rPr>
          <w:rFonts w:ascii="Times New Roman" w:hAnsi="Times New Roman"/>
          <w:bCs/>
          <w:szCs w:val="24"/>
        </w:rPr>
        <w:t>The expiration date for OMB approval of the information collection will be displayed.</w:t>
      </w:r>
    </w:p>
    <w:p w:rsidRPr="00534B4A" w:rsidR="00534B4A" w:rsidP="00534B4A" w:rsidRDefault="00534B4A" w14:paraId="4C9C760E" w14:textId="77777777">
      <w:pPr>
        <w:tabs>
          <w:tab w:val="left" w:pos="-720"/>
        </w:tabs>
        <w:suppressAutoHyphens/>
        <w:ind w:left="360"/>
        <w:rPr>
          <w:rFonts w:ascii="Times New Roman" w:hAnsi="Times New Roman"/>
          <w:szCs w:val="24"/>
        </w:rPr>
      </w:pPr>
    </w:p>
    <w:p w:rsidR="001C73C0" w:rsidP="00AD381B" w:rsidRDefault="00043C32" w14:paraId="4C9C760F" w14:textId="48CD66C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B0258D" w:rsidP="00B0258D" w:rsidRDefault="00B0258D" w14:paraId="0AEDD4B1" w14:textId="10FDB835">
      <w:pPr>
        <w:tabs>
          <w:tab w:val="left" w:pos="-720"/>
        </w:tabs>
        <w:suppressAutoHyphens/>
        <w:rPr>
          <w:rFonts w:ascii="Times New Roman" w:hAnsi="Times New Roman"/>
          <w:b/>
          <w:szCs w:val="24"/>
        </w:rPr>
      </w:pPr>
    </w:p>
    <w:p w:rsidRPr="00B27E16" w:rsidR="00B0258D" w:rsidP="00B0258D" w:rsidRDefault="00B0258D" w14:paraId="7090924E" w14:textId="3D0C18AB">
      <w:pPr>
        <w:tabs>
          <w:tab w:val="left" w:pos="-720"/>
        </w:tabs>
        <w:suppressAutoHyphens/>
        <w:rPr>
          <w:rFonts w:ascii="Times New Roman" w:hAnsi="Times New Roman"/>
          <w:bCs/>
          <w:szCs w:val="24"/>
        </w:rPr>
      </w:pPr>
      <w:r w:rsidRPr="00B27E16">
        <w:rPr>
          <w:rFonts w:ascii="Times New Roman" w:hAnsi="Times New Roman"/>
          <w:bCs/>
          <w:szCs w:val="24"/>
        </w:rPr>
        <w:t>We do not propose any exceptions to the certification statements identified in the Certification of Paperwork Reduction Act.</w:t>
      </w:r>
    </w:p>
    <w:sectPr w:rsidRPr="00B27E16" w:rsidR="00B0258D"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6BAA" w14:textId="77777777" w:rsidR="00243CEC" w:rsidRDefault="00243CEC" w:rsidP="00043C32">
      <w:r>
        <w:separator/>
      </w:r>
    </w:p>
  </w:endnote>
  <w:endnote w:type="continuationSeparator" w:id="0">
    <w:p w14:paraId="34922F9C" w14:textId="77777777" w:rsidR="00243CEC" w:rsidRDefault="00243CEC" w:rsidP="00043C32">
      <w:r>
        <w:continuationSeparator/>
      </w:r>
    </w:p>
  </w:endnote>
  <w:endnote w:type="continuationNotice" w:id="1">
    <w:p w14:paraId="19125249" w14:textId="77777777" w:rsidR="00243CEC" w:rsidRDefault="00243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7614" w14:textId="77777777" w:rsidR="00243CEC" w:rsidRDefault="00243CEC">
    <w:pPr>
      <w:spacing w:before="140" w:line="100" w:lineRule="exact"/>
      <w:rPr>
        <w:sz w:val="10"/>
      </w:rPr>
    </w:pPr>
  </w:p>
  <w:p w14:paraId="4C9C7615" w14:textId="77777777" w:rsidR="00243CEC" w:rsidRDefault="00243CEC">
    <w:pPr>
      <w:tabs>
        <w:tab w:val="left" w:pos="0"/>
      </w:tabs>
      <w:suppressAutoHyphens/>
    </w:pPr>
  </w:p>
  <w:p w14:paraId="4C9C7616" w14:textId="77777777" w:rsidR="00243CEC" w:rsidRDefault="00243CEC">
    <w:pPr>
      <w:tabs>
        <w:tab w:val="left" w:pos="0"/>
      </w:tabs>
      <w:suppressAutoHyphens/>
    </w:pPr>
    <w:r>
      <w:rPr>
        <w:noProof/>
      </w:rPr>
      <mc:AlternateContent>
        <mc:Choice Requires="wps">
          <w:drawing>
            <wp:inline distT="0" distB="0" distL="0" distR="0" wp14:anchorId="4C9C7617" wp14:editId="4C9C7618">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9C761A" w14:textId="77777777"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C9C7617"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4C9C761A" w14:textId="77777777" w:rsidR="00243CEC" w:rsidRPr="00534B4A" w:rsidRDefault="00243CE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0CA8" w14:textId="77777777" w:rsidR="00243CEC" w:rsidRDefault="00243CEC" w:rsidP="00043C32">
      <w:r>
        <w:separator/>
      </w:r>
    </w:p>
  </w:footnote>
  <w:footnote w:type="continuationSeparator" w:id="0">
    <w:p w14:paraId="33ABDED9" w14:textId="77777777" w:rsidR="00243CEC" w:rsidRDefault="00243CEC" w:rsidP="00043C32">
      <w:r>
        <w:continuationSeparator/>
      </w:r>
    </w:p>
  </w:footnote>
  <w:footnote w:type="continuationNotice" w:id="1">
    <w:p w14:paraId="4D0590D0" w14:textId="77777777" w:rsidR="00243CEC" w:rsidRDefault="00243CEC"/>
  </w:footnote>
  <w:footnote w:id="2">
    <w:p w14:paraId="4C9C7619" w14:textId="77777777" w:rsidR="00243CEC" w:rsidRDefault="00243CEC"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40F22"/>
    <w:multiLevelType w:val="hybridMultilevel"/>
    <w:tmpl w:val="8E8A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EBA"/>
    <w:rsid w:val="00035ED5"/>
    <w:rsid w:val="00043C32"/>
    <w:rsid w:val="000446F5"/>
    <w:rsid w:val="000500D2"/>
    <w:rsid w:val="00050C64"/>
    <w:rsid w:val="00054249"/>
    <w:rsid w:val="00093017"/>
    <w:rsid w:val="000C6730"/>
    <w:rsid w:val="000F2BF0"/>
    <w:rsid w:val="001175C3"/>
    <w:rsid w:val="00134B21"/>
    <w:rsid w:val="001824F3"/>
    <w:rsid w:val="001832CE"/>
    <w:rsid w:val="001A6AE0"/>
    <w:rsid w:val="001C6091"/>
    <w:rsid w:val="001C73C0"/>
    <w:rsid w:val="001E1174"/>
    <w:rsid w:val="001E79BD"/>
    <w:rsid w:val="0021682F"/>
    <w:rsid w:val="002225CC"/>
    <w:rsid w:val="00224A3B"/>
    <w:rsid w:val="0022543B"/>
    <w:rsid w:val="00227DCC"/>
    <w:rsid w:val="00240A39"/>
    <w:rsid w:val="00240ABA"/>
    <w:rsid w:val="00243CEC"/>
    <w:rsid w:val="00246FE9"/>
    <w:rsid w:val="00250100"/>
    <w:rsid w:val="00251FA7"/>
    <w:rsid w:val="00255547"/>
    <w:rsid w:val="00262A69"/>
    <w:rsid w:val="00270AF7"/>
    <w:rsid w:val="002915AE"/>
    <w:rsid w:val="002A3221"/>
    <w:rsid w:val="002B6AE2"/>
    <w:rsid w:val="002C0CC3"/>
    <w:rsid w:val="002C3520"/>
    <w:rsid w:val="002E14E0"/>
    <w:rsid w:val="002F55E5"/>
    <w:rsid w:val="00315E14"/>
    <w:rsid w:val="0032078A"/>
    <w:rsid w:val="0032539E"/>
    <w:rsid w:val="00336BC4"/>
    <w:rsid w:val="00350690"/>
    <w:rsid w:val="003860E4"/>
    <w:rsid w:val="00392A6C"/>
    <w:rsid w:val="003B1545"/>
    <w:rsid w:val="003B1B44"/>
    <w:rsid w:val="003D6F69"/>
    <w:rsid w:val="003F4EB1"/>
    <w:rsid w:val="00412915"/>
    <w:rsid w:val="00442E07"/>
    <w:rsid w:val="0046482C"/>
    <w:rsid w:val="004855ED"/>
    <w:rsid w:val="004A3599"/>
    <w:rsid w:val="004F0D25"/>
    <w:rsid w:val="00500F3E"/>
    <w:rsid w:val="00517593"/>
    <w:rsid w:val="0052073E"/>
    <w:rsid w:val="00534B4A"/>
    <w:rsid w:val="005463E3"/>
    <w:rsid w:val="005667E6"/>
    <w:rsid w:val="00581C11"/>
    <w:rsid w:val="005B2510"/>
    <w:rsid w:val="005F1DE9"/>
    <w:rsid w:val="006257D2"/>
    <w:rsid w:val="006836B0"/>
    <w:rsid w:val="0068567A"/>
    <w:rsid w:val="006A292A"/>
    <w:rsid w:val="006A38F7"/>
    <w:rsid w:val="006A4EBB"/>
    <w:rsid w:val="006B3569"/>
    <w:rsid w:val="006B4172"/>
    <w:rsid w:val="006B5AA6"/>
    <w:rsid w:val="006E46CD"/>
    <w:rsid w:val="0071224D"/>
    <w:rsid w:val="00712B52"/>
    <w:rsid w:val="007248F6"/>
    <w:rsid w:val="00755D99"/>
    <w:rsid w:val="00756FD3"/>
    <w:rsid w:val="00764BC4"/>
    <w:rsid w:val="00765392"/>
    <w:rsid w:val="00790E3E"/>
    <w:rsid w:val="007C0A4C"/>
    <w:rsid w:val="007D07FD"/>
    <w:rsid w:val="007F6104"/>
    <w:rsid w:val="00800D30"/>
    <w:rsid w:val="00807D1A"/>
    <w:rsid w:val="008350A9"/>
    <w:rsid w:val="00857A91"/>
    <w:rsid w:val="00874EFE"/>
    <w:rsid w:val="00882126"/>
    <w:rsid w:val="008933F1"/>
    <w:rsid w:val="008A1229"/>
    <w:rsid w:val="008A247F"/>
    <w:rsid w:val="008B1664"/>
    <w:rsid w:val="008B4F27"/>
    <w:rsid w:val="008D0601"/>
    <w:rsid w:val="008D1F11"/>
    <w:rsid w:val="008D688A"/>
    <w:rsid w:val="008E5919"/>
    <w:rsid w:val="00905951"/>
    <w:rsid w:val="009105D5"/>
    <w:rsid w:val="00912835"/>
    <w:rsid w:val="00912D2C"/>
    <w:rsid w:val="00916EE4"/>
    <w:rsid w:val="00920F63"/>
    <w:rsid w:val="00924002"/>
    <w:rsid w:val="009243F3"/>
    <w:rsid w:val="00926A3B"/>
    <w:rsid w:val="0093366B"/>
    <w:rsid w:val="00934185"/>
    <w:rsid w:val="00946126"/>
    <w:rsid w:val="00952DF9"/>
    <w:rsid w:val="0095421D"/>
    <w:rsid w:val="00960C86"/>
    <w:rsid w:val="009704A3"/>
    <w:rsid w:val="009767AF"/>
    <w:rsid w:val="00981F58"/>
    <w:rsid w:val="00986D0A"/>
    <w:rsid w:val="009B2FC7"/>
    <w:rsid w:val="009E3E86"/>
    <w:rsid w:val="009F0C7F"/>
    <w:rsid w:val="00A01403"/>
    <w:rsid w:val="00A118A2"/>
    <w:rsid w:val="00A23F26"/>
    <w:rsid w:val="00A23F9F"/>
    <w:rsid w:val="00A4001C"/>
    <w:rsid w:val="00A40AAB"/>
    <w:rsid w:val="00A46D01"/>
    <w:rsid w:val="00A5039A"/>
    <w:rsid w:val="00A53556"/>
    <w:rsid w:val="00A6612C"/>
    <w:rsid w:val="00A70816"/>
    <w:rsid w:val="00A7636D"/>
    <w:rsid w:val="00A77774"/>
    <w:rsid w:val="00A874C2"/>
    <w:rsid w:val="00A9138E"/>
    <w:rsid w:val="00AC1C89"/>
    <w:rsid w:val="00AD381B"/>
    <w:rsid w:val="00AF5B5B"/>
    <w:rsid w:val="00AF5D1A"/>
    <w:rsid w:val="00B017F9"/>
    <w:rsid w:val="00B0258D"/>
    <w:rsid w:val="00B07213"/>
    <w:rsid w:val="00B10A05"/>
    <w:rsid w:val="00B1405E"/>
    <w:rsid w:val="00B15CE7"/>
    <w:rsid w:val="00B27E16"/>
    <w:rsid w:val="00B47395"/>
    <w:rsid w:val="00B54167"/>
    <w:rsid w:val="00B62E06"/>
    <w:rsid w:val="00B64B1D"/>
    <w:rsid w:val="00B659D3"/>
    <w:rsid w:val="00B9188B"/>
    <w:rsid w:val="00B9671B"/>
    <w:rsid w:val="00BA1D31"/>
    <w:rsid w:val="00BF287C"/>
    <w:rsid w:val="00C164D3"/>
    <w:rsid w:val="00C20670"/>
    <w:rsid w:val="00C224FD"/>
    <w:rsid w:val="00C32D35"/>
    <w:rsid w:val="00C86713"/>
    <w:rsid w:val="00C875E8"/>
    <w:rsid w:val="00C92035"/>
    <w:rsid w:val="00C97969"/>
    <w:rsid w:val="00CC2A72"/>
    <w:rsid w:val="00CC3FB5"/>
    <w:rsid w:val="00CD2067"/>
    <w:rsid w:val="00CD47BC"/>
    <w:rsid w:val="00D04071"/>
    <w:rsid w:val="00D05585"/>
    <w:rsid w:val="00D23A6D"/>
    <w:rsid w:val="00D34984"/>
    <w:rsid w:val="00D36C35"/>
    <w:rsid w:val="00D522F0"/>
    <w:rsid w:val="00D553D7"/>
    <w:rsid w:val="00D658D4"/>
    <w:rsid w:val="00D75313"/>
    <w:rsid w:val="00D80ED2"/>
    <w:rsid w:val="00D831D3"/>
    <w:rsid w:val="00DA1151"/>
    <w:rsid w:val="00DB15F3"/>
    <w:rsid w:val="00DC23FD"/>
    <w:rsid w:val="00DF2147"/>
    <w:rsid w:val="00DF2EFC"/>
    <w:rsid w:val="00E15B78"/>
    <w:rsid w:val="00E16ACD"/>
    <w:rsid w:val="00E17134"/>
    <w:rsid w:val="00E25EBC"/>
    <w:rsid w:val="00E32FA1"/>
    <w:rsid w:val="00E66550"/>
    <w:rsid w:val="00E877BF"/>
    <w:rsid w:val="00EA1767"/>
    <w:rsid w:val="00EA6CDB"/>
    <w:rsid w:val="00EB0929"/>
    <w:rsid w:val="00EB0FA5"/>
    <w:rsid w:val="00EC01DD"/>
    <w:rsid w:val="00EC35E3"/>
    <w:rsid w:val="00ED7195"/>
    <w:rsid w:val="00F0414F"/>
    <w:rsid w:val="00F2555E"/>
    <w:rsid w:val="00F27AAF"/>
    <w:rsid w:val="00F31BEC"/>
    <w:rsid w:val="00F558E7"/>
    <w:rsid w:val="00F5782B"/>
    <w:rsid w:val="00F72B88"/>
    <w:rsid w:val="00F73131"/>
    <w:rsid w:val="00F86037"/>
    <w:rsid w:val="00F92A56"/>
    <w:rsid w:val="00FB2C24"/>
    <w:rsid w:val="00FB6775"/>
    <w:rsid w:val="00FC669D"/>
    <w:rsid w:val="00FD4F0B"/>
    <w:rsid w:val="00FE02FC"/>
    <w:rsid w:val="00FE1BAE"/>
    <w:rsid w:val="3ECE28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9C754E"/>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405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ESE.TitleI-A@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ESE.TitleI-A@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18" ma:contentTypeDescription="Create a new document." ma:contentTypeScope="" ma:versionID="ea09c3e7674f9aebf72e610b73c18cee">
  <xsd:schema xmlns:xsd="http://www.w3.org/2001/XMLSchema" xmlns:xs="http://www.w3.org/2001/XMLSchema" xmlns:p="http://schemas.microsoft.com/office/2006/metadata/properties" xmlns:ns3="faadc187-350c-4b5f-8ff8-0d0c53b56a8e" targetNamespace="http://schemas.microsoft.com/office/2006/metadata/properties" ma:root="true" ma:fieldsID="b716aeaa19c790cb896e2220fd362e42" ns3:_="">
    <xsd:import namespace="faadc187-350c-4b5f-8ff8-0d0c53b56a8e"/>
    <xsd:element name="properties">
      <xsd:complexType>
        <xsd:sequence>
          <xsd:element name="documentManagement">
            <xsd:complexType>
              <xsd:all>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documentManagement/types"/>
    <ds:schemaRef ds:uri="http://purl.org/dc/dcmitype/"/>
    <ds:schemaRef ds:uri="faadc187-350c-4b5f-8ff8-0d0c53b56a8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056DAE9-2BEA-4F8A-9437-C4F9C541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3163</Words>
  <Characters>18035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2021-07-01T18:39:00Z</dcterms:created>
  <dcterms:modified xsi:type="dcterms:W3CDTF">2021-07-01T18:39:00Z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