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E0268" w:rsidR="001945CA" w:rsidP="009F4D1C" w:rsidRDefault="00B50861" w14:paraId="5EC9B0B8" w14:textId="77777777">
      <w:pPr>
        <w:jc w:val="center"/>
      </w:pPr>
      <w:r w:rsidRPr="00BE0268">
        <w:t>Department of the Treasury</w:t>
      </w:r>
    </w:p>
    <w:p w:rsidRPr="00BE0268" w:rsidR="00857B7C" w:rsidP="009F4D1C" w:rsidRDefault="00857B7C" w14:paraId="7A8D6BBD" w14:textId="77777777">
      <w:pPr>
        <w:jc w:val="center"/>
      </w:pPr>
      <w:r w:rsidRPr="00BE0268">
        <w:t>Information Collection Request – Supporting Statement</w:t>
      </w:r>
    </w:p>
    <w:p w:rsidR="00857B7C" w:rsidP="009F4D1C" w:rsidRDefault="00857B7C" w14:paraId="1E6B3D41" w14:textId="7B30592D">
      <w:pPr>
        <w:jc w:val="center"/>
      </w:pPr>
    </w:p>
    <w:p w:rsidRPr="00BE0268" w:rsidR="00C47802" w:rsidP="00C47802" w:rsidRDefault="00C47802" w14:paraId="7C8ADEEE" w14:textId="7200E527">
      <w:pPr>
        <w:jc w:val="center"/>
      </w:pPr>
      <w:r w:rsidRPr="00BE0268">
        <w:t xml:space="preserve">Emergency </w:t>
      </w:r>
      <w:r w:rsidRPr="00BE0268" w:rsidR="0029275B">
        <w:t>Capital Investment</w:t>
      </w:r>
      <w:r w:rsidRPr="00BE0268">
        <w:t xml:space="preserve"> Program </w:t>
      </w:r>
    </w:p>
    <w:p w:rsidRPr="00BE0268" w:rsidR="00110D39" w:rsidP="00512B62" w:rsidRDefault="00B601FF" w14:paraId="5A839BA5" w14:textId="5E79979D">
      <w:pPr>
        <w:jc w:val="center"/>
      </w:pPr>
      <w:r w:rsidRPr="00BE0268">
        <w:t xml:space="preserve">OMB No. </w:t>
      </w:r>
      <w:r w:rsidRPr="00BE0268" w:rsidR="00FC5C02">
        <w:t xml:space="preserve">– </w:t>
      </w:r>
      <w:r w:rsidR="002E4C25">
        <w:t>1505-0267</w:t>
      </w:r>
    </w:p>
    <w:p w:rsidR="00FD768C" w:rsidP="00512B62" w:rsidRDefault="00FD768C" w14:paraId="0D537F5E" w14:textId="43E757C0">
      <w:pPr>
        <w:jc w:val="center"/>
      </w:pPr>
    </w:p>
    <w:p w:rsidRPr="00BE0268" w:rsidR="00FD768C" w:rsidP="00512B62" w:rsidRDefault="00FD768C" w14:paraId="1D1E28B9" w14:textId="77777777">
      <w:pPr>
        <w:jc w:val="center"/>
      </w:pPr>
    </w:p>
    <w:p w:rsidRPr="00BE0268" w:rsidR="00A73FE3" w:rsidP="00857B7C" w:rsidRDefault="00857B7C" w14:paraId="6BD41F69" w14:textId="1F538285">
      <w:pPr>
        <w:rPr>
          <w:b/>
        </w:rPr>
      </w:pPr>
      <w:r w:rsidRPr="00BE0268">
        <w:rPr>
          <w:b/>
        </w:rPr>
        <w:t>A.  Justification</w:t>
      </w:r>
    </w:p>
    <w:p w:rsidRPr="00BE0268" w:rsidR="00857B7C" w:rsidP="009E2FFF" w:rsidRDefault="00857B7C" w14:paraId="43C5FBC0" w14:textId="77777777">
      <w:pPr>
        <w:pStyle w:val="ListParagraph"/>
      </w:pPr>
    </w:p>
    <w:p w:rsidRPr="00BE0268" w:rsidR="00B50861" w:rsidP="00FD768C" w:rsidRDefault="00B50861" w14:paraId="1D57D14A" w14:textId="0F8550B8">
      <w:pPr>
        <w:numPr>
          <w:ilvl w:val="0"/>
          <w:numId w:val="12"/>
        </w:numPr>
        <w:tabs>
          <w:tab w:val="clear" w:pos="720"/>
        </w:tabs>
        <w:ind w:left="360"/>
        <w:rPr>
          <w:u w:val="single"/>
        </w:rPr>
      </w:pPr>
      <w:bookmarkStart w:name="_Hlk73529221" w:id="0"/>
      <w:r w:rsidRPr="00BE0268">
        <w:rPr>
          <w:u w:val="single"/>
        </w:rPr>
        <w:t>Circumstances necessitating the collection of information</w:t>
      </w:r>
    </w:p>
    <w:bookmarkEnd w:id="0"/>
    <w:p w:rsidRPr="00BE0268" w:rsidR="00990870" w:rsidP="00990870" w:rsidRDefault="00990870" w14:paraId="4D04C3DF" w14:textId="77777777">
      <w:pPr>
        <w:ind w:left="360"/>
        <w:rPr>
          <w:u w:val="single"/>
        </w:rPr>
      </w:pPr>
    </w:p>
    <w:p w:rsidR="00FD768C" w:rsidP="003E53BD" w:rsidRDefault="00717738" w14:paraId="3C8EDEAA" w14:textId="77777777">
      <w:pPr>
        <w:rPr>
          <w:i/>
        </w:rPr>
      </w:pPr>
      <w:r w:rsidRPr="00BE0268">
        <w:rPr>
          <w:i/>
        </w:rPr>
        <w:t>Justification for Emergency Processing:</w:t>
      </w:r>
    </w:p>
    <w:p w:rsidR="00FD768C" w:rsidP="003E53BD" w:rsidRDefault="00FD768C" w14:paraId="4F717FE5" w14:textId="77777777">
      <w:pPr>
        <w:rPr>
          <w:i/>
        </w:rPr>
      </w:pPr>
    </w:p>
    <w:p w:rsidRPr="00BE0268" w:rsidR="004077B3" w:rsidP="003E53BD" w:rsidRDefault="0029275B" w14:paraId="7360836D" w14:textId="290CF369">
      <w:r w:rsidRPr="00BE0268">
        <w:t xml:space="preserve">The Consolidated Appropriations Act, 2021, signed into law on December 27, 2020, added Section 104A of the Community Development Banking and Financial Institutions Act of 1994 (the “Act”). </w:t>
      </w:r>
      <w:r w:rsidR="00FD768C">
        <w:t xml:space="preserve"> </w:t>
      </w:r>
      <w:r w:rsidRPr="00BE0268">
        <w:t>Section 104A authorizes the Secretary of the Treasury to establish the Emergency Capital Investment Program (“ECIP” or the “Program”) to support the efforts of low- and moderate-income community financial institutions to, among other things, provide loans, grants, and forbearance for small businesses, minority-owned businesses, and consumers, especially in low-income and underserved communities, including persistent poverty counties, that may be disproportionately impacted by the economic effects of the COVID-19 pandemic by providing direct and indirect capital investments in low-and moderate-income community financial institutions.</w:t>
      </w:r>
    </w:p>
    <w:p w:rsidRPr="00BE0268" w:rsidR="0029275B" w:rsidP="003E53BD" w:rsidRDefault="0029275B" w14:paraId="1383ABD8" w14:textId="77777777"/>
    <w:p w:rsidRPr="00BE0268" w:rsidR="0029275B" w:rsidP="003E53BD" w:rsidRDefault="003E57D1" w14:paraId="29C6755D" w14:textId="77777777">
      <w:bookmarkStart w:name="_Hlk60659491" w:id="1"/>
      <w:r w:rsidRPr="00BE0268">
        <w:t xml:space="preserve">Section </w:t>
      </w:r>
      <w:r w:rsidRPr="00BE0268" w:rsidR="0029275B">
        <w:t>104A(d</w:t>
      </w:r>
      <w:r w:rsidRPr="00BE0268">
        <w:t>) requires th</w:t>
      </w:r>
      <w:r w:rsidRPr="00BE0268" w:rsidR="00F14905">
        <w:t xml:space="preserve">e </w:t>
      </w:r>
      <w:r w:rsidRPr="00BE0268" w:rsidR="0029275B">
        <w:t>Secretary to begin accepting applications for capital investments under the program not later than the end of the 30-day period beginning on the date of enactment, December 27, 2020.</w:t>
      </w:r>
    </w:p>
    <w:p w:rsidRPr="00BE0268" w:rsidR="00CD5099" w:rsidP="003E53BD" w:rsidRDefault="00CD5099" w14:paraId="295EC678" w14:textId="77777777"/>
    <w:p w:rsidR="0040260B" w:rsidP="004545E1" w:rsidRDefault="0040260B" w14:paraId="2090B659" w14:textId="16F3EB05">
      <w:bookmarkStart w:name="_Hlk73528079" w:id="2"/>
      <w:r w:rsidRPr="00A106AE">
        <w:t xml:space="preserve">Due to the need to </w:t>
      </w:r>
      <w:r>
        <w:t>make Covid-19 relief investments under the Program as soon as possible</w:t>
      </w:r>
      <w:r w:rsidRPr="00A106AE">
        <w:t xml:space="preserve">, Treasury requests emergency processing and approval for the State Regulatory form. The State Regulatory form </w:t>
      </w:r>
      <w:r>
        <w:t>collects information from state banking regulatory agencies on</w:t>
      </w:r>
      <w:r w:rsidRPr="00A106AE">
        <w:t xml:space="preserve"> </w:t>
      </w:r>
      <w:r w:rsidRPr="00CE202C">
        <w:t xml:space="preserve">financial condition, supervisory considerations, emergency investment lending plan and other additional considerations. State banking regulators have a unique role in </w:t>
      </w:r>
      <w:r>
        <w:t>provision of the requested information</w:t>
      </w:r>
      <w:r w:rsidRPr="00CE202C">
        <w:t xml:space="preserve"> that is derived from their oversight activities. </w:t>
      </w:r>
      <w:bookmarkEnd w:id="1"/>
    </w:p>
    <w:bookmarkEnd w:id="2"/>
    <w:p w:rsidR="00AF13F4" w:rsidP="0040260B" w:rsidRDefault="00AF13F4" w14:paraId="43A33034" w14:textId="2B8E06DC">
      <w:pPr>
        <w:rPr>
          <w:b/>
          <w:bCs/>
          <w:u w:val="single"/>
        </w:rPr>
      </w:pPr>
    </w:p>
    <w:p w:rsidRPr="00FD768C" w:rsidR="003C1AB8" w:rsidP="00FD768C" w:rsidRDefault="00F72D0B" w14:paraId="0BBDC9CC" w14:textId="77777777">
      <w:pPr>
        <w:numPr>
          <w:ilvl w:val="0"/>
          <w:numId w:val="12"/>
        </w:numPr>
        <w:tabs>
          <w:tab w:val="clear" w:pos="720"/>
        </w:tabs>
        <w:ind w:left="360"/>
        <w:rPr>
          <w:u w:val="single"/>
        </w:rPr>
      </w:pPr>
      <w:r w:rsidRPr="00BE0268">
        <w:rPr>
          <w:u w:val="single"/>
        </w:rPr>
        <w:t>U</w:t>
      </w:r>
      <w:r w:rsidRPr="00BE0268" w:rsidR="003C1AB8">
        <w:rPr>
          <w:u w:val="single"/>
        </w:rPr>
        <w:t>se of the data</w:t>
      </w:r>
    </w:p>
    <w:p w:rsidRPr="00BE0268" w:rsidR="003C1AB8" w:rsidP="003C1AB8" w:rsidRDefault="003C1AB8" w14:paraId="0AF34797" w14:textId="77777777">
      <w:pPr>
        <w:rPr>
          <w:u w:val="single"/>
        </w:rPr>
      </w:pPr>
    </w:p>
    <w:p w:rsidR="00A3346E" w:rsidP="00A3346E" w:rsidRDefault="00A3346E" w14:paraId="1266B69D" w14:textId="0A530517">
      <w:bookmarkStart w:name="_Hlk73528585" w:id="3"/>
      <w:r w:rsidRPr="00BE0268">
        <w:t>The information reported will allow Treasury to determine whether an applicant is eligible to receive a capital investment under the Program</w:t>
      </w:r>
      <w:r>
        <w:t>, as well as to comply with any reporting, recordkeeping, and transparency requirements under the Act</w:t>
      </w:r>
      <w:r w:rsidRPr="00BE0268">
        <w:t>.</w:t>
      </w:r>
      <w:r>
        <w:t xml:space="preserve">  </w:t>
      </w:r>
    </w:p>
    <w:p w:rsidRPr="00BE0268" w:rsidR="00A3346E" w:rsidP="00A3346E" w:rsidRDefault="00A3346E" w14:paraId="2DF6E73F" w14:textId="77777777"/>
    <w:p w:rsidR="00AC6D68" w:rsidP="00AC6D68" w:rsidRDefault="009B60FB" w14:paraId="3507C6B7" w14:textId="319C4CEF">
      <w:r w:rsidRPr="00BE0268">
        <w:t xml:space="preserve">The information reported </w:t>
      </w:r>
      <w:r w:rsidR="00A3346E">
        <w:t xml:space="preserve">by the State Regulatory Response Form </w:t>
      </w:r>
      <w:r w:rsidRPr="00BE0268">
        <w:t xml:space="preserve">will allow </w:t>
      </w:r>
      <w:r w:rsidRPr="00BE0268" w:rsidR="001C229E">
        <w:t>Treasury</w:t>
      </w:r>
      <w:r w:rsidRPr="00BE0268" w:rsidR="004D0DB9">
        <w:t xml:space="preserve"> </w:t>
      </w:r>
      <w:r w:rsidRPr="00BE0268">
        <w:t xml:space="preserve">to </w:t>
      </w:r>
      <w:r w:rsidR="0040260B">
        <w:t>use</w:t>
      </w:r>
      <w:r w:rsidRPr="00BE0268" w:rsidR="00D01AEF">
        <w:t xml:space="preserve"> </w:t>
      </w:r>
      <w:r w:rsidRPr="00B45A2B" w:rsidR="00E94841">
        <w:t xml:space="preserve">currently available supervisory information and assessment for each institution at the time </w:t>
      </w:r>
      <w:r w:rsidR="00E94841">
        <w:t xml:space="preserve">the </w:t>
      </w:r>
      <w:r w:rsidR="0040260B">
        <w:t xml:space="preserve">Treasury </w:t>
      </w:r>
      <w:r w:rsidR="00E94841">
        <w:t xml:space="preserve">investment </w:t>
      </w:r>
      <w:r w:rsidR="0040260B">
        <w:t xml:space="preserve">decision </w:t>
      </w:r>
      <w:r w:rsidRPr="00B45A2B" w:rsidR="00E94841">
        <w:t>is made</w:t>
      </w:r>
      <w:r w:rsidR="00E94841">
        <w:t xml:space="preserve">. </w:t>
      </w:r>
      <w:r w:rsidRPr="00AC6D68" w:rsidR="00AC6D68">
        <w:t xml:space="preserve"> </w:t>
      </w:r>
      <w:r w:rsidRPr="00562F49" w:rsidR="00AC6D68">
        <w:t xml:space="preserve">Information will also be collected by State Regulators, identifying the specific regulator performing the assessment, as well as </w:t>
      </w:r>
      <w:r w:rsidR="00AC6D68">
        <w:t xml:space="preserve">for </w:t>
      </w:r>
      <w:r w:rsidRPr="00562F49" w:rsidR="00AC6D68">
        <w:t>comply</w:t>
      </w:r>
      <w:r w:rsidR="00AC6D68">
        <w:t>ing</w:t>
      </w:r>
      <w:r w:rsidRPr="00562F49" w:rsidR="00AC6D68">
        <w:t xml:space="preserve"> with any reporting, recordkeeping, and transparency requirements under the Act.  </w:t>
      </w:r>
    </w:p>
    <w:p w:rsidR="004D4E71" w:rsidP="004D4E71" w:rsidRDefault="004D4E71" w14:paraId="5031BAC5" w14:textId="065F1FDE"/>
    <w:p w:rsidR="004D4E71" w:rsidP="004D4E71" w:rsidRDefault="004D4E71" w14:paraId="3A171080" w14:textId="77777777"/>
    <w:p w:rsidR="004D4E71" w:rsidP="004D4E71" w:rsidRDefault="004D4E71" w14:paraId="4A904B00" w14:textId="77777777"/>
    <w:p w:rsidRPr="00BE0268" w:rsidR="009B60FB" w:rsidP="004D4E71" w:rsidRDefault="009B60FB" w14:paraId="320E3357" w14:textId="21E0DD23"/>
    <w:bookmarkEnd w:id="3"/>
    <w:p w:rsidRPr="00FD768C" w:rsidR="003C1AB8" w:rsidP="00FD768C" w:rsidRDefault="00F72D0B" w14:paraId="1CE8586C" w14:textId="56AFE561">
      <w:pPr>
        <w:numPr>
          <w:ilvl w:val="0"/>
          <w:numId w:val="12"/>
        </w:numPr>
        <w:tabs>
          <w:tab w:val="clear" w:pos="720"/>
        </w:tabs>
        <w:ind w:left="360"/>
        <w:rPr>
          <w:u w:val="single"/>
        </w:rPr>
      </w:pPr>
      <w:r w:rsidRPr="00BE0268">
        <w:rPr>
          <w:u w:val="single"/>
        </w:rPr>
        <w:t xml:space="preserve">Use of </w:t>
      </w:r>
      <w:r w:rsidRPr="00BE0268" w:rsidR="00F34B54">
        <w:rPr>
          <w:u w:val="single"/>
        </w:rPr>
        <w:t>i</w:t>
      </w:r>
      <w:r w:rsidRPr="00BE0268">
        <w:rPr>
          <w:u w:val="single"/>
        </w:rPr>
        <w:t xml:space="preserve">nformation </w:t>
      </w:r>
      <w:r w:rsidRPr="00BE0268" w:rsidR="00F34B54">
        <w:rPr>
          <w:u w:val="single"/>
        </w:rPr>
        <w:t>technology</w:t>
      </w:r>
    </w:p>
    <w:p w:rsidRPr="00BE0268" w:rsidR="003C1AB8" w:rsidP="00961823" w:rsidRDefault="003C1AB8" w14:paraId="1894E667" w14:textId="77777777">
      <w:pPr>
        <w:keepNext/>
      </w:pPr>
    </w:p>
    <w:p w:rsidRPr="00BE0268" w:rsidR="00D24A88" w:rsidP="00F72D0B" w:rsidRDefault="001F31FB" w14:paraId="2357B59E" w14:textId="330E3D57">
      <w:r w:rsidRPr="00BE0268">
        <w:t xml:space="preserve">Treasury </w:t>
      </w:r>
      <w:r w:rsidRPr="00BE0268" w:rsidR="00B375A0">
        <w:t>will</w:t>
      </w:r>
      <w:r w:rsidRPr="00BE0268">
        <w:t xml:space="preserve"> manage the submission process</w:t>
      </w:r>
      <w:r w:rsidRPr="00BE0268" w:rsidR="00DE76C6">
        <w:t xml:space="preserve"> with the use of </w:t>
      </w:r>
      <w:r w:rsidRPr="00BE0268" w:rsidR="00605173">
        <w:t>existing</w:t>
      </w:r>
      <w:r w:rsidRPr="00BE0268" w:rsidR="009B60FB">
        <w:t xml:space="preserve"> and widely</w:t>
      </w:r>
      <w:r w:rsidRPr="00BE0268" w:rsidR="0028685C">
        <w:t xml:space="preserve"> </w:t>
      </w:r>
      <w:r w:rsidRPr="00BE0268" w:rsidR="009B60FB">
        <w:t>available</w:t>
      </w:r>
      <w:r w:rsidRPr="00BE0268" w:rsidR="00605173">
        <w:t xml:space="preserve"> technology </w:t>
      </w:r>
      <w:r w:rsidRPr="00BE0268" w:rsidR="009B60FB">
        <w:t>such as</w:t>
      </w:r>
      <w:r w:rsidRPr="00BE0268" w:rsidR="00A7640C">
        <w:t xml:space="preserve"> </w:t>
      </w:r>
      <w:r w:rsidRPr="00BE0268" w:rsidR="00AF13F4">
        <w:t xml:space="preserve">a </w:t>
      </w:r>
      <w:r w:rsidRPr="00BE0268" w:rsidR="00A7640C">
        <w:t>web portal and</w:t>
      </w:r>
      <w:r w:rsidRPr="00BE0268" w:rsidR="00605173">
        <w:t xml:space="preserve"> e</w:t>
      </w:r>
      <w:r w:rsidRPr="00BE0268" w:rsidR="0028685C">
        <w:t>-</w:t>
      </w:r>
      <w:r w:rsidRPr="00BE0268" w:rsidR="00605173">
        <w:t>mail.</w:t>
      </w:r>
    </w:p>
    <w:p w:rsidR="00FD768C" w:rsidP="000C6F26" w:rsidRDefault="00FD768C" w14:paraId="3099DE12" w14:textId="77777777">
      <w:pPr>
        <w:ind w:left="720" w:hanging="720"/>
      </w:pPr>
    </w:p>
    <w:p w:rsidRPr="00FD768C" w:rsidR="00F72D0B" w:rsidP="00FD768C" w:rsidRDefault="00F72D0B" w14:paraId="6A7690C9" w14:textId="4631C605">
      <w:pPr>
        <w:numPr>
          <w:ilvl w:val="0"/>
          <w:numId w:val="12"/>
        </w:numPr>
        <w:tabs>
          <w:tab w:val="clear" w:pos="720"/>
        </w:tabs>
        <w:ind w:left="360"/>
        <w:rPr>
          <w:u w:val="single"/>
        </w:rPr>
      </w:pPr>
      <w:r w:rsidRPr="00BE0268">
        <w:rPr>
          <w:u w:val="single"/>
        </w:rPr>
        <w:t>Efforts to identify duplication</w:t>
      </w:r>
    </w:p>
    <w:p w:rsidRPr="00BE0268" w:rsidR="00406DAA" w:rsidP="00CC4534" w:rsidRDefault="00406DAA" w14:paraId="619D54D8" w14:textId="77777777"/>
    <w:p w:rsidR="007D48AC" w:rsidP="00856DD0" w:rsidRDefault="009B60FB" w14:paraId="3F400C50" w14:textId="77777777">
      <w:r w:rsidRPr="00BE0268">
        <w:t>The</w:t>
      </w:r>
      <w:r w:rsidRPr="00BE0268" w:rsidR="00B375A0">
        <w:t xml:space="preserve"> information colle</w:t>
      </w:r>
      <w:r w:rsidRPr="00BE0268" w:rsidR="00BD0B65">
        <w:t>ction</w:t>
      </w:r>
      <w:r w:rsidRPr="00BE0268">
        <w:t>s are under new statutor</w:t>
      </w:r>
      <w:r w:rsidRPr="00BE0268" w:rsidR="00012F7C">
        <w:t>y</w:t>
      </w:r>
      <w:r w:rsidRPr="00BE0268">
        <w:t xml:space="preserve"> mandate</w:t>
      </w:r>
      <w:r w:rsidRPr="00BE0268" w:rsidR="00464E08">
        <w:t>s</w:t>
      </w:r>
      <w:r w:rsidRPr="00BE0268">
        <w:t xml:space="preserve">. </w:t>
      </w:r>
      <w:r w:rsidR="003D3E32">
        <w:t xml:space="preserve"> </w:t>
      </w:r>
      <w:r w:rsidRPr="00BE0268" w:rsidR="00B375A0">
        <w:t>Th</w:t>
      </w:r>
      <w:r w:rsidRPr="00BE0268" w:rsidR="00F72D0B">
        <w:t xml:space="preserve">e information </w:t>
      </w:r>
      <w:r w:rsidRPr="00BE0268" w:rsidR="002551F6">
        <w:t xml:space="preserve">is not known to </w:t>
      </w:r>
      <w:r w:rsidRPr="00BE0268" w:rsidR="005A5C1B">
        <w:t xml:space="preserve">overlap with </w:t>
      </w:r>
      <w:r w:rsidRPr="00BE0268" w:rsidR="002551F6">
        <w:t xml:space="preserve">any other </w:t>
      </w:r>
      <w:r w:rsidRPr="00BE0268" w:rsidR="005A5C1B">
        <w:t xml:space="preserve">data collected </w:t>
      </w:r>
      <w:r w:rsidRPr="00BE0268" w:rsidR="0054191E">
        <w:t xml:space="preserve">under </w:t>
      </w:r>
      <w:r w:rsidRPr="00BE0268" w:rsidR="00B375A0">
        <w:t xml:space="preserve">any other </w:t>
      </w:r>
      <w:r w:rsidRPr="00BE0268" w:rsidR="0054191E">
        <w:t>information</w:t>
      </w:r>
      <w:r w:rsidRPr="00BE0268" w:rsidR="00B375A0">
        <w:t xml:space="preserve"> collections at Treasury.</w:t>
      </w:r>
      <w:r w:rsidRPr="00BE0268" w:rsidR="00A9305B">
        <w:t xml:space="preserve"> </w:t>
      </w:r>
      <w:r w:rsidR="003D3E32">
        <w:t xml:space="preserve"> </w:t>
      </w:r>
      <w:r w:rsidRPr="00BE0268" w:rsidR="00A9305B">
        <w:t xml:space="preserve">Furthermore, the information collection is tailored to leverage data that already exists and </w:t>
      </w:r>
      <w:r w:rsidRPr="00BE0268" w:rsidR="00E03BEA">
        <w:t xml:space="preserve">require </w:t>
      </w:r>
      <w:r w:rsidRPr="00BE0268" w:rsidR="00A9305B">
        <w:t>only additional data that is necessary.</w:t>
      </w:r>
      <w:r w:rsidR="006F6497">
        <w:t xml:space="preserve">  </w:t>
      </w:r>
    </w:p>
    <w:p w:rsidR="007D48AC" w:rsidP="00856DD0" w:rsidRDefault="007D48AC" w14:paraId="073BAF52" w14:textId="77777777"/>
    <w:p w:rsidRPr="00BE0268" w:rsidR="00A5370F" w:rsidP="00856DD0" w:rsidRDefault="006F6497" w14:paraId="6BCCDCE6" w14:textId="17252651">
      <w:r>
        <w:t xml:space="preserve">The information being collected is not </w:t>
      </w:r>
      <w:r w:rsidR="006B5137">
        <w:t>publicly</w:t>
      </w:r>
      <w:r>
        <w:t xml:space="preserve"> available and can only be collected from state banking regulator agencies from information that they derive from their unique oversight activities.</w:t>
      </w:r>
    </w:p>
    <w:p w:rsidRPr="00BE0268" w:rsidR="00D24A88" w:rsidP="00F72D0B" w:rsidRDefault="00D24A88" w14:paraId="2D435C1E" w14:textId="77777777"/>
    <w:p w:rsidRPr="00BE0268" w:rsidR="00F72D0B" w:rsidP="00FD768C" w:rsidRDefault="00F72D0B" w14:paraId="0C31A86B" w14:textId="3473A5C0">
      <w:pPr>
        <w:numPr>
          <w:ilvl w:val="0"/>
          <w:numId w:val="12"/>
        </w:numPr>
        <w:tabs>
          <w:tab w:val="clear" w:pos="720"/>
        </w:tabs>
        <w:ind w:left="360"/>
        <w:rPr>
          <w:u w:val="single"/>
        </w:rPr>
      </w:pPr>
      <w:r w:rsidRPr="00BE0268">
        <w:rPr>
          <w:u w:val="single"/>
        </w:rPr>
        <w:t>Impact on small entities</w:t>
      </w:r>
    </w:p>
    <w:p w:rsidRPr="00BE0268" w:rsidR="00F72D0B" w:rsidP="00F72D0B" w:rsidRDefault="00F72D0B" w14:paraId="6816C937" w14:textId="77777777"/>
    <w:p w:rsidRPr="00BE0268" w:rsidR="00A9305B" w:rsidP="00A9305B" w:rsidRDefault="000C6F26" w14:paraId="4D323399" w14:textId="65859912">
      <w:r w:rsidRPr="00BE0268">
        <w:t xml:space="preserve">This collection of information </w:t>
      </w:r>
      <w:r w:rsidRPr="00BE0268" w:rsidR="000B7AAF">
        <w:t>will minimally</w:t>
      </w:r>
      <w:r w:rsidRPr="00BE0268" w:rsidR="008956E9">
        <w:t xml:space="preserve"> affect</w:t>
      </w:r>
      <w:r w:rsidRPr="00BE0268">
        <w:t xml:space="preserve"> small entities</w:t>
      </w:r>
      <w:r w:rsidRPr="00BE0268" w:rsidR="00A9305B">
        <w:t>.</w:t>
      </w:r>
      <w:r w:rsidRPr="00BE0268" w:rsidR="008C332E">
        <w:t xml:space="preserve"> </w:t>
      </w:r>
      <w:r w:rsidR="003D3E32">
        <w:t xml:space="preserve"> </w:t>
      </w:r>
      <w:r w:rsidRPr="00BE0268" w:rsidR="00A9305B">
        <w:t xml:space="preserve">However, Treasury will attempt to minimize burden on small entities to the greatest extent practicable. </w:t>
      </w:r>
    </w:p>
    <w:p w:rsidRPr="00BE0268" w:rsidR="00D24A88" w:rsidP="00F72D0B" w:rsidRDefault="00D24A88" w14:paraId="19F24EA6" w14:textId="4A4B9F38"/>
    <w:p w:rsidRPr="00BE0268" w:rsidR="00F72D0B" w:rsidP="00FD768C" w:rsidRDefault="00F72D0B" w14:paraId="7FBFF684" w14:textId="2578B5CF">
      <w:pPr>
        <w:numPr>
          <w:ilvl w:val="0"/>
          <w:numId w:val="12"/>
        </w:numPr>
        <w:tabs>
          <w:tab w:val="clear" w:pos="720"/>
        </w:tabs>
        <w:ind w:left="360"/>
        <w:rPr>
          <w:u w:val="single"/>
        </w:rPr>
      </w:pPr>
      <w:r w:rsidRPr="00BE0268">
        <w:rPr>
          <w:u w:val="single"/>
        </w:rPr>
        <w:t>Consequences of less frequent collection and obstacles to burden reduction</w:t>
      </w:r>
    </w:p>
    <w:p w:rsidRPr="00FD768C" w:rsidR="00F72D0B" w:rsidP="00FD768C" w:rsidRDefault="00F72D0B" w14:paraId="02611959" w14:textId="77777777">
      <w:pPr>
        <w:ind w:left="360"/>
        <w:rPr>
          <w:u w:val="single"/>
        </w:rPr>
      </w:pPr>
    </w:p>
    <w:p w:rsidRPr="00BE0268" w:rsidR="006F6497" w:rsidP="00DD104D" w:rsidRDefault="007D48AC" w14:paraId="76954A63" w14:textId="5273A988">
      <w:bookmarkStart w:name="_Hlk73531417" w:id="4"/>
      <w:r w:rsidRPr="00BE0268">
        <w:t>Treasury will collect only the information required to determine whether an applicant is eligible to receive a capital investment under the Program.  Treasury cannot meet its statutory requirement to make funding decisions without the application form</w:t>
      </w:r>
      <w:r>
        <w:t>.</w:t>
      </w:r>
      <w:r w:rsidRPr="00BE0268">
        <w:t xml:space="preserve">  The applicant will submit a limited amount of information that should be readily available to the entity in the ordinary course of business. </w:t>
      </w:r>
      <w:r w:rsidRPr="00BE0268" w:rsidR="00F7485D">
        <w:t>Treasury</w:t>
      </w:r>
      <w:r w:rsidR="006F6497">
        <w:t xml:space="preserve"> will collect information on this form only one time for each institution that applies under the Program.</w:t>
      </w:r>
      <w:r w:rsidRPr="00BE0268" w:rsidR="00F7485D">
        <w:t xml:space="preserve"> </w:t>
      </w:r>
      <w:r w:rsidR="009547BF">
        <w:t xml:space="preserve"> </w:t>
      </w:r>
      <w:r w:rsidR="006F6497">
        <w:t>If this information is not collected, Treasury will have less information upon which to base investment decisions under the Program.  This may result in an increase in risk.</w:t>
      </w:r>
    </w:p>
    <w:bookmarkEnd w:id="4"/>
    <w:p w:rsidRPr="00BE0268" w:rsidR="00F72D0B" w:rsidP="00F72D0B" w:rsidRDefault="00F72D0B" w14:paraId="04164EFC" w14:textId="34D82999"/>
    <w:p w:rsidRPr="00BE0268" w:rsidR="00F72D0B" w:rsidP="00FD768C" w:rsidRDefault="00CB003A" w14:paraId="66E0BEB6" w14:textId="5CA4B18E">
      <w:pPr>
        <w:numPr>
          <w:ilvl w:val="0"/>
          <w:numId w:val="12"/>
        </w:numPr>
        <w:tabs>
          <w:tab w:val="clear" w:pos="720"/>
        </w:tabs>
        <w:ind w:left="360"/>
        <w:rPr>
          <w:u w:val="single"/>
        </w:rPr>
      </w:pPr>
      <w:r w:rsidRPr="00BE0268">
        <w:rPr>
          <w:u w:val="single"/>
        </w:rPr>
        <w:t>Circumstances requiring special information collection</w:t>
      </w:r>
    </w:p>
    <w:p w:rsidRPr="00BE0268" w:rsidR="00FB7F1C" w:rsidP="00CB003A" w:rsidRDefault="00FB7F1C" w14:paraId="5701298D" w14:textId="77777777">
      <w:pPr>
        <w:rPr>
          <w:u w:val="single"/>
        </w:rPr>
      </w:pPr>
    </w:p>
    <w:p w:rsidRPr="00BE0268" w:rsidR="00E13A9C" w:rsidP="00CB003A" w:rsidRDefault="007B29AC" w14:paraId="62A3F377" w14:textId="77777777">
      <w:r w:rsidRPr="00BE0268">
        <w:t>There are no special circumstances that require the collection to be conducted in a manner inconsistent with OMB guidelines.</w:t>
      </w:r>
    </w:p>
    <w:p w:rsidRPr="00BE0268" w:rsidR="007B29AC" w:rsidP="00CB003A" w:rsidRDefault="007B29AC" w14:paraId="46C015FD" w14:textId="77777777"/>
    <w:p w:rsidRPr="00BE0268" w:rsidR="00CB003A" w:rsidP="00FD768C" w:rsidRDefault="00CB003A" w14:paraId="52186B1E" w14:textId="03496E1D">
      <w:pPr>
        <w:numPr>
          <w:ilvl w:val="0"/>
          <w:numId w:val="12"/>
        </w:numPr>
        <w:tabs>
          <w:tab w:val="clear" w:pos="720"/>
        </w:tabs>
        <w:ind w:left="360"/>
        <w:rPr>
          <w:u w:val="single"/>
        </w:rPr>
      </w:pPr>
      <w:r w:rsidRPr="00BE0268">
        <w:rPr>
          <w:u w:val="single"/>
        </w:rPr>
        <w:t>Solicitation of comments on information collection</w:t>
      </w:r>
      <w:r w:rsidRPr="00BE0268" w:rsidR="00040666">
        <w:rPr>
          <w:u w:val="single"/>
        </w:rPr>
        <w:t xml:space="preserve"> and justification for expedited processing pursuant to 5 C</w:t>
      </w:r>
      <w:r w:rsidRPr="00BE0268" w:rsidR="00247B5F">
        <w:rPr>
          <w:u w:val="single"/>
        </w:rPr>
        <w:t>.</w:t>
      </w:r>
      <w:r w:rsidRPr="00BE0268" w:rsidR="00040666">
        <w:rPr>
          <w:u w:val="single"/>
        </w:rPr>
        <w:t>F</w:t>
      </w:r>
      <w:r w:rsidRPr="00BE0268" w:rsidR="00247B5F">
        <w:rPr>
          <w:u w:val="single"/>
        </w:rPr>
        <w:t>.</w:t>
      </w:r>
      <w:r w:rsidRPr="00BE0268" w:rsidR="00040666">
        <w:rPr>
          <w:u w:val="single"/>
        </w:rPr>
        <w:t>R</w:t>
      </w:r>
      <w:r w:rsidRPr="00BE0268" w:rsidR="00247B5F">
        <w:rPr>
          <w:u w:val="single"/>
        </w:rPr>
        <w:t>. §</w:t>
      </w:r>
      <w:r w:rsidRPr="00BE0268" w:rsidR="00040666">
        <w:rPr>
          <w:u w:val="single"/>
        </w:rPr>
        <w:t xml:space="preserve"> 1320.13</w:t>
      </w:r>
    </w:p>
    <w:p w:rsidRPr="00BE0268" w:rsidR="00CB003A" w:rsidP="00CB003A" w:rsidRDefault="00CB003A" w14:paraId="0DD2406F" w14:textId="77777777"/>
    <w:p w:rsidRPr="00BE0268" w:rsidR="002551F6" w:rsidP="00CB003A" w:rsidRDefault="00C63A58" w14:paraId="55FE9054" w14:textId="07438BD5">
      <w:pPr>
        <w:rPr>
          <w:rStyle w:val="CommentReference"/>
          <w:sz w:val="24"/>
          <w:szCs w:val="24"/>
        </w:rPr>
      </w:pPr>
      <w:r w:rsidRPr="00BE0268">
        <w:rPr>
          <w:rStyle w:val="CommentReference"/>
          <w:sz w:val="24"/>
          <w:szCs w:val="24"/>
        </w:rPr>
        <w:t xml:space="preserve">This </w:t>
      </w:r>
      <w:r w:rsidRPr="00BE0268" w:rsidR="006F5CAC">
        <w:rPr>
          <w:rStyle w:val="CommentReference"/>
          <w:sz w:val="24"/>
          <w:szCs w:val="24"/>
        </w:rPr>
        <w:t>application</w:t>
      </w:r>
      <w:r w:rsidRPr="00BE0268">
        <w:rPr>
          <w:rStyle w:val="CommentReference"/>
          <w:sz w:val="24"/>
          <w:szCs w:val="24"/>
        </w:rPr>
        <w:t xml:space="preserve"> is </w:t>
      </w:r>
      <w:r w:rsidRPr="00BE0268" w:rsidR="008C332E">
        <w:rPr>
          <w:rStyle w:val="CommentReference"/>
          <w:sz w:val="24"/>
          <w:szCs w:val="24"/>
        </w:rPr>
        <w:t xml:space="preserve">being </w:t>
      </w:r>
      <w:r w:rsidRPr="00BE0268">
        <w:rPr>
          <w:rStyle w:val="CommentReference"/>
          <w:sz w:val="24"/>
          <w:szCs w:val="24"/>
        </w:rPr>
        <w:t xml:space="preserve">submitted </w:t>
      </w:r>
      <w:r w:rsidRPr="00BE0268" w:rsidR="008C332E">
        <w:rPr>
          <w:rStyle w:val="CommentReference"/>
          <w:sz w:val="24"/>
          <w:szCs w:val="24"/>
        </w:rPr>
        <w:t xml:space="preserve">under </w:t>
      </w:r>
      <w:r w:rsidRPr="00BE0268">
        <w:rPr>
          <w:rStyle w:val="CommentReference"/>
          <w:sz w:val="24"/>
          <w:szCs w:val="24"/>
        </w:rPr>
        <w:t xml:space="preserve">emergency clearance </w:t>
      </w:r>
      <w:r w:rsidRPr="00BE0268" w:rsidR="008C332E">
        <w:rPr>
          <w:rStyle w:val="CommentReference"/>
          <w:sz w:val="24"/>
          <w:szCs w:val="24"/>
        </w:rPr>
        <w:t xml:space="preserve">procedures </w:t>
      </w:r>
      <w:r w:rsidRPr="00BE0268">
        <w:rPr>
          <w:rStyle w:val="CommentReference"/>
          <w:sz w:val="24"/>
          <w:szCs w:val="24"/>
        </w:rPr>
        <w:t>in order to comply with s</w:t>
      </w:r>
      <w:r w:rsidRPr="00BE0268" w:rsidR="00AC1EC6">
        <w:rPr>
          <w:rStyle w:val="CommentReference"/>
          <w:sz w:val="24"/>
          <w:szCs w:val="24"/>
        </w:rPr>
        <w:t xml:space="preserve">tatutory deadlines. </w:t>
      </w:r>
      <w:r w:rsidR="003D3E32">
        <w:rPr>
          <w:rStyle w:val="CommentReference"/>
          <w:sz w:val="24"/>
          <w:szCs w:val="24"/>
        </w:rPr>
        <w:t xml:space="preserve"> </w:t>
      </w:r>
      <w:r w:rsidRPr="00BE0268" w:rsidR="008C332E">
        <w:rPr>
          <w:rStyle w:val="CommentReference"/>
          <w:sz w:val="24"/>
          <w:szCs w:val="24"/>
        </w:rPr>
        <w:t>As such, advance public notice and comment is not possible.</w:t>
      </w:r>
    </w:p>
    <w:p w:rsidRPr="00BE0268" w:rsidR="00AC1EC6" w:rsidP="00CB003A" w:rsidRDefault="00AC1EC6" w14:paraId="21F3D496" w14:textId="77777777"/>
    <w:p w:rsidRPr="00BE0268" w:rsidR="00147A26" w:rsidP="00FD768C" w:rsidRDefault="00147A26" w14:paraId="222F51D1" w14:textId="4D85C8B1">
      <w:pPr>
        <w:numPr>
          <w:ilvl w:val="0"/>
          <w:numId w:val="12"/>
        </w:numPr>
        <w:tabs>
          <w:tab w:val="clear" w:pos="720"/>
        </w:tabs>
        <w:ind w:left="360"/>
      </w:pPr>
      <w:r w:rsidRPr="00BE0268">
        <w:rPr>
          <w:u w:val="single"/>
        </w:rPr>
        <w:t xml:space="preserve">Provision of payments to </w:t>
      </w:r>
      <w:r w:rsidRPr="00BE0268" w:rsidR="003B7343">
        <w:rPr>
          <w:u w:val="single"/>
        </w:rPr>
        <w:t>respondents</w:t>
      </w:r>
    </w:p>
    <w:p w:rsidRPr="00BE0268" w:rsidR="00147A26" w:rsidP="00FB7F1C" w:rsidRDefault="00147A26" w14:paraId="0C6271CE" w14:textId="77777777">
      <w:pPr>
        <w:keepNext/>
      </w:pPr>
    </w:p>
    <w:p w:rsidRPr="00BE0268" w:rsidR="00256911" w:rsidP="00CB003A" w:rsidRDefault="00E96BF2" w14:paraId="37B4AC20" w14:textId="77777777">
      <w:r w:rsidRPr="00BE0268">
        <w:t>No payments or gifts are provided to respondents</w:t>
      </w:r>
      <w:r w:rsidRPr="00BE0268" w:rsidR="009B6FA0">
        <w:t>.</w:t>
      </w:r>
    </w:p>
    <w:p w:rsidRPr="00BE0268" w:rsidR="00BA51F9" w:rsidP="00CB003A" w:rsidRDefault="00BA51F9" w14:paraId="293C1B9F" w14:textId="77777777"/>
    <w:p w:rsidRPr="00FD768C" w:rsidR="00147A26" w:rsidP="00FD768C" w:rsidRDefault="00147A26" w14:paraId="01FC6DFE" w14:textId="4011A69B">
      <w:pPr>
        <w:numPr>
          <w:ilvl w:val="0"/>
          <w:numId w:val="12"/>
        </w:numPr>
        <w:tabs>
          <w:tab w:val="clear" w:pos="720"/>
        </w:tabs>
        <w:ind w:left="360"/>
        <w:rPr>
          <w:u w:val="single"/>
        </w:rPr>
      </w:pPr>
      <w:r w:rsidRPr="00BE0268">
        <w:rPr>
          <w:u w:val="single"/>
        </w:rPr>
        <w:t>Assurance of confidentiality</w:t>
      </w:r>
    </w:p>
    <w:p w:rsidRPr="00BE0268" w:rsidR="00147A26" w:rsidP="00666B6D" w:rsidRDefault="00147A26" w14:paraId="4C146AD6" w14:textId="77777777">
      <w:pPr>
        <w:keepNext/>
      </w:pPr>
    </w:p>
    <w:p w:rsidR="0035119A" w:rsidP="00E146F2" w:rsidRDefault="005F1EBD" w14:paraId="46536B1C" w14:textId="6B13C396">
      <w:pPr>
        <w:autoSpaceDE w:val="0"/>
        <w:autoSpaceDN w:val="0"/>
      </w:pPr>
      <w:r w:rsidRPr="00BE0268">
        <w:t xml:space="preserve">Information collected will be </w:t>
      </w:r>
      <w:r w:rsidRPr="00BE0268" w:rsidR="00247B5F">
        <w:t xml:space="preserve">kept </w:t>
      </w:r>
      <w:r w:rsidRPr="00BE0268">
        <w:t>confidential to the extent appropriate and consistent with the Freedom of Information Act and other applicable law</w:t>
      </w:r>
      <w:r w:rsidRPr="00BE0268" w:rsidR="00247B5F">
        <w:t>s</w:t>
      </w:r>
      <w:r w:rsidRPr="00BE0268">
        <w:t>.</w:t>
      </w:r>
    </w:p>
    <w:p w:rsidRPr="00BE0268" w:rsidR="007D48AC" w:rsidP="00E146F2" w:rsidRDefault="007D48AC" w14:paraId="70433A77" w14:textId="77777777">
      <w:pPr>
        <w:autoSpaceDE w:val="0"/>
        <w:autoSpaceDN w:val="0"/>
      </w:pPr>
    </w:p>
    <w:p w:rsidRPr="00BE0268" w:rsidR="00147A26" w:rsidP="00FD768C" w:rsidRDefault="00147A26" w14:paraId="1CC669C5" w14:textId="7E8732E8">
      <w:pPr>
        <w:numPr>
          <w:ilvl w:val="0"/>
          <w:numId w:val="12"/>
        </w:numPr>
        <w:tabs>
          <w:tab w:val="clear" w:pos="720"/>
        </w:tabs>
        <w:ind w:left="360"/>
        <w:rPr>
          <w:u w:val="single"/>
        </w:rPr>
      </w:pPr>
      <w:r w:rsidRPr="00BE0268">
        <w:rPr>
          <w:u w:val="single"/>
        </w:rPr>
        <w:t>Justification of sensitive questions</w:t>
      </w:r>
    </w:p>
    <w:p w:rsidRPr="00BE0268" w:rsidR="004F6BB6" w:rsidP="00CB003A" w:rsidRDefault="004F6BB6" w14:paraId="02D46D42" w14:textId="77777777"/>
    <w:p w:rsidR="007D48AC" w:rsidP="007D48AC" w:rsidRDefault="007D48AC" w14:paraId="5B2EB979" w14:textId="5CA0E9E8">
      <w:r w:rsidRPr="00BE0268">
        <w:t>An applicant is ineligible to participate in the Program if it is designated in Troubled Condition by the appropriate Federal banking agency or the National Credit Union Administration, as applicable, or is subject to a formal enforcement action with its primary Federal regulator that addresses unsafe or unsound lending practices.  Determining such ineligibility necessitates sensitive questions be asked of the applicant.</w:t>
      </w:r>
    </w:p>
    <w:p w:rsidRPr="00BE0268" w:rsidR="007D48AC" w:rsidP="007D48AC" w:rsidRDefault="007D48AC" w14:paraId="243A491E" w14:textId="77777777"/>
    <w:p w:rsidRPr="00BE0268" w:rsidR="006F5CAC" w:rsidP="00CB003A" w:rsidRDefault="00A102B9" w14:paraId="6B0D71CC" w14:textId="2DC0A390">
      <w:r>
        <w:t>The State Regulator form requests information that may be sensitive in nature because it seeks collects the financial condition and supervisory concerns of regulatory agencies of insured depository institutions.  Such information is inherently sensitive.</w:t>
      </w:r>
    </w:p>
    <w:p w:rsidRPr="00BE0268" w:rsidR="0028091A" w:rsidP="009E2FFF" w:rsidRDefault="0028091A" w14:paraId="2B0B7A52" w14:textId="77777777"/>
    <w:p w:rsidRPr="00BE0268" w:rsidR="00A95A75" w:rsidP="00FD768C" w:rsidRDefault="00ED50C9" w14:paraId="726059FA" w14:textId="38D26AE3">
      <w:pPr>
        <w:numPr>
          <w:ilvl w:val="0"/>
          <w:numId w:val="12"/>
        </w:numPr>
        <w:tabs>
          <w:tab w:val="clear" w:pos="720"/>
        </w:tabs>
        <w:ind w:left="360"/>
        <w:rPr>
          <w:u w:val="single"/>
        </w:rPr>
      </w:pPr>
      <w:r w:rsidRPr="00BE0268">
        <w:rPr>
          <w:u w:val="single"/>
        </w:rPr>
        <w:t xml:space="preserve">Estimate of the hour burden of information collection. </w:t>
      </w:r>
    </w:p>
    <w:p w:rsidRPr="00BE0268" w:rsidR="00ED50C9" w:rsidP="009E2FFF" w:rsidRDefault="00ED50C9" w14:paraId="7568C2E1" w14:textId="77777777">
      <w:pPr>
        <w:rPr>
          <w:u w:val="single"/>
        </w:rPr>
      </w:pPr>
    </w:p>
    <w:p w:rsidRPr="00BE0268" w:rsidR="00ED50C9" w:rsidP="009E2FFF" w:rsidRDefault="006B3DDE" w14:paraId="4F0923B4" w14:textId="3EBBB896">
      <w:pPr>
        <w:rPr>
          <w:color w:val="FF0000"/>
          <w:u w:val="single"/>
        </w:rPr>
      </w:pPr>
      <w:r w:rsidRPr="00BE0268">
        <w:t>The Emergency Capital Investment Program Application form</w:t>
      </w:r>
      <w:r w:rsidR="007D48AC">
        <w:t>, State Regulatory Response Form,</w:t>
      </w:r>
      <w:r w:rsidRPr="00BE0268" w:rsidDel="006B3DDE">
        <w:t xml:space="preserve"> </w:t>
      </w:r>
      <w:r w:rsidR="0019789D">
        <w:t>and associated recordkeeping and compliance reporting</w:t>
      </w:r>
      <w:r w:rsidRPr="00BE0268" w:rsidR="0019789D">
        <w:t xml:space="preserve"> </w:t>
      </w:r>
      <w:r w:rsidRPr="00BE0268" w:rsidR="005F1EBD">
        <w:t>burden estimates are as follows:</w:t>
      </w:r>
    </w:p>
    <w:tbl>
      <w:tblPr>
        <w:tblpPr w:leftFromText="180" w:rightFromText="180" w:vertAnchor="text" w:horzAnchor="margin" w:tblpXSpec="center" w:tblpY="194"/>
        <w:tblW w:w="108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440"/>
        <w:gridCol w:w="1440"/>
        <w:gridCol w:w="1710"/>
        <w:gridCol w:w="1080"/>
        <w:gridCol w:w="1885"/>
        <w:gridCol w:w="1350"/>
        <w:gridCol w:w="1895"/>
      </w:tblGrid>
      <w:tr w:rsidRPr="00BE0268" w:rsidR="00155215" w:rsidTr="00155215" w14:paraId="0A0322A1" w14:textId="77777777">
        <w:trPr>
          <w:trHeight w:val="660"/>
        </w:trPr>
        <w:tc>
          <w:tcPr>
            <w:tcW w:w="1440" w:type="dxa"/>
            <w:shd w:val="clear" w:color="000000" w:fill="FFFFFF"/>
          </w:tcPr>
          <w:p w:rsidRPr="00BE0268" w:rsidR="00155215" w:rsidP="00155215" w:rsidRDefault="00155215" w14:paraId="715FB2F4" w14:textId="77777777">
            <w:pPr>
              <w:jc w:val="center"/>
              <w:rPr>
                <w:color w:val="000000"/>
                <w:sz w:val="20"/>
                <w:szCs w:val="20"/>
              </w:rPr>
            </w:pPr>
            <w:r>
              <w:rPr>
                <w:color w:val="000000"/>
                <w:sz w:val="20"/>
                <w:szCs w:val="20"/>
              </w:rPr>
              <w:t>Information Collection</w:t>
            </w:r>
          </w:p>
        </w:tc>
        <w:tc>
          <w:tcPr>
            <w:tcW w:w="1440" w:type="dxa"/>
            <w:shd w:val="clear" w:color="000000" w:fill="FFFFFF"/>
            <w:vAlign w:val="center"/>
            <w:hideMark/>
          </w:tcPr>
          <w:p w:rsidRPr="00BE0268" w:rsidR="00155215" w:rsidP="00155215" w:rsidRDefault="00155215" w14:paraId="7F613824" w14:textId="77777777">
            <w:pPr>
              <w:jc w:val="center"/>
              <w:rPr>
                <w:color w:val="000000"/>
                <w:sz w:val="20"/>
                <w:szCs w:val="20"/>
              </w:rPr>
            </w:pPr>
            <w:r w:rsidRPr="00BE0268">
              <w:rPr>
                <w:color w:val="000000"/>
                <w:sz w:val="20"/>
                <w:szCs w:val="20"/>
              </w:rPr>
              <w:t>Number of Respondents</w:t>
            </w:r>
            <w:r>
              <w:rPr>
                <w:color w:val="000000"/>
                <w:sz w:val="20"/>
                <w:szCs w:val="20"/>
              </w:rPr>
              <w:t>*</w:t>
            </w:r>
          </w:p>
        </w:tc>
        <w:tc>
          <w:tcPr>
            <w:tcW w:w="1710" w:type="dxa"/>
            <w:shd w:val="clear" w:color="000000" w:fill="FFFFFF"/>
            <w:vAlign w:val="center"/>
            <w:hideMark/>
          </w:tcPr>
          <w:p w:rsidRPr="00BE0268" w:rsidR="00155215" w:rsidP="00155215" w:rsidRDefault="00155215" w14:paraId="4FB3C6DF" w14:textId="77777777">
            <w:pPr>
              <w:jc w:val="center"/>
              <w:rPr>
                <w:color w:val="000000"/>
                <w:sz w:val="20"/>
                <w:szCs w:val="20"/>
              </w:rPr>
            </w:pPr>
            <w:r w:rsidRPr="00BE0268">
              <w:rPr>
                <w:color w:val="000000"/>
                <w:sz w:val="20"/>
                <w:szCs w:val="20"/>
              </w:rPr>
              <w:t># Responses Per Respondent</w:t>
            </w:r>
          </w:p>
          <w:p w:rsidRPr="00BE0268" w:rsidR="00155215" w:rsidP="00155215" w:rsidRDefault="00155215" w14:paraId="3EE1345A" w14:textId="77777777">
            <w:pPr>
              <w:jc w:val="center"/>
              <w:rPr>
                <w:color w:val="000000"/>
                <w:sz w:val="20"/>
                <w:szCs w:val="20"/>
              </w:rPr>
            </w:pPr>
          </w:p>
        </w:tc>
        <w:tc>
          <w:tcPr>
            <w:tcW w:w="1080" w:type="dxa"/>
            <w:shd w:val="clear" w:color="000000" w:fill="FFFFFF"/>
            <w:vAlign w:val="center"/>
            <w:hideMark/>
          </w:tcPr>
          <w:p w:rsidRPr="00BE0268" w:rsidR="00155215" w:rsidP="00155215" w:rsidRDefault="00155215" w14:paraId="60A22447" w14:textId="77777777">
            <w:pPr>
              <w:jc w:val="center"/>
              <w:rPr>
                <w:color w:val="000000"/>
                <w:sz w:val="20"/>
                <w:szCs w:val="20"/>
              </w:rPr>
            </w:pPr>
            <w:r w:rsidRPr="00BE0268">
              <w:rPr>
                <w:color w:val="000000"/>
                <w:sz w:val="20"/>
                <w:szCs w:val="20"/>
              </w:rPr>
              <w:t>Total Responses</w:t>
            </w:r>
          </w:p>
        </w:tc>
        <w:tc>
          <w:tcPr>
            <w:tcW w:w="1885" w:type="dxa"/>
            <w:shd w:val="clear" w:color="000000" w:fill="FFFFFF"/>
            <w:vAlign w:val="center"/>
            <w:hideMark/>
          </w:tcPr>
          <w:p w:rsidRPr="00BE0268" w:rsidR="00155215" w:rsidP="00155215" w:rsidRDefault="00155215" w14:paraId="4756B1DA" w14:textId="77777777">
            <w:pPr>
              <w:jc w:val="center"/>
              <w:rPr>
                <w:color w:val="000000"/>
                <w:sz w:val="20"/>
                <w:szCs w:val="20"/>
              </w:rPr>
            </w:pPr>
            <w:r w:rsidRPr="00BE0268">
              <w:rPr>
                <w:color w:val="000000"/>
                <w:sz w:val="20"/>
                <w:szCs w:val="20"/>
              </w:rPr>
              <w:t>Hours per response</w:t>
            </w:r>
          </w:p>
        </w:tc>
        <w:tc>
          <w:tcPr>
            <w:tcW w:w="1350" w:type="dxa"/>
            <w:shd w:val="clear" w:color="000000" w:fill="FFFFFF"/>
            <w:vAlign w:val="center"/>
            <w:hideMark/>
          </w:tcPr>
          <w:p w:rsidRPr="00BE0268" w:rsidR="00155215" w:rsidP="00155215" w:rsidRDefault="00155215" w14:paraId="63F1CDE9" w14:textId="77777777">
            <w:pPr>
              <w:jc w:val="center"/>
              <w:rPr>
                <w:color w:val="000000"/>
                <w:sz w:val="20"/>
                <w:szCs w:val="20"/>
              </w:rPr>
            </w:pPr>
            <w:r w:rsidRPr="00BE0268">
              <w:rPr>
                <w:color w:val="000000"/>
                <w:sz w:val="20"/>
                <w:szCs w:val="20"/>
              </w:rPr>
              <w:t>Total Burden in Hours</w:t>
            </w:r>
          </w:p>
        </w:tc>
        <w:tc>
          <w:tcPr>
            <w:tcW w:w="1895" w:type="dxa"/>
            <w:shd w:val="clear" w:color="000000" w:fill="FFFFFF"/>
            <w:vAlign w:val="center"/>
            <w:hideMark/>
          </w:tcPr>
          <w:p w:rsidRPr="00BE0268" w:rsidR="00155215" w:rsidP="00155215" w:rsidRDefault="00155215" w14:paraId="4E755C0E" w14:textId="77777777">
            <w:pPr>
              <w:jc w:val="center"/>
              <w:rPr>
                <w:color w:val="000000"/>
                <w:sz w:val="20"/>
                <w:szCs w:val="20"/>
              </w:rPr>
            </w:pPr>
            <w:r w:rsidRPr="00BE0268">
              <w:rPr>
                <w:color w:val="000000"/>
                <w:sz w:val="20"/>
                <w:szCs w:val="20"/>
              </w:rPr>
              <w:t>Cost to Respondent</w:t>
            </w:r>
          </w:p>
          <w:p w:rsidRPr="00BE0268" w:rsidR="00155215" w:rsidP="00155215" w:rsidRDefault="00155215" w14:paraId="07595AF5" w14:textId="4842DD0A">
            <w:pPr>
              <w:jc w:val="center"/>
              <w:rPr>
                <w:color w:val="000000"/>
                <w:sz w:val="20"/>
                <w:szCs w:val="20"/>
              </w:rPr>
            </w:pPr>
          </w:p>
        </w:tc>
      </w:tr>
      <w:tr w:rsidRPr="00BE0268" w:rsidR="00155215" w:rsidTr="00155215" w14:paraId="0440383E" w14:textId="77777777">
        <w:trPr>
          <w:trHeight w:val="315"/>
        </w:trPr>
        <w:tc>
          <w:tcPr>
            <w:tcW w:w="1440" w:type="dxa"/>
            <w:shd w:val="clear" w:color="000000" w:fill="FFFFFF"/>
          </w:tcPr>
          <w:p w:rsidRPr="00BE0268" w:rsidR="00155215" w:rsidP="00155215" w:rsidRDefault="00155215" w14:paraId="355421C0" w14:textId="321D86AB">
            <w:pPr>
              <w:jc w:val="center"/>
              <w:rPr>
                <w:color w:val="000000"/>
                <w:sz w:val="20"/>
                <w:szCs w:val="20"/>
              </w:rPr>
            </w:pPr>
            <w:r>
              <w:rPr>
                <w:color w:val="000000"/>
                <w:sz w:val="20"/>
                <w:szCs w:val="20"/>
              </w:rPr>
              <w:t xml:space="preserve">Application </w:t>
            </w:r>
            <w:r w:rsidR="00CA3A13">
              <w:rPr>
                <w:color w:val="000000"/>
                <w:sz w:val="20"/>
                <w:szCs w:val="20"/>
              </w:rPr>
              <w:t>Form and associated recordkeeping</w:t>
            </w:r>
          </w:p>
        </w:tc>
        <w:tc>
          <w:tcPr>
            <w:tcW w:w="1440" w:type="dxa"/>
            <w:shd w:val="clear" w:color="000000" w:fill="FFFFFF"/>
            <w:vAlign w:val="center"/>
          </w:tcPr>
          <w:p w:rsidRPr="00BE0268" w:rsidR="00155215" w:rsidP="00155215" w:rsidRDefault="00155215" w14:paraId="779FA37B" w14:textId="77777777">
            <w:pPr>
              <w:jc w:val="center"/>
              <w:rPr>
                <w:color w:val="000000"/>
                <w:sz w:val="20"/>
                <w:szCs w:val="20"/>
              </w:rPr>
            </w:pPr>
            <w:r w:rsidRPr="00BE0268">
              <w:rPr>
                <w:color w:val="000000"/>
                <w:sz w:val="20"/>
                <w:szCs w:val="20"/>
              </w:rPr>
              <w:t>1,10</w:t>
            </w:r>
            <w:r>
              <w:rPr>
                <w:color w:val="000000"/>
                <w:sz w:val="20"/>
                <w:szCs w:val="20"/>
              </w:rPr>
              <w:t>0</w:t>
            </w:r>
          </w:p>
        </w:tc>
        <w:tc>
          <w:tcPr>
            <w:tcW w:w="1710" w:type="dxa"/>
            <w:shd w:val="clear" w:color="000000" w:fill="FFFFFF"/>
            <w:noWrap/>
            <w:vAlign w:val="center"/>
          </w:tcPr>
          <w:p w:rsidRPr="00BE0268" w:rsidR="00155215" w:rsidP="00155215" w:rsidRDefault="00155215" w14:paraId="424F92A1" w14:textId="77777777">
            <w:pPr>
              <w:jc w:val="center"/>
              <w:rPr>
                <w:color w:val="000000"/>
                <w:sz w:val="20"/>
                <w:szCs w:val="20"/>
              </w:rPr>
            </w:pPr>
            <w:r w:rsidRPr="00BE0268">
              <w:rPr>
                <w:color w:val="000000"/>
                <w:sz w:val="20"/>
                <w:szCs w:val="20"/>
              </w:rPr>
              <w:t>1</w:t>
            </w:r>
          </w:p>
        </w:tc>
        <w:tc>
          <w:tcPr>
            <w:tcW w:w="1080" w:type="dxa"/>
            <w:shd w:val="clear" w:color="000000" w:fill="FFFFFF"/>
            <w:noWrap/>
            <w:vAlign w:val="center"/>
          </w:tcPr>
          <w:p w:rsidRPr="00BE0268" w:rsidR="00155215" w:rsidP="00155215" w:rsidRDefault="00155215" w14:paraId="01B90887" w14:textId="77777777">
            <w:pPr>
              <w:jc w:val="center"/>
              <w:rPr>
                <w:color w:val="000000"/>
                <w:sz w:val="20"/>
                <w:szCs w:val="20"/>
              </w:rPr>
            </w:pPr>
            <w:r w:rsidRPr="00BE0268">
              <w:rPr>
                <w:color w:val="000000"/>
                <w:sz w:val="20"/>
                <w:szCs w:val="20"/>
              </w:rPr>
              <w:t>1,10</w:t>
            </w:r>
            <w:r>
              <w:rPr>
                <w:color w:val="000000"/>
                <w:sz w:val="20"/>
                <w:szCs w:val="20"/>
              </w:rPr>
              <w:t>0</w:t>
            </w:r>
          </w:p>
        </w:tc>
        <w:tc>
          <w:tcPr>
            <w:tcW w:w="1885" w:type="dxa"/>
            <w:shd w:val="clear" w:color="000000" w:fill="FFFFFF"/>
            <w:noWrap/>
            <w:vAlign w:val="center"/>
          </w:tcPr>
          <w:p w:rsidRPr="00BE0268" w:rsidR="00155215" w:rsidP="00155215" w:rsidRDefault="00CA3A13" w14:paraId="3288D4F2" w14:textId="31C42184">
            <w:pPr>
              <w:jc w:val="center"/>
              <w:rPr>
                <w:color w:val="000000"/>
                <w:sz w:val="20"/>
                <w:szCs w:val="20"/>
              </w:rPr>
            </w:pPr>
            <w:r>
              <w:rPr>
                <w:rStyle w:val="CommentReference"/>
                <w:sz w:val="20"/>
                <w:szCs w:val="20"/>
              </w:rPr>
              <w:t>0.333 hours (20 minutes)</w:t>
            </w:r>
          </w:p>
        </w:tc>
        <w:tc>
          <w:tcPr>
            <w:tcW w:w="1350" w:type="dxa"/>
            <w:shd w:val="clear" w:color="000000" w:fill="FFFFFF"/>
            <w:noWrap/>
            <w:vAlign w:val="center"/>
          </w:tcPr>
          <w:p w:rsidRPr="00BE0268" w:rsidR="00155215" w:rsidP="00155215" w:rsidRDefault="00CA3A13" w14:paraId="465E20B5" w14:textId="4C46A529">
            <w:pPr>
              <w:jc w:val="center"/>
              <w:rPr>
                <w:color w:val="000000"/>
                <w:sz w:val="20"/>
                <w:szCs w:val="20"/>
              </w:rPr>
            </w:pPr>
            <w:r>
              <w:rPr>
                <w:color w:val="000000"/>
                <w:sz w:val="20"/>
                <w:szCs w:val="20"/>
              </w:rPr>
              <w:t>36</w:t>
            </w:r>
            <w:r w:rsidR="006874C5">
              <w:rPr>
                <w:color w:val="000000"/>
                <w:sz w:val="20"/>
                <w:szCs w:val="20"/>
              </w:rPr>
              <w:t>7</w:t>
            </w:r>
          </w:p>
        </w:tc>
        <w:tc>
          <w:tcPr>
            <w:tcW w:w="1895" w:type="dxa"/>
            <w:shd w:val="clear" w:color="000000" w:fill="FFFFFF"/>
            <w:noWrap/>
            <w:vAlign w:val="center"/>
          </w:tcPr>
          <w:p w:rsidRPr="00BE0268" w:rsidR="00155215" w:rsidP="00155215" w:rsidRDefault="00155215" w14:paraId="2419939A" w14:textId="48D25398">
            <w:pPr>
              <w:jc w:val="center"/>
              <w:rPr>
                <w:color w:val="000000"/>
                <w:sz w:val="20"/>
                <w:szCs w:val="20"/>
              </w:rPr>
            </w:pPr>
            <w:r>
              <w:rPr>
                <w:color w:val="000000"/>
                <w:sz w:val="20"/>
                <w:szCs w:val="20"/>
              </w:rPr>
              <w:t>$</w:t>
            </w:r>
            <w:r w:rsidR="006874C5">
              <w:rPr>
                <w:color w:val="000000"/>
                <w:sz w:val="20"/>
                <w:szCs w:val="20"/>
              </w:rPr>
              <w:t>17,432</w:t>
            </w:r>
            <w:r w:rsidR="00061928">
              <w:rPr>
                <w:color w:val="000000"/>
                <w:sz w:val="20"/>
                <w:szCs w:val="20"/>
              </w:rPr>
              <w:t>**</w:t>
            </w:r>
          </w:p>
        </w:tc>
      </w:tr>
      <w:tr w:rsidRPr="00BE0268" w:rsidR="00CA3A13" w:rsidTr="00155215" w14:paraId="7649C4CD" w14:textId="77777777">
        <w:trPr>
          <w:trHeight w:val="315"/>
        </w:trPr>
        <w:tc>
          <w:tcPr>
            <w:tcW w:w="1440" w:type="dxa"/>
            <w:shd w:val="clear" w:color="000000" w:fill="FFFFFF"/>
          </w:tcPr>
          <w:p w:rsidR="00CA3A13" w:rsidP="00155215" w:rsidRDefault="00CA3A13" w14:paraId="0F2D26CB" w14:textId="0D893993">
            <w:pPr>
              <w:jc w:val="center"/>
              <w:rPr>
                <w:color w:val="000000"/>
                <w:sz w:val="20"/>
                <w:szCs w:val="20"/>
              </w:rPr>
            </w:pPr>
            <w:r>
              <w:rPr>
                <w:color w:val="000000"/>
                <w:sz w:val="20"/>
                <w:szCs w:val="20"/>
              </w:rPr>
              <w:t>Lending Plans and associated recordkeeping</w:t>
            </w:r>
          </w:p>
        </w:tc>
        <w:tc>
          <w:tcPr>
            <w:tcW w:w="1440" w:type="dxa"/>
            <w:shd w:val="clear" w:color="000000" w:fill="FFFFFF"/>
            <w:vAlign w:val="center"/>
          </w:tcPr>
          <w:p w:rsidRPr="00BE0268" w:rsidR="00CA3A13" w:rsidP="00155215" w:rsidRDefault="00CA3A13" w14:paraId="5235E654" w14:textId="6B9B96C5">
            <w:pPr>
              <w:jc w:val="center"/>
              <w:rPr>
                <w:color w:val="000000"/>
                <w:sz w:val="20"/>
                <w:szCs w:val="20"/>
              </w:rPr>
            </w:pPr>
            <w:r>
              <w:rPr>
                <w:color w:val="000000"/>
                <w:sz w:val="20"/>
                <w:szCs w:val="20"/>
              </w:rPr>
              <w:t>1,100</w:t>
            </w:r>
          </w:p>
        </w:tc>
        <w:tc>
          <w:tcPr>
            <w:tcW w:w="1710" w:type="dxa"/>
            <w:shd w:val="clear" w:color="000000" w:fill="FFFFFF"/>
            <w:noWrap/>
            <w:vAlign w:val="center"/>
          </w:tcPr>
          <w:p w:rsidRPr="00BE0268" w:rsidR="00CA3A13" w:rsidP="00155215" w:rsidRDefault="00CA3A13" w14:paraId="78D20146" w14:textId="4AF3F47C">
            <w:pPr>
              <w:jc w:val="center"/>
              <w:rPr>
                <w:color w:val="000000"/>
                <w:sz w:val="20"/>
                <w:szCs w:val="20"/>
              </w:rPr>
            </w:pPr>
            <w:r>
              <w:rPr>
                <w:color w:val="000000"/>
                <w:sz w:val="20"/>
                <w:szCs w:val="20"/>
              </w:rPr>
              <w:t>1</w:t>
            </w:r>
          </w:p>
        </w:tc>
        <w:tc>
          <w:tcPr>
            <w:tcW w:w="1080" w:type="dxa"/>
            <w:shd w:val="clear" w:color="000000" w:fill="FFFFFF"/>
            <w:noWrap/>
            <w:vAlign w:val="center"/>
          </w:tcPr>
          <w:p w:rsidRPr="00BE0268" w:rsidR="00CA3A13" w:rsidP="00155215" w:rsidRDefault="00CA3A13" w14:paraId="2B87D5B0" w14:textId="5E11A4D6">
            <w:pPr>
              <w:jc w:val="center"/>
              <w:rPr>
                <w:color w:val="000000"/>
                <w:sz w:val="20"/>
                <w:szCs w:val="20"/>
              </w:rPr>
            </w:pPr>
            <w:r>
              <w:rPr>
                <w:color w:val="000000"/>
                <w:sz w:val="20"/>
                <w:szCs w:val="20"/>
              </w:rPr>
              <w:t>1,100</w:t>
            </w:r>
          </w:p>
        </w:tc>
        <w:tc>
          <w:tcPr>
            <w:tcW w:w="1885" w:type="dxa"/>
            <w:shd w:val="clear" w:color="000000" w:fill="FFFFFF"/>
            <w:noWrap/>
            <w:vAlign w:val="center"/>
          </w:tcPr>
          <w:p w:rsidR="00CA3A13" w:rsidP="00155215" w:rsidRDefault="00CA3A13" w14:paraId="151D9323" w14:textId="39CFB181">
            <w:pPr>
              <w:jc w:val="center"/>
              <w:rPr>
                <w:rStyle w:val="CommentReference"/>
                <w:sz w:val="20"/>
                <w:szCs w:val="20"/>
              </w:rPr>
            </w:pPr>
            <w:r>
              <w:rPr>
                <w:rStyle w:val="CommentReference"/>
                <w:sz w:val="20"/>
                <w:szCs w:val="20"/>
              </w:rPr>
              <w:t>41 hours</w:t>
            </w:r>
          </w:p>
        </w:tc>
        <w:tc>
          <w:tcPr>
            <w:tcW w:w="1350" w:type="dxa"/>
            <w:shd w:val="clear" w:color="000000" w:fill="FFFFFF"/>
            <w:noWrap/>
            <w:vAlign w:val="center"/>
          </w:tcPr>
          <w:p w:rsidR="00CA3A13" w:rsidP="00155215" w:rsidRDefault="00CA3A13" w14:paraId="2AA26328" w14:textId="3BB64ED8">
            <w:pPr>
              <w:jc w:val="center"/>
              <w:rPr>
                <w:color w:val="000000"/>
                <w:sz w:val="20"/>
                <w:szCs w:val="20"/>
              </w:rPr>
            </w:pPr>
            <w:r>
              <w:rPr>
                <w:color w:val="000000"/>
                <w:sz w:val="20"/>
                <w:szCs w:val="20"/>
              </w:rPr>
              <w:t>45,100</w:t>
            </w:r>
          </w:p>
        </w:tc>
        <w:tc>
          <w:tcPr>
            <w:tcW w:w="1895" w:type="dxa"/>
            <w:shd w:val="clear" w:color="000000" w:fill="FFFFFF"/>
            <w:noWrap/>
            <w:vAlign w:val="center"/>
          </w:tcPr>
          <w:p w:rsidR="00CA3A13" w:rsidP="00155215" w:rsidRDefault="00CA3A13" w14:paraId="32C2CD46" w14:textId="22F1B1E2">
            <w:pPr>
              <w:jc w:val="center"/>
              <w:rPr>
                <w:color w:val="000000"/>
                <w:sz w:val="20"/>
                <w:szCs w:val="20"/>
              </w:rPr>
            </w:pPr>
            <w:r>
              <w:rPr>
                <w:color w:val="000000"/>
                <w:sz w:val="20"/>
                <w:szCs w:val="20"/>
              </w:rPr>
              <w:t>$2,142,250</w:t>
            </w:r>
            <w:r w:rsidR="00061928">
              <w:rPr>
                <w:color w:val="000000"/>
                <w:sz w:val="20"/>
                <w:szCs w:val="20"/>
              </w:rPr>
              <w:t>**</w:t>
            </w:r>
          </w:p>
        </w:tc>
      </w:tr>
      <w:tr w:rsidRPr="00BE0268" w:rsidR="00155215" w:rsidTr="00155215" w14:paraId="5EF1F79F" w14:textId="77777777">
        <w:trPr>
          <w:trHeight w:val="315"/>
        </w:trPr>
        <w:tc>
          <w:tcPr>
            <w:tcW w:w="1440" w:type="dxa"/>
            <w:shd w:val="clear" w:color="000000" w:fill="FFFFFF"/>
          </w:tcPr>
          <w:p w:rsidRPr="00BE0268" w:rsidR="00155215" w:rsidP="00155215" w:rsidRDefault="00155215" w14:paraId="2EBA45F7" w14:textId="77777777">
            <w:pPr>
              <w:jc w:val="center"/>
              <w:rPr>
                <w:color w:val="000000"/>
                <w:sz w:val="20"/>
                <w:szCs w:val="20"/>
              </w:rPr>
            </w:pPr>
            <w:r>
              <w:rPr>
                <w:color w:val="000000"/>
                <w:sz w:val="20"/>
                <w:szCs w:val="20"/>
              </w:rPr>
              <w:t>Expenditure Policies</w:t>
            </w:r>
          </w:p>
        </w:tc>
        <w:tc>
          <w:tcPr>
            <w:tcW w:w="1440" w:type="dxa"/>
            <w:shd w:val="clear" w:color="000000" w:fill="FFFFFF"/>
            <w:vAlign w:val="center"/>
          </w:tcPr>
          <w:p w:rsidRPr="00BE0268" w:rsidR="00155215" w:rsidP="00155215" w:rsidRDefault="00155215" w14:paraId="3B1AEB59" w14:textId="77777777">
            <w:pPr>
              <w:jc w:val="center"/>
              <w:rPr>
                <w:color w:val="000000"/>
                <w:sz w:val="20"/>
                <w:szCs w:val="20"/>
              </w:rPr>
            </w:pPr>
            <w:r>
              <w:rPr>
                <w:color w:val="000000"/>
                <w:sz w:val="20"/>
                <w:szCs w:val="20"/>
              </w:rPr>
              <w:t>1,100</w:t>
            </w:r>
          </w:p>
        </w:tc>
        <w:tc>
          <w:tcPr>
            <w:tcW w:w="1710" w:type="dxa"/>
            <w:shd w:val="clear" w:color="000000" w:fill="FFFFFF"/>
            <w:noWrap/>
            <w:vAlign w:val="center"/>
          </w:tcPr>
          <w:p w:rsidRPr="00BE0268" w:rsidR="00155215" w:rsidP="00155215" w:rsidRDefault="00155215" w14:paraId="12C38E46" w14:textId="77777777">
            <w:pPr>
              <w:jc w:val="center"/>
              <w:rPr>
                <w:color w:val="000000"/>
                <w:sz w:val="20"/>
                <w:szCs w:val="20"/>
              </w:rPr>
            </w:pPr>
            <w:r>
              <w:rPr>
                <w:color w:val="000000"/>
                <w:sz w:val="20"/>
                <w:szCs w:val="20"/>
              </w:rPr>
              <w:t>1</w:t>
            </w:r>
          </w:p>
        </w:tc>
        <w:tc>
          <w:tcPr>
            <w:tcW w:w="1080" w:type="dxa"/>
            <w:shd w:val="clear" w:color="000000" w:fill="FFFFFF"/>
            <w:noWrap/>
            <w:vAlign w:val="center"/>
          </w:tcPr>
          <w:p w:rsidRPr="00BE0268" w:rsidR="00155215" w:rsidP="00155215" w:rsidRDefault="00155215" w14:paraId="7335DE35" w14:textId="77777777">
            <w:pPr>
              <w:jc w:val="center"/>
              <w:rPr>
                <w:color w:val="000000"/>
                <w:sz w:val="20"/>
                <w:szCs w:val="20"/>
              </w:rPr>
            </w:pPr>
            <w:r>
              <w:rPr>
                <w:color w:val="000000"/>
                <w:sz w:val="20"/>
                <w:szCs w:val="20"/>
              </w:rPr>
              <w:t>1,100</w:t>
            </w:r>
          </w:p>
        </w:tc>
        <w:tc>
          <w:tcPr>
            <w:tcW w:w="1885" w:type="dxa"/>
            <w:shd w:val="clear" w:color="000000" w:fill="FFFFFF"/>
            <w:noWrap/>
            <w:vAlign w:val="center"/>
          </w:tcPr>
          <w:p w:rsidR="00155215" w:rsidP="00155215" w:rsidRDefault="00CA3A13" w14:paraId="749A7BBB" w14:textId="6A5941F7">
            <w:pPr>
              <w:jc w:val="center"/>
              <w:rPr>
                <w:rStyle w:val="CommentReference"/>
                <w:sz w:val="20"/>
                <w:szCs w:val="20"/>
              </w:rPr>
            </w:pPr>
            <w:r>
              <w:rPr>
                <w:rStyle w:val="CommentReference"/>
                <w:sz w:val="20"/>
                <w:szCs w:val="20"/>
              </w:rPr>
              <w:t>40 hours</w:t>
            </w:r>
          </w:p>
        </w:tc>
        <w:tc>
          <w:tcPr>
            <w:tcW w:w="1350" w:type="dxa"/>
            <w:shd w:val="clear" w:color="000000" w:fill="FFFFFF"/>
            <w:noWrap/>
            <w:vAlign w:val="center"/>
          </w:tcPr>
          <w:p w:rsidR="00155215" w:rsidP="00155215" w:rsidRDefault="00155215" w14:paraId="6589A519" w14:textId="77777777">
            <w:pPr>
              <w:jc w:val="center"/>
              <w:rPr>
                <w:color w:val="000000"/>
                <w:sz w:val="20"/>
                <w:szCs w:val="20"/>
              </w:rPr>
            </w:pPr>
            <w:r>
              <w:rPr>
                <w:color w:val="000000"/>
                <w:sz w:val="20"/>
                <w:szCs w:val="20"/>
              </w:rPr>
              <w:t>44,000</w:t>
            </w:r>
          </w:p>
        </w:tc>
        <w:tc>
          <w:tcPr>
            <w:tcW w:w="1895" w:type="dxa"/>
            <w:shd w:val="clear" w:color="000000" w:fill="FFFFFF"/>
            <w:noWrap/>
            <w:vAlign w:val="center"/>
          </w:tcPr>
          <w:p w:rsidR="00155215" w:rsidP="00155215" w:rsidRDefault="006874C5" w14:paraId="6C8FAD23" w14:textId="52DC673F">
            <w:pPr>
              <w:jc w:val="center"/>
              <w:rPr>
                <w:color w:val="000000"/>
                <w:sz w:val="20"/>
                <w:szCs w:val="20"/>
              </w:rPr>
            </w:pPr>
            <w:r>
              <w:rPr>
                <w:color w:val="000000"/>
                <w:sz w:val="20"/>
                <w:szCs w:val="20"/>
              </w:rPr>
              <w:t>$2,090,000</w:t>
            </w:r>
            <w:r w:rsidR="00061928">
              <w:rPr>
                <w:color w:val="000000"/>
                <w:sz w:val="20"/>
                <w:szCs w:val="20"/>
              </w:rPr>
              <w:t>**</w:t>
            </w:r>
          </w:p>
        </w:tc>
      </w:tr>
      <w:tr w:rsidRPr="00BE0268" w:rsidR="00155215" w:rsidTr="00155215" w14:paraId="11DB7DA1" w14:textId="77777777">
        <w:trPr>
          <w:trHeight w:val="315"/>
        </w:trPr>
        <w:tc>
          <w:tcPr>
            <w:tcW w:w="1440" w:type="dxa"/>
            <w:shd w:val="clear" w:color="000000" w:fill="FFFFFF"/>
          </w:tcPr>
          <w:p w:rsidRPr="00BE0268" w:rsidR="00155215" w:rsidP="00155215" w:rsidRDefault="00155215" w14:paraId="03B57BC9" w14:textId="77777777">
            <w:pPr>
              <w:jc w:val="center"/>
              <w:rPr>
                <w:color w:val="000000"/>
                <w:sz w:val="20"/>
                <w:szCs w:val="20"/>
              </w:rPr>
            </w:pPr>
            <w:r>
              <w:rPr>
                <w:color w:val="000000"/>
                <w:sz w:val="20"/>
                <w:szCs w:val="20"/>
              </w:rPr>
              <w:t>Exemptive Relief Request</w:t>
            </w:r>
          </w:p>
        </w:tc>
        <w:tc>
          <w:tcPr>
            <w:tcW w:w="1440" w:type="dxa"/>
            <w:shd w:val="clear" w:color="000000" w:fill="FFFFFF"/>
            <w:vAlign w:val="center"/>
          </w:tcPr>
          <w:p w:rsidRPr="00BE0268" w:rsidR="00155215" w:rsidP="00155215" w:rsidRDefault="00155215" w14:paraId="645A8C82" w14:textId="77777777">
            <w:pPr>
              <w:jc w:val="center"/>
              <w:rPr>
                <w:color w:val="000000"/>
                <w:sz w:val="20"/>
                <w:szCs w:val="20"/>
              </w:rPr>
            </w:pPr>
            <w:r>
              <w:rPr>
                <w:color w:val="000000"/>
                <w:sz w:val="20"/>
                <w:szCs w:val="20"/>
              </w:rPr>
              <w:t>55</w:t>
            </w:r>
          </w:p>
        </w:tc>
        <w:tc>
          <w:tcPr>
            <w:tcW w:w="1710" w:type="dxa"/>
            <w:shd w:val="clear" w:color="000000" w:fill="FFFFFF"/>
            <w:noWrap/>
            <w:vAlign w:val="center"/>
          </w:tcPr>
          <w:p w:rsidRPr="00BE0268" w:rsidR="00155215" w:rsidP="00155215" w:rsidRDefault="00155215" w14:paraId="00CD43CD" w14:textId="77777777">
            <w:pPr>
              <w:jc w:val="center"/>
              <w:rPr>
                <w:color w:val="000000"/>
                <w:sz w:val="20"/>
                <w:szCs w:val="20"/>
              </w:rPr>
            </w:pPr>
            <w:r>
              <w:rPr>
                <w:color w:val="000000"/>
                <w:sz w:val="20"/>
                <w:szCs w:val="20"/>
              </w:rPr>
              <w:t>1</w:t>
            </w:r>
          </w:p>
        </w:tc>
        <w:tc>
          <w:tcPr>
            <w:tcW w:w="1080" w:type="dxa"/>
            <w:shd w:val="clear" w:color="000000" w:fill="FFFFFF"/>
            <w:noWrap/>
            <w:vAlign w:val="center"/>
          </w:tcPr>
          <w:p w:rsidRPr="00BE0268" w:rsidR="00155215" w:rsidP="00155215" w:rsidRDefault="00155215" w14:paraId="5DAECA84" w14:textId="77777777">
            <w:pPr>
              <w:jc w:val="center"/>
              <w:rPr>
                <w:color w:val="000000"/>
                <w:sz w:val="20"/>
                <w:szCs w:val="20"/>
              </w:rPr>
            </w:pPr>
            <w:r>
              <w:rPr>
                <w:color w:val="000000"/>
                <w:sz w:val="20"/>
                <w:szCs w:val="20"/>
              </w:rPr>
              <w:t>55</w:t>
            </w:r>
          </w:p>
        </w:tc>
        <w:tc>
          <w:tcPr>
            <w:tcW w:w="1885" w:type="dxa"/>
            <w:shd w:val="clear" w:color="000000" w:fill="FFFFFF"/>
            <w:noWrap/>
            <w:vAlign w:val="center"/>
          </w:tcPr>
          <w:p w:rsidR="00155215" w:rsidP="00155215" w:rsidRDefault="00155215" w14:paraId="159C08E4" w14:textId="77777777">
            <w:pPr>
              <w:jc w:val="center"/>
              <w:rPr>
                <w:rStyle w:val="CommentReference"/>
                <w:sz w:val="20"/>
                <w:szCs w:val="20"/>
              </w:rPr>
            </w:pPr>
            <w:r>
              <w:rPr>
                <w:rStyle w:val="CommentReference"/>
                <w:sz w:val="20"/>
                <w:szCs w:val="20"/>
              </w:rPr>
              <w:t xml:space="preserve">0.25 (15 minutes) </w:t>
            </w:r>
          </w:p>
        </w:tc>
        <w:tc>
          <w:tcPr>
            <w:tcW w:w="1350" w:type="dxa"/>
            <w:shd w:val="clear" w:color="000000" w:fill="FFFFFF"/>
            <w:noWrap/>
            <w:vAlign w:val="center"/>
          </w:tcPr>
          <w:p w:rsidR="00155215" w:rsidP="00155215" w:rsidRDefault="00155215" w14:paraId="1E0DD717" w14:textId="77777777">
            <w:pPr>
              <w:jc w:val="center"/>
              <w:rPr>
                <w:color w:val="000000"/>
                <w:sz w:val="20"/>
                <w:szCs w:val="20"/>
              </w:rPr>
            </w:pPr>
            <w:r>
              <w:rPr>
                <w:color w:val="000000"/>
                <w:sz w:val="20"/>
                <w:szCs w:val="20"/>
              </w:rPr>
              <w:t>14</w:t>
            </w:r>
          </w:p>
        </w:tc>
        <w:tc>
          <w:tcPr>
            <w:tcW w:w="1895" w:type="dxa"/>
            <w:shd w:val="clear" w:color="000000" w:fill="FFFFFF"/>
            <w:noWrap/>
            <w:vAlign w:val="center"/>
          </w:tcPr>
          <w:p w:rsidR="00155215" w:rsidP="00155215" w:rsidRDefault="00155215" w14:paraId="1401530B" w14:textId="6429D1A6">
            <w:pPr>
              <w:jc w:val="center"/>
              <w:rPr>
                <w:color w:val="000000"/>
                <w:sz w:val="20"/>
                <w:szCs w:val="20"/>
              </w:rPr>
            </w:pPr>
            <w:r>
              <w:rPr>
                <w:color w:val="000000"/>
                <w:sz w:val="20"/>
                <w:szCs w:val="20"/>
              </w:rPr>
              <w:t>$</w:t>
            </w:r>
            <w:r w:rsidR="006874C5">
              <w:rPr>
                <w:color w:val="000000"/>
                <w:sz w:val="20"/>
                <w:szCs w:val="20"/>
              </w:rPr>
              <w:t>665</w:t>
            </w:r>
            <w:r w:rsidR="00061928">
              <w:rPr>
                <w:color w:val="000000"/>
                <w:sz w:val="20"/>
                <w:szCs w:val="20"/>
              </w:rPr>
              <w:t>**</w:t>
            </w:r>
          </w:p>
        </w:tc>
      </w:tr>
      <w:tr w:rsidRPr="00BE0268" w:rsidR="00EC7908" w:rsidTr="00155215" w14:paraId="1D880238" w14:textId="77777777">
        <w:trPr>
          <w:trHeight w:val="315"/>
        </w:trPr>
        <w:tc>
          <w:tcPr>
            <w:tcW w:w="1440" w:type="dxa"/>
            <w:shd w:val="clear" w:color="000000" w:fill="FFFFFF"/>
          </w:tcPr>
          <w:p w:rsidR="00EC7908" w:rsidP="00155215" w:rsidRDefault="00EC7908" w14:paraId="2FFCA601" w14:textId="41FC6BB9">
            <w:pPr>
              <w:jc w:val="center"/>
              <w:rPr>
                <w:color w:val="000000"/>
                <w:sz w:val="20"/>
                <w:szCs w:val="20"/>
              </w:rPr>
            </w:pPr>
            <w:r>
              <w:rPr>
                <w:color w:val="000000"/>
                <w:sz w:val="20"/>
                <w:szCs w:val="20"/>
              </w:rPr>
              <w:t>State Regulatory Response Form</w:t>
            </w:r>
          </w:p>
        </w:tc>
        <w:tc>
          <w:tcPr>
            <w:tcW w:w="1440" w:type="dxa"/>
            <w:shd w:val="clear" w:color="000000" w:fill="FFFFFF"/>
            <w:vAlign w:val="center"/>
          </w:tcPr>
          <w:p w:rsidR="00EC7908" w:rsidP="00155215" w:rsidRDefault="00142C90" w14:paraId="0A7944FD" w14:textId="0B0CA4BF">
            <w:pPr>
              <w:jc w:val="center"/>
              <w:rPr>
                <w:color w:val="000000"/>
                <w:sz w:val="20"/>
                <w:szCs w:val="20"/>
              </w:rPr>
            </w:pPr>
            <w:r>
              <w:rPr>
                <w:color w:val="000000"/>
                <w:sz w:val="20"/>
                <w:szCs w:val="20"/>
              </w:rPr>
              <w:t>40</w:t>
            </w:r>
          </w:p>
        </w:tc>
        <w:tc>
          <w:tcPr>
            <w:tcW w:w="1710" w:type="dxa"/>
            <w:shd w:val="clear" w:color="000000" w:fill="FFFFFF"/>
            <w:noWrap/>
            <w:vAlign w:val="center"/>
          </w:tcPr>
          <w:p w:rsidR="00EC7908" w:rsidP="00155215" w:rsidRDefault="00721CA7" w14:paraId="69586278" w14:textId="0A1BE7B4">
            <w:pPr>
              <w:jc w:val="center"/>
              <w:rPr>
                <w:color w:val="000000"/>
                <w:sz w:val="20"/>
                <w:szCs w:val="20"/>
              </w:rPr>
            </w:pPr>
            <w:r>
              <w:rPr>
                <w:color w:val="000000"/>
                <w:sz w:val="20"/>
                <w:szCs w:val="20"/>
              </w:rPr>
              <w:t>5</w:t>
            </w:r>
          </w:p>
        </w:tc>
        <w:tc>
          <w:tcPr>
            <w:tcW w:w="1080" w:type="dxa"/>
            <w:shd w:val="clear" w:color="000000" w:fill="FFFFFF"/>
            <w:noWrap/>
            <w:vAlign w:val="center"/>
          </w:tcPr>
          <w:p w:rsidR="00EC7908" w:rsidP="00155215" w:rsidRDefault="00721CA7" w14:paraId="7EC67726" w14:textId="16334560">
            <w:pPr>
              <w:jc w:val="center"/>
              <w:rPr>
                <w:color w:val="000000"/>
                <w:sz w:val="20"/>
                <w:szCs w:val="20"/>
              </w:rPr>
            </w:pPr>
            <w:r>
              <w:rPr>
                <w:color w:val="000000"/>
                <w:sz w:val="20"/>
                <w:szCs w:val="20"/>
              </w:rPr>
              <w:t>200</w:t>
            </w:r>
          </w:p>
        </w:tc>
        <w:tc>
          <w:tcPr>
            <w:tcW w:w="1885" w:type="dxa"/>
            <w:shd w:val="clear" w:color="000000" w:fill="FFFFFF"/>
            <w:noWrap/>
            <w:vAlign w:val="center"/>
          </w:tcPr>
          <w:p w:rsidR="00EC7908" w:rsidP="00155215" w:rsidRDefault="00966FA8" w14:paraId="1ED5D9AE" w14:textId="2BF44319">
            <w:pPr>
              <w:jc w:val="center"/>
              <w:rPr>
                <w:rStyle w:val="CommentReference"/>
                <w:sz w:val="20"/>
                <w:szCs w:val="20"/>
              </w:rPr>
            </w:pPr>
            <w:r>
              <w:rPr>
                <w:rStyle w:val="CommentReference"/>
                <w:sz w:val="20"/>
                <w:szCs w:val="20"/>
              </w:rPr>
              <w:t>8</w:t>
            </w:r>
          </w:p>
        </w:tc>
        <w:tc>
          <w:tcPr>
            <w:tcW w:w="1350" w:type="dxa"/>
            <w:shd w:val="clear" w:color="000000" w:fill="FFFFFF"/>
            <w:noWrap/>
            <w:vAlign w:val="center"/>
          </w:tcPr>
          <w:p w:rsidR="00EC7908" w:rsidP="00155215" w:rsidRDefault="00721CA7" w14:paraId="0D0C98D8" w14:textId="47F92EFE">
            <w:pPr>
              <w:jc w:val="center"/>
              <w:rPr>
                <w:color w:val="000000"/>
                <w:sz w:val="20"/>
                <w:szCs w:val="20"/>
              </w:rPr>
            </w:pPr>
            <w:r>
              <w:rPr>
                <w:color w:val="000000"/>
                <w:sz w:val="20"/>
                <w:szCs w:val="20"/>
              </w:rPr>
              <w:t>1600</w:t>
            </w:r>
          </w:p>
        </w:tc>
        <w:tc>
          <w:tcPr>
            <w:tcW w:w="1895" w:type="dxa"/>
            <w:shd w:val="clear" w:color="000000" w:fill="FFFFFF"/>
            <w:noWrap/>
            <w:vAlign w:val="center"/>
          </w:tcPr>
          <w:p w:rsidR="00EC7908" w:rsidP="00155215" w:rsidRDefault="006C5DC8" w14:paraId="37504586" w14:textId="3D8CAC2D">
            <w:pPr>
              <w:jc w:val="center"/>
              <w:rPr>
                <w:color w:val="000000"/>
                <w:sz w:val="20"/>
                <w:szCs w:val="20"/>
              </w:rPr>
            </w:pPr>
            <w:r>
              <w:rPr>
                <w:color w:val="000000"/>
                <w:sz w:val="20"/>
                <w:szCs w:val="20"/>
              </w:rPr>
              <w:t>$</w:t>
            </w:r>
            <w:r w:rsidR="00721CA7">
              <w:rPr>
                <w:color w:val="000000"/>
                <w:sz w:val="20"/>
                <w:szCs w:val="20"/>
              </w:rPr>
              <w:t>86,488</w:t>
            </w:r>
            <w:r w:rsidR="00061928">
              <w:rPr>
                <w:color w:val="000000"/>
                <w:sz w:val="20"/>
                <w:szCs w:val="20"/>
              </w:rPr>
              <w:t>***</w:t>
            </w:r>
          </w:p>
        </w:tc>
      </w:tr>
      <w:tr w:rsidRPr="00BE0268" w:rsidR="00155215" w:rsidTr="00155215" w14:paraId="10C38C35" w14:textId="77777777">
        <w:trPr>
          <w:trHeight w:val="315"/>
        </w:trPr>
        <w:tc>
          <w:tcPr>
            <w:tcW w:w="1440" w:type="dxa"/>
            <w:shd w:val="clear" w:color="000000" w:fill="FFFFFF"/>
          </w:tcPr>
          <w:p w:rsidRPr="000B432F" w:rsidR="00155215" w:rsidP="00155215" w:rsidRDefault="00155215" w14:paraId="2C6F388B" w14:textId="77777777">
            <w:pPr>
              <w:jc w:val="center"/>
              <w:rPr>
                <w:b/>
                <w:bCs/>
                <w:color w:val="000000"/>
                <w:sz w:val="20"/>
                <w:szCs w:val="20"/>
              </w:rPr>
            </w:pPr>
            <w:r w:rsidRPr="000B432F">
              <w:rPr>
                <w:b/>
                <w:bCs/>
                <w:color w:val="000000"/>
                <w:sz w:val="20"/>
                <w:szCs w:val="20"/>
              </w:rPr>
              <w:t>TOTAL</w:t>
            </w:r>
          </w:p>
        </w:tc>
        <w:tc>
          <w:tcPr>
            <w:tcW w:w="1440" w:type="dxa"/>
            <w:shd w:val="clear" w:color="auto" w:fill="A6A6A6" w:themeFill="background1" w:themeFillShade="A6"/>
            <w:vAlign w:val="center"/>
          </w:tcPr>
          <w:p w:rsidRPr="000B432F" w:rsidR="00155215" w:rsidP="00155215" w:rsidRDefault="00155215" w14:paraId="41D90908" w14:textId="77777777">
            <w:pPr>
              <w:jc w:val="center"/>
              <w:rPr>
                <w:b/>
                <w:bCs/>
                <w:color w:val="000000"/>
                <w:sz w:val="20"/>
                <w:szCs w:val="20"/>
              </w:rPr>
            </w:pPr>
          </w:p>
        </w:tc>
        <w:tc>
          <w:tcPr>
            <w:tcW w:w="1710" w:type="dxa"/>
            <w:shd w:val="clear" w:color="auto" w:fill="A6A6A6" w:themeFill="background1" w:themeFillShade="A6"/>
            <w:noWrap/>
            <w:vAlign w:val="center"/>
          </w:tcPr>
          <w:p w:rsidRPr="000B432F" w:rsidR="00155215" w:rsidP="00155215" w:rsidRDefault="00155215" w14:paraId="3E3C5E42" w14:textId="77777777">
            <w:pPr>
              <w:jc w:val="center"/>
              <w:rPr>
                <w:b/>
                <w:bCs/>
                <w:color w:val="000000"/>
                <w:sz w:val="20"/>
                <w:szCs w:val="20"/>
              </w:rPr>
            </w:pPr>
          </w:p>
        </w:tc>
        <w:tc>
          <w:tcPr>
            <w:tcW w:w="1080" w:type="dxa"/>
            <w:shd w:val="clear" w:color="000000" w:fill="FFFFFF"/>
            <w:noWrap/>
            <w:vAlign w:val="center"/>
          </w:tcPr>
          <w:p w:rsidRPr="000B432F" w:rsidR="00155215" w:rsidP="00155215" w:rsidRDefault="006874C5" w14:paraId="2CF8E876" w14:textId="5C5F450A">
            <w:pPr>
              <w:jc w:val="center"/>
              <w:rPr>
                <w:b/>
                <w:bCs/>
                <w:color w:val="000000"/>
                <w:sz w:val="20"/>
                <w:szCs w:val="20"/>
              </w:rPr>
            </w:pPr>
            <w:r>
              <w:rPr>
                <w:b/>
                <w:bCs/>
                <w:color w:val="000000"/>
                <w:sz w:val="20"/>
                <w:szCs w:val="20"/>
              </w:rPr>
              <w:t>3,</w:t>
            </w:r>
            <w:r w:rsidR="00721CA7">
              <w:rPr>
                <w:b/>
                <w:bCs/>
                <w:color w:val="000000"/>
                <w:sz w:val="20"/>
                <w:szCs w:val="20"/>
              </w:rPr>
              <w:t>55</w:t>
            </w:r>
            <w:r>
              <w:rPr>
                <w:b/>
                <w:bCs/>
                <w:color w:val="000000"/>
                <w:sz w:val="20"/>
                <w:szCs w:val="20"/>
              </w:rPr>
              <w:t>5</w:t>
            </w:r>
          </w:p>
        </w:tc>
        <w:tc>
          <w:tcPr>
            <w:tcW w:w="1885" w:type="dxa"/>
            <w:shd w:val="clear" w:color="auto" w:fill="A6A6A6" w:themeFill="background1" w:themeFillShade="A6"/>
            <w:noWrap/>
            <w:vAlign w:val="center"/>
          </w:tcPr>
          <w:p w:rsidRPr="000B432F" w:rsidR="00155215" w:rsidP="00155215" w:rsidRDefault="00155215" w14:paraId="63FAD294" w14:textId="77777777">
            <w:pPr>
              <w:jc w:val="center"/>
              <w:rPr>
                <w:rStyle w:val="CommentReference"/>
                <w:b/>
                <w:bCs/>
                <w:sz w:val="20"/>
                <w:szCs w:val="20"/>
              </w:rPr>
            </w:pPr>
          </w:p>
        </w:tc>
        <w:tc>
          <w:tcPr>
            <w:tcW w:w="1350" w:type="dxa"/>
            <w:shd w:val="clear" w:color="000000" w:fill="FFFFFF"/>
            <w:noWrap/>
            <w:vAlign w:val="center"/>
          </w:tcPr>
          <w:p w:rsidRPr="000B432F" w:rsidR="00155215" w:rsidP="00155215" w:rsidRDefault="00721CA7" w14:paraId="286D5E32" w14:textId="69D623C8">
            <w:pPr>
              <w:jc w:val="center"/>
              <w:rPr>
                <w:b/>
                <w:bCs/>
                <w:color w:val="000000"/>
                <w:sz w:val="20"/>
                <w:szCs w:val="20"/>
              </w:rPr>
            </w:pPr>
            <w:r>
              <w:rPr>
                <w:b/>
                <w:bCs/>
                <w:color w:val="000000"/>
                <w:sz w:val="20"/>
                <w:szCs w:val="20"/>
              </w:rPr>
              <w:t>91,081</w:t>
            </w:r>
          </w:p>
        </w:tc>
        <w:tc>
          <w:tcPr>
            <w:tcW w:w="1895" w:type="dxa"/>
            <w:shd w:val="clear" w:color="000000" w:fill="FFFFFF"/>
            <w:noWrap/>
            <w:vAlign w:val="center"/>
          </w:tcPr>
          <w:p w:rsidRPr="000B432F" w:rsidR="00155215" w:rsidP="00155215" w:rsidRDefault="00155215" w14:paraId="06C36342" w14:textId="23C413F2">
            <w:pPr>
              <w:jc w:val="center"/>
              <w:rPr>
                <w:b/>
                <w:bCs/>
                <w:color w:val="000000"/>
                <w:sz w:val="20"/>
                <w:szCs w:val="20"/>
              </w:rPr>
            </w:pPr>
            <w:r>
              <w:rPr>
                <w:b/>
                <w:bCs/>
                <w:color w:val="000000"/>
                <w:sz w:val="20"/>
                <w:szCs w:val="20"/>
              </w:rPr>
              <w:t>$</w:t>
            </w:r>
            <w:r w:rsidR="004C5D61">
              <w:rPr>
                <w:b/>
                <w:bCs/>
                <w:color w:val="000000"/>
                <w:sz w:val="20"/>
                <w:szCs w:val="20"/>
              </w:rPr>
              <w:t>4,336,835</w:t>
            </w:r>
          </w:p>
        </w:tc>
      </w:tr>
    </w:tbl>
    <w:p w:rsidRPr="00BE0268" w:rsidR="004063EA" w:rsidP="004B0AEF" w:rsidRDefault="004063EA" w14:paraId="2CAB94DF" w14:textId="77777777">
      <w:pPr>
        <w:ind w:firstLine="360"/>
        <w:rPr>
          <w:b/>
          <w:u w:val="single"/>
        </w:rPr>
      </w:pPr>
    </w:p>
    <w:p w:rsidR="00F46543" w:rsidP="001D7E4B" w:rsidRDefault="00F46543" w14:paraId="27AF2AC3" w14:textId="14C072E1">
      <w:pPr>
        <w:rPr>
          <w:sz w:val="20"/>
        </w:rPr>
      </w:pPr>
      <w:r>
        <w:rPr>
          <w:sz w:val="20"/>
        </w:rPr>
        <w:t>*</w:t>
      </w:r>
      <w:r w:rsidR="00FD768C">
        <w:rPr>
          <w:sz w:val="20"/>
        </w:rPr>
        <w:t xml:space="preserve">  </w:t>
      </w:r>
      <w:r>
        <w:rPr>
          <w:sz w:val="20"/>
        </w:rPr>
        <w:t>Treasury staff estimates that approximately 1,100 financial institutions are eligible for the program.</w:t>
      </w:r>
    </w:p>
    <w:p w:rsidR="00FD768C" w:rsidP="001D7E4B" w:rsidRDefault="003C5B6F" w14:paraId="382BB30A" w14:textId="221712D0">
      <w:pPr>
        <w:rPr>
          <w:sz w:val="20"/>
          <w:szCs w:val="20"/>
        </w:rPr>
      </w:pPr>
      <w:r w:rsidRPr="00BE0268">
        <w:rPr>
          <w:sz w:val="20"/>
        </w:rPr>
        <w:t>*</w:t>
      </w:r>
      <w:r w:rsidR="00F46543">
        <w:rPr>
          <w:sz w:val="20"/>
        </w:rPr>
        <w:t>*</w:t>
      </w:r>
      <w:r w:rsidRPr="00BE0268">
        <w:rPr>
          <w:sz w:val="20"/>
        </w:rPr>
        <w:t xml:space="preserve"> </w:t>
      </w:r>
      <w:r w:rsidR="00FD768C">
        <w:rPr>
          <w:sz w:val="20"/>
        </w:rPr>
        <w:t xml:space="preserve"> </w:t>
      </w:r>
      <w:r w:rsidRPr="00BE0268">
        <w:rPr>
          <w:sz w:val="20"/>
        </w:rPr>
        <w:t>Bureau of Labor Statistics</w:t>
      </w:r>
      <w:r w:rsidRPr="00BE0268" w:rsidR="00367DA5">
        <w:rPr>
          <w:sz w:val="20"/>
        </w:rPr>
        <w:t xml:space="preserve"> (BLS)</w:t>
      </w:r>
      <w:r w:rsidRPr="00BE0268">
        <w:rPr>
          <w:sz w:val="20"/>
        </w:rPr>
        <w:t xml:space="preserve">, U.S. Department of Labor, Occupational Outlook Handbook, Accountants and Auditors, on the Internet at https://www.bls.gov/ooh/business-and-financial/accountants-and-auditors.htm (visited </w:t>
      </w:r>
      <w:r w:rsidRPr="00BE0268" w:rsidR="004A5E19">
        <w:rPr>
          <w:sz w:val="20"/>
        </w:rPr>
        <w:lastRenderedPageBreak/>
        <w:t>December 30</w:t>
      </w:r>
      <w:r w:rsidRPr="00BE0268">
        <w:rPr>
          <w:sz w:val="20"/>
        </w:rPr>
        <w:t>, 2020).</w:t>
      </w:r>
      <w:r w:rsidRPr="00BE0268" w:rsidR="00D03489">
        <w:rPr>
          <w:sz w:val="20"/>
          <w:szCs w:val="20"/>
        </w:rPr>
        <w:t xml:space="preserve"> </w:t>
      </w:r>
      <w:r w:rsidRPr="00BE0268" w:rsidR="004A5E19">
        <w:rPr>
          <w:sz w:val="20"/>
          <w:szCs w:val="20"/>
        </w:rPr>
        <w:t xml:space="preserve">In 2019, the median pay for accounts and auditors was </w:t>
      </w:r>
      <w:r w:rsidRPr="00BE0268" w:rsidR="00D03489">
        <w:rPr>
          <w:sz w:val="20"/>
          <w:szCs w:val="20"/>
        </w:rPr>
        <w:t>$3</w:t>
      </w:r>
      <w:r w:rsidRPr="00BE0268" w:rsidR="004A5E19">
        <w:rPr>
          <w:sz w:val="20"/>
          <w:szCs w:val="20"/>
        </w:rPr>
        <w:t>4</w:t>
      </w:r>
      <w:r w:rsidRPr="00BE0268" w:rsidR="00D03489">
        <w:rPr>
          <w:sz w:val="20"/>
          <w:szCs w:val="20"/>
        </w:rPr>
        <w:t>.</w:t>
      </w:r>
      <w:r w:rsidRPr="00BE0268" w:rsidR="004A5E19">
        <w:rPr>
          <w:sz w:val="20"/>
          <w:szCs w:val="20"/>
        </w:rPr>
        <w:t>40</w:t>
      </w:r>
      <w:r w:rsidRPr="00BE0268" w:rsidR="00D03489">
        <w:rPr>
          <w:sz w:val="20"/>
          <w:szCs w:val="20"/>
        </w:rPr>
        <w:t>/hour</w:t>
      </w:r>
      <w:r w:rsidRPr="00BE0268" w:rsidR="004A5E19">
        <w:rPr>
          <w:sz w:val="20"/>
          <w:szCs w:val="20"/>
        </w:rPr>
        <w:t xml:space="preserve">. </w:t>
      </w:r>
      <w:r w:rsidRPr="00BE0268" w:rsidR="00607A70">
        <w:rPr>
          <w:sz w:val="20"/>
          <w:szCs w:val="20"/>
        </w:rPr>
        <w:t xml:space="preserve">To account for the fully-loaded employer cost of employee compensation, the median pay is increased by 38%, resulting in a fully-loaded wage rate of $47.50. </w:t>
      </w:r>
      <w:r w:rsidRPr="00BE0268" w:rsidR="00367DA5">
        <w:rPr>
          <w:sz w:val="20"/>
          <w:szCs w:val="20"/>
        </w:rPr>
        <w:t>According to BLS’s Employer Cost for Employee Compensation from September 2020 (released on December 17, 2020: https://www.bls.gov/news.release/pdf/ecec.pdf), employer</w:t>
      </w:r>
      <w:r w:rsidRPr="00BE0268" w:rsidR="002263FC">
        <w:rPr>
          <w:sz w:val="20"/>
          <w:szCs w:val="20"/>
        </w:rPr>
        <w:t xml:space="preserve">s provided 38% of total employee compensation in the form of </w:t>
      </w:r>
      <w:r w:rsidRPr="00BE0268" w:rsidR="00607A70">
        <w:rPr>
          <w:sz w:val="20"/>
          <w:szCs w:val="20"/>
        </w:rPr>
        <w:t xml:space="preserve">non-wage </w:t>
      </w:r>
      <w:r w:rsidRPr="00BE0268" w:rsidR="00367DA5">
        <w:rPr>
          <w:sz w:val="20"/>
          <w:szCs w:val="20"/>
        </w:rPr>
        <w:t>compensation (</w:t>
      </w:r>
      <w:r w:rsidRPr="00BE0268" w:rsidR="004746D2">
        <w:rPr>
          <w:sz w:val="20"/>
          <w:szCs w:val="20"/>
        </w:rPr>
        <w:t xml:space="preserve">i.e., </w:t>
      </w:r>
      <w:r w:rsidRPr="00BE0268" w:rsidR="002263FC">
        <w:rPr>
          <w:sz w:val="20"/>
          <w:szCs w:val="20"/>
        </w:rPr>
        <w:t>benef</w:t>
      </w:r>
      <w:r w:rsidRPr="00BE0268" w:rsidR="004746D2">
        <w:rPr>
          <w:sz w:val="20"/>
          <w:szCs w:val="20"/>
        </w:rPr>
        <w:t>its</w:t>
      </w:r>
      <w:r w:rsidRPr="00BE0268" w:rsidR="002263FC">
        <w:rPr>
          <w:sz w:val="20"/>
          <w:szCs w:val="20"/>
        </w:rPr>
        <w:t xml:space="preserve"> such as paid leave, health insurance, etc.</w:t>
      </w:r>
      <w:r w:rsidRPr="00BE0268" w:rsidR="00367DA5">
        <w:rPr>
          <w:sz w:val="20"/>
          <w:szCs w:val="20"/>
        </w:rPr>
        <w:t>)</w:t>
      </w:r>
      <w:r w:rsidRPr="00BE0268" w:rsidR="002263FC">
        <w:rPr>
          <w:sz w:val="20"/>
          <w:szCs w:val="20"/>
        </w:rPr>
        <w:t xml:space="preserve"> for state and local government workers</w:t>
      </w:r>
      <w:r w:rsidRPr="00BE0268" w:rsidR="00367DA5">
        <w:rPr>
          <w:sz w:val="20"/>
          <w:szCs w:val="20"/>
        </w:rPr>
        <w:t xml:space="preserve">. </w:t>
      </w:r>
    </w:p>
    <w:p w:rsidR="00061928" w:rsidP="00061928" w:rsidRDefault="00061928" w14:paraId="1E5F6986" w14:textId="5B0E8847">
      <w:pPr>
        <w:rPr>
          <w:sz w:val="20"/>
          <w:szCs w:val="20"/>
        </w:rPr>
      </w:pPr>
      <w:r>
        <w:rPr>
          <w:sz w:val="20"/>
          <w:szCs w:val="20"/>
        </w:rPr>
        <w:t>***</w:t>
      </w:r>
      <w:r w:rsidRPr="00061928">
        <w:t xml:space="preserve"> </w:t>
      </w:r>
      <w:r w:rsidRPr="00BE0268">
        <w:rPr>
          <w:sz w:val="20"/>
        </w:rPr>
        <w:t xml:space="preserve">Bureau of Labor Statistics (BLS), U.S. Department of Labor, Occupational Outlook Handbook, Accountants and Auditors, on the Internet at </w:t>
      </w:r>
      <w:hyperlink w:history="1" r:id="rId8">
        <w:r w:rsidRPr="00061928">
          <w:rPr>
            <w:rStyle w:val="Hyperlink"/>
            <w:sz w:val="20"/>
            <w:szCs w:val="20"/>
          </w:rPr>
          <w:t>https://www.bls.gov/ooh/business-and-financial/financial-examiners.htm</w:t>
        </w:r>
      </w:hyperlink>
    </w:p>
    <w:p w:rsidR="00061928" w:rsidP="001D7E4B" w:rsidRDefault="00061928" w14:paraId="68A6B7F7" w14:textId="765CD2F8">
      <w:pPr>
        <w:rPr>
          <w:sz w:val="20"/>
          <w:szCs w:val="20"/>
        </w:rPr>
      </w:pPr>
      <w:r w:rsidRPr="00BE0268">
        <w:rPr>
          <w:sz w:val="20"/>
        </w:rPr>
        <w:t xml:space="preserve">(visited </w:t>
      </w:r>
      <w:r>
        <w:rPr>
          <w:sz w:val="20"/>
        </w:rPr>
        <w:t>May 26, 2021</w:t>
      </w:r>
      <w:r w:rsidRPr="00BE0268">
        <w:rPr>
          <w:sz w:val="20"/>
        </w:rPr>
        <w:t>).</w:t>
      </w:r>
      <w:r w:rsidRPr="00BE0268">
        <w:rPr>
          <w:sz w:val="20"/>
          <w:szCs w:val="20"/>
        </w:rPr>
        <w:t xml:space="preserve"> In 20</w:t>
      </w:r>
      <w:r>
        <w:rPr>
          <w:sz w:val="20"/>
          <w:szCs w:val="20"/>
        </w:rPr>
        <w:t>20</w:t>
      </w:r>
      <w:r w:rsidRPr="00BE0268">
        <w:rPr>
          <w:sz w:val="20"/>
          <w:szCs w:val="20"/>
        </w:rPr>
        <w:t>, the median pay for accounts and auditors was $</w:t>
      </w:r>
      <w:r>
        <w:rPr>
          <w:sz w:val="20"/>
          <w:szCs w:val="20"/>
        </w:rPr>
        <w:t>39.15</w:t>
      </w:r>
      <w:r w:rsidRPr="00BE0268">
        <w:rPr>
          <w:sz w:val="20"/>
          <w:szCs w:val="20"/>
        </w:rPr>
        <w:t>/hour. To account for the fully-loaded employer cost of employee compensation, the median pay is increased by 38%, resulting in a fully-loaded wage rate of $</w:t>
      </w:r>
      <w:r>
        <w:rPr>
          <w:sz w:val="20"/>
          <w:szCs w:val="20"/>
        </w:rPr>
        <w:t>54.03</w:t>
      </w:r>
      <w:r w:rsidRPr="00BE0268">
        <w:rPr>
          <w:sz w:val="20"/>
          <w:szCs w:val="20"/>
        </w:rPr>
        <w:t>.</w:t>
      </w:r>
      <w:r>
        <w:rPr>
          <w:sz w:val="20"/>
          <w:szCs w:val="20"/>
        </w:rPr>
        <w:t xml:space="preserve"> </w:t>
      </w:r>
      <w:r w:rsidRPr="00BE0268">
        <w:rPr>
          <w:sz w:val="20"/>
          <w:szCs w:val="20"/>
        </w:rPr>
        <w:t xml:space="preserve"> According to BLS’s Employer Cost for Employee Compensation from September 2020 (released on December 17, 2020: https://www.bls.gov/news.release/pdf/ecec.pdf), employers provided 38% of total employee compensation in the form of non-wage compensation (i.e., benefits such as paid leave, health insurance, etc.) for state and local government workers. </w:t>
      </w:r>
    </w:p>
    <w:p w:rsidR="00AC0BA0" w:rsidP="001D7E4B" w:rsidRDefault="00AC0BA0" w14:paraId="62167977" w14:textId="133EB05C">
      <w:pPr>
        <w:rPr>
          <w:sz w:val="20"/>
          <w:szCs w:val="20"/>
        </w:rPr>
      </w:pPr>
    </w:p>
    <w:p w:rsidR="00AC0BA0" w:rsidP="001D7E4B" w:rsidRDefault="00AC0BA0" w14:paraId="67008300" w14:textId="19AE7F14">
      <w:pPr>
        <w:rPr>
          <w:sz w:val="20"/>
          <w:szCs w:val="20"/>
        </w:rPr>
      </w:pPr>
    </w:p>
    <w:p w:rsidR="00AC0BA0" w:rsidP="001D7E4B" w:rsidRDefault="00AC0BA0" w14:paraId="564DE134" w14:textId="04C577EA">
      <w:pPr>
        <w:rPr>
          <w:sz w:val="20"/>
          <w:szCs w:val="20"/>
        </w:rPr>
      </w:pPr>
    </w:p>
    <w:p w:rsidR="00AC0BA0" w:rsidP="001D7E4B" w:rsidRDefault="00AC0BA0" w14:paraId="2695EE54" w14:textId="77777777">
      <w:pPr>
        <w:rPr>
          <w:sz w:val="20"/>
          <w:szCs w:val="20"/>
        </w:rPr>
      </w:pPr>
    </w:p>
    <w:p w:rsidR="00FD768C" w:rsidP="001D7E4B" w:rsidRDefault="00FD768C" w14:paraId="77C03921" w14:textId="77777777">
      <w:pPr>
        <w:rPr>
          <w:sz w:val="20"/>
          <w:szCs w:val="20"/>
        </w:rPr>
      </w:pPr>
    </w:p>
    <w:p w:rsidRPr="00FD768C" w:rsidR="00FB7F1C" w:rsidP="00FD768C" w:rsidRDefault="00961823" w14:paraId="2512A8C8" w14:textId="5D41EC9F">
      <w:pPr>
        <w:numPr>
          <w:ilvl w:val="0"/>
          <w:numId w:val="12"/>
        </w:numPr>
        <w:tabs>
          <w:tab w:val="clear" w:pos="720"/>
        </w:tabs>
        <w:ind w:left="360"/>
        <w:rPr>
          <w:u w:val="single"/>
        </w:rPr>
      </w:pPr>
      <w:r w:rsidRPr="00BE0268">
        <w:rPr>
          <w:u w:val="single"/>
        </w:rPr>
        <w:t>Estimated total annual cost burden to respondents</w:t>
      </w:r>
    </w:p>
    <w:p w:rsidRPr="00BE0268" w:rsidR="00403DA0" w:rsidP="00CB003A" w:rsidRDefault="00403DA0" w14:paraId="57E1D55D" w14:textId="77777777"/>
    <w:p w:rsidR="00AE6FD9" w:rsidP="00AE6FD9" w:rsidRDefault="00AE6FD9" w14:paraId="10C91C12" w14:textId="580C6CA0">
      <w:r w:rsidRPr="00AE6FD9">
        <w:t>No purchase of equipment or services will need to be made by respondents for this information collection other than as required as a part of customary and usual business practices.</w:t>
      </w:r>
    </w:p>
    <w:p w:rsidRPr="00AE6FD9" w:rsidR="00AE6FD9" w:rsidP="00AE6FD9" w:rsidRDefault="00AE6FD9" w14:paraId="1F0A527C" w14:textId="77777777"/>
    <w:p w:rsidRPr="00FD768C" w:rsidR="00961823" w:rsidP="00FD768C" w:rsidRDefault="00961823" w14:paraId="6909D241" w14:textId="2F6CBCC2">
      <w:pPr>
        <w:numPr>
          <w:ilvl w:val="0"/>
          <w:numId w:val="12"/>
        </w:numPr>
        <w:tabs>
          <w:tab w:val="clear" w:pos="720"/>
        </w:tabs>
        <w:ind w:left="360"/>
        <w:rPr>
          <w:u w:val="single"/>
        </w:rPr>
      </w:pPr>
      <w:r w:rsidRPr="00BE0268">
        <w:rPr>
          <w:u w:val="single"/>
        </w:rPr>
        <w:t>Estimated cost to the federal government</w:t>
      </w:r>
      <w:r w:rsidRPr="00FD768C">
        <w:rPr>
          <w:u w:val="single"/>
        </w:rPr>
        <w:t>.</w:t>
      </w:r>
    </w:p>
    <w:p w:rsidRPr="00BE0268" w:rsidR="00961823" w:rsidP="00AE6FD9" w:rsidRDefault="00961823" w14:paraId="38D3F3A9" w14:textId="77777777"/>
    <w:p w:rsidRPr="00BE0268" w:rsidR="00961823" w:rsidP="00CB003A" w:rsidRDefault="008C332E" w14:paraId="36377163" w14:textId="2B296757">
      <w:r w:rsidRPr="00BE0268">
        <w:t xml:space="preserve">As this is a new program being set up in response to emergency circumstances, Federal costs </w:t>
      </w:r>
      <w:r w:rsidRPr="00BE0268" w:rsidR="00F853A4">
        <w:t xml:space="preserve">have not </w:t>
      </w:r>
      <w:r w:rsidRPr="00BE0268">
        <w:t>be</w:t>
      </w:r>
      <w:r w:rsidRPr="00BE0268" w:rsidR="006F2321">
        <w:t>en</w:t>
      </w:r>
      <w:r w:rsidRPr="00BE0268">
        <w:t xml:space="preserve"> estimated yet.</w:t>
      </w:r>
    </w:p>
    <w:p w:rsidRPr="00BE0268" w:rsidR="00E13A9C" w:rsidP="00CB003A" w:rsidRDefault="00E13A9C" w14:paraId="0805B863" w14:textId="77777777"/>
    <w:p w:rsidRPr="00BE0268" w:rsidR="00961823" w:rsidP="00FD768C" w:rsidRDefault="00961823" w14:paraId="5E7F6423" w14:textId="28A0EC1F">
      <w:pPr>
        <w:numPr>
          <w:ilvl w:val="0"/>
          <w:numId w:val="12"/>
        </w:numPr>
        <w:tabs>
          <w:tab w:val="clear" w:pos="720"/>
        </w:tabs>
        <w:ind w:left="360"/>
      </w:pPr>
      <w:bookmarkStart w:name="_Hlk73535513" w:id="5"/>
      <w:r w:rsidRPr="00BE0268">
        <w:rPr>
          <w:u w:val="single"/>
        </w:rPr>
        <w:t>Reasons for change in burden</w:t>
      </w:r>
      <w:bookmarkEnd w:id="5"/>
    </w:p>
    <w:p w:rsidRPr="00BE0268" w:rsidR="00961823" w:rsidP="00666B6D" w:rsidRDefault="00961823" w14:paraId="58317911" w14:textId="77777777">
      <w:pPr>
        <w:keepNext/>
      </w:pPr>
    </w:p>
    <w:p w:rsidRPr="00BE0268" w:rsidR="00403DA0" w:rsidP="00CB003A" w:rsidRDefault="00D851F7" w14:paraId="7CFE5FA8" w14:textId="34145361">
      <w:r w:rsidRPr="00BE0268">
        <w:t xml:space="preserve">This collection of information </w:t>
      </w:r>
      <w:r w:rsidR="00291BC3">
        <w:t>reflects a</w:t>
      </w:r>
      <w:r w:rsidR="00812CDB">
        <w:t xml:space="preserve">n increase of </w:t>
      </w:r>
      <w:r w:rsidR="000565BD">
        <w:t xml:space="preserve">1600 </w:t>
      </w:r>
      <w:r w:rsidR="00291BC3">
        <w:t>burden</w:t>
      </w:r>
      <w:r w:rsidR="00812CDB">
        <w:t xml:space="preserve"> hours</w:t>
      </w:r>
      <w:r w:rsidR="00291BC3">
        <w:t xml:space="preserve"> </w:t>
      </w:r>
      <w:r w:rsidR="00AE4386">
        <w:t xml:space="preserve">due to the </w:t>
      </w:r>
      <w:r w:rsidR="00291BC3">
        <w:t>addendum of the State Regula</w:t>
      </w:r>
      <w:r w:rsidR="00AE4386">
        <w:t xml:space="preserve">tory Response form. </w:t>
      </w:r>
    </w:p>
    <w:p w:rsidRPr="00BE0268" w:rsidR="00E13A9C" w:rsidP="00CB003A" w:rsidRDefault="00E13A9C" w14:paraId="45A8B21B" w14:textId="77777777"/>
    <w:p w:rsidRPr="00FD768C" w:rsidR="00961823" w:rsidP="00FD768C" w:rsidRDefault="00961823" w14:paraId="73C59C3C" w14:textId="65ADF545">
      <w:pPr>
        <w:numPr>
          <w:ilvl w:val="0"/>
          <w:numId w:val="12"/>
        </w:numPr>
        <w:tabs>
          <w:tab w:val="clear" w:pos="720"/>
        </w:tabs>
        <w:ind w:left="360"/>
        <w:rPr>
          <w:u w:val="single"/>
        </w:rPr>
      </w:pPr>
      <w:r w:rsidRPr="00BE0268">
        <w:rPr>
          <w:u w:val="single"/>
        </w:rPr>
        <w:t xml:space="preserve">Plans for tabulation, statistical </w:t>
      </w:r>
      <w:r w:rsidRPr="00BE0268" w:rsidR="00AC0BA0">
        <w:rPr>
          <w:u w:val="single"/>
        </w:rPr>
        <w:t>analysis,</w:t>
      </w:r>
      <w:r w:rsidRPr="00BE0268" w:rsidR="00A2596F">
        <w:rPr>
          <w:u w:val="single"/>
        </w:rPr>
        <w:t xml:space="preserve"> and publication</w:t>
      </w:r>
    </w:p>
    <w:p w:rsidRPr="00BE0268" w:rsidR="00A2596F" w:rsidP="00CB003A" w:rsidRDefault="00A2596F" w14:paraId="7F078F3F" w14:textId="77777777"/>
    <w:p w:rsidRPr="00BE0268" w:rsidR="006F68C4" w:rsidP="00FD768C" w:rsidRDefault="00257E8B" w14:paraId="600F61FD" w14:textId="47CD23AF">
      <w:pPr>
        <w:spacing w:line="276" w:lineRule="auto"/>
      </w:pPr>
      <w:r w:rsidRPr="00BE0268">
        <w:rPr>
          <w:rFonts w:eastAsia="Calibri"/>
        </w:rPr>
        <w:t>Confidential or proprietary information collected through this information collection will not be published</w:t>
      </w:r>
      <w:r w:rsidRPr="00BE0268">
        <w:t>.</w:t>
      </w:r>
    </w:p>
    <w:p w:rsidRPr="00BE0268" w:rsidR="0028091A" w:rsidP="00060833" w:rsidRDefault="0028091A" w14:paraId="492F1BB9" w14:textId="77777777"/>
    <w:p w:rsidRPr="00FD768C" w:rsidR="00060833" w:rsidP="00FD768C" w:rsidRDefault="00060833" w14:paraId="2F4768DE" w14:textId="51507B87">
      <w:pPr>
        <w:numPr>
          <w:ilvl w:val="0"/>
          <w:numId w:val="12"/>
        </w:numPr>
        <w:tabs>
          <w:tab w:val="clear" w:pos="720"/>
        </w:tabs>
        <w:ind w:left="360"/>
        <w:rPr>
          <w:u w:val="single"/>
        </w:rPr>
      </w:pPr>
      <w:r w:rsidRPr="00BE0268">
        <w:rPr>
          <w:u w:val="single"/>
        </w:rPr>
        <w:t>Display of the expiration date for OMB approval</w:t>
      </w:r>
    </w:p>
    <w:p w:rsidRPr="00BE0268" w:rsidR="00060833" w:rsidP="00060833" w:rsidRDefault="00060833" w14:paraId="618ECC43" w14:textId="77777777"/>
    <w:p w:rsidR="00060833" w:rsidP="009E2FFF" w:rsidRDefault="00060833" w14:paraId="1330084A" w14:textId="60E4C755">
      <w:r w:rsidRPr="00BE0268">
        <w:t>Treasury plans to display the expiration date for OMB approval of the information collection on all instruments.</w:t>
      </w:r>
    </w:p>
    <w:p w:rsidRPr="00BE0268" w:rsidR="00FD768C" w:rsidP="009E2FFF" w:rsidRDefault="00FD768C" w14:paraId="2AEED10D" w14:textId="77777777"/>
    <w:p w:rsidRPr="00FD768C" w:rsidR="004B7407" w:rsidP="00FD768C" w:rsidRDefault="004B7407" w14:paraId="34BABD13" w14:textId="29EC31B5">
      <w:pPr>
        <w:numPr>
          <w:ilvl w:val="0"/>
          <w:numId w:val="12"/>
        </w:numPr>
        <w:tabs>
          <w:tab w:val="clear" w:pos="720"/>
        </w:tabs>
        <w:ind w:left="360"/>
        <w:rPr>
          <w:u w:val="single"/>
        </w:rPr>
      </w:pPr>
      <w:r w:rsidRPr="00BE0268">
        <w:rPr>
          <w:u w:val="single"/>
        </w:rPr>
        <w:t xml:space="preserve">Exceptions to </w:t>
      </w:r>
      <w:r w:rsidRPr="00BE0268" w:rsidR="003A5C25">
        <w:rPr>
          <w:u w:val="single"/>
        </w:rPr>
        <w:t xml:space="preserve">submission </w:t>
      </w:r>
      <w:r w:rsidRPr="00BE0268">
        <w:rPr>
          <w:u w:val="single"/>
        </w:rPr>
        <w:t>requirement</w:t>
      </w:r>
      <w:r w:rsidRPr="00BE0268" w:rsidR="003A5C25">
        <w:rPr>
          <w:u w:val="single"/>
        </w:rPr>
        <w:t>s</w:t>
      </w:r>
    </w:p>
    <w:p w:rsidRPr="00FD768C" w:rsidR="004B7407" w:rsidP="00FD768C" w:rsidRDefault="004B7407" w14:paraId="7AF45299" w14:textId="77777777">
      <w:pPr>
        <w:rPr>
          <w:u w:val="single"/>
        </w:rPr>
      </w:pPr>
    </w:p>
    <w:p w:rsidR="00E03689" w:rsidP="00A90BAB" w:rsidRDefault="008D0548" w14:paraId="17DB3D94" w14:textId="36A45A97">
      <w:r w:rsidRPr="00BE0268">
        <w:t>T</w:t>
      </w:r>
      <w:r w:rsidRPr="00BE0268" w:rsidR="000E1F44">
        <w:t xml:space="preserve">here are no exceptions to the </w:t>
      </w:r>
      <w:r w:rsidRPr="00BE0268" w:rsidR="003A5C25">
        <w:t>submission requirements</w:t>
      </w:r>
      <w:r w:rsidRPr="00BE0268" w:rsidR="000E1F44">
        <w:t>.</w:t>
      </w:r>
    </w:p>
    <w:p w:rsidRPr="00BE0268" w:rsidR="00FD768C" w:rsidP="00A90BAB" w:rsidRDefault="00FD768C" w14:paraId="164BFE7B" w14:textId="77777777"/>
    <w:p w:rsidRPr="00FD768C" w:rsidR="00717738" w:rsidP="00717738" w:rsidRDefault="00717738" w14:paraId="50D603CC" w14:textId="01540660">
      <w:pPr>
        <w:rPr>
          <w:b/>
        </w:rPr>
      </w:pPr>
      <w:r w:rsidRPr="00FD768C">
        <w:rPr>
          <w:b/>
        </w:rPr>
        <w:t>Part B.  Describe the use of statistical methods such as sampling or imputation</w:t>
      </w:r>
    </w:p>
    <w:p w:rsidRPr="00BE0268" w:rsidR="00717738" w:rsidP="00717738" w:rsidRDefault="00717738" w14:paraId="3D5C8951" w14:textId="77777777">
      <w:pPr>
        <w:rPr>
          <w:u w:val="single"/>
        </w:rPr>
      </w:pPr>
    </w:p>
    <w:p w:rsidRPr="008268EE" w:rsidR="007C7314" w:rsidP="00A90BAB" w:rsidRDefault="00717738" w14:paraId="220CCAF5" w14:textId="77777777">
      <w:pPr>
        <w:rPr>
          <w:b/>
        </w:rPr>
      </w:pPr>
      <w:r w:rsidRPr="00BE0268">
        <w:t>This collection does not employ statistical methods.</w:t>
      </w:r>
    </w:p>
    <w:sectPr w:rsidRPr="008268EE" w:rsidR="007C7314" w:rsidSect="00512B6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E8572" w14:textId="77777777" w:rsidR="002F5445" w:rsidRDefault="002F5445">
      <w:r>
        <w:separator/>
      </w:r>
    </w:p>
  </w:endnote>
  <w:endnote w:type="continuationSeparator" w:id="0">
    <w:p w14:paraId="61097615" w14:textId="77777777" w:rsidR="002F5445" w:rsidRDefault="002F5445">
      <w:r>
        <w:continuationSeparator/>
      </w:r>
    </w:p>
  </w:endnote>
  <w:endnote w:type="continuationNotice" w:id="1">
    <w:p w14:paraId="0790480B" w14:textId="77777777" w:rsidR="002F5445" w:rsidRDefault="002F5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ED5F"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E94395"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9DB04" w14:textId="6E46FD88"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E8B">
      <w:rPr>
        <w:rStyle w:val="PageNumber"/>
        <w:noProof/>
      </w:rPr>
      <w:t>4</w:t>
    </w:r>
    <w:r>
      <w:rPr>
        <w:rStyle w:val="PageNumber"/>
      </w:rPr>
      <w:fldChar w:fldCharType="end"/>
    </w:r>
  </w:p>
  <w:p w14:paraId="5E640F1A"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0787B" w14:textId="77777777" w:rsidR="002F5445" w:rsidRDefault="002F5445">
      <w:r>
        <w:separator/>
      </w:r>
    </w:p>
  </w:footnote>
  <w:footnote w:type="continuationSeparator" w:id="0">
    <w:p w14:paraId="49D9AAD2" w14:textId="77777777" w:rsidR="002F5445" w:rsidRDefault="002F5445">
      <w:r>
        <w:continuationSeparator/>
      </w:r>
    </w:p>
  </w:footnote>
  <w:footnote w:type="continuationNotice" w:id="1">
    <w:p w14:paraId="145DF50A" w14:textId="77777777" w:rsidR="002F5445" w:rsidRDefault="002F54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2F6B59"/>
    <w:multiLevelType w:val="hybridMultilevel"/>
    <w:tmpl w:val="2BFE2946"/>
    <w:lvl w:ilvl="0" w:tplc="C7E65A54">
      <w:start w:val="1"/>
      <w:numFmt w:val="bullet"/>
      <w:lvlText w:val=""/>
      <w:lvlJc w:val="left"/>
      <w:pPr>
        <w:ind w:left="720" w:hanging="360"/>
      </w:pPr>
      <w:rPr>
        <w:rFonts w:ascii="Symbol" w:hAnsi="Symbol" w:hint="default"/>
        <w:b/>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3813EBD"/>
    <w:multiLevelType w:val="hybridMultilevel"/>
    <w:tmpl w:val="31A4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5"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8"/>
  </w:num>
  <w:num w:numId="2">
    <w:abstractNumId w:val="23"/>
  </w:num>
  <w:num w:numId="3">
    <w:abstractNumId w:val="27"/>
  </w:num>
  <w:num w:numId="4">
    <w:abstractNumId w:val="11"/>
  </w:num>
  <w:num w:numId="5">
    <w:abstractNumId w:val="26"/>
  </w:num>
  <w:num w:numId="6">
    <w:abstractNumId w:val="10"/>
  </w:num>
  <w:num w:numId="7">
    <w:abstractNumId w:val="3"/>
  </w:num>
  <w:num w:numId="8">
    <w:abstractNumId w:val="16"/>
  </w:num>
  <w:num w:numId="9">
    <w:abstractNumId w:val="15"/>
  </w:num>
  <w:num w:numId="10">
    <w:abstractNumId w:val="20"/>
  </w:num>
  <w:num w:numId="11">
    <w:abstractNumId w:val="7"/>
  </w:num>
  <w:num w:numId="12">
    <w:abstractNumId w:val="12"/>
  </w:num>
  <w:num w:numId="13">
    <w:abstractNumId w:val="18"/>
  </w:num>
  <w:num w:numId="14">
    <w:abstractNumId w:val="24"/>
  </w:num>
  <w:num w:numId="15">
    <w:abstractNumId w:val="1"/>
  </w:num>
  <w:num w:numId="16">
    <w:abstractNumId w:val="13"/>
  </w:num>
  <w:num w:numId="17">
    <w:abstractNumId w:val="25"/>
  </w:num>
  <w:num w:numId="18">
    <w:abstractNumId w:val="9"/>
  </w:num>
  <w:num w:numId="19">
    <w:abstractNumId w:val="19"/>
  </w:num>
  <w:num w:numId="20">
    <w:abstractNumId w:val="5"/>
  </w:num>
  <w:num w:numId="21">
    <w:abstractNumId w:val="2"/>
  </w:num>
  <w:num w:numId="22">
    <w:abstractNumId w:val="21"/>
  </w:num>
  <w:num w:numId="23">
    <w:abstractNumId w:val="22"/>
  </w:num>
  <w:num w:numId="24">
    <w:abstractNumId w:val="14"/>
  </w:num>
  <w:num w:numId="25">
    <w:abstractNumId w:val="17"/>
  </w:num>
  <w:num w:numId="26">
    <w:abstractNumId w:val="6"/>
  </w:num>
  <w:num w:numId="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2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47C3"/>
    <w:rsid w:val="000105BD"/>
    <w:rsid w:val="000117A5"/>
    <w:rsid w:val="00012F7C"/>
    <w:rsid w:val="00013801"/>
    <w:rsid w:val="000141C3"/>
    <w:rsid w:val="00014C0A"/>
    <w:rsid w:val="0001560A"/>
    <w:rsid w:val="00015A7E"/>
    <w:rsid w:val="00017845"/>
    <w:rsid w:val="000204E2"/>
    <w:rsid w:val="00021D40"/>
    <w:rsid w:val="00022F56"/>
    <w:rsid w:val="00027641"/>
    <w:rsid w:val="00032DA3"/>
    <w:rsid w:val="000337BE"/>
    <w:rsid w:val="00034778"/>
    <w:rsid w:val="000372AD"/>
    <w:rsid w:val="00037424"/>
    <w:rsid w:val="0004048C"/>
    <w:rsid w:val="00040666"/>
    <w:rsid w:val="00046B27"/>
    <w:rsid w:val="000501CB"/>
    <w:rsid w:val="000505FB"/>
    <w:rsid w:val="00051468"/>
    <w:rsid w:val="000514DB"/>
    <w:rsid w:val="00053EBD"/>
    <w:rsid w:val="0005651A"/>
    <w:rsid w:val="000565BD"/>
    <w:rsid w:val="00060833"/>
    <w:rsid w:val="00061928"/>
    <w:rsid w:val="00062774"/>
    <w:rsid w:val="00062B59"/>
    <w:rsid w:val="000703E5"/>
    <w:rsid w:val="00073704"/>
    <w:rsid w:val="000762A9"/>
    <w:rsid w:val="000817D0"/>
    <w:rsid w:val="00083DB1"/>
    <w:rsid w:val="00087D91"/>
    <w:rsid w:val="00090033"/>
    <w:rsid w:val="00093B1D"/>
    <w:rsid w:val="00094CA2"/>
    <w:rsid w:val="0009709C"/>
    <w:rsid w:val="000A570C"/>
    <w:rsid w:val="000A5E4B"/>
    <w:rsid w:val="000B0264"/>
    <w:rsid w:val="000B7AAF"/>
    <w:rsid w:val="000C0934"/>
    <w:rsid w:val="000C1553"/>
    <w:rsid w:val="000C1B38"/>
    <w:rsid w:val="000C3C83"/>
    <w:rsid w:val="000C6274"/>
    <w:rsid w:val="000C6F26"/>
    <w:rsid w:val="000C7031"/>
    <w:rsid w:val="000E07A3"/>
    <w:rsid w:val="000E1D60"/>
    <w:rsid w:val="000E1F44"/>
    <w:rsid w:val="000E24F5"/>
    <w:rsid w:val="000E2B9D"/>
    <w:rsid w:val="000E72A0"/>
    <w:rsid w:val="000F2AE6"/>
    <w:rsid w:val="000F53C2"/>
    <w:rsid w:val="000F5B03"/>
    <w:rsid w:val="000F70A5"/>
    <w:rsid w:val="001022FC"/>
    <w:rsid w:val="001027AB"/>
    <w:rsid w:val="00105264"/>
    <w:rsid w:val="00105553"/>
    <w:rsid w:val="00105E4C"/>
    <w:rsid w:val="001065D8"/>
    <w:rsid w:val="00106A18"/>
    <w:rsid w:val="00110D39"/>
    <w:rsid w:val="001110E6"/>
    <w:rsid w:val="00112D71"/>
    <w:rsid w:val="001139DB"/>
    <w:rsid w:val="00113C21"/>
    <w:rsid w:val="00114490"/>
    <w:rsid w:val="00122583"/>
    <w:rsid w:val="00127B26"/>
    <w:rsid w:val="00131708"/>
    <w:rsid w:val="00132EAC"/>
    <w:rsid w:val="001374B1"/>
    <w:rsid w:val="0013796F"/>
    <w:rsid w:val="00137EC6"/>
    <w:rsid w:val="00142C90"/>
    <w:rsid w:val="001438EE"/>
    <w:rsid w:val="00146233"/>
    <w:rsid w:val="00146E55"/>
    <w:rsid w:val="00147A26"/>
    <w:rsid w:val="00155215"/>
    <w:rsid w:val="00156E23"/>
    <w:rsid w:val="0015784C"/>
    <w:rsid w:val="00161711"/>
    <w:rsid w:val="001648D5"/>
    <w:rsid w:val="00164BB3"/>
    <w:rsid w:val="00165343"/>
    <w:rsid w:val="00166EF4"/>
    <w:rsid w:val="00166F8F"/>
    <w:rsid w:val="00170A86"/>
    <w:rsid w:val="00171230"/>
    <w:rsid w:val="001742C4"/>
    <w:rsid w:val="00174A47"/>
    <w:rsid w:val="00176F71"/>
    <w:rsid w:val="0018027E"/>
    <w:rsid w:val="001819B9"/>
    <w:rsid w:val="001819F2"/>
    <w:rsid w:val="00181F21"/>
    <w:rsid w:val="0018214B"/>
    <w:rsid w:val="0018375D"/>
    <w:rsid w:val="00186409"/>
    <w:rsid w:val="00187672"/>
    <w:rsid w:val="001945CA"/>
    <w:rsid w:val="00194C78"/>
    <w:rsid w:val="0019789D"/>
    <w:rsid w:val="001A1092"/>
    <w:rsid w:val="001A1B5B"/>
    <w:rsid w:val="001A64D4"/>
    <w:rsid w:val="001A71B7"/>
    <w:rsid w:val="001A7272"/>
    <w:rsid w:val="001B591E"/>
    <w:rsid w:val="001B624D"/>
    <w:rsid w:val="001B649D"/>
    <w:rsid w:val="001C229E"/>
    <w:rsid w:val="001C2CBC"/>
    <w:rsid w:val="001D4D0C"/>
    <w:rsid w:val="001D57A5"/>
    <w:rsid w:val="001D5ADF"/>
    <w:rsid w:val="001D5AF4"/>
    <w:rsid w:val="001D7E4B"/>
    <w:rsid w:val="001E0C02"/>
    <w:rsid w:val="001E0D39"/>
    <w:rsid w:val="001E4205"/>
    <w:rsid w:val="001E4BCF"/>
    <w:rsid w:val="001E5F7B"/>
    <w:rsid w:val="001F31FB"/>
    <w:rsid w:val="001F500A"/>
    <w:rsid w:val="00210608"/>
    <w:rsid w:val="00213ABF"/>
    <w:rsid w:val="00220902"/>
    <w:rsid w:val="00220BB5"/>
    <w:rsid w:val="0022132A"/>
    <w:rsid w:val="0022138F"/>
    <w:rsid w:val="002233DA"/>
    <w:rsid w:val="00225E39"/>
    <w:rsid w:val="002263FC"/>
    <w:rsid w:val="002312D9"/>
    <w:rsid w:val="00236471"/>
    <w:rsid w:val="002371D2"/>
    <w:rsid w:val="00237FAA"/>
    <w:rsid w:val="0024000F"/>
    <w:rsid w:val="00242CFB"/>
    <w:rsid w:val="0024602D"/>
    <w:rsid w:val="002465AC"/>
    <w:rsid w:val="00247B5F"/>
    <w:rsid w:val="00250B5A"/>
    <w:rsid w:val="00252599"/>
    <w:rsid w:val="002551F6"/>
    <w:rsid w:val="00255285"/>
    <w:rsid w:val="0025604D"/>
    <w:rsid w:val="002561B1"/>
    <w:rsid w:val="00256911"/>
    <w:rsid w:val="00257E8B"/>
    <w:rsid w:val="00260CEB"/>
    <w:rsid w:val="00270CF4"/>
    <w:rsid w:val="00271992"/>
    <w:rsid w:val="0027208B"/>
    <w:rsid w:val="00275D84"/>
    <w:rsid w:val="00276E84"/>
    <w:rsid w:val="00277F1D"/>
    <w:rsid w:val="0028091A"/>
    <w:rsid w:val="0028392B"/>
    <w:rsid w:val="0028499E"/>
    <w:rsid w:val="0028685C"/>
    <w:rsid w:val="002902D5"/>
    <w:rsid w:val="00291BC3"/>
    <w:rsid w:val="002920BD"/>
    <w:rsid w:val="0029275B"/>
    <w:rsid w:val="00293974"/>
    <w:rsid w:val="00297261"/>
    <w:rsid w:val="002A1E1D"/>
    <w:rsid w:val="002B2EBC"/>
    <w:rsid w:val="002B6FA7"/>
    <w:rsid w:val="002C1CB0"/>
    <w:rsid w:val="002C2A5D"/>
    <w:rsid w:val="002C3FA6"/>
    <w:rsid w:val="002D268B"/>
    <w:rsid w:val="002D5249"/>
    <w:rsid w:val="002E4398"/>
    <w:rsid w:val="002E4C25"/>
    <w:rsid w:val="002F2729"/>
    <w:rsid w:val="002F4085"/>
    <w:rsid w:val="002F47CC"/>
    <w:rsid w:val="002F5445"/>
    <w:rsid w:val="00302265"/>
    <w:rsid w:val="00304673"/>
    <w:rsid w:val="0030728D"/>
    <w:rsid w:val="003125A6"/>
    <w:rsid w:val="00313BE0"/>
    <w:rsid w:val="00314168"/>
    <w:rsid w:val="003265D6"/>
    <w:rsid w:val="00330E47"/>
    <w:rsid w:val="00332312"/>
    <w:rsid w:val="00337AC1"/>
    <w:rsid w:val="00337E18"/>
    <w:rsid w:val="00341CAF"/>
    <w:rsid w:val="003506E7"/>
    <w:rsid w:val="0035119A"/>
    <w:rsid w:val="003522BE"/>
    <w:rsid w:val="00364995"/>
    <w:rsid w:val="00365005"/>
    <w:rsid w:val="00367DA5"/>
    <w:rsid w:val="00370853"/>
    <w:rsid w:val="00380639"/>
    <w:rsid w:val="00384175"/>
    <w:rsid w:val="00384D4D"/>
    <w:rsid w:val="00390A50"/>
    <w:rsid w:val="003915D3"/>
    <w:rsid w:val="0039349E"/>
    <w:rsid w:val="00394A61"/>
    <w:rsid w:val="003A0E21"/>
    <w:rsid w:val="003A37CA"/>
    <w:rsid w:val="003A52C5"/>
    <w:rsid w:val="003A5668"/>
    <w:rsid w:val="003A59D2"/>
    <w:rsid w:val="003A5C25"/>
    <w:rsid w:val="003B6624"/>
    <w:rsid w:val="003B7343"/>
    <w:rsid w:val="003B792F"/>
    <w:rsid w:val="003C068B"/>
    <w:rsid w:val="003C1272"/>
    <w:rsid w:val="003C1AB8"/>
    <w:rsid w:val="003C5B6F"/>
    <w:rsid w:val="003D3E32"/>
    <w:rsid w:val="003E53BD"/>
    <w:rsid w:val="003E57D1"/>
    <w:rsid w:val="003E59BE"/>
    <w:rsid w:val="003E5AE4"/>
    <w:rsid w:val="003E63D4"/>
    <w:rsid w:val="003F129E"/>
    <w:rsid w:val="003F1F95"/>
    <w:rsid w:val="003F3118"/>
    <w:rsid w:val="003F59C0"/>
    <w:rsid w:val="003F7AD4"/>
    <w:rsid w:val="004011B5"/>
    <w:rsid w:val="0040260B"/>
    <w:rsid w:val="00403DA0"/>
    <w:rsid w:val="00404BAE"/>
    <w:rsid w:val="004063EA"/>
    <w:rsid w:val="00406C35"/>
    <w:rsid w:val="00406DAA"/>
    <w:rsid w:val="004077B3"/>
    <w:rsid w:val="00410EB1"/>
    <w:rsid w:val="00414913"/>
    <w:rsid w:val="004155C0"/>
    <w:rsid w:val="0041645E"/>
    <w:rsid w:val="004267CE"/>
    <w:rsid w:val="00426F5A"/>
    <w:rsid w:val="004356D3"/>
    <w:rsid w:val="00435FFC"/>
    <w:rsid w:val="00436D07"/>
    <w:rsid w:val="00437EDC"/>
    <w:rsid w:val="00443D4F"/>
    <w:rsid w:val="0044510E"/>
    <w:rsid w:val="004516C0"/>
    <w:rsid w:val="00451786"/>
    <w:rsid w:val="004545E1"/>
    <w:rsid w:val="00460B20"/>
    <w:rsid w:val="00462AB0"/>
    <w:rsid w:val="00464E08"/>
    <w:rsid w:val="00465D64"/>
    <w:rsid w:val="00474021"/>
    <w:rsid w:val="004746D2"/>
    <w:rsid w:val="0047526A"/>
    <w:rsid w:val="00475731"/>
    <w:rsid w:val="00477EA1"/>
    <w:rsid w:val="0048035C"/>
    <w:rsid w:val="0048426A"/>
    <w:rsid w:val="004914E4"/>
    <w:rsid w:val="00495742"/>
    <w:rsid w:val="004A3EC2"/>
    <w:rsid w:val="004A47F1"/>
    <w:rsid w:val="004A5E19"/>
    <w:rsid w:val="004A7CC6"/>
    <w:rsid w:val="004B06B5"/>
    <w:rsid w:val="004B0AEF"/>
    <w:rsid w:val="004B0E13"/>
    <w:rsid w:val="004B1400"/>
    <w:rsid w:val="004B21AA"/>
    <w:rsid w:val="004B32A0"/>
    <w:rsid w:val="004B59B5"/>
    <w:rsid w:val="004B7407"/>
    <w:rsid w:val="004B7F29"/>
    <w:rsid w:val="004C1D5E"/>
    <w:rsid w:val="004C3A16"/>
    <w:rsid w:val="004C5D61"/>
    <w:rsid w:val="004D0DB9"/>
    <w:rsid w:val="004D4E71"/>
    <w:rsid w:val="004E3665"/>
    <w:rsid w:val="004E60BD"/>
    <w:rsid w:val="004E6996"/>
    <w:rsid w:val="004F09CA"/>
    <w:rsid w:val="004F4225"/>
    <w:rsid w:val="004F5145"/>
    <w:rsid w:val="004F6BB6"/>
    <w:rsid w:val="004F79CC"/>
    <w:rsid w:val="00501492"/>
    <w:rsid w:val="0050578F"/>
    <w:rsid w:val="00512B62"/>
    <w:rsid w:val="005214DD"/>
    <w:rsid w:val="005215C7"/>
    <w:rsid w:val="00522656"/>
    <w:rsid w:val="00522FBE"/>
    <w:rsid w:val="00524865"/>
    <w:rsid w:val="0052662E"/>
    <w:rsid w:val="005306F0"/>
    <w:rsid w:val="005342BD"/>
    <w:rsid w:val="00534EA9"/>
    <w:rsid w:val="00535AD0"/>
    <w:rsid w:val="005366FC"/>
    <w:rsid w:val="00536F95"/>
    <w:rsid w:val="0054191E"/>
    <w:rsid w:val="00544200"/>
    <w:rsid w:val="0054549F"/>
    <w:rsid w:val="00546D11"/>
    <w:rsid w:val="00552C62"/>
    <w:rsid w:val="00555717"/>
    <w:rsid w:val="00555E2A"/>
    <w:rsid w:val="00560426"/>
    <w:rsid w:val="00561B6F"/>
    <w:rsid w:val="00562F49"/>
    <w:rsid w:val="00565E3C"/>
    <w:rsid w:val="005678EC"/>
    <w:rsid w:val="00572D2C"/>
    <w:rsid w:val="005744E4"/>
    <w:rsid w:val="00575270"/>
    <w:rsid w:val="0057582F"/>
    <w:rsid w:val="00577B83"/>
    <w:rsid w:val="005811B2"/>
    <w:rsid w:val="0058176C"/>
    <w:rsid w:val="0058262E"/>
    <w:rsid w:val="0058297E"/>
    <w:rsid w:val="00585020"/>
    <w:rsid w:val="00586BF1"/>
    <w:rsid w:val="00587447"/>
    <w:rsid w:val="00587D50"/>
    <w:rsid w:val="00591572"/>
    <w:rsid w:val="00593C88"/>
    <w:rsid w:val="00597B8E"/>
    <w:rsid w:val="005A1476"/>
    <w:rsid w:val="005A1D4B"/>
    <w:rsid w:val="005A3B57"/>
    <w:rsid w:val="005A5C1B"/>
    <w:rsid w:val="005A7213"/>
    <w:rsid w:val="005B4124"/>
    <w:rsid w:val="005B5336"/>
    <w:rsid w:val="005B7546"/>
    <w:rsid w:val="005B774E"/>
    <w:rsid w:val="005C533B"/>
    <w:rsid w:val="005C7887"/>
    <w:rsid w:val="005D099C"/>
    <w:rsid w:val="005D1D12"/>
    <w:rsid w:val="005D6ED6"/>
    <w:rsid w:val="005E5A57"/>
    <w:rsid w:val="005E5B57"/>
    <w:rsid w:val="005F020C"/>
    <w:rsid w:val="005F1EBD"/>
    <w:rsid w:val="005F51AE"/>
    <w:rsid w:val="0060168D"/>
    <w:rsid w:val="00601812"/>
    <w:rsid w:val="006049CB"/>
    <w:rsid w:val="00605173"/>
    <w:rsid w:val="00607A70"/>
    <w:rsid w:val="00610580"/>
    <w:rsid w:val="00612025"/>
    <w:rsid w:val="006137E1"/>
    <w:rsid w:val="00616A24"/>
    <w:rsid w:val="0063065F"/>
    <w:rsid w:val="00633442"/>
    <w:rsid w:val="0064051D"/>
    <w:rsid w:val="00641517"/>
    <w:rsid w:val="0064314F"/>
    <w:rsid w:val="006437F4"/>
    <w:rsid w:val="00646931"/>
    <w:rsid w:val="00651072"/>
    <w:rsid w:val="006536E9"/>
    <w:rsid w:val="00655999"/>
    <w:rsid w:val="00661D3D"/>
    <w:rsid w:val="00664816"/>
    <w:rsid w:val="00665C72"/>
    <w:rsid w:val="00666B6D"/>
    <w:rsid w:val="006678F4"/>
    <w:rsid w:val="0067216F"/>
    <w:rsid w:val="00675F73"/>
    <w:rsid w:val="00676FFC"/>
    <w:rsid w:val="00677535"/>
    <w:rsid w:val="00680A45"/>
    <w:rsid w:val="00681FB6"/>
    <w:rsid w:val="00682E96"/>
    <w:rsid w:val="00685C0A"/>
    <w:rsid w:val="00686921"/>
    <w:rsid w:val="00686C1F"/>
    <w:rsid w:val="00687359"/>
    <w:rsid w:val="006874C5"/>
    <w:rsid w:val="00691B0E"/>
    <w:rsid w:val="006929AD"/>
    <w:rsid w:val="00692E96"/>
    <w:rsid w:val="006A2D85"/>
    <w:rsid w:val="006B03AB"/>
    <w:rsid w:val="006B22D1"/>
    <w:rsid w:val="006B2693"/>
    <w:rsid w:val="006B37E0"/>
    <w:rsid w:val="006B3DDE"/>
    <w:rsid w:val="006B3E5B"/>
    <w:rsid w:val="006B47EB"/>
    <w:rsid w:val="006B5137"/>
    <w:rsid w:val="006B6DF9"/>
    <w:rsid w:val="006C101A"/>
    <w:rsid w:val="006C2413"/>
    <w:rsid w:val="006C5DC8"/>
    <w:rsid w:val="006D32A2"/>
    <w:rsid w:val="006E02EB"/>
    <w:rsid w:val="006E25C2"/>
    <w:rsid w:val="006E5007"/>
    <w:rsid w:val="006E6033"/>
    <w:rsid w:val="006F02DD"/>
    <w:rsid w:val="006F2321"/>
    <w:rsid w:val="006F5335"/>
    <w:rsid w:val="006F5CAC"/>
    <w:rsid w:val="006F6497"/>
    <w:rsid w:val="006F68C4"/>
    <w:rsid w:val="006F7396"/>
    <w:rsid w:val="00704B18"/>
    <w:rsid w:val="00705C2D"/>
    <w:rsid w:val="00707BDE"/>
    <w:rsid w:val="00715481"/>
    <w:rsid w:val="007156A7"/>
    <w:rsid w:val="00717380"/>
    <w:rsid w:val="00717738"/>
    <w:rsid w:val="00717A0C"/>
    <w:rsid w:val="0072166B"/>
    <w:rsid w:val="00721CA7"/>
    <w:rsid w:val="007313DF"/>
    <w:rsid w:val="00741F3C"/>
    <w:rsid w:val="00744AC4"/>
    <w:rsid w:val="00753648"/>
    <w:rsid w:val="00754059"/>
    <w:rsid w:val="007552A4"/>
    <w:rsid w:val="00756FAF"/>
    <w:rsid w:val="007614AA"/>
    <w:rsid w:val="00761AD6"/>
    <w:rsid w:val="00763C12"/>
    <w:rsid w:val="00764D4B"/>
    <w:rsid w:val="00770396"/>
    <w:rsid w:val="00771CD5"/>
    <w:rsid w:val="00774C7D"/>
    <w:rsid w:val="00775C08"/>
    <w:rsid w:val="00780878"/>
    <w:rsid w:val="00781EF6"/>
    <w:rsid w:val="00781FAB"/>
    <w:rsid w:val="00786629"/>
    <w:rsid w:val="00792F45"/>
    <w:rsid w:val="007942C7"/>
    <w:rsid w:val="00795CCA"/>
    <w:rsid w:val="00795EFD"/>
    <w:rsid w:val="00797276"/>
    <w:rsid w:val="007A0410"/>
    <w:rsid w:val="007A4924"/>
    <w:rsid w:val="007B14B8"/>
    <w:rsid w:val="007B29AC"/>
    <w:rsid w:val="007B3E73"/>
    <w:rsid w:val="007B7101"/>
    <w:rsid w:val="007C698F"/>
    <w:rsid w:val="007C7314"/>
    <w:rsid w:val="007D48AC"/>
    <w:rsid w:val="007D5091"/>
    <w:rsid w:val="007D59EE"/>
    <w:rsid w:val="007E596A"/>
    <w:rsid w:val="007E69B3"/>
    <w:rsid w:val="007F0335"/>
    <w:rsid w:val="007F0AC9"/>
    <w:rsid w:val="007F1803"/>
    <w:rsid w:val="0080016E"/>
    <w:rsid w:val="00802F36"/>
    <w:rsid w:val="00810E73"/>
    <w:rsid w:val="00811E1F"/>
    <w:rsid w:val="00812CDB"/>
    <w:rsid w:val="00821205"/>
    <w:rsid w:val="008228D5"/>
    <w:rsid w:val="008268EE"/>
    <w:rsid w:val="0083064C"/>
    <w:rsid w:val="0083420D"/>
    <w:rsid w:val="00841F9E"/>
    <w:rsid w:val="008475F5"/>
    <w:rsid w:val="00856DD0"/>
    <w:rsid w:val="00857B7C"/>
    <w:rsid w:val="00860267"/>
    <w:rsid w:val="00861BDE"/>
    <w:rsid w:val="00863EEF"/>
    <w:rsid w:val="008664D5"/>
    <w:rsid w:val="008668A0"/>
    <w:rsid w:val="008760DB"/>
    <w:rsid w:val="0087613A"/>
    <w:rsid w:val="008820CA"/>
    <w:rsid w:val="008821EF"/>
    <w:rsid w:val="008862C6"/>
    <w:rsid w:val="00890D39"/>
    <w:rsid w:val="00891D3E"/>
    <w:rsid w:val="0089258D"/>
    <w:rsid w:val="008956E9"/>
    <w:rsid w:val="00896264"/>
    <w:rsid w:val="00896327"/>
    <w:rsid w:val="008A01A4"/>
    <w:rsid w:val="008A5AEA"/>
    <w:rsid w:val="008A7CB6"/>
    <w:rsid w:val="008B4C30"/>
    <w:rsid w:val="008B55DF"/>
    <w:rsid w:val="008B64D0"/>
    <w:rsid w:val="008B7CB1"/>
    <w:rsid w:val="008C2439"/>
    <w:rsid w:val="008C31DD"/>
    <w:rsid w:val="008C332E"/>
    <w:rsid w:val="008D0548"/>
    <w:rsid w:val="008D0A83"/>
    <w:rsid w:val="008D211C"/>
    <w:rsid w:val="008D6002"/>
    <w:rsid w:val="008E5AF4"/>
    <w:rsid w:val="008E66AA"/>
    <w:rsid w:val="008E72EF"/>
    <w:rsid w:val="00901B22"/>
    <w:rsid w:val="009054A4"/>
    <w:rsid w:val="0090632E"/>
    <w:rsid w:val="00907541"/>
    <w:rsid w:val="00913A34"/>
    <w:rsid w:val="009175C3"/>
    <w:rsid w:val="00921EA8"/>
    <w:rsid w:val="00924B56"/>
    <w:rsid w:val="009259D5"/>
    <w:rsid w:val="00926C7F"/>
    <w:rsid w:val="00931D87"/>
    <w:rsid w:val="00940B2A"/>
    <w:rsid w:val="009465F7"/>
    <w:rsid w:val="00950A9E"/>
    <w:rsid w:val="00951C22"/>
    <w:rsid w:val="00952B31"/>
    <w:rsid w:val="00953166"/>
    <w:rsid w:val="009547BF"/>
    <w:rsid w:val="00960D41"/>
    <w:rsid w:val="00961823"/>
    <w:rsid w:val="00963D0A"/>
    <w:rsid w:val="00964CC6"/>
    <w:rsid w:val="00966FA8"/>
    <w:rsid w:val="0097002E"/>
    <w:rsid w:val="00970625"/>
    <w:rsid w:val="00976185"/>
    <w:rsid w:val="00977D3A"/>
    <w:rsid w:val="0098194E"/>
    <w:rsid w:val="00983B56"/>
    <w:rsid w:val="00983FE8"/>
    <w:rsid w:val="00985395"/>
    <w:rsid w:val="00986077"/>
    <w:rsid w:val="00987475"/>
    <w:rsid w:val="00990870"/>
    <w:rsid w:val="009957B3"/>
    <w:rsid w:val="009A1A7C"/>
    <w:rsid w:val="009B60FB"/>
    <w:rsid w:val="009B6250"/>
    <w:rsid w:val="009B6FA0"/>
    <w:rsid w:val="009B7C7D"/>
    <w:rsid w:val="009C7335"/>
    <w:rsid w:val="009D1369"/>
    <w:rsid w:val="009D2ECF"/>
    <w:rsid w:val="009D4B33"/>
    <w:rsid w:val="009D6D37"/>
    <w:rsid w:val="009E2385"/>
    <w:rsid w:val="009E2FFF"/>
    <w:rsid w:val="009E4CDC"/>
    <w:rsid w:val="009E5FD8"/>
    <w:rsid w:val="009F4101"/>
    <w:rsid w:val="009F45CC"/>
    <w:rsid w:val="009F477E"/>
    <w:rsid w:val="009F4D1C"/>
    <w:rsid w:val="009F580D"/>
    <w:rsid w:val="009F5937"/>
    <w:rsid w:val="009F6248"/>
    <w:rsid w:val="00A00740"/>
    <w:rsid w:val="00A014CE"/>
    <w:rsid w:val="00A102B9"/>
    <w:rsid w:val="00A10A09"/>
    <w:rsid w:val="00A10CD2"/>
    <w:rsid w:val="00A118EF"/>
    <w:rsid w:val="00A137BE"/>
    <w:rsid w:val="00A14618"/>
    <w:rsid w:val="00A205F8"/>
    <w:rsid w:val="00A22870"/>
    <w:rsid w:val="00A231E6"/>
    <w:rsid w:val="00A25293"/>
    <w:rsid w:val="00A2596F"/>
    <w:rsid w:val="00A3281A"/>
    <w:rsid w:val="00A3346E"/>
    <w:rsid w:val="00A3357B"/>
    <w:rsid w:val="00A34FE6"/>
    <w:rsid w:val="00A3763C"/>
    <w:rsid w:val="00A40A6B"/>
    <w:rsid w:val="00A41E99"/>
    <w:rsid w:val="00A44E9C"/>
    <w:rsid w:val="00A45055"/>
    <w:rsid w:val="00A51E18"/>
    <w:rsid w:val="00A5370F"/>
    <w:rsid w:val="00A6381F"/>
    <w:rsid w:val="00A645CE"/>
    <w:rsid w:val="00A67505"/>
    <w:rsid w:val="00A70FB9"/>
    <w:rsid w:val="00A73029"/>
    <w:rsid w:val="00A73817"/>
    <w:rsid w:val="00A73FE3"/>
    <w:rsid w:val="00A75336"/>
    <w:rsid w:val="00A7640C"/>
    <w:rsid w:val="00A81BCB"/>
    <w:rsid w:val="00A82C81"/>
    <w:rsid w:val="00A83F90"/>
    <w:rsid w:val="00A87DA3"/>
    <w:rsid w:val="00A9027B"/>
    <w:rsid w:val="00A90BAB"/>
    <w:rsid w:val="00A91377"/>
    <w:rsid w:val="00A9145F"/>
    <w:rsid w:val="00A91D99"/>
    <w:rsid w:val="00A922EF"/>
    <w:rsid w:val="00A9305B"/>
    <w:rsid w:val="00A954B0"/>
    <w:rsid w:val="00A956B0"/>
    <w:rsid w:val="00A95A75"/>
    <w:rsid w:val="00A976DB"/>
    <w:rsid w:val="00AA13C1"/>
    <w:rsid w:val="00AA3CBA"/>
    <w:rsid w:val="00AA4840"/>
    <w:rsid w:val="00AA4949"/>
    <w:rsid w:val="00AA65FC"/>
    <w:rsid w:val="00AB2A4B"/>
    <w:rsid w:val="00AB53B9"/>
    <w:rsid w:val="00AB5C61"/>
    <w:rsid w:val="00AB6D47"/>
    <w:rsid w:val="00AC0398"/>
    <w:rsid w:val="00AC0BA0"/>
    <w:rsid w:val="00AC14CD"/>
    <w:rsid w:val="00AC1EC6"/>
    <w:rsid w:val="00AC6D68"/>
    <w:rsid w:val="00AD55CE"/>
    <w:rsid w:val="00AE07D3"/>
    <w:rsid w:val="00AE1A1E"/>
    <w:rsid w:val="00AE2193"/>
    <w:rsid w:val="00AE2A7D"/>
    <w:rsid w:val="00AE2B39"/>
    <w:rsid w:val="00AE37FD"/>
    <w:rsid w:val="00AE4386"/>
    <w:rsid w:val="00AE6EF2"/>
    <w:rsid w:val="00AE6FD9"/>
    <w:rsid w:val="00AE7799"/>
    <w:rsid w:val="00AF04BC"/>
    <w:rsid w:val="00AF0BF9"/>
    <w:rsid w:val="00AF115F"/>
    <w:rsid w:val="00AF13F4"/>
    <w:rsid w:val="00AF1D41"/>
    <w:rsid w:val="00AF2F6B"/>
    <w:rsid w:val="00AF5FD2"/>
    <w:rsid w:val="00AF7D1C"/>
    <w:rsid w:val="00AF7E11"/>
    <w:rsid w:val="00B002FE"/>
    <w:rsid w:val="00B02055"/>
    <w:rsid w:val="00B055DE"/>
    <w:rsid w:val="00B10AC2"/>
    <w:rsid w:val="00B21358"/>
    <w:rsid w:val="00B21E6C"/>
    <w:rsid w:val="00B2632C"/>
    <w:rsid w:val="00B31CDA"/>
    <w:rsid w:val="00B36755"/>
    <w:rsid w:val="00B3747A"/>
    <w:rsid w:val="00B375A0"/>
    <w:rsid w:val="00B50861"/>
    <w:rsid w:val="00B5127C"/>
    <w:rsid w:val="00B52D55"/>
    <w:rsid w:val="00B601FF"/>
    <w:rsid w:val="00B61494"/>
    <w:rsid w:val="00B63D2D"/>
    <w:rsid w:val="00B645F0"/>
    <w:rsid w:val="00B64EA2"/>
    <w:rsid w:val="00B701A7"/>
    <w:rsid w:val="00B703DC"/>
    <w:rsid w:val="00B716A8"/>
    <w:rsid w:val="00B76B6B"/>
    <w:rsid w:val="00B8207D"/>
    <w:rsid w:val="00B82803"/>
    <w:rsid w:val="00B84ED0"/>
    <w:rsid w:val="00B90CE9"/>
    <w:rsid w:val="00B9286A"/>
    <w:rsid w:val="00B93F8E"/>
    <w:rsid w:val="00B959F1"/>
    <w:rsid w:val="00BA081A"/>
    <w:rsid w:val="00BA0D32"/>
    <w:rsid w:val="00BA2B3E"/>
    <w:rsid w:val="00BA4BEA"/>
    <w:rsid w:val="00BA51F9"/>
    <w:rsid w:val="00BA59A6"/>
    <w:rsid w:val="00BA5A05"/>
    <w:rsid w:val="00BA67F9"/>
    <w:rsid w:val="00BB4B8D"/>
    <w:rsid w:val="00BB4BD8"/>
    <w:rsid w:val="00BB766F"/>
    <w:rsid w:val="00BC0FDB"/>
    <w:rsid w:val="00BC16C0"/>
    <w:rsid w:val="00BC1BAC"/>
    <w:rsid w:val="00BD0B65"/>
    <w:rsid w:val="00BD2AE1"/>
    <w:rsid w:val="00BD5E56"/>
    <w:rsid w:val="00BD7051"/>
    <w:rsid w:val="00BE0268"/>
    <w:rsid w:val="00BE1AC5"/>
    <w:rsid w:val="00BE1FA4"/>
    <w:rsid w:val="00BE34DF"/>
    <w:rsid w:val="00BE4F64"/>
    <w:rsid w:val="00BE652A"/>
    <w:rsid w:val="00BE717B"/>
    <w:rsid w:val="00BF3A38"/>
    <w:rsid w:val="00BF4A67"/>
    <w:rsid w:val="00BF4B97"/>
    <w:rsid w:val="00BF5B91"/>
    <w:rsid w:val="00BF7366"/>
    <w:rsid w:val="00BF74F0"/>
    <w:rsid w:val="00BF7B70"/>
    <w:rsid w:val="00C00259"/>
    <w:rsid w:val="00C0391A"/>
    <w:rsid w:val="00C03DAC"/>
    <w:rsid w:val="00C06D3B"/>
    <w:rsid w:val="00C119BE"/>
    <w:rsid w:val="00C16E00"/>
    <w:rsid w:val="00C21BCC"/>
    <w:rsid w:val="00C226C9"/>
    <w:rsid w:val="00C27183"/>
    <w:rsid w:val="00C27364"/>
    <w:rsid w:val="00C3022F"/>
    <w:rsid w:val="00C31564"/>
    <w:rsid w:val="00C31808"/>
    <w:rsid w:val="00C34ABE"/>
    <w:rsid w:val="00C3565C"/>
    <w:rsid w:val="00C3694D"/>
    <w:rsid w:val="00C36F16"/>
    <w:rsid w:val="00C37927"/>
    <w:rsid w:val="00C450BD"/>
    <w:rsid w:val="00C47802"/>
    <w:rsid w:val="00C60DF5"/>
    <w:rsid w:val="00C6142D"/>
    <w:rsid w:val="00C632D7"/>
    <w:rsid w:val="00C63A58"/>
    <w:rsid w:val="00C63D9B"/>
    <w:rsid w:val="00C66347"/>
    <w:rsid w:val="00C67D77"/>
    <w:rsid w:val="00C75252"/>
    <w:rsid w:val="00C763CE"/>
    <w:rsid w:val="00C81F65"/>
    <w:rsid w:val="00C8288A"/>
    <w:rsid w:val="00C82F23"/>
    <w:rsid w:val="00C8419D"/>
    <w:rsid w:val="00C90A5B"/>
    <w:rsid w:val="00C936B2"/>
    <w:rsid w:val="00C94472"/>
    <w:rsid w:val="00C954EA"/>
    <w:rsid w:val="00C9704D"/>
    <w:rsid w:val="00C97486"/>
    <w:rsid w:val="00CA0EA2"/>
    <w:rsid w:val="00CA30F8"/>
    <w:rsid w:val="00CA3A13"/>
    <w:rsid w:val="00CA53FC"/>
    <w:rsid w:val="00CB003A"/>
    <w:rsid w:val="00CB085F"/>
    <w:rsid w:val="00CB3119"/>
    <w:rsid w:val="00CB3FC3"/>
    <w:rsid w:val="00CC039C"/>
    <w:rsid w:val="00CC0B33"/>
    <w:rsid w:val="00CC4534"/>
    <w:rsid w:val="00CD059E"/>
    <w:rsid w:val="00CD3136"/>
    <w:rsid w:val="00CD5099"/>
    <w:rsid w:val="00CD58CD"/>
    <w:rsid w:val="00CD61E0"/>
    <w:rsid w:val="00CE2D06"/>
    <w:rsid w:val="00CE332E"/>
    <w:rsid w:val="00CE6F37"/>
    <w:rsid w:val="00CE78C0"/>
    <w:rsid w:val="00CF1F4E"/>
    <w:rsid w:val="00CF2CA4"/>
    <w:rsid w:val="00CF4A47"/>
    <w:rsid w:val="00CF6A78"/>
    <w:rsid w:val="00D00CB5"/>
    <w:rsid w:val="00D01021"/>
    <w:rsid w:val="00D01AEF"/>
    <w:rsid w:val="00D03489"/>
    <w:rsid w:val="00D116B1"/>
    <w:rsid w:val="00D12A06"/>
    <w:rsid w:val="00D163CA"/>
    <w:rsid w:val="00D2017C"/>
    <w:rsid w:val="00D20B1E"/>
    <w:rsid w:val="00D23D3E"/>
    <w:rsid w:val="00D240B8"/>
    <w:rsid w:val="00D24768"/>
    <w:rsid w:val="00D24A88"/>
    <w:rsid w:val="00D3071E"/>
    <w:rsid w:val="00D367C2"/>
    <w:rsid w:val="00D41729"/>
    <w:rsid w:val="00D417A3"/>
    <w:rsid w:val="00D45451"/>
    <w:rsid w:val="00D51E0C"/>
    <w:rsid w:val="00D5303C"/>
    <w:rsid w:val="00D5510C"/>
    <w:rsid w:val="00D568EF"/>
    <w:rsid w:val="00D60427"/>
    <w:rsid w:val="00D625C4"/>
    <w:rsid w:val="00D71D19"/>
    <w:rsid w:val="00D77556"/>
    <w:rsid w:val="00D77E3D"/>
    <w:rsid w:val="00D83594"/>
    <w:rsid w:val="00D84037"/>
    <w:rsid w:val="00D8477F"/>
    <w:rsid w:val="00D851F7"/>
    <w:rsid w:val="00D87D0B"/>
    <w:rsid w:val="00D905A2"/>
    <w:rsid w:val="00D93209"/>
    <w:rsid w:val="00D96EE2"/>
    <w:rsid w:val="00D97962"/>
    <w:rsid w:val="00D97B1A"/>
    <w:rsid w:val="00DA033B"/>
    <w:rsid w:val="00DA05AC"/>
    <w:rsid w:val="00DA35D5"/>
    <w:rsid w:val="00DA48AB"/>
    <w:rsid w:val="00DA5F5B"/>
    <w:rsid w:val="00DB07B0"/>
    <w:rsid w:val="00DB29A8"/>
    <w:rsid w:val="00DB345E"/>
    <w:rsid w:val="00DC5878"/>
    <w:rsid w:val="00DD050F"/>
    <w:rsid w:val="00DD104D"/>
    <w:rsid w:val="00DD6046"/>
    <w:rsid w:val="00DD6760"/>
    <w:rsid w:val="00DE0234"/>
    <w:rsid w:val="00DE49D3"/>
    <w:rsid w:val="00DE76C6"/>
    <w:rsid w:val="00DE7858"/>
    <w:rsid w:val="00DF17C1"/>
    <w:rsid w:val="00DF17FE"/>
    <w:rsid w:val="00DF3373"/>
    <w:rsid w:val="00E01008"/>
    <w:rsid w:val="00E02D8C"/>
    <w:rsid w:val="00E03689"/>
    <w:rsid w:val="00E03BEA"/>
    <w:rsid w:val="00E03DE3"/>
    <w:rsid w:val="00E04243"/>
    <w:rsid w:val="00E04766"/>
    <w:rsid w:val="00E079A7"/>
    <w:rsid w:val="00E07A7C"/>
    <w:rsid w:val="00E10885"/>
    <w:rsid w:val="00E11046"/>
    <w:rsid w:val="00E13735"/>
    <w:rsid w:val="00E13A9C"/>
    <w:rsid w:val="00E146F2"/>
    <w:rsid w:val="00E161CC"/>
    <w:rsid w:val="00E20513"/>
    <w:rsid w:val="00E227DE"/>
    <w:rsid w:val="00E238E9"/>
    <w:rsid w:val="00E24973"/>
    <w:rsid w:val="00E27CFB"/>
    <w:rsid w:val="00E3516F"/>
    <w:rsid w:val="00E35CD0"/>
    <w:rsid w:val="00E425BD"/>
    <w:rsid w:val="00E45587"/>
    <w:rsid w:val="00E45F6B"/>
    <w:rsid w:val="00E53DB8"/>
    <w:rsid w:val="00E64CE5"/>
    <w:rsid w:val="00E71397"/>
    <w:rsid w:val="00E72534"/>
    <w:rsid w:val="00E73EC5"/>
    <w:rsid w:val="00E74180"/>
    <w:rsid w:val="00E77A64"/>
    <w:rsid w:val="00E8070F"/>
    <w:rsid w:val="00E80CE1"/>
    <w:rsid w:val="00E8245B"/>
    <w:rsid w:val="00E845BB"/>
    <w:rsid w:val="00E87A27"/>
    <w:rsid w:val="00E92231"/>
    <w:rsid w:val="00E92FD5"/>
    <w:rsid w:val="00E94841"/>
    <w:rsid w:val="00E96BF2"/>
    <w:rsid w:val="00E9753E"/>
    <w:rsid w:val="00EA2F92"/>
    <w:rsid w:val="00EA475B"/>
    <w:rsid w:val="00EA542A"/>
    <w:rsid w:val="00EB21ED"/>
    <w:rsid w:val="00EB5A48"/>
    <w:rsid w:val="00EB5E62"/>
    <w:rsid w:val="00EC0C69"/>
    <w:rsid w:val="00EC0DB0"/>
    <w:rsid w:val="00EC3AE9"/>
    <w:rsid w:val="00EC43D4"/>
    <w:rsid w:val="00EC4776"/>
    <w:rsid w:val="00EC5FAF"/>
    <w:rsid w:val="00EC6749"/>
    <w:rsid w:val="00EC7908"/>
    <w:rsid w:val="00ED4EC9"/>
    <w:rsid w:val="00ED50C9"/>
    <w:rsid w:val="00ED6199"/>
    <w:rsid w:val="00EE0B0E"/>
    <w:rsid w:val="00EE3088"/>
    <w:rsid w:val="00EF2363"/>
    <w:rsid w:val="00EF5704"/>
    <w:rsid w:val="00EF6DCC"/>
    <w:rsid w:val="00EF71E5"/>
    <w:rsid w:val="00EF748D"/>
    <w:rsid w:val="00EF781C"/>
    <w:rsid w:val="00F004C2"/>
    <w:rsid w:val="00F015DB"/>
    <w:rsid w:val="00F02CD8"/>
    <w:rsid w:val="00F06072"/>
    <w:rsid w:val="00F10B74"/>
    <w:rsid w:val="00F1396F"/>
    <w:rsid w:val="00F1487E"/>
    <w:rsid w:val="00F14905"/>
    <w:rsid w:val="00F1757F"/>
    <w:rsid w:val="00F23B72"/>
    <w:rsid w:val="00F24F5A"/>
    <w:rsid w:val="00F265B4"/>
    <w:rsid w:val="00F27C5F"/>
    <w:rsid w:val="00F305F7"/>
    <w:rsid w:val="00F31337"/>
    <w:rsid w:val="00F34B54"/>
    <w:rsid w:val="00F41911"/>
    <w:rsid w:val="00F41CA8"/>
    <w:rsid w:val="00F4591C"/>
    <w:rsid w:val="00F46543"/>
    <w:rsid w:val="00F51DC7"/>
    <w:rsid w:val="00F51FEB"/>
    <w:rsid w:val="00F556D2"/>
    <w:rsid w:val="00F56D95"/>
    <w:rsid w:val="00F6095F"/>
    <w:rsid w:val="00F6525E"/>
    <w:rsid w:val="00F66713"/>
    <w:rsid w:val="00F72D0B"/>
    <w:rsid w:val="00F7395C"/>
    <w:rsid w:val="00F73AC9"/>
    <w:rsid w:val="00F7485D"/>
    <w:rsid w:val="00F74F56"/>
    <w:rsid w:val="00F75F2D"/>
    <w:rsid w:val="00F76131"/>
    <w:rsid w:val="00F77798"/>
    <w:rsid w:val="00F853A4"/>
    <w:rsid w:val="00F85CB8"/>
    <w:rsid w:val="00F9259A"/>
    <w:rsid w:val="00F9526D"/>
    <w:rsid w:val="00F95C6D"/>
    <w:rsid w:val="00FA21F9"/>
    <w:rsid w:val="00FA2D15"/>
    <w:rsid w:val="00FA30DB"/>
    <w:rsid w:val="00FA49D0"/>
    <w:rsid w:val="00FA6B23"/>
    <w:rsid w:val="00FB0552"/>
    <w:rsid w:val="00FB496F"/>
    <w:rsid w:val="00FB7F1C"/>
    <w:rsid w:val="00FC174E"/>
    <w:rsid w:val="00FC2B60"/>
    <w:rsid w:val="00FC33E4"/>
    <w:rsid w:val="00FC4D8E"/>
    <w:rsid w:val="00FC5C02"/>
    <w:rsid w:val="00FD0BF8"/>
    <w:rsid w:val="00FD0D7E"/>
    <w:rsid w:val="00FD1539"/>
    <w:rsid w:val="00FD768C"/>
    <w:rsid w:val="00FD79FF"/>
    <w:rsid w:val="00FE3BAD"/>
    <w:rsid w:val="00FE40CB"/>
    <w:rsid w:val="00FE5155"/>
    <w:rsid w:val="00FF3E13"/>
    <w:rsid w:val="00FF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paragraph" w:customStyle="1" w:styleId="Level1">
    <w:name w:val="Level 1"/>
    <w:basedOn w:val="Normal"/>
    <w:rsid w:val="00EA475B"/>
    <w:pPr>
      <w:widowControl w:val="0"/>
      <w:numPr>
        <w:numId w:val="27"/>
      </w:numPr>
      <w:autoSpaceDE w:val="0"/>
      <w:autoSpaceDN w:val="0"/>
      <w:adjustRightInd w:val="0"/>
      <w:ind w:left="474" w:hanging="186"/>
      <w:outlineLvl w:val="0"/>
    </w:pPr>
  </w:style>
  <w:style w:type="paragraph" w:customStyle="1" w:styleId="Level2">
    <w:name w:val="Level 2"/>
    <w:basedOn w:val="Normal"/>
    <w:rsid w:val="00EA475B"/>
    <w:pPr>
      <w:widowControl w:val="0"/>
      <w:autoSpaceDE w:val="0"/>
      <w:autoSpaceDN w:val="0"/>
      <w:adjustRightInd w:val="0"/>
      <w:ind w:left="722" w:hanging="361"/>
    </w:pPr>
  </w:style>
  <w:style w:type="character" w:styleId="UnresolvedMention">
    <w:name w:val="Unresolved Mention"/>
    <w:basedOn w:val="DefaultParagraphFont"/>
    <w:uiPriority w:val="99"/>
    <w:semiHidden/>
    <w:unhideWhenUsed/>
    <w:rsid w:val="00061928"/>
    <w:rPr>
      <w:color w:val="605E5C"/>
      <w:shd w:val="clear" w:color="auto" w:fill="E1DFDD"/>
    </w:rPr>
  </w:style>
  <w:style w:type="character" w:styleId="FollowedHyperlink">
    <w:name w:val="FollowedHyperlink"/>
    <w:basedOn w:val="DefaultParagraphFont"/>
    <w:semiHidden/>
    <w:unhideWhenUsed/>
    <w:rsid w:val="00061928"/>
    <w:rPr>
      <w:color w:val="800080" w:themeColor="followedHyperlink"/>
      <w:u w:val="single"/>
    </w:rPr>
  </w:style>
  <w:style w:type="paragraph" w:styleId="NormalWeb">
    <w:name w:val="Normal (Web)"/>
    <w:basedOn w:val="Normal"/>
    <w:uiPriority w:val="99"/>
    <w:semiHidden/>
    <w:unhideWhenUsed/>
    <w:rsid w:val="00522F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40935650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238397321">
      <w:bodyDiv w:val="1"/>
      <w:marLeft w:val="0"/>
      <w:marRight w:val="0"/>
      <w:marTop w:val="0"/>
      <w:marBottom w:val="0"/>
      <w:divBdr>
        <w:top w:val="none" w:sz="0" w:space="0" w:color="auto"/>
        <w:left w:val="none" w:sz="0" w:space="0" w:color="auto"/>
        <w:bottom w:val="none" w:sz="0" w:space="0" w:color="auto"/>
        <w:right w:val="none" w:sz="0" w:space="0" w:color="auto"/>
      </w:divBdr>
    </w:div>
    <w:div w:id="1294412126">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751190797">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business-and-financial/financial-examiner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46F83-C1F7-4441-8499-5E980EABA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8052</Characters>
  <Application>Microsoft Office Word</Application>
  <DocSecurity>0</DocSecurity>
  <Lines>67</Lines>
  <Paragraphs>18</Paragraphs>
  <ScaleCrop>false</ScaleCrop>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2021-06-29T21:04:00Z</dcterms:created>
  <dcterms:modified xsi:type="dcterms:W3CDTF">2021-07-08T16:01:00Z</dcterms:modified>
</cp:coreProperties>
</file>