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06B8" w:rsidR="00E13840" w:rsidP="00E13840" w:rsidRDefault="00E13840">
      <w:pPr>
        <w:pStyle w:val="Heading2"/>
      </w:pPr>
      <w:bookmarkStart w:name="_Toc27459859" w:id="0"/>
      <w:r w:rsidRPr="002C06B8">
        <w:t>Clinician Survey</w:t>
      </w:r>
      <w:bookmarkEnd w:id="0"/>
    </w:p>
    <w:p w:rsidRPr="003515A8" w:rsidR="00E13840" w:rsidP="00E13840" w:rsidRDefault="00E13840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bookmarkStart w:name="_GoBack" w:id="1"/>
      <w:bookmarkEnd w:id="1"/>
    </w:p>
    <w:p w:rsidRPr="003515A8" w:rsidR="00E13840" w:rsidP="00E13840" w:rsidRDefault="00E13840">
      <w:pPr>
        <w:pStyle w:val="ListParagraph"/>
        <w:autoSpaceDE w:val="0"/>
        <w:autoSpaceDN w:val="0"/>
        <w:adjustRightInd w:val="0"/>
        <w:ind w:left="450"/>
        <w:rPr>
          <w:rFonts w:cs="Arial"/>
          <w:i/>
          <w:iCs/>
          <w:sz w:val="22"/>
          <w:szCs w:val="22"/>
        </w:rPr>
      </w:pPr>
    </w:p>
    <w:p w:rsidRPr="003515A8" w:rsidR="00E13840" w:rsidP="00E13840" w:rsidRDefault="00E13840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3515A8">
        <w:rPr>
          <w:rFonts w:ascii="Arial" w:hAnsi="Arial" w:cs="Arial"/>
          <w:iCs/>
          <w:sz w:val="22"/>
          <w:szCs w:val="22"/>
        </w:rPr>
        <w:t>Time of day: _____________________</w:t>
      </w:r>
    </w:p>
    <w:p w:rsidR="00E13840" w:rsidP="00E13840" w:rsidRDefault="00E13840">
      <w:pPr>
        <w:rPr>
          <w:rFonts w:ascii="Arial" w:hAnsi="Arial" w:cs="Arial"/>
          <w:color w:val="5B9BD5" w:themeColor="accent1"/>
          <w:sz w:val="22"/>
          <w:szCs w:val="22"/>
        </w:rPr>
      </w:pPr>
    </w:p>
    <w:p w:rsidR="00E13840" w:rsidP="00E13840" w:rsidRDefault="00E13840">
      <w:pPr>
        <w:rPr>
          <w:rFonts w:ascii="Arial" w:hAnsi="Arial" w:cs="Arial"/>
          <w:color w:val="5B9BD5" w:themeColor="accent1"/>
          <w:sz w:val="22"/>
          <w:szCs w:val="22"/>
        </w:rPr>
      </w:pPr>
      <w:r w:rsidRPr="00844083">
        <w:rPr>
          <w:rFonts w:ascii="Arial" w:hAnsi="Arial" w:cs="Arial"/>
          <w:color w:val="5B9BD5" w:themeColor="accent1"/>
          <w:sz w:val="22"/>
          <w:szCs w:val="22"/>
        </w:rPr>
        <w:t>Satisfaction with discussion</w:t>
      </w:r>
    </w:p>
    <w:p w:rsidR="00E13840" w:rsidP="00E13840" w:rsidRDefault="00E13840">
      <w:pPr>
        <w:rPr>
          <w:rFonts w:ascii="Arial" w:hAnsi="Arial" w:cs="Arial"/>
          <w:color w:val="5B9BD5" w:themeColor="accent1"/>
          <w:sz w:val="22"/>
          <w:szCs w:val="22"/>
        </w:rPr>
      </w:pPr>
    </w:p>
    <w:p w:rsidRPr="00A16141" w:rsidR="00E13840" w:rsidP="00E13840" w:rsidRDefault="00E1384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Thinking back to the conversation you just had with your patient, how satisfied are you with the discussion?</w:t>
      </w:r>
    </w:p>
    <w:tbl>
      <w:tblPr>
        <w:tblStyle w:val="TableGrid"/>
        <w:tblpPr w:leftFromText="180" w:rightFromText="180" w:vertAnchor="text" w:horzAnchor="margin" w:tblpY="184"/>
        <w:tblW w:w="90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37"/>
        <w:gridCol w:w="2515"/>
        <w:gridCol w:w="336"/>
        <w:gridCol w:w="2581"/>
        <w:gridCol w:w="1710"/>
      </w:tblGrid>
      <w:tr w:rsidRPr="00845EFE" w:rsidR="00E13840" w:rsidTr="004044A3">
        <w:trPr>
          <w:trHeight w:val="66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Pr="00845EFE" w:rsidR="00E13840" w:rsidP="004044A3" w:rsidRDefault="00E138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 at all satisfied</w:t>
            </w:r>
          </w:p>
          <w:p w:rsidRPr="00845EFE" w:rsidR="00E13840" w:rsidP="004044A3" w:rsidRDefault="00E13840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1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Pr="00845EFE" w:rsidR="00E13840" w:rsidP="004044A3" w:rsidRDefault="00E13840">
            <w:pPr>
              <w:jc w:val="center"/>
              <w:rPr>
                <w:rFonts w:cs="Arial"/>
              </w:rPr>
            </w:pPr>
          </w:p>
          <w:p w:rsidRPr="00845EFE" w:rsidR="00E13840" w:rsidP="004044A3" w:rsidRDefault="00E13840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2</w:t>
            </w:r>
          </w:p>
        </w:tc>
        <w:tc>
          <w:tcPr>
            <w:tcW w:w="245" w:type="dxa"/>
            <w:shd w:val="clear" w:color="auto" w:fill="D9D9D9" w:themeFill="background1" w:themeFillShade="D9"/>
            <w:vAlign w:val="center"/>
          </w:tcPr>
          <w:p w:rsidRPr="00845EFE" w:rsidR="00E13840" w:rsidP="004044A3" w:rsidRDefault="00E13840">
            <w:pPr>
              <w:jc w:val="center"/>
              <w:rPr>
                <w:rFonts w:cs="Arial"/>
              </w:rPr>
            </w:pPr>
          </w:p>
          <w:p w:rsidRPr="00845EFE" w:rsidR="00E13840" w:rsidP="004044A3" w:rsidRDefault="00E13840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3</w:t>
            </w:r>
          </w:p>
        </w:tc>
        <w:tc>
          <w:tcPr>
            <w:tcW w:w="2616" w:type="dxa"/>
            <w:shd w:val="clear" w:color="auto" w:fill="D9D9D9" w:themeFill="background1" w:themeFillShade="D9"/>
            <w:vAlign w:val="center"/>
          </w:tcPr>
          <w:p w:rsidRPr="00845EFE" w:rsidR="00E13840" w:rsidP="004044A3" w:rsidRDefault="00E13840">
            <w:pPr>
              <w:jc w:val="center"/>
              <w:rPr>
                <w:rFonts w:cs="Arial"/>
              </w:rPr>
            </w:pPr>
          </w:p>
          <w:p w:rsidRPr="00845EFE" w:rsidR="00E13840" w:rsidP="004044A3" w:rsidRDefault="00E13840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4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:rsidRPr="00845EFE" w:rsidR="00E13840" w:rsidP="004044A3" w:rsidRDefault="00E138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Extremely satisfied</w:t>
            </w:r>
          </w:p>
          <w:p w:rsidRPr="00845EFE" w:rsidR="00E13840" w:rsidP="004044A3" w:rsidRDefault="00E13840">
            <w:pPr>
              <w:jc w:val="center"/>
              <w:rPr>
                <w:rFonts w:cs="Arial"/>
              </w:rPr>
            </w:pPr>
            <w:r w:rsidRPr="00845EFE">
              <w:rPr>
                <w:rFonts w:cs="Arial"/>
              </w:rPr>
              <w:t>5</w:t>
            </w:r>
          </w:p>
        </w:tc>
      </w:tr>
    </w:tbl>
    <w:p w:rsidRPr="00844083" w:rsidR="00E13840" w:rsidP="00E13840" w:rsidRDefault="00E13840">
      <w:pPr>
        <w:rPr>
          <w:rFonts w:ascii="Arial" w:hAnsi="Arial" w:cs="Arial"/>
          <w:sz w:val="22"/>
          <w:szCs w:val="22"/>
        </w:rPr>
      </w:pPr>
    </w:p>
    <w:p w:rsidR="00E13840" w:rsidP="00E13840" w:rsidRDefault="00E13840">
      <w:pPr>
        <w:rPr>
          <w:rFonts w:ascii="Arial" w:hAnsi="Arial" w:cs="Arial"/>
          <w:color w:val="5B9BD5" w:themeColor="accent1"/>
          <w:sz w:val="22"/>
          <w:szCs w:val="22"/>
        </w:rPr>
      </w:pPr>
      <w:r>
        <w:rPr>
          <w:rFonts w:ascii="Arial" w:hAnsi="Arial" w:cs="Arial"/>
          <w:color w:val="5B9BD5" w:themeColor="accent1"/>
          <w:sz w:val="22"/>
          <w:szCs w:val="22"/>
        </w:rPr>
        <w:t>Identification of a decision or problem solving</w:t>
      </w:r>
    </w:p>
    <w:p w:rsidRPr="005258B6" w:rsidR="00E13840" w:rsidP="00E13840" w:rsidRDefault="00E1384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 the visit today, did any of the following occur? (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circle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Yes or No)</w:t>
      </w:r>
    </w:p>
    <w:p w:rsidR="00E13840" w:rsidP="00E13840" w:rsidRDefault="00E13840">
      <w:pPr>
        <w:pStyle w:val="ListParagraph"/>
        <w:numPr>
          <w:ilvl w:val="0"/>
          <w:numId w:val="1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There was a choice between two or more treatment options:    Yes / No</w:t>
      </w:r>
    </w:p>
    <w:p w:rsidR="00E13840" w:rsidP="00E13840" w:rsidRDefault="00E13840">
      <w:pPr>
        <w:pStyle w:val="ListParagraph"/>
        <w:numPr>
          <w:ilvl w:val="0"/>
          <w:numId w:val="1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Problem-solving was needed between me and my patient to determine the best care plan:    Yes / No</w:t>
      </w:r>
    </w:p>
    <w:p w:rsidR="00E13840" w:rsidP="00E13840" w:rsidRDefault="00E13840">
      <w:pPr>
        <w:rPr>
          <w:rFonts w:ascii="Arial" w:hAnsi="Arial" w:cs="Arial"/>
          <w:b/>
          <w:color w:val="5B9BD5" w:themeColor="accent1"/>
          <w:sz w:val="22"/>
          <w:szCs w:val="22"/>
        </w:rPr>
      </w:pPr>
    </w:p>
    <w:p w:rsidRPr="004B4B81" w:rsidR="00E13840" w:rsidP="00E13840" w:rsidRDefault="00E13840">
      <w:pPr>
        <w:rPr>
          <w:rFonts w:cs="Arial"/>
          <w:b/>
          <w:color w:val="000000" w:themeColor="text1"/>
          <w:sz w:val="22"/>
          <w:szCs w:val="22"/>
        </w:rPr>
      </w:pPr>
      <w:r w:rsidRPr="004B4B81">
        <w:rPr>
          <w:rFonts w:cs="Arial"/>
          <w:b/>
          <w:color w:val="000000" w:themeColor="text1"/>
          <w:sz w:val="22"/>
          <w:szCs w:val="22"/>
        </w:rPr>
        <w:t>If you answered “no” to both</w:t>
      </w:r>
      <w:r>
        <w:rPr>
          <w:rFonts w:cs="Arial"/>
          <w:b/>
          <w:color w:val="000000" w:themeColor="text1"/>
          <w:sz w:val="22"/>
          <w:szCs w:val="22"/>
        </w:rPr>
        <w:t xml:space="preserve"> statements</w:t>
      </w:r>
      <w:r w:rsidRPr="004B4B81">
        <w:rPr>
          <w:rFonts w:cs="Arial"/>
          <w:b/>
          <w:color w:val="000000" w:themeColor="text1"/>
          <w:sz w:val="22"/>
          <w:szCs w:val="22"/>
        </w:rPr>
        <w:t>, you are finished with this survey</w:t>
      </w:r>
      <w:r>
        <w:rPr>
          <w:rFonts w:cs="Arial"/>
          <w:b/>
          <w:color w:val="000000" w:themeColor="text1"/>
          <w:sz w:val="22"/>
          <w:szCs w:val="22"/>
        </w:rPr>
        <w:t>.</w:t>
      </w:r>
    </w:p>
    <w:p w:rsidRPr="004B4B81" w:rsidR="00E13840" w:rsidP="00E13840" w:rsidRDefault="00E13840">
      <w:pPr>
        <w:rPr>
          <w:rFonts w:cs="Arial"/>
          <w:b/>
          <w:color w:val="000000" w:themeColor="text1"/>
          <w:sz w:val="22"/>
          <w:szCs w:val="22"/>
        </w:rPr>
      </w:pPr>
      <w:r w:rsidRPr="004B4B81">
        <w:rPr>
          <w:rFonts w:cs="Arial"/>
          <w:b/>
          <w:color w:val="000000" w:themeColor="text1"/>
          <w:sz w:val="22"/>
          <w:szCs w:val="22"/>
        </w:rPr>
        <w:t>If you answered “yes”, please answer the last set of questions</w:t>
      </w:r>
      <w:r>
        <w:rPr>
          <w:rFonts w:cs="Arial"/>
          <w:b/>
          <w:color w:val="000000" w:themeColor="text1"/>
          <w:sz w:val="22"/>
          <w:szCs w:val="22"/>
        </w:rPr>
        <w:t xml:space="preserve"> below</w:t>
      </w:r>
      <w:r w:rsidRPr="004B4B81">
        <w:rPr>
          <w:rFonts w:cs="Arial"/>
          <w:b/>
          <w:color w:val="000000" w:themeColor="text1"/>
          <w:sz w:val="22"/>
          <w:szCs w:val="22"/>
        </w:rPr>
        <w:t xml:space="preserve">. </w:t>
      </w:r>
    </w:p>
    <w:p w:rsidR="00E13840" w:rsidP="00E13840" w:rsidRDefault="00E13840">
      <w:pPr>
        <w:rPr>
          <w:rFonts w:ascii="Arial" w:hAnsi="Arial" w:cs="Arial"/>
          <w:b/>
          <w:color w:val="5B9BD5" w:themeColor="accent1"/>
          <w:sz w:val="22"/>
          <w:szCs w:val="22"/>
        </w:rPr>
      </w:pPr>
    </w:p>
    <w:p w:rsidR="00E13840" w:rsidP="00E13840" w:rsidRDefault="00E13840">
      <w:pPr>
        <w:rPr>
          <w:rFonts w:ascii="Arial" w:hAnsi="Arial" w:cs="Arial"/>
          <w:b/>
          <w:color w:val="5B9BD5" w:themeColor="accent1"/>
          <w:sz w:val="22"/>
          <w:szCs w:val="22"/>
        </w:rPr>
      </w:pPr>
    </w:p>
    <w:p w:rsidRPr="008B3760" w:rsidR="00E13840" w:rsidP="00E13840" w:rsidRDefault="00E13840">
      <w:pPr>
        <w:rPr>
          <w:rFonts w:ascii="Arial" w:hAnsi="Arial" w:cs="Arial"/>
          <w:b/>
          <w:color w:val="5B9BD5" w:themeColor="accent1"/>
          <w:sz w:val="22"/>
          <w:szCs w:val="22"/>
        </w:rPr>
      </w:pPr>
      <w:r w:rsidRPr="008B3760">
        <w:rPr>
          <w:rFonts w:ascii="Arial" w:hAnsi="Arial" w:cs="Arial"/>
          <w:b/>
          <w:color w:val="5B9BD5" w:themeColor="accent1"/>
          <w:sz w:val="22"/>
          <w:szCs w:val="22"/>
        </w:rPr>
        <w:t>OPTIONS scale</w:t>
      </w:r>
    </w:p>
    <w:tbl>
      <w:tblPr>
        <w:tblStyle w:val="TableGrid"/>
        <w:tblpPr w:leftFromText="180" w:rightFromText="180" w:vertAnchor="text" w:horzAnchor="margin" w:tblpY="79"/>
        <w:tblW w:w="0" w:type="auto"/>
        <w:tblLayout w:type="fixed"/>
        <w:tblLook w:val="01E0" w:firstRow="1" w:lastRow="1" w:firstColumn="1" w:lastColumn="1" w:noHBand="0" w:noVBand="0"/>
      </w:tblPr>
      <w:tblGrid>
        <w:gridCol w:w="4945"/>
        <w:gridCol w:w="900"/>
        <w:gridCol w:w="900"/>
        <w:gridCol w:w="990"/>
        <w:gridCol w:w="1066"/>
      </w:tblGrid>
      <w:tr w:rsidRPr="00D957CC" w:rsidR="00E13840" w:rsidTr="004044A3">
        <w:trPr>
          <w:trHeight w:val="608"/>
        </w:trPr>
        <w:tc>
          <w:tcPr>
            <w:tcW w:w="4945" w:type="dxa"/>
          </w:tcPr>
          <w:p w:rsidRPr="00844083" w:rsidR="00E13840" w:rsidP="004044A3" w:rsidRDefault="00E13840">
            <w:pPr>
              <w:ind w:left="-2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Strongly agree</w:t>
            </w:r>
          </w:p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Agree</w:t>
            </w:r>
          </w:p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Disagree</w:t>
            </w:r>
          </w:p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6" w:type="dxa"/>
          </w:tcPr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Strongly disagree</w:t>
            </w:r>
          </w:p>
          <w:p w:rsidRPr="00D957CC" w:rsidR="00E13840" w:rsidP="004044A3" w:rsidRDefault="00E13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Pr="00844083" w:rsidR="00E13840" w:rsidTr="004044A3">
        <w:trPr>
          <w:trHeight w:val="737"/>
        </w:trPr>
        <w:tc>
          <w:tcPr>
            <w:tcW w:w="4945" w:type="dxa"/>
            <w:vAlign w:val="center"/>
          </w:tcPr>
          <w:p w:rsidRPr="00D957CC" w:rsidR="00E13840" w:rsidP="004044A3" w:rsidRDefault="00E1384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My patient and I identified a</w:t>
            </w:r>
            <w:r w:rsidRPr="00D957CC">
              <w:rPr>
                <w:rFonts w:cs="Arial"/>
                <w:sz w:val="22"/>
                <w:szCs w:val="22"/>
              </w:rPr>
              <w:t xml:space="preserve"> health problem </w:t>
            </w:r>
            <w:r>
              <w:rPr>
                <w:rFonts w:cs="Arial"/>
                <w:sz w:val="22"/>
                <w:szCs w:val="22"/>
              </w:rPr>
              <w:t>and I</w:t>
            </w:r>
            <w:r w:rsidRPr="00D957CC">
              <w:rPr>
                <w:rFonts w:cs="Arial"/>
                <w:sz w:val="22"/>
                <w:szCs w:val="22"/>
              </w:rPr>
              <w:t xml:space="preserve"> made </w:t>
            </w:r>
            <w:r>
              <w:rPr>
                <w:rFonts w:cs="Arial"/>
                <w:sz w:val="22"/>
                <w:szCs w:val="22"/>
              </w:rPr>
              <w:t xml:space="preserve">it </w:t>
            </w:r>
            <w:r w:rsidRPr="00D957CC">
              <w:rPr>
                <w:rFonts w:cs="Arial"/>
                <w:sz w:val="22"/>
                <w:szCs w:val="22"/>
              </w:rPr>
              <w:t>clear that a decision was needed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491"/>
        </w:trPr>
        <w:tc>
          <w:tcPr>
            <w:tcW w:w="4945" w:type="dxa"/>
            <w:vAlign w:val="center"/>
          </w:tcPr>
          <w:p w:rsidRPr="00072CA5" w:rsidR="00E13840" w:rsidP="004044A3" w:rsidRDefault="00E1384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asked my patient their preference to take part in the decision (or not) 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737"/>
        </w:trPr>
        <w:tc>
          <w:tcPr>
            <w:tcW w:w="4945" w:type="dxa"/>
            <w:vAlign w:val="center"/>
          </w:tcPr>
          <w:p w:rsidRPr="00072CA5" w:rsidR="00E13840" w:rsidP="004044A3" w:rsidRDefault="00E138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discussed different options (including the possibility of doing nothing) with me patient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737"/>
        </w:trPr>
        <w:tc>
          <w:tcPr>
            <w:tcW w:w="4945" w:type="dxa"/>
            <w:vAlign w:val="center"/>
          </w:tcPr>
          <w:p w:rsidRPr="00072CA5" w:rsidR="00E13840" w:rsidP="004044A3" w:rsidRDefault="00E138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discussed advantages, disadvantages and possible outcomes of options with my patient. 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491"/>
        </w:trPr>
        <w:tc>
          <w:tcPr>
            <w:tcW w:w="4945" w:type="dxa"/>
            <w:vAlign w:val="center"/>
          </w:tcPr>
          <w:p w:rsidRPr="00072CA5" w:rsidR="00E13840" w:rsidP="004044A3" w:rsidRDefault="00E138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made sure my patient understood the information that I shared.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750"/>
        </w:trPr>
        <w:tc>
          <w:tcPr>
            <w:tcW w:w="4945" w:type="dxa"/>
            <w:vAlign w:val="center"/>
          </w:tcPr>
          <w:p w:rsidRPr="00941B3E" w:rsidR="00E13840" w:rsidP="004044A3" w:rsidRDefault="00E138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described to my patient more than one way to manage the health problem. 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737"/>
        </w:trPr>
        <w:tc>
          <w:tcPr>
            <w:tcW w:w="4945" w:type="dxa"/>
            <w:vAlign w:val="center"/>
          </w:tcPr>
          <w:p w:rsidRPr="00072CA5" w:rsidR="00E13840" w:rsidP="004044A3" w:rsidRDefault="00E138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discussed ideas or expectations about managing the health problem with my patient.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983"/>
        </w:trPr>
        <w:tc>
          <w:tcPr>
            <w:tcW w:w="4945" w:type="dxa"/>
            <w:vAlign w:val="center"/>
          </w:tcPr>
          <w:p w:rsidRPr="00844083" w:rsidR="00E13840" w:rsidP="004044A3" w:rsidRDefault="00E138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offered different sources of information (e.g., leaflets, websites, contact with other people) to help my patient make the decision.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491"/>
        </w:trPr>
        <w:tc>
          <w:tcPr>
            <w:tcW w:w="4945" w:type="dxa"/>
            <w:vAlign w:val="center"/>
          </w:tcPr>
          <w:p w:rsidR="00E13840" w:rsidP="004044A3" w:rsidRDefault="00E138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 gave my patient opportunities to ask questions.</w:t>
            </w:r>
          </w:p>
          <w:p w:rsidRPr="00072CA5" w:rsidR="00E13840" w:rsidP="004044A3" w:rsidRDefault="00E1384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491"/>
        </w:trPr>
        <w:tc>
          <w:tcPr>
            <w:tcW w:w="4945" w:type="dxa"/>
            <w:vAlign w:val="center"/>
          </w:tcPr>
          <w:p w:rsidRPr="00844083" w:rsidR="00E13840" w:rsidP="004044A3" w:rsidRDefault="00E1384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asked the patient about his/her preferences.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737"/>
        </w:trPr>
        <w:tc>
          <w:tcPr>
            <w:tcW w:w="4945" w:type="dxa"/>
            <w:vAlign w:val="center"/>
          </w:tcPr>
          <w:p w:rsidR="00E13840" w:rsidP="004044A3" w:rsidRDefault="00E1384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asked my patient about any concerns or worries about managing the health problem.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737"/>
        </w:trPr>
        <w:tc>
          <w:tcPr>
            <w:tcW w:w="4945" w:type="dxa"/>
            <w:vAlign w:val="center"/>
          </w:tcPr>
          <w:p w:rsidR="00E13840" w:rsidP="004044A3" w:rsidRDefault="00E1384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My patient and I made a decision; </w:t>
            </w:r>
          </w:p>
          <w:p w:rsidR="00E13840" w:rsidP="004044A3" w:rsidRDefault="00E13840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Or, my patient and I agreed to postpone making a decision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44083" w:rsidR="00E13840" w:rsidTr="004044A3">
        <w:trPr>
          <w:trHeight w:val="491"/>
        </w:trPr>
        <w:tc>
          <w:tcPr>
            <w:tcW w:w="4945" w:type="dxa"/>
            <w:vAlign w:val="center"/>
          </w:tcPr>
          <w:p w:rsidR="00E13840" w:rsidP="004044A3" w:rsidRDefault="00E1384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discussed the possibility of coming back to the decision with my patient.</w:t>
            </w: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Pr="00844083" w:rsidR="00E13840" w:rsidP="004044A3" w:rsidRDefault="00E13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44083" w:rsidR="00E13840" w:rsidP="00E13840" w:rsidRDefault="00E13840">
      <w:pPr>
        <w:rPr>
          <w:rFonts w:ascii="Arial" w:hAnsi="Arial" w:cs="Arial"/>
          <w:sz w:val="22"/>
          <w:szCs w:val="22"/>
        </w:rPr>
      </w:pPr>
    </w:p>
    <w:p w:rsidRPr="00844083" w:rsidR="00E13840" w:rsidP="00E13840" w:rsidRDefault="00E13840">
      <w:pPr>
        <w:ind w:firstLine="720"/>
        <w:rPr>
          <w:rFonts w:ascii="Arial" w:hAnsi="Arial" w:cs="Arial"/>
          <w:sz w:val="22"/>
          <w:szCs w:val="22"/>
        </w:rPr>
      </w:pPr>
    </w:p>
    <w:p w:rsidR="00E13840" w:rsidP="00E13840" w:rsidRDefault="00E13840">
      <w:pPr>
        <w:rPr>
          <w:rFonts w:ascii="Arial" w:hAnsi="Arial" w:cs="Arial"/>
          <w:color w:val="5B9BD5" w:themeColor="accent1"/>
          <w:sz w:val="22"/>
          <w:szCs w:val="22"/>
        </w:rPr>
      </w:pPr>
    </w:p>
    <w:p w:rsidR="00E13840" w:rsidP="00E13840" w:rsidRDefault="00E13840">
      <w:pPr>
        <w:rPr>
          <w:rFonts w:ascii="Arial" w:hAnsi="Arial" w:cs="Arial"/>
          <w:color w:val="5B9BD5" w:themeColor="accent1"/>
          <w:sz w:val="22"/>
          <w:szCs w:val="22"/>
        </w:rPr>
      </w:pPr>
    </w:p>
    <w:p w:rsidRPr="002C06B8" w:rsidR="00E13840" w:rsidP="00E13840" w:rsidRDefault="00E13840">
      <w:pPr>
        <w:pStyle w:val="Heading2"/>
      </w:pPr>
      <w:bookmarkStart w:name="_Toc27459860" w:id="2"/>
      <w:r>
        <w:t>Audio recording coding scheme</w:t>
      </w:r>
      <w:bookmarkEnd w:id="2"/>
    </w:p>
    <w:p w:rsidRPr="00844083" w:rsidR="00E13840" w:rsidP="00E13840" w:rsidRDefault="00E13840">
      <w:pPr>
        <w:ind w:firstLine="720"/>
        <w:rPr>
          <w:rFonts w:ascii="Arial" w:hAnsi="Arial" w:cs="Arial"/>
          <w:sz w:val="22"/>
          <w:szCs w:val="22"/>
        </w:rPr>
      </w:pPr>
    </w:p>
    <w:p w:rsidRPr="00844083" w:rsidR="00E13840" w:rsidP="00E13840" w:rsidRDefault="00E13840">
      <w:bookmarkStart w:name="_Toc16174598" w:id="3"/>
      <w:r w:rsidRPr="00844083">
        <w:t>OPTION12</w:t>
      </w:r>
      <w:r w:rsidRPr="00844083">
        <w:rPr>
          <w:vertAlign w:val="superscript"/>
        </w:rPr>
        <w:fldChar w:fldCharType="begin" w:fldLock="1"/>
      </w:r>
      <w:r w:rsidRPr="00844083">
        <w:rPr>
          <w:vertAlign w:val="superscript"/>
        </w:rPr>
        <w:instrText>ADDIN CSL_CITATION {"citationItems":[{"id":"ITEM-1","itemData":{"DOI":"10.1111/j.1369-7625.2004.00311.x","ISSN":"1369-6513","author":[{"dropping-particle":"","family":"Elwyn","given":"Glyn","non-dropping-particle":"","parse-names":false,"suffix":""},{"dropping-particle":"","family":"Hutchings","given":"Hayley","non-dropping-particle":"","parse-names":false,"suffix":""},{"dropping-particle":"","family":"Edwards","given":"Adrian","non-dropping-particle":"","parse-names":false,"suffix":""},{"dropping-particle":"","family":"Rapport","given":"Frances","non-dropping-particle":"","parse-names":false,"suffix":""},{"dropping-particle":"","family":"Wensing","given":"Michel","non-dropping-particle":"","parse-names":false,"suffix":""},{"dropping-particle":"","family":"Cheung","given":"Wai-Yee","non-dropping-particle":"","parse-names":false,"suffix":""},{"dropping-particle":"","family":"Grol","given":"Richard","non-dropping-particle":"","parse-names":false,"suffix":""}],"container-title":"Health Expectations","id":"ITEM-1","issued":{"date-parts":[["2005"]]},"page":"34-42","title":"The OPTION scale: measuring the extent that clinicians involve patients in decision-making tasks","type":"article-journal"},"uris":["http://www.mendeley.com/documents/?uuid=2aec1bab-11c5-40f5-a2d7-fece48991b96","http://www.mendeley.com/documents/?uuid=7fbcec0e-28a7-400f-a2c9-c664c33ec39f"]},{"id":"ITEM-2","itemData":{"DOI":"10.1016/j.pec.2015.04.010","ISBN":"1873-5134 (Electronic)\\r0738-3991 (Linking)","ISSN":"18735134","PMID":"25956069","abstract":"Objectives: Observer OPTION5was designed as a more efficient version of OPTION12, the most commonly used measure of shared decision making (SDM). The current paper assesses the psychometric properties of OPTION5. Methods: Two raters used OPTION5to rate recordings of clinical encounters from two previous patient decision aid (PDA) trials (n=201; n=110). A subsample was re-rated two weeks later. We assessed discriminative validity, inter-rater reliability, intra-rater reliability, and concurrent validity. Results: OPTION5demonstrated discriminative validity, with increases in SDM between usual care and PDA arms. OPTION5also demonstrated concurrent validity with OPTION12, r=0.61 (95%CI 0.54, 0.68) and intra-rater reliability, r=0.93 (0.83, 0.97). The mean difference in rater score was 8.89 (95% Credibility Interval, 7.5, 10.3), with intraclass correlation (ICC) of 0.67 (95% Credibility Interval, 0.51, 0.91) for the accuracy of rater scores and 0.70 (95% Credibility Interval, 0.56, 0.94) for the consistency of rater scores across encounters, indicating good inter-rater reliability. Raters reported lower cognitive burden when using OPTION5compared to OPTION12. Conclusions: OPTION5is a brief, theoretically grounded observer measure of SDM with promising psychometric properties in this sample and low burden on raters. Practice implications: OPTION5has potential to provide reliable, valid assessment of SDM in clinical encounters.","author":[{"dropping-particle":"","family":"Barr","given":"Paul J.","non-dropping-particle":"","parse-names":false,"suffix":""},{"dropping-particle":"","family":"O'Malley","given":"Alistair James","non-dropping-particle":"","parse-names":false,"suffix":""},{"dropping-particle":"","family":"Tsulukidze","given":"Maka","non-dropping-particle":"","parse-names":false,"suffix":""},{"dropping-particle":"","family":"Gionfriddo","given":"Michael R.","non-dropping-particle":"","parse-names":false,"suffix":""},{"dropping-particle":"","family":"Montori","given":"Victor","non-dropping-particle":"","parse-names":false,"suffix":""},{"dropping-particle":"","family":"Elwyn","given":"Glyn","non-dropping-particle":"","parse-names":false,"suffix":""}],"container-title":"Patient Educ Couns","id":"ITEM-2","issue":"8","issued":{"date-parts":[["2015"]]},"page":"970-976","publisher":"Elsevier Ireland Ltd","title":"The psychometric properties of Observer OPTION5, an observer measure of shared decision making","type":"article-journal","volume":"98"},"uris":["http://www.mendeley.com/documents/?uuid=7f7b8bfc-ed20-4295-9d76-6bdc91a4e73c","http://www.mendeley.com/documents/?uuid=206b6e0a-5245-4f2d-b524-6cd08ea115e1"]}],"mendeley":{"formattedCitation":"&lt;sup&gt;20,21&lt;/sup&gt;","plainTextFormattedCitation":"20,21","previouslyFormattedCitation":"&lt;sup&gt;20,21&lt;/sup&gt;"},"properties":{"noteIndex":0},"schema":"https://github.com/citation-style-language/schema/raw/master/csl-citation.json"}</w:instrText>
      </w:r>
      <w:r w:rsidRPr="00844083">
        <w:rPr>
          <w:vertAlign w:val="superscript"/>
        </w:rPr>
        <w:fldChar w:fldCharType="separate"/>
      </w:r>
      <w:r w:rsidRPr="00844083">
        <w:rPr>
          <w:noProof/>
          <w:vertAlign w:val="superscript"/>
        </w:rPr>
        <w:t>20,21</w:t>
      </w:r>
      <w:bookmarkEnd w:id="3"/>
      <w:r w:rsidRPr="00844083">
        <w:rPr>
          <w:vertAlign w:val="superscript"/>
        </w:rPr>
        <w:fldChar w:fldCharType="end"/>
      </w:r>
    </w:p>
    <w:p w:rsidRPr="00844083" w:rsidR="00E13840" w:rsidP="00E13840" w:rsidRDefault="00E13840">
      <w:pPr>
        <w:textAlignment w:val="baseline"/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030"/>
      </w:tblGrid>
      <w:tr w:rsidRPr="00844083" w:rsidR="00E13840" w:rsidTr="004044A3"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Scale Score </w:t>
            </w:r>
          </w:p>
        </w:tc>
        <w:tc>
          <w:tcPr>
            <w:tcW w:w="60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Definition </w:t>
            </w:r>
          </w:p>
        </w:tc>
      </w:tr>
      <w:tr w:rsidRPr="00844083" w:rsidR="00E13840" w:rsidTr="004044A3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0 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behavior is not observed </w:t>
            </w:r>
          </w:p>
        </w:tc>
      </w:tr>
      <w:tr w:rsidRPr="00844083" w:rsidR="00E13840" w:rsidTr="004044A3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A minimal attempt is made to exhibit the behavior </w:t>
            </w:r>
          </w:p>
        </w:tc>
      </w:tr>
      <w:tr w:rsidRPr="00844083" w:rsidR="00E13840" w:rsidTr="004044A3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2 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clinician asks the patient about their preferred way of receiving information to assist decision </w:t>
            </w:r>
          </w:p>
        </w:tc>
      </w:tr>
      <w:tr w:rsidRPr="00844083" w:rsidR="00E13840" w:rsidTr="004044A3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3 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behavior is exhibited to a good standard </w:t>
            </w:r>
          </w:p>
        </w:tc>
      </w:tr>
      <w:tr w:rsidRPr="00844083" w:rsidR="00E13840" w:rsidTr="004044A3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4 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behavior is observed and executed to a high standard </w:t>
            </w:r>
          </w:p>
        </w:tc>
      </w:tr>
    </w:tbl>
    <w:p w:rsidRPr="00844083" w:rsidR="00E13840" w:rsidP="00E13840" w:rsidRDefault="00E13840">
      <w:pPr>
        <w:textAlignment w:val="baseline"/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 </w:t>
      </w:r>
    </w:p>
    <w:p w:rsidRPr="00844083" w:rsidR="00E13840" w:rsidP="00E13840" w:rsidRDefault="00E13840">
      <w:pPr>
        <w:textAlignment w:val="baseline"/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480"/>
        <w:gridCol w:w="420"/>
        <w:gridCol w:w="420"/>
        <w:gridCol w:w="420"/>
        <w:gridCol w:w="420"/>
        <w:gridCol w:w="420"/>
      </w:tblGrid>
      <w:tr w:rsidRPr="00844083" w:rsidR="00E13840" w:rsidTr="004044A3">
        <w:tc>
          <w:tcPr>
            <w:tcW w:w="6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OPTION Item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0 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2 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3 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4 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draws attention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to an identified problem as one that requires a decision-making process.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2 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states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that there is more than one way to deal with the identified problem (‘equipoise’).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3 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clinician 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assesses</w:t>
            </w:r>
            <w:r w:rsidRPr="00844083">
              <w:rPr>
                <w:rFonts w:ascii="Arial" w:hAnsi="Arial" w:cs="Arial"/>
                <w:sz w:val="22"/>
                <w:szCs w:val="22"/>
              </w:rPr>
              <w:t> the patient’s preferred approached to receiving information to assist decision making (e.g., discussion, reading printed material, assessing graphical data, using videotapes or other media).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4 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lists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‘options’, which can include the choice of ‘no action’.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5 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explains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the pros and cons of options to the patient (taking ‘no action’ is an option).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6 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explores the patient’s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expectations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(or ideas) about how the problem(s) are to be managed.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7 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explores the patient’s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concerns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(fears) about how problem(s) are to be managed.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8 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checks that the patient has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understood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the information.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9 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offers the patient explicit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opportunities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to ask questions during the decision-making process.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10 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elicits the patient’s preferred level of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involvement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in decision making.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11 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indicates the need for a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decision making 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(or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deferring</w:t>
            </w:r>
            <w:r w:rsidRPr="00844083">
              <w:rPr>
                <w:rFonts w:ascii="Arial" w:hAnsi="Arial" w:cs="Arial"/>
                <w:sz w:val="22"/>
                <w:szCs w:val="22"/>
              </w:rPr>
              <w:t>) stage.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E13840" w:rsidTr="004044A3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12 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indicates the need to review the decision (or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deferment</w:t>
            </w:r>
            <w:r w:rsidRPr="00844083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E13840" w:rsidP="004044A3" w:rsidRDefault="00E1384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844083" w:rsidR="00E13840" w:rsidP="00E13840" w:rsidRDefault="00E13840">
      <w:pPr>
        <w:rPr>
          <w:rFonts w:ascii="Arial" w:hAnsi="Arial" w:cs="Arial"/>
          <w:sz w:val="22"/>
          <w:szCs w:val="22"/>
        </w:rPr>
      </w:pPr>
    </w:p>
    <w:p w:rsidRPr="00844083" w:rsidR="00E13840" w:rsidP="00E13840" w:rsidRDefault="00E13840">
      <w:pPr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Total Score 0-28</w:t>
      </w:r>
    </w:p>
    <w:p w:rsidRPr="00844083" w:rsidR="00E13840" w:rsidP="00E13840" w:rsidRDefault="00E13840">
      <w:pPr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Rescale 0-100</w:t>
      </w:r>
    </w:p>
    <w:p w:rsidRPr="00844083" w:rsidR="00E13840" w:rsidP="00E13840" w:rsidRDefault="00E13840">
      <w:pPr>
        <w:rPr>
          <w:rFonts w:ascii="Arial" w:hAnsi="Arial" w:cs="Arial" w:eastAsiaTheme="majorEastAsia"/>
          <w:color w:val="2E74B5" w:themeColor="accent1" w:themeShade="BF"/>
          <w:sz w:val="22"/>
          <w:szCs w:val="22"/>
        </w:rPr>
      </w:pPr>
    </w:p>
    <w:p w:rsidR="00E13840" w:rsidP="00E13840" w:rsidRDefault="00E13840">
      <w:pPr>
        <w:rPr>
          <w:rFonts w:ascii="Arial" w:hAnsi="Arial" w:cs="Arial"/>
          <w:color w:val="5B9BD5" w:themeColor="accent1"/>
          <w:sz w:val="22"/>
          <w:szCs w:val="22"/>
        </w:rPr>
      </w:pPr>
    </w:p>
    <w:p w:rsidR="00E13840" w:rsidP="00E13840" w:rsidRDefault="00E13840"/>
    <w:p w:rsidR="00624632" w:rsidRDefault="00624632"/>
    <w:sectPr w:rsidR="00624632" w:rsidSect="00455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2F7F"/>
    <w:multiLevelType w:val="hybridMultilevel"/>
    <w:tmpl w:val="B54C96B4"/>
    <w:lvl w:ilvl="0" w:tplc="C610D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8D3770"/>
    <w:multiLevelType w:val="multilevel"/>
    <w:tmpl w:val="DE7A706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6F7FEA"/>
    <w:multiLevelType w:val="hybridMultilevel"/>
    <w:tmpl w:val="88AA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40"/>
    <w:rsid w:val="00624632"/>
    <w:rsid w:val="00E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2453"/>
  <w15:chartTrackingRefBased/>
  <w15:docId w15:val="{16CCCA14-E674-430C-A101-FBA87CDA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13840"/>
    <w:pPr>
      <w:numPr>
        <w:numId w:val="3"/>
      </w:numPr>
      <w:spacing w:line="480" w:lineRule="auto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13840"/>
    <w:pPr>
      <w:numPr>
        <w:ilvl w:val="1"/>
        <w:numId w:val="3"/>
      </w:numPr>
      <w:outlineLvl w:val="1"/>
    </w:pPr>
    <w:rPr>
      <w:rFonts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840"/>
    <w:rPr>
      <w:rFonts w:ascii="Arial" w:eastAsia="SimSu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13840"/>
    <w:rPr>
      <w:rFonts w:ascii="Arial" w:eastAsia="SimSun" w:hAnsi="Arial" w:cs="Arial"/>
      <w:b/>
    </w:rPr>
  </w:style>
  <w:style w:type="paragraph" w:styleId="ListParagraph">
    <w:name w:val="List Paragraph"/>
    <w:basedOn w:val="Normal"/>
    <w:uiPriority w:val="34"/>
    <w:qFormat/>
    <w:rsid w:val="00E13840"/>
    <w:pPr>
      <w:ind w:left="720"/>
      <w:contextualSpacing/>
    </w:pPr>
    <w:rPr>
      <w:rFonts w:ascii="Arial" w:eastAsia="SimSun" w:hAnsi="Arial"/>
    </w:rPr>
  </w:style>
  <w:style w:type="table" w:styleId="TableGrid">
    <w:name w:val="Table Grid"/>
    <w:basedOn w:val="TableNormal"/>
    <w:uiPriority w:val="59"/>
    <w:rsid w:val="00E13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Clinician Survey</vt:lpstr>
      <vt:lpstr>    Audio recording coding scheme</vt:lpstr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Brereton</dc:creator>
  <cp:keywords/>
  <dc:description/>
  <cp:lastModifiedBy>Elinor Brereton</cp:lastModifiedBy>
  <cp:revision>1</cp:revision>
  <dcterms:created xsi:type="dcterms:W3CDTF">2020-03-18T15:52:00Z</dcterms:created>
  <dcterms:modified xsi:type="dcterms:W3CDTF">2020-03-18T16:02:00Z</dcterms:modified>
</cp:coreProperties>
</file>