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FF2" w:rsidP="00A34A97" w:rsidRDefault="00313FF2">
      <w:pPr>
        <w:pStyle w:val="DFARS"/>
        <w:rPr>
          <w:b/>
        </w:rPr>
      </w:pPr>
      <w:bookmarkStart w:name="219.702" w:id="0"/>
      <w:bookmarkStart w:name="BM219_7" w:id="1"/>
      <w:r>
        <w:rPr>
          <w:b/>
        </w:rPr>
        <w:t>PART 2</w:t>
      </w:r>
      <w:r w:rsidR="003A682A">
        <w:rPr>
          <w:b/>
        </w:rPr>
        <w:t>08</w:t>
      </w:r>
      <w:r>
        <w:rPr>
          <w:b/>
        </w:rPr>
        <w:t>—</w:t>
      </w:r>
      <w:r w:rsidR="003A682A">
        <w:rPr>
          <w:b/>
        </w:rPr>
        <w:t>REQUIRED SOURCES OF SUPPLIES AND SERVICES</w:t>
      </w:r>
    </w:p>
    <w:p w:rsidR="00313FF2" w:rsidP="00A34A97" w:rsidRDefault="00313FF2">
      <w:pPr>
        <w:pStyle w:val="DFARS"/>
        <w:rPr>
          <w:b/>
        </w:rPr>
      </w:pPr>
    </w:p>
    <w:p w:rsidR="003A682A" w:rsidP="00A34A97" w:rsidRDefault="003A682A">
      <w:pPr>
        <w:pStyle w:val="DFARS"/>
        <w:rPr>
          <w:b/>
        </w:rPr>
      </w:pPr>
      <w:r>
        <w:rPr>
          <w:b/>
        </w:rPr>
        <w:t>* * * * *</w:t>
      </w:r>
    </w:p>
    <w:p w:rsidR="003A682A" w:rsidP="00A34A97" w:rsidRDefault="003A682A">
      <w:pPr>
        <w:pStyle w:val="DFARS"/>
        <w:rPr>
          <w:b/>
        </w:rPr>
      </w:pPr>
    </w:p>
    <w:p w:rsidR="00313FF2" w:rsidP="00313FF2" w:rsidRDefault="00313FF2">
      <w:pPr>
        <w:pStyle w:val="DFARS"/>
        <w:jc w:val="center"/>
        <w:rPr>
          <w:b/>
        </w:rPr>
      </w:pPr>
      <w:r>
        <w:rPr>
          <w:b/>
        </w:rPr>
        <w:t>SUBPART 2</w:t>
      </w:r>
      <w:r w:rsidR="003A682A">
        <w:rPr>
          <w:b/>
        </w:rPr>
        <w:t>08</w:t>
      </w:r>
      <w:r>
        <w:rPr>
          <w:b/>
        </w:rPr>
        <w:t>.</w:t>
      </w:r>
      <w:r w:rsidR="003A682A">
        <w:rPr>
          <w:b/>
        </w:rPr>
        <w:t>73</w:t>
      </w:r>
      <w:r>
        <w:rPr>
          <w:b/>
        </w:rPr>
        <w:t>—TITLE OF SUBPART</w:t>
      </w:r>
    </w:p>
    <w:p w:rsidR="00313FF2" w:rsidP="00A34A97" w:rsidRDefault="00313FF2">
      <w:pPr>
        <w:pStyle w:val="DFARS"/>
        <w:rPr>
          <w:b/>
        </w:rPr>
      </w:pPr>
    </w:p>
    <w:p w:rsidR="00313FF2" w:rsidP="00A34A97" w:rsidRDefault="003A682A">
      <w:pPr>
        <w:pStyle w:val="DFARS"/>
        <w:rPr>
          <w:b/>
        </w:rPr>
      </w:pPr>
      <w:r>
        <w:rPr>
          <w:b/>
        </w:rPr>
        <w:t>* * * * *</w:t>
      </w:r>
    </w:p>
    <w:p w:rsidR="003A682A" w:rsidP="00A34A97" w:rsidRDefault="003A682A">
      <w:pPr>
        <w:pStyle w:val="DFARS"/>
        <w:rPr>
          <w:b/>
        </w:rPr>
      </w:pPr>
    </w:p>
    <w:bookmarkEnd w:id="0"/>
    <w:bookmarkEnd w:id="1"/>
    <w:p w:rsidRPr="003A682A" w:rsidR="003A682A" w:rsidP="003A682A" w:rsidRDefault="003A682A">
      <w:pPr>
        <w:pStyle w:val="DFARS"/>
        <w:rPr>
          <w:b/>
        </w:rPr>
      </w:pPr>
      <w:r w:rsidRPr="003A682A">
        <w:rPr>
          <w:b/>
        </w:rPr>
        <w:t>208.7305  Contract clause.</w:t>
      </w:r>
    </w:p>
    <w:p w:rsidRPr="003A682A" w:rsidR="003A682A" w:rsidP="003A682A" w:rsidRDefault="003A682A">
      <w:pPr>
        <w:pStyle w:val="DFARS"/>
      </w:pPr>
    </w:p>
    <w:p w:rsidRPr="003A682A" w:rsidR="003A682A" w:rsidP="003A682A" w:rsidRDefault="003A682A">
      <w:pPr>
        <w:pStyle w:val="DFARS"/>
      </w:pPr>
      <w:r w:rsidRPr="003A682A">
        <w:tab/>
        <w:t>(a)  Use the clause at 252.208-7000, Intent to Furnish Precious Metals as Government-Furnished Material, in all solicitations and contracts except—</w:t>
      </w:r>
    </w:p>
    <w:p w:rsidRPr="003A682A" w:rsidR="003A682A" w:rsidP="003A682A" w:rsidRDefault="003A682A">
      <w:pPr>
        <w:pStyle w:val="DFARS"/>
      </w:pPr>
    </w:p>
    <w:p w:rsidRPr="003A682A" w:rsidR="003A682A" w:rsidP="003A682A" w:rsidRDefault="003A682A">
      <w:pPr>
        <w:pStyle w:val="DFARS"/>
      </w:pPr>
      <w:r w:rsidRPr="003A682A">
        <w:tab/>
      </w:r>
      <w:r w:rsidRPr="003A682A">
        <w:tab/>
        <w:t>(1)  When the contracting officer has determined that the required precious metals are not available from DSCP;</w:t>
      </w:r>
    </w:p>
    <w:p w:rsidRPr="003A682A" w:rsidR="003A682A" w:rsidP="003A682A" w:rsidRDefault="003A682A">
      <w:pPr>
        <w:pStyle w:val="DFARS"/>
      </w:pPr>
    </w:p>
    <w:p w:rsidRPr="003A682A" w:rsidR="003A682A" w:rsidP="003A682A" w:rsidRDefault="003A682A">
      <w:pPr>
        <w:pStyle w:val="DFARS"/>
      </w:pPr>
      <w:r w:rsidRPr="003A682A">
        <w:tab/>
      </w:r>
      <w:r w:rsidRPr="003A682A">
        <w:tab/>
        <w:t>(2)  When the contracting officer knows that the items being acquired do not require precious metals in their manufacture; or</w:t>
      </w:r>
    </w:p>
    <w:p w:rsidRPr="003A682A" w:rsidR="003A682A" w:rsidP="003A682A" w:rsidRDefault="003A682A">
      <w:pPr>
        <w:pStyle w:val="DFARS"/>
      </w:pPr>
    </w:p>
    <w:p w:rsidRPr="003A682A" w:rsidR="003A682A" w:rsidP="003A682A" w:rsidRDefault="003A682A">
      <w:pPr>
        <w:pStyle w:val="DFARS"/>
      </w:pPr>
      <w:r w:rsidRPr="003A682A">
        <w:tab/>
      </w:r>
      <w:r w:rsidRPr="003A682A">
        <w:tab/>
        <w:t>(3)  For acquisitions at or below the simplified acquisition threshold.</w:t>
      </w:r>
    </w:p>
    <w:p w:rsidRPr="003A682A" w:rsidR="003A682A" w:rsidP="003A682A" w:rsidRDefault="003A682A">
      <w:pPr>
        <w:pStyle w:val="DFARS"/>
      </w:pPr>
    </w:p>
    <w:p w:rsidRPr="003A682A" w:rsidR="003A682A" w:rsidP="003A682A" w:rsidRDefault="003A682A">
      <w:pPr>
        <w:pStyle w:val="DFARS"/>
      </w:pPr>
      <w:r w:rsidRPr="003A682A">
        <w:tab/>
        <w:t>(b)  To make the determination in paragraph (a)(1) of this section, the contracting officer shall consult with the end item inventory manager and comply with the procedures in Chapter 11, DoD 4160.21-M, Defense Materiel Disposition Manual.</w:t>
      </w:r>
    </w:p>
    <w:p w:rsidRPr="003A682A" w:rsidR="003A682A" w:rsidP="003A682A" w:rsidRDefault="003A682A">
      <w:pPr>
        <w:pStyle w:val="DFARS"/>
      </w:pPr>
    </w:p>
    <w:p w:rsidRPr="003A682A" w:rsidR="003A682A" w:rsidP="003A682A" w:rsidRDefault="003A682A">
      <w:pPr>
        <w:pStyle w:val="DFARS"/>
      </w:pPr>
    </w:p>
    <w:p w:rsidR="003A682A" w:rsidP="003A682A" w:rsidRDefault="003A682A">
      <w:pPr>
        <w:pStyle w:val="DFARS"/>
        <w:rPr>
          <w:b/>
        </w:rPr>
      </w:pPr>
      <w:r>
        <w:rPr>
          <w:b/>
        </w:rPr>
        <w:t>PART 2</w:t>
      </w:r>
      <w:r>
        <w:rPr>
          <w:b/>
        </w:rPr>
        <w:t>52</w:t>
      </w:r>
      <w:r>
        <w:rPr>
          <w:b/>
        </w:rPr>
        <w:t>—</w:t>
      </w:r>
      <w:r>
        <w:rPr>
          <w:b/>
        </w:rPr>
        <w:t>SOLICITATION PROVISIONS AND CONTRACT CLAUSES</w:t>
      </w:r>
    </w:p>
    <w:p w:rsidR="003A682A" w:rsidP="003A682A" w:rsidRDefault="003A682A">
      <w:pPr>
        <w:pStyle w:val="DFARS"/>
        <w:rPr>
          <w:b/>
        </w:rPr>
      </w:pPr>
    </w:p>
    <w:p w:rsidR="003A682A" w:rsidP="003A682A" w:rsidRDefault="003A682A">
      <w:pPr>
        <w:pStyle w:val="DFARS"/>
        <w:rPr>
          <w:b/>
        </w:rPr>
      </w:pPr>
      <w:r>
        <w:rPr>
          <w:b/>
        </w:rPr>
        <w:t>* * * * *</w:t>
      </w:r>
    </w:p>
    <w:p w:rsidR="003A682A" w:rsidP="003A682A" w:rsidRDefault="003A682A">
      <w:pPr>
        <w:pStyle w:val="DFARS"/>
        <w:rPr>
          <w:b/>
        </w:rPr>
      </w:pPr>
    </w:p>
    <w:p w:rsidR="003A682A" w:rsidP="003A682A" w:rsidRDefault="003A682A">
      <w:pPr>
        <w:pStyle w:val="DFARS"/>
        <w:jc w:val="center"/>
        <w:rPr>
          <w:b/>
        </w:rPr>
      </w:pPr>
      <w:r>
        <w:rPr>
          <w:b/>
        </w:rPr>
        <w:t>SUBPART 2</w:t>
      </w:r>
      <w:r>
        <w:rPr>
          <w:b/>
        </w:rPr>
        <w:t>52</w:t>
      </w:r>
      <w:r>
        <w:rPr>
          <w:b/>
        </w:rPr>
        <w:t>.</w:t>
      </w:r>
      <w:r>
        <w:rPr>
          <w:b/>
        </w:rPr>
        <w:t>2</w:t>
      </w:r>
      <w:r>
        <w:rPr>
          <w:b/>
        </w:rPr>
        <w:t>—</w:t>
      </w:r>
      <w:r>
        <w:rPr>
          <w:b/>
        </w:rPr>
        <w:t>TEXT OF PROVISIONS AND CLAUSES</w:t>
      </w:r>
    </w:p>
    <w:p w:rsidR="003A682A" w:rsidP="003A682A" w:rsidRDefault="003A682A">
      <w:pPr>
        <w:pStyle w:val="DFARS"/>
        <w:rPr>
          <w:b/>
        </w:rPr>
      </w:pPr>
    </w:p>
    <w:p w:rsidR="003A682A" w:rsidP="003A682A" w:rsidRDefault="003A682A">
      <w:pPr>
        <w:pStyle w:val="DFARS"/>
        <w:rPr>
          <w:b/>
        </w:rPr>
      </w:pPr>
      <w:r>
        <w:rPr>
          <w:b/>
        </w:rPr>
        <w:t>* * * * *</w:t>
      </w:r>
    </w:p>
    <w:p w:rsidRPr="003A682A" w:rsidR="003A682A" w:rsidP="003A682A" w:rsidRDefault="003A682A">
      <w:pPr>
        <w:pStyle w:val="DFARS"/>
      </w:pPr>
    </w:p>
    <w:p w:rsidRPr="00D86CF6" w:rsidR="00D86CF6" w:rsidP="00D86CF6" w:rsidRDefault="00D86CF6">
      <w:pPr>
        <w:pStyle w:val="DFARS"/>
        <w:rPr>
          <w:b/>
        </w:rPr>
      </w:pPr>
      <w:bookmarkStart w:name="BM252208" w:id="2"/>
      <w:r w:rsidRPr="00D86CF6">
        <w:rPr>
          <w:b/>
        </w:rPr>
        <w:t>252.208-7000  Intent to Furnish Precious Metals as Government-Furnished Material.</w:t>
      </w:r>
    </w:p>
    <w:p w:rsidRPr="00D86CF6" w:rsidR="00D86CF6" w:rsidP="00D86CF6" w:rsidRDefault="00D86CF6">
      <w:pPr>
        <w:pStyle w:val="DFARS"/>
      </w:pPr>
      <w:r w:rsidRPr="00D86CF6">
        <w:t xml:space="preserve">As prescribed in </w:t>
      </w:r>
      <w:hyperlink w:history="1" w:anchor="208.7305" r:id="rId7">
        <w:r w:rsidRPr="00D86CF6">
          <w:rPr>
            <w:rStyle w:val="Hyperlink"/>
          </w:rPr>
          <w:t>208.7305</w:t>
        </w:r>
      </w:hyperlink>
      <w:r w:rsidRPr="00D86CF6">
        <w:t>(a), use the following clause:</w:t>
      </w:r>
    </w:p>
    <w:p w:rsidRPr="00D86CF6" w:rsidR="00D86CF6" w:rsidP="00D86CF6" w:rsidRDefault="00D86CF6">
      <w:pPr>
        <w:pStyle w:val="DFARS"/>
      </w:pPr>
    </w:p>
    <w:p w:rsidRPr="00D86CF6" w:rsidR="00D86CF6" w:rsidP="00D86CF6" w:rsidRDefault="00D86CF6">
      <w:pPr>
        <w:pStyle w:val="DFARS"/>
        <w:jc w:val="center"/>
      </w:pPr>
      <w:r w:rsidRPr="00D86CF6">
        <w:t>INTENT TO FURNISH PRECIOUS METALS AS GOVERNMENT-FURNISHED MATERIAL (DEC 1991)</w:t>
      </w:r>
    </w:p>
    <w:p w:rsidRPr="00D86CF6" w:rsidR="00D86CF6" w:rsidP="00D86CF6" w:rsidRDefault="00D86CF6">
      <w:pPr>
        <w:pStyle w:val="DFARS"/>
      </w:pPr>
    </w:p>
    <w:p w:rsidRPr="00D86CF6" w:rsidR="00D86CF6" w:rsidP="00D86CF6" w:rsidRDefault="00D86CF6">
      <w:pPr>
        <w:pStyle w:val="DFARS"/>
      </w:pPr>
      <w:r w:rsidRPr="00D86CF6">
        <w:tab/>
        <w:t>(a)  The Government intends to furnish precious metals required in the manufacture of items to be delivered under the contract if the Contracting Officer determines it to be in the Government's best interest.  The use of Government-furnished silver is mandatory when the quantity required is one hundred troy ounces or more.  The precious metal(s) will be furnished pursuant to the Government Furnished Property clause of the contract.</w:t>
      </w:r>
    </w:p>
    <w:p w:rsidRPr="00D86CF6" w:rsidR="00D86CF6" w:rsidP="00D86CF6" w:rsidRDefault="00D86CF6">
      <w:pPr>
        <w:pStyle w:val="DFARS"/>
      </w:pPr>
    </w:p>
    <w:p w:rsidRPr="00D86CF6" w:rsidR="00D86CF6" w:rsidP="00D86CF6" w:rsidRDefault="00D86CF6">
      <w:pPr>
        <w:pStyle w:val="DFARS"/>
      </w:pPr>
      <w:r w:rsidRPr="00D86CF6">
        <w:tab/>
        <w:t>(b)  The Offeror shall cite the type (silver, gold, platinum, palladium, iridium, rhodium, and ruthenium) and quantity in whole troy ounces of precious metals required in the performance of this contract (including precious metals required for any first article or production sample), and shall specify the national stock number (NSN) and nomenclature, if known, of the deliverable item requiring precious metals.</w:t>
      </w:r>
    </w:p>
    <w:p w:rsidRPr="00D86CF6" w:rsidR="00D86CF6" w:rsidP="00D86CF6" w:rsidRDefault="00D86CF6">
      <w:pPr>
        <w:pStyle w:val="DFARS"/>
      </w:pPr>
    </w:p>
    <w:tbl>
      <w:tblPr>
        <w:tblW w:w="0" w:type="auto"/>
        <w:tblInd w:w="468" w:type="dxa"/>
        <w:tblLayout w:type="fixed"/>
        <w:tblLook w:val="0000" w:firstRow="0" w:lastRow="0" w:firstColumn="0" w:lastColumn="0" w:noHBand="0" w:noVBand="0"/>
      </w:tblPr>
      <w:tblGrid>
        <w:gridCol w:w="3007"/>
        <w:gridCol w:w="2033"/>
        <w:gridCol w:w="3060"/>
      </w:tblGrid>
      <w:tr w:rsidRPr="00D86CF6" w:rsidR="00D86CF6" w:rsidTr="008C3A94">
        <w:tblPrEx>
          <w:tblCellMar>
            <w:top w:w="0" w:type="dxa"/>
            <w:bottom w:w="0" w:type="dxa"/>
          </w:tblCellMar>
        </w:tblPrEx>
        <w:tc>
          <w:tcPr>
            <w:tcW w:w="3007" w:type="dxa"/>
          </w:tcPr>
          <w:p w:rsidRPr="00D86CF6" w:rsidR="00D86CF6" w:rsidP="00D86CF6" w:rsidRDefault="00D86CF6">
            <w:pPr>
              <w:pStyle w:val="DFARS"/>
              <w:rPr>
                <w:u w:val="single"/>
              </w:rPr>
            </w:pPr>
          </w:p>
          <w:p w:rsidRPr="00D86CF6" w:rsidR="00D86CF6" w:rsidP="00D86CF6" w:rsidRDefault="00D86CF6">
            <w:pPr>
              <w:pStyle w:val="DFARS"/>
            </w:pPr>
            <w:r w:rsidRPr="00D86CF6">
              <w:rPr>
                <w:u w:val="single"/>
              </w:rPr>
              <w:t>Precious Metal*</w:t>
            </w:r>
          </w:p>
        </w:tc>
        <w:tc>
          <w:tcPr>
            <w:tcW w:w="2033" w:type="dxa"/>
          </w:tcPr>
          <w:p w:rsidRPr="00D86CF6" w:rsidR="00D86CF6" w:rsidP="00D86CF6" w:rsidRDefault="00D86CF6">
            <w:pPr>
              <w:pStyle w:val="DFARS"/>
              <w:rPr>
                <w:u w:val="single"/>
              </w:rPr>
            </w:pPr>
          </w:p>
          <w:p w:rsidRPr="00D86CF6" w:rsidR="00D86CF6" w:rsidP="00D86CF6" w:rsidRDefault="00D86CF6">
            <w:pPr>
              <w:pStyle w:val="DFARS"/>
            </w:pPr>
            <w:r w:rsidRPr="00D86CF6">
              <w:rPr>
                <w:u w:val="single"/>
              </w:rPr>
              <w:t>Quantity</w:t>
            </w:r>
          </w:p>
        </w:tc>
        <w:tc>
          <w:tcPr>
            <w:tcW w:w="3060" w:type="dxa"/>
          </w:tcPr>
          <w:p w:rsidRPr="00D86CF6" w:rsidR="00D86CF6" w:rsidP="00D86CF6" w:rsidRDefault="00D86CF6">
            <w:pPr>
              <w:pStyle w:val="DFARS"/>
            </w:pPr>
            <w:r w:rsidRPr="00D86CF6">
              <w:t>Deliverable Item</w:t>
            </w:r>
          </w:p>
          <w:p w:rsidRPr="00D86CF6" w:rsidR="00D86CF6" w:rsidP="00D86CF6" w:rsidRDefault="00D86CF6">
            <w:pPr>
              <w:pStyle w:val="DFARS"/>
            </w:pPr>
            <w:r w:rsidRPr="00D86CF6">
              <w:rPr>
                <w:u w:val="single"/>
              </w:rPr>
              <w:t>(NSN and Nomenclature)</w:t>
            </w:r>
          </w:p>
        </w:tc>
      </w:tr>
      <w:tr w:rsidRPr="00D86CF6" w:rsidR="00D86CF6" w:rsidTr="008C3A94">
        <w:tblPrEx>
          <w:tblCellMar>
            <w:top w:w="0" w:type="dxa"/>
            <w:bottom w:w="0" w:type="dxa"/>
          </w:tblCellMar>
        </w:tblPrEx>
        <w:tc>
          <w:tcPr>
            <w:tcW w:w="8100" w:type="dxa"/>
            <w:gridSpan w:val="3"/>
          </w:tcPr>
          <w:p w:rsidRPr="00D86CF6" w:rsidR="00D86CF6" w:rsidP="00D86CF6" w:rsidRDefault="00D86CF6">
            <w:pPr>
              <w:pStyle w:val="DFARS"/>
            </w:pPr>
            <w:r w:rsidRPr="00D86CF6">
              <w:t>____________________________________________________________________</w:t>
            </w:r>
          </w:p>
        </w:tc>
      </w:tr>
      <w:tr w:rsidRPr="00D86CF6" w:rsidR="00D86CF6" w:rsidTr="008C3A94">
        <w:tblPrEx>
          <w:tblCellMar>
            <w:top w:w="0" w:type="dxa"/>
            <w:bottom w:w="0" w:type="dxa"/>
          </w:tblCellMar>
        </w:tblPrEx>
        <w:tc>
          <w:tcPr>
            <w:tcW w:w="8100" w:type="dxa"/>
            <w:gridSpan w:val="3"/>
          </w:tcPr>
          <w:p w:rsidRPr="00D86CF6" w:rsidR="00D86CF6" w:rsidP="00D86CF6" w:rsidRDefault="00D86CF6">
            <w:pPr>
              <w:pStyle w:val="DFARS"/>
            </w:pPr>
            <w:r w:rsidRPr="00D86CF6">
              <w:t>____________________________________________________________________</w:t>
            </w:r>
          </w:p>
        </w:tc>
      </w:tr>
      <w:tr w:rsidRPr="00D86CF6" w:rsidR="00D86CF6" w:rsidTr="008C3A94">
        <w:tblPrEx>
          <w:tblCellMar>
            <w:top w:w="0" w:type="dxa"/>
            <w:bottom w:w="0" w:type="dxa"/>
          </w:tblCellMar>
        </w:tblPrEx>
        <w:tc>
          <w:tcPr>
            <w:tcW w:w="8100" w:type="dxa"/>
            <w:gridSpan w:val="3"/>
          </w:tcPr>
          <w:p w:rsidRPr="00D86CF6" w:rsidR="00D86CF6" w:rsidP="00D86CF6" w:rsidRDefault="00D86CF6">
            <w:pPr>
              <w:pStyle w:val="DFARS"/>
            </w:pPr>
            <w:r w:rsidRPr="00D86CF6">
              <w:t>____________________________________________________________________</w:t>
            </w:r>
          </w:p>
        </w:tc>
      </w:tr>
      <w:tr w:rsidRPr="00D86CF6" w:rsidR="00D86CF6" w:rsidTr="008C3A94">
        <w:tblPrEx>
          <w:tblCellMar>
            <w:top w:w="0" w:type="dxa"/>
            <w:bottom w:w="0" w:type="dxa"/>
          </w:tblCellMar>
        </w:tblPrEx>
        <w:tc>
          <w:tcPr>
            <w:tcW w:w="8100" w:type="dxa"/>
            <w:gridSpan w:val="3"/>
          </w:tcPr>
          <w:p w:rsidRPr="00D86CF6" w:rsidR="00D86CF6" w:rsidP="00D86CF6" w:rsidRDefault="00D86CF6">
            <w:pPr>
              <w:pStyle w:val="DFARS"/>
            </w:pPr>
            <w:r w:rsidRPr="00D86CF6">
              <w:t>____________________________________________________________________</w:t>
            </w:r>
          </w:p>
        </w:tc>
      </w:tr>
      <w:tr w:rsidRPr="00D86CF6" w:rsidR="00D86CF6" w:rsidTr="008C3A94">
        <w:tblPrEx>
          <w:tblCellMar>
            <w:top w:w="0" w:type="dxa"/>
            <w:bottom w:w="0" w:type="dxa"/>
          </w:tblCellMar>
        </w:tblPrEx>
        <w:tc>
          <w:tcPr>
            <w:tcW w:w="8100" w:type="dxa"/>
            <w:gridSpan w:val="3"/>
          </w:tcPr>
          <w:p w:rsidRPr="00D86CF6" w:rsidR="00D86CF6" w:rsidP="00D86CF6" w:rsidRDefault="00D86CF6">
            <w:pPr>
              <w:pStyle w:val="DFARS"/>
            </w:pPr>
            <w:r w:rsidRPr="00D86CF6">
              <w:t>____________________________________________________________________</w:t>
            </w:r>
          </w:p>
        </w:tc>
      </w:tr>
      <w:tr w:rsidRPr="00D86CF6" w:rsidR="00D86CF6" w:rsidTr="008C3A94">
        <w:tblPrEx>
          <w:tblCellMar>
            <w:top w:w="0" w:type="dxa"/>
            <w:bottom w:w="0" w:type="dxa"/>
          </w:tblCellMar>
        </w:tblPrEx>
        <w:tc>
          <w:tcPr>
            <w:tcW w:w="8100" w:type="dxa"/>
            <w:gridSpan w:val="3"/>
          </w:tcPr>
          <w:p w:rsidRPr="00D86CF6" w:rsidR="00D86CF6" w:rsidP="00D86CF6" w:rsidRDefault="00D86CF6">
            <w:pPr>
              <w:pStyle w:val="DFARS"/>
            </w:pPr>
            <w:r w:rsidRPr="00D86CF6">
              <w:t>____________________________________________________________________</w:t>
            </w:r>
          </w:p>
        </w:tc>
      </w:tr>
      <w:tr w:rsidRPr="00D86CF6" w:rsidR="00D86CF6" w:rsidTr="008C3A94">
        <w:tblPrEx>
          <w:tblCellMar>
            <w:top w:w="0" w:type="dxa"/>
            <w:bottom w:w="0" w:type="dxa"/>
          </w:tblCellMar>
        </w:tblPrEx>
        <w:tc>
          <w:tcPr>
            <w:tcW w:w="8100" w:type="dxa"/>
            <w:gridSpan w:val="3"/>
          </w:tcPr>
          <w:p w:rsidRPr="00D86CF6" w:rsidR="00D86CF6" w:rsidP="00D86CF6" w:rsidRDefault="00D86CF6">
            <w:pPr>
              <w:pStyle w:val="DFARS"/>
            </w:pPr>
            <w:r w:rsidRPr="00D86CF6">
              <w:t>____________________________________________________________________</w:t>
            </w:r>
          </w:p>
        </w:tc>
      </w:tr>
    </w:tbl>
    <w:p w:rsidRPr="00D86CF6" w:rsidR="00D86CF6" w:rsidP="00D86CF6" w:rsidRDefault="00D86CF6">
      <w:pPr>
        <w:pStyle w:val="DFARS"/>
      </w:pPr>
    </w:p>
    <w:p w:rsidRPr="00D86CF6" w:rsidR="00D86CF6" w:rsidP="00D86CF6" w:rsidRDefault="00D86CF6">
      <w:pPr>
        <w:pStyle w:val="DFARS"/>
      </w:pPr>
      <w:r w:rsidRPr="00D86CF6">
        <w:tab/>
        <w:t>*If platinum or palladium, specify whether sponge or granules are required.</w:t>
      </w:r>
    </w:p>
    <w:p w:rsidRPr="00D86CF6" w:rsidR="00D86CF6" w:rsidP="00D86CF6" w:rsidRDefault="00D86CF6">
      <w:pPr>
        <w:pStyle w:val="DFARS"/>
      </w:pPr>
    </w:p>
    <w:p w:rsidRPr="00D86CF6" w:rsidR="00D86CF6" w:rsidP="00D86CF6" w:rsidRDefault="00D86CF6">
      <w:pPr>
        <w:pStyle w:val="DFARS"/>
      </w:pPr>
      <w:r w:rsidRPr="00D86CF6">
        <w:tab/>
        <w:t>(c)  Offerors shall submit two prices for each deliverable item which contains precious metals--one based on the Government furnishing precious metals, and one based on the Contractor furnishing precious metals.  Award will be made on the basis which is in the best interest of the Government.</w:t>
      </w:r>
    </w:p>
    <w:p w:rsidRPr="00D86CF6" w:rsidR="00D86CF6" w:rsidP="00D86CF6" w:rsidRDefault="00D86CF6">
      <w:pPr>
        <w:pStyle w:val="DFARS"/>
      </w:pPr>
    </w:p>
    <w:p w:rsidRPr="00D86CF6" w:rsidR="00D86CF6" w:rsidP="00D86CF6" w:rsidRDefault="00D86CF6">
      <w:pPr>
        <w:pStyle w:val="DFARS"/>
      </w:pPr>
      <w:r w:rsidRPr="00D86CF6">
        <w:tab/>
        <w:t>(d)  The Contractor agrees to insert this clause, including this paragraph (d), in solicitations for subcontracts and purchase orders issued in performance of this contract, unless the Contractor knows that the item being purchased contains no precious metals.</w:t>
      </w:r>
    </w:p>
    <w:p w:rsidRPr="00D86CF6" w:rsidR="00D86CF6" w:rsidP="00D86CF6" w:rsidRDefault="00D86CF6">
      <w:pPr>
        <w:pStyle w:val="DFARS"/>
      </w:pPr>
    </w:p>
    <w:p w:rsidRPr="00D86CF6" w:rsidR="00D86CF6" w:rsidP="00D86CF6" w:rsidRDefault="00D86CF6">
      <w:pPr>
        <w:pStyle w:val="DFARS"/>
        <w:jc w:val="center"/>
      </w:pPr>
      <w:r w:rsidRPr="00D86CF6">
        <w:t>(End of clause)</w:t>
      </w:r>
    </w:p>
    <w:p w:rsidR="00D55651" w:rsidP="00A34A97" w:rsidRDefault="00D55651">
      <w:pPr>
        <w:pStyle w:val="DFARS"/>
      </w:pPr>
      <w:bookmarkStart w:name="_GoBack" w:id="3"/>
      <w:bookmarkEnd w:id="2"/>
      <w:bookmarkEnd w:id="3"/>
    </w:p>
    <w:sectPr w:rsidR="00D55651" w:rsidSect="000F0B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7DF" w:rsidRDefault="00D427DF" w:rsidP="00FA5AE1">
      <w:pPr>
        <w:spacing w:after="0" w:line="240" w:lineRule="auto"/>
      </w:pPr>
      <w:r>
        <w:separator/>
      </w:r>
    </w:p>
  </w:endnote>
  <w:endnote w:type="continuationSeparator" w:id="0">
    <w:p w:rsidR="00D427DF" w:rsidRDefault="00D427DF" w:rsidP="00FA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FF2" w:rsidRPr="00E076D0" w:rsidRDefault="00D86CF6" w:rsidP="00C845D0">
    <w:pPr>
      <w:pStyle w:val="Footer"/>
      <w:rPr>
        <w:rFonts w:ascii="Century Schoolbook" w:hAnsi="Century Schoolbook"/>
      </w:rPr>
    </w:pPr>
    <w:sdt>
      <w:sdtPr>
        <w:rPr>
          <w:sz w:val="16"/>
          <w:szCs w:val="16"/>
        </w:rPr>
        <w:id w:val="1875731787"/>
        <w:docPartObj>
          <w:docPartGallery w:val="Page Numbers (Bottom of Page)"/>
          <w:docPartUnique/>
        </w:docPartObj>
      </w:sdtPr>
      <w:sdtEndPr>
        <w:rPr>
          <w:rFonts w:ascii="Century Schoolbook" w:hAnsi="Century Schoolbook"/>
          <w:sz w:val="22"/>
          <w:szCs w:val="22"/>
        </w:rPr>
      </w:sdtEndPr>
      <w:sdtContent>
        <w:sdt>
          <w:sdtPr>
            <w:rPr>
              <w:sz w:val="16"/>
              <w:szCs w:val="16"/>
            </w:rPr>
            <w:id w:val="-1669238322"/>
            <w:docPartObj>
              <w:docPartGallery w:val="Page Numbers (Top of Page)"/>
              <w:docPartUnique/>
            </w:docPartObj>
          </w:sdtPr>
          <w:sdtEndPr>
            <w:rPr>
              <w:rFonts w:ascii="Century Schoolbook" w:hAnsi="Century Schoolbook"/>
              <w:sz w:val="22"/>
              <w:szCs w:val="22"/>
            </w:rPr>
          </w:sdtEndPr>
          <w:sdtContent>
            <w:r w:rsidR="00C845D0">
              <w:rPr>
                <w:sz w:val="16"/>
                <w:szCs w:val="16"/>
              </w:rPr>
              <w:tab/>
            </w:r>
            <w:r w:rsidR="00E076D0" w:rsidRPr="006002FC">
              <w:rPr>
                <w:rFonts w:ascii="Century Schoolbook" w:hAnsi="Century Schoolbook"/>
              </w:rPr>
              <w:t xml:space="preserve">Page </w:t>
            </w:r>
            <w:r w:rsidR="00E076D0" w:rsidRPr="006002FC">
              <w:rPr>
                <w:rFonts w:ascii="Century Schoolbook" w:hAnsi="Century Schoolbook"/>
              </w:rPr>
              <w:fldChar w:fldCharType="begin"/>
            </w:r>
            <w:r w:rsidR="00E076D0" w:rsidRPr="006002FC">
              <w:rPr>
                <w:rFonts w:ascii="Century Schoolbook" w:hAnsi="Century Schoolbook"/>
              </w:rPr>
              <w:instrText xml:space="preserve"> PAGE  \* Arabic  \* MERGEFORMAT </w:instrText>
            </w:r>
            <w:r w:rsidR="00E076D0" w:rsidRPr="006002FC">
              <w:rPr>
                <w:rFonts w:ascii="Century Schoolbook" w:hAnsi="Century Schoolbook"/>
              </w:rPr>
              <w:fldChar w:fldCharType="separate"/>
            </w:r>
            <w:r>
              <w:rPr>
                <w:rFonts w:ascii="Century Schoolbook" w:hAnsi="Century Schoolbook"/>
                <w:noProof/>
              </w:rPr>
              <w:t>2</w:t>
            </w:r>
            <w:r w:rsidR="00E076D0" w:rsidRPr="006002FC">
              <w:rPr>
                <w:rFonts w:ascii="Century Schoolbook" w:hAnsi="Century Schoolbook"/>
              </w:rPr>
              <w:fldChar w:fldCharType="end"/>
            </w:r>
            <w:r w:rsidR="00E076D0" w:rsidRPr="006002FC">
              <w:rPr>
                <w:rFonts w:ascii="Century Schoolbook" w:hAnsi="Century Schoolbook"/>
              </w:rPr>
              <w:t xml:space="preserve"> of </w:t>
            </w:r>
            <w:r w:rsidR="00E076D0" w:rsidRPr="006002FC">
              <w:rPr>
                <w:rFonts w:ascii="Century Schoolbook" w:hAnsi="Century Schoolbook"/>
              </w:rPr>
              <w:fldChar w:fldCharType="begin"/>
            </w:r>
            <w:r w:rsidR="00E076D0" w:rsidRPr="006002FC">
              <w:rPr>
                <w:rFonts w:ascii="Century Schoolbook" w:hAnsi="Century Schoolbook"/>
              </w:rPr>
              <w:instrText xml:space="preserve"> NUMPAGES  \* Arabic  \* MERGEFORMAT </w:instrText>
            </w:r>
            <w:r w:rsidR="00E076D0" w:rsidRPr="006002FC">
              <w:rPr>
                <w:rFonts w:ascii="Century Schoolbook" w:hAnsi="Century Schoolbook"/>
              </w:rPr>
              <w:fldChar w:fldCharType="separate"/>
            </w:r>
            <w:r>
              <w:rPr>
                <w:rFonts w:ascii="Century Schoolbook" w:hAnsi="Century Schoolbook"/>
                <w:noProof/>
              </w:rPr>
              <w:t>2</w:t>
            </w:r>
            <w:r w:rsidR="00E076D0" w:rsidRPr="006002FC">
              <w:rPr>
                <w:rFonts w:ascii="Century Schoolbook" w:hAnsi="Century Schoolbook"/>
              </w:rPr>
              <w:fldChar w:fldCharType="end"/>
            </w:r>
          </w:sdtContent>
        </w:sdt>
      </w:sdtContent>
    </w:sdt>
  </w:p>
  <w:p w:rsidR="00313FF2" w:rsidRPr="00F6391E" w:rsidRDefault="00313FF2" w:rsidP="00313FF2">
    <w:pPr>
      <w:pStyle w:val="Footer"/>
      <w:rPr>
        <w:rFonts w:ascii="Century Schoolbook" w:hAnsi="Century Schoolboo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7DF" w:rsidRDefault="00D427DF" w:rsidP="00FA5AE1">
      <w:pPr>
        <w:spacing w:after="0" w:line="240" w:lineRule="auto"/>
      </w:pPr>
      <w:r>
        <w:separator/>
      </w:r>
    </w:p>
  </w:footnote>
  <w:footnote w:type="continuationSeparator" w:id="0">
    <w:p w:rsidR="00D427DF" w:rsidRDefault="00D427DF" w:rsidP="00FA5A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6C9"/>
    <w:rsid w:val="00002AF6"/>
    <w:rsid w:val="00002BCE"/>
    <w:rsid w:val="00004D27"/>
    <w:rsid w:val="00016087"/>
    <w:rsid w:val="00025081"/>
    <w:rsid w:val="00026695"/>
    <w:rsid w:val="000348B0"/>
    <w:rsid w:val="00044AF4"/>
    <w:rsid w:val="00045F7A"/>
    <w:rsid w:val="000676B0"/>
    <w:rsid w:val="000759E0"/>
    <w:rsid w:val="000B09E4"/>
    <w:rsid w:val="000B1EE7"/>
    <w:rsid w:val="000B4440"/>
    <w:rsid w:val="000B63E6"/>
    <w:rsid w:val="000B7CD0"/>
    <w:rsid w:val="000D3943"/>
    <w:rsid w:val="000E229F"/>
    <w:rsid w:val="000F0B2E"/>
    <w:rsid w:val="000F4D89"/>
    <w:rsid w:val="00105123"/>
    <w:rsid w:val="001217A2"/>
    <w:rsid w:val="0012471F"/>
    <w:rsid w:val="00136DF2"/>
    <w:rsid w:val="001518EF"/>
    <w:rsid w:val="00156807"/>
    <w:rsid w:val="00167E7E"/>
    <w:rsid w:val="00192F17"/>
    <w:rsid w:val="00197F9B"/>
    <w:rsid w:val="001A26C8"/>
    <w:rsid w:val="001B0795"/>
    <w:rsid w:val="001C313C"/>
    <w:rsid w:val="001D3B4A"/>
    <w:rsid w:val="001E057C"/>
    <w:rsid w:val="0020642D"/>
    <w:rsid w:val="00213C90"/>
    <w:rsid w:val="00214970"/>
    <w:rsid w:val="002151D3"/>
    <w:rsid w:val="0022000B"/>
    <w:rsid w:val="00250BDE"/>
    <w:rsid w:val="0025648A"/>
    <w:rsid w:val="002645F4"/>
    <w:rsid w:val="00271DDB"/>
    <w:rsid w:val="0027529B"/>
    <w:rsid w:val="002971CC"/>
    <w:rsid w:val="002A07C2"/>
    <w:rsid w:val="002C7E82"/>
    <w:rsid w:val="002D6E65"/>
    <w:rsid w:val="003044A7"/>
    <w:rsid w:val="0030452B"/>
    <w:rsid w:val="00304AD5"/>
    <w:rsid w:val="00313FF2"/>
    <w:rsid w:val="00314E20"/>
    <w:rsid w:val="003650DE"/>
    <w:rsid w:val="00365E5A"/>
    <w:rsid w:val="0037744F"/>
    <w:rsid w:val="003812B4"/>
    <w:rsid w:val="003834D0"/>
    <w:rsid w:val="003A451B"/>
    <w:rsid w:val="003A682A"/>
    <w:rsid w:val="003B4BC5"/>
    <w:rsid w:val="003D2813"/>
    <w:rsid w:val="003D5721"/>
    <w:rsid w:val="003D6FF3"/>
    <w:rsid w:val="00401EED"/>
    <w:rsid w:val="004270E8"/>
    <w:rsid w:val="0045372B"/>
    <w:rsid w:val="004648B2"/>
    <w:rsid w:val="004743C1"/>
    <w:rsid w:val="00496CF4"/>
    <w:rsid w:val="00496F28"/>
    <w:rsid w:val="004B4AB9"/>
    <w:rsid w:val="004B748F"/>
    <w:rsid w:val="004C6985"/>
    <w:rsid w:val="004D38F3"/>
    <w:rsid w:val="004E123B"/>
    <w:rsid w:val="004F0A06"/>
    <w:rsid w:val="00505D55"/>
    <w:rsid w:val="005130DA"/>
    <w:rsid w:val="00525F25"/>
    <w:rsid w:val="00531CEF"/>
    <w:rsid w:val="00546CA2"/>
    <w:rsid w:val="00551BA6"/>
    <w:rsid w:val="005716E4"/>
    <w:rsid w:val="00592BC3"/>
    <w:rsid w:val="005A214A"/>
    <w:rsid w:val="005B481E"/>
    <w:rsid w:val="005C0FFD"/>
    <w:rsid w:val="005C29FF"/>
    <w:rsid w:val="005E108F"/>
    <w:rsid w:val="005E751F"/>
    <w:rsid w:val="005F00A3"/>
    <w:rsid w:val="005F2CD0"/>
    <w:rsid w:val="005F4473"/>
    <w:rsid w:val="00617257"/>
    <w:rsid w:val="00624E57"/>
    <w:rsid w:val="0063406A"/>
    <w:rsid w:val="00645BF7"/>
    <w:rsid w:val="00646B30"/>
    <w:rsid w:val="00663FDA"/>
    <w:rsid w:val="006810D0"/>
    <w:rsid w:val="00682E42"/>
    <w:rsid w:val="006C0656"/>
    <w:rsid w:val="006C2F1B"/>
    <w:rsid w:val="006F02A3"/>
    <w:rsid w:val="0070422A"/>
    <w:rsid w:val="007062BD"/>
    <w:rsid w:val="0070697C"/>
    <w:rsid w:val="00727E8F"/>
    <w:rsid w:val="007320C7"/>
    <w:rsid w:val="00737F5F"/>
    <w:rsid w:val="007526CA"/>
    <w:rsid w:val="00780B44"/>
    <w:rsid w:val="00781EAE"/>
    <w:rsid w:val="00783B9A"/>
    <w:rsid w:val="00791695"/>
    <w:rsid w:val="007A0B76"/>
    <w:rsid w:val="007D6D7A"/>
    <w:rsid w:val="007E20A8"/>
    <w:rsid w:val="007F303C"/>
    <w:rsid w:val="007F32EB"/>
    <w:rsid w:val="008143F7"/>
    <w:rsid w:val="008161BC"/>
    <w:rsid w:val="00836777"/>
    <w:rsid w:val="00837084"/>
    <w:rsid w:val="00843153"/>
    <w:rsid w:val="00846554"/>
    <w:rsid w:val="00847D23"/>
    <w:rsid w:val="00856393"/>
    <w:rsid w:val="00862A2A"/>
    <w:rsid w:val="00871516"/>
    <w:rsid w:val="008949E2"/>
    <w:rsid w:val="00896405"/>
    <w:rsid w:val="008A36E4"/>
    <w:rsid w:val="008D346D"/>
    <w:rsid w:val="008F55F1"/>
    <w:rsid w:val="008F571E"/>
    <w:rsid w:val="00926D35"/>
    <w:rsid w:val="00926E80"/>
    <w:rsid w:val="009331D7"/>
    <w:rsid w:val="0093563D"/>
    <w:rsid w:val="00965D1A"/>
    <w:rsid w:val="009665F6"/>
    <w:rsid w:val="00972C12"/>
    <w:rsid w:val="00976869"/>
    <w:rsid w:val="00983E82"/>
    <w:rsid w:val="0098416A"/>
    <w:rsid w:val="00984E67"/>
    <w:rsid w:val="0098644B"/>
    <w:rsid w:val="009944E0"/>
    <w:rsid w:val="009962D5"/>
    <w:rsid w:val="009C152C"/>
    <w:rsid w:val="009D552B"/>
    <w:rsid w:val="009E7AE3"/>
    <w:rsid w:val="009F0949"/>
    <w:rsid w:val="009F4FD9"/>
    <w:rsid w:val="00A165B4"/>
    <w:rsid w:val="00A16FDE"/>
    <w:rsid w:val="00A3134B"/>
    <w:rsid w:val="00A34A97"/>
    <w:rsid w:val="00A358F1"/>
    <w:rsid w:val="00A53637"/>
    <w:rsid w:val="00A57FE9"/>
    <w:rsid w:val="00A80541"/>
    <w:rsid w:val="00A86C60"/>
    <w:rsid w:val="00AA101C"/>
    <w:rsid w:val="00AA1B45"/>
    <w:rsid w:val="00AA68B7"/>
    <w:rsid w:val="00AC228E"/>
    <w:rsid w:val="00AC5F17"/>
    <w:rsid w:val="00AE715E"/>
    <w:rsid w:val="00B64C8F"/>
    <w:rsid w:val="00B816D8"/>
    <w:rsid w:val="00B83122"/>
    <w:rsid w:val="00BA67C9"/>
    <w:rsid w:val="00BC1F72"/>
    <w:rsid w:val="00BE271B"/>
    <w:rsid w:val="00BE4C28"/>
    <w:rsid w:val="00BF404C"/>
    <w:rsid w:val="00C038D2"/>
    <w:rsid w:val="00C03BBE"/>
    <w:rsid w:val="00C04E7E"/>
    <w:rsid w:val="00C06C83"/>
    <w:rsid w:val="00C11B13"/>
    <w:rsid w:val="00C1396B"/>
    <w:rsid w:val="00C164E7"/>
    <w:rsid w:val="00C21B3D"/>
    <w:rsid w:val="00C26B4E"/>
    <w:rsid w:val="00C66F21"/>
    <w:rsid w:val="00C70FDA"/>
    <w:rsid w:val="00C845D0"/>
    <w:rsid w:val="00C862FD"/>
    <w:rsid w:val="00C94807"/>
    <w:rsid w:val="00CA2FF3"/>
    <w:rsid w:val="00CB65BC"/>
    <w:rsid w:val="00CB776D"/>
    <w:rsid w:val="00CE4191"/>
    <w:rsid w:val="00CF0089"/>
    <w:rsid w:val="00CF1A74"/>
    <w:rsid w:val="00CF754A"/>
    <w:rsid w:val="00D067AE"/>
    <w:rsid w:val="00D20847"/>
    <w:rsid w:val="00D225F8"/>
    <w:rsid w:val="00D34554"/>
    <w:rsid w:val="00D427DF"/>
    <w:rsid w:val="00D458FC"/>
    <w:rsid w:val="00D46941"/>
    <w:rsid w:val="00D55651"/>
    <w:rsid w:val="00D558E8"/>
    <w:rsid w:val="00D6479F"/>
    <w:rsid w:val="00D86CF6"/>
    <w:rsid w:val="00DA78A1"/>
    <w:rsid w:val="00DB1971"/>
    <w:rsid w:val="00DB2597"/>
    <w:rsid w:val="00DB55E6"/>
    <w:rsid w:val="00DB7A31"/>
    <w:rsid w:val="00DC37C8"/>
    <w:rsid w:val="00DC5B83"/>
    <w:rsid w:val="00DD30EB"/>
    <w:rsid w:val="00DD58C5"/>
    <w:rsid w:val="00DD7AE2"/>
    <w:rsid w:val="00DF4BDC"/>
    <w:rsid w:val="00E04907"/>
    <w:rsid w:val="00E076D0"/>
    <w:rsid w:val="00E16D1F"/>
    <w:rsid w:val="00E31899"/>
    <w:rsid w:val="00E329D9"/>
    <w:rsid w:val="00E3312F"/>
    <w:rsid w:val="00E523B2"/>
    <w:rsid w:val="00E6362E"/>
    <w:rsid w:val="00E64C10"/>
    <w:rsid w:val="00E66181"/>
    <w:rsid w:val="00E75FE0"/>
    <w:rsid w:val="00E8155F"/>
    <w:rsid w:val="00E87260"/>
    <w:rsid w:val="00E95AE1"/>
    <w:rsid w:val="00EA01B4"/>
    <w:rsid w:val="00EB7B15"/>
    <w:rsid w:val="00EF6470"/>
    <w:rsid w:val="00F009E5"/>
    <w:rsid w:val="00F02CBA"/>
    <w:rsid w:val="00F234F1"/>
    <w:rsid w:val="00F523DE"/>
    <w:rsid w:val="00F6391E"/>
    <w:rsid w:val="00F74B72"/>
    <w:rsid w:val="00F756C9"/>
    <w:rsid w:val="00F83516"/>
    <w:rsid w:val="00F91B2C"/>
    <w:rsid w:val="00F93906"/>
    <w:rsid w:val="00F95B21"/>
    <w:rsid w:val="00FA2453"/>
    <w:rsid w:val="00FA5AE1"/>
    <w:rsid w:val="00FC130A"/>
    <w:rsid w:val="00FE0DC8"/>
    <w:rsid w:val="00FF015A"/>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26B2"/>
  <w15:docId w15:val="{9766F9E3-E685-4668-BC0A-1FBEDEDA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756C9"/>
    <w:rPr>
      <w:color w:val="0000FF"/>
      <w:u w:val="single"/>
    </w:rPr>
  </w:style>
  <w:style w:type="paragraph" w:customStyle="1" w:styleId="DFARS">
    <w:name w:val="DFARS"/>
    <w:basedOn w:val="Normal"/>
    <w:link w:val="DFARSChar"/>
    <w:rsid w:val="00F756C9"/>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customStyle="1" w:styleId="style61">
    <w:name w:val="style61"/>
    <w:basedOn w:val="DefaultParagraphFont"/>
    <w:rsid w:val="00F756C9"/>
    <w:rPr>
      <w:color w:val="4F81BD"/>
    </w:rPr>
  </w:style>
  <w:style w:type="character" w:styleId="Emphasis">
    <w:name w:val="Emphasis"/>
    <w:basedOn w:val="DefaultParagraphFont"/>
    <w:uiPriority w:val="20"/>
    <w:qFormat/>
    <w:rsid w:val="00F756C9"/>
    <w:rPr>
      <w:i/>
      <w:iCs/>
    </w:rPr>
  </w:style>
  <w:style w:type="character" w:customStyle="1" w:styleId="DFARSChar">
    <w:name w:val="DFARS Char"/>
    <w:link w:val="DFARS"/>
    <w:rsid w:val="00E8155F"/>
    <w:rPr>
      <w:rFonts w:ascii="Century Schoolbook" w:eastAsia="Times New Roman" w:hAnsi="Century Schoolbook" w:cs="Times New Roman"/>
      <w:spacing w:val="-5"/>
      <w:kern w:val="20"/>
      <w:sz w:val="24"/>
      <w:szCs w:val="20"/>
    </w:rPr>
  </w:style>
  <w:style w:type="character" w:styleId="CommentReference">
    <w:name w:val="annotation reference"/>
    <w:basedOn w:val="DefaultParagraphFont"/>
    <w:uiPriority w:val="99"/>
    <w:semiHidden/>
    <w:unhideWhenUsed/>
    <w:rsid w:val="00E8155F"/>
    <w:rPr>
      <w:sz w:val="16"/>
      <w:szCs w:val="16"/>
    </w:rPr>
  </w:style>
  <w:style w:type="paragraph" w:styleId="CommentText">
    <w:name w:val="annotation text"/>
    <w:basedOn w:val="Normal"/>
    <w:link w:val="CommentTextChar"/>
    <w:uiPriority w:val="99"/>
    <w:semiHidden/>
    <w:unhideWhenUsed/>
    <w:rsid w:val="00E8155F"/>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E8155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81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55F"/>
    <w:rPr>
      <w:rFonts w:ascii="Tahoma" w:hAnsi="Tahoma" w:cs="Tahoma"/>
      <w:sz w:val="16"/>
      <w:szCs w:val="16"/>
    </w:rPr>
  </w:style>
  <w:style w:type="paragraph" w:customStyle="1" w:styleId="pbody">
    <w:name w:val="pbody"/>
    <w:basedOn w:val="Normal"/>
    <w:rsid w:val="00C06C83"/>
    <w:pPr>
      <w:spacing w:after="0" w:line="288" w:lineRule="auto"/>
      <w:ind w:firstLine="240"/>
    </w:pPr>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645F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45F4"/>
    <w:rPr>
      <w:rFonts w:ascii="Calibri" w:eastAsia="Times New Roman" w:hAnsi="Calibri" w:cs="Times New Roman"/>
      <w:b/>
      <w:bCs/>
      <w:sz w:val="20"/>
      <w:szCs w:val="20"/>
    </w:rPr>
  </w:style>
  <w:style w:type="paragraph" w:styleId="Header">
    <w:name w:val="header"/>
    <w:basedOn w:val="Normal"/>
    <w:link w:val="HeaderChar"/>
    <w:uiPriority w:val="99"/>
    <w:unhideWhenUsed/>
    <w:rsid w:val="00FA5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AE1"/>
  </w:style>
  <w:style w:type="paragraph" w:styleId="Footer">
    <w:name w:val="footer"/>
    <w:basedOn w:val="Normal"/>
    <w:link w:val="FooterChar"/>
    <w:uiPriority w:val="99"/>
    <w:unhideWhenUsed/>
    <w:rsid w:val="00FA5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AE1"/>
  </w:style>
  <w:style w:type="paragraph" w:styleId="FootnoteText">
    <w:name w:val="footnote text"/>
    <w:basedOn w:val="Normal"/>
    <w:link w:val="FootnoteTextChar"/>
    <w:uiPriority w:val="99"/>
    <w:semiHidden/>
    <w:unhideWhenUsed/>
    <w:rsid w:val="00C04E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E7E"/>
    <w:rPr>
      <w:sz w:val="20"/>
      <w:szCs w:val="20"/>
    </w:rPr>
  </w:style>
  <w:style w:type="character" w:styleId="FootnoteReference">
    <w:name w:val="footnote reference"/>
    <w:basedOn w:val="DefaultParagraphFont"/>
    <w:uiPriority w:val="99"/>
    <w:semiHidden/>
    <w:unhideWhenUsed/>
    <w:rsid w:val="00C04E7E"/>
    <w:rPr>
      <w:vertAlign w:val="superscript"/>
    </w:rPr>
  </w:style>
  <w:style w:type="character" w:styleId="LineNumber">
    <w:name w:val="line number"/>
    <w:basedOn w:val="DefaultParagraphFont"/>
    <w:uiPriority w:val="99"/>
    <w:semiHidden/>
    <w:unhideWhenUsed/>
    <w:rsid w:val="00645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22548">
      <w:bodyDiv w:val="1"/>
      <w:marLeft w:val="0"/>
      <w:marRight w:val="0"/>
      <w:marTop w:val="0"/>
      <w:marBottom w:val="0"/>
      <w:divBdr>
        <w:top w:val="none" w:sz="0" w:space="0" w:color="auto"/>
        <w:left w:val="none" w:sz="0" w:space="0" w:color="auto"/>
        <w:bottom w:val="none" w:sz="0" w:space="0" w:color="auto"/>
        <w:right w:val="none" w:sz="0" w:space="0" w:color="auto"/>
      </w:divBdr>
      <w:divsChild>
        <w:div w:id="1198280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942361">
      <w:bodyDiv w:val="1"/>
      <w:marLeft w:val="0"/>
      <w:marRight w:val="0"/>
      <w:marTop w:val="0"/>
      <w:marBottom w:val="0"/>
      <w:divBdr>
        <w:top w:val="none" w:sz="0" w:space="0" w:color="auto"/>
        <w:left w:val="none" w:sz="0" w:space="0" w:color="auto"/>
        <w:bottom w:val="none" w:sz="0" w:space="0" w:color="auto"/>
        <w:right w:val="none" w:sz="0" w:space="0" w:color="auto"/>
      </w:divBdr>
    </w:div>
    <w:div w:id="1458839615">
      <w:bodyDiv w:val="1"/>
      <w:marLeft w:val="0"/>
      <w:marRight w:val="0"/>
      <w:marTop w:val="0"/>
      <w:marBottom w:val="0"/>
      <w:divBdr>
        <w:top w:val="none" w:sz="0" w:space="0" w:color="auto"/>
        <w:left w:val="none" w:sz="0" w:space="0" w:color="auto"/>
        <w:bottom w:val="none" w:sz="0" w:space="0" w:color="auto"/>
        <w:right w:val="none" w:sz="0" w:space="0" w:color="auto"/>
      </w:divBdr>
    </w:div>
    <w:div w:id="1521772081">
      <w:bodyDiv w:val="1"/>
      <w:marLeft w:val="0"/>
      <w:marRight w:val="0"/>
      <w:marTop w:val="0"/>
      <w:marBottom w:val="0"/>
      <w:divBdr>
        <w:top w:val="none" w:sz="0" w:space="0" w:color="auto"/>
        <w:left w:val="none" w:sz="0" w:space="0" w:color="auto"/>
        <w:bottom w:val="none" w:sz="0" w:space="0" w:color="auto"/>
        <w:right w:val="none" w:sz="0" w:space="0" w:color="auto"/>
      </w:divBdr>
    </w:div>
    <w:div w:id="172039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q.osd.mil/dpap/dars/dfars/html/current/208_73.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60EB1-E7A6-455F-88B9-54529088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Marylee Renna</dc:creator>
  <cp:lastModifiedBy>Johnson, Jennifer D CIV OSD OUSD A-S (USA)</cp:lastModifiedBy>
  <cp:revision>19</cp:revision>
  <cp:lastPrinted>2016-03-23T15:08:00Z</cp:lastPrinted>
  <dcterms:created xsi:type="dcterms:W3CDTF">2016-04-12T18:07:00Z</dcterms:created>
  <dcterms:modified xsi:type="dcterms:W3CDTF">2021-04-30T20:18:00Z</dcterms:modified>
</cp:coreProperties>
</file>