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E61D7" w:rsidR="00CB583F" w:rsidP="00CB583F" w:rsidRDefault="00CB583F">
      <w:pPr>
        <w:pStyle w:val="Heading1"/>
        <w:keepNext w:val="0"/>
        <w:keepLines w:val="0"/>
        <w:spacing w:before="0" w:after="0" w:line="240" w:lineRule="auto"/>
        <w:jc w:val="center"/>
        <w:rPr>
          <w:rFonts w:ascii="Times New Roman" w:hAnsi="Times New Roman" w:cs="Times New Roman"/>
          <w:b/>
          <w:sz w:val="24"/>
          <w:szCs w:val="24"/>
        </w:rPr>
      </w:pPr>
      <w:bookmarkStart w:name="_jb492r6ik0nj" w:colFirst="0" w:colLast="0" w:id="0"/>
      <w:bookmarkEnd w:id="0"/>
      <w:r w:rsidRPr="00342723">
        <w:rPr>
          <w:rFonts w:ascii="Times New Roman" w:hAnsi="Times New Roman" w:cs="Times New Roman"/>
          <w:b/>
          <w:sz w:val="24"/>
          <w:szCs w:val="24"/>
        </w:rPr>
        <w:t>SUPPORTING STATEMENT</w:t>
      </w:r>
    </w:p>
    <w:p w:rsidRPr="00342723" w:rsidR="00CB583F" w:rsidP="00CB583F" w:rsidRDefault="00CB583F">
      <w:pPr>
        <w:spacing w:line="240" w:lineRule="auto"/>
        <w:ind w:firstLine="20"/>
        <w:jc w:val="center"/>
        <w:rPr>
          <w:rFonts w:ascii="Times New Roman" w:hAnsi="Times New Roman" w:cs="Times New Roman"/>
          <w:b/>
          <w:sz w:val="24"/>
          <w:szCs w:val="24"/>
        </w:rPr>
      </w:pPr>
      <w:r w:rsidRPr="00342723">
        <w:rPr>
          <w:rFonts w:ascii="Times New Roman" w:hAnsi="Times New Roman" w:cs="Times New Roman"/>
          <w:b/>
          <w:sz w:val="24"/>
          <w:szCs w:val="24"/>
        </w:rPr>
        <w:t>U.S. Department of Commerce</w:t>
      </w:r>
    </w:p>
    <w:p w:rsidRPr="00342723" w:rsidR="00CB583F" w:rsidP="00CB583F" w:rsidRDefault="00CB583F">
      <w:pPr>
        <w:spacing w:line="240" w:lineRule="auto"/>
        <w:ind w:firstLine="20"/>
        <w:jc w:val="center"/>
        <w:rPr>
          <w:rFonts w:ascii="Times New Roman" w:hAnsi="Times New Roman" w:cs="Times New Roman"/>
          <w:b/>
          <w:sz w:val="24"/>
          <w:szCs w:val="24"/>
        </w:rPr>
      </w:pPr>
      <w:r w:rsidRPr="00342723">
        <w:rPr>
          <w:rFonts w:ascii="Times New Roman" w:hAnsi="Times New Roman" w:cs="Times New Roman"/>
          <w:b/>
          <w:sz w:val="24"/>
          <w:szCs w:val="24"/>
        </w:rPr>
        <w:t>National Oceanic and Atmospheric Administration</w:t>
      </w:r>
    </w:p>
    <w:p w:rsidRPr="00342723" w:rsidR="00CB583F" w:rsidP="00CB583F" w:rsidRDefault="00CB583F">
      <w:pPr>
        <w:spacing w:line="240" w:lineRule="auto"/>
        <w:jc w:val="center"/>
        <w:rPr>
          <w:rFonts w:ascii="Times New Roman" w:hAnsi="Times New Roman" w:cs="Times New Roman"/>
          <w:b/>
          <w:sz w:val="24"/>
          <w:szCs w:val="24"/>
        </w:rPr>
      </w:pPr>
      <w:r w:rsidRPr="00342723">
        <w:rPr>
          <w:rFonts w:ascii="Times New Roman" w:hAnsi="Times New Roman" w:cs="Times New Roman"/>
          <w:b/>
          <w:color w:val="000000"/>
          <w:sz w:val="24"/>
          <w:szCs w:val="24"/>
          <w:shd w:val="clear" w:color="auto" w:fill="FFFFFF"/>
        </w:rPr>
        <w:t>Gear-Marking Requirement for Atlantic Large Whale Take Reduction Plan</w:t>
      </w:r>
    </w:p>
    <w:p w:rsidRPr="00CB583F" w:rsidR="00447C1F" w:rsidP="00CB583F" w:rsidRDefault="00CB583F">
      <w:pPr>
        <w:spacing w:line="240" w:lineRule="auto"/>
        <w:jc w:val="center"/>
        <w:rPr>
          <w:rFonts w:ascii="Times New Roman" w:hAnsi="Times New Roman" w:cs="Times New Roman"/>
          <w:b/>
          <w:sz w:val="24"/>
          <w:szCs w:val="24"/>
        </w:rPr>
      </w:pPr>
      <w:r w:rsidRPr="00342723">
        <w:rPr>
          <w:rFonts w:ascii="Times New Roman" w:hAnsi="Times New Roman" w:cs="Times New Roman"/>
          <w:b/>
          <w:sz w:val="24"/>
          <w:szCs w:val="24"/>
        </w:rPr>
        <w:t>OMB Control No. 0648-0364</w:t>
      </w:r>
    </w:p>
    <w:p w:rsidR="00447C1F" w:rsidRDefault="00447C1F">
      <w:pPr>
        <w:spacing w:line="240" w:lineRule="auto"/>
        <w:rPr>
          <w:rFonts w:ascii="Times New Roman" w:hAnsi="Times New Roman" w:eastAsia="Times New Roman" w:cs="Times New Roman"/>
          <w:b/>
          <w:color w:val="1F497D"/>
        </w:rPr>
      </w:pPr>
    </w:p>
    <w:p w:rsidRPr="00CB583F" w:rsidR="00447C1F" w:rsidRDefault="003365D0">
      <w:pPr>
        <w:spacing w:line="240" w:lineRule="auto"/>
        <w:rPr>
          <w:rFonts w:ascii="Times New Roman" w:hAnsi="Times New Roman" w:eastAsia="Times New Roman" w:cs="Times New Roman"/>
          <w:b/>
          <w:sz w:val="24"/>
          <w:szCs w:val="24"/>
        </w:rPr>
      </w:pPr>
      <w:r w:rsidRPr="00CB583F">
        <w:rPr>
          <w:rFonts w:ascii="Times New Roman" w:hAnsi="Times New Roman" w:eastAsia="Times New Roman" w:cs="Times New Roman"/>
          <w:b/>
          <w:sz w:val="24"/>
          <w:szCs w:val="24"/>
        </w:rPr>
        <w:t>Abstract</w:t>
      </w:r>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21D81" w:rsidP="00621D81" w:rsidRDefault="00621D81">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NMFS is amending the existing gear marking regulations in Northeast Region Trap/Pot Management Area (northeast region) commercial trap/pot fisheries pursuant to RIN 0648-BJ09 because increased gear marking is necessary to improve our understanding of where entanglement incidents occur.  The goal of this revision is to improve information on entanglement origins that will further enable NMFS to reduce injuries and deaths of large whales, especially North Atlantic right whales, due to incidental entanglement in United States commercial fishing gear.  </w:t>
      </w:r>
    </w:p>
    <w:p w:rsidR="00621D81" w:rsidRDefault="00621D81">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 1996, pursuant to section 118 of the MMPA, the National Marine Fisheries Service (NMFS) established and convened an Atlantic Large Whale Take Reduction Team (Team) to assist in the development of the Atlantic Large Whale Take Reduction Plan (Plan).  Throughout this process, the Team has provided NMFS with recommended measures designed to reduce serious injury and mortality to North Atlantic right (</w:t>
      </w:r>
      <w:proofErr w:type="spellStart"/>
      <w:r>
        <w:rPr>
          <w:rFonts w:ascii="Times New Roman" w:hAnsi="Times New Roman" w:eastAsia="Times New Roman" w:cs="Times New Roman"/>
          <w:i/>
          <w:sz w:val="24"/>
          <w:szCs w:val="24"/>
        </w:rPr>
        <w:t>Eubalaena</w:t>
      </w:r>
      <w:proofErr w:type="spellEnd"/>
      <w:r>
        <w:rPr>
          <w:rFonts w:ascii="Times New Roman" w:hAnsi="Times New Roman" w:eastAsia="Times New Roman" w:cs="Times New Roman"/>
          <w:i/>
          <w:sz w:val="24"/>
          <w:szCs w:val="24"/>
        </w:rPr>
        <w:t xml:space="preserve"> </w:t>
      </w:r>
      <w:proofErr w:type="spellStart"/>
      <w:r>
        <w:rPr>
          <w:rFonts w:ascii="Times New Roman" w:hAnsi="Times New Roman" w:eastAsia="Times New Roman" w:cs="Times New Roman"/>
          <w:i/>
          <w:sz w:val="24"/>
          <w:szCs w:val="24"/>
        </w:rPr>
        <w:t>glacialis</w:t>
      </w:r>
      <w:proofErr w:type="spellEnd"/>
      <w:r>
        <w:rPr>
          <w:rFonts w:ascii="Times New Roman" w:hAnsi="Times New Roman" w:eastAsia="Times New Roman" w:cs="Times New Roman"/>
          <w:sz w:val="24"/>
          <w:szCs w:val="24"/>
        </w:rPr>
        <w:t xml:space="preserve">), humpback </w:t>
      </w:r>
      <w:r>
        <w:rPr>
          <w:rFonts w:ascii="Times New Roman" w:hAnsi="Times New Roman" w:eastAsia="Times New Roman" w:cs="Times New Roman"/>
          <w:i/>
          <w:sz w:val="24"/>
          <w:szCs w:val="24"/>
        </w:rPr>
        <w:t>(</w:t>
      </w:r>
      <w:proofErr w:type="spellStart"/>
      <w:r>
        <w:rPr>
          <w:rFonts w:ascii="Times New Roman" w:hAnsi="Times New Roman" w:eastAsia="Times New Roman" w:cs="Times New Roman"/>
          <w:i/>
          <w:sz w:val="24"/>
          <w:szCs w:val="24"/>
        </w:rPr>
        <w:t>Megaptera</w:t>
      </w:r>
      <w:proofErr w:type="spellEnd"/>
      <w:r>
        <w:rPr>
          <w:rFonts w:ascii="Times New Roman" w:hAnsi="Times New Roman" w:eastAsia="Times New Roman" w:cs="Times New Roman"/>
          <w:i/>
          <w:sz w:val="24"/>
          <w:szCs w:val="24"/>
        </w:rPr>
        <w:t xml:space="preserve"> </w:t>
      </w:r>
      <w:proofErr w:type="spellStart"/>
      <w:r>
        <w:rPr>
          <w:rFonts w:ascii="Times New Roman" w:hAnsi="Times New Roman" w:eastAsia="Times New Roman" w:cs="Times New Roman"/>
          <w:i/>
          <w:sz w:val="24"/>
          <w:szCs w:val="24"/>
        </w:rPr>
        <w:t>novaeangliae</w:t>
      </w:r>
      <w:proofErr w:type="spellEnd"/>
      <w:r>
        <w:rPr>
          <w:rFonts w:ascii="Times New Roman" w:hAnsi="Times New Roman" w:eastAsia="Times New Roman" w:cs="Times New Roman"/>
          <w:sz w:val="24"/>
          <w:szCs w:val="24"/>
        </w:rPr>
        <w:t>), minke (</w:t>
      </w:r>
      <w:proofErr w:type="spellStart"/>
      <w:r>
        <w:rPr>
          <w:rFonts w:ascii="Times New Roman" w:hAnsi="Times New Roman" w:eastAsia="Times New Roman" w:cs="Times New Roman"/>
          <w:i/>
          <w:sz w:val="24"/>
          <w:szCs w:val="24"/>
        </w:rPr>
        <w:t>Balaenoptera</w:t>
      </w:r>
      <w:proofErr w:type="spellEnd"/>
      <w:r>
        <w:rPr>
          <w:rFonts w:ascii="Times New Roman" w:hAnsi="Times New Roman" w:eastAsia="Times New Roman" w:cs="Times New Roman"/>
          <w:i/>
          <w:sz w:val="24"/>
          <w:szCs w:val="24"/>
        </w:rPr>
        <w:t xml:space="preserve"> </w:t>
      </w:r>
      <w:proofErr w:type="spellStart"/>
      <w:r>
        <w:rPr>
          <w:rFonts w:ascii="Times New Roman" w:hAnsi="Times New Roman" w:eastAsia="Times New Roman" w:cs="Times New Roman"/>
          <w:i/>
          <w:sz w:val="24"/>
          <w:szCs w:val="24"/>
        </w:rPr>
        <w:t>acutorostrata</w:t>
      </w:r>
      <w:proofErr w:type="spellEnd"/>
      <w:r>
        <w:rPr>
          <w:rFonts w:ascii="Times New Roman" w:hAnsi="Times New Roman" w:eastAsia="Times New Roman" w:cs="Times New Roman"/>
          <w:sz w:val="24"/>
          <w:szCs w:val="24"/>
        </w:rPr>
        <w:t>), and fin (</w:t>
      </w:r>
      <w:proofErr w:type="spellStart"/>
      <w:r>
        <w:rPr>
          <w:rFonts w:ascii="Times New Roman" w:hAnsi="Times New Roman" w:eastAsia="Times New Roman" w:cs="Times New Roman"/>
          <w:i/>
          <w:sz w:val="24"/>
          <w:szCs w:val="24"/>
        </w:rPr>
        <w:t>Balaenoptera</w:t>
      </w:r>
      <w:proofErr w:type="spellEnd"/>
      <w:r>
        <w:rPr>
          <w:rFonts w:ascii="Times New Roman" w:hAnsi="Times New Roman" w:eastAsia="Times New Roman" w:cs="Times New Roman"/>
          <w:i/>
          <w:sz w:val="24"/>
          <w:szCs w:val="24"/>
        </w:rPr>
        <w:t xml:space="preserve"> </w:t>
      </w:r>
      <w:proofErr w:type="spellStart"/>
      <w:r>
        <w:rPr>
          <w:rFonts w:ascii="Times New Roman" w:hAnsi="Times New Roman" w:eastAsia="Times New Roman" w:cs="Times New Roman"/>
          <w:i/>
          <w:sz w:val="24"/>
          <w:szCs w:val="24"/>
        </w:rPr>
        <w:t>physalus</w:t>
      </w:r>
      <w:proofErr w:type="spellEnd"/>
      <w:r>
        <w:rPr>
          <w:rFonts w:ascii="Times New Roman" w:hAnsi="Times New Roman" w:eastAsia="Times New Roman" w:cs="Times New Roman"/>
          <w:sz w:val="24"/>
          <w:szCs w:val="24"/>
        </w:rPr>
        <w:t xml:space="preserve">) whales from incidental interactions with commercial fishing gear.  To gather information on entanglements, the Team developed gear marking requirements.  As a result, any person setting trap/pot or gillnet gear to fish commercially in some areas of the Atlantic Ocean are required to paint or otherwise mark their gear with specific color codes, designating the type of gear and area where it is set, as well as buoy marking requirements. </w:t>
      </w:r>
    </w:p>
    <w:p w:rsidR="00447C1F" w:rsidRDefault="00447C1F">
      <w:pPr>
        <w:spacing w:line="240" w:lineRule="auto"/>
        <w:rPr>
          <w:rFonts w:ascii="Times New Roman" w:hAnsi="Times New Roman" w:eastAsia="Times New Roman" w:cs="Times New Roman"/>
          <w:sz w:val="24"/>
          <w:szCs w:val="24"/>
        </w:rPr>
      </w:pP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b/>
        </w:rPr>
      </w:pPr>
      <w:r>
        <w:rPr>
          <w:rFonts w:ascii="Times New Roman" w:hAnsi="Times New Roman" w:eastAsia="Times New Roman" w:cs="Times New Roman"/>
          <w:b/>
        </w:rPr>
        <w:t>Justification</w:t>
      </w:r>
    </w:p>
    <w:p w:rsidRPr="00621D81" w:rsidR="00447C1F" w:rsidRDefault="00447C1F">
      <w:pPr>
        <w:spacing w:line="240" w:lineRule="auto"/>
        <w:rPr>
          <w:rFonts w:ascii="Times New Roman" w:hAnsi="Times New Roman" w:eastAsia="Times New Roman" w:cs="Times New Roman"/>
          <w:b/>
          <w:sz w:val="24"/>
          <w:szCs w:val="24"/>
        </w:rPr>
      </w:pPr>
    </w:p>
    <w:p w:rsidR="00447C1F" w:rsidRDefault="003365D0">
      <w:pPr>
        <w:spacing w:line="240" w:lineRule="auto"/>
        <w:rPr>
          <w:rFonts w:ascii="Times New Roman" w:hAnsi="Times New Roman" w:eastAsia="Times New Roman" w:cs="Times New Roman"/>
          <w:b/>
          <w:color w:val="2F5496"/>
          <w:u w:val="single"/>
        </w:rPr>
      </w:pPr>
      <w:r>
        <w:rPr>
          <w:rFonts w:ascii="Times New Roman" w:hAnsi="Times New Roman" w:eastAsia="Times New Roman" w:cs="Times New Roman"/>
          <w:b/>
        </w:rPr>
        <w:t>1.</w:t>
      </w:r>
      <w:r>
        <w:rPr>
          <w:rFonts w:ascii="Times New Roman" w:hAnsi="Times New Roman" w:eastAsia="Times New Roman" w:cs="Times New Roman"/>
          <w:sz w:val="14"/>
          <w:szCs w:val="14"/>
        </w:rPr>
        <w:tab/>
      </w:r>
      <w:r>
        <w:rPr>
          <w:rFonts w:ascii="Times New Roman" w:hAnsi="Times New Roman" w:eastAsia="Times New Roman" w:cs="Times New Roman"/>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As noted above, in 1996, pursuant to section 118 of the MMPA, NMFS established and convened the Team to assist in the development of the Take Reduction Plan.  During this process, the Team provided NMFS with recommended measures designed to reduce serious injury and mortality to North Atlantic right (</w:t>
      </w:r>
      <w:proofErr w:type="spellStart"/>
      <w:r>
        <w:rPr>
          <w:rFonts w:ascii="Times New Roman" w:hAnsi="Times New Roman" w:eastAsia="Times New Roman" w:cs="Times New Roman"/>
          <w:i/>
          <w:sz w:val="24"/>
          <w:szCs w:val="24"/>
        </w:rPr>
        <w:t>Eubalaena</w:t>
      </w:r>
      <w:proofErr w:type="spellEnd"/>
      <w:r>
        <w:rPr>
          <w:rFonts w:ascii="Times New Roman" w:hAnsi="Times New Roman" w:eastAsia="Times New Roman" w:cs="Times New Roman"/>
          <w:i/>
          <w:sz w:val="24"/>
          <w:szCs w:val="24"/>
        </w:rPr>
        <w:t xml:space="preserve"> </w:t>
      </w:r>
      <w:proofErr w:type="spellStart"/>
      <w:r>
        <w:rPr>
          <w:rFonts w:ascii="Times New Roman" w:hAnsi="Times New Roman" w:eastAsia="Times New Roman" w:cs="Times New Roman"/>
          <w:i/>
          <w:sz w:val="24"/>
          <w:szCs w:val="24"/>
        </w:rPr>
        <w:t>glacialis</w:t>
      </w:r>
      <w:proofErr w:type="spellEnd"/>
      <w:r>
        <w:rPr>
          <w:rFonts w:ascii="Times New Roman" w:hAnsi="Times New Roman" w:eastAsia="Times New Roman" w:cs="Times New Roman"/>
          <w:sz w:val="24"/>
          <w:szCs w:val="24"/>
        </w:rPr>
        <w:t>), humpback (</w:t>
      </w:r>
      <w:proofErr w:type="spellStart"/>
      <w:r>
        <w:rPr>
          <w:rFonts w:ascii="Times New Roman" w:hAnsi="Times New Roman" w:eastAsia="Times New Roman" w:cs="Times New Roman"/>
          <w:i/>
          <w:sz w:val="24"/>
          <w:szCs w:val="24"/>
        </w:rPr>
        <w:t>Megaptera</w:t>
      </w:r>
      <w:proofErr w:type="spellEnd"/>
      <w:r>
        <w:rPr>
          <w:rFonts w:ascii="Times New Roman" w:hAnsi="Times New Roman" w:eastAsia="Times New Roman" w:cs="Times New Roman"/>
          <w:i/>
          <w:sz w:val="24"/>
          <w:szCs w:val="24"/>
        </w:rPr>
        <w:t xml:space="preserve"> </w:t>
      </w:r>
      <w:proofErr w:type="spellStart"/>
      <w:r>
        <w:rPr>
          <w:rFonts w:ascii="Times New Roman" w:hAnsi="Times New Roman" w:eastAsia="Times New Roman" w:cs="Times New Roman"/>
          <w:i/>
          <w:sz w:val="24"/>
          <w:szCs w:val="24"/>
        </w:rPr>
        <w:t>novaeangliae</w:t>
      </w:r>
      <w:proofErr w:type="spellEnd"/>
      <w:r>
        <w:rPr>
          <w:rFonts w:ascii="Times New Roman" w:hAnsi="Times New Roman" w:eastAsia="Times New Roman" w:cs="Times New Roman"/>
          <w:sz w:val="24"/>
          <w:szCs w:val="24"/>
        </w:rPr>
        <w:t>), minke (</w:t>
      </w:r>
      <w:proofErr w:type="spellStart"/>
      <w:r>
        <w:rPr>
          <w:rFonts w:ascii="Times New Roman" w:hAnsi="Times New Roman" w:eastAsia="Times New Roman" w:cs="Times New Roman"/>
          <w:i/>
          <w:sz w:val="24"/>
          <w:szCs w:val="24"/>
        </w:rPr>
        <w:t>Balaenoptera</w:t>
      </w:r>
      <w:proofErr w:type="spellEnd"/>
      <w:r>
        <w:rPr>
          <w:rFonts w:ascii="Times New Roman" w:hAnsi="Times New Roman" w:eastAsia="Times New Roman" w:cs="Times New Roman"/>
          <w:i/>
          <w:sz w:val="24"/>
          <w:szCs w:val="24"/>
        </w:rPr>
        <w:t xml:space="preserve"> </w:t>
      </w:r>
      <w:proofErr w:type="spellStart"/>
      <w:r>
        <w:rPr>
          <w:rFonts w:ascii="Times New Roman" w:hAnsi="Times New Roman" w:eastAsia="Times New Roman" w:cs="Times New Roman"/>
          <w:i/>
          <w:sz w:val="24"/>
          <w:szCs w:val="24"/>
        </w:rPr>
        <w:t>acutorostrata</w:t>
      </w:r>
      <w:proofErr w:type="spellEnd"/>
      <w:r>
        <w:rPr>
          <w:rFonts w:ascii="Times New Roman" w:hAnsi="Times New Roman" w:eastAsia="Times New Roman" w:cs="Times New Roman"/>
          <w:sz w:val="24"/>
          <w:szCs w:val="24"/>
        </w:rPr>
        <w:t>), and fin (</w:t>
      </w:r>
      <w:proofErr w:type="spellStart"/>
      <w:r>
        <w:rPr>
          <w:rFonts w:ascii="Times New Roman" w:hAnsi="Times New Roman" w:eastAsia="Times New Roman" w:cs="Times New Roman"/>
          <w:i/>
          <w:sz w:val="24"/>
          <w:szCs w:val="24"/>
        </w:rPr>
        <w:t>Balaenoptera</w:t>
      </w:r>
      <w:proofErr w:type="spellEnd"/>
      <w:r>
        <w:rPr>
          <w:rFonts w:ascii="Times New Roman" w:hAnsi="Times New Roman" w:eastAsia="Times New Roman" w:cs="Times New Roman"/>
          <w:i/>
          <w:sz w:val="24"/>
          <w:szCs w:val="24"/>
        </w:rPr>
        <w:t xml:space="preserve"> </w:t>
      </w:r>
      <w:proofErr w:type="spellStart"/>
      <w:r>
        <w:rPr>
          <w:rFonts w:ascii="Times New Roman" w:hAnsi="Times New Roman" w:eastAsia="Times New Roman" w:cs="Times New Roman"/>
          <w:i/>
          <w:sz w:val="24"/>
          <w:szCs w:val="24"/>
        </w:rPr>
        <w:t>physalus</w:t>
      </w:r>
      <w:proofErr w:type="spellEnd"/>
      <w:r>
        <w:rPr>
          <w:rFonts w:ascii="Times New Roman" w:hAnsi="Times New Roman" w:eastAsia="Times New Roman" w:cs="Times New Roman"/>
          <w:sz w:val="24"/>
          <w:szCs w:val="24"/>
        </w:rPr>
        <w:t xml:space="preserve">) whales from incidental interactions with commercial fishing gear.  To address the continued entanglement of large whales in commercial fishing gear, NMFS has reconvened the Team several times and modified the Plan to include additional measures to gain information on the source of entanglements and to reduce serious injury and mortality from entanglement, including amendments in 2007 (72 FR 57104 which amended 50 CFR 229, 50 CFR 635 and 50 CFR 648) and in 2014 (79 FR 38586 modification to 50 CFR 229).  Modifications included requirements to </w:t>
      </w:r>
      <w:r>
        <w:rPr>
          <w:rFonts w:ascii="Times New Roman" w:hAnsi="Times New Roman" w:eastAsia="Times New Roman" w:cs="Times New Roman"/>
          <w:sz w:val="24"/>
          <w:szCs w:val="24"/>
        </w:rPr>
        <w:lastRenderedPageBreak/>
        <w:t>mark fishing gear to collect important information on the type of gear involved in the incidental mortality and serious injury of entangled whales.  Specifically, fishers are required to mark surface buoys to identify the vessel registration number, vessel documentation number, Federal permit number, or whatever positive identification marking is required by the vessel’s homeport state.  The rope in vertical buoy lines must also be marked; generally requiring three one-foot (30.5 cm) marks within the top, middle, and bottom of the rope.  Large areas have been exempted from the buoy line marking requirements, primarily in state waters.</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NMFS proposed to amend the regulations </w:t>
      </w:r>
      <w:r w:rsidR="00621D81">
        <w:rPr>
          <w:rFonts w:ascii="Times New Roman" w:hAnsi="Times New Roman" w:eastAsia="Times New Roman" w:cs="Times New Roman"/>
          <w:sz w:val="24"/>
          <w:szCs w:val="24"/>
        </w:rPr>
        <w:t xml:space="preserve">in order </w:t>
      </w:r>
      <w:r>
        <w:rPr>
          <w:rFonts w:ascii="Times New Roman" w:hAnsi="Times New Roman" w:eastAsia="Times New Roman" w:cs="Times New Roman"/>
          <w:sz w:val="24"/>
          <w:szCs w:val="24"/>
        </w:rPr>
        <w:t>to reduce the incidental mortality and serious injury to large whales in Northeast Region Trap/Pot Management Area commercial trap/pot fisheries to meet the goals of the Marine Mammal Protection Act (MMPA) and the Endangered Species Act (ESA).  The proposed changes involve a combination of fishing gear modifications and seasonal area buoy line closures aimed at reducing the risk that large whales will be killed or seriously injured as a result of entanglement in U.S. commercial fishing gear.  Increasing gear marking to improve our understanding of where entanglement incidents occur is also necessary.  When entangling gear is present on a whale, it is not always retrieved, and when gear is retrieved, it cannot always be identified to fishery or location.  The Team discussed measures to increase visibility of marks from vessels and airplanes as well as requiring marks in all waters including those currently exempt.  State-specific gear marking which would provide more resolution than current gear marking was also discussed.  Although the Team did not recommend a specific gear marking amplification scheme there was strong support efforts to expand gear marking to further improve efforts to determine entanglement location.</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gear marking modifications include the entire Northeast Region Trap/Pot Management Area (Northeast Region) from the coast through the </w:t>
      </w:r>
      <w:r w:rsidR="00621D81">
        <w:rPr>
          <w:rFonts w:ascii="Times New Roman" w:hAnsi="Times New Roman" w:eastAsia="Times New Roman" w:cs="Times New Roman"/>
          <w:sz w:val="24"/>
          <w:szCs w:val="24"/>
        </w:rPr>
        <w:t>Exclusive Economic Zone (</w:t>
      </w:r>
      <w:r>
        <w:rPr>
          <w:rFonts w:ascii="Times New Roman" w:hAnsi="Times New Roman" w:eastAsia="Times New Roman" w:cs="Times New Roman"/>
          <w:sz w:val="24"/>
          <w:szCs w:val="24"/>
        </w:rPr>
        <w:t>EEZ</w:t>
      </w:r>
      <w:r w:rsidR="00621D81">
        <w:rPr>
          <w:rFonts w:ascii="Times New Roman" w:hAnsi="Times New Roman" w:eastAsia="Times New Roman" w:cs="Times New Roman"/>
          <w:sz w:val="24"/>
          <w:szCs w:val="24"/>
        </w:rPr>
        <w:t>)</w:t>
      </w:r>
      <w:r>
        <w:rPr>
          <w:rFonts w:ascii="Times New Roman" w:hAnsi="Times New Roman" w:eastAsia="Times New Roman" w:cs="Times New Roman"/>
          <w:sz w:val="24"/>
          <w:szCs w:val="24"/>
        </w:rPr>
        <w:t>, including waters currently exempted from gear marking requirements and would add state-specific color markings to lobster and crab trap/pot fisheries in the Northeast Region.  A large three-foot (91 cm) mark would be required in the surface system within the top two fathoms (60.96 cm) of the buoy in state and federal waters.  At least two additional 12-inch marks would be required in state waters (top and bottom) and at least three 12-inch marks at the top, middle and bottom of the buoy line in federal waters.  Gear set in lobster management area 3 (LMA3) would continue to use black gear marks as their primary area mark.  Vessels permitted by and with a principal port designated as Maine would use purple, New Hampshire’s color is yellow, Massachusetts is red, and Rhode Island is gray/silver.  Additionally, to designate Federal waters of the Northeast Region, a one-foot (30.5 cm) green mark is required within six inches (15.25 cm) of each state or LMA3 specific mark (at least four in total).  Each color code must be permanently affixed on or along the line, and each color code must be clearly visible when the gear is hauled or removed from the water.  A solid mark applied by dye, paint, or tape will be required for the surface system marks, and colored ties and twine can be used within the main buoy lines and are the most common gear marking methods used.  Vessels permitted to land lobster in Maine are already required to mark their ropes using a similar gear marking scheme (Maine Division of Marine Resources, Chapter 75.02).  Because their gear marking was done in anticipation of Federal rulemaking, and because Federal rules will regulate all but Maine exempted waters, these vessels are included in the cost analysis which is a change from when the rule was first proposed on December 31, 2021 and Maine markings were not considered in the cost estimates.</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Comments were received during a 60-day public comment window on the Draft Environmental Impact Statement for the associated rule, Modification of the Atlantic Large Whale Take Reduction Plan, on Regulations.gov. Over 100,000 total comments were received on the DEIS, with 118 of 1067 unique commenters weighing in regarding the gear marking requirements.  One non-profit advocacy group also included gear marking in their template response.  Comments ranged from those supporting more detailed or more frequent markings including concerns related to concern for fishermen on the amount of time and cost of implementing a new marking scheme.  Massachusetts fishery managers also relayed concerns that the proposed marking schemes did not sufficiently distinguish between </w:t>
      </w:r>
      <w:proofErr w:type="gramStart"/>
      <w:r>
        <w:rPr>
          <w:rFonts w:ascii="Times New Roman" w:hAnsi="Times New Roman" w:eastAsia="Times New Roman" w:cs="Times New Roman"/>
          <w:sz w:val="24"/>
          <w:szCs w:val="24"/>
        </w:rPr>
        <w:t>gear</w:t>
      </w:r>
      <w:proofErr w:type="gramEnd"/>
      <w:r>
        <w:rPr>
          <w:rFonts w:ascii="Times New Roman" w:hAnsi="Times New Roman" w:eastAsia="Times New Roman" w:cs="Times New Roman"/>
          <w:sz w:val="24"/>
          <w:szCs w:val="24"/>
        </w:rPr>
        <w:t xml:space="preserve"> fished in state waters from gear fished in federal waters.  Details on all the comments received can be found in the preamble to the Final rule and in Appendix 1.1 of the proposed rule. After reviewing these comments, the gear marking scheme has been revised and is outlined in the table below.</w:t>
      </w:r>
    </w:p>
    <w:p w:rsidR="00447C1F" w:rsidRDefault="00447C1F">
      <w:pPr>
        <w:spacing w:line="240" w:lineRule="auto"/>
        <w:rPr>
          <w:rFonts w:ascii="Times New Roman" w:hAnsi="Times New Roman" w:eastAsia="Times New Roman" w:cs="Times New Roman"/>
          <w:sz w:val="24"/>
          <w:szCs w:val="24"/>
        </w:rPr>
      </w:pPr>
    </w:p>
    <w:p w:rsidR="00447C1F" w:rsidRDefault="003365D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Additionally, the final rule </w:t>
      </w:r>
      <w:r w:rsidR="00CB583F">
        <w:rPr>
          <w:rFonts w:ascii="Times New Roman" w:hAnsi="Times New Roman" w:eastAsia="Times New Roman" w:cs="Times New Roman"/>
          <w:sz w:val="24"/>
          <w:szCs w:val="24"/>
        </w:rPr>
        <w:t xml:space="preserve">(RIN 0648-BJ09) </w:t>
      </w:r>
      <w:r>
        <w:rPr>
          <w:rFonts w:ascii="Times New Roman" w:hAnsi="Times New Roman" w:eastAsia="Times New Roman" w:cs="Times New Roman"/>
          <w:sz w:val="24"/>
          <w:szCs w:val="24"/>
        </w:rPr>
        <w:t>allows for a limited number of ropeless gear sets to be fished in areas seasonally closed to traditional gear.  In an effort to provide new options to reduce large whale entanglements in buoy lines, scientists, fishermen, conservationists, and resource managers are increasingly looking to new gear and technological options that may provide an alternative to complete area closures and other risk reduction measures that attempt to separate whales from rope in the water column.  Ropeless systems allow fishermen to retrieve the gear from the bottom using methods such as: remotely releasing a buoy line stored on the bottom, by remotely inflating a bag that brings the trap and groundline to the surface, by using galvanized releases that decay over time to release a buoy line, or by grappling the ground line from the surface - often done when buoys have been parted from fishing gear. Ropeless designs are usually not actually rope-free but it is a commonly used term.  In addition to buoy lines that are often deployed for retrieval, groundlines would continue to connect traps in a “trawl” along the sea floor.  However, if operationally feasible, “ropeless” fishing would allow fishermen to operate around whales with a greatly reduced risk of entanglement and would provide an alternative to closures.  NMFS anticipates that their gear cache will grow to about 300 ropeless</w:t>
      </w:r>
      <w:r w:rsidR="00621D81">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units and sufficient onboard technology to support up to 30 vessels testing ten trawls</w:t>
      </w:r>
      <w:r w:rsidR="00621D81">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and adjacent mobile gear fishermen by 2025.  Because ropeless fishing requires an exemption through authorizations or permits, ropeless in seasonal restricted areas can and would be conditioned to minimize impacts on right whales and to include monitoring and reporting requirements.  Therefore, </w:t>
      </w:r>
      <w:r w:rsidR="00621D81">
        <w:rPr>
          <w:rFonts w:ascii="Times New Roman" w:hAnsi="Times New Roman" w:eastAsia="Times New Roman" w:cs="Times New Roman"/>
          <w:sz w:val="24"/>
          <w:szCs w:val="24"/>
        </w:rPr>
        <w:t>r</w:t>
      </w:r>
      <w:r>
        <w:rPr>
          <w:rFonts w:ascii="Times New Roman" w:hAnsi="Times New Roman" w:eastAsia="Times New Roman" w:cs="Times New Roman"/>
          <w:sz w:val="24"/>
          <w:szCs w:val="24"/>
        </w:rPr>
        <w:t>opeless gear sets will follow similar marking requirements as traditional fishing gear, as described in the table below.</w:t>
      </w:r>
    </w:p>
    <w:p w:rsidR="00447C1F" w:rsidRDefault="00447C1F">
      <w:pPr>
        <w:widowControl w:val="0"/>
        <w:spacing w:line="240" w:lineRule="auto"/>
        <w:rPr>
          <w:rFonts w:ascii="Times New Roman" w:hAnsi="Times New Roman" w:eastAsia="Times New Roman" w:cs="Times New Roman"/>
          <w:sz w:val="24"/>
          <w:szCs w:val="24"/>
        </w:rPr>
      </w:pPr>
    </w:p>
    <w:p w:rsidR="00447C1F" w:rsidRDefault="003365D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There is urgency to respond to the rapid decline in the North Atlantic right whale population, and the fishery source and/or country of serious injury and mortality to right whales cannot be determined in a significant number of documented cases.  As such, NMFS is focusing the scope of initial modifications to the Plan on Northeast Region lobster and Jonah crab trap/pot fisheries, which represent 93 percent of the vertical buoy lines fished where right whales occur according to a line model developed for NMFS by Industrial Economics Inc.  Determining the magnitude of reduction in serious injury and mortality that is needed is a challenge due to the uncertainty regarding the type of gear that entangles whales and the location and country of origin where the entanglement occurred.  Many large whale entanglements are never seen, there is often no gear present on whales showing scars, and gear cannot always be recovered from those whales that are seen entangled.  Further, even when gear is recovered, it can rarely be identified to a source </w:t>
      </w:r>
      <w:r>
        <w:rPr>
          <w:rFonts w:ascii="Times New Roman" w:hAnsi="Times New Roman" w:eastAsia="Times New Roman" w:cs="Times New Roman"/>
          <w:sz w:val="24"/>
          <w:szCs w:val="24"/>
        </w:rPr>
        <w:lastRenderedPageBreak/>
        <w:t>fishery and even more rarely, to a precise fishing location.</w:t>
      </w:r>
    </w:p>
    <w:p w:rsidR="00447C1F" w:rsidRDefault="00447C1F">
      <w:pPr>
        <w:tabs>
          <w:tab w:val="left" w:pos="720"/>
          <w:tab w:val="left" w:pos="9270"/>
        </w:tabs>
        <w:spacing w:line="240" w:lineRule="auto"/>
        <w:rPr>
          <w:rFonts w:ascii="Times New Roman" w:hAnsi="Times New Roman" w:eastAsia="Times New Roman" w:cs="Times New Roman"/>
          <w:sz w:val="24"/>
          <w:szCs w:val="24"/>
        </w:rPr>
      </w:pPr>
    </w:p>
    <w:p w:rsidR="00447C1F" w:rsidRDefault="003365D0">
      <w:pPr>
        <w:widowControl w:val="0"/>
        <w:spacing w:line="240" w:lineRule="auto"/>
        <w:rPr>
          <w:rFonts w:ascii="Times New Roman" w:hAnsi="Times New Roman" w:eastAsia="Times New Roman" w:cs="Times New Roman"/>
          <w:strike/>
          <w:sz w:val="24"/>
          <w:szCs w:val="24"/>
        </w:rPr>
      </w:pPr>
      <w:r>
        <w:rPr>
          <w:rFonts w:ascii="Times New Roman" w:hAnsi="Times New Roman" w:eastAsia="Times New Roman" w:cs="Times New Roman"/>
          <w:sz w:val="24"/>
          <w:szCs w:val="24"/>
        </w:rPr>
        <w:t xml:space="preserve">Table 1: Description of proposed gear marking scheme by state. Gear marking in the state of Maine (shaded) has already been implemented as a prediction of NOAA’s upcoming rules. At Maine’s request, exempt waters will not be regulated by federal rules so costs for gear marking in Maine exempt waters are not included.  However once NOAA’s rule becomes effective, we assume the responsibility of costs associated with the marking in non-exempt waters. </w:t>
      </w:r>
    </w:p>
    <w:p w:rsidR="00447C1F" w:rsidRDefault="00447C1F">
      <w:pPr>
        <w:widowControl w:val="0"/>
        <w:spacing w:line="240" w:lineRule="auto"/>
        <w:rPr>
          <w:rFonts w:ascii="Times New Roman" w:hAnsi="Times New Roman" w:eastAsia="Times New Roman" w:cs="Times New Roman"/>
          <w:sz w:val="24"/>
          <w:szCs w:val="24"/>
        </w:rPr>
      </w:pPr>
    </w:p>
    <w:tbl>
      <w:tblPr>
        <w:tblStyle w:val="af4"/>
        <w:tblW w:w="8865" w:type="dxa"/>
        <w:tblBorders>
          <w:top w:val="nil"/>
          <w:left w:val="nil"/>
          <w:bottom w:val="nil"/>
          <w:right w:val="nil"/>
          <w:insideH w:val="nil"/>
          <w:insideV w:val="nil"/>
        </w:tblBorders>
        <w:tblLayout w:type="fixed"/>
        <w:tblLook w:val="0600" w:firstRow="0" w:lastRow="0" w:firstColumn="0" w:lastColumn="0" w:noHBand="1" w:noVBand="1"/>
      </w:tblPr>
      <w:tblGrid>
        <w:gridCol w:w="2145"/>
        <w:gridCol w:w="6720"/>
      </w:tblGrid>
      <w:tr w:rsidR="00447C1F">
        <w:trPr>
          <w:trHeight w:val="348"/>
        </w:trPr>
        <w:tc>
          <w:tcPr>
            <w:tcW w:w="214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447C1F" w:rsidRDefault="003365D0">
            <w:pPr>
              <w:widowControl w:val="0"/>
              <w:spacing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Area</w:t>
            </w:r>
          </w:p>
        </w:tc>
        <w:tc>
          <w:tcPr>
            <w:tcW w:w="672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447C1F" w:rsidRDefault="003365D0">
            <w:pPr>
              <w:widowControl w:val="0"/>
              <w:spacing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Proposed Gear Marking Scheme</w:t>
            </w:r>
          </w:p>
        </w:tc>
      </w:tr>
      <w:tr w:rsidR="00447C1F">
        <w:trPr>
          <w:trHeight w:val="1604"/>
        </w:trPr>
        <w:tc>
          <w:tcPr>
            <w:tcW w:w="21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447C1F" w:rsidRDefault="003365D0">
            <w:pPr>
              <w:widowControl w:val="0"/>
              <w:spacing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Entire Northeast Region</w:t>
            </w:r>
          </w:p>
        </w:tc>
        <w:tc>
          <w:tcPr>
            <w:tcW w:w="6720" w:type="dxa"/>
            <w:tcBorders>
              <w:top w:val="nil"/>
              <w:left w:val="nil"/>
              <w:bottom w:val="single" w:color="000000" w:sz="8" w:space="0"/>
              <w:right w:val="single" w:color="000000" w:sz="8" w:space="0"/>
            </w:tcBorders>
            <w:tcMar>
              <w:top w:w="100" w:type="dxa"/>
              <w:left w:w="100" w:type="dxa"/>
              <w:bottom w:w="100" w:type="dxa"/>
              <w:right w:w="100" w:type="dxa"/>
            </w:tcMar>
          </w:tcPr>
          <w:p w:rsidR="00447C1F" w:rsidRDefault="003365D0">
            <w:pPr>
              <w:widowControl w:val="0"/>
              <w:spacing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One three-foot (91.4 cm) long state-specific (see color below) mark within two fathoms (60.96 cm) of the buoy.  In Federal waters, an additional one foot (30.5 cm) green mark within six-inches (15.25 cm) of each state specific mark (at least four in total).  This mark must be solid; therefore, colored ties are not an allowed gear marking method.</w:t>
            </w:r>
          </w:p>
        </w:tc>
      </w:tr>
      <w:tr w:rsidR="00447C1F">
        <w:trPr>
          <w:trHeight w:val="710"/>
        </w:trPr>
        <w:tc>
          <w:tcPr>
            <w:tcW w:w="2145" w:type="dxa"/>
            <w:tcBorders>
              <w:top w:val="nil"/>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rsidR="00447C1F" w:rsidRDefault="003365D0">
            <w:pPr>
              <w:widowControl w:val="0"/>
              <w:spacing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Maine Non-Exempt</w:t>
            </w:r>
          </w:p>
        </w:tc>
        <w:tc>
          <w:tcPr>
            <w:tcW w:w="6720" w:type="dxa"/>
            <w:tcBorders>
              <w:top w:val="nil"/>
              <w:left w:val="nil"/>
              <w:bottom w:val="single" w:color="000000" w:sz="8" w:space="0"/>
              <w:right w:val="single" w:color="000000" w:sz="8" w:space="0"/>
            </w:tcBorders>
            <w:shd w:val="clear" w:color="auto" w:fill="D9D9D9"/>
            <w:tcMar>
              <w:top w:w="100" w:type="dxa"/>
              <w:left w:w="100" w:type="dxa"/>
              <w:bottom w:w="100" w:type="dxa"/>
              <w:right w:w="100" w:type="dxa"/>
            </w:tcMar>
          </w:tcPr>
          <w:p w:rsidR="00447C1F" w:rsidRDefault="003365D0">
            <w:pPr>
              <w:widowControl w:val="0"/>
              <w:spacing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Purple.  At least two one-foot marks (by depth) on top and bottom half of buoy line below the surface system, through state regulation only.  In Federal waters, at least three one-foot state colored marks in the buoy line below the surface system: at top, middle and bottom of line.  At least four additional one foot (30.5 cm) green marks within six inches (15.2 cm) of each state-specific mark.</w:t>
            </w:r>
          </w:p>
        </w:tc>
      </w:tr>
      <w:tr w:rsidR="00447C1F">
        <w:trPr>
          <w:trHeight w:val="1290"/>
        </w:trPr>
        <w:tc>
          <w:tcPr>
            <w:tcW w:w="2145" w:type="dxa"/>
            <w:tcBorders>
              <w:top w:val="nil"/>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rsidR="00447C1F" w:rsidRDefault="003365D0">
            <w:pPr>
              <w:widowControl w:val="0"/>
              <w:spacing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Maine exempt</w:t>
            </w:r>
          </w:p>
        </w:tc>
        <w:tc>
          <w:tcPr>
            <w:tcW w:w="6720" w:type="dxa"/>
            <w:tcBorders>
              <w:top w:val="nil"/>
              <w:left w:val="nil"/>
              <w:bottom w:val="single" w:color="000000" w:sz="8" w:space="0"/>
              <w:right w:val="single" w:color="000000" w:sz="8" w:space="0"/>
            </w:tcBorders>
            <w:shd w:val="clear" w:color="auto" w:fill="D9D9D9"/>
            <w:tcMar>
              <w:top w:w="100" w:type="dxa"/>
              <w:left w:w="100" w:type="dxa"/>
              <w:bottom w:w="100" w:type="dxa"/>
              <w:right w:w="100" w:type="dxa"/>
            </w:tcMar>
          </w:tcPr>
          <w:p w:rsidR="00447C1F" w:rsidRDefault="003365D0">
            <w:pPr>
              <w:widowControl w:val="0"/>
              <w:spacing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Purple.  One three-foot (91.4 cm) mark within two fathoms (60.96 cm) of the buoy.  For buoy lines less than 100 feet (30.5 m) in length one additional mark one-foot (30.5 cm) long would be required about half way down the line.  Longer buoy lines in the exemption area are required to have the three-foot mark and two additional one-foot marks, one midway along the buoy line and one at the bottom of the buoy line.</w:t>
            </w:r>
          </w:p>
        </w:tc>
      </w:tr>
      <w:tr w:rsidR="00447C1F">
        <w:trPr>
          <w:trHeight w:val="1232"/>
        </w:trPr>
        <w:tc>
          <w:tcPr>
            <w:tcW w:w="21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447C1F" w:rsidRDefault="003365D0">
            <w:pPr>
              <w:widowControl w:val="0"/>
              <w:spacing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New Hampshire</w:t>
            </w:r>
          </w:p>
        </w:tc>
        <w:tc>
          <w:tcPr>
            <w:tcW w:w="6720" w:type="dxa"/>
            <w:tcBorders>
              <w:top w:val="nil"/>
              <w:left w:val="nil"/>
              <w:bottom w:val="single" w:color="000000" w:sz="8" w:space="0"/>
              <w:right w:val="single" w:color="000000" w:sz="8" w:space="0"/>
            </w:tcBorders>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Yellow.  In state waters: at least two additional one-foot (30.5 cm) marks in the buoy line below the surface system: on top half and bottom half of buoy line.  In Federal waters, at least three one-foot state colored marks in the buoy line below the surface system: at top, middle and bottom of line and at least four additional one foot (30.5 cm) green marks within six inches (15.2 cm) of each state-specific mark.</w:t>
            </w:r>
          </w:p>
        </w:tc>
      </w:tr>
      <w:tr w:rsidR="00447C1F">
        <w:trPr>
          <w:trHeight w:val="1160"/>
        </w:trPr>
        <w:tc>
          <w:tcPr>
            <w:tcW w:w="21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447C1F" w:rsidRDefault="003365D0">
            <w:pPr>
              <w:widowControl w:val="0"/>
              <w:spacing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Massachusetts</w:t>
            </w:r>
          </w:p>
        </w:tc>
        <w:tc>
          <w:tcPr>
            <w:tcW w:w="6720" w:type="dxa"/>
            <w:tcBorders>
              <w:top w:val="nil"/>
              <w:left w:val="nil"/>
              <w:bottom w:val="single" w:color="000000" w:sz="8" w:space="0"/>
              <w:right w:val="single" w:color="000000" w:sz="8" w:space="0"/>
            </w:tcBorders>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Red.  In state waters: at least two one-foot (30.5 cm) marks in the buoy line below the surface system: on top half and bottom half of buoy line.  In Federal waters, at least three one-foot (30.5 cm) state colored marks in the buoy line below the surface system: at top, middle and bottom of line and at least four additional one foot (30.5 cm) green marks within six inches (15.2 cm) of each state-specific mark.</w:t>
            </w:r>
          </w:p>
        </w:tc>
      </w:tr>
      <w:tr w:rsidR="00447C1F">
        <w:tc>
          <w:tcPr>
            <w:tcW w:w="21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447C1F" w:rsidRDefault="003365D0">
            <w:pPr>
              <w:widowControl w:val="0"/>
              <w:spacing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Rhode Island</w:t>
            </w:r>
          </w:p>
        </w:tc>
        <w:tc>
          <w:tcPr>
            <w:tcW w:w="6720" w:type="dxa"/>
            <w:tcBorders>
              <w:top w:val="nil"/>
              <w:left w:val="nil"/>
              <w:bottom w:val="single" w:color="000000" w:sz="8" w:space="0"/>
              <w:right w:val="single" w:color="000000" w:sz="8" w:space="0"/>
            </w:tcBorders>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Silvery/Gray.  In state waters: at least two one-foot (30.5 cm) marks in the buoy line below the surface system: on top half and bottom half of buoy line.  In Federal waters, at least three one-foot (30.5 cm) state colored marks in the buoy line below the surface system: at top, middle and bottom of line and at least four additional one foot (30.5 cm) green marks within six inches (15.2 cm) of each state-specific mark.</w:t>
            </w:r>
          </w:p>
        </w:tc>
      </w:tr>
      <w:tr w:rsidR="00447C1F">
        <w:tc>
          <w:tcPr>
            <w:tcW w:w="21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447C1F" w:rsidRDefault="003365D0">
            <w:pPr>
              <w:widowControl w:val="0"/>
              <w:spacing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LMA 3</w:t>
            </w:r>
          </w:p>
        </w:tc>
        <w:tc>
          <w:tcPr>
            <w:tcW w:w="6720" w:type="dxa"/>
            <w:tcBorders>
              <w:top w:val="nil"/>
              <w:left w:val="nil"/>
              <w:bottom w:val="single" w:color="000000" w:sz="8" w:space="0"/>
              <w:right w:val="single" w:color="000000" w:sz="8" w:space="0"/>
            </w:tcBorders>
            <w:tcMar>
              <w:top w:w="100" w:type="dxa"/>
              <w:left w:w="100" w:type="dxa"/>
              <w:bottom w:w="100" w:type="dxa"/>
              <w:right w:w="100" w:type="dxa"/>
            </w:tcMar>
          </w:tcPr>
          <w:p w:rsidR="00447C1F" w:rsidP="00621D81" w:rsidRDefault="003365D0">
            <w:pPr>
              <w:widowControl w:val="0"/>
              <w:pBdr>
                <w:top w:val="nil"/>
                <w:left w:val="nil"/>
                <w:bottom w:val="nil"/>
                <w:right w:val="nil"/>
                <w:between w:val="nil"/>
              </w:pBdr>
              <w:spacing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Black.  One three-foot long (91.4 cm) mark within two fathoms (60.96 cm) of the buoy in the surface system.  Add at least four additional one foot (30.5 cm) </w:t>
            </w:r>
            <w:r>
              <w:rPr>
                <w:rFonts w:ascii="Times New Roman" w:hAnsi="Times New Roman" w:eastAsia="Times New Roman" w:cs="Times New Roman"/>
                <w:sz w:val="20"/>
                <w:szCs w:val="20"/>
              </w:rPr>
              <w:lastRenderedPageBreak/>
              <w:t>green marks within six inches (15.2 cm) of each LMA 3 specific black mark.</w:t>
            </w:r>
          </w:p>
        </w:tc>
      </w:tr>
      <w:tr w:rsidR="00447C1F">
        <w:tc>
          <w:tcPr>
            <w:tcW w:w="21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447C1F" w:rsidRDefault="003365D0">
            <w:pPr>
              <w:widowControl w:val="0"/>
              <w:spacing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lastRenderedPageBreak/>
              <w:t>Ropeless gear fished in any area</w:t>
            </w:r>
          </w:p>
        </w:tc>
        <w:tc>
          <w:tcPr>
            <w:tcW w:w="6720" w:type="dxa"/>
            <w:tcBorders>
              <w:top w:val="nil"/>
              <w:left w:val="nil"/>
              <w:bottom w:val="single" w:color="000000" w:sz="8" w:space="0"/>
              <w:right w:val="single" w:color="000000" w:sz="8" w:space="0"/>
            </w:tcBorders>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Black and yellow.  In state waters: two one-foot (30.5 cm) marks in top half and bottom half of buoy line.  Beyond state waters, one three foot (91.4 cm) mark and three one-foot (30.5 cm) marks: at top, middle and bottom of line.  Each mark should be equally half black and half yellow.  </w:t>
            </w:r>
          </w:p>
        </w:tc>
      </w:tr>
    </w:tbl>
    <w:p w:rsidR="00447C1F" w:rsidRDefault="00447C1F">
      <w:pPr>
        <w:spacing w:line="240" w:lineRule="auto"/>
        <w:rPr>
          <w:rFonts w:ascii="Times New Roman" w:hAnsi="Times New Roman" w:eastAsia="Times New Roman" w:cs="Times New Roman"/>
          <w:b/>
          <w:color w:val="2F5496"/>
          <w:u w:val="single"/>
        </w:rPr>
      </w:pPr>
    </w:p>
    <w:p w:rsidR="00447C1F" w:rsidRDefault="00447C1F">
      <w:pPr>
        <w:spacing w:line="240" w:lineRule="auto"/>
        <w:rPr>
          <w:rFonts w:ascii="Times New Roman" w:hAnsi="Times New Roman" w:eastAsia="Times New Roman" w:cs="Times New Roman"/>
          <w:b/>
          <w:color w:val="2F5496"/>
          <w:u w:val="single"/>
        </w:rPr>
      </w:pPr>
    </w:p>
    <w:p w:rsidR="00447C1F" w:rsidRDefault="003365D0">
      <w:pPr>
        <w:pStyle w:val="Heading1"/>
        <w:keepNext w:val="0"/>
        <w:keepLines w:val="0"/>
        <w:spacing w:before="0" w:after="0" w:line="240" w:lineRule="auto"/>
        <w:rPr>
          <w:rFonts w:ascii="Times New Roman" w:hAnsi="Times New Roman" w:eastAsia="Times New Roman" w:cs="Times New Roman"/>
          <w:b/>
          <w:sz w:val="22"/>
          <w:szCs w:val="22"/>
        </w:rPr>
      </w:pPr>
      <w:bookmarkStart w:name="_heading=h.30j0zll" w:colFirst="0" w:colLast="0" w:id="1"/>
      <w:bookmarkEnd w:id="1"/>
      <w:r>
        <w:rPr>
          <w:rFonts w:ascii="Times New Roman" w:hAnsi="Times New Roman" w:eastAsia="Times New Roman" w:cs="Times New Roman"/>
          <w:b/>
          <w:sz w:val="22"/>
          <w:szCs w:val="22"/>
        </w:rPr>
        <w:t>2.</w:t>
      </w:r>
      <w:r>
        <w:rPr>
          <w:rFonts w:ascii="Times New Roman" w:hAnsi="Times New Roman" w:eastAsia="Times New Roman" w:cs="Times New Roman"/>
          <w:b/>
          <w:sz w:val="22"/>
          <w:szCs w:val="22"/>
        </w:rPr>
        <w:tab/>
        <w:t>Indicate how, by whom, and for what purpose the information is to be used. Except for a new collection, indicate the actual use the agency has made of the information received from the current collection.</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Gear-marking requirements assist NMFS in obtaining detailed information about which fisheries or specific parts of fishing gear are responsible for the incidental mortality and serious injury of North Atlantic right, humpback, minke, and fin whales.  Generally, when gear is retrieved from an entangled whale, it cannot always be identified to a fishery or location.  Therefore, requiring fishermen to mark surface buoys and the buoy line provides NMFS with an additional source of information, which could then be used to determine the gear responsible for and the location of the entanglement event.  Furthermore, information tracing incidental mortality and serious injury of marine mammals back to specific gear types, gear parts, or fishing locations assist NMFS and the Team in focusing future management measures on specific problem areas and issues, which may avoid unnecessarily regulating fisheries with overly broad measures.  </w:t>
      </w:r>
    </w:p>
    <w:p w:rsidR="00447C1F" w:rsidRDefault="00447C1F">
      <w:pPr>
        <w:spacing w:line="240" w:lineRule="auto"/>
        <w:rPr>
          <w:rFonts w:ascii="Times New Roman" w:hAnsi="Times New Roman" w:eastAsia="Times New Roman" w:cs="Times New Roman"/>
          <w:sz w:val="24"/>
          <w:szCs w:val="24"/>
        </w:rPr>
      </w:pPr>
    </w:p>
    <w:p w:rsidR="00447C1F" w:rsidRDefault="003365D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Therefore, requiring fishermen to mark surface buoys and the buoy line provides NMFS with an additional source of information, which could then be used to determine the gear responsible for and the location of the entanglement event.  Gear marking will not reduce bycatch in and of itself, but it is expected to facilitate monitoring of entanglement rates and assist in designing future bycatch reduction measures in targeted areas deemed important by the Team.  The frequency of information used is primarily correlated with the occurrence of entangled whales and/or the recovery of entangled gear.</w:t>
      </w:r>
    </w:p>
    <w:p w:rsidR="00447C1F" w:rsidRDefault="00447C1F">
      <w:pPr>
        <w:widowControl w:val="0"/>
        <w:spacing w:line="240" w:lineRule="auto"/>
        <w:rPr>
          <w:rFonts w:ascii="Times New Roman" w:hAnsi="Times New Roman" w:eastAsia="Times New Roman" w:cs="Times New Roman"/>
          <w:sz w:val="24"/>
          <w:szCs w:val="24"/>
        </w:rPr>
      </w:pPr>
    </w:p>
    <w:p w:rsidR="00447C1F" w:rsidRDefault="003365D0">
      <w:pPr>
        <w:tabs>
          <w:tab w:val="left" w:pos="720"/>
          <w:tab w:val="left" w:pos="927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developing serious injury and mortality estimates for use in Stock Assessment Reports and by the Team, NMFS attributes definitive source of serious injuries and mortalities only when gear is present and identified to a fishery source.  Therefore, the additional regulations that are being considered, propose to improve the quantity and quality of data available for future rulemaking and investigating some of the uncertainties discussed above regarding gear type and the country where the entanglement occurred. </w:t>
      </w:r>
    </w:p>
    <w:p w:rsidR="00447C1F" w:rsidRDefault="00447C1F">
      <w:pPr>
        <w:tabs>
          <w:tab w:val="left" w:pos="720"/>
          <w:tab w:val="left" w:pos="9270"/>
        </w:tabs>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NMFS has implemented previous gear-marking requirements in as simple a manner as possible and to be as compatible with other state or federal fishery management plans and take reduction plans.  NMFS developed the first gear-marking requirements (72 FR 57104) with the assistance of its fishing industry liaisons, feedback from Team members, and public comments received on a proposed rule in 2005 (70 FR 35894).  These gear marking requirements were subsequently changed over time, including most recently in June 2014 (79 FR 36586) to increase the size and frequency of the marks along the buoy line.  The newest revisions to these gear marking requirements will continue to refine the level of information gained from these marks.  Because fishery-related mortality has been difficult to determine and assess, gear-marking requirements </w:t>
      </w:r>
      <w:r>
        <w:rPr>
          <w:rFonts w:ascii="Times New Roman" w:hAnsi="Times New Roman" w:eastAsia="Times New Roman" w:cs="Times New Roman"/>
          <w:sz w:val="24"/>
          <w:szCs w:val="24"/>
        </w:rPr>
        <w:lastRenderedPageBreak/>
        <w:t xml:space="preserve">may not only assist in obtaining valuable gear interaction information from future entanglement events, but may also be a useful tool for measuring compliance; therefore, the gear marking scheme is ever evolving. </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information collected is disseminated to the public or used to support publicly disseminated information online and at Team meetings.  N</w:t>
      </w:r>
      <w:r>
        <w:rPr>
          <w:rFonts w:ascii="Times New Roman" w:hAnsi="Times New Roman" w:eastAsia="Times New Roman" w:cs="Times New Roman"/>
          <w:color w:val="222222"/>
          <w:sz w:val="24"/>
          <w:szCs w:val="24"/>
          <w:highlight w:val="white"/>
        </w:rPr>
        <w:t>MFS maintains this website (</w:t>
      </w:r>
      <w:hyperlink r:id="rId7">
        <w:r>
          <w:rPr>
            <w:rFonts w:ascii="Times New Roman" w:hAnsi="Times New Roman" w:eastAsia="Times New Roman" w:cs="Times New Roman"/>
            <w:color w:val="0000FF"/>
            <w:sz w:val="24"/>
            <w:szCs w:val="24"/>
            <w:u w:val="single"/>
          </w:rPr>
          <w:t>https://www.fisheries.noaa.gov/new-england-mid-atlantic/marine-mammal-protection/atlantic-large-whale-take-reduction-plan</w:t>
        </w:r>
      </w:hyperlink>
      <w:r>
        <w:rPr>
          <w:rFonts w:ascii="Times New Roman" w:hAnsi="Times New Roman" w:eastAsia="Times New Roman" w:cs="Times New Roman"/>
          <w:color w:val="222222"/>
          <w:sz w:val="24"/>
          <w:szCs w:val="24"/>
        </w:rPr>
        <w:t xml:space="preserve">) </w:t>
      </w:r>
      <w:r>
        <w:rPr>
          <w:rFonts w:ascii="Times New Roman" w:hAnsi="Times New Roman" w:eastAsia="Times New Roman" w:cs="Times New Roman"/>
          <w:color w:val="222222"/>
          <w:sz w:val="24"/>
          <w:szCs w:val="24"/>
          <w:highlight w:val="white"/>
        </w:rPr>
        <w:t>to disseminate information</w:t>
      </w:r>
      <w:r>
        <w:rPr>
          <w:rFonts w:ascii="Times New Roman" w:hAnsi="Times New Roman" w:eastAsia="Times New Roman" w:cs="Times New Roman"/>
          <w:sz w:val="24"/>
          <w:szCs w:val="24"/>
        </w:rPr>
        <w:t xml:space="preserve"> including annual gear analysis information in entanglement reports, which can be found at the following site: </w:t>
      </w:r>
      <w:hyperlink r:id="rId8">
        <w:r>
          <w:rPr>
            <w:rFonts w:ascii="Times New Roman" w:hAnsi="Times New Roman" w:eastAsia="Times New Roman" w:cs="Times New Roman"/>
            <w:color w:val="0000FF"/>
            <w:sz w:val="24"/>
            <w:szCs w:val="24"/>
            <w:u w:val="single"/>
          </w:rPr>
          <w:t>https://www.greateratlantic.fisheries.noaa.gov/policyseries/index.php/GARPS/article/view/21/16</w:t>
        </w:r>
      </w:hyperlink>
      <w:r w:rsidR="00CB583F">
        <w:rPr>
          <w:rFonts w:ascii="Times New Roman" w:hAnsi="Times New Roman" w:eastAsia="Times New Roman" w:cs="Times New Roman"/>
          <w:sz w:val="24"/>
          <w:szCs w:val="24"/>
        </w:rPr>
        <w:t>.</w:t>
      </w:r>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NMFS will retain control over the information and safeguard it from improper access, modification, and destruction, consistent with National Oceanic and Atmospheric Administration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9">
        <w:r>
          <w:rPr>
            <w:rFonts w:ascii="Times New Roman" w:hAnsi="Times New Roman" w:eastAsia="Times New Roman" w:cs="Times New Roman"/>
            <w:color w:val="0000FF"/>
            <w:sz w:val="24"/>
            <w:szCs w:val="24"/>
            <w:u w:val="single"/>
          </w:rPr>
          <w:t>Section 515 of Public Law 106-554</w:t>
        </w:r>
      </w:hyperlink>
      <w:r>
        <w:rPr>
          <w:rFonts w:ascii="Times New Roman" w:hAnsi="Times New Roman" w:eastAsia="Times New Roman" w:cs="Times New Roman"/>
          <w:sz w:val="24"/>
          <w:szCs w:val="24"/>
        </w:rPr>
        <w:t>.</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b/>
        </w:rPr>
      </w:pPr>
      <w:r>
        <w:rPr>
          <w:rFonts w:ascii="Times New Roman" w:hAnsi="Times New Roman" w:eastAsia="Times New Roman" w:cs="Times New Roman"/>
          <w:b/>
        </w:rPr>
        <w:t>3.</w:t>
      </w:r>
      <w:r>
        <w:rPr>
          <w:rFonts w:ascii="Times New Roman" w:hAnsi="Times New Roman" w:eastAsia="Times New Roman" w:cs="Times New Roman"/>
          <w:sz w:val="14"/>
          <w:szCs w:val="14"/>
        </w:rPr>
        <w:t xml:space="preserve"> </w:t>
      </w:r>
      <w:r w:rsidR="00F70041">
        <w:rPr>
          <w:rFonts w:ascii="Times New Roman" w:hAnsi="Times New Roman" w:eastAsia="Times New Roman" w:cs="Times New Roman"/>
          <w:sz w:val="14"/>
          <w:szCs w:val="14"/>
        </w:rPr>
        <w:tab/>
      </w:r>
      <w:r>
        <w:rPr>
          <w:rFonts w:ascii="Times New Roman" w:hAnsi="Times New Roman" w:eastAsia="Times New Roman" w:cs="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b/>
          <w:color w:val="2F5496"/>
        </w:rPr>
      </w:pPr>
      <w:r>
        <w:rPr>
          <w:rFonts w:ascii="Times New Roman" w:hAnsi="Times New Roman" w:eastAsia="Times New Roman" w:cs="Times New Roman"/>
          <w:sz w:val="24"/>
          <w:szCs w:val="24"/>
        </w:rPr>
        <w:t>There is no use of automated, electronic, or other technological techniques associated with the gear-marking scheme.</w:t>
      </w:r>
    </w:p>
    <w:p w:rsidR="00447C1F" w:rsidRDefault="00447C1F">
      <w:pPr>
        <w:spacing w:line="240" w:lineRule="auto"/>
        <w:rPr>
          <w:rFonts w:ascii="Times New Roman" w:hAnsi="Times New Roman" w:eastAsia="Times New Roman" w:cs="Times New Roman"/>
          <w:b/>
          <w:color w:val="2F5496"/>
        </w:rPr>
      </w:pPr>
    </w:p>
    <w:p w:rsidR="00447C1F" w:rsidRDefault="003365D0">
      <w:pPr>
        <w:spacing w:line="240" w:lineRule="auto"/>
        <w:rPr>
          <w:rFonts w:ascii="Times New Roman" w:hAnsi="Times New Roman" w:eastAsia="Times New Roman" w:cs="Times New Roman"/>
          <w:b/>
        </w:rPr>
      </w:pPr>
      <w:r>
        <w:rPr>
          <w:rFonts w:ascii="Times New Roman" w:hAnsi="Times New Roman" w:eastAsia="Times New Roman" w:cs="Times New Roman"/>
          <w:b/>
        </w:rPr>
        <w:t>4.</w:t>
      </w:r>
      <w:r>
        <w:rPr>
          <w:rFonts w:ascii="Times New Roman" w:hAnsi="Times New Roman" w:eastAsia="Times New Roman" w:cs="Times New Roman"/>
          <w:sz w:val="14"/>
          <w:szCs w:val="14"/>
        </w:rPr>
        <w:t xml:space="preserve"> </w:t>
      </w:r>
      <w:r w:rsidR="00F70041">
        <w:rPr>
          <w:rFonts w:ascii="Times New Roman" w:hAnsi="Times New Roman" w:eastAsia="Times New Roman" w:cs="Times New Roman"/>
          <w:sz w:val="14"/>
          <w:szCs w:val="14"/>
        </w:rPr>
        <w:tab/>
      </w:r>
      <w:r>
        <w:rPr>
          <w:rFonts w:ascii="Times New Roman" w:hAnsi="Times New Roman" w:eastAsia="Times New Roman" w:cs="Times New Roman"/>
          <w:b/>
        </w:rPr>
        <w:t>Describe efforts to identify duplication. Show specifically why any similar information already available cannot be used or modified for use for the purposes described in Question 2</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Presently, marking for trap/pot and gillnet fisheries and their associated surface gear, is required under several Federal and state fishery management plans.  NMFS’s requirements complement existing Federal and state fishery management plans and take reduction plans.  Although similar colors may be used in other fisheries, color combinations prevent exact duplication.  Current gear marking requirements are described in depth at: </w:t>
      </w:r>
      <w:hyperlink w:anchor="outreach" r:id="rId10">
        <w:r>
          <w:rPr>
            <w:rFonts w:ascii="Times New Roman" w:hAnsi="Times New Roman" w:eastAsia="Times New Roman" w:cs="Times New Roman"/>
            <w:color w:val="1155CC"/>
            <w:sz w:val="24"/>
            <w:szCs w:val="24"/>
            <w:u w:val="single"/>
          </w:rPr>
          <w:t>https://www.fisheries.noaa.gov/new-england-mid-atlantic/marine-mammal-protection/atlantic-large-whale-take-reduction-plan#outreach</w:t>
        </w:r>
      </w:hyperlink>
      <w:r>
        <w:rPr>
          <w:rFonts w:ascii="Times New Roman" w:hAnsi="Times New Roman" w:eastAsia="Times New Roman" w:cs="Times New Roman"/>
          <w:sz w:val="24"/>
          <w:szCs w:val="24"/>
        </w:rPr>
        <w:t xml:space="preserve">. </w:t>
      </w:r>
    </w:p>
    <w:p w:rsidR="00447C1F" w:rsidRDefault="00447C1F">
      <w:pPr>
        <w:spacing w:line="240" w:lineRule="auto"/>
        <w:rPr>
          <w:rFonts w:ascii="Times New Roman" w:hAnsi="Times New Roman" w:eastAsia="Times New Roman" w:cs="Times New Roman"/>
          <w:sz w:val="24"/>
          <w:szCs w:val="24"/>
          <w:u w:val="single"/>
        </w:rPr>
      </w:pPr>
    </w:p>
    <w:p w:rsidR="00447C1F" w:rsidRDefault="003365D0">
      <w:pPr>
        <w:spacing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Current NMFS Trap/Pot Gear Marking Requirements:</w:t>
      </w:r>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Vertical buoy lines are to be marked with three 12-inch (30.5 cm) colored marks: one at the top of the buoy line, one midway along the buoy line, and one at the bottom of the buoy line.  If the mark consists of two colors, each color mark may be 6 inches (15.25 cm), for a total mark of 12 inches (30.5 cm).  Each color code must be permanently affixed on or along the line, and each color code must be clearly visible when the gear is hauled or removed from the water.</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Table 2: Description of current NMFS trap/pot gear marking requirements </w:t>
      </w:r>
    </w:p>
    <w:tbl>
      <w:tblPr>
        <w:tblStyle w:val="af5"/>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970"/>
        <w:gridCol w:w="6390"/>
      </w:tblGrid>
      <w:tr w:rsidR="00447C1F">
        <w:tc>
          <w:tcPr>
            <w:tcW w:w="297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lastRenderedPageBreak/>
              <w:t>Gear Marking Color</w:t>
            </w:r>
          </w:p>
        </w:tc>
        <w:tc>
          <w:tcPr>
            <w:tcW w:w="639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Applicable Trap/Pot Management Area </w:t>
            </w:r>
          </w:p>
        </w:tc>
      </w:tr>
      <w:tr w:rsidR="00447C1F">
        <w:tc>
          <w:tcPr>
            <w:tcW w:w="297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Red</w:t>
            </w:r>
          </w:p>
        </w:tc>
        <w:tc>
          <w:tcPr>
            <w:tcW w:w="639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Massachusetts Restricted Area</w:t>
            </w:r>
          </w:p>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Northern Nearshore Trap/Pot Waters</w:t>
            </w:r>
          </w:p>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Northern Inshore State Trap/Pot Waters</w:t>
            </w:r>
          </w:p>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Stellwagen</w:t>
            </w:r>
            <w:proofErr w:type="spellEnd"/>
            <w:r>
              <w:rPr>
                <w:rFonts w:ascii="Times New Roman" w:hAnsi="Times New Roman" w:eastAsia="Times New Roman" w:cs="Times New Roman"/>
                <w:sz w:val="24"/>
                <w:szCs w:val="24"/>
              </w:rPr>
              <w:t xml:space="preserve"> Bank </w:t>
            </w:r>
            <w:proofErr w:type="spellStart"/>
            <w:r>
              <w:rPr>
                <w:rFonts w:ascii="Times New Roman" w:hAnsi="Times New Roman" w:eastAsia="Times New Roman" w:cs="Times New Roman"/>
                <w:sz w:val="24"/>
                <w:szCs w:val="24"/>
              </w:rPr>
              <w:t>Jeffreys</w:t>
            </w:r>
            <w:proofErr w:type="spellEnd"/>
            <w:r>
              <w:rPr>
                <w:rFonts w:ascii="Times New Roman" w:hAnsi="Times New Roman" w:eastAsia="Times New Roman" w:cs="Times New Roman"/>
                <w:sz w:val="24"/>
                <w:szCs w:val="24"/>
              </w:rPr>
              <w:t xml:space="preserve"> Ledge Restricted Area</w:t>
            </w:r>
          </w:p>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Great South Channel Restricted Area overlapping Lobster</w:t>
            </w:r>
          </w:p>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Management Area (LMA) 2 and/or the Outer Cape LMA</w:t>
            </w:r>
          </w:p>
        </w:tc>
      </w:tr>
      <w:tr w:rsidR="00447C1F">
        <w:tc>
          <w:tcPr>
            <w:tcW w:w="297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Red &amp; Blue</w:t>
            </w:r>
          </w:p>
        </w:tc>
        <w:tc>
          <w:tcPr>
            <w:tcW w:w="639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Exempt RI state waters</w:t>
            </w:r>
          </w:p>
        </w:tc>
      </w:tr>
      <w:tr w:rsidR="00447C1F">
        <w:tc>
          <w:tcPr>
            <w:tcW w:w="297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Red &amp; White</w:t>
            </w:r>
          </w:p>
        </w:tc>
        <w:tc>
          <w:tcPr>
            <w:tcW w:w="639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Exempt MA state waters in LMA 1</w:t>
            </w:r>
          </w:p>
        </w:tc>
      </w:tr>
      <w:tr w:rsidR="00447C1F">
        <w:tc>
          <w:tcPr>
            <w:tcW w:w="297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Red &amp; Black </w:t>
            </w:r>
          </w:p>
        </w:tc>
        <w:tc>
          <w:tcPr>
            <w:tcW w:w="639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Exempt MA state waters in LMA 2</w:t>
            </w:r>
          </w:p>
        </w:tc>
      </w:tr>
      <w:tr w:rsidR="00447C1F">
        <w:tc>
          <w:tcPr>
            <w:tcW w:w="297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Red &amp; Yellow</w:t>
            </w:r>
          </w:p>
        </w:tc>
        <w:tc>
          <w:tcPr>
            <w:tcW w:w="639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Exempt MA state waters Outer Cape</w:t>
            </w:r>
          </w:p>
        </w:tc>
      </w:tr>
      <w:tr w:rsidR="00447C1F">
        <w:tc>
          <w:tcPr>
            <w:tcW w:w="297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Red &amp; Orange</w:t>
            </w:r>
          </w:p>
        </w:tc>
        <w:tc>
          <w:tcPr>
            <w:tcW w:w="639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Isle of Shoals, Maine</w:t>
            </w:r>
          </w:p>
        </w:tc>
      </w:tr>
      <w:tr w:rsidR="00447C1F">
        <w:tc>
          <w:tcPr>
            <w:tcW w:w="297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Red &amp; Purple</w:t>
            </w:r>
          </w:p>
        </w:tc>
        <w:tc>
          <w:tcPr>
            <w:tcW w:w="639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Jordan Basin (Trap/Pot) overlapping LMA 1</w:t>
            </w:r>
          </w:p>
        </w:tc>
      </w:tr>
      <w:tr w:rsidR="00447C1F">
        <w:tc>
          <w:tcPr>
            <w:tcW w:w="297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Red &amp; Black</w:t>
            </w:r>
          </w:p>
        </w:tc>
        <w:tc>
          <w:tcPr>
            <w:tcW w:w="639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Jordan Basin (Trap/Pot) overlapping Offshore Trap/Pot Waters</w:t>
            </w:r>
          </w:p>
        </w:tc>
      </w:tr>
      <w:tr w:rsidR="00447C1F">
        <w:tc>
          <w:tcPr>
            <w:tcW w:w="297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Orange</w:t>
            </w:r>
          </w:p>
        </w:tc>
        <w:tc>
          <w:tcPr>
            <w:tcW w:w="639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Southern Nearshore Trap/Pot Waters.</w:t>
            </w:r>
          </w:p>
          <w:p w:rsidR="00447C1F" w:rsidRDefault="00447C1F">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p>
        </w:tc>
      </w:tr>
      <w:tr w:rsidR="00447C1F">
        <w:tc>
          <w:tcPr>
            <w:tcW w:w="297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Black</w:t>
            </w:r>
          </w:p>
        </w:tc>
        <w:tc>
          <w:tcPr>
            <w:tcW w:w="639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Offshore Trap/Pot Waters; Great South Channel Restricted Area overlapping with the LMA 2/3 Overlap and/or LMA 3</w:t>
            </w:r>
          </w:p>
        </w:tc>
      </w:tr>
      <w:tr w:rsidR="00447C1F">
        <w:tc>
          <w:tcPr>
            <w:tcW w:w="297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Blue &amp; Orange</w:t>
            </w:r>
          </w:p>
        </w:tc>
        <w:tc>
          <w:tcPr>
            <w:tcW w:w="639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Southeast Restricted Area North (state waters)</w:t>
            </w:r>
          </w:p>
        </w:tc>
      </w:tr>
      <w:tr w:rsidR="00447C1F">
        <w:tc>
          <w:tcPr>
            <w:tcW w:w="297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Green &amp; Orange </w:t>
            </w:r>
          </w:p>
        </w:tc>
        <w:tc>
          <w:tcPr>
            <w:tcW w:w="6390" w:type="dxa"/>
            <w:shd w:val="clear" w:color="auto" w:fill="auto"/>
            <w:tcMar>
              <w:top w:w="100" w:type="dxa"/>
              <w:left w:w="100" w:type="dxa"/>
              <w:bottom w:w="100" w:type="dxa"/>
              <w:right w:w="100" w:type="dxa"/>
            </w:tcMar>
          </w:tcPr>
          <w:p w:rsidR="00447C1F" w:rsidRDefault="003365D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Southeast Restricted Area North (Federal waters)</w:t>
            </w:r>
          </w:p>
        </w:tc>
      </w:tr>
    </w:tbl>
    <w:p w:rsidR="00447C1F" w:rsidRDefault="00447C1F">
      <w:pPr>
        <w:spacing w:line="240" w:lineRule="auto"/>
        <w:rPr>
          <w:rFonts w:ascii="Times New Roman" w:hAnsi="Times New Roman" w:eastAsia="Times New Roman" w:cs="Times New Roman"/>
          <w:b/>
        </w:rPr>
      </w:pPr>
    </w:p>
    <w:p w:rsidR="00447C1F" w:rsidRDefault="00447C1F">
      <w:pPr>
        <w:spacing w:line="240" w:lineRule="auto"/>
        <w:rPr>
          <w:rFonts w:ascii="Times New Roman" w:hAnsi="Times New Roman" w:eastAsia="Times New Roman" w:cs="Times New Roman"/>
          <w:b/>
        </w:rPr>
      </w:pPr>
    </w:p>
    <w:p w:rsidR="00447C1F" w:rsidRDefault="003365D0">
      <w:pPr>
        <w:spacing w:line="240" w:lineRule="auto"/>
        <w:rPr>
          <w:rFonts w:ascii="Times New Roman" w:hAnsi="Times New Roman" w:eastAsia="Times New Roman" w:cs="Times New Roman"/>
          <w:b/>
        </w:rPr>
      </w:pPr>
      <w:r>
        <w:rPr>
          <w:rFonts w:ascii="Times New Roman" w:hAnsi="Times New Roman" w:eastAsia="Times New Roman" w:cs="Times New Roman"/>
          <w:b/>
        </w:rPr>
        <w:t>5.</w:t>
      </w:r>
      <w:r>
        <w:rPr>
          <w:rFonts w:ascii="Times New Roman" w:hAnsi="Times New Roman" w:eastAsia="Times New Roman" w:cs="Times New Roman"/>
          <w:sz w:val="14"/>
          <w:szCs w:val="14"/>
        </w:rPr>
        <w:t xml:space="preserve"> </w:t>
      </w:r>
      <w:r w:rsidR="00F70041">
        <w:rPr>
          <w:rFonts w:ascii="Times New Roman" w:hAnsi="Times New Roman" w:eastAsia="Times New Roman" w:cs="Times New Roman"/>
          <w:sz w:val="14"/>
          <w:szCs w:val="14"/>
        </w:rPr>
        <w:tab/>
      </w:r>
      <w:r>
        <w:rPr>
          <w:rFonts w:ascii="Times New Roman" w:hAnsi="Times New Roman" w:eastAsia="Times New Roman" w:cs="Times New Roman"/>
          <w:b/>
        </w:rPr>
        <w:t>If the collection of information impacts small businesses or other small entities, describe any methods used to minimize burden.</w:t>
      </w:r>
    </w:p>
    <w:p w:rsidR="00447C1F" w:rsidRDefault="00447C1F">
      <w:pPr>
        <w:spacing w:line="240" w:lineRule="auto"/>
        <w:rPr>
          <w:rFonts w:ascii="Times New Roman" w:hAnsi="Times New Roman" w:eastAsia="Times New Roman" w:cs="Times New Roman"/>
          <w:b/>
        </w:rPr>
      </w:pPr>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fisheries affected by this gear marking rule are composed almost entirely of small businesses.  The existing gear marking requirements affect gillnet and trap/pot fisheries in various Plan management areas in state and federal waters, from Maine through Florida.  NMFS minimized the burden on fishermen by evaluating the existing state/federal gear-marking requirements and developing non-duplicative regulations that allow for the continued use of the previously required state and federal marking requirements without promulgating new requirements where they previously existed.  NMFS developed these gear marking measures with input from fishermen and in a manner that allows fishermen to mark existing gear rather than replacing buoy lines entirely.  Since the majority of the lobster and crab trap/pot fishermen that would be regulated under this modification to the gear marking requirement already mark their lines and buoys, NMFS assumes that this additional marking requirement places minimal </w:t>
      </w:r>
      <w:r>
        <w:rPr>
          <w:rFonts w:ascii="Times New Roman" w:hAnsi="Times New Roman" w:eastAsia="Times New Roman" w:cs="Times New Roman"/>
          <w:sz w:val="24"/>
          <w:szCs w:val="24"/>
        </w:rPr>
        <w:lastRenderedPageBreak/>
        <w:t>additional burden on fishermen in the form of added maintenance time and minimal material costs.</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b/>
        </w:rPr>
      </w:pPr>
      <w:r>
        <w:rPr>
          <w:rFonts w:ascii="Times New Roman" w:hAnsi="Times New Roman" w:eastAsia="Times New Roman" w:cs="Times New Roman"/>
          <w:b/>
        </w:rPr>
        <w:t>6.</w:t>
      </w:r>
      <w:r>
        <w:rPr>
          <w:rFonts w:ascii="Times New Roman" w:hAnsi="Times New Roman" w:eastAsia="Times New Roman" w:cs="Times New Roman"/>
          <w:sz w:val="14"/>
          <w:szCs w:val="14"/>
        </w:rPr>
        <w:t xml:space="preserve"> </w:t>
      </w:r>
      <w:r w:rsidR="00F70041">
        <w:rPr>
          <w:rFonts w:ascii="Times New Roman" w:hAnsi="Times New Roman" w:eastAsia="Times New Roman" w:cs="Times New Roman"/>
          <w:sz w:val="14"/>
          <w:szCs w:val="14"/>
        </w:rPr>
        <w:tab/>
      </w:r>
      <w:r>
        <w:rPr>
          <w:rFonts w:ascii="Times New Roman" w:hAnsi="Times New Roman" w:eastAsia="Times New Roman" w:cs="Times New Roman"/>
          <w:b/>
        </w:rPr>
        <w:t>Describe the consequence to Federal program or policy activities if the collection is not conducted or is conducted less frequently, as well as any technical or legal obstacles to reducing burden.</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These gear-marking requirements are designed to help NMFS further improve the quality of information concerning the taking of endangered North Atlantic right, humpback, minke, and fin whales incidental to commercial fishing operations.  Specifically, information collected through gear marking helps NMFS and the Team identify the type and general location of commercial fisheries that interact with federally protected marine mammals and may result in mortality and serious injury.  Accordingly, this information will continue to be used to tailor management measures to reduce the risk of mortality and serious injury of marine mammals in commercial fishing operations.</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These gear-marking requirements would provide greater detail regarding where entanglements occur and what type of gear is involved, which helps prevent future management measures from being overly broad and affecting more individuals than necessary.  Therefore, knowing which geographic areas and fisheries pose the greatest risk to large whales will minimize the economic impact to fishermen while maximizing the benefits for these species.</w:t>
      </w:r>
    </w:p>
    <w:p w:rsidR="00447C1F" w:rsidRDefault="00447C1F">
      <w:pPr>
        <w:spacing w:line="240" w:lineRule="auto"/>
        <w:rPr>
          <w:rFonts w:ascii="Times New Roman" w:hAnsi="Times New Roman" w:eastAsia="Times New Roman" w:cs="Times New Roman"/>
          <w:b/>
        </w:rPr>
      </w:pPr>
    </w:p>
    <w:p w:rsidR="00447C1F" w:rsidRDefault="003365D0">
      <w:pPr>
        <w:spacing w:line="240" w:lineRule="auto"/>
        <w:rPr>
          <w:rFonts w:ascii="Times New Roman" w:hAnsi="Times New Roman" w:eastAsia="Times New Roman" w:cs="Times New Roman"/>
          <w:b/>
        </w:rPr>
      </w:pPr>
      <w:r>
        <w:rPr>
          <w:rFonts w:ascii="Times New Roman" w:hAnsi="Times New Roman" w:eastAsia="Times New Roman" w:cs="Times New Roman"/>
          <w:b/>
        </w:rPr>
        <w:t>7.</w:t>
      </w:r>
      <w:r>
        <w:rPr>
          <w:rFonts w:ascii="Times New Roman" w:hAnsi="Times New Roman" w:eastAsia="Times New Roman" w:cs="Times New Roman"/>
          <w:sz w:val="14"/>
          <w:szCs w:val="14"/>
        </w:rPr>
        <w:t xml:space="preserve"> </w:t>
      </w:r>
      <w:r w:rsidR="00F70041">
        <w:rPr>
          <w:rFonts w:ascii="Times New Roman" w:hAnsi="Times New Roman" w:eastAsia="Times New Roman" w:cs="Times New Roman"/>
          <w:sz w:val="14"/>
          <w:szCs w:val="14"/>
        </w:rPr>
        <w:tab/>
      </w:r>
      <w:r>
        <w:rPr>
          <w:rFonts w:ascii="Times New Roman" w:hAnsi="Times New Roman" w:eastAsia="Times New Roman" w:cs="Times New Roman"/>
          <w:b/>
        </w:rPr>
        <w:t>Explain any special circumstances that would cause an information collection to be conducted in a manner inconsistent with OMB guidelines.</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 special circumstances with this proposed rule that would require the collection of information to be conducted in a manner inconsistent with OMB guidelines.</w:t>
      </w:r>
    </w:p>
    <w:p w:rsidR="00447C1F" w:rsidRDefault="00447C1F">
      <w:pPr>
        <w:spacing w:line="240" w:lineRule="auto"/>
        <w:rPr>
          <w:rFonts w:ascii="Times New Roman" w:hAnsi="Times New Roman" w:eastAsia="Times New Roman" w:cs="Times New Roman"/>
          <w:b/>
        </w:rPr>
      </w:pPr>
    </w:p>
    <w:p w:rsidR="00447C1F" w:rsidRDefault="003365D0">
      <w:pPr>
        <w:spacing w:line="240" w:lineRule="auto"/>
        <w:rPr>
          <w:rFonts w:ascii="Times New Roman" w:hAnsi="Times New Roman" w:eastAsia="Times New Roman" w:cs="Times New Roman"/>
          <w:color w:val="2F5496"/>
        </w:rPr>
      </w:pPr>
      <w:r>
        <w:rPr>
          <w:rFonts w:ascii="Times New Roman" w:hAnsi="Times New Roman" w:eastAsia="Times New Roman" w:cs="Times New Roman"/>
          <w:b/>
        </w:rPr>
        <w:t>8.</w:t>
      </w:r>
      <w:r>
        <w:rPr>
          <w:rFonts w:ascii="Times New Roman" w:hAnsi="Times New Roman" w:eastAsia="Times New Roman" w:cs="Times New Roman"/>
          <w:sz w:val="14"/>
          <w:szCs w:val="14"/>
        </w:rPr>
        <w:t xml:space="preserve"> </w:t>
      </w:r>
      <w:r w:rsidR="00F70041">
        <w:rPr>
          <w:rFonts w:ascii="Times New Roman" w:hAnsi="Times New Roman" w:eastAsia="Times New Roman" w:cs="Times New Roman"/>
          <w:sz w:val="14"/>
          <w:szCs w:val="14"/>
        </w:rPr>
        <w:tab/>
      </w:r>
      <w:r>
        <w:rPr>
          <w:rFonts w:ascii="Times New Roman" w:hAnsi="Times New Roman" w:eastAsia="Times New Roman" w:cs="Times New Roman"/>
          <w:b/>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proposed rule (RIN </w:t>
      </w:r>
      <w:r w:rsidR="00E90FEC">
        <w:rPr>
          <w:rFonts w:ascii="Times New Roman" w:hAnsi="Times New Roman" w:eastAsia="Times New Roman" w:cs="Times New Roman"/>
          <w:sz w:val="24"/>
          <w:szCs w:val="24"/>
        </w:rPr>
        <w:t>0</w:t>
      </w:r>
      <w:r>
        <w:rPr>
          <w:rFonts w:ascii="Times New Roman" w:hAnsi="Times New Roman" w:eastAsia="Times New Roman" w:cs="Times New Roman"/>
          <w:sz w:val="24"/>
          <w:szCs w:val="24"/>
        </w:rPr>
        <w:t xml:space="preserve">648-BJ09) was submitted to the </w:t>
      </w:r>
      <w:r>
        <w:rPr>
          <w:rFonts w:ascii="Times New Roman" w:hAnsi="Times New Roman" w:eastAsia="Times New Roman" w:cs="Times New Roman"/>
          <w:i/>
          <w:sz w:val="24"/>
          <w:szCs w:val="24"/>
        </w:rPr>
        <w:t xml:space="preserve">Federal Register </w:t>
      </w:r>
      <w:r>
        <w:rPr>
          <w:rFonts w:ascii="Times New Roman" w:hAnsi="Times New Roman" w:eastAsia="Times New Roman" w:cs="Times New Roman"/>
          <w:sz w:val="24"/>
          <w:szCs w:val="24"/>
        </w:rPr>
        <w:t xml:space="preserve">on December 31, 2020, 85 FR 86878 (pages 86878-86900). The public comment session closed on March 1, 2021. Comments were received during a 60-day public comment window on the Draft Environmental Impact Statement </w:t>
      </w:r>
      <w:r w:rsidR="00F70041">
        <w:rPr>
          <w:rFonts w:ascii="Times New Roman" w:hAnsi="Times New Roman" w:eastAsia="Times New Roman" w:cs="Times New Roman"/>
          <w:sz w:val="24"/>
          <w:szCs w:val="24"/>
        </w:rPr>
        <w:t xml:space="preserve">(DEIS) </w:t>
      </w:r>
      <w:r>
        <w:rPr>
          <w:rFonts w:ascii="Times New Roman" w:hAnsi="Times New Roman" w:eastAsia="Times New Roman" w:cs="Times New Roman"/>
          <w:sz w:val="24"/>
          <w:szCs w:val="24"/>
        </w:rPr>
        <w:t xml:space="preserve">for the associated rule, Modification of the Atlantic Large Whale Take Reduction Plan, on Regulations.gov. Over 100,000 total comments were received on the DEIS, with 118 of 1067 unique commenters weighing in regarding the gear marking requirements.  NOAA’s responses to the public comments are included in the final rule package in Appendix 1.1. </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color w:val="2F5496"/>
        </w:rPr>
      </w:pPr>
      <w:r>
        <w:rPr>
          <w:rFonts w:ascii="Times New Roman" w:hAnsi="Times New Roman" w:eastAsia="Times New Roman" w:cs="Times New Roman"/>
          <w:b/>
        </w:rPr>
        <w:t>9.</w:t>
      </w:r>
      <w:r>
        <w:rPr>
          <w:rFonts w:ascii="Times New Roman" w:hAnsi="Times New Roman" w:eastAsia="Times New Roman" w:cs="Times New Roman"/>
          <w:sz w:val="14"/>
          <w:szCs w:val="14"/>
        </w:rPr>
        <w:t xml:space="preserve"> </w:t>
      </w:r>
      <w:r w:rsidR="00F70041">
        <w:rPr>
          <w:rFonts w:ascii="Times New Roman" w:hAnsi="Times New Roman" w:eastAsia="Times New Roman" w:cs="Times New Roman"/>
          <w:sz w:val="14"/>
          <w:szCs w:val="14"/>
        </w:rPr>
        <w:tab/>
      </w:r>
      <w:r>
        <w:rPr>
          <w:rFonts w:ascii="Times New Roman" w:hAnsi="Times New Roman" w:eastAsia="Times New Roman" w:cs="Times New Roman"/>
          <w:b/>
        </w:rPr>
        <w:t>Explain any decision to provide any payment or gift to respondents, other than remuneration of contractors or grantees.</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color w:val="2F5496"/>
        </w:rPr>
      </w:pPr>
      <w:r>
        <w:rPr>
          <w:rFonts w:ascii="Times New Roman" w:hAnsi="Times New Roman" w:eastAsia="Times New Roman" w:cs="Times New Roman"/>
          <w:sz w:val="24"/>
          <w:szCs w:val="24"/>
        </w:rPr>
        <w:t>There are no payments or gifts provided to respondents.</w:t>
      </w:r>
    </w:p>
    <w:p w:rsidR="00447C1F" w:rsidRDefault="00447C1F">
      <w:pPr>
        <w:spacing w:line="240" w:lineRule="auto"/>
        <w:rPr>
          <w:rFonts w:ascii="Times New Roman" w:hAnsi="Times New Roman" w:eastAsia="Times New Roman" w:cs="Times New Roman"/>
          <w:b/>
        </w:rPr>
      </w:pPr>
    </w:p>
    <w:p w:rsidR="00447C1F" w:rsidRDefault="003365D0">
      <w:pPr>
        <w:spacing w:line="240" w:lineRule="auto"/>
        <w:rPr>
          <w:rFonts w:ascii="Times New Roman" w:hAnsi="Times New Roman" w:eastAsia="Times New Roman" w:cs="Times New Roman"/>
          <w:b/>
        </w:rPr>
      </w:pPr>
      <w:r>
        <w:rPr>
          <w:rFonts w:ascii="Times New Roman" w:hAnsi="Times New Roman" w:eastAsia="Times New Roman" w:cs="Times New Roman"/>
          <w:b/>
        </w:rPr>
        <w:lastRenderedPageBreak/>
        <w:t>10.</w:t>
      </w:r>
      <w:r w:rsidR="00F70041">
        <w:rPr>
          <w:rFonts w:ascii="Times New Roman" w:hAnsi="Times New Roman" w:eastAsia="Times New Roman" w:cs="Times New Roman"/>
          <w:b/>
        </w:rPr>
        <w:tab/>
      </w:r>
      <w:r>
        <w:rPr>
          <w:rFonts w:ascii="Times New Roman" w:hAnsi="Times New Roman" w:eastAsia="Times New Roman" w:cs="Times New Roman"/>
          <w:b/>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47C1F" w:rsidRDefault="00447C1F">
      <w:pPr>
        <w:keepNext/>
        <w:spacing w:line="240" w:lineRule="auto"/>
        <w:rPr>
          <w:rFonts w:ascii="Times New Roman" w:hAnsi="Times New Roman" w:eastAsia="Times New Roman" w:cs="Times New Roman"/>
          <w:sz w:val="24"/>
          <w:szCs w:val="24"/>
        </w:rPr>
      </w:pPr>
    </w:p>
    <w:p w:rsidR="00447C1F" w:rsidRDefault="003365D0">
      <w:pPr>
        <w:keepNext/>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stated in </w:t>
      </w:r>
      <w:hyperlink r:id="rId11">
        <w:r>
          <w:rPr>
            <w:rFonts w:ascii="Times New Roman" w:hAnsi="Times New Roman" w:eastAsia="Times New Roman" w:cs="Times New Roman"/>
            <w:color w:val="0000FF"/>
            <w:sz w:val="24"/>
            <w:szCs w:val="24"/>
            <w:u w:val="single"/>
          </w:rPr>
          <w:t>50 CFR 229.11</w:t>
        </w:r>
      </w:hyperlink>
      <w:r>
        <w:rPr>
          <w:rFonts w:ascii="Times New Roman" w:hAnsi="Times New Roman" w:eastAsia="Times New Roman" w:cs="Times New Roman"/>
          <w:sz w:val="24"/>
          <w:szCs w:val="24"/>
        </w:rPr>
        <w:t xml:space="preserve">, Protection of Confidential Fisheries Data, which also references </w:t>
      </w:r>
      <w:hyperlink r:id="rId12">
        <w:r>
          <w:rPr>
            <w:rFonts w:ascii="Times New Roman" w:hAnsi="Times New Roman" w:eastAsia="Times New Roman" w:cs="Times New Roman"/>
            <w:color w:val="0000FF"/>
            <w:sz w:val="24"/>
            <w:szCs w:val="24"/>
            <w:u w:val="single"/>
          </w:rPr>
          <w:t>NOAA Administrative Order 216-100</w:t>
        </w:r>
      </w:hyperlink>
      <w:r>
        <w:rPr>
          <w:rFonts w:ascii="Times New Roman" w:hAnsi="Times New Roman" w:eastAsia="Times New Roman" w:cs="Times New Roman"/>
          <w:sz w:val="24"/>
          <w:szCs w:val="24"/>
        </w:rPr>
        <w:t>, Protection of Confidential Fisheries Statistics, this information and any information leading to identification of the vessel owner is confidential.  The Magnuson-Stevens Fishery Conservation and Management Act, Section 402b, also applies. If gear analysis were to be traced to an individual, neither NMFS or any contractor assisting with gear analysis, will release this information in any format that could allow the public to identify any fisherman individually.</w:t>
      </w:r>
    </w:p>
    <w:p w:rsidR="00447C1F" w:rsidRDefault="00447C1F">
      <w:pPr>
        <w:keepNext/>
        <w:spacing w:line="240" w:lineRule="auto"/>
        <w:ind w:firstLine="720"/>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b/>
        </w:rPr>
      </w:pPr>
      <w:r>
        <w:rPr>
          <w:rFonts w:ascii="Times New Roman" w:hAnsi="Times New Roman" w:eastAsia="Times New Roman" w:cs="Times New Roman"/>
          <w:b/>
        </w:rPr>
        <w:t>11.</w:t>
      </w:r>
      <w:r w:rsidR="00F70041">
        <w:rPr>
          <w:rFonts w:ascii="Times New Roman" w:hAnsi="Times New Roman" w:eastAsia="Times New Roman" w:cs="Times New Roman"/>
          <w:sz w:val="14"/>
          <w:szCs w:val="14"/>
        </w:rPr>
        <w:tab/>
      </w:r>
      <w:r>
        <w:rPr>
          <w:rFonts w:ascii="Times New Roman" w:hAnsi="Times New Roman" w:eastAsia="Times New Roman" w:cs="Times New Roman"/>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 questions of a sensitive nature will be asked.</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b/>
        </w:rPr>
      </w:pPr>
      <w:r>
        <w:rPr>
          <w:rFonts w:ascii="Times New Roman" w:hAnsi="Times New Roman" w:eastAsia="Times New Roman" w:cs="Times New Roman"/>
          <w:b/>
        </w:rPr>
        <w:t>12.</w:t>
      </w:r>
      <w:r w:rsidR="00F70041">
        <w:rPr>
          <w:rFonts w:ascii="Times New Roman" w:hAnsi="Times New Roman" w:eastAsia="Times New Roman" w:cs="Times New Roman"/>
          <w:sz w:val="14"/>
          <w:szCs w:val="14"/>
        </w:rPr>
        <w:tab/>
      </w:r>
      <w:r>
        <w:rPr>
          <w:rFonts w:ascii="Times New Roman" w:hAnsi="Times New Roman" w:eastAsia="Times New Roman" w:cs="Times New Roman"/>
          <w:b/>
        </w:rPr>
        <w:t>Provide estimates of the hour burden of the collection of information.</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Table 3: Estimated hour burden for the collection of information.</w:t>
      </w:r>
    </w:p>
    <w:p w:rsidR="00447C1F" w:rsidRDefault="00447C1F">
      <w:pPr>
        <w:spacing w:line="240" w:lineRule="auto"/>
        <w:rPr>
          <w:rFonts w:ascii="Times New Roman" w:hAnsi="Times New Roman" w:eastAsia="Times New Roman" w:cs="Times New Roman"/>
          <w:sz w:val="24"/>
          <w:szCs w:val="24"/>
        </w:rPr>
      </w:pPr>
    </w:p>
    <w:tbl>
      <w:tblPr>
        <w:tblStyle w:val="af6"/>
        <w:tblW w:w="9570" w:type="dxa"/>
        <w:tblBorders>
          <w:top w:val="nil"/>
          <w:left w:val="nil"/>
          <w:bottom w:val="nil"/>
          <w:right w:val="nil"/>
          <w:insideH w:val="nil"/>
          <w:insideV w:val="nil"/>
        </w:tblBorders>
        <w:tblLayout w:type="fixed"/>
        <w:tblLook w:val="0600" w:firstRow="0" w:lastRow="0" w:firstColumn="0" w:lastColumn="0" w:noHBand="1" w:noVBand="1"/>
      </w:tblPr>
      <w:tblGrid>
        <w:gridCol w:w="980"/>
        <w:gridCol w:w="990"/>
        <w:gridCol w:w="1240"/>
        <w:gridCol w:w="1215"/>
        <w:gridCol w:w="1200"/>
        <w:gridCol w:w="930"/>
        <w:gridCol w:w="1035"/>
        <w:gridCol w:w="975"/>
        <w:gridCol w:w="1005"/>
      </w:tblGrid>
      <w:tr w:rsidR="00447C1F">
        <w:trPr>
          <w:trHeight w:val="1565"/>
        </w:trPr>
        <w:tc>
          <w:tcPr>
            <w:tcW w:w="980"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4"/>
                <w:szCs w:val="14"/>
              </w:rPr>
            </w:pPr>
            <w:r>
              <w:rPr>
                <w:rFonts w:ascii="Times New Roman" w:hAnsi="Times New Roman" w:eastAsia="Times New Roman" w:cs="Times New Roman"/>
                <w:b/>
                <w:sz w:val="14"/>
                <w:szCs w:val="14"/>
              </w:rPr>
              <w:t>Information Collection</w:t>
            </w:r>
          </w:p>
        </w:tc>
        <w:tc>
          <w:tcPr>
            <w:tcW w:w="990"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4"/>
                <w:szCs w:val="14"/>
              </w:rPr>
            </w:pPr>
            <w:r>
              <w:rPr>
                <w:rFonts w:ascii="Times New Roman" w:hAnsi="Times New Roman" w:eastAsia="Times New Roman" w:cs="Times New Roman"/>
                <w:b/>
                <w:sz w:val="14"/>
                <w:szCs w:val="14"/>
              </w:rPr>
              <w:t>Type of Respondent (e.g., Occupational Title)</w:t>
            </w:r>
          </w:p>
        </w:tc>
        <w:tc>
          <w:tcPr>
            <w:tcW w:w="1240"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4"/>
                <w:szCs w:val="14"/>
              </w:rPr>
            </w:pPr>
            <w:r>
              <w:rPr>
                <w:rFonts w:ascii="Times New Roman" w:hAnsi="Times New Roman" w:eastAsia="Times New Roman" w:cs="Times New Roman"/>
                <w:b/>
                <w:sz w:val="14"/>
                <w:szCs w:val="14"/>
              </w:rPr>
              <w:t>Number of Respondents /</w:t>
            </w:r>
          </w:p>
          <w:p w:rsidR="00447C1F" w:rsidRDefault="003365D0">
            <w:pPr>
              <w:spacing w:line="240" w:lineRule="auto"/>
              <w:ind w:left="-20"/>
              <w:jc w:val="center"/>
              <w:rPr>
                <w:rFonts w:ascii="Times New Roman" w:hAnsi="Times New Roman" w:eastAsia="Times New Roman" w:cs="Times New Roman"/>
                <w:b/>
                <w:sz w:val="14"/>
                <w:szCs w:val="14"/>
              </w:rPr>
            </w:pPr>
            <w:r>
              <w:rPr>
                <w:rFonts w:ascii="Times New Roman" w:hAnsi="Times New Roman" w:eastAsia="Times New Roman" w:cs="Times New Roman"/>
                <w:b/>
                <w:sz w:val="14"/>
                <w:szCs w:val="14"/>
              </w:rPr>
              <w:t>Year</w:t>
            </w:r>
          </w:p>
          <w:p w:rsidR="00447C1F" w:rsidRDefault="003365D0">
            <w:pPr>
              <w:spacing w:line="240" w:lineRule="auto"/>
              <w:ind w:left="-20"/>
              <w:jc w:val="center"/>
              <w:rPr>
                <w:rFonts w:ascii="Times New Roman" w:hAnsi="Times New Roman" w:eastAsia="Times New Roman" w:cs="Times New Roman"/>
                <w:b/>
                <w:sz w:val="14"/>
                <w:szCs w:val="14"/>
              </w:rPr>
            </w:pPr>
            <w:r>
              <w:rPr>
                <w:rFonts w:ascii="Times New Roman" w:hAnsi="Times New Roman" w:eastAsia="Times New Roman" w:cs="Times New Roman"/>
                <w:b/>
                <w:sz w:val="14"/>
                <w:szCs w:val="14"/>
              </w:rPr>
              <w:t>(a)</w:t>
            </w:r>
          </w:p>
        </w:tc>
        <w:tc>
          <w:tcPr>
            <w:tcW w:w="1215"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4"/>
                <w:szCs w:val="14"/>
              </w:rPr>
            </w:pPr>
            <w:r>
              <w:rPr>
                <w:rFonts w:ascii="Times New Roman" w:hAnsi="Times New Roman" w:eastAsia="Times New Roman" w:cs="Times New Roman"/>
                <w:b/>
                <w:sz w:val="14"/>
                <w:szCs w:val="14"/>
              </w:rPr>
              <w:t>Annual Number of Responses / Respondent</w:t>
            </w:r>
          </w:p>
          <w:p w:rsidR="00447C1F" w:rsidRDefault="00447C1F">
            <w:pPr>
              <w:spacing w:line="240" w:lineRule="auto"/>
              <w:ind w:left="-20"/>
              <w:jc w:val="center"/>
              <w:rPr>
                <w:rFonts w:ascii="Times New Roman" w:hAnsi="Times New Roman" w:eastAsia="Times New Roman" w:cs="Times New Roman"/>
                <w:b/>
                <w:sz w:val="14"/>
                <w:szCs w:val="14"/>
              </w:rPr>
            </w:pPr>
          </w:p>
          <w:p w:rsidR="00447C1F" w:rsidRDefault="003365D0">
            <w:pPr>
              <w:spacing w:line="240" w:lineRule="auto"/>
              <w:ind w:left="-20"/>
              <w:jc w:val="center"/>
              <w:rPr>
                <w:rFonts w:ascii="Times New Roman" w:hAnsi="Times New Roman" w:eastAsia="Times New Roman" w:cs="Times New Roman"/>
                <w:b/>
                <w:sz w:val="14"/>
                <w:szCs w:val="14"/>
              </w:rPr>
            </w:pPr>
            <w:r>
              <w:rPr>
                <w:rFonts w:ascii="Times New Roman" w:hAnsi="Times New Roman" w:eastAsia="Times New Roman" w:cs="Times New Roman"/>
                <w:b/>
                <w:sz w:val="14"/>
                <w:szCs w:val="14"/>
              </w:rPr>
              <w:t>(b)</w:t>
            </w:r>
          </w:p>
        </w:tc>
        <w:tc>
          <w:tcPr>
            <w:tcW w:w="1200"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4"/>
                <w:szCs w:val="14"/>
              </w:rPr>
            </w:pPr>
            <w:r>
              <w:rPr>
                <w:rFonts w:ascii="Times New Roman" w:hAnsi="Times New Roman" w:eastAsia="Times New Roman" w:cs="Times New Roman"/>
                <w:b/>
                <w:sz w:val="14"/>
                <w:szCs w:val="14"/>
              </w:rPr>
              <w:t xml:space="preserve"> Total # of Annual Responses</w:t>
            </w:r>
          </w:p>
          <w:p w:rsidR="00447C1F" w:rsidRDefault="003365D0">
            <w:pPr>
              <w:spacing w:line="240" w:lineRule="auto"/>
              <w:ind w:left="-20"/>
              <w:jc w:val="center"/>
              <w:rPr>
                <w:rFonts w:ascii="Times New Roman" w:hAnsi="Times New Roman" w:eastAsia="Times New Roman" w:cs="Times New Roman"/>
                <w:b/>
                <w:sz w:val="14"/>
                <w:szCs w:val="14"/>
              </w:rPr>
            </w:pPr>
            <w:r>
              <w:rPr>
                <w:rFonts w:ascii="Times New Roman" w:hAnsi="Times New Roman" w:eastAsia="Times New Roman" w:cs="Times New Roman"/>
                <w:b/>
                <w:sz w:val="14"/>
                <w:szCs w:val="14"/>
              </w:rPr>
              <w:t>(c) = (a) x (b)</w:t>
            </w:r>
          </w:p>
        </w:tc>
        <w:tc>
          <w:tcPr>
            <w:tcW w:w="930"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4"/>
                <w:szCs w:val="14"/>
              </w:rPr>
            </w:pPr>
            <w:r>
              <w:rPr>
                <w:rFonts w:ascii="Times New Roman" w:hAnsi="Times New Roman" w:eastAsia="Times New Roman" w:cs="Times New Roman"/>
                <w:b/>
                <w:sz w:val="14"/>
                <w:szCs w:val="14"/>
              </w:rPr>
              <w:t xml:space="preserve">Burden </w:t>
            </w:r>
            <w:proofErr w:type="spellStart"/>
            <w:r>
              <w:rPr>
                <w:rFonts w:ascii="Times New Roman" w:hAnsi="Times New Roman" w:eastAsia="Times New Roman" w:cs="Times New Roman"/>
                <w:b/>
                <w:sz w:val="14"/>
                <w:szCs w:val="14"/>
              </w:rPr>
              <w:t>Hrs</w:t>
            </w:r>
            <w:proofErr w:type="spellEnd"/>
            <w:r>
              <w:rPr>
                <w:rFonts w:ascii="Times New Roman" w:hAnsi="Times New Roman" w:eastAsia="Times New Roman" w:cs="Times New Roman"/>
                <w:b/>
                <w:sz w:val="14"/>
                <w:szCs w:val="14"/>
              </w:rPr>
              <w:t xml:space="preserve"> / Response</w:t>
            </w:r>
          </w:p>
          <w:p w:rsidR="00447C1F" w:rsidRDefault="003365D0">
            <w:pPr>
              <w:spacing w:line="240" w:lineRule="auto"/>
              <w:ind w:left="-20"/>
              <w:jc w:val="center"/>
              <w:rPr>
                <w:rFonts w:ascii="Times New Roman" w:hAnsi="Times New Roman" w:eastAsia="Times New Roman" w:cs="Times New Roman"/>
                <w:b/>
                <w:sz w:val="14"/>
                <w:szCs w:val="14"/>
              </w:rPr>
            </w:pPr>
            <w:r>
              <w:rPr>
                <w:rFonts w:ascii="Times New Roman" w:hAnsi="Times New Roman" w:eastAsia="Times New Roman" w:cs="Times New Roman"/>
                <w:b/>
                <w:sz w:val="14"/>
                <w:szCs w:val="14"/>
              </w:rPr>
              <w:t>(d)</w:t>
            </w:r>
          </w:p>
        </w:tc>
        <w:tc>
          <w:tcPr>
            <w:tcW w:w="1035"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4"/>
                <w:szCs w:val="14"/>
              </w:rPr>
            </w:pPr>
            <w:r>
              <w:rPr>
                <w:rFonts w:ascii="Times New Roman" w:hAnsi="Times New Roman" w:eastAsia="Times New Roman" w:cs="Times New Roman"/>
                <w:b/>
                <w:sz w:val="14"/>
                <w:szCs w:val="14"/>
              </w:rPr>
              <w:t xml:space="preserve">Total Annual Burden </w:t>
            </w:r>
            <w:proofErr w:type="spellStart"/>
            <w:r>
              <w:rPr>
                <w:rFonts w:ascii="Times New Roman" w:hAnsi="Times New Roman" w:eastAsia="Times New Roman" w:cs="Times New Roman"/>
                <w:b/>
                <w:sz w:val="14"/>
                <w:szCs w:val="14"/>
              </w:rPr>
              <w:t>Hrs</w:t>
            </w:r>
            <w:proofErr w:type="spellEnd"/>
          </w:p>
          <w:p w:rsidR="00447C1F" w:rsidRDefault="003365D0">
            <w:pPr>
              <w:spacing w:line="240" w:lineRule="auto"/>
              <w:ind w:left="-20"/>
              <w:jc w:val="center"/>
              <w:rPr>
                <w:rFonts w:ascii="Times New Roman" w:hAnsi="Times New Roman" w:eastAsia="Times New Roman" w:cs="Times New Roman"/>
                <w:b/>
                <w:sz w:val="14"/>
                <w:szCs w:val="14"/>
              </w:rPr>
            </w:pPr>
            <w:r>
              <w:rPr>
                <w:rFonts w:ascii="Times New Roman" w:hAnsi="Times New Roman" w:eastAsia="Times New Roman" w:cs="Times New Roman"/>
                <w:b/>
                <w:sz w:val="14"/>
                <w:szCs w:val="14"/>
              </w:rPr>
              <w:t>(e)  = (c) x (d)</w:t>
            </w:r>
          </w:p>
        </w:tc>
        <w:tc>
          <w:tcPr>
            <w:tcW w:w="975"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4"/>
                <w:szCs w:val="14"/>
              </w:rPr>
            </w:pPr>
            <w:r>
              <w:rPr>
                <w:rFonts w:ascii="Times New Roman" w:hAnsi="Times New Roman" w:eastAsia="Times New Roman" w:cs="Times New Roman"/>
                <w:b/>
                <w:sz w:val="14"/>
                <w:szCs w:val="14"/>
              </w:rPr>
              <w:t>Hourly Wage Rate  (for Type of Respondent)</w:t>
            </w:r>
          </w:p>
          <w:p w:rsidR="00447C1F" w:rsidRDefault="003365D0">
            <w:pPr>
              <w:spacing w:line="240" w:lineRule="auto"/>
              <w:ind w:left="-20"/>
              <w:jc w:val="center"/>
              <w:rPr>
                <w:rFonts w:ascii="Times New Roman" w:hAnsi="Times New Roman" w:eastAsia="Times New Roman" w:cs="Times New Roman"/>
                <w:b/>
                <w:sz w:val="14"/>
                <w:szCs w:val="14"/>
              </w:rPr>
            </w:pPr>
            <w:r>
              <w:rPr>
                <w:rFonts w:ascii="Times New Roman" w:hAnsi="Times New Roman" w:eastAsia="Times New Roman" w:cs="Times New Roman"/>
                <w:b/>
                <w:sz w:val="14"/>
                <w:szCs w:val="14"/>
              </w:rPr>
              <w:t>(f)</w:t>
            </w:r>
          </w:p>
        </w:tc>
        <w:tc>
          <w:tcPr>
            <w:tcW w:w="1005"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4"/>
                <w:szCs w:val="14"/>
              </w:rPr>
            </w:pPr>
            <w:r>
              <w:rPr>
                <w:rFonts w:ascii="Times New Roman" w:hAnsi="Times New Roman" w:eastAsia="Times New Roman" w:cs="Times New Roman"/>
                <w:b/>
                <w:sz w:val="14"/>
                <w:szCs w:val="14"/>
              </w:rPr>
              <w:t>Total Annual Wage Burden Costs</w:t>
            </w:r>
          </w:p>
          <w:p w:rsidR="00447C1F" w:rsidRDefault="003365D0">
            <w:pPr>
              <w:spacing w:line="240" w:lineRule="auto"/>
              <w:ind w:left="-20"/>
              <w:jc w:val="center"/>
              <w:rPr>
                <w:rFonts w:ascii="Times New Roman" w:hAnsi="Times New Roman" w:eastAsia="Times New Roman" w:cs="Times New Roman"/>
                <w:b/>
                <w:sz w:val="14"/>
                <w:szCs w:val="14"/>
              </w:rPr>
            </w:pPr>
            <w:r>
              <w:rPr>
                <w:rFonts w:ascii="Times New Roman" w:hAnsi="Times New Roman" w:eastAsia="Times New Roman" w:cs="Times New Roman"/>
                <w:b/>
                <w:sz w:val="14"/>
                <w:szCs w:val="14"/>
              </w:rPr>
              <w:t>(g) = (e) x (f)</w:t>
            </w:r>
          </w:p>
        </w:tc>
      </w:tr>
      <w:tr w:rsidR="00447C1F">
        <w:trPr>
          <w:trHeight w:val="500"/>
        </w:trPr>
        <w:tc>
          <w:tcPr>
            <w:tcW w:w="980"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b/>
                <w:sz w:val="16"/>
                <w:szCs w:val="16"/>
              </w:rPr>
            </w:pPr>
            <w:r>
              <w:rPr>
                <w:rFonts w:ascii="Times New Roman" w:hAnsi="Times New Roman" w:eastAsia="Times New Roman" w:cs="Times New Roman"/>
                <w:b/>
                <w:sz w:val="16"/>
                <w:szCs w:val="16"/>
              </w:rPr>
              <w:t>Gear marking on vertical buoy lines</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Fisherman</w:t>
            </w:r>
          </w:p>
        </w:tc>
        <w:tc>
          <w:tcPr>
            <w:tcW w:w="124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3,970 Vessels</w:t>
            </w:r>
          </w:p>
        </w:tc>
        <w:tc>
          <w:tcPr>
            <w:tcW w:w="121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389 Marks per vessel</w:t>
            </w:r>
          </w:p>
        </w:tc>
        <w:tc>
          <w:tcPr>
            <w:tcW w:w="120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1,544,</w:t>
            </w:r>
            <w:r w:rsidR="009E61D7">
              <w:rPr>
                <w:rFonts w:ascii="Times New Roman" w:hAnsi="Times New Roman" w:eastAsia="Times New Roman" w:cs="Times New Roman"/>
                <w:sz w:val="16"/>
                <w:szCs w:val="16"/>
              </w:rPr>
              <w:t>330</w:t>
            </w:r>
          </w:p>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total marks </w:t>
            </w:r>
          </w:p>
        </w:tc>
        <w:tc>
          <w:tcPr>
            <w:tcW w:w="93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Average 6.7-8.6 minutes per mark  </w:t>
            </w:r>
          </w:p>
        </w:tc>
        <w:tc>
          <w:tcPr>
            <w:tcW w:w="103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P="00D81B0E" w:rsidRDefault="002335D1">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221,354</w:t>
            </w:r>
            <w:r w:rsidR="003365D0">
              <w:rPr>
                <w:rFonts w:ascii="Times New Roman" w:hAnsi="Times New Roman" w:eastAsia="Times New Roman" w:cs="Times New Roman"/>
                <w:sz w:val="16"/>
                <w:szCs w:val="16"/>
              </w:rPr>
              <w:t xml:space="preserve"> hours</w:t>
            </w:r>
          </w:p>
        </w:tc>
        <w:tc>
          <w:tcPr>
            <w:tcW w:w="97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$25.15</w:t>
            </w:r>
          </w:p>
        </w:tc>
        <w:tc>
          <w:tcPr>
            <w:tcW w:w="100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P="00D81B0E" w:rsidRDefault="00D81B0E">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w:t>
            </w:r>
            <w:r w:rsidR="003365D0">
              <w:rPr>
                <w:rFonts w:ascii="Times New Roman" w:hAnsi="Times New Roman" w:eastAsia="Times New Roman" w:cs="Times New Roman"/>
                <w:sz w:val="16"/>
                <w:szCs w:val="16"/>
              </w:rPr>
              <w:t xml:space="preserve">5.6 million </w:t>
            </w:r>
          </w:p>
        </w:tc>
      </w:tr>
      <w:tr w:rsidR="00447C1F">
        <w:trPr>
          <w:trHeight w:val="815"/>
        </w:trPr>
        <w:tc>
          <w:tcPr>
            <w:tcW w:w="980" w:type="dxa"/>
            <w:tcBorders>
              <w:top w:val="nil"/>
              <w:left w:val="single" w:color="000000" w:sz="8" w:space="0"/>
              <w:bottom w:val="single" w:color="000000" w:sz="8" w:space="0"/>
              <w:right w:val="single" w:color="000000" w:sz="8" w:space="0"/>
            </w:tcBorders>
            <w:shd w:val="clear" w:color="auto" w:fill="DDEBF7"/>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b/>
              </w:rPr>
            </w:pPr>
            <w:r>
              <w:rPr>
                <w:rFonts w:ascii="Times New Roman" w:hAnsi="Times New Roman" w:eastAsia="Times New Roman" w:cs="Times New Roman"/>
                <w:b/>
                <w:sz w:val="16"/>
                <w:szCs w:val="16"/>
              </w:rPr>
              <w:t>Total</w:t>
            </w:r>
          </w:p>
        </w:tc>
        <w:tc>
          <w:tcPr>
            <w:tcW w:w="990" w:type="dxa"/>
            <w:tcBorders>
              <w:top w:val="nil"/>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b/>
              </w:rPr>
            </w:pPr>
            <w:r>
              <w:rPr>
                <w:rFonts w:ascii="Times New Roman" w:hAnsi="Times New Roman" w:eastAsia="Times New Roman" w:cs="Times New Roman"/>
                <w:b/>
              </w:rPr>
              <w:t xml:space="preserve"> </w:t>
            </w:r>
          </w:p>
        </w:tc>
        <w:tc>
          <w:tcPr>
            <w:tcW w:w="1240" w:type="dxa"/>
            <w:tcBorders>
              <w:top w:val="nil"/>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b/>
              </w:rPr>
            </w:pPr>
            <w:r>
              <w:rPr>
                <w:rFonts w:ascii="Times New Roman" w:hAnsi="Times New Roman" w:eastAsia="Times New Roman" w:cs="Times New Roman"/>
                <w:b/>
              </w:rPr>
              <w:t xml:space="preserve"> </w:t>
            </w:r>
          </w:p>
        </w:tc>
        <w:tc>
          <w:tcPr>
            <w:tcW w:w="1215" w:type="dxa"/>
            <w:tcBorders>
              <w:top w:val="nil"/>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b/>
              </w:rPr>
            </w:pPr>
            <w:r>
              <w:rPr>
                <w:rFonts w:ascii="Times New Roman" w:hAnsi="Times New Roman" w:eastAsia="Times New Roman" w:cs="Times New Roman"/>
                <w:b/>
              </w:rPr>
              <w:t xml:space="preserve"> </w:t>
            </w:r>
          </w:p>
        </w:tc>
        <w:tc>
          <w:tcPr>
            <w:tcW w:w="1200" w:type="dxa"/>
            <w:tcBorders>
              <w:top w:val="nil"/>
              <w:left w:val="nil"/>
              <w:bottom w:val="single" w:color="000000" w:sz="8" w:space="0"/>
              <w:right w:val="single" w:color="000000" w:sz="8" w:space="0"/>
            </w:tcBorders>
            <w:shd w:val="clear" w:color="auto" w:fill="DDEBF7"/>
            <w:tcMar>
              <w:top w:w="100" w:type="dxa"/>
              <w:left w:w="100" w:type="dxa"/>
              <w:bottom w:w="100" w:type="dxa"/>
              <w:right w:w="100" w:type="dxa"/>
            </w:tcMar>
            <w:vAlign w:val="bottom"/>
          </w:tcPr>
          <w:p w:rsidR="00447C1F" w:rsidP="009E61D7" w:rsidRDefault="003365D0">
            <w:pPr>
              <w:spacing w:line="240" w:lineRule="auto"/>
              <w:rPr>
                <w:rFonts w:ascii="Times New Roman" w:hAnsi="Times New Roman" w:eastAsia="Times New Roman" w:cs="Times New Roman"/>
                <w:b/>
              </w:rPr>
            </w:pPr>
            <w:r>
              <w:rPr>
                <w:rFonts w:ascii="Times New Roman" w:hAnsi="Times New Roman" w:eastAsia="Times New Roman" w:cs="Times New Roman"/>
                <w:sz w:val="16"/>
                <w:szCs w:val="16"/>
              </w:rPr>
              <w:t>1,544,</w:t>
            </w:r>
            <w:r w:rsidR="009E61D7">
              <w:rPr>
                <w:rFonts w:ascii="Times New Roman" w:hAnsi="Times New Roman" w:eastAsia="Times New Roman" w:cs="Times New Roman"/>
                <w:sz w:val="16"/>
                <w:szCs w:val="16"/>
              </w:rPr>
              <w:t>330</w:t>
            </w:r>
            <w:r>
              <w:rPr>
                <w:rFonts w:ascii="Times New Roman" w:hAnsi="Times New Roman" w:eastAsia="Times New Roman" w:cs="Times New Roman"/>
                <w:sz w:val="16"/>
                <w:szCs w:val="16"/>
              </w:rPr>
              <w:t xml:space="preserve"> Total marks </w:t>
            </w:r>
          </w:p>
        </w:tc>
        <w:tc>
          <w:tcPr>
            <w:tcW w:w="930" w:type="dxa"/>
            <w:tcBorders>
              <w:top w:val="nil"/>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b/>
              </w:rPr>
            </w:pPr>
            <w:r>
              <w:rPr>
                <w:rFonts w:ascii="Times New Roman" w:hAnsi="Times New Roman" w:eastAsia="Times New Roman" w:cs="Times New Roman"/>
                <w:b/>
              </w:rPr>
              <w:t xml:space="preserve"> </w:t>
            </w:r>
          </w:p>
        </w:tc>
        <w:tc>
          <w:tcPr>
            <w:tcW w:w="103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P="00D81B0E" w:rsidRDefault="002335D1">
            <w:pPr>
              <w:spacing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221,354</w:t>
            </w:r>
            <w:r w:rsidR="003365D0">
              <w:rPr>
                <w:rFonts w:ascii="Times New Roman" w:hAnsi="Times New Roman" w:eastAsia="Times New Roman" w:cs="Times New Roman"/>
                <w:sz w:val="16"/>
                <w:szCs w:val="16"/>
              </w:rPr>
              <w:t xml:space="preserve"> hours</w:t>
            </w:r>
          </w:p>
        </w:tc>
        <w:tc>
          <w:tcPr>
            <w:tcW w:w="975" w:type="dxa"/>
            <w:tcBorders>
              <w:top w:val="nil"/>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b/>
              </w:rPr>
            </w:pPr>
            <w:r>
              <w:rPr>
                <w:rFonts w:ascii="Times New Roman" w:hAnsi="Times New Roman" w:eastAsia="Times New Roman" w:cs="Times New Roman"/>
                <w:b/>
              </w:rPr>
              <w:t xml:space="preserve"> </w:t>
            </w:r>
          </w:p>
        </w:tc>
        <w:tc>
          <w:tcPr>
            <w:tcW w:w="1005" w:type="dxa"/>
            <w:tcBorders>
              <w:top w:val="nil"/>
              <w:left w:val="nil"/>
              <w:bottom w:val="single" w:color="000000" w:sz="8" w:space="0"/>
              <w:right w:val="single" w:color="000000" w:sz="8" w:space="0"/>
            </w:tcBorders>
            <w:shd w:val="clear" w:color="auto" w:fill="DDEBF7"/>
            <w:tcMar>
              <w:top w:w="100" w:type="dxa"/>
              <w:left w:w="100" w:type="dxa"/>
              <w:bottom w:w="100" w:type="dxa"/>
              <w:right w:w="100" w:type="dxa"/>
            </w:tcMar>
            <w:vAlign w:val="bottom"/>
          </w:tcPr>
          <w:p w:rsidR="00447C1F" w:rsidP="00D81B0E" w:rsidRDefault="003365D0">
            <w:pPr>
              <w:spacing w:line="240" w:lineRule="auto"/>
              <w:rPr>
                <w:rFonts w:ascii="Times New Roman" w:hAnsi="Times New Roman" w:eastAsia="Times New Roman" w:cs="Times New Roman"/>
                <w:b/>
              </w:rPr>
            </w:pPr>
            <w:r>
              <w:rPr>
                <w:rFonts w:ascii="Times New Roman" w:hAnsi="Times New Roman" w:eastAsia="Times New Roman" w:cs="Times New Roman"/>
                <w:b/>
              </w:rPr>
              <w:t xml:space="preserve"> </w:t>
            </w:r>
            <w:r w:rsidR="00D81B0E">
              <w:rPr>
                <w:rFonts w:ascii="Times New Roman" w:hAnsi="Times New Roman" w:eastAsia="Times New Roman" w:cs="Times New Roman"/>
                <w:sz w:val="16"/>
                <w:szCs w:val="16"/>
              </w:rPr>
              <w:t>$</w:t>
            </w:r>
            <w:r>
              <w:rPr>
                <w:rFonts w:ascii="Times New Roman" w:hAnsi="Times New Roman" w:eastAsia="Times New Roman" w:cs="Times New Roman"/>
                <w:sz w:val="16"/>
                <w:szCs w:val="16"/>
              </w:rPr>
              <w:t xml:space="preserve">5.6 million </w:t>
            </w:r>
          </w:p>
        </w:tc>
      </w:tr>
    </w:tbl>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Using information from Atlantic coastal states, federal permitting, and vessel trip reports, NOAA has identified the number of vessels and buoy lines actively fished, as well as the total number of marks required.  As seen in the table below, we estimate that there are approximately 3,970 vessels that need to remark an average of 389 marks each year.  Each mark takes between approximately 6.7 and 8.6 minutes to apply, depending on the size of the mark and method used - using twine may take up to 10 minutes, while painting or using tape only takes about 2 minutes per mark.  Applying the annual hourly wage rate for fishermen of $25.15, results in a total estimated annual wage burden cost of $4.3 to 5.6 million dollars.  Gear marking in LMA 3 is an </w:t>
      </w:r>
      <w:r>
        <w:rPr>
          <w:rFonts w:ascii="Times New Roman" w:hAnsi="Times New Roman" w:eastAsia="Times New Roman" w:cs="Times New Roman"/>
          <w:sz w:val="24"/>
          <w:szCs w:val="24"/>
        </w:rPr>
        <w:lastRenderedPageBreak/>
        <w:t xml:space="preserve">annual requirement and previous assessments did not evaluate the annual cost of replacement, so that calculation has also been updated. </w:t>
      </w:r>
    </w:p>
    <w:p w:rsidR="00447C1F" w:rsidRDefault="00447C1F">
      <w:pPr>
        <w:spacing w:line="240" w:lineRule="auto"/>
        <w:rPr>
          <w:rFonts w:ascii="Times New Roman" w:hAnsi="Times New Roman" w:eastAsia="Times New Roman" w:cs="Times New Roman"/>
          <w:sz w:val="24"/>
          <w:szCs w:val="24"/>
        </w:rPr>
      </w:pPr>
    </w:p>
    <w:p w:rsidR="00447C1F" w:rsidRDefault="003365D0">
      <w:pPr>
        <w:widowControl w:val="0"/>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cost model to calculate wage rate assigns an implicit value to fishermen’s time based on labor rates in professions they would pursue if not involved in fishing.  This is the “opportunity cost” of time.  To identify alternative professions, the analysis relies on responses provided to a survey administered by the Gulf of Maine Research Institute in 2005 (GMRI, 2006).  The GMRI survey asked a sample of 1,158 randomly selected lobstermen a variety of questions regarding education, vessel characteristics, fishing effort, and other aspects of their work.  Compiled and published in 2006, the survey findings guide a number of assumptions in the cost and socioeconomic analysis presented in the environmental impact analysis.</w:t>
      </w:r>
    </w:p>
    <w:p w:rsidR="00447C1F" w:rsidRDefault="003365D0">
      <w:pPr>
        <w:widowControl w:val="0"/>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447C1F" w:rsidRDefault="003365D0">
      <w:pPr>
        <w:widowControl w:val="0"/>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When asked about alternative professions, the GMRI survey respondents most commonly indicated that they would be involved in carpentry, other trades, vessel maintenance, merchant marine activity, or another aspect of commercial fishing (i.e., harvesting other species, boat maintenance).  The cost analysis uses the distribution of responses to develop a weighted average wage rate of $25.15 that reflects the opportunity cost of a fisherman’s time. </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color w:val="263238"/>
          <w:sz w:val="20"/>
          <w:szCs w:val="20"/>
        </w:rPr>
      </w:pPr>
      <w:r>
        <w:rPr>
          <w:rFonts w:ascii="Times New Roman" w:hAnsi="Times New Roman" w:eastAsia="Times New Roman" w:cs="Times New Roman"/>
          <w:sz w:val="24"/>
          <w:szCs w:val="24"/>
        </w:rPr>
        <w:t>GMRI, Lobster Socioeconomic Impact Survey, prepared by Market Decisions, prepared for Laura Taylor Singer and Daniel S. Holland, November 16, 2006.</w:t>
      </w:r>
    </w:p>
    <w:p w:rsidR="00447C1F" w:rsidRDefault="00447C1F">
      <w:pPr>
        <w:spacing w:line="240" w:lineRule="auto"/>
        <w:rPr>
          <w:rFonts w:ascii="Times New Roman" w:hAnsi="Times New Roman" w:eastAsia="Times New Roman" w:cs="Times New Roman"/>
          <w:color w:val="263238"/>
          <w:sz w:val="20"/>
          <w:szCs w:val="20"/>
        </w:rPr>
      </w:pPr>
    </w:p>
    <w:p w:rsidR="00447C1F" w:rsidRDefault="003365D0">
      <w:pPr>
        <w:spacing w:line="240" w:lineRule="auto"/>
        <w:rPr>
          <w:rFonts w:ascii="Times New Roman" w:hAnsi="Times New Roman" w:eastAsia="Times New Roman" w:cs="Times New Roman"/>
          <w:b/>
        </w:rPr>
      </w:pPr>
      <w:r>
        <w:rPr>
          <w:rFonts w:ascii="Times New Roman" w:hAnsi="Times New Roman" w:eastAsia="Times New Roman" w:cs="Times New Roman"/>
          <w:b/>
        </w:rPr>
        <w:t>13.</w:t>
      </w:r>
      <w:r w:rsidR="00F70041">
        <w:rPr>
          <w:rFonts w:ascii="Times New Roman" w:hAnsi="Times New Roman" w:eastAsia="Times New Roman" w:cs="Times New Roman"/>
          <w:sz w:val="14"/>
          <w:szCs w:val="14"/>
        </w:rPr>
        <w:tab/>
      </w:r>
      <w:r>
        <w:rPr>
          <w:rFonts w:ascii="Times New Roman" w:hAnsi="Times New Roman" w:eastAsia="Times New Roman" w:cs="Times New Roman"/>
          <w:b/>
        </w:rPr>
        <w:t>Provide an estimate for the total annual cost burden to respondents or record keepers resulting from the collection of information. (Do not include the cost of any hour burden already reflected on the burden worksheet).</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Table 4: Estimated total annual cost burden to respondents resulting from the collection of information.</w:t>
      </w:r>
    </w:p>
    <w:p w:rsidR="00447C1F" w:rsidRDefault="003365D0">
      <w:pPr>
        <w:spacing w:line="240" w:lineRule="auto"/>
        <w:rPr>
          <w:rFonts w:ascii="Times New Roman" w:hAnsi="Times New Roman" w:eastAsia="Times New Roman" w:cs="Times New Roman"/>
          <w:b/>
        </w:rPr>
      </w:pPr>
      <w:r>
        <w:rPr>
          <w:rFonts w:ascii="Times New Roman" w:hAnsi="Times New Roman" w:eastAsia="Times New Roman" w:cs="Times New Roman"/>
          <w:b/>
        </w:rPr>
        <w:t xml:space="preserve"> </w:t>
      </w:r>
    </w:p>
    <w:tbl>
      <w:tblPr>
        <w:tblStyle w:val="af7"/>
        <w:tblW w:w="9330"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1860"/>
        <w:gridCol w:w="1860"/>
        <w:gridCol w:w="1380"/>
        <w:gridCol w:w="1485"/>
        <w:gridCol w:w="1380"/>
        <w:gridCol w:w="1365"/>
      </w:tblGrid>
      <w:tr w:rsidR="00447C1F">
        <w:trPr>
          <w:trHeight w:val="1115"/>
        </w:trPr>
        <w:tc>
          <w:tcPr>
            <w:tcW w:w="1860" w:type="dxa"/>
            <w:tcBorders>
              <w:top w:val="single" w:color="000000" w:sz="8" w:space="0"/>
              <w:left w:val="single" w:color="000000" w:sz="8" w:space="0"/>
              <w:bottom w:val="single" w:color="000000" w:sz="8" w:space="0"/>
              <w:right w:val="single" w:color="000000" w:sz="8" w:space="0"/>
            </w:tcBorders>
            <w:shd w:val="clear" w:color="auto" w:fill="BDD7EE"/>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Information Collection</w:t>
            </w:r>
          </w:p>
        </w:tc>
        <w:tc>
          <w:tcPr>
            <w:tcW w:w="1860"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Number of Respondents/year</w:t>
            </w:r>
          </w:p>
          <w:p w:rsidR="00447C1F" w:rsidRDefault="003365D0">
            <w:pPr>
              <w:spacing w:line="240" w:lineRule="auto"/>
              <w:ind w:left="-2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(a)</w:t>
            </w:r>
          </w:p>
        </w:tc>
        <w:tc>
          <w:tcPr>
            <w:tcW w:w="1380"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Annual Number of Responses / Respondent</w:t>
            </w:r>
          </w:p>
          <w:p w:rsidR="00447C1F" w:rsidRDefault="003365D0">
            <w:pPr>
              <w:spacing w:line="240" w:lineRule="auto"/>
              <w:ind w:left="-2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(b)</w:t>
            </w:r>
          </w:p>
        </w:tc>
        <w:tc>
          <w:tcPr>
            <w:tcW w:w="1485"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 Total Number of Annual Responses</w:t>
            </w:r>
          </w:p>
          <w:p w:rsidR="00447C1F" w:rsidRDefault="003365D0">
            <w:pPr>
              <w:spacing w:line="240" w:lineRule="auto"/>
              <w:ind w:left="-2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(c) = (a) x (b)</w:t>
            </w:r>
          </w:p>
        </w:tc>
        <w:tc>
          <w:tcPr>
            <w:tcW w:w="1380"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Cost Burden / Respondent</w:t>
            </w:r>
          </w:p>
          <w:p w:rsidR="00447C1F" w:rsidRDefault="003365D0">
            <w:pPr>
              <w:spacing w:line="240" w:lineRule="auto"/>
              <w:ind w:left="-2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(h)</w:t>
            </w:r>
          </w:p>
        </w:tc>
        <w:tc>
          <w:tcPr>
            <w:tcW w:w="1365" w:type="dxa"/>
            <w:tcBorders>
              <w:top w:val="single" w:color="000000" w:sz="8" w:space="0"/>
              <w:left w:val="nil"/>
              <w:bottom w:val="single" w:color="000000" w:sz="8" w:space="0"/>
              <w:right w:val="single" w:color="000000" w:sz="8" w:space="0"/>
            </w:tcBorders>
            <w:shd w:val="clear" w:color="auto" w:fill="BDD7EE"/>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Total Annual Cost Burden</w:t>
            </w:r>
          </w:p>
          <w:p w:rsidR="00447C1F" w:rsidRDefault="003365D0">
            <w:pPr>
              <w:spacing w:line="240" w:lineRule="auto"/>
              <w:ind w:left="-2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w:t>
            </w:r>
            <w:proofErr w:type="spellStart"/>
            <w:r>
              <w:rPr>
                <w:rFonts w:ascii="Times New Roman" w:hAnsi="Times New Roman" w:eastAsia="Times New Roman" w:cs="Times New Roman"/>
                <w:b/>
                <w:sz w:val="16"/>
                <w:szCs w:val="16"/>
              </w:rPr>
              <w:t>i</w:t>
            </w:r>
            <w:proofErr w:type="spellEnd"/>
            <w:r>
              <w:rPr>
                <w:rFonts w:ascii="Times New Roman" w:hAnsi="Times New Roman" w:eastAsia="Times New Roman" w:cs="Times New Roman"/>
                <w:b/>
                <w:sz w:val="16"/>
                <w:szCs w:val="16"/>
              </w:rPr>
              <w:t>) = (c) x (h)</w:t>
            </w:r>
          </w:p>
        </w:tc>
      </w:tr>
      <w:tr w:rsidR="00447C1F">
        <w:trPr>
          <w:trHeight w:val="500"/>
        </w:trPr>
        <w:tc>
          <w:tcPr>
            <w:tcW w:w="186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447C1F" w:rsidRDefault="003365D0">
            <w:pPr>
              <w:spacing w:line="240" w:lineRule="auto"/>
              <w:ind w:left="-20"/>
              <w:rPr>
                <w:rFonts w:ascii="Times New Roman" w:hAnsi="Times New Roman" w:eastAsia="Times New Roman" w:cs="Times New Roman"/>
                <w:b/>
                <w:sz w:val="16"/>
                <w:szCs w:val="16"/>
              </w:rPr>
            </w:pPr>
            <w:r>
              <w:rPr>
                <w:rFonts w:ascii="Times New Roman" w:hAnsi="Times New Roman" w:eastAsia="Times New Roman" w:cs="Times New Roman"/>
                <w:b/>
                <w:sz w:val="16"/>
                <w:szCs w:val="16"/>
              </w:rPr>
              <w:t>Gear marking on vertical buoy lines</w:t>
            </w:r>
          </w:p>
        </w:tc>
        <w:tc>
          <w:tcPr>
            <w:tcW w:w="1860" w:type="dxa"/>
            <w:tcBorders>
              <w:top w:val="nil"/>
              <w:left w:val="nil"/>
              <w:bottom w:val="single" w:color="000000" w:sz="8" w:space="0"/>
              <w:right w:val="single" w:color="000000" w:sz="8" w:space="0"/>
            </w:tcBorders>
            <w:shd w:val="clear" w:color="auto" w:fill="FFFFFF"/>
            <w:tcMar>
              <w:top w:w="100" w:type="dxa"/>
              <w:left w:w="100" w:type="dxa"/>
              <w:bottom w:w="100" w:type="dxa"/>
              <w:right w:w="100" w:type="dxa"/>
            </w:tcMar>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3,970 Vessels per year  </w:t>
            </w:r>
          </w:p>
        </w:tc>
        <w:tc>
          <w:tcPr>
            <w:tcW w:w="138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Average 570 feet (174 m) of marking per vessel</w:t>
            </w:r>
          </w:p>
        </w:tc>
        <w:tc>
          <w:tcPr>
            <w:tcW w:w="148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2,264,078</w:t>
            </w:r>
          </w:p>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total feet 690,091 m) of marking </w:t>
            </w:r>
          </w:p>
        </w:tc>
        <w:tc>
          <w:tcPr>
            <w:tcW w:w="1380" w:type="dxa"/>
            <w:tcBorders>
              <w:top w:val="nil"/>
              <w:left w:val="nil"/>
              <w:bottom w:val="single" w:color="000000" w:sz="8" w:space="0"/>
              <w:right w:val="single" w:color="000000" w:sz="8" w:space="0"/>
            </w:tcBorders>
            <w:shd w:val="clear" w:color="auto" w:fill="FFFFFF"/>
            <w:tcMar>
              <w:top w:w="100" w:type="dxa"/>
              <w:left w:w="100" w:type="dxa"/>
              <w:bottom w:w="100" w:type="dxa"/>
              <w:right w:w="100" w:type="dxa"/>
            </w:tcMar>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$22.81-67.15 per vessel  </w:t>
            </w:r>
          </w:p>
        </w:tc>
        <w:tc>
          <w:tcPr>
            <w:tcW w:w="1365" w:type="dxa"/>
            <w:tcBorders>
              <w:top w:val="nil"/>
              <w:left w:val="nil"/>
              <w:bottom w:val="single" w:color="000000" w:sz="8" w:space="0"/>
              <w:right w:val="single" w:color="000000" w:sz="8" w:space="0"/>
            </w:tcBorders>
            <w:shd w:val="clear" w:color="auto" w:fill="FFFFFF"/>
            <w:tcMar>
              <w:top w:w="100" w:type="dxa"/>
              <w:left w:w="100" w:type="dxa"/>
              <w:bottom w:w="100" w:type="dxa"/>
              <w:right w:w="100" w:type="dxa"/>
            </w:tcMar>
          </w:tcPr>
          <w:p w:rsidR="00447C1F" w:rsidP="00D81B0E"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$266,594</w:t>
            </w:r>
          </w:p>
        </w:tc>
      </w:tr>
      <w:tr w:rsidR="00447C1F" w:rsidTr="00CB583F">
        <w:trPr>
          <w:trHeight w:val="515"/>
        </w:trPr>
        <w:tc>
          <w:tcPr>
            <w:tcW w:w="1860" w:type="dxa"/>
            <w:tcBorders>
              <w:top w:val="nil"/>
              <w:left w:val="single" w:color="000000" w:sz="8" w:space="0"/>
              <w:bottom w:val="single" w:color="000000" w:sz="8" w:space="0"/>
              <w:right w:val="single" w:color="000000" w:sz="8" w:space="0"/>
            </w:tcBorders>
            <w:shd w:val="clear" w:color="auto" w:fill="DDEBF7"/>
            <w:tcMar>
              <w:top w:w="100" w:type="dxa"/>
              <w:left w:w="100" w:type="dxa"/>
              <w:bottom w:w="100" w:type="dxa"/>
              <w:right w:w="100" w:type="dxa"/>
            </w:tcMar>
          </w:tcPr>
          <w:p w:rsidR="00447C1F" w:rsidRDefault="003365D0">
            <w:pPr>
              <w:spacing w:line="240" w:lineRule="auto"/>
              <w:ind w:left="-20"/>
              <w:rPr>
                <w:rFonts w:ascii="Times New Roman" w:hAnsi="Times New Roman" w:eastAsia="Times New Roman" w:cs="Times New Roman"/>
                <w:b/>
                <w:sz w:val="16"/>
                <w:szCs w:val="16"/>
              </w:rPr>
            </w:pPr>
            <w:r>
              <w:rPr>
                <w:rFonts w:ascii="Times New Roman" w:hAnsi="Times New Roman" w:eastAsia="Times New Roman" w:cs="Times New Roman"/>
                <w:b/>
                <w:sz w:val="16"/>
                <w:szCs w:val="16"/>
              </w:rPr>
              <w:t>TOTAL</w:t>
            </w:r>
          </w:p>
        </w:tc>
        <w:tc>
          <w:tcPr>
            <w:tcW w:w="1860" w:type="dxa"/>
            <w:tcBorders>
              <w:top w:val="nil"/>
              <w:left w:val="nil"/>
              <w:bottom w:val="single" w:color="000000" w:sz="8" w:space="0"/>
              <w:right w:val="single" w:color="000000" w:sz="8" w:space="0"/>
            </w:tcBorders>
            <w:shd w:val="clear" w:color="auto" w:fill="DBE5F1" w:themeFill="accent1" w:themeFillTint="33"/>
            <w:tcMar>
              <w:top w:w="100" w:type="dxa"/>
              <w:left w:w="100" w:type="dxa"/>
              <w:bottom w:w="100" w:type="dxa"/>
              <w:right w:w="100" w:type="dxa"/>
            </w:tcMar>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3,970 Vessels per year  </w:t>
            </w:r>
          </w:p>
        </w:tc>
        <w:tc>
          <w:tcPr>
            <w:tcW w:w="1380" w:type="dxa"/>
            <w:tcBorders>
              <w:top w:val="nil"/>
              <w:left w:val="nil"/>
              <w:bottom w:val="single" w:color="000000" w:sz="8" w:space="0"/>
              <w:right w:val="single" w:color="000000" w:sz="8" w:space="0"/>
            </w:tcBorders>
            <w:shd w:val="clear" w:color="auto" w:fill="DBE5F1" w:themeFill="accent1" w:themeFillTint="33"/>
            <w:tcMar>
              <w:top w:w="100" w:type="dxa"/>
              <w:left w:w="100" w:type="dxa"/>
              <w:bottom w:w="100" w:type="dxa"/>
              <w:right w:w="100" w:type="dxa"/>
            </w:tcMar>
            <w:vAlign w:val="bottom"/>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Average 570 feet (174 m) of marking per vessel</w:t>
            </w:r>
          </w:p>
        </w:tc>
        <w:tc>
          <w:tcPr>
            <w:tcW w:w="1485" w:type="dxa"/>
            <w:tcBorders>
              <w:top w:val="nil"/>
              <w:left w:val="nil"/>
              <w:bottom w:val="single" w:color="000000" w:sz="8" w:space="0"/>
              <w:right w:val="single" w:color="000000" w:sz="8" w:space="0"/>
            </w:tcBorders>
            <w:shd w:val="clear" w:color="auto" w:fill="DBE5F1" w:themeFill="accent1" w:themeFillTint="33"/>
            <w:tcMar>
              <w:top w:w="100" w:type="dxa"/>
              <w:left w:w="100" w:type="dxa"/>
              <w:bottom w:w="100" w:type="dxa"/>
              <w:right w:w="100" w:type="dxa"/>
            </w:tcMar>
            <w:vAlign w:val="bottom"/>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2,264,078</w:t>
            </w:r>
          </w:p>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total feet (690,091 m) of marking </w:t>
            </w:r>
          </w:p>
        </w:tc>
        <w:tc>
          <w:tcPr>
            <w:tcW w:w="1380" w:type="dxa"/>
            <w:tcBorders>
              <w:top w:val="nil"/>
              <w:left w:val="nil"/>
              <w:bottom w:val="single" w:color="000000" w:sz="8" w:space="0"/>
              <w:right w:val="single" w:color="000000" w:sz="8" w:space="0"/>
            </w:tcBorders>
            <w:shd w:val="clear" w:color="auto" w:fill="DBE5F1" w:themeFill="accent1" w:themeFillTint="33"/>
            <w:tcMar>
              <w:top w:w="100" w:type="dxa"/>
              <w:left w:w="100" w:type="dxa"/>
              <w:bottom w:w="100" w:type="dxa"/>
              <w:right w:w="100" w:type="dxa"/>
            </w:tcMar>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$22.81-67.15 per vessel  </w:t>
            </w:r>
          </w:p>
        </w:tc>
        <w:tc>
          <w:tcPr>
            <w:tcW w:w="1365" w:type="dxa"/>
            <w:tcBorders>
              <w:top w:val="nil"/>
              <w:left w:val="nil"/>
              <w:bottom w:val="single" w:color="000000" w:sz="8" w:space="0"/>
              <w:right w:val="single" w:color="000000" w:sz="8" w:space="0"/>
            </w:tcBorders>
            <w:shd w:val="clear" w:color="auto" w:fill="DBE5F1" w:themeFill="accent1" w:themeFillTint="33"/>
            <w:tcMar>
              <w:top w:w="100" w:type="dxa"/>
              <w:left w:w="100" w:type="dxa"/>
              <w:bottom w:w="100" w:type="dxa"/>
              <w:right w:w="100" w:type="dxa"/>
            </w:tcMar>
          </w:tcPr>
          <w:p w:rsidR="00447C1F" w:rsidP="00D81B0E"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$266,594</w:t>
            </w:r>
          </w:p>
        </w:tc>
      </w:tr>
    </w:tbl>
    <w:p w:rsidR="00447C1F" w:rsidRDefault="00447C1F">
      <w:pPr>
        <w:spacing w:line="240" w:lineRule="auto"/>
        <w:rPr>
          <w:rFonts w:ascii="Times New Roman" w:hAnsi="Times New Roman" w:eastAsia="Times New Roman" w:cs="Times New Roman"/>
          <w:b/>
        </w:rPr>
      </w:pPr>
    </w:p>
    <w:p w:rsidRPr="00024FB9" w:rsidR="00024FB9" w:rsidRDefault="003365D0">
      <w:pPr>
        <w:spacing w:line="240" w:lineRule="auto"/>
        <w:rPr>
          <w:rFonts w:ascii="Times New Roman" w:hAnsi="Times New Roman" w:cs="Times New Roman"/>
          <w:color w:val="222222"/>
          <w:sz w:val="24"/>
          <w:szCs w:val="24"/>
          <w:shd w:val="clear" w:color="auto" w:fill="FFFFFF"/>
        </w:rPr>
      </w:pPr>
      <w:r>
        <w:rPr>
          <w:rFonts w:ascii="Times New Roman" w:hAnsi="Times New Roman" w:eastAsia="Times New Roman" w:cs="Times New Roman"/>
          <w:sz w:val="24"/>
          <w:szCs w:val="24"/>
        </w:rPr>
        <w:t>The estimated cost for materials for this information collection is between $22.81-67.15 per vessel per year</w:t>
      </w:r>
      <w:r w:rsidRPr="00024FB9">
        <w:rPr>
          <w:rFonts w:ascii="Times New Roman" w:hAnsi="Times New Roman" w:eastAsia="Times New Roman" w:cs="Times New Roman"/>
          <w:sz w:val="24"/>
          <w:szCs w:val="24"/>
        </w:rPr>
        <w:t xml:space="preserve">.  </w:t>
      </w:r>
      <w:r w:rsidR="005D289E">
        <w:rPr>
          <w:rFonts w:ascii="Times New Roman" w:hAnsi="Times New Roman" w:eastAsia="Times New Roman" w:cs="Times New Roman"/>
          <w:sz w:val="24"/>
          <w:szCs w:val="24"/>
        </w:rPr>
        <w:t>The total footage of marks for all vessels is 2,264,078 feet (690,091 meters), or an average of 570 feet (174 meters)</w:t>
      </w:r>
      <w:r w:rsidR="005D289E">
        <w:rPr>
          <w:rFonts w:ascii="Times New Roman" w:hAnsi="Times New Roman" w:eastAsia="Times New Roman" w:cs="Times New Roman"/>
          <w:sz w:val="16"/>
          <w:szCs w:val="16"/>
        </w:rPr>
        <w:t xml:space="preserve"> </w:t>
      </w:r>
      <w:r w:rsidR="005D289E">
        <w:rPr>
          <w:rFonts w:ascii="Times New Roman" w:hAnsi="Times New Roman" w:eastAsia="Times New Roman" w:cs="Times New Roman"/>
          <w:sz w:val="24"/>
          <w:szCs w:val="24"/>
        </w:rPr>
        <w:t>of marks per vessel.</w:t>
      </w:r>
      <w:r w:rsidR="005D289E">
        <w:rPr>
          <w:rFonts w:ascii="Times New Roman" w:hAnsi="Times New Roman" w:eastAsia="Times New Roman" w:cs="Times New Roman"/>
          <w:sz w:val="24"/>
          <w:szCs w:val="24"/>
        </w:rPr>
        <w:t xml:space="preserve">  </w:t>
      </w:r>
      <w:r w:rsidRPr="00024FB9" w:rsidR="00024FB9">
        <w:rPr>
          <w:rFonts w:ascii="Times New Roman" w:hAnsi="Times New Roman" w:cs="Times New Roman"/>
          <w:color w:val="222222"/>
          <w:sz w:val="24"/>
          <w:szCs w:val="24"/>
          <w:shd w:val="clear" w:color="auto" w:fill="FFFFFF"/>
        </w:rPr>
        <w:t>The total lines consist of lines in state and federal waters.</w:t>
      </w:r>
    </w:p>
    <w:p w:rsidRPr="00024FB9" w:rsidR="00024FB9" w:rsidRDefault="00024FB9">
      <w:pPr>
        <w:spacing w:line="240" w:lineRule="auto"/>
        <w:rPr>
          <w:rFonts w:ascii="Times New Roman" w:hAnsi="Times New Roman" w:eastAsia="Times New Roman" w:cs="Times New Roman"/>
          <w:sz w:val="24"/>
          <w:szCs w:val="24"/>
        </w:rPr>
      </w:pPr>
    </w:p>
    <w:p w:rsidRPr="004A6970" w:rsidR="00024FB9" w:rsidRDefault="00024FB9">
      <w:pPr>
        <w:spacing w:line="240" w:lineRule="auto"/>
        <w:rPr>
          <w:rFonts w:ascii="Times New Roman" w:hAnsi="Times New Roman" w:eastAsia="Times New Roman" w:cs="Times New Roman"/>
          <w:sz w:val="24"/>
          <w:szCs w:val="24"/>
        </w:rPr>
      </w:pPr>
      <w:r w:rsidRPr="004A6970">
        <w:rPr>
          <w:rFonts w:ascii="Times New Roman" w:hAnsi="Times New Roman" w:cs="Times New Roman"/>
          <w:color w:val="222222"/>
          <w:sz w:val="24"/>
          <w:szCs w:val="24"/>
          <w:shd w:val="clear" w:color="auto" w:fill="FFFFFF"/>
        </w:rPr>
        <w:lastRenderedPageBreak/>
        <w:t xml:space="preserve">For the lower bound cost, we assume all lines </w:t>
      </w:r>
      <w:r w:rsidRPr="004A6970" w:rsidR="005D289E">
        <w:rPr>
          <w:rFonts w:ascii="Times New Roman" w:hAnsi="Times New Roman" w:cs="Times New Roman"/>
          <w:color w:val="222222"/>
          <w:sz w:val="24"/>
          <w:szCs w:val="24"/>
          <w:shd w:val="clear" w:color="auto" w:fill="FFFFFF"/>
        </w:rPr>
        <w:t xml:space="preserve">(federal and state) </w:t>
      </w:r>
      <w:r w:rsidRPr="004A6970">
        <w:rPr>
          <w:rFonts w:ascii="Times New Roman" w:hAnsi="Times New Roman" w:cs="Times New Roman"/>
          <w:color w:val="222222"/>
          <w:sz w:val="24"/>
          <w:szCs w:val="24"/>
          <w:shd w:val="clear" w:color="auto" w:fill="FFFFFF"/>
        </w:rPr>
        <w:t>are using tape</w:t>
      </w:r>
      <w:r w:rsidRPr="004A6970">
        <w:rPr>
          <w:rFonts w:ascii="Times New Roman" w:hAnsi="Times New Roman" w:cs="Times New Roman"/>
          <w:color w:val="222222"/>
          <w:sz w:val="24"/>
          <w:szCs w:val="24"/>
          <w:shd w:val="clear" w:color="auto" w:fill="FFFFFF"/>
        </w:rPr>
        <w:t xml:space="preserve"> and t</w:t>
      </w:r>
      <w:r w:rsidRPr="004A6970" w:rsidR="003365D0">
        <w:rPr>
          <w:rFonts w:ascii="Times New Roman" w:hAnsi="Times New Roman" w:eastAsia="Times New Roman" w:cs="Times New Roman"/>
          <w:sz w:val="24"/>
          <w:szCs w:val="24"/>
        </w:rPr>
        <w:t xml:space="preserve">he lower end of this estimation is based on the cost of standard duct tape, which is approximately $5 for 2” x 60 yards, or $0.17 per square foot.  When wrapped around a ⅜-inch line, one foot of duct tape will cost $0.04 per foot.  </w:t>
      </w:r>
      <w:r w:rsidRPr="004A6970" w:rsidR="005D289E">
        <w:rPr>
          <w:rFonts w:ascii="Times New Roman" w:hAnsi="Times New Roman" w:eastAsia="Times New Roman" w:cs="Times New Roman"/>
          <w:sz w:val="24"/>
          <w:szCs w:val="24"/>
        </w:rPr>
        <w:t>The lower bound cost is $22.81 per year per vessel (570 feet/vessel * $0.04).</w:t>
      </w:r>
    </w:p>
    <w:p w:rsidRPr="004A6970" w:rsidR="00024FB9" w:rsidRDefault="00024FB9">
      <w:pPr>
        <w:spacing w:line="240" w:lineRule="auto"/>
        <w:rPr>
          <w:rFonts w:ascii="Times New Roman" w:hAnsi="Times New Roman" w:eastAsia="Times New Roman" w:cs="Times New Roman"/>
          <w:sz w:val="24"/>
          <w:szCs w:val="24"/>
        </w:rPr>
      </w:pPr>
    </w:p>
    <w:p w:rsidRPr="004A6970" w:rsidR="00024FB9" w:rsidP="00024FB9" w:rsidRDefault="003365D0">
      <w:pPr>
        <w:rPr>
          <w:rFonts w:ascii="Times New Roman" w:hAnsi="Times New Roman" w:eastAsia="Times New Roman" w:cs="Times New Roman"/>
          <w:sz w:val="24"/>
          <w:szCs w:val="24"/>
          <w:lang w:val="en-US"/>
        </w:rPr>
      </w:pPr>
      <w:r w:rsidRPr="004A6970">
        <w:rPr>
          <w:rFonts w:ascii="Times New Roman" w:hAnsi="Times New Roman" w:eastAsia="Times New Roman" w:cs="Times New Roman"/>
          <w:sz w:val="24"/>
          <w:szCs w:val="24"/>
        </w:rPr>
        <w:t xml:space="preserve">The upper end of the cost estimate assumes that vessels in federal waters would use rope twines instead of paint or tape, because they are more likely to apply the federal water gear marks during the trip, where tape or paint could not be applied well on wet ropes.  </w:t>
      </w:r>
      <w:r w:rsidRPr="004A6970" w:rsidR="00EB70C8">
        <w:rPr>
          <w:rFonts w:ascii="Times New Roman" w:hAnsi="Times New Roman" w:eastAsia="Times New Roman" w:cs="Times New Roman"/>
          <w:sz w:val="24"/>
          <w:szCs w:val="24"/>
        </w:rPr>
        <w:t>It costs up to 50 cents for a 16-inch piece of twine which could make a one-foot mark.</w:t>
      </w:r>
      <w:r w:rsidRPr="004A6970" w:rsidR="00EB70C8">
        <w:rPr>
          <w:rFonts w:ascii="Times New Roman" w:hAnsi="Times New Roman" w:eastAsia="Times New Roman" w:cs="Times New Roman"/>
          <w:sz w:val="24"/>
          <w:szCs w:val="24"/>
        </w:rPr>
        <w:t xml:space="preserve">  </w:t>
      </w:r>
      <w:proofErr w:type="spellStart"/>
      <w:r w:rsidRPr="004A6970" w:rsidR="00024FB9">
        <w:rPr>
          <w:rFonts w:ascii="Times New Roman" w:hAnsi="Times New Roman" w:eastAsia="Times New Roman" w:cs="Times New Roman"/>
          <w:sz w:val="24"/>
          <w:szCs w:val="24"/>
        </w:rPr>
        <w:t>T</w:t>
      </w:r>
      <w:r w:rsidRPr="004A6970" w:rsidR="00024FB9">
        <w:rPr>
          <w:rFonts w:ascii="Times New Roman" w:hAnsi="Times New Roman" w:eastAsia="Times New Roman" w:cs="Times New Roman"/>
          <w:color w:val="222222"/>
          <w:sz w:val="24"/>
          <w:szCs w:val="24"/>
          <w:shd w:val="clear" w:color="auto" w:fill="FFFFFF"/>
          <w:lang w:val="en-US"/>
        </w:rPr>
        <w:t>o</w:t>
      </w:r>
      <w:proofErr w:type="spellEnd"/>
      <w:r w:rsidRPr="004A6970" w:rsidR="00024FB9">
        <w:rPr>
          <w:rFonts w:ascii="Times New Roman" w:hAnsi="Times New Roman" w:eastAsia="Times New Roman" w:cs="Times New Roman"/>
          <w:color w:val="222222"/>
          <w:sz w:val="24"/>
          <w:szCs w:val="24"/>
          <w:shd w:val="clear" w:color="auto" w:fill="FFFFFF"/>
          <w:lang w:val="en-US"/>
        </w:rPr>
        <w:t xml:space="preserve"> get the total upper bound costs, we added the cost of twine on the federal portion of lines with the state portion of line costs which are assumed to use tapes.  </w:t>
      </w:r>
      <w:proofErr w:type="spellStart"/>
      <w:r w:rsidRPr="004A6970" w:rsidR="00024FB9">
        <w:rPr>
          <w:rFonts w:ascii="Times New Roman" w:hAnsi="Times New Roman" w:eastAsia="Times New Roman" w:cs="Times New Roman"/>
          <w:color w:val="222222"/>
          <w:sz w:val="24"/>
          <w:szCs w:val="24"/>
          <w:shd w:val="clear" w:color="auto" w:fill="FFFFFF"/>
          <w:lang w:val="en-US"/>
        </w:rPr>
        <w:t>T</w:t>
      </w:r>
      <w:r w:rsidRPr="004A6970" w:rsidR="00024FB9">
        <w:rPr>
          <w:rFonts w:ascii="Times New Roman" w:hAnsi="Times New Roman" w:cs="Times New Roman"/>
          <w:color w:val="222222"/>
          <w:sz w:val="24"/>
          <w:szCs w:val="24"/>
          <w:shd w:val="clear" w:color="auto" w:fill="FFFFFF"/>
        </w:rPr>
        <w:t>he</w:t>
      </w:r>
      <w:proofErr w:type="spellEnd"/>
      <w:r w:rsidRPr="004A6970" w:rsidR="00024FB9">
        <w:rPr>
          <w:rFonts w:ascii="Times New Roman" w:hAnsi="Times New Roman" w:cs="Times New Roman"/>
          <w:color w:val="222222"/>
          <w:sz w:val="24"/>
          <w:szCs w:val="24"/>
          <w:shd w:val="clear" w:color="auto" w:fill="FFFFFF"/>
        </w:rPr>
        <w:t xml:space="preserve"> federal portion of lines has a total length of 3,826,760 </w:t>
      </w:r>
      <w:proofErr w:type="spellStart"/>
      <w:r w:rsidRPr="004A6970" w:rsidR="00024FB9">
        <w:rPr>
          <w:rFonts w:ascii="Times New Roman" w:hAnsi="Times New Roman" w:cs="Times New Roman"/>
          <w:color w:val="222222"/>
          <w:sz w:val="24"/>
          <w:szCs w:val="24"/>
          <w:shd w:val="clear" w:color="auto" w:fill="FFFFFF"/>
        </w:rPr>
        <w:t>ft</w:t>
      </w:r>
      <w:proofErr w:type="spellEnd"/>
      <w:r w:rsidRPr="004A6970" w:rsidR="00024FB9">
        <w:rPr>
          <w:rFonts w:ascii="Times New Roman" w:hAnsi="Times New Roman" w:cs="Times New Roman"/>
          <w:color w:val="222222"/>
          <w:sz w:val="24"/>
          <w:szCs w:val="24"/>
          <w:shd w:val="clear" w:color="auto" w:fill="FFFFFF"/>
        </w:rPr>
        <w:t xml:space="preserve">, </w:t>
      </w:r>
      <w:r w:rsidRPr="004A6970" w:rsidR="00024FB9">
        <w:rPr>
          <w:rFonts w:ascii="Times New Roman" w:hAnsi="Times New Roman" w:cs="Times New Roman"/>
          <w:color w:val="222222"/>
          <w:sz w:val="24"/>
          <w:szCs w:val="24"/>
          <w:shd w:val="clear" w:color="auto" w:fill="FFFFFF"/>
        </w:rPr>
        <w:t>(</w:t>
      </w:r>
      <w:r w:rsidRPr="004A6970" w:rsidR="00024FB9">
        <w:rPr>
          <w:rFonts w:ascii="Times New Roman" w:hAnsi="Times New Roman" w:cs="Times New Roman"/>
          <w:color w:val="222222"/>
          <w:sz w:val="24"/>
          <w:szCs w:val="24"/>
          <w:shd w:val="clear" w:color="auto" w:fill="FFFFFF"/>
        </w:rPr>
        <w:t>9</w:t>
      </w:r>
      <w:r w:rsidRPr="004A6970" w:rsidR="00024FB9">
        <w:rPr>
          <w:rFonts w:ascii="Times New Roman" w:hAnsi="Times New Roman" w:cs="Times New Roman"/>
          <w:color w:val="222222"/>
          <w:sz w:val="24"/>
          <w:szCs w:val="24"/>
          <w:shd w:val="clear" w:color="auto" w:fill="FFFFFF"/>
        </w:rPr>
        <w:t>6.39</w:t>
      </w:r>
      <w:r w:rsidRPr="004A6970" w:rsidR="00024FB9">
        <w:rPr>
          <w:rFonts w:ascii="Times New Roman" w:hAnsi="Times New Roman" w:cs="Times New Roman"/>
          <w:color w:val="222222"/>
          <w:sz w:val="24"/>
          <w:szCs w:val="24"/>
          <w:shd w:val="clear" w:color="auto" w:fill="FFFFFF"/>
        </w:rPr>
        <w:t xml:space="preserve"> </w:t>
      </w:r>
      <w:proofErr w:type="spellStart"/>
      <w:r w:rsidRPr="004A6970" w:rsidR="00024FB9">
        <w:rPr>
          <w:rFonts w:ascii="Times New Roman" w:hAnsi="Times New Roman" w:cs="Times New Roman"/>
          <w:color w:val="222222"/>
          <w:sz w:val="24"/>
          <w:szCs w:val="24"/>
          <w:shd w:val="clear" w:color="auto" w:fill="FFFFFF"/>
        </w:rPr>
        <w:t>ft</w:t>
      </w:r>
      <w:proofErr w:type="spellEnd"/>
      <w:r w:rsidRPr="004A6970" w:rsidR="00024FB9">
        <w:rPr>
          <w:rFonts w:ascii="Times New Roman" w:hAnsi="Times New Roman" w:cs="Times New Roman"/>
          <w:color w:val="222222"/>
          <w:sz w:val="24"/>
          <w:szCs w:val="24"/>
          <w:shd w:val="clear" w:color="auto" w:fill="FFFFFF"/>
        </w:rPr>
        <w:t xml:space="preserve"> for each vessel</w:t>
      </w:r>
      <w:r w:rsidRPr="004A6970" w:rsidR="00024FB9">
        <w:rPr>
          <w:rFonts w:ascii="Times New Roman" w:hAnsi="Times New Roman" w:cs="Times New Roman"/>
          <w:color w:val="222222"/>
          <w:sz w:val="24"/>
          <w:szCs w:val="24"/>
          <w:shd w:val="clear" w:color="auto" w:fill="FFFFFF"/>
        </w:rPr>
        <w:t>)</w:t>
      </w:r>
      <w:r w:rsidRPr="004A6970" w:rsidR="00024FB9">
        <w:rPr>
          <w:rFonts w:ascii="Times New Roman" w:hAnsi="Times New Roman" w:cs="Times New Roman"/>
          <w:color w:val="222222"/>
          <w:sz w:val="24"/>
          <w:szCs w:val="24"/>
          <w:shd w:val="clear" w:color="auto" w:fill="FFFFFF"/>
        </w:rPr>
        <w:t>.</w:t>
      </w:r>
      <w:r w:rsidRPr="004A6970" w:rsidR="00EB70C8">
        <w:rPr>
          <w:rFonts w:ascii="Times New Roman" w:hAnsi="Times New Roman" w:cs="Times New Roman"/>
          <w:color w:val="222222"/>
          <w:sz w:val="24"/>
          <w:szCs w:val="24"/>
          <w:shd w:val="clear" w:color="auto" w:fill="FFFFFF"/>
        </w:rPr>
        <w:t xml:space="preserve">  At a cost of $0.50 for a one-foot mark, the total federal line cost is $48.19 per vessel.</w:t>
      </w:r>
      <w:r w:rsidRPr="004A6970" w:rsidR="00024FB9">
        <w:rPr>
          <w:rFonts w:ascii="Times New Roman" w:hAnsi="Times New Roman" w:cs="Times New Roman"/>
          <w:color w:val="222222"/>
          <w:sz w:val="24"/>
          <w:szCs w:val="24"/>
          <w:shd w:val="clear" w:color="auto" w:fill="FFFFFF"/>
        </w:rPr>
        <w:t xml:space="preserve"> </w:t>
      </w:r>
      <w:r w:rsidRPr="004A6970" w:rsidR="00024FB9">
        <w:rPr>
          <w:rFonts w:ascii="Times New Roman" w:hAnsi="Times New Roman" w:eastAsia="Times New Roman" w:cs="Times New Roman"/>
          <w:color w:val="222222"/>
          <w:sz w:val="24"/>
          <w:szCs w:val="24"/>
          <w:shd w:val="clear" w:color="auto" w:fill="FFFFFF"/>
          <w:lang w:val="en-US"/>
        </w:rPr>
        <w:t xml:space="preserve">The total state line length is 1,881,402 </w:t>
      </w:r>
      <w:proofErr w:type="spellStart"/>
      <w:r w:rsidRPr="004A6970" w:rsidR="00024FB9">
        <w:rPr>
          <w:rFonts w:ascii="Times New Roman" w:hAnsi="Times New Roman" w:eastAsia="Times New Roman" w:cs="Times New Roman"/>
          <w:color w:val="222222"/>
          <w:sz w:val="24"/>
          <w:szCs w:val="24"/>
          <w:shd w:val="clear" w:color="auto" w:fill="FFFFFF"/>
          <w:lang w:val="en-US"/>
        </w:rPr>
        <w:t>ft</w:t>
      </w:r>
      <w:proofErr w:type="spellEnd"/>
      <w:r w:rsidRPr="004A6970" w:rsidR="00024FB9">
        <w:rPr>
          <w:rFonts w:ascii="Times New Roman" w:hAnsi="Times New Roman" w:eastAsia="Times New Roman" w:cs="Times New Roman"/>
          <w:color w:val="222222"/>
          <w:sz w:val="24"/>
          <w:szCs w:val="24"/>
          <w:shd w:val="clear" w:color="auto" w:fill="FFFFFF"/>
          <w:lang w:val="en-US"/>
        </w:rPr>
        <w:t xml:space="preserve">, </w:t>
      </w:r>
      <w:r w:rsidRPr="004A6970" w:rsidR="00EB70C8">
        <w:rPr>
          <w:rFonts w:ascii="Times New Roman" w:hAnsi="Times New Roman" w:eastAsia="Times New Roman" w:cs="Times New Roman"/>
          <w:color w:val="222222"/>
          <w:sz w:val="24"/>
          <w:szCs w:val="24"/>
          <w:shd w:val="clear" w:color="auto" w:fill="FFFFFF"/>
          <w:lang w:val="en-US"/>
        </w:rPr>
        <w:t>(</w:t>
      </w:r>
      <w:r w:rsidRPr="004A6970" w:rsidR="00024FB9">
        <w:rPr>
          <w:rFonts w:ascii="Times New Roman" w:hAnsi="Times New Roman" w:eastAsia="Times New Roman" w:cs="Times New Roman"/>
          <w:color w:val="222222"/>
          <w:sz w:val="24"/>
          <w:szCs w:val="24"/>
          <w:shd w:val="clear" w:color="auto" w:fill="FFFFFF"/>
          <w:lang w:val="en-US"/>
        </w:rPr>
        <w:t xml:space="preserve">474 </w:t>
      </w:r>
      <w:proofErr w:type="spellStart"/>
      <w:r w:rsidRPr="004A6970" w:rsidR="00024FB9">
        <w:rPr>
          <w:rFonts w:ascii="Times New Roman" w:hAnsi="Times New Roman" w:eastAsia="Times New Roman" w:cs="Times New Roman"/>
          <w:color w:val="222222"/>
          <w:sz w:val="24"/>
          <w:szCs w:val="24"/>
          <w:shd w:val="clear" w:color="auto" w:fill="FFFFFF"/>
          <w:lang w:val="en-US"/>
        </w:rPr>
        <w:t>ft</w:t>
      </w:r>
      <w:proofErr w:type="spellEnd"/>
      <w:r w:rsidRPr="004A6970" w:rsidR="00024FB9">
        <w:rPr>
          <w:rFonts w:ascii="Times New Roman" w:hAnsi="Times New Roman" w:eastAsia="Times New Roman" w:cs="Times New Roman"/>
          <w:color w:val="222222"/>
          <w:sz w:val="24"/>
          <w:szCs w:val="24"/>
          <w:shd w:val="clear" w:color="auto" w:fill="FFFFFF"/>
          <w:lang w:val="en-US"/>
        </w:rPr>
        <w:t xml:space="preserve"> per vessel</w:t>
      </w:r>
      <w:r w:rsidRPr="004A6970" w:rsidR="00EB70C8">
        <w:rPr>
          <w:rFonts w:ascii="Times New Roman" w:hAnsi="Times New Roman" w:eastAsia="Times New Roman" w:cs="Times New Roman"/>
          <w:color w:val="222222"/>
          <w:sz w:val="24"/>
          <w:szCs w:val="24"/>
          <w:shd w:val="clear" w:color="auto" w:fill="FFFFFF"/>
          <w:lang w:val="en-US"/>
        </w:rPr>
        <w:t xml:space="preserve">).  At a cost of $0.04 per foot, the total state line cost per vessel is </w:t>
      </w:r>
      <w:r w:rsidRPr="004A6970" w:rsidR="00024FB9">
        <w:rPr>
          <w:rFonts w:ascii="Times New Roman" w:hAnsi="Times New Roman" w:eastAsia="Times New Roman" w:cs="Times New Roman"/>
          <w:color w:val="222222"/>
          <w:sz w:val="24"/>
          <w:szCs w:val="24"/>
          <w:shd w:val="clear" w:color="auto" w:fill="FFFFFF"/>
          <w:lang w:val="en-US"/>
        </w:rPr>
        <w:t>$18.96</w:t>
      </w:r>
      <w:r w:rsidRPr="004A6970" w:rsidR="00EB70C8">
        <w:rPr>
          <w:rFonts w:ascii="Times New Roman" w:hAnsi="Times New Roman" w:eastAsia="Times New Roman" w:cs="Times New Roman"/>
          <w:color w:val="222222"/>
          <w:sz w:val="24"/>
          <w:szCs w:val="24"/>
          <w:shd w:val="clear" w:color="auto" w:fill="FFFFFF"/>
          <w:lang w:val="en-US"/>
        </w:rPr>
        <w:t xml:space="preserve">. </w:t>
      </w:r>
      <w:r w:rsidR="004A6970">
        <w:rPr>
          <w:rFonts w:ascii="Times New Roman" w:hAnsi="Times New Roman" w:eastAsia="Times New Roman" w:cs="Times New Roman"/>
          <w:color w:val="222222"/>
          <w:sz w:val="24"/>
          <w:szCs w:val="24"/>
          <w:shd w:val="clear" w:color="auto" w:fill="FFFFFF"/>
          <w:lang w:val="en-US"/>
        </w:rPr>
        <w:t xml:space="preserve"> </w:t>
      </w:r>
      <w:r w:rsidRPr="004A6970" w:rsidR="00EB70C8">
        <w:rPr>
          <w:rFonts w:ascii="Times New Roman" w:hAnsi="Times New Roman" w:eastAsia="Times New Roman" w:cs="Times New Roman"/>
          <w:color w:val="222222"/>
          <w:sz w:val="24"/>
          <w:szCs w:val="24"/>
          <w:shd w:val="clear" w:color="auto" w:fill="FFFFFF"/>
          <w:lang w:val="en-US"/>
        </w:rPr>
        <w:t>Combining these two portions together, the upper bound cost is $48.19 + $18.96 = $67.15 per vessel.</w:t>
      </w:r>
      <w:r w:rsidRPr="004A6970" w:rsidR="00024FB9">
        <w:rPr>
          <w:rFonts w:ascii="Times New Roman" w:hAnsi="Times New Roman" w:eastAsia="Times New Roman" w:cs="Times New Roman"/>
          <w:color w:val="222222"/>
          <w:sz w:val="24"/>
          <w:szCs w:val="24"/>
          <w:shd w:val="clear" w:color="auto" w:fill="FFFFFF"/>
          <w:lang w:val="en-US"/>
        </w:rPr>
        <w:t> </w:t>
      </w:r>
      <w:r w:rsidRPr="004A6970" w:rsidR="005D289E">
        <w:rPr>
          <w:rFonts w:ascii="Times New Roman" w:hAnsi="Times New Roman" w:eastAsia="Times New Roman" w:cs="Times New Roman"/>
          <w:color w:val="222222"/>
          <w:sz w:val="24"/>
          <w:szCs w:val="24"/>
          <w:shd w:val="clear" w:color="auto" w:fill="FFFFFF"/>
          <w:lang w:val="en-US"/>
        </w:rPr>
        <w:t xml:space="preserve"> </w:t>
      </w:r>
    </w:p>
    <w:p w:rsidRPr="00024FB9" w:rsidR="00024FB9" w:rsidP="00024FB9" w:rsidRDefault="00024FB9">
      <w:pPr>
        <w:shd w:val="clear" w:color="auto" w:fill="FFFFFF"/>
        <w:spacing w:line="240" w:lineRule="auto"/>
        <w:rPr>
          <w:rFonts w:ascii="Times New Roman" w:hAnsi="Times New Roman" w:eastAsia="Times New Roman" w:cs="Times New Roman"/>
          <w:color w:val="222222"/>
          <w:sz w:val="24"/>
          <w:szCs w:val="24"/>
          <w:lang w:val="en-US"/>
        </w:rPr>
      </w:pPr>
    </w:p>
    <w:p w:rsidRPr="004A6970" w:rsidR="00447C1F" w:rsidRDefault="003365D0">
      <w:pPr>
        <w:spacing w:line="240" w:lineRule="auto"/>
        <w:rPr>
          <w:rFonts w:ascii="Times New Roman" w:hAnsi="Times New Roman" w:eastAsia="Times New Roman" w:cs="Times New Roman"/>
          <w:sz w:val="24"/>
          <w:szCs w:val="24"/>
        </w:rPr>
      </w:pPr>
      <w:bookmarkStart w:name="_GoBack" w:id="2"/>
      <w:bookmarkEnd w:id="2"/>
      <w:r w:rsidRPr="004A6970">
        <w:rPr>
          <w:rFonts w:ascii="Times New Roman" w:hAnsi="Times New Roman" w:eastAsia="Times New Roman" w:cs="Times New Roman"/>
          <w:sz w:val="24"/>
          <w:szCs w:val="24"/>
        </w:rPr>
        <w:t xml:space="preserve">There is no record keeping burden with this rulemaking. </w:t>
      </w:r>
    </w:p>
    <w:p w:rsidR="00447C1F" w:rsidRDefault="00447C1F">
      <w:pPr>
        <w:spacing w:line="240" w:lineRule="auto"/>
        <w:rPr>
          <w:rFonts w:ascii="Times New Roman" w:hAnsi="Times New Roman" w:eastAsia="Times New Roman" w:cs="Times New Roman"/>
        </w:rPr>
      </w:pPr>
    </w:p>
    <w:p w:rsidR="00447C1F" w:rsidRDefault="003365D0">
      <w:pPr>
        <w:spacing w:line="240" w:lineRule="auto"/>
        <w:rPr>
          <w:rFonts w:ascii="Times New Roman" w:hAnsi="Times New Roman" w:eastAsia="Times New Roman" w:cs="Times New Roman"/>
          <w:color w:val="2F5496"/>
        </w:rPr>
      </w:pPr>
      <w:r>
        <w:rPr>
          <w:rFonts w:ascii="Times New Roman" w:hAnsi="Times New Roman" w:eastAsia="Times New Roman" w:cs="Times New Roman"/>
          <w:b/>
        </w:rPr>
        <w:t>14.</w:t>
      </w:r>
      <w:r w:rsidR="00F70041">
        <w:rPr>
          <w:rFonts w:ascii="Times New Roman" w:hAnsi="Times New Roman" w:eastAsia="Times New Roman" w:cs="Times New Roman"/>
          <w:sz w:val="14"/>
          <w:szCs w:val="14"/>
        </w:rPr>
        <w:tab/>
      </w:r>
      <w:r>
        <w:rPr>
          <w:rFonts w:ascii="Times New Roman" w:hAnsi="Times New Roman" w:eastAsia="Times New Roman" w:cs="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Based on 40 hours of effort and 6 hours of supervisory review per year to prepare this collection of information, the total cost to the government is $2,012.33 per year.  The total cost to the government was calculated using the Standard Pay Table for Performance Payout System, for the Boston, MA area Scientific &amp; Technical positions, issued on December 26, 2019.</w:t>
      </w:r>
    </w:p>
    <w:p w:rsidR="00447C1F" w:rsidRDefault="00447C1F">
      <w:pPr>
        <w:spacing w:line="240" w:lineRule="auto"/>
        <w:rPr>
          <w:rFonts w:ascii="Times New Roman" w:hAnsi="Times New Roman" w:eastAsia="Times New Roman" w:cs="Times New Roman"/>
        </w:rPr>
      </w:pPr>
    </w:p>
    <w:p w:rsidR="00447C1F" w:rsidRDefault="004A6970">
      <w:pPr>
        <w:spacing w:line="240" w:lineRule="auto"/>
        <w:rPr>
          <w:rFonts w:ascii="Times New Roman" w:hAnsi="Times New Roman" w:eastAsia="Times New Roman" w:cs="Times New Roman"/>
          <w:sz w:val="24"/>
          <w:szCs w:val="24"/>
        </w:rPr>
      </w:pPr>
      <w:hyperlink r:id="rId13">
        <w:r w:rsidR="003365D0">
          <w:rPr>
            <w:rFonts w:ascii="Times New Roman" w:hAnsi="Times New Roman" w:eastAsia="Times New Roman" w:cs="Times New Roman"/>
            <w:sz w:val="24"/>
            <w:szCs w:val="24"/>
          </w:rPr>
          <w:t>https://www.commerce.gov/sites/default/files/2020-01/2020%20rpstandard.pdf</w:t>
        </w:r>
      </w:hyperlink>
      <w:r w:rsidR="003365D0">
        <w:rPr>
          <w:rFonts w:ascii="Times New Roman" w:hAnsi="Times New Roman" w:eastAsia="Times New Roman" w:cs="Times New Roman"/>
          <w:sz w:val="24"/>
          <w:szCs w:val="24"/>
        </w:rPr>
        <w:t xml:space="preserve"> </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Table 5: Estimated annualized cost to the Federal government to prepare the collection of this information.  No travel, fringe or other costs outside of salary is required. </w:t>
      </w:r>
    </w:p>
    <w:p w:rsidR="00447C1F" w:rsidRDefault="00447C1F">
      <w:pPr>
        <w:spacing w:line="240" w:lineRule="auto"/>
        <w:rPr>
          <w:rFonts w:ascii="Times New Roman" w:hAnsi="Times New Roman" w:eastAsia="Times New Roman" w:cs="Times New Roman"/>
          <w:sz w:val="24"/>
          <w:szCs w:val="24"/>
        </w:rPr>
      </w:pPr>
    </w:p>
    <w:tbl>
      <w:tblPr>
        <w:tblStyle w:val="af8"/>
        <w:tblW w:w="8250" w:type="dxa"/>
        <w:tblBorders>
          <w:top w:val="nil"/>
          <w:left w:val="nil"/>
          <w:bottom w:val="nil"/>
          <w:right w:val="nil"/>
          <w:insideH w:val="nil"/>
          <w:insideV w:val="nil"/>
        </w:tblBorders>
        <w:tblLayout w:type="fixed"/>
        <w:tblLook w:val="0600" w:firstRow="0" w:lastRow="0" w:firstColumn="0" w:lastColumn="0" w:noHBand="1" w:noVBand="1"/>
      </w:tblPr>
      <w:tblGrid>
        <w:gridCol w:w="2280"/>
        <w:gridCol w:w="1125"/>
        <w:gridCol w:w="1140"/>
        <w:gridCol w:w="1125"/>
        <w:gridCol w:w="1275"/>
        <w:gridCol w:w="1305"/>
      </w:tblGrid>
      <w:tr w:rsidR="00447C1F">
        <w:trPr>
          <w:trHeight w:val="650"/>
        </w:trPr>
        <w:tc>
          <w:tcPr>
            <w:tcW w:w="2280" w:type="dxa"/>
            <w:tcBorders>
              <w:top w:val="single" w:color="000000" w:sz="8" w:space="0"/>
              <w:left w:val="single" w:color="000000" w:sz="8" w:space="0"/>
              <w:bottom w:val="nil"/>
              <w:right w:val="single" w:color="000000" w:sz="8" w:space="0"/>
            </w:tcBorders>
            <w:shd w:val="clear" w:color="auto" w:fill="BDD7EE"/>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Cost Descriptions</w:t>
            </w:r>
          </w:p>
        </w:tc>
        <w:tc>
          <w:tcPr>
            <w:tcW w:w="1125" w:type="dxa"/>
            <w:tcBorders>
              <w:top w:val="single" w:color="000000" w:sz="8" w:space="0"/>
              <w:left w:val="nil"/>
              <w:bottom w:val="nil"/>
              <w:right w:val="single" w:color="000000" w:sz="8" w:space="0"/>
            </w:tcBorders>
            <w:shd w:val="clear" w:color="auto" w:fill="BDD7EE"/>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Grade/Step</w:t>
            </w:r>
          </w:p>
        </w:tc>
        <w:tc>
          <w:tcPr>
            <w:tcW w:w="1140" w:type="dxa"/>
            <w:tcBorders>
              <w:top w:val="single" w:color="000000" w:sz="8" w:space="0"/>
              <w:left w:val="nil"/>
              <w:bottom w:val="nil"/>
              <w:right w:val="single" w:color="000000" w:sz="8" w:space="0"/>
            </w:tcBorders>
            <w:shd w:val="clear" w:color="auto" w:fill="BDD7EE"/>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Loaded Salary / Cost</w:t>
            </w:r>
          </w:p>
        </w:tc>
        <w:tc>
          <w:tcPr>
            <w:tcW w:w="1125" w:type="dxa"/>
            <w:tcBorders>
              <w:top w:val="single" w:color="000000" w:sz="8" w:space="0"/>
              <w:left w:val="nil"/>
              <w:bottom w:val="nil"/>
              <w:right w:val="single" w:color="000000" w:sz="8" w:space="0"/>
            </w:tcBorders>
            <w:shd w:val="clear" w:color="auto" w:fill="BDD7EE"/>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Percent of Effort</w:t>
            </w:r>
          </w:p>
        </w:tc>
        <w:tc>
          <w:tcPr>
            <w:tcW w:w="1275" w:type="dxa"/>
            <w:tcBorders>
              <w:top w:val="single" w:color="000000" w:sz="8" w:space="0"/>
              <w:left w:val="nil"/>
              <w:bottom w:val="nil"/>
              <w:right w:val="single" w:color="000000" w:sz="8" w:space="0"/>
            </w:tcBorders>
            <w:shd w:val="clear" w:color="auto" w:fill="BDD7EE"/>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Fringe (if applicable)</w:t>
            </w:r>
          </w:p>
        </w:tc>
        <w:tc>
          <w:tcPr>
            <w:tcW w:w="1305" w:type="dxa"/>
            <w:tcBorders>
              <w:top w:val="single" w:color="000000" w:sz="8" w:space="0"/>
              <w:left w:val="nil"/>
              <w:bottom w:val="nil"/>
              <w:right w:val="single" w:color="000000" w:sz="8" w:space="0"/>
            </w:tcBorders>
            <w:shd w:val="clear" w:color="auto" w:fill="BDD7EE"/>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Total Cost to Government</w:t>
            </w:r>
          </w:p>
        </w:tc>
      </w:tr>
      <w:tr w:rsidR="00447C1F">
        <w:trPr>
          <w:trHeight w:val="665"/>
        </w:trPr>
        <w:tc>
          <w:tcPr>
            <w:tcW w:w="22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b/>
                <w:sz w:val="16"/>
                <w:szCs w:val="16"/>
              </w:rPr>
            </w:pPr>
            <w:r>
              <w:rPr>
                <w:rFonts w:ascii="Times New Roman" w:hAnsi="Times New Roman" w:eastAsia="Times New Roman" w:cs="Times New Roman"/>
                <w:b/>
                <w:sz w:val="16"/>
                <w:szCs w:val="16"/>
              </w:rPr>
              <w:t>Federal Oversight</w:t>
            </w:r>
          </w:p>
        </w:tc>
        <w:tc>
          <w:tcPr>
            <w:tcW w:w="1125" w:type="dxa"/>
            <w:tcBorders>
              <w:top w:val="single" w:color="000000" w:sz="8" w:space="0"/>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w:t>
            </w:r>
          </w:p>
        </w:tc>
        <w:tc>
          <w:tcPr>
            <w:tcW w:w="1140" w:type="dxa"/>
            <w:tcBorders>
              <w:top w:val="single" w:color="000000" w:sz="8" w:space="0"/>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w:t>
            </w:r>
          </w:p>
        </w:tc>
        <w:tc>
          <w:tcPr>
            <w:tcW w:w="1125" w:type="dxa"/>
            <w:tcBorders>
              <w:top w:val="single" w:color="000000" w:sz="8" w:space="0"/>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w:t>
            </w:r>
          </w:p>
        </w:tc>
        <w:tc>
          <w:tcPr>
            <w:tcW w:w="1275" w:type="dxa"/>
            <w:tcBorders>
              <w:top w:val="single" w:color="000000" w:sz="8" w:space="0"/>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w:t>
            </w:r>
          </w:p>
        </w:tc>
        <w:tc>
          <w:tcPr>
            <w:tcW w:w="1305" w:type="dxa"/>
            <w:tcBorders>
              <w:top w:val="single" w:color="000000" w:sz="8" w:space="0"/>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w:t>
            </w:r>
          </w:p>
        </w:tc>
      </w:tr>
      <w:tr w:rsidR="00447C1F">
        <w:trPr>
          <w:trHeight w:val="500"/>
        </w:trPr>
        <w:tc>
          <w:tcPr>
            <w:tcW w:w="2280"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Supervisory review </w:t>
            </w:r>
          </w:p>
        </w:tc>
        <w:tc>
          <w:tcPr>
            <w:tcW w:w="112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Band 5,</w:t>
            </w:r>
          </w:p>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Step 3</w:t>
            </w:r>
          </w:p>
        </w:tc>
        <w:tc>
          <w:tcPr>
            <w:tcW w:w="114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$128,678</w:t>
            </w:r>
          </w:p>
        </w:tc>
        <w:tc>
          <w:tcPr>
            <w:tcW w:w="112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&lt; 1% of annual effort (1 hour)</w:t>
            </w:r>
          </w:p>
        </w:tc>
        <w:tc>
          <w:tcPr>
            <w:tcW w:w="1275" w:type="dxa"/>
            <w:tcBorders>
              <w:top w:val="nil"/>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w:t>
            </w:r>
          </w:p>
        </w:tc>
        <w:tc>
          <w:tcPr>
            <w:tcW w:w="130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$61.77</w:t>
            </w:r>
          </w:p>
        </w:tc>
      </w:tr>
      <w:tr w:rsidR="00447C1F">
        <w:trPr>
          <w:trHeight w:val="500"/>
        </w:trPr>
        <w:tc>
          <w:tcPr>
            <w:tcW w:w="2280"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b/>
                <w:sz w:val="16"/>
                <w:szCs w:val="16"/>
              </w:rPr>
            </w:pPr>
            <w:r>
              <w:rPr>
                <w:rFonts w:ascii="Times New Roman" w:hAnsi="Times New Roman" w:eastAsia="Times New Roman" w:cs="Times New Roman"/>
                <w:b/>
                <w:sz w:val="16"/>
                <w:szCs w:val="16"/>
              </w:rPr>
              <w:t>Supervisory review</w:t>
            </w:r>
          </w:p>
        </w:tc>
        <w:tc>
          <w:tcPr>
            <w:tcW w:w="112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Band 4, </w:t>
            </w:r>
          </w:p>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Step 3</w:t>
            </w:r>
          </w:p>
        </w:tc>
        <w:tc>
          <w:tcPr>
            <w:tcW w:w="114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$106,641.50</w:t>
            </w:r>
          </w:p>
        </w:tc>
        <w:tc>
          <w:tcPr>
            <w:tcW w:w="112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&lt; 1% of annual effort (5 hours)</w:t>
            </w:r>
          </w:p>
        </w:tc>
        <w:tc>
          <w:tcPr>
            <w:tcW w:w="1275" w:type="dxa"/>
            <w:tcBorders>
              <w:top w:val="single" w:color="000000" w:sz="8" w:space="0"/>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w:t>
            </w:r>
          </w:p>
        </w:tc>
        <w:tc>
          <w:tcPr>
            <w:tcW w:w="130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$385.54</w:t>
            </w:r>
          </w:p>
        </w:tc>
      </w:tr>
      <w:tr w:rsidR="00447C1F">
        <w:trPr>
          <w:trHeight w:val="500"/>
        </w:trPr>
        <w:tc>
          <w:tcPr>
            <w:tcW w:w="2280"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b/>
                <w:sz w:val="16"/>
                <w:szCs w:val="16"/>
              </w:rPr>
            </w:pPr>
            <w:r>
              <w:rPr>
                <w:rFonts w:ascii="Times New Roman" w:hAnsi="Times New Roman" w:eastAsia="Times New Roman" w:cs="Times New Roman"/>
                <w:b/>
                <w:sz w:val="16"/>
                <w:szCs w:val="16"/>
              </w:rPr>
              <w:lastRenderedPageBreak/>
              <w:t>TRT coordinator, economist and support staff preparing materials and economic impact</w:t>
            </w:r>
          </w:p>
        </w:tc>
        <w:tc>
          <w:tcPr>
            <w:tcW w:w="112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Band 3, </w:t>
            </w:r>
          </w:p>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Step 3  </w:t>
            </w:r>
          </w:p>
        </w:tc>
        <w:tc>
          <w:tcPr>
            <w:tcW w:w="114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$81,511.50</w:t>
            </w:r>
          </w:p>
        </w:tc>
        <w:tc>
          <w:tcPr>
            <w:tcW w:w="112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2% of annual effort (40 hours)</w:t>
            </w:r>
          </w:p>
        </w:tc>
        <w:tc>
          <w:tcPr>
            <w:tcW w:w="1275" w:type="dxa"/>
            <w:tcBorders>
              <w:top w:val="nil"/>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w:t>
            </w:r>
          </w:p>
        </w:tc>
        <w:tc>
          <w:tcPr>
            <w:tcW w:w="130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$1,565.02</w:t>
            </w:r>
          </w:p>
        </w:tc>
      </w:tr>
      <w:tr w:rsidR="00447C1F">
        <w:trPr>
          <w:trHeight w:val="500"/>
        </w:trPr>
        <w:tc>
          <w:tcPr>
            <w:tcW w:w="2280"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b/>
                <w:sz w:val="16"/>
                <w:szCs w:val="16"/>
              </w:rPr>
            </w:pPr>
            <w:r>
              <w:rPr>
                <w:rFonts w:ascii="Times New Roman" w:hAnsi="Times New Roman" w:eastAsia="Times New Roman" w:cs="Times New Roman"/>
                <w:b/>
                <w:sz w:val="16"/>
                <w:szCs w:val="16"/>
              </w:rPr>
              <w:t>Travel</w:t>
            </w:r>
          </w:p>
        </w:tc>
        <w:tc>
          <w:tcPr>
            <w:tcW w:w="1125" w:type="dxa"/>
            <w:tcBorders>
              <w:top w:val="nil"/>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w:t>
            </w:r>
          </w:p>
        </w:tc>
        <w:tc>
          <w:tcPr>
            <w:tcW w:w="1140" w:type="dxa"/>
            <w:tcBorders>
              <w:top w:val="nil"/>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w:t>
            </w:r>
          </w:p>
        </w:tc>
        <w:tc>
          <w:tcPr>
            <w:tcW w:w="1125" w:type="dxa"/>
            <w:tcBorders>
              <w:top w:val="nil"/>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w:t>
            </w:r>
          </w:p>
        </w:tc>
        <w:tc>
          <w:tcPr>
            <w:tcW w:w="1275" w:type="dxa"/>
            <w:tcBorders>
              <w:top w:val="nil"/>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w:t>
            </w:r>
          </w:p>
        </w:tc>
        <w:tc>
          <w:tcPr>
            <w:tcW w:w="130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$0.00</w:t>
            </w:r>
          </w:p>
        </w:tc>
      </w:tr>
      <w:tr w:rsidR="00447C1F">
        <w:trPr>
          <w:trHeight w:val="725"/>
        </w:trPr>
        <w:tc>
          <w:tcPr>
            <w:tcW w:w="2280" w:type="dxa"/>
            <w:tcBorders>
              <w:top w:val="nil"/>
              <w:left w:val="single" w:color="000000" w:sz="8" w:space="0"/>
              <w:bottom w:val="nil"/>
              <w:right w:val="single" w:color="000000" w:sz="8" w:space="0"/>
            </w:tcBorders>
            <w:tcMar>
              <w:top w:w="100" w:type="dxa"/>
              <w:left w:w="100" w:type="dxa"/>
              <w:bottom w:w="100" w:type="dxa"/>
              <w:right w:w="100" w:type="dxa"/>
            </w:tcMar>
          </w:tcPr>
          <w:p w:rsidR="00447C1F" w:rsidRDefault="003365D0">
            <w:pPr>
              <w:spacing w:line="240" w:lineRule="auto"/>
              <w:ind w:left="-20"/>
              <w:rPr>
                <w:rFonts w:ascii="Times New Roman" w:hAnsi="Times New Roman" w:eastAsia="Times New Roman" w:cs="Times New Roman"/>
                <w:b/>
                <w:sz w:val="16"/>
                <w:szCs w:val="16"/>
              </w:rPr>
            </w:pPr>
            <w:r>
              <w:rPr>
                <w:rFonts w:ascii="Times New Roman" w:hAnsi="Times New Roman" w:eastAsia="Times New Roman" w:cs="Times New Roman"/>
                <w:b/>
                <w:sz w:val="16"/>
                <w:szCs w:val="16"/>
              </w:rPr>
              <w:t>Other costs</w:t>
            </w:r>
          </w:p>
        </w:tc>
        <w:tc>
          <w:tcPr>
            <w:tcW w:w="1125" w:type="dxa"/>
            <w:tcBorders>
              <w:top w:val="nil"/>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w:t>
            </w:r>
          </w:p>
        </w:tc>
        <w:tc>
          <w:tcPr>
            <w:tcW w:w="1140" w:type="dxa"/>
            <w:tcBorders>
              <w:top w:val="nil"/>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w:t>
            </w:r>
          </w:p>
        </w:tc>
        <w:tc>
          <w:tcPr>
            <w:tcW w:w="1125" w:type="dxa"/>
            <w:tcBorders>
              <w:top w:val="single" w:color="000000" w:sz="8" w:space="0"/>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w:t>
            </w:r>
          </w:p>
        </w:tc>
        <w:tc>
          <w:tcPr>
            <w:tcW w:w="1275" w:type="dxa"/>
            <w:tcBorders>
              <w:top w:val="single" w:color="000000" w:sz="8" w:space="0"/>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w:t>
            </w:r>
          </w:p>
        </w:tc>
        <w:tc>
          <w:tcPr>
            <w:tcW w:w="1305"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$0.00</w:t>
            </w:r>
          </w:p>
        </w:tc>
      </w:tr>
      <w:tr w:rsidR="00447C1F">
        <w:trPr>
          <w:trHeight w:val="515"/>
        </w:trPr>
        <w:tc>
          <w:tcPr>
            <w:tcW w:w="2280" w:type="dxa"/>
            <w:tcBorders>
              <w:top w:val="single" w:color="000000" w:sz="8" w:space="0"/>
              <w:left w:val="single" w:color="000000" w:sz="8" w:space="0"/>
              <w:bottom w:val="single" w:color="000000" w:sz="8" w:space="0"/>
              <w:right w:val="single" w:color="000000" w:sz="8" w:space="0"/>
            </w:tcBorders>
            <w:shd w:val="clear" w:color="auto" w:fill="DDEBF7"/>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b/>
                <w:sz w:val="16"/>
                <w:szCs w:val="16"/>
              </w:rPr>
            </w:pPr>
            <w:r>
              <w:rPr>
                <w:rFonts w:ascii="Times New Roman" w:hAnsi="Times New Roman" w:eastAsia="Times New Roman" w:cs="Times New Roman"/>
                <w:b/>
                <w:sz w:val="16"/>
                <w:szCs w:val="16"/>
              </w:rPr>
              <w:t>TOTAL</w:t>
            </w:r>
          </w:p>
        </w:tc>
        <w:tc>
          <w:tcPr>
            <w:tcW w:w="1125" w:type="dxa"/>
            <w:tcBorders>
              <w:top w:val="nil"/>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w:t>
            </w:r>
          </w:p>
        </w:tc>
        <w:tc>
          <w:tcPr>
            <w:tcW w:w="1140" w:type="dxa"/>
            <w:tcBorders>
              <w:top w:val="nil"/>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w:t>
            </w:r>
          </w:p>
        </w:tc>
        <w:tc>
          <w:tcPr>
            <w:tcW w:w="1125" w:type="dxa"/>
            <w:tcBorders>
              <w:top w:val="nil"/>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w:t>
            </w:r>
          </w:p>
        </w:tc>
        <w:tc>
          <w:tcPr>
            <w:tcW w:w="1275" w:type="dxa"/>
            <w:tcBorders>
              <w:top w:val="nil"/>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w:t>
            </w:r>
          </w:p>
        </w:tc>
        <w:tc>
          <w:tcPr>
            <w:tcW w:w="1305" w:type="dxa"/>
            <w:tcBorders>
              <w:top w:val="nil"/>
              <w:left w:val="nil"/>
              <w:bottom w:val="single" w:color="000000" w:sz="8" w:space="0"/>
              <w:right w:val="single" w:color="000000" w:sz="8" w:space="0"/>
            </w:tcBorders>
            <w:shd w:val="clear" w:color="auto" w:fill="DDEBF7"/>
            <w:tcMar>
              <w:top w:w="100" w:type="dxa"/>
              <w:left w:w="100" w:type="dxa"/>
              <w:bottom w:w="100" w:type="dxa"/>
              <w:right w:w="100" w:type="dxa"/>
            </w:tcMar>
            <w:vAlign w:val="bottom"/>
          </w:tcPr>
          <w:p w:rsidR="00447C1F"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$2,012.33</w:t>
            </w:r>
          </w:p>
        </w:tc>
      </w:tr>
    </w:tbl>
    <w:p w:rsidR="00447C1F" w:rsidRDefault="00447C1F">
      <w:pPr>
        <w:spacing w:line="240" w:lineRule="auto"/>
        <w:rPr>
          <w:rFonts w:ascii="Times New Roman" w:hAnsi="Times New Roman" w:eastAsia="Times New Roman" w:cs="Times New Roman"/>
          <w:b/>
        </w:rPr>
      </w:pPr>
    </w:p>
    <w:p w:rsidR="00447C1F" w:rsidRDefault="003365D0">
      <w:pPr>
        <w:spacing w:line="240" w:lineRule="auto"/>
        <w:rPr>
          <w:rFonts w:ascii="Times New Roman" w:hAnsi="Times New Roman" w:eastAsia="Times New Roman" w:cs="Times New Roman"/>
          <w:b/>
        </w:rPr>
      </w:pPr>
      <w:r>
        <w:rPr>
          <w:rFonts w:ascii="Times New Roman" w:hAnsi="Times New Roman" w:eastAsia="Times New Roman" w:cs="Times New Roman"/>
          <w:b/>
        </w:rPr>
        <w:t>15.</w:t>
      </w:r>
      <w:r w:rsidR="00F70041">
        <w:rPr>
          <w:rFonts w:ascii="Times New Roman" w:hAnsi="Times New Roman" w:eastAsia="Times New Roman" w:cs="Times New Roman"/>
          <w:b/>
        </w:rPr>
        <w:tab/>
      </w:r>
      <w:r>
        <w:rPr>
          <w:rFonts w:ascii="Times New Roman" w:hAnsi="Times New Roman" w:eastAsia="Times New Roman" w:cs="Times New Roman"/>
          <w:b/>
        </w:rPr>
        <w:t>Explain the reasons for any program changes or adjustments reported in ROCIS.</w:t>
      </w:r>
    </w:p>
    <w:p w:rsidR="00447C1F" w:rsidRDefault="00447C1F">
      <w:pPr>
        <w:spacing w:line="240" w:lineRule="auto"/>
        <w:rPr>
          <w:rFonts w:ascii="Times New Roman" w:hAnsi="Times New Roman" w:eastAsia="Times New Roman" w:cs="Times New Roman"/>
          <w:b/>
        </w:rPr>
      </w:pPr>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tables below show information related to the information collections including reasons for any changes or adjustments.</w:t>
      </w:r>
    </w:p>
    <w:p w:rsidR="00447C1F" w:rsidRDefault="00447C1F">
      <w:pPr>
        <w:spacing w:line="240" w:lineRule="auto"/>
        <w:rPr>
          <w:rFonts w:ascii="Times New Roman" w:hAnsi="Times New Roman" w:eastAsia="Times New Roman" w:cs="Times New Roman"/>
          <w:sz w:val="24"/>
          <w:szCs w:val="24"/>
        </w:rPr>
      </w:pPr>
      <w:bookmarkStart w:name="_heading=h.1fob9te" w:colFirst="0" w:colLast="0" w:id="3"/>
      <w:bookmarkEnd w:id="3"/>
    </w:p>
    <w:p w:rsidR="00447C1F" w:rsidRDefault="003365D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Table 6: Changes in number of respondents, responses and burden hours between current and previous rulemaking submission.</w:t>
      </w:r>
    </w:p>
    <w:p w:rsidR="00447C1F" w:rsidRDefault="003365D0">
      <w:pPr>
        <w:spacing w:line="240" w:lineRule="auto"/>
        <w:rPr>
          <w:rFonts w:ascii="Times New Roman" w:hAnsi="Times New Roman" w:eastAsia="Times New Roman" w:cs="Times New Roman"/>
          <w:b/>
        </w:rPr>
      </w:pPr>
      <w:r>
        <w:rPr>
          <w:rFonts w:ascii="Times New Roman" w:hAnsi="Times New Roman" w:eastAsia="Times New Roman" w:cs="Times New Roman"/>
          <w:b/>
        </w:rPr>
        <w:t xml:space="preserve"> </w:t>
      </w:r>
    </w:p>
    <w:tbl>
      <w:tblPr>
        <w:tblStyle w:val="af9"/>
        <w:tblW w:w="9840" w:type="dxa"/>
        <w:tblBorders>
          <w:top w:val="nil"/>
          <w:left w:val="nil"/>
          <w:bottom w:val="nil"/>
          <w:right w:val="nil"/>
          <w:insideH w:val="nil"/>
          <w:insideV w:val="nil"/>
        </w:tblBorders>
        <w:tblLayout w:type="fixed"/>
        <w:tblLook w:val="0600" w:firstRow="0" w:lastRow="0" w:firstColumn="0" w:lastColumn="0" w:noHBand="1" w:noVBand="1"/>
      </w:tblPr>
      <w:tblGrid>
        <w:gridCol w:w="1785"/>
        <w:gridCol w:w="780"/>
        <w:gridCol w:w="780"/>
        <w:gridCol w:w="810"/>
        <w:gridCol w:w="945"/>
        <w:gridCol w:w="1305"/>
        <w:gridCol w:w="1415"/>
        <w:gridCol w:w="2020"/>
      </w:tblGrid>
      <w:tr w:rsidR="00447C1F">
        <w:trPr>
          <w:trHeight w:val="515"/>
        </w:trPr>
        <w:tc>
          <w:tcPr>
            <w:tcW w:w="1785" w:type="dxa"/>
            <w:vMerge w:val="restart"/>
            <w:tcBorders>
              <w:top w:val="single" w:color="000000" w:sz="8" w:space="0"/>
              <w:left w:val="single" w:color="000000" w:sz="8" w:space="0"/>
              <w:bottom w:val="single" w:color="000000" w:sz="8" w:space="0"/>
              <w:right w:val="single" w:color="000000" w:sz="8" w:space="0"/>
            </w:tcBorders>
            <w:shd w:val="clear" w:color="auto" w:fill="5B9BD5"/>
            <w:tcMar>
              <w:top w:w="100" w:type="dxa"/>
              <w:left w:w="100" w:type="dxa"/>
              <w:bottom w:w="100" w:type="dxa"/>
              <w:right w:w="100" w:type="dxa"/>
            </w:tcMar>
          </w:tcPr>
          <w:p w:rsidR="00447C1F" w:rsidRDefault="003365D0">
            <w:pPr>
              <w:spacing w:line="240" w:lineRule="auto"/>
              <w:ind w:left="-46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Information</w:t>
            </w:r>
          </w:p>
          <w:p w:rsidR="00447C1F" w:rsidRDefault="003365D0">
            <w:pPr>
              <w:spacing w:line="240" w:lineRule="auto"/>
              <w:ind w:left="-460"/>
              <w:jc w:val="center"/>
              <w:rPr>
                <w:rFonts w:ascii="Times New Roman" w:hAnsi="Times New Roman" w:eastAsia="Times New Roman" w:cs="Times New Roman"/>
              </w:rPr>
            </w:pPr>
            <w:r>
              <w:rPr>
                <w:rFonts w:ascii="Times New Roman" w:hAnsi="Times New Roman" w:eastAsia="Times New Roman" w:cs="Times New Roman"/>
                <w:b/>
                <w:sz w:val="16"/>
                <w:szCs w:val="16"/>
              </w:rPr>
              <w:t xml:space="preserve"> Collection</w:t>
            </w:r>
          </w:p>
        </w:tc>
        <w:tc>
          <w:tcPr>
            <w:tcW w:w="1560" w:type="dxa"/>
            <w:gridSpan w:val="2"/>
            <w:tcBorders>
              <w:top w:val="single" w:color="000000" w:sz="8" w:space="0"/>
              <w:left w:val="nil"/>
              <w:bottom w:val="single" w:color="000000" w:sz="8" w:space="0"/>
              <w:right w:val="single" w:color="000000" w:sz="8" w:space="0"/>
            </w:tcBorders>
            <w:shd w:val="clear" w:color="auto" w:fill="5B9BD5"/>
            <w:tcMar>
              <w:top w:w="100" w:type="dxa"/>
              <w:left w:w="100" w:type="dxa"/>
              <w:bottom w:w="100" w:type="dxa"/>
              <w:right w:w="100" w:type="dxa"/>
            </w:tcMar>
          </w:tcPr>
          <w:p w:rsidR="00447C1F" w:rsidRDefault="003365D0">
            <w:pPr>
              <w:spacing w:line="240" w:lineRule="auto"/>
              <w:ind w:left="-46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Respondents</w:t>
            </w:r>
          </w:p>
        </w:tc>
        <w:tc>
          <w:tcPr>
            <w:tcW w:w="1755" w:type="dxa"/>
            <w:gridSpan w:val="2"/>
            <w:tcBorders>
              <w:top w:val="single" w:color="000000" w:sz="8" w:space="0"/>
              <w:left w:val="nil"/>
              <w:bottom w:val="single" w:color="000000" w:sz="8" w:space="0"/>
              <w:right w:val="single" w:color="000000" w:sz="8" w:space="0"/>
            </w:tcBorders>
            <w:shd w:val="clear" w:color="auto" w:fill="5B9BD5"/>
            <w:tcMar>
              <w:top w:w="100" w:type="dxa"/>
              <w:left w:w="100" w:type="dxa"/>
              <w:bottom w:w="100" w:type="dxa"/>
              <w:right w:w="100" w:type="dxa"/>
            </w:tcMar>
          </w:tcPr>
          <w:p w:rsidR="00447C1F" w:rsidRDefault="003365D0">
            <w:pPr>
              <w:spacing w:line="240" w:lineRule="auto"/>
              <w:ind w:left="-46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Responses</w:t>
            </w:r>
          </w:p>
        </w:tc>
        <w:tc>
          <w:tcPr>
            <w:tcW w:w="2720" w:type="dxa"/>
            <w:gridSpan w:val="2"/>
            <w:tcBorders>
              <w:top w:val="single" w:color="000000" w:sz="8" w:space="0"/>
              <w:left w:val="nil"/>
              <w:bottom w:val="single" w:color="000000" w:sz="8" w:space="0"/>
              <w:right w:val="single" w:color="000000" w:sz="8" w:space="0"/>
            </w:tcBorders>
            <w:shd w:val="clear" w:color="auto" w:fill="5B9BD5"/>
            <w:tcMar>
              <w:top w:w="100" w:type="dxa"/>
              <w:left w:w="100" w:type="dxa"/>
              <w:bottom w:w="100" w:type="dxa"/>
              <w:right w:w="100" w:type="dxa"/>
            </w:tcMar>
          </w:tcPr>
          <w:p w:rsidR="00447C1F" w:rsidRDefault="003365D0">
            <w:pPr>
              <w:spacing w:line="240"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Burden</w:t>
            </w:r>
          </w:p>
          <w:p w:rsidR="00447C1F" w:rsidRDefault="003365D0">
            <w:pPr>
              <w:spacing w:line="240"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Hours</w:t>
            </w:r>
          </w:p>
        </w:tc>
        <w:tc>
          <w:tcPr>
            <w:tcW w:w="2020" w:type="dxa"/>
            <w:vMerge w:val="restart"/>
            <w:tcBorders>
              <w:top w:val="single" w:color="000000" w:sz="8" w:space="0"/>
              <w:left w:val="nil"/>
              <w:bottom w:val="single" w:color="000000" w:sz="8" w:space="0"/>
              <w:right w:val="single" w:color="000000" w:sz="8" w:space="0"/>
            </w:tcBorders>
            <w:shd w:val="clear" w:color="auto" w:fill="5B9BD5"/>
            <w:tcMar>
              <w:top w:w="100" w:type="dxa"/>
              <w:left w:w="100" w:type="dxa"/>
              <w:bottom w:w="100" w:type="dxa"/>
              <w:right w:w="100" w:type="dxa"/>
            </w:tcMar>
          </w:tcPr>
          <w:p w:rsidR="00447C1F" w:rsidRDefault="003365D0">
            <w:pPr>
              <w:spacing w:line="240"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Reason for change or adjustment</w:t>
            </w:r>
          </w:p>
        </w:tc>
      </w:tr>
      <w:tr w:rsidR="00447C1F">
        <w:trPr>
          <w:trHeight w:val="890"/>
        </w:trPr>
        <w:tc>
          <w:tcPr>
            <w:tcW w:w="1785" w:type="dxa"/>
            <w:vMerge/>
            <w:tcBorders>
              <w:top w:val="single" w:color="000000" w:sz="8" w:space="0"/>
              <w:left w:val="single" w:color="000000" w:sz="8" w:space="0"/>
              <w:bottom w:val="single" w:color="000000" w:sz="8" w:space="0"/>
              <w:right w:val="single" w:color="000000" w:sz="8" w:space="0"/>
            </w:tcBorders>
            <w:shd w:val="clear" w:color="auto" w:fill="5B9BD5"/>
            <w:tcMar>
              <w:top w:w="100" w:type="dxa"/>
              <w:left w:w="100" w:type="dxa"/>
              <w:bottom w:w="100" w:type="dxa"/>
              <w:right w:w="100" w:type="dxa"/>
            </w:tcMar>
          </w:tcPr>
          <w:p w:rsidR="00447C1F" w:rsidRDefault="00447C1F">
            <w:pPr>
              <w:widowControl w:val="0"/>
              <w:pBdr>
                <w:top w:val="nil"/>
                <w:left w:val="nil"/>
                <w:bottom w:val="nil"/>
                <w:right w:val="nil"/>
                <w:between w:val="nil"/>
              </w:pBdr>
              <w:rPr>
                <w:rFonts w:ascii="Times New Roman" w:hAnsi="Times New Roman" w:eastAsia="Times New Roman" w:cs="Times New Roman"/>
                <w:b/>
                <w:sz w:val="16"/>
                <w:szCs w:val="16"/>
              </w:rPr>
            </w:pPr>
          </w:p>
        </w:tc>
        <w:tc>
          <w:tcPr>
            <w:tcW w:w="780" w:type="dxa"/>
            <w:tcBorders>
              <w:top w:val="nil"/>
              <w:left w:val="nil"/>
              <w:bottom w:val="single" w:color="000000" w:sz="8" w:space="0"/>
              <w:right w:val="dashed" w:color="000000" w:sz="8" w:space="0"/>
            </w:tcBorders>
            <w:shd w:val="clear" w:color="auto" w:fill="FBE4D5"/>
            <w:tcMar>
              <w:top w:w="100" w:type="dxa"/>
              <w:left w:w="100" w:type="dxa"/>
              <w:bottom w:w="100" w:type="dxa"/>
              <w:right w:w="100" w:type="dxa"/>
            </w:tcMar>
          </w:tcPr>
          <w:p w:rsidR="00447C1F" w:rsidRDefault="003365D0">
            <w:pPr>
              <w:spacing w:line="240"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Current Renewal / Revision</w:t>
            </w:r>
          </w:p>
        </w:tc>
        <w:tc>
          <w:tcPr>
            <w:tcW w:w="780" w:type="dxa"/>
            <w:tcBorders>
              <w:top w:val="nil"/>
              <w:left w:val="nil"/>
              <w:bottom w:val="single" w:color="000000" w:sz="8" w:space="0"/>
              <w:right w:val="single" w:color="000000" w:sz="8" w:space="0"/>
            </w:tcBorders>
            <w:shd w:val="clear" w:color="auto" w:fill="FBE4D5"/>
            <w:tcMar>
              <w:top w:w="100" w:type="dxa"/>
              <w:left w:w="100" w:type="dxa"/>
              <w:bottom w:w="100" w:type="dxa"/>
              <w:right w:w="100" w:type="dxa"/>
            </w:tcMar>
          </w:tcPr>
          <w:p w:rsidR="00447C1F" w:rsidRDefault="003365D0">
            <w:pPr>
              <w:spacing w:line="240"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Previous Renewal / Revision</w:t>
            </w:r>
          </w:p>
        </w:tc>
        <w:tc>
          <w:tcPr>
            <w:tcW w:w="810" w:type="dxa"/>
            <w:tcBorders>
              <w:top w:val="nil"/>
              <w:left w:val="nil"/>
              <w:bottom w:val="single" w:color="000000" w:sz="8" w:space="0"/>
              <w:right w:val="dashed" w:color="000000" w:sz="8" w:space="0"/>
            </w:tcBorders>
            <w:shd w:val="clear" w:color="auto" w:fill="FBE4D5"/>
            <w:tcMar>
              <w:top w:w="100" w:type="dxa"/>
              <w:left w:w="100" w:type="dxa"/>
              <w:bottom w:w="100" w:type="dxa"/>
              <w:right w:w="100" w:type="dxa"/>
            </w:tcMar>
          </w:tcPr>
          <w:p w:rsidR="00447C1F" w:rsidRDefault="003365D0">
            <w:pPr>
              <w:spacing w:line="240"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Current Renewal / Revision</w:t>
            </w:r>
          </w:p>
        </w:tc>
        <w:tc>
          <w:tcPr>
            <w:tcW w:w="945" w:type="dxa"/>
            <w:tcBorders>
              <w:top w:val="nil"/>
              <w:left w:val="nil"/>
              <w:bottom w:val="single" w:color="000000" w:sz="8" w:space="0"/>
              <w:right w:val="single" w:color="000000" w:sz="8" w:space="0"/>
            </w:tcBorders>
            <w:shd w:val="clear" w:color="auto" w:fill="FBE4D5"/>
            <w:tcMar>
              <w:top w:w="100" w:type="dxa"/>
              <w:left w:w="100" w:type="dxa"/>
              <w:bottom w:w="100" w:type="dxa"/>
              <w:right w:w="100" w:type="dxa"/>
            </w:tcMar>
          </w:tcPr>
          <w:p w:rsidR="00447C1F" w:rsidRDefault="003365D0">
            <w:pPr>
              <w:spacing w:line="240"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Previous Renewal / Revision</w:t>
            </w:r>
          </w:p>
        </w:tc>
        <w:tc>
          <w:tcPr>
            <w:tcW w:w="1305" w:type="dxa"/>
            <w:tcBorders>
              <w:top w:val="nil"/>
              <w:left w:val="nil"/>
              <w:bottom w:val="single" w:color="000000" w:sz="8" w:space="0"/>
              <w:right w:val="dashed" w:color="000000" w:sz="8" w:space="0"/>
            </w:tcBorders>
            <w:shd w:val="clear" w:color="auto" w:fill="FBE4D5"/>
            <w:tcMar>
              <w:top w:w="100" w:type="dxa"/>
              <w:left w:w="100" w:type="dxa"/>
              <w:bottom w:w="100" w:type="dxa"/>
              <w:right w:w="100" w:type="dxa"/>
            </w:tcMar>
          </w:tcPr>
          <w:p w:rsidR="00447C1F" w:rsidRDefault="003365D0">
            <w:pPr>
              <w:spacing w:line="240"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Current Renewal / Revision</w:t>
            </w:r>
          </w:p>
        </w:tc>
        <w:tc>
          <w:tcPr>
            <w:tcW w:w="1415" w:type="dxa"/>
            <w:tcBorders>
              <w:top w:val="nil"/>
              <w:left w:val="nil"/>
              <w:bottom w:val="single" w:color="000000" w:sz="8" w:space="0"/>
              <w:right w:val="single" w:color="000000" w:sz="8" w:space="0"/>
            </w:tcBorders>
            <w:shd w:val="clear" w:color="auto" w:fill="FBE4D5"/>
            <w:tcMar>
              <w:top w:w="100" w:type="dxa"/>
              <w:left w:w="100" w:type="dxa"/>
              <w:bottom w:w="100" w:type="dxa"/>
              <w:right w:w="100" w:type="dxa"/>
            </w:tcMar>
          </w:tcPr>
          <w:p w:rsidR="00447C1F" w:rsidRDefault="003365D0">
            <w:pPr>
              <w:spacing w:line="240"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Previous Renewal / Revision</w:t>
            </w:r>
          </w:p>
        </w:tc>
        <w:tc>
          <w:tcPr>
            <w:tcW w:w="2020" w:type="dxa"/>
            <w:vMerge/>
            <w:tcBorders>
              <w:top w:val="single" w:color="000000" w:sz="8" w:space="0"/>
              <w:left w:val="nil"/>
              <w:bottom w:val="single" w:color="000000" w:sz="8" w:space="0"/>
              <w:right w:val="single" w:color="000000" w:sz="8" w:space="0"/>
            </w:tcBorders>
            <w:shd w:val="clear" w:color="auto" w:fill="5B9BD5"/>
            <w:tcMar>
              <w:top w:w="100" w:type="dxa"/>
              <w:left w:w="100" w:type="dxa"/>
              <w:bottom w:w="100" w:type="dxa"/>
              <w:right w:w="100" w:type="dxa"/>
            </w:tcMar>
          </w:tcPr>
          <w:p w:rsidR="00447C1F" w:rsidRDefault="00447C1F">
            <w:pPr>
              <w:widowControl w:val="0"/>
              <w:pBdr>
                <w:top w:val="nil"/>
                <w:left w:val="nil"/>
                <w:bottom w:val="nil"/>
                <w:right w:val="nil"/>
                <w:between w:val="nil"/>
              </w:pBdr>
              <w:rPr>
                <w:rFonts w:ascii="Times New Roman" w:hAnsi="Times New Roman" w:eastAsia="Times New Roman" w:cs="Times New Roman"/>
                <w:sz w:val="14"/>
                <w:szCs w:val="14"/>
              </w:rPr>
            </w:pPr>
          </w:p>
        </w:tc>
      </w:tr>
      <w:tr w:rsidR="00447C1F">
        <w:trPr>
          <w:trHeight w:val="515"/>
        </w:trPr>
        <w:tc>
          <w:tcPr>
            <w:tcW w:w="178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447C1F" w:rsidRDefault="003365D0">
            <w:pPr>
              <w:spacing w:line="240"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Gear marking on vertical buoy lines </w:t>
            </w:r>
          </w:p>
        </w:tc>
        <w:tc>
          <w:tcPr>
            <w:tcW w:w="780" w:type="dxa"/>
            <w:tcBorders>
              <w:top w:val="nil"/>
              <w:left w:val="nil"/>
              <w:bottom w:val="dotted" w:color="000000" w:sz="8" w:space="0"/>
              <w:right w:val="dashed" w:color="000000" w:sz="8" w:space="0"/>
            </w:tcBorders>
            <w:shd w:val="clear" w:color="auto" w:fill="auto"/>
            <w:tcMar>
              <w:top w:w="100" w:type="dxa"/>
              <w:left w:w="100" w:type="dxa"/>
              <w:bottom w:w="100" w:type="dxa"/>
              <w:right w:w="100" w:type="dxa"/>
            </w:tcMar>
          </w:tcPr>
          <w:p w:rsidR="00447C1F" w:rsidRDefault="003365D0">
            <w:pPr>
              <w:spacing w:line="240" w:lineRule="auto"/>
              <w:jc w:val="right"/>
              <w:rPr>
                <w:rFonts w:ascii="Times New Roman" w:hAnsi="Times New Roman" w:eastAsia="Times New Roman" w:cs="Times New Roman"/>
                <w:sz w:val="14"/>
                <w:szCs w:val="14"/>
              </w:rPr>
            </w:pPr>
            <w:r>
              <w:rPr>
                <w:rFonts w:ascii="Times New Roman" w:hAnsi="Times New Roman" w:eastAsia="Times New Roman" w:cs="Times New Roman"/>
                <w:sz w:val="14"/>
                <w:szCs w:val="14"/>
              </w:rPr>
              <w:t xml:space="preserve">3,970 </w:t>
            </w:r>
          </w:p>
          <w:p w:rsidR="00447C1F" w:rsidRDefault="003365D0">
            <w:pPr>
              <w:spacing w:line="240" w:lineRule="auto"/>
              <w:jc w:val="right"/>
              <w:rPr>
                <w:rFonts w:ascii="Times New Roman" w:hAnsi="Times New Roman" w:eastAsia="Times New Roman" w:cs="Times New Roman"/>
                <w:sz w:val="14"/>
                <w:szCs w:val="14"/>
              </w:rPr>
            </w:pPr>
            <w:r>
              <w:rPr>
                <w:rFonts w:ascii="Times New Roman" w:hAnsi="Times New Roman" w:eastAsia="Times New Roman" w:cs="Times New Roman"/>
                <w:sz w:val="14"/>
                <w:szCs w:val="14"/>
              </w:rPr>
              <w:t>Vessels</w:t>
            </w:r>
          </w:p>
        </w:tc>
        <w:tc>
          <w:tcPr>
            <w:tcW w:w="780" w:type="dxa"/>
            <w:tcBorders>
              <w:top w:val="nil"/>
              <w:left w:val="nil"/>
              <w:bottom w:val="dotted" w:color="000000" w:sz="8" w:space="0"/>
              <w:right w:val="single" w:color="000000" w:sz="8" w:space="0"/>
            </w:tcBorders>
            <w:shd w:val="clear" w:color="auto" w:fill="auto"/>
            <w:tcMar>
              <w:top w:w="100" w:type="dxa"/>
              <w:left w:w="100" w:type="dxa"/>
              <w:bottom w:w="100" w:type="dxa"/>
              <w:right w:w="100" w:type="dxa"/>
            </w:tcMar>
          </w:tcPr>
          <w:p w:rsidR="00447C1F" w:rsidRDefault="00CB583F">
            <w:pPr>
              <w:spacing w:line="240" w:lineRule="auto"/>
              <w:jc w:val="right"/>
              <w:rPr>
                <w:rFonts w:ascii="Times New Roman" w:hAnsi="Times New Roman" w:eastAsia="Times New Roman" w:cs="Times New Roman"/>
                <w:sz w:val="14"/>
                <w:szCs w:val="14"/>
              </w:rPr>
            </w:pPr>
            <w:r>
              <w:rPr>
                <w:rFonts w:ascii="Times New Roman" w:hAnsi="Times New Roman" w:eastAsia="Times New Roman" w:cs="Times New Roman"/>
                <w:sz w:val="14"/>
                <w:szCs w:val="14"/>
              </w:rPr>
              <w:t>3,672</w:t>
            </w:r>
          </w:p>
          <w:p w:rsidR="00447C1F" w:rsidRDefault="003365D0">
            <w:pPr>
              <w:spacing w:line="240" w:lineRule="auto"/>
              <w:jc w:val="right"/>
              <w:rPr>
                <w:rFonts w:ascii="Times New Roman" w:hAnsi="Times New Roman" w:eastAsia="Times New Roman" w:cs="Times New Roman"/>
                <w:sz w:val="14"/>
                <w:szCs w:val="14"/>
              </w:rPr>
            </w:pPr>
            <w:r>
              <w:rPr>
                <w:rFonts w:ascii="Times New Roman" w:hAnsi="Times New Roman" w:eastAsia="Times New Roman" w:cs="Times New Roman"/>
                <w:sz w:val="14"/>
                <w:szCs w:val="14"/>
              </w:rPr>
              <w:t xml:space="preserve">Vessels </w:t>
            </w:r>
          </w:p>
        </w:tc>
        <w:tc>
          <w:tcPr>
            <w:tcW w:w="810" w:type="dxa"/>
            <w:tcBorders>
              <w:top w:val="nil"/>
              <w:left w:val="nil"/>
              <w:bottom w:val="dotted" w:color="000000" w:sz="8" w:space="0"/>
              <w:right w:val="dashed" w:color="000000" w:sz="8" w:space="0"/>
            </w:tcBorders>
            <w:shd w:val="clear" w:color="auto" w:fill="auto"/>
            <w:tcMar>
              <w:top w:w="100" w:type="dxa"/>
              <w:left w:w="100" w:type="dxa"/>
              <w:bottom w:w="100" w:type="dxa"/>
              <w:right w:w="100" w:type="dxa"/>
            </w:tcMar>
          </w:tcPr>
          <w:p w:rsidR="00447C1F" w:rsidRDefault="003365D0">
            <w:pPr>
              <w:spacing w:line="240" w:lineRule="auto"/>
              <w:jc w:val="right"/>
              <w:rPr>
                <w:rFonts w:ascii="Times New Roman" w:hAnsi="Times New Roman" w:eastAsia="Times New Roman" w:cs="Times New Roman"/>
                <w:sz w:val="14"/>
                <w:szCs w:val="14"/>
              </w:rPr>
            </w:pPr>
            <w:r>
              <w:rPr>
                <w:rFonts w:ascii="Times New Roman" w:hAnsi="Times New Roman" w:eastAsia="Times New Roman" w:cs="Times New Roman"/>
                <w:sz w:val="14"/>
                <w:szCs w:val="14"/>
              </w:rPr>
              <w:t xml:space="preserve">1,544,842Marks  </w:t>
            </w:r>
          </w:p>
        </w:tc>
        <w:tc>
          <w:tcPr>
            <w:tcW w:w="945" w:type="dxa"/>
            <w:tcBorders>
              <w:top w:val="nil"/>
              <w:left w:val="nil"/>
              <w:bottom w:val="dotted" w:color="000000" w:sz="8" w:space="0"/>
              <w:right w:val="single" w:color="000000" w:sz="8" w:space="0"/>
            </w:tcBorders>
            <w:shd w:val="clear" w:color="auto" w:fill="auto"/>
            <w:tcMar>
              <w:top w:w="100" w:type="dxa"/>
              <w:left w:w="100" w:type="dxa"/>
              <w:bottom w:w="100" w:type="dxa"/>
              <w:right w:w="100" w:type="dxa"/>
            </w:tcMar>
          </w:tcPr>
          <w:p w:rsidR="00447C1F" w:rsidRDefault="00CB583F">
            <w:pPr>
              <w:spacing w:line="240" w:lineRule="auto"/>
              <w:jc w:val="right"/>
              <w:rPr>
                <w:rFonts w:ascii="Times New Roman" w:hAnsi="Times New Roman" w:eastAsia="Times New Roman" w:cs="Times New Roman"/>
                <w:sz w:val="14"/>
                <w:szCs w:val="14"/>
              </w:rPr>
            </w:pPr>
            <w:r>
              <w:rPr>
                <w:rFonts w:ascii="Times New Roman" w:hAnsi="Times New Roman" w:eastAsia="Times New Roman" w:cs="Times New Roman"/>
                <w:sz w:val="14"/>
                <w:szCs w:val="14"/>
              </w:rPr>
              <w:t>172,584</w:t>
            </w:r>
          </w:p>
          <w:p w:rsidR="00447C1F" w:rsidRDefault="003365D0">
            <w:pPr>
              <w:spacing w:line="240" w:lineRule="auto"/>
              <w:jc w:val="right"/>
              <w:rPr>
                <w:rFonts w:ascii="Times New Roman" w:hAnsi="Times New Roman" w:eastAsia="Times New Roman" w:cs="Times New Roman"/>
                <w:sz w:val="14"/>
                <w:szCs w:val="14"/>
              </w:rPr>
            </w:pPr>
            <w:r>
              <w:rPr>
                <w:rFonts w:ascii="Times New Roman" w:hAnsi="Times New Roman" w:eastAsia="Times New Roman" w:cs="Times New Roman"/>
                <w:sz w:val="14"/>
                <w:szCs w:val="14"/>
              </w:rPr>
              <w:t>Marks</w:t>
            </w:r>
          </w:p>
          <w:p w:rsidR="00447C1F" w:rsidRDefault="00447C1F">
            <w:pPr>
              <w:spacing w:line="240" w:lineRule="auto"/>
              <w:jc w:val="right"/>
              <w:rPr>
                <w:rFonts w:ascii="Times New Roman" w:hAnsi="Times New Roman" w:eastAsia="Times New Roman" w:cs="Times New Roman"/>
                <w:sz w:val="14"/>
                <w:szCs w:val="14"/>
              </w:rPr>
            </w:pPr>
          </w:p>
        </w:tc>
        <w:tc>
          <w:tcPr>
            <w:tcW w:w="1305" w:type="dxa"/>
            <w:tcBorders>
              <w:top w:val="nil"/>
              <w:left w:val="nil"/>
              <w:bottom w:val="dotted" w:color="000000" w:sz="8" w:space="0"/>
              <w:right w:val="dashed" w:color="000000" w:sz="8" w:space="0"/>
            </w:tcBorders>
            <w:shd w:val="clear" w:color="auto" w:fill="auto"/>
            <w:tcMar>
              <w:top w:w="100" w:type="dxa"/>
              <w:left w:w="100" w:type="dxa"/>
              <w:bottom w:w="100" w:type="dxa"/>
              <w:right w:w="100" w:type="dxa"/>
            </w:tcMar>
          </w:tcPr>
          <w:p w:rsidR="00447C1F" w:rsidRDefault="003365D0">
            <w:pPr>
              <w:spacing w:line="240" w:lineRule="auto"/>
              <w:jc w:val="right"/>
              <w:rPr>
                <w:rFonts w:ascii="Times New Roman" w:hAnsi="Times New Roman" w:eastAsia="Times New Roman" w:cs="Times New Roman"/>
                <w:sz w:val="14"/>
                <w:szCs w:val="14"/>
              </w:rPr>
            </w:pPr>
            <w:r>
              <w:rPr>
                <w:rFonts w:ascii="Times New Roman" w:hAnsi="Times New Roman" w:eastAsia="Times New Roman" w:cs="Times New Roman"/>
                <w:sz w:val="14"/>
                <w:szCs w:val="14"/>
              </w:rPr>
              <w:t>222,391</w:t>
            </w:r>
          </w:p>
          <w:p w:rsidR="00447C1F" w:rsidRDefault="003365D0">
            <w:pPr>
              <w:spacing w:line="240" w:lineRule="auto"/>
              <w:jc w:val="right"/>
              <w:rPr>
                <w:rFonts w:ascii="Times New Roman" w:hAnsi="Times New Roman" w:eastAsia="Times New Roman" w:cs="Times New Roman"/>
                <w:sz w:val="14"/>
                <w:szCs w:val="14"/>
              </w:rPr>
            </w:pPr>
            <w:r>
              <w:rPr>
                <w:rFonts w:ascii="Times New Roman" w:hAnsi="Times New Roman" w:eastAsia="Times New Roman" w:cs="Times New Roman"/>
                <w:sz w:val="14"/>
                <w:szCs w:val="14"/>
              </w:rPr>
              <w:t>Annual burden hours</w:t>
            </w:r>
          </w:p>
        </w:tc>
        <w:tc>
          <w:tcPr>
            <w:tcW w:w="1415" w:type="dxa"/>
            <w:tcBorders>
              <w:top w:val="nil"/>
              <w:left w:val="nil"/>
              <w:bottom w:val="dotted" w:color="000000" w:sz="8" w:space="0"/>
              <w:right w:val="dashed" w:color="000000" w:sz="8" w:space="0"/>
            </w:tcBorders>
            <w:tcMar>
              <w:top w:w="100" w:type="dxa"/>
              <w:left w:w="100" w:type="dxa"/>
              <w:bottom w:w="100" w:type="dxa"/>
              <w:right w:w="100" w:type="dxa"/>
            </w:tcMar>
          </w:tcPr>
          <w:p w:rsidR="00447C1F" w:rsidRDefault="00CB583F">
            <w:pPr>
              <w:spacing w:line="240" w:lineRule="auto"/>
              <w:jc w:val="right"/>
              <w:rPr>
                <w:rFonts w:ascii="Times New Roman" w:hAnsi="Times New Roman" w:eastAsia="Times New Roman" w:cs="Times New Roman"/>
                <w:sz w:val="14"/>
                <w:szCs w:val="14"/>
              </w:rPr>
            </w:pPr>
            <w:r>
              <w:rPr>
                <w:rFonts w:ascii="Times New Roman" w:hAnsi="Times New Roman" w:eastAsia="Times New Roman" w:cs="Times New Roman"/>
                <w:sz w:val="14"/>
                <w:szCs w:val="14"/>
              </w:rPr>
              <w:t>14,382</w:t>
            </w:r>
            <w:r w:rsidR="003365D0">
              <w:rPr>
                <w:rFonts w:ascii="Times New Roman" w:hAnsi="Times New Roman" w:eastAsia="Times New Roman" w:cs="Times New Roman"/>
                <w:sz w:val="14"/>
                <w:szCs w:val="14"/>
              </w:rPr>
              <w:t xml:space="preserve"> Annual burden hours </w:t>
            </w:r>
          </w:p>
        </w:tc>
        <w:tc>
          <w:tcPr>
            <w:tcW w:w="2020" w:type="dxa"/>
            <w:tcBorders>
              <w:top w:val="nil"/>
              <w:left w:val="nil"/>
              <w:bottom w:val="dotted" w:color="000000" w:sz="8" w:space="0"/>
              <w:right w:val="single" w:color="000000" w:sz="8" w:space="0"/>
            </w:tcBorders>
            <w:shd w:val="clear" w:color="auto" w:fill="auto"/>
            <w:tcMar>
              <w:top w:w="100" w:type="dxa"/>
              <w:left w:w="100" w:type="dxa"/>
              <w:bottom w:w="100" w:type="dxa"/>
              <w:right w:w="100" w:type="dxa"/>
            </w:tcMar>
          </w:tcPr>
          <w:p w:rsidR="00447C1F" w:rsidRDefault="003365D0">
            <w:pPr>
              <w:spacing w:line="240" w:lineRule="auto"/>
              <w:rPr>
                <w:rFonts w:ascii="Times New Roman" w:hAnsi="Times New Roman" w:eastAsia="Times New Roman" w:cs="Times New Roman"/>
                <w:sz w:val="18"/>
                <w:szCs w:val="18"/>
              </w:rPr>
            </w:pPr>
            <w:r>
              <w:rPr>
                <w:rFonts w:ascii="Times New Roman" w:hAnsi="Times New Roman" w:eastAsia="Times New Roman" w:cs="Times New Roman"/>
                <w:sz w:val="14"/>
                <w:szCs w:val="14"/>
              </w:rPr>
              <w:t>This analysis only accounts for vessels using trap/pot gear, while previous collections have also accounted for gear marking for vessels in gillnet fisheries. This analysis also assumes that fishermen will remark all vertical buoy lines every year, instead of once every three years, as past collections have considered.  This analysis also encompasses the increased frequency of marks per vertical buoy line, as well as time and cost of several types of marking.</w:t>
            </w:r>
          </w:p>
        </w:tc>
      </w:tr>
      <w:tr w:rsidR="00447C1F">
        <w:trPr>
          <w:trHeight w:val="665"/>
        </w:trPr>
        <w:tc>
          <w:tcPr>
            <w:tcW w:w="1785" w:type="dxa"/>
            <w:tcBorders>
              <w:top w:val="nil"/>
              <w:left w:val="single" w:color="000000" w:sz="8" w:space="0"/>
              <w:bottom w:val="nil"/>
              <w:right w:val="single" w:color="000000" w:sz="8" w:space="0"/>
            </w:tcBorders>
            <w:shd w:val="clear" w:color="auto" w:fill="BDD6EE"/>
            <w:tcMar>
              <w:top w:w="100" w:type="dxa"/>
              <w:left w:w="100" w:type="dxa"/>
              <w:bottom w:w="100" w:type="dxa"/>
              <w:right w:w="100" w:type="dxa"/>
            </w:tcMar>
          </w:tcPr>
          <w:p w:rsidR="00447C1F" w:rsidRDefault="003365D0">
            <w:pPr>
              <w:spacing w:line="240" w:lineRule="auto"/>
              <w:ind w:left="-46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   Total for Collection</w:t>
            </w:r>
          </w:p>
        </w:tc>
        <w:tc>
          <w:tcPr>
            <w:tcW w:w="780" w:type="dxa"/>
            <w:tcBorders>
              <w:top w:val="nil"/>
              <w:left w:val="nil"/>
              <w:bottom w:val="dotted" w:color="000000" w:sz="8" w:space="0"/>
              <w:right w:val="dashed" w:color="000000" w:sz="8" w:space="0"/>
            </w:tcBorders>
            <w:shd w:val="clear" w:color="auto" w:fill="auto"/>
            <w:tcMar>
              <w:top w:w="100" w:type="dxa"/>
              <w:left w:w="100" w:type="dxa"/>
              <w:bottom w:w="100" w:type="dxa"/>
              <w:right w:w="100" w:type="dxa"/>
            </w:tcMar>
          </w:tcPr>
          <w:p w:rsidR="00447C1F" w:rsidRDefault="003365D0">
            <w:pPr>
              <w:spacing w:line="240" w:lineRule="auto"/>
              <w:jc w:val="right"/>
              <w:rPr>
                <w:rFonts w:ascii="Times New Roman" w:hAnsi="Times New Roman" w:eastAsia="Times New Roman" w:cs="Times New Roman"/>
                <w:sz w:val="14"/>
                <w:szCs w:val="14"/>
              </w:rPr>
            </w:pPr>
            <w:r>
              <w:rPr>
                <w:rFonts w:ascii="Times New Roman" w:hAnsi="Times New Roman" w:eastAsia="Times New Roman" w:cs="Times New Roman"/>
                <w:sz w:val="14"/>
                <w:szCs w:val="14"/>
              </w:rPr>
              <w:t xml:space="preserve">3,970 </w:t>
            </w:r>
          </w:p>
          <w:p w:rsidR="00447C1F" w:rsidRDefault="003365D0">
            <w:pPr>
              <w:spacing w:line="240" w:lineRule="auto"/>
              <w:jc w:val="right"/>
              <w:rPr>
                <w:rFonts w:ascii="Times New Roman" w:hAnsi="Times New Roman" w:eastAsia="Times New Roman" w:cs="Times New Roman"/>
                <w:sz w:val="14"/>
                <w:szCs w:val="14"/>
              </w:rPr>
            </w:pPr>
            <w:r>
              <w:rPr>
                <w:rFonts w:ascii="Times New Roman" w:hAnsi="Times New Roman" w:eastAsia="Times New Roman" w:cs="Times New Roman"/>
                <w:sz w:val="14"/>
                <w:szCs w:val="14"/>
              </w:rPr>
              <w:t>Vessels</w:t>
            </w:r>
          </w:p>
        </w:tc>
        <w:tc>
          <w:tcPr>
            <w:tcW w:w="780" w:type="dxa"/>
            <w:tcBorders>
              <w:top w:val="nil"/>
              <w:left w:val="nil"/>
              <w:bottom w:val="dotted" w:color="000000" w:sz="8" w:space="0"/>
              <w:right w:val="single" w:color="000000" w:sz="8" w:space="0"/>
            </w:tcBorders>
            <w:shd w:val="clear" w:color="auto" w:fill="auto"/>
            <w:tcMar>
              <w:top w:w="100" w:type="dxa"/>
              <w:left w:w="100" w:type="dxa"/>
              <w:bottom w:w="100" w:type="dxa"/>
              <w:right w:w="100" w:type="dxa"/>
            </w:tcMar>
          </w:tcPr>
          <w:p w:rsidR="00CB583F" w:rsidP="00CB583F" w:rsidRDefault="00CB583F">
            <w:pPr>
              <w:spacing w:line="240" w:lineRule="auto"/>
              <w:jc w:val="right"/>
              <w:rPr>
                <w:rFonts w:ascii="Times New Roman" w:hAnsi="Times New Roman" w:eastAsia="Times New Roman" w:cs="Times New Roman"/>
                <w:sz w:val="14"/>
                <w:szCs w:val="14"/>
              </w:rPr>
            </w:pPr>
            <w:r>
              <w:rPr>
                <w:rFonts w:ascii="Times New Roman" w:hAnsi="Times New Roman" w:eastAsia="Times New Roman" w:cs="Times New Roman"/>
                <w:sz w:val="14"/>
                <w:szCs w:val="14"/>
              </w:rPr>
              <w:t>3,672</w:t>
            </w:r>
          </w:p>
          <w:p w:rsidR="00447C1F" w:rsidRDefault="003365D0">
            <w:pPr>
              <w:spacing w:line="240" w:lineRule="auto"/>
              <w:jc w:val="right"/>
              <w:rPr>
                <w:rFonts w:ascii="Times New Roman" w:hAnsi="Times New Roman" w:eastAsia="Times New Roman" w:cs="Times New Roman"/>
                <w:sz w:val="14"/>
                <w:szCs w:val="14"/>
              </w:rPr>
            </w:pPr>
            <w:r>
              <w:rPr>
                <w:rFonts w:ascii="Times New Roman" w:hAnsi="Times New Roman" w:eastAsia="Times New Roman" w:cs="Times New Roman"/>
                <w:sz w:val="14"/>
                <w:szCs w:val="14"/>
              </w:rPr>
              <w:t xml:space="preserve">Vessels </w:t>
            </w:r>
          </w:p>
        </w:tc>
        <w:tc>
          <w:tcPr>
            <w:tcW w:w="810" w:type="dxa"/>
            <w:tcBorders>
              <w:top w:val="nil"/>
              <w:left w:val="nil"/>
              <w:bottom w:val="dotted" w:color="000000" w:sz="8" w:space="0"/>
              <w:right w:val="dashed" w:color="000000" w:sz="8" w:space="0"/>
            </w:tcBorders>
            <w:shd w:val="clear" w:color="auto" w:fill="auto"/>
            <w:tcMar>
              <w:top w:w="100" w:type="dxa"/>
              <w:left w:w="100" w:type="dxa"/>
              <w:bottom w:w="100" w:type="dxa"/>
              <w:right w:w="100" w:type="dxa"/>
            </w:tcMar>
          </w:tcPr>
          <w:p w:rsidR="00447C1F" w:rsidRDefault="003365D0">
            <w:pPr>
              <w:spacing w:line="240" w:lineRule="auto"/>
              <w:jc w:val="right"/>
              <w:rPr>
                <w:rFonts w:ascii="Times New Roman" w:hAnsi="Times New Roman" w:eastAsia="Times New Roman" w:cs="Times New Roman"/>
                <w:sz w:val="14"/>
                <w:szCs w:val="14"/>
              </w:rPr>
            </w:pPr>
            <w:r>
              <w:rPr>
                <w:rFonts w:ascii="Times New Roman" w:hAnsi="Times New Roman" w:eastAsia="Times New Roman" w:cs="Times New Roman"/>
                <w:sz w:val="14"/>
                <w:szCs w:val="14"/>
              </w:rPr>
              <w:t xml:space="preserve">1,544,842 Marks  </w:t>
            </w:r>
          </w:p>
        </w:tc>
        <w:tc>
          <w:tcPr>
            <w:tcW w:w="945" w:type="dxa"/>
            <w:tcBorders>
              <w:top w:val="nil"/>
              <w:left w:val="nil"/>
              <w:bottom w:val="dotted" w:color="000000" w:sz="8" w:space="0"/>
              <w:right w:val="single" w:color="000000" w:sz="8" w:space="0"/>
            </w:tcBorders>
            <w:shd w:val="clear" w:color="auto" w:fill="auto"/>
            <w:tcMar>
              <w:top w:w="100" w:type="dxa"/>
              <w:left w:w="100" w:type="dxa"/>
              <w:bottom w:w="100" w:type="dxa"/>
              <w:right w:w="100" w:type="dxa"/>
            </w:tcMar>
          </w:tcPr>
          <w:p w:rsidR="00CB583F" w:rsidP="00CB583F" w:rsidRDefault="00CB583F">
            <w:pPr>
              <w:spacing w:line="240" w:lineRule="auto"/>
              <w:jc w:val="right"/>
              <w:rPr>
                <w:rFonts w:ascii="Times New Roman" w:hAnsi="Times New Roman" w:eastAsia="Times New Roman" w:cs="Times New Roman"/>
                <w:sz w:val="14"/>
                <w:szCs w:val="14"/>
              </w:rPr>
            </w:pPr>
            <w:r>
              <w:rPr>
                <w:rFonts w:ascii="Times New Roman" w:hAnsi="Times New Roman" w:eastAsia="Times New Roman" w:cs="Times New Roman"/>
                <w:sz w:val="14"/>
                <w:szCs w:val="14"/>
              </w:rPr>
              <w:t>172,584</w:t>
            </w:r>
          </w:p>
          <w:p w:rsidR="00447C1F" w:rsidRDefault="003365D0">
            <w:pPr>
              <w:spacing w:line="240" w:lineRule="auto"/>
              <w:jc w:val="right"/>
              <w:rPr>
                <w:rFonts w:ascii="Times New Roman" w:hAnsi="Times New Roman" w:eastAsia="Times New Roman" w:cs="Times New Roman"/>
                <w:sz w:val="14"/>
                <w:szCs w:val="14"/>
              </w:rPr>
            </w:pPr>
            <w:r>
              <w:rPr>
                <w:rFonts w:ascii="Times New Roman" w:hAnsi="Times New Roman" w:eastAsia="Times New Roman" w:cs="Times New Roman"/>
                <w:sz w:val="14"/>
                <w:szCs w:val="14"/>
              </w:rPr>
              <w:t>Marks</w:t>
            </w:r>
          </w:p>
          <w:p w:rsidR="00447C1F" w:rsidRDefault="00447C1F">
            <w:pPr>
              <w:spacing w:line="240" w:lineRule="auto"/>
              <w:jc w:val="right"/>
              <w:rPr>
                <w:rFonts w:ascii="Times New Roman" w:hAnsi="Times New Roman" w:eastAsia="Times New Roman" w:cs="Times New Roman"/>
                <w:sz w:val="14"/>
                <w:szCs w:val="14"/>
              </w:rPr>
            </w:pPr>
          </w:p>
        </w:tc>
        <w:tc>
          <w:tcPr>
            <w:tcW w:w="1305" w:type="dxa"/>
            <w:tcBorders>
              <w:top w:val="nil"/>
              <w:left w:val="nil"/>
              <w:bottom w:val="dotted" w:color="000000" w:sz="8" w:space="0"/>
              <w:right w:val="dashed" w:color="000000" w:sz="8" w:space="0"/>
            </w:tcBorders>
            <w:shd w:val="clear" w:color="auto" w:fill="auto"/>
            <w:tcMar>
              <w:top w:w="100" w:type="dxa"/>
              <w:left w:w="100" w:type="dxa"/>
              <w:bottom w:w="100" w:type="dxa"/>
              <w:right w:w="100" w:type="dxa"/>
            </w:tcMar>
          </w:tcPr>
          <w:p w:rsidR="00447C1F" w:rsidRDefault="003365D0">
            <w:pPr>
              <w:spacing w:line="240" w:lineRule="auto"/>
              <w:jc w:val="right"/>
              <w:rPr>
                <w:rFonts w:ascii="Times New Roman" w:hAnsi="Times New Roman" w:eastAsia="Times New Roman" w:cs="Times New Roman"/>
                <w:sz w:val="14"/>
                <w:szCs w:val="14"/>
              </w:rPr>
            </w:pPr>
            <w:r>
              <w:rPr>
                <w:rFonts w:ascii="Times New Roman" w:hAnsi="Times New Roman" w:eastAsia="Times New Roman" w:cs="Times New Roman"/>
                <w:sz w:val="14"/>
                <w:szCs w:val="14"/>
              </w:rPr>
              <w:t>222,391 Annual burden hours</w:t>
            </w:r>
          </w:p>
        </w:tc>
        <w:tc>
          <w:tcPr>
            <w:tcW w:w="1415" w:type="dxa"/>
            <w:tcBorders>
              <w:top w:val="nil"/>
              <w:left w:val="nil"/>
              <w:bottom w:val="dotted" w:color="000000" w:sz="8" w:space="0"/>
              <w:right w:val="dashed" w:color="000000" w:sz="8" w:space="0"/>
            </w:tcBorders>
            <w:tcMar>
              <w:top w:w="100" w:type="dxa"/>
              <w:left w:w="100" w:type="dxa"/>
              <w:bottom w:w="100" w:type="dxa"/>
              <w:right w:w="100" w:type="dxa"/>
            </w:tcMar>
          </w:tcPr>
          <w:p w:rsidR="00447C1F" w:rsidRDefault="00CB583F">
            <w:pPr>
              <w:spacing w:line="240" w:lineRule="auto"/>
              <w:jc w:val="right"/>
              <w:rPr>
                <w:rFonts w:ascii="Times New Roman" w:hAnsi="Times New Roman" w:eastAsia="Times New Roman" w:cs="Times New Roman"/>
                <w:sz w:val="14"/>
                <w:szCs w:val="14"/>
              </w:rPr>
            </w:pPr>
            <w:r>
              <w:rPr>
                <w:rFonts w:ascii="Times New Roman" w:hAnsi="Times New Roman" w:eastAsia="Times New Roman" w:cs="Times New Roman"/>
                <w:sz w:val="14"/>
                <w:szCs w:val="14"/>
              </w:rPr>
              <w:t>14,382</w:t>
            </w:r>
            <w:r w:rsidR="003365D0">
              <w:rPr>
                <w:rFonts w:ascii="Times New Roman" w:hAnsi="Times New Roman" w:eastAsia="Times New Roman" w:cs="Times New Roman"/>
                <w:sz w:val="14"/>
                <w:szCs w:val="14"/>
              </w:rPr>
              <w:t xml:space="preserve"> Annual burden hours </w:t>
            </w:r>
          </w:p>
        </w:tc>
        <w:tc>
          <w:tcPr>
            <w:tcW w:w="2020" w:type="dxa"/>
            <w:tcBorders>
              <w:top w:val="nil"/>
              <w:left w:val="nil"/>
              <w:bottom w:val="nil"/>
              <w:right w:val="single" w:color="000000" w:sz="8" w:space="0"/>
            </w:tcBorders>
            <w:shd w:val="clear" w:color="auto" w:fill="000000"/>
            <w:tcMar>
              <w:top w:w="100" w:type="dxa"/>
              <w:left w:w="100" w:type="dxa"/>
              <w:bottom w:w="100" w:type="dxa"/>
              <w:right w:w="100" w:type="dxa"/>
            </w:tcMar>
          </w:tcPr>
          <w:p w:rsidR="00447C1F" w:rsidRDefault="003365D0">
            <w:pPr>
              <w:spacing w:line="240" w:lineRule="auto"/>
              <w:ind w:left="-460"/>
              <w:jc w:val="center"/>
              <w:rPr>
                <w:rFonts w:ascii="Times New Roman" w:hAnsi="Times New Roman" w:eastAsia="Times New Roman" w:cs="Times New Roman"/>
                <w:b/>
                <w:sz w:val="14"/>
                <w:szCs w:val="14"/>
              </w:rPr>
            </w:pPr>
            <w:r>
              <w:rPr>
                <w:rFonts w:ascii="Times New Roman" w:hAnsi="Times New Roman" w:eastAsia="Times New Roman" w:cs="Times New Roman"/>
                <w:b/>
                <w:sz w:val="14"/>
                <w:szCs w:val="14"/>
              </w:rPr>
              <w:t xml:space="preserve"> </w:t>
            </w:r>
          </w:p>
        </w:tc>
      </w:tr>
      <w:tr w:rsidR="00447C1F">
        <w:trPr>
          <w:trHeight w:val="515"/>
        </w:trPr>
        <w:tc>
          <w:tcPr>
            <w:tcW w:w="1785" w:type="dxa"/>
            <w:tcBorders>
              <w:top w:val="single" w:color="000000" w:sz="8" w:space="0"/>
              <w:left w:val="single" w:color="000000" w:sz="8" w:space="0"/>
              <w:bottom w:val="single" w:color="000000" w:sz="8" w:space="0"/>
              <w:right w:val="nil"/>
            </w:tcBorders>
            <w:shd w:val="clear" w:color="auto" w:fill="FCE4D6"/>
            <w:tcMar>
              <w:top w:w="100" w:type="dxa"/>
              <w:left w:w="100" w:type="dxa"/>
              <w:bottom w:w="100" w:type="dxa"/>
              <w:right w:w="100" w:type="dxa"/>
            </w:tcMar>
          </w:tcPr>
          <w:p w:rsidR="00447C1F" w:rsidRDefault="003365D0">
            <w:pPr>
              <w:spacing w:line="240" w:lineRule="auto"/>
              <w:ind w:left="-460"/>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          Difference</w:t>
            </w:r>
          </w:p>
        </w:tc>
        <w:tc>
          <w:tcPr>
            <w:tcW w:w="1560" w:type="dxa"/>
            <w:gridSpan w:val="2"/>
            <w:tcBorders>
              <w:top w:val="single" w:color="000000" w:sz="8" w:space="0"/>
              <w:left w:val="single" w:color="000000" w:sz="8" w:space="0"/>
              <w:bottom w:val="single" w:color="000000" w:sz="8" w:space="0"/>
              <w:right w:val="single" w:color="000000" w:sz="8" w:space="0"/>
            </w:tcBorders>
            <w:shd w:val="clear" w:color="auto" w:fill="FCE4D6"/>
            <w:tcMar>
              <w:top w:w="100" w:type="dxa"/>
              <w:left w:w="100" w:type="dxa"/>
              <w:bottom w:w="100" w:type="dxa"/>
              <w:right w:w="100" w:type="dxa"/>
            </w:tcMar>
          </w:tcPr>
          <w:p w:rsidR="00447C1F" w:rsidP="00CB583F" w:rsidRDefault="003365D0">
            <w:pPr>
              <w:keepNext/>
              <w:spacing w:line="240" w:lineRule="auto"/>
              <w:jc w:val="right"/>
              <w:rPr>
                <w:rFonts w:ascii="Times New Roman" w:hAnsi="Times New Roman" w:eastAsia="Times New Roman" w:cs="Times New Roman"/>
                <w:sz w:val="14"/>
                <w:szCs w:val="14"/>
              </w:rPr>
            </w:pPr>
            <w:r>
              <w:rPr>
                <w:rFonts w:ascii="Times New Roman" w:hAnsi="Times New Roman" w:eastAsia="Times New Roman" w:cs="Times New Roman"/>
                <w:sz w:val="14"/>
                <w:szCs w:val="14"/>
              </w:rPr>
              <w:t>+</w:t>
            </w:r>
            <w:r w:rsidR="00D81B0E">
              <w:rPr>
                <w:rFonts w:ascii="Times New Roman" w:hAnsi="Times New Roman" w:eastAsia="Times New Roman" w:cs="Times New Roman"/>
                <w:sz w:val="14"/>
                <w:szCs w:val="14"/>
              </w:rPr>
              <w:t>298</w:t>
            </w:r>
            <w:r w:rsidR="00270B23">
              <w:rPr>
                <w:rFonts w:ascii="Times New Roman" w:hAnsi="Times New Roman" w:eastAsia="Times New Roman" w:cs="Times New Roman"/>
                <w:sz w:val="14"/>
                <w:szCs w:val="14"/>
              </w:rPr>
              <w:t xml:space="preserve"> </w:t>
            </w:r>
            <w:r>
              <w:rPr>
                <w:rFonts w:ascii="Times New Roman" w:hAnsi="Times New Roman" w:eastAsia="Times New Roman" w:cs="Times New Roman"/>
                <w:sz w:val="14"/>
                <w:szCs w:val="14"/>
              </w:rPr>
              <w:t xml:space="preserve">vessels </w:t>
            </w:r>
          </w:p>
        </w:tc>
        <w:tc>
          <w:tcPr>
            <w:tcW w:w="1755" w:type="dxa"/>
            <w:gridSpan w:val="2"/>
            <w:tcBorders>
              <w:top w:val="single" w:color="000000" w:sz="8" w:space="0"/>
              <w:left w:val="nil"/>
              <w:bottom w:val="single" w:color="000000" w:sz="8" w:space="0"/>
              <w:right w:val="single" w:color="000000" w:sz="8" w:space="0"/>
            </w:tcBorders>
            <w:shd w:val="clear" w:color="auto" w:fill="FCE4D6"/>
            <w:tcMar>
              <w:top w:w="100" w:type="dxa"/>
              <w:left w:w="100" w:type="dxa"/>
              <w:bottom w:w="100" w:type="dxa"/>
              <w:right w:w="100" w:type="dxa"/>
            </w:tcMar>
          </w:tcPr>
          <w:p w:rsidR="00447C1F" w:rsidP="00CB583F" w:rsidRDefault="003365D0">
            <w:pPr>
              <w:spacing w:line="240" w:lineRule="auto"/>
              <w:ind w:left="-460"/>
              <w:jc w:val="right"/>
              <w:rPr>
                <w:rFonts w:ascii="Times New Roman" w:hAnsi="Times New Roman" w:eastAsia="Times New Roman" w:cs="Times New Roman"/>
                <w:sz w:val="14"/>
                <w:szCs w:val="14"/>
              </w:rPr>
            </w:pPr>
            <w:r>
              <w:rPr>
                <w:rFonts w:ascii="Times New Roman" w:hAnsi="Times New Roman" w:eastAsia="Times New Roman" w:cs="Times New Roman"/>
                <w:sz w:val="14"/>
                <w:szCs w:val="14"/>
              </w:rPr>
              <w:t>+</w:t>
            </w:r>
            <w:r w:rsidR="00D81B0E">
              <w:rPr>
                <w:rFonts w:ascii="Times New Roman" w:hAnsi="Times New Roman" w:eastAsia="Times New Roman" w:cs="Times New Roman"/>
                <w:sz w:val="14"/>
                <w:szCs w:val="14"/>
              </w:rPr>
              <w:t xml:space="preserve">1,372,258 </w:t>
            </w:r>
            <w:r>
              <w:rPr>
                <w:rFonts w:ascii="Times New Roman" w:hAnsi="Times New Roman" w:eastAsia="Times New Roman" w:cs="Times New Roman"/>
                <w:sz w:val="14"/>
                <w:szCs w:val="14"/>
              </w:rPr>
              <w:t xml:space="preserve">marks </w:t>
            </w:r>
          </w:p>
        </w:tc>
        <w:tc>
          <w:tcPr>
            <w:tcW w:w="2720" w:type="dxa"/>
            <w:gridSpan w:val="2"/>
            <w:tcBorders>
              <w:top w:val="single" w:color="000000" w:sz="8" w:space="0"/>
              <w:left w:val="nil"/>
              <w:bottom w:val="single" w:color="000000" w:sz="8" w:space="0"/>
              <w:right w:val="single" w:color="000000" w:sz="8" w:space="0"/>
            </w:tcBorders>
            <w:shd w:val="clear" w:color="auto" w:fill="FCE4D6"/>
            <w:tcMar>
              <w:top w:w="100" w:type="dxa"/>
              <w:left w:w="100" w:type="dxa"/>
              <w:bottom w:w="100" w:type="dxa"/>
              <w:right w:w="100" w:type="dxa"/>
            </w:tcMar>
          </w:tcPr>
          <w:p w:rsidR="00447C1F" w:rsidP="00CB583F" w:rsidRDefault="003365D0">
            <w:pPr>
              <w:spacing w:line="240" w:lineRule="auto"/>
              <w:ind w:left="-460"/>
              <w:jc w:val="right"/>
              <w:rPr>
                <w:rFonts w:ascii="Times New Roman" w:hAnsi="Times New Roman" w:eastAsia="Times New Roman" w:cs="Times New Roman"/>
                <w:sz w:val="14"/>
                <w:szCs w:val="14"/>
              </w:rPr>
            </w:pPr>
            <w:r>
              <w:rPr>
                <w:rFonts w:ascii="Times New Roman" w:hAnsi="Times New Roman" w:eastAsia="Times New Roman" w:cs="Times New Roman"/>
                <w:sz w:val="14"/>
                <w:szCs w:val="14"/>
              </w:rPr>
              <w:t xml:space="preserve"> +</w:t>
            </w:r>
            <w:r w:rsidR="00D81B0E">
              <w:rPr>
                <w:rFonts w:ascii="Times New Roman" w:hAnsi="Times New Roman" w:eastAsia="Times New Roman" w:cs="Times New Roman"/>
                <w:sz w:val="14"/>
                <w:szCs w:val="14"/>
              </w:rPr>
              <w:t xml:space="preserve">208,009 </w:t>
            </w:r>
            <w:r>
              <w:rPr>
                <w:rFonts w:ascii="Times New Roman" w:hAnsi="Times New Roman" w:eastAsia="Times New Roman" w:cs="Times New Roman"/>
                <w:sz w:val="14"/>
                <w:szCs w:val="14"/>
              </w:rPr>
              <w:t>hours</w:t>
            </w:r>
          </w:p>
        </w:tc>
        <w:tc>
          <w:tcPr>
            <w:tcW w:w="2020" w:type="dxa"/>
            <w:tcBorders>
              <w:top w:val="single" w:color="000000" w:sz="8" w:space="0"/>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460"/>
              <w:rPr>
                <w:rFonts w:ascii="Times New Roman" w:hAnsi="Times New Roman" w:eastAsia="Times New Roman" w:cs="Times New Roman"/>
                <w:sz w:val="14"/>
                <w:szCs w:val="14"/>
              </w:rPr>
            </w:pPr>
            <w:r>
              <w:rPr>
                <w:rFonts w:ascii="Times New Roman" w:hAnsi="Times New Roman" w:eastAsia="Times New Roman" w:cs="Times New Roman"/>
                <w:sz w:val="14"/>
                <w:szCs w:val="14"/>
              </w:rPr>
              <w:t xml:space="preserve"> </w:t>
            </w:r>
          </w:p>
        </w:tc>
      </w:tr>
    </w:tbl>
    <w:p w:rsidR="00447C1F" w:rsidRDefault="003365D0">
      <w:pPr>
        <w:spacing w:line="240" w:lineRule="auto"/>
        <w:rPr>
          <w:rFonts w:ascii="Times New Roman" w:hAnsi="Times New Roman" w:eastAsia="Times New Roman" w:cs="Times New Roman"/>
          <w:b/>
        </w:rPr>
      </w:pPr>
      <w:r>
        <w:rPr>
          <w:rFonts w:ascii="Times New Roman" w:hAnsi="Times New Roman" w:eastAsia="Times New Roman" w:cs="Times New Roman"/>
          <w:b/>
        </w:rPr>
        <w:t xml:space="preserve"> </w:t>
      </w:r>
    </w:p>
    <w:p w:rsidR="00447C1F" w:rsidRDefault="00447C1F">
      <w:pPr>
        <w:spacing w:line="240" w:lineRule="auto"/>
        <w:rPr>
          <w:rFonts w:ascii="Times New Roman" w:hAnsi="Times New Roman" w:eastAsia="Times New Roman" w:cs="Times New Roman"/>
          <w:b/>
        </w:rPr>
      </w:pPr>
    </w:p>
    <w:p w:rsidR="00447C1F" w:rsidRDefault="003365D0">
      <w:pPr>
        <w:spacing w:line="240" w:lineRule="auto"/>
        <w:rPr>
          <w:rFonts w:ascii="Times New Roman" w:hAnsi="Times New Roman" w:eastAsia="Times New Roman" w:cs="Times New Roman"/>
        </w:rPr>
      </w:pPr>
      <w:r>
        <w:rPr>
          <w:rFonts w:ascii="Times New Roman" w:hAnsi="Times New Roman" w:eastAsia="Times New Roman" w:cs="Times New Roman"/>
        </w:rPr>
        <w:t>Table 7: Changes in labor and miscellaneous costs between current and previous rulemaking submission.</w:t>
      </w:r>
    </w:p>
    <w:p w:rsidR="00447C1F" w:rsidRDefault="00447C1F">
      <w:pPr>
        <w:spacing w:line="240" w:lineRule="auto"/>
        <w:rPr>
          <w:rFonts w:ascii="Times New Roman" w:hAnsi="Times New Roman" w:eastAsia="Times New Roman" w:cs="Times New Roman"/>
          <w:b/>
          <w:highlight w:val="yellow"/>
        </w:rPr>
      </w:pPr>
    </w:p>
    <w:tbl>
      <w:tblPr>
        <w:tblStyle w:val="afa"/>
        <w:tblW w:w="9825" w:type="dxa"/>
        <w:tblBorders>
          <w:top w:val="nil"/>
          <w:left w:val="nil"/>
          <w:bottom w:val="nil"/>
          <w:right w:val="nil"/>
          <w:insideH w:val="nil"/>
          <w:insideV w:val="nil"/>
        </w:tblBorders>
        <w:tblLayout w:type="fixed"/>
        <w:tblLook w:val="0600" w:firstRow="0" w:lastRow="0" w:firstColumn="0" w:lastColumn="0" w:noHBand="1" w:noVBand="1"/>
      </w:tblPr>
      <w:tblGrid>
        <w:gridCol w:w="1790"/>
        <w:gridCol w:w="1495"/>
        <w:gridCol w:w="1020"/>
        <w:gridCol w:w="1125"/>
        <w:gridCol w:w="960"/>
        <w:gridCol w:w="3435"/>
      </w:tblGrid>
      <w:tr w:rsidR="00447C1F">
        <w:trPr>
          <w:trHeight w:val="515"/>
        </w:trPr>
        <w:tc>
          <w:tcPr>
            <w:tcW w:w="1790" w:type="dxa"/>
            <w:vMerge w:val="restart"/>
            <w:tcBorders>
              <w:top w:val="single" w:color="000000" w:sz="8" w:space="0"/>
              <w:left w:val="single" w:color="000000" w:sz="8" w:space="0"/>
              <w:bottom w:val="single" w:color="000000" w:sz="8" w:space="0"/>
              <w:right w:val="single" w:color="000000" w:sz="8" w:space="0"/>
            </w:tcBorders>
            <w:shd w:val="clear" w:color="auto" w:fill="5B9BD5"/>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Information Collection</w:t>
            </w:r>
          </w:p>
        </w:tc>
        <w:tc>
          <w:tcPr>
            <w:tcW w:w="2515" w:type="dxa"/>
            <w:gridSpan w:val="2"/>
            <w:tcBorders>
              <w:top w:val="single" w:color="000000" w:sz="8" w:space="0"/>
              <w:left w:val="nil"/>
              <w:bottom w:val="single" w:color="000000" w:sz="8" w:space="0"/>
              <w:right w:val="single" w:color="000000" w:sz="8" w:space="0"/>
            </w:tcBorders>
            <w:shd w:val="clear" w:color="auto" w:fill="5B9BD5"/>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Labor Costs</w:t>
            </w:r>
          </w:p>
        </w:tc>
        <w:tc>
          <w:tcPr>
            <w:tcW w:w="2085" w:type="dxa"/>
            <w:gridSpan w:val="2"/>
            <w:tcBorders>
              <w:top w:val="single" w:color="000000" w:sz="8" w:space="0"/>
              <w:left w:val="nil"/>
              <w:bottom w:val="single" w:color="000000" w:sz="8" w:space="0"/>
              <w:right w:val="single" w:color="000000" w:sz="8" w:space="0"/>
            </w:tcBorders>
            <w:shd w:val="clear" w:color="auto" w:fill="5B9BD5"/>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Miscellaneous Costs</w:t>
            </w:r>
          </w:p>
        </w:tc>
        <w:tc>
          <w:tcPr>
            <w:tcW w:w="3435" w:type="dxa"/>
            <w:vMerge w:val="restart"/>
            <w:tcBorders>
              <w:top w:val="single" w:color="000000" w:sz="8" w:space="0"/>
              <w:left w:val="nil"/>
              <w:bottom w:val="single" w:color="000000" w:sz="8" w:space="0"/>
              <w:right w:val="single" w:color="000000" w:sz="8" w:space="0"/>
            </w:tcBorders>
            <w:shd w:val="clear" w:color="auto" w:fill="5B9BD5"/>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Reason for change or adjustment</w:t>
            </w:r>
          </w:p>
        </w:tc>
      </w:tr>
      <w:tr w:rsidR="00447C1F">
        <w:trPr>
          <w:trHeight w:val="890"/>
        </w:trPr>
        <w:tc>
          <w:tcPr>
            <w:tcW w:w="1790" w:type="dxa"/>
            <w:vMerge/>
            <w:tcBorders>
              <w:top w:val="single" w:color="000000" w:sz="8" w:space="0"/>
              <w:left w:val="single" w:color="000000" w:sz="8" w:space="0"/>
              <w:bottom w:val="single" w:color="000000" w:sz="8" w:space="0"/>
              <w:right w:val="single" w:color="000000" w:sz="8" w:space="0"/>
            </w:tcBorders>
            <w:shd w:val="clear" w:color="auto" w:fill="5B9BD5"/>
            <w:tcMar>
              <w:top w:w="100" w:type="dxa"/>
              <w:left w:w="100" w:type="dxa"/>
              <w:bottom w:w="100" w:type="dxa"/>
              <w:right w:w="100" w:type="dxa"/>
            </w:tcMar>
          </w:tcPr>
          <w:p w:rsidR="00447C1F" w:rsidRDefault="00447C1F">
            <w:pPr>
              <w:widowControl w:val="0"/>
              <w:pBdr>
                <w:top w:val="nil"/>
                <w:left w:val="nil"/>
                <w:bottom w:val="nil"/>
                <w:right w:val="nil"/>
                <w:between w:val="nil"/>
              </w:pBdr>
              <w:rPr>
                <w:rFonts w:ascii="Times New Roman" w:hAnsi="Times New Roman" w:eastAsia="Times New Roman" w:cs="Times New Roman"/>
                <w:b/>
                <w:sz w:val="16"/>
                <w:szCs w:val="16"/>
              </w:rPr>
            </w:pPr>
          </w:p>
        </w:tc>
        <w:tc>
          <w:tcPr>
            <w:tcW w:w="1495" w:type="dxa"/>
            <w:tcBorders>
              <w:top w:val="nil"/>
              <w:left w:val="nil"/>
              <w:bottom w:val="single" w:color="000000" w:sz="8" w:space="0"/>
              <w:right w:val="dashed" w:color="000000" w:sz="8" w:space="0"/>
            </w:tcBorders>
            <w:shd w:val="clear" w:color="auto" w:fill="FBE4D5"/>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Current</w:t>
            </w:r>
          </w:p>
        </w:tc>
        <w:tc>
          <w:tcPr>
            <w:tcW w:w="1020" w:type="dxa"/>
            <w:tcBorders>
              <w:top w:val="nil"/>
              <w:left w:val="nil"/>
              <w:bottom w:val="single" w:color="000000" w:sz="8" w:space="0"/>
              <w:right w:val="single" w:color="000000" w:sz="8" w:space="0"/>
            </w:tcBorders>
            <w:shd w:val="clear" w:color="auto" w:fill="FBE4D5"/>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Previous</w:t>
            </w:r>
          </w:p>
        </w:tc>
        <w:tc>
          <w:tcPr>
            <w:tcW w:w="1125" w:type="dxa"/>
            <w:tcBorders>
              <w:top w:val="nil"/>
              <w:left w:val="nil"/>
              <w:bottom w:val="single" w:color="000000" w:sz="8" w:space="0"/>
              <w:right w:val="dashed" w:color="000000" w:sz="8" w:space="0"/>
            </w:tcBorders>
            <w:shd w:val="clear" w:color="auto" w:fill="FBE4D5"/>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Current</w:t>
            </w:r>
          </w:p>
        </w:tc>
        <w:tc>
          <w:tcPr>
            <w:tcW w:w="960" w:type="dxa"/>
            <w:tcBorders>
              <w:top w:val="nil"/>
              <w:left w:val="nil"/>
              <w:bottom w:val="single" w:color="000000" w:sz="8" w:space="0"/>
              <w:right w:val="single" w:color="000000" w:sz="8" w:space="0"/>
            </w:tcBorders>
            <w:shd w:val="clear" w:color="auto" w:fill="FBE4D5"/>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Previous</w:t>
            </w:r>
          </w:p>
        </w:tc>
        <w:tc>
          <w:tcPr>
            <w:tcW w:w="3435" w:type="dxa"/>
            <w:vMerge/>
            <w:tcBorders>
              <w:top w:val="single" w:color="000000" w:sz="8" w:space="0"/>
              <w:left w:val="nil"/>
              <w:bottom w:val="single" w:color="000000" w:sz="8" w:space="0"/>
              <w:right w:val="single" w:color="000000" w:sz="8" w:space="0"/>
            </w:tcBorders>
            <w:shd w:val="clear" w:color="auto" w:fill="5B9BD5"/>
            <w:tcMar>
              <w:top w:w="100" w:type="dxa"/>
              <w:left w:w="100" w:type="dxa"/>
              <w:bottom w:w="100" w:type="dxa"/>
              <w:right w:w="100" w:type="dxa"/>
            </w:tcMar>
          </w:tcPr>
          <w:p w:rsidR="00447C1F" w:rsidRDefault="00447C1F">
            <w:pPr>
              <w:widowControl w:val="0"/>
              <w:pBdr>
                <w:top w:val="nil"/>
                <w:left w:val="nil"/>
                <w:bottom w:val="nil"/>
                <w:right w:val="nil"/>
                <w:between w:val="nil"/>
              </w:pBdr>
              <w:rPr>
                <w:rFonts w:ascii="Times New Roman" w:hAnsi="Times New Roman" w:eastAsia="Times New Roman" w:cs="Times New Roman"/>
                <w:sz w:val="16"/>
                <w:szCs w:val="16"/>
              </w:rPr>
            </w:pPr>
          </w:p>
        </w:tc>
      </w:tr>
      <w:tr w:rsidR="00447C1F">
        <w:trPr>
          <w:trHeight w:val="515"/>
        </w:trPr>
        <w:tc>
          <w:tcPr>
            <w:tcW w:w="17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447C1F" w:rsidRDefault="003365D0">
            <w:pPr>
              <w:spacing w:line="240" w:lineRule="auto"/>
              <w:ind w:left="-20"/>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Gear marking on vertical buoy lines </w:t>
            </w:r>
          </w:p>
        </w:tc>
        <w:tc>
          <w:tcPr>
            <w:tcW w:w="1495" w:type="dxa"/>
            <w:tcBorders>
              <w:top w:val="nil"/>
              <w:left w:val="nil"/>
              <w:bottom w:val="single" w:color="000000" w:sz="8" w:space="0"/>
              <w:right w:val="single" w:color="000000" w:sz="8" w:space="0"/>
            </w:tcBorders>
            <w:tcMar>
              <w:top w:w="100" w:type="dxa"/>
              <w:left w:w="100" w:type="dxa"/>
              <w:bottom w:w="100" w:type="dxa"/>
              <w:right w:w="100" w:type="dxa"/>
            </w:tcMar>
          </w:tcPr>
          <w:p w:rsidR="00447C1F" w:rsidP="00D81B0E" w:rsidRDefault="00D81B0E">
            <w:pPr>
              <w:spacing w:line="240" w:lineRule="auto"/>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w:t>
            </w:r>
            <w:r w:rsidR="003365D0">
              <w:rPr>
                <w:rFonts w:ascii="Times New Roman" w:hAnsi="Times New Roman" w:eastAsia="Times New Roman" w:cs="Times New Roman"/>
                <w:sz w:val="16"/>
                <w:szCs w:val="16"/>
              </w:rPr>
              <w:t>5</w:t>
            </w:r>
            <w:r>
              <w:rPr>
                <w:rFonts w:ascii="Times New Roman" w:hAnsi="Times New Roman" w:eastAsia="Times New Roman" w:cs="Times New Roman"/>
                <w:sz w:val="16"/>
                <w:szCs w:val="16"/>
              </w:rPr>
              <w:t>,600,000</w:t>
            </w:r>
          </w:p>
        </w:tc>
        <w:tc>
          <w:tcPr>
            <w:tcW w:w="1020" w:type="dxa"/>
            <w:tcBorders>
              <w:top w:val="nil"/>
              <w:left w:val="nil"/>
              <w:bottom w:val="dotted" w:color="000000" w:sz="8" w:space="0"/>
              <w:right w:val="single" w:color="000000" w:sz="8" w:space="0"/>
            </w:tcBorders>
            <w:shd w:val="clear" w:color="auto" w:fill="auto"/>
            <w:tcMar>
              <w:top w:w="100" w:type="dxa"/>
              <w:left w:w="100" w:type="dxa"/>
              <w:bottom w:w="100" w:type="dxa"/>
              <w:right w:w="100" w:type="dxa"/>
            </w:tcMar>
          </w:tcPr>
          <w:p w:rsidR="00447C1F" w:rsidP="00D81B0E"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w:t>
            </w:r>
            <w:r w:rsidR="00D81B0E">
              <w:rPr>
                <w:rFonts w:ascii="Times New Roman" w:hAnsi="Times New Roman" w:eastAsia="Times New Roman" w:cs="Times New Roman"/>
                <w:sz w:val="16"/>
                <w:szCs w:val="16"/>
              </w:rPr>
              <w:t>199,539.89</w:t>
            </w:r>
            <w:r>
              <w:rPr>
                <w:rFonts w:ascii="Times New Roman" w:hAnsi="Times New Roman" w:eastAsia="Times New Roman" w:cs="Times New Roman"/>
                <w:sz w:val="16"/>
                <w:szCs w:val="16"/>
              </w:rPr>
              <w:t xml:space="preserve"> </w:t>
            </w:r>
          </w:p>
        </w:tc>
        <w:tc>
          <w:tcPr>
            <w:tcW w:w="1125" w:type="dxa"/>
            <w:tcBorders>
              <w:top w:val="nil"/>
              <w:left w:val="nil"/>
              <w:bottom w:val="dotted" w:color="000000" w:sz="8" w:space="0"/>
              <w:right w:val="dashed" w:color="000000" w:sz="8" w:space="0"/>
            </w:tcBorders>
            <w:shd w:val="clear" w:color="auto" w:fill="auto"/>
            <w:tcMar>
              <w:top w:w="100" w:type="dxa"/>
              <w:left w:w="100" w:type="dxa"/>
              <w:bottom w:w="100" w:type="dxa"/>
              <w:right w:w="100" w:type="dxa"/>
            </w:tcMar>
          </w:tcPr>
          <w:p w:rsidR="00447C1F" w:rsidP="00270B23"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w:t>
            </w:r>
            <w:r w:rsidR="00270B23">
              <w:rPr>
                <w:rFonts w:ascii="Times New Roman" w:hAnsi="Times New Roman" w:eastAsia="Times New Roman" w:cs="Times New Roman"/>
                <w:sz w:val="16"/>
                <w:szCs w:val="16"/>
              </w:rPr>
              <w:t>266,594</w:t>
            </w:r>
            <w:r>
              <w:rPr>
                <w:rFonts w:ascii="Times New Roman" w:hAnsi="Times New Roman" w:eastAsia="Times New Roman" w:cs="Times New Roman"/>
                <w:sz w:val="16"/>
                <w:szCs w:val="16"/>
              </w:rPr>
              <w:t xml:space="preserve"> </w:t>
            </w:r>
          </w:p>
        </w:tc>
        <w:tc>
          <w:tcPr>
            <w:tcW w:w="960" w:type="dxa"/>
            <w:tcBorders>
              <w:top w:val="nil"/>
              <w:left w:val="nil"/>
              <w:bottom w:val="dotted" w:color="000000" w:sz="8" w:space="0"/>
              <w:right w:val="single" w:color="000000" w:sz="8" w:space="0"/>
            </w:tcBorders>
            <w:shd w:val="clear" w:color="auto" w:fill="auto"/>
            <w:tcMar>
              <w:top w:w="100" w:type="dxa"/>
              <w:left w:w="100" w:type="dxa"/>
              <w:bottom w:w="100" w:type="dxa"/>
              <w:right w:w="100" w:type="dxa"/>
            </w:tcMar>
          </w:tcPr>
          <w:p w:rsidR="00447C1F" w:rsidP="00D81B0E"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$10,</w:t>
            </w:r>
            <w:r w:rsidR="00D81B0E">
              <w:rPr>
                <w:rFonts w:ascii="Times New Roman" w:hAnsi="Times New Roman" w:eastAsia="Times New Roman" w:cs="Times New Roman"/>
                <w:sz w:val="16"/>
                <w:szCs w:val="16"/>
              </w:rPr>
              <w:t>355</w:t>
            </w:r>
          </w:p>
        </w:tc>
        <w:tc>
          <w:tcPr>
            <w:tcW w:w="3435" w:type="dxa"/>
            <w:tcBorders>
              <w:top w:val="nil"/>
              <w:left w:val="nil"/>
              <w:bottom w:val="dotted" w:color="000000" w:sz="8" w:space="0"/>
              <w:right w:val="single" w:color="000000" w:sz="8" w:space="0"/>
            </w:tcBorders>
            <w:shd w:val="clear" w:color="auto" w:fill="auto"/>
            <w:tcMar>
              <w:top w:w="100" w:type="dxa"/>
              <w:left w:w="100" w:type="dxa"/>
              <w:bottom w:w="100" w:type="dxa"/>
              <w:right w:w="100" w:type="dxa"/>
            </w:tcMar>
          </w:tcPr>
          <w:p w:rsidR="00447C1F" w:rsidRDefault="003365D0">
            <w:pPr>
              <w:spacing w:line="240"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This analysis also assumes that fishermen will remark all vertical buoy lines every year, instead of once every three years, as past collections have considered.  This analysis also encompasses the increased frequency of marks per vertical buoy line.</w:t>
            </w:r>
          </w:p>
        </w:tc>
      </w:tr>
      <w:tr w:rsidR="00447C1F">
        <w:trPr>
          <w:trHeight w:val="665"/>
        </w:trPr>
        <w:tc>
          <w:tcPr>
            <w:tcW w:w="1790" w:type="dxa"/>
            <w:tcBorders>
              <w:top w:val="nil"/>
              <w:left w:val="single" w:color="000000" w:sz="8" w:space="0"/>
              <w:bottom w:val="nil"/>
              <w:right w:val="single" w:color="000000" w:sz="8" w:space="0"/>
            </w:tcBorders>
            <w:shd w:val="clear" w:color="auto" w:fill="BDD6EE"/>
            <w:tcMar>
              <w:top w:w="100" w:type="dxa"/>
              <w:left w:w="100" w:type="dxa"/>
              <w:bottom w:w="100" w:type="dxa"/>
              <w:right w:w="100" w:type="dxa"/>
            </w:tcMar>
          </w:tcPr>
          <w:p w:rsidR="00447C1F" w:rsidRDefault="003365D0">
            <w:pPr>
              <w:spacing w:line="240" w:lineRule="auto"/>
              <w:ind w:left="-20"/>
              <w:rPr>
                <w:rFonts w:ascii="Times New Roman" w:hAnsi="Times New Roman" w:eastAsia="Times New Roman" w:cs="Times New Roman"/>
                <w:b/>
                <w:sz w:val="16"/>
                <w:szCs w:val="16"/>
              </w:rPr>
            </w:pPr>
            <w:r>
              <w:rPr>
                <w:rFonts w:ascii="Times New Roman" w:hAnsi="Times New Roman" w:eastAsia="Times New Roman" w:cs="Times New Roman"/>
                <w:b/>
                <w:sz w:val="16"/>
                <w:szCs w:val="16"/>
              </w:rPr>
              <w:t>Total for Collection</w:t>
            </w:r>
          </w:p>
        </w:tc>
        <w:tc>
          <w:tcPr>
            <w:tcW w:w="1495" w:type="dxa"/>
            <w:tcBorders>
              <w:top w:val="nil"/>
              <w:left w:val="nil"/>
              <w:bottom w:val="single" w:color="000000" w:sz="8" w:space="0"/>
              <w:right w:val="single" w:color="000000" w:sz="8" w:space="0"/>
            </w:tcBorders>
            <w:tcMar>
              <w:top w:w="100" w:type="dxa"/>
              <w:left w:w="100" w:type="dxa"/>
              <w:bottom w:w="100" w:type="dxa"/>
              <w:right w:w="100" w:type="dxa"/>
            </w:tcMar>
          </w:tcPr>
          <w:p w:rsidR="00447C1F" w:rsidP="00D81B0E" w:rsidRDefault="00D81B0E">
            <w:pPr>
              <w:spacing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w:t>
            </w:r>
            <w:r w:rsidR="003365D0">
              <w:rPr>
                <w:rFonts w:ascii="Times New Roman" w:hAnsi="Times New Roman" w:eastAsia="Times New Roman" w:cs="Times New Roman"/>
                <w:sz w:val="16"/>
                <w:szCs w:val="16"/>
              </w:rPr>
              <w:t>5</w:t>
            </w:r>
            <w:r>
              <w:rPr>
                <w:rFonts w:ascii="Times New Roman" w:hAnsi="Times New Roman" w:eastAsia="Times New Roman" w:cs="Times New Roman"/>
                <w:sz w:val="16"/>
                <w:szCs w:val="16"/>
              </w:rPr>
              <w:t>,600,000</w:t>
            </w:r>
          </w:p>
        </w:tc>
        <w:tc>
          <w:tcPr>
            <w:tcW w:w="1020" w:type="dxa"/>
            <w:tcBorders>
              <w:top w:val="nil"/>
              <w:left w:val="nil"/>
              <w:bottom w:val="dotted" w:color="000000" w:sz="8" w:space="0"/>
              <w:right w:val="single" w:color="000000" w:sz="8" w:space="0"/>
            </w:tcBorders>
            <w:shd w:val="clear" w:color="auto" w:fill="auto"/>
            <w:tcMar>
              <w:top w:w="100" w:type="dxa"/>
              <w:left w:w="100" w:type="dxa"/>
              <w:bottom w:w="100" w:type="dxa"/>
              <w:right w:w="100" w:type="dxa"/>
            </w:tcMar>
          </w:tcPr>
          <w:p w:rsidR="00447C1F" w:rsidRDefault="00D81B0E">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$199,539.89</w:t>
            </w:r>
          </w:p>
        </w:tc>
        <w:tc>
          <w:tcPr>
            <w:tcW w:w="1125" w:type="dxa"/>
            <w:tcBorders>
              <w:top w:val="nil"/>
              <w:left w:val="nil"/>
              <w:bottom w:val="dotted" w:color="000000" w:sz="8" w:space="0"/>
              <w:right w:val="dashed" w:color="000000" w:sz="8" w:space="0"/>
            </w:tcBorders>
            <w:shd w:val="clear" w:color="auto" w:fill="auto"/>
            <w:tcMar>
              <w:top w:w="100" w:type="dxa"/>
              <w:left w:w="100" w:type="dxa"/>
              <w:bottom w:w="100" w:type="dxa"/>
              <w:right w:w="100" w:type="dxa"/>
            </w:tcMar>
          </w:tcPr>
          <w:p w:rsidR="00447C1F" w:rsidP="00270B23"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w:t>
            </w:r>
            <w:r w:rsidR="00270B23">
              <w:rPr>
                <w:rFonts w:ascii="Times New Roman" w:hAnsi="Times New Roman" w:eastAsia="Times New Roman" w:cs="Times New Roman"/>
                <w:sz w:val="16"/>
                <w:szCs w:val="16"/>
              </w:rPr>
              <w:t>266,594</w:t>
            </w:r>
            <w:r>
              <w:rPr>
                <w:rFonts w:ascii="Times New Roman" w:hAnsi="Times New Roman" w:eastAsia="Times New Roman" w:cs="Times New Roman"/>
                <w:sz w:val="16"/>
                <w:szCs w:val="16"/>
              </w:rPr>
              <w:t xml:space="preserve"> </w:t>
            </w:r>
          </w:p>
        </w:tc>
        <w:tc>
          <w:tcPr>
            <w:tcW w:w="960" w:type="dxa"/>
            <w:tcBorders>
              <w:top w:val="nil"/>
              <w:left w:val="nil"/>
              <w:bottom w:val="dotted" w:color="000000" w:sz="8" w:space="0"/>
              <w:right w:val="single" w:color="000000" w:sz="8" w:space="0"/>
            </w:tcBorders>
            <w:shd w:val="clear" w:color="auto" w:fill="auto"/>
            <w:tcMar>
              <w:top w:w="100" w:type="dxa"/>
              <w:left w:w="100" w:type="dxa"/>
              <w:bottom w:w="100" w:type="dxa"/>
              <w:right w:w="100" w:type="dxa"/>
            </w:tcMar>
          </w:tcPr>
          <w:p w:rsidR="00447C1F" w:rsidP="00D81B0E" w:rsidRDefault="003365D0">
            <w:pPr>
              <w:spacing w:line="240" w:lineRule="auto"/>
              <w:ind w:left="-20"/>
              <w:jc w:val="right"/>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$10,</w:t>
            </w:r>
            <w:r w:rsidR="00D81B0E">
              <w:rPr>
                <w:rFonts w:ascii="Times New Roman" w:hAnsi="Times New Roman" w:eastAsia="Times New Roman" w:cs="Times New Roman"/>
                <w:sz w:val="16"/>
                <w:szCs w:val="16"/>
              </w:rPr>
              <w:t>355</w:t>
            </w:r>
          </w:p>
        </w:tc>
        <w:tc>
          <w:tcPr>
            <w:tcW w:w="3435" w:type="dxa"/>
            <w:tcBorders>
              <w:top w:val="nil"/>
              <w:left w:val="nil"/>
              <w:bottom w:val="nil"/>
              <w:right w:val="single" w:color="000000" w:sz="8" w:space="0"/>
            </w:tcBorders>
            <w:shd w:val="clear" w:color="auto" w:fill="000000"/>
            <w:tcMar>
              <w:top w:w="100" w:type="dxa"/>
              <w:left w:w="100" w:type="dxa"/>
              <w:bottom w:w="100" w:type="dxa"/>
              <w:right w:w="100" w:type="dxa"/>
            </w:tcMar>
          </w:tcPr>
          <w:p w:rsidR="00447C1F" w:rsidRDefault="003365D0">
            <w:pPr>
              <w:spacing w:line="240" w:lineRule="auto"/>
              <w:ind w:left="-20"/>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 </w:t>
            </w:r>
          </w:p>
        </w:tc>
      </w:tr>
      <w:tr w:rsidR="00447C1F">
        <w:trPr>
          <w:trHeight w:val="515"/>
        </w:trPr>
        <w:tc>
          <w:tcPr>
            <w:tcW w:w="1790" w:type="dxa"/>
            <w:tcBorders>
              <w:top w:val="single" w:color="000000" w:sz="8" w:space="0"/>
              <w:left w:val="single" w:color="000000" w:sz="8" w:space="0"/>
              <w:bottom w:val="single" w:color="000000" w:sz="8" w:space="0"/>
              <w:right w:val="nil"/>
            </w:tcBorders>
            <w:shd w:val="clear" w:color="auto" w:fill="FCE4D6"/>
            <w:tcMar>
              <w:top w:w="100" w:type="dxa"/>
              <w:left w:w="100" w:type="dxa"/>
              <w:bottom w:w="100" w:type="dxa"/>
              <w:right w:w="100" w:type="dxa"/>
            </w:tcMar>
          </w:tcPr>
          <w:p w:rsidR="00447C1F" w:rsidRDefault="003365D0">
            <w:pPr>
              <w:spacing w:line="240" w:lineRule="auto"/>
              <w:ind w:left="-20"/>
              <w:rPr>
                <w:rFonts w:ascii="Times New Roman" w:hAnsi="Times New Roman" w:eastAsia="Times New Roman" w:cs="Times New Roman"/>
                <w:b/>
                <w:sz w:val="16"/>
                <w:szCs w:val="16"/>
              </w:rPr>
            </w:pPr>
            <w:r>
              <w:rPr>
                <w:rFonts w:ascii="Times New Roman" w:hAnsi="Times New Roman" w:eastAsia="Times New Roman" w:cs="Times New Roman"/>
                <w:b/>
                <w:sz w:val="16"/>
                <w:szCs w:val="16"/>
              </w:rPr>
              <w:t>Difference</w:t>
            </w:r>
          </w:p>
        </w:tc>
        <w:tc>
          <w:tcPr>
            <w:tcW w:w="2515" w:type="dxa"/>
            <w:gridSpan w:val="2"/>
            <w:tcBorders>
              <w:top w:val="single" w:color="000000" w:sz="8" w:space="0"/>
              <w:left w:val="single" w:color="000000" w:sz="8" w:space="0"/>
              <w:bottom w:val="single" w:color="000000" w:sz="8" w:space="0"/>
              <w:right w:val="single" w:color="000000" w:sz="8" w:space="0"/>
            </w:tcBorders>
            <w:shd w:val="clear" w:color="auto" w:fill="FCE4D6"/>
            <w:tcMar>
              <w:top w:w="100" w:type="dxa"/>
              <w:left w:w="100" w:type="dxa"/>
              <w:bottom w:w="100" w:type="dxa"/>
              <w:right w:w="100" w:type="dxa"/>
            </w:tcMar>
          </w:tcPr>
          <w:p w:rsidR="00447C1F" w:rsidRDefault="00D81B0E">
            <w:pPr>
              <w:spacing w:line="240" w:lineRule="auto"/>
              <w:ind w:left="-20"/>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+$5,400,460.11</w:t>
            </w:r>
          </w:p>
        </w:tc>
        <w:tc>
          <w:tcPr>
            <w:tcW w:w="2085" w:type="dxa"/>
            <w:gridSpan w:val="2"/>
            <w:tcBorders>
              <w:top w:val="single" w:color="000000" w:sz="8" w:space="0"/>
              <w:left w:val="nil"/>
              <w:bottom w:val="single" w:color="000000" w:sz="8" w:space="0"/>
              <w:right w:val="single" w:color="000000" w:sz="8" w:space="0"/>
            </w:tcBorders>
            <w:shd w:val="clear" w:color="auto" w:fill="FCE4D6"/>
            <w:tcMar>
              <w:top w:w="100" w:type="dxa"/>
              <w:left w:w="100" w:type="dxa"/>
              <w:bottom w:w="100" w:type="dxa"/>
              <w:right w:w="100" w:type="dxa"/>
            </w:tcMar>
          </w:tcPr>
          <w:p w:rsidR="00447C1F" w:rsidP="00270B23" w:rsidRDefault="003365D0">
            <w:pPr>
              <w:spacing w:line="240" w:lineRule="auto"/>
              <w:ind w:left="-20"/>
              <w:jc w:val="center"/>
              <w:rPr>
                <w:rFonts w:ascii="Times New Roman" w:hAnsi="Times New Roman" w:eastAsia="Times New Roman" w:cs="Times New Roman"/>
              </w:rPr>
            </w:pPr>
            <w:r>
              <w:rPr>
                <w:rFonts w:ascii="Times New Roman" w:hAnsi="Times New Roman" w:eastAsia="Times New Roman" w:cs="Times New Roman"/>
                <w:sz w:val="16"/>
                <w:szCs w:val="16"/>
              </w:rPr>
              <w:t>+</w:t>
            </w:r>
            <w:r w:rsidR="00D81B0E">
              <w:rPr>
                <w:rFonts w:ascii="Times New Roman" w:hAnsi="Times New Roman" w:eastAsia="Times New Roman" w:cs="Times New Roman"/>
                <w:sz w:val="16"/>
                <w:szCs w:val="16"/>
              </w:rPr>
              <w:t>$</w:t>
            </w:r>
            <w:r w:rsidR="00270B23">
              <w:rPr>
                <w:rFonts w:ascii="Times New Roman" w:hAnsi="Times New Roman" w:eastAsia="Times New Roman" w:cs="Times New Roman"/>
                <w:sz w:val="16"/>
                <w:szCs w:val="16"/>
              </w:rPr>
              <w:t>256,239</w:t>
            </w:r>
          </w:p>
        </w:tc>
        <w:tc>
          <w:tcPr>
            <w:tcW w:w="3435" w:type="dxa"/>
            <w:tcBorders>
              <w:top w:val="single" w:color="000000" w:sz="8" w:space="0"/>
              <w:left w:val="nil"/>
              <w:bottom w:val="single" w:color="000000" w:sz="8" w:space="0"/>
              <w:right w:val="single" w:color="000000" w:sz="8" w:space="0"/>
            </w:tcBorders>
            <w:shd w:val="clear" w:color="auto" w:fill="000000"/>
            <w:tcMar>
              <w:top w:w="100" w:type="dxa"/>
              <w:left w:w="100" w:type="dxa"/>
              <w:bottom w:w="100" w:type="dxa"/>
              <w:right w:w="100" w:type="dxa"/>
            </w:tcMar>
            <w:vAlign w:val="bottom"/>
          </w:tcPr>
          <w:p w:rsidR="00447C1F" w:rsidRDefault="003365D0">
            <w:pPr>
              <w:spacing w:line="240" w:lineRule="auto"/>
              <w:ind w:left="-20"/>
              <w:rPr>
                <w:rFonts w:ascii="Times New Roman" w:hAnsi="Times New Roman" w:eastAsia="Times New Roman" w:cs="Times New Roman"/>
              </w:rPr>
            </w:pPr>
            <w:r>
              <w:rPr>
                <w:rFonts w:ascii="Times New Roman" w:hAnsi="Times New Roman" w:eastAsia="Times New Roman" w:cs="Times New Roman"/>
              </w:rPr>
              <w:t xml:space="preserve"> </w:t>
            </w:r>
          </w:p>
        </w:tc>
      </w:tr>
    </w:tbl>
    <w:p w:rsidR="00447C1F" w:rsidRDefault="003365D0">
      <w:pPr>
        <w:spacing w:line="240" w:lineRule="auto"/>
        <w:rPr>
          <w:rFonts w:ascii="Times New Roman" w:hAnsi="Times New Roman" w:eastAsia="Times New Roman" w:cs="Times New Roman"/>
          <w:b/>
        </w:rPr>
      </w:pPr>
      <w:r>
        <w:rPr>
          <w:rFonts w:ascii="Times New Roman" w:hAnsi="Times New Roman" w:eastAsia="Times New Roman" w:cs="Times New Roman"/>
          <w:b/>
        </w:rPr>
        <w:t xml:space="preserve"> </w:t>
      </w:r>
    </w:p>
    <w:p w:rsidR="00447C1F" w:rsidRDefault="00447C1F">
      <w:pPr>
        <w:spacing w:line="240" w:lineRule="auto"/>
        <w:rPr>
          <w:rFonts w:ascii="Times New Roman" w:hAnsi="Times New Roman" w:eastAsia="Times New Roman" w:cs="Times New Roman"/>
          <w:b/>
        </w:rPr>
      </w:pPr>
    </w:p>
    <w:p w:rsidR="00447C1F" w:rsidRDefault="003365D0">
      <w:pPr>
        <w:spacing w:line="240" w:lineRule="auto"/>
        <w:rPr>
          <w:rFonts w:ascii="Times New Roman" w:hAnsi="Times New Roman" w:eastAsia="Times New Roman" w:cs="Times New Roman"/>
          <w:b/>
        </w:rPr>
      </w:pPr>
      <w:bookmarkStart w:name="_heading=h.3znysh7" w:colFirst="0" w:colLast="0" w:id="4"/>
      <w:bookmarkEnd w:id="4"/>
      <w:r>
        <w:rPr>
          <w:rFonts w:ascii="Times New Roman" w:hAnsi="Times New Roman" w:eastAsia="Times New Roman" w:cs="Times New Roman"/>
          <w:b/>
        </w:rPr>
        <w:t>16.</w:t>
      </w:r>
      <w:r w:rsidR="00F70041">
        <w:rPr>
          <w:rFonts w:ascii="Times New Roman" w:hAnsi="Times New Roman" w:eastAsia="Times New Roman" w:cs="Times New Roman"/>
          <w:sz w:val="14"/>
          <w:szCs w:val="14"/>
        </w:rPr>
        <w:tab/>
      </w:r>
      <w:r>
        <w:rPr>
          <w:rFonts w:ascii="Times New Roman" w:hAnsi="Times New Roman" w:eastAsia="Times New Roman" w:cs="Times New Roman"/>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47C1F" w:rsidRDefault="00447C1F">
      <w:pPr>
        <w:spacing w:line="240" w:lineRule="auto"/>
        <w:rPr>
          <w:rFonts w:ascii="Times New Roman" w:hAnsi="Times New Roman" w:eastAsia="Times New Roman" w:cs="Times New Roman"/>
          <w:sz w:val="24"/>
          <w:szCs w:val="24"/>
        </w:rPr>
      </w:pPr>
    </w:p>
    <w:p w:rsidR="00447C1F" w:rsidRDefault="003365D0">
      <w:pPr>
        <w:spacing w:line="240" w:lineRule="auto"/>
        <w:rPr>
          <w:rFonts w:ascii="Times New Roman" w:hAnsi="Times New Roman" w:eastAsia="Times New Roman" w:cs="Times New Roman"/>
          <w:b/>
        </w:rPr>
      </w:pPr>
      <w:r>
        <w:rPr>
          <w:rFonts w:ascii="Times New Roman" w:hAnsi="Times New Roman" w:eastAsia="Times New Roman" w:cs="Times New Roman"/>
          <w:sz w:val="24"/>
          <w:szCs w:val="24"/>
        </w:rPr>
        <w:t>Collection results will not be published.</w:t>
      </w:r>
    </w:p>
    <w:p w:rsidR="00447C1F" w:rsidRDefault="00447C1F">
      <w:pPr>
        <w:spacing w:line="240" w:lineRule="auto"/>
        <w:rPr>
          <w:rFonts w:ascii="Times New Roman" w:hAnsi="Times New Roman" w:eastAsia="Times New Roman" w:cs="Times New Roman"/>
          <w:b/>
        </w:rPr>
      </w:pPr>
    </w:p>
    <w:p w:rsidR="00447C1F" w:rsidRDefault="003365D0">
      <w:pPr>
        <w:spacing w:line="240" w:lineRule="auto"/>
        <w:rPr>
          <w:rFonts w:ascii="Times New Roman" w:hAnsi="Times New Roman" w:eastAsia="Times New Roman" w:cs="Times New Roman"/>
          <w:b/>
        </w:rPr>
      </w:pPr>
      <w:r>
        <w:rPr>
          <w:rFonts w:ascii="Times New Roman" w:hAnsi="Times New Roman" w:eastAsia="Times New Roman" w:cs="Times New Roman"/>
          <w:b/>
        </w:rPr>
        <w:t>17.</w:t>
      </w:r>
      <w:r w:rsidR="00F70041">
        <w:rPr>
          <w:rFonts w:ascii="Times New Roman" w:hAnsi="Times New Roman" w:eastAsia="Times New Roman" w:cs="Times New Roman"/>
          <w:sz w:val="14"/>
          <w:szCs w:val="14"/>
        </w:rPr>
        <w:tab/>
      </w:r>
      <w:r>
        <w:rPr>
          <w:rFonts w:ascii="Times New Roman" w:hAnsi="Times New Roman" w:eastAsia="Times New Roman" w:cs="Times New Roman"/>
          <w:b/>
        </w:rPr>
        <w:t>If seeking approval to not display the expiration date for OMB approval of the information collection, explain the reasons that display would be inappropriate.</w:t>
      </w:r>
    </w:p>
    <w:p w:rsidR="00447C1F" w:rsidRDefault="00447C1F">
      <w:pPr>
        <w:spacing w:line="240" w:lineRule="auto"/>
        <w:rPr>
          <w:rFonts w:ascii="Times New Roman" w:hAnsi="Times New Roman" w:eastAsia="Times New Roman" w:cs="Times New Roman"/>
          <w:b/>
        </w:rPr>
      </w:pPr>
    </w:p>
    <w:p w:rsidR="00447C1F" w:rsidRDefault="003365D0">
      <w:pPr>
        <w:spacing w:line="240" w:lineRule="auto"/>
        <w:rPr>
          <w:rFonts w:ascii="Times New Roman" w:hAnsi="Times New Roman" w:eastAsia="Times New Roman" w:cs="Times New Roman"/>
          <w:i/>
        </w:rPr>
      </w:pPr>
      <w:r>
        <w:rPr>
          <w:rFonts w:ascii="Times New Roman" w:hAnsi="Times New Roman" w:eastAsia="Times New Roman" w:cs="Times New Roman"/>
          <w:sz w:val="24"/>
          <w:szCs w:val="24"/>
        </w:rPr>
        <w:t>This collection does not involve paper forms, so it is not possible to display the expiration date for OMB approval of the information collection.</w:t>
      </w:r>
    </w:p>
    <w:p w:rsidR="00447C1F" w:rsidRDefault="00447C1F">
      <w:pPr>
        <w:spacing w:line="240" w:lineRule="auto"/>
        <w:rPr>
          <w:rFonts w:ascii="Times New Roman" w:hAnsi="Times New Roman" w:eastAsia="Times New Roman" w:cs="Times New Roman"/>
          <w:b/>
        </w:rPr>
      </w:pPr>
    </w:p>
    <w:p w:rsidR="00447C1F" w:rsidRDefault="003365D0">
      <w:pPr>
        <w:spacing w:line="240" w:lineRule="auto"/>
        <w:rPr>
          <w:rFonts w:ascii="Times New Roman" w:hAnsi="Times New Roman" w:eastAsia="Times New Roman" w:cs="Times New Roman"/>
          <w:b/>
        </w:rPr>
      </w:pPr>
      <w:r>
        <w:rPr>
          <w:rFonts w:ascii="Times New Roman" w:hAnsi="Times New Roman" w:eastAsia="Times New Roman" w:cs="Times New Roman"/>
          <w:b/>
        </w:rPr>
        <w:t>18.</w:t>
      </w:r>
      <w:r w:rsidR="00F70041">
        <w:rPr>
          <w:rFonts w:ascii="Times New Roman" w:hAnsi="Times New Roman" w:eastAsia="Times New Roman" w:cs="Times New Roman"/>
          <w:b/>
        </w:rPr>
        <w:tab/>
      </w:r>
      <w:r>
        <w:rPr>
          <w:rFonts w:ascii="Times New Roman" w:hAnsi="Times New Roman" w:eastAsia="Times New Roman" w:cs="Times New Roman"/>
          <w:b/>
        </w:rPr>
        <w:t>Explain each exception to the certification statement identified in “Certification for Paperwork Reduction Act Submissions."</w:t>
      </w:r>
    </w:p>
    <w:p w:rsidR="00447C1F" w:rsidRDefault="00447C1F">
      <w:pPr>
        <w:spacing w:line="240" w:lineRule="auto"/>
        <w:jc w:val="both"/>
        <w:rPr>
          <w:rFonts w:ascii="Times New Roman" w:hAnsi="Times New Roman" w:eastAsia="Times New Roman" w:cs="Times New Roman"/>
        </w:rPr>
      </w:pPr>
    </w:p>
    <w:p w:rsidR="00447C1F" w:rsidRDefault="003365D0">
      <w:pPr>
        <w:spacing w:line="240" w:lineRule="auto"/>
        <w:jc w:val="both"/>
        <w:rPr>
          <w:rFonts w:ascii="Times New Roman" w:hAnsi="Times New Roman" w:eastAsia="Times New Roman" w:cs="Times New Roman"/>
        </w:rPr>
      </w:pPr>
      <w:r>
        <w:rPr>
          <w:rFonts w:ascii="Times New Roman" w:hAnsi="Times New Roman" w:eastAsia="Times New Roman" w:cs="Times New Roman"/>
        </w:rPr>
        <w:t>The agency certifies compliance with</w:t>
      </w:r>
      <w:hyperlink r:id="rId14">
        <w:r>
          <w:rPr>
            <w:rFonts w:ascii="Times New Roman" w:hAnsi="Times New Roman" w:eastAsia="Times New Roman" w:cs="Times New Roman"/>
          </w:rPr>
          <w:t xml:space="preserve"> </w:t>
        </w:r>
      </w:hyperlink>
      <w:hyperlink r:id="rId15">
        <w:r>
          <w:rPr>
            <w:rFonts w:ascii="Times New Roman" w:hAnsi="Times New Roman" w:eastAsia="Times New Roman" w:cs="Times New Roman"/>
            <w:color w:val="0563C1"/>
            <w:u w:val="single"/>
          </w:rPr>
          <w:t>5 CFR 1320.9</w:t>
        </w:r>
      </w:hyperlink>
      <w:r>
        <w:rPr>
          <w:rFonts w:ascii="Times New Roman" w:hAnsi="Times New Roman" w:eastAsia="Times New Roman" w:cs="Times New Roman"/>
          <w:color w:val="0563C1"/>
        </w:rPr>
        <w:t xml:space="preserve"> </w:t>
      </w:r>
      <w:r>
        <w:rPr>
          <w:rFonts w:ascii="Times New Roman" w:hAnsi="Times New Roman" w:eastAsia="Times New Roman" w:cs="Times New Roman"/>
        </w:rPr>
        <w:t>and the related provisions of</w:t>
      </w:r>
      <w:hyperlink r:id="rId16">
        <w:r>
          <w:rPr>
            <w:rFonts w:ascii="Times New Roman" w:hAnsi="Times New Roman" w:eastAsia="Times New Roman" w:cs="Times New Roman"/>
          </w:rPr>
          <w:t xml:space="preserve"> </w:t>
        </w:r>
      </w:hyperlink>
      <w:hyperlink r:id="rId17">
        <w:r>
          <w:rPr>
            <w:rFonts w:ascii="Times New Roman" w:hAnsi="Times New Roman" w:eastAsia="Times New Roman" w:cs="Times New Roman"/>
            <w:color w:val="0563C1"/>
            <w:u w:val="single"/>
          </w:rPr>
          <w:t>5 CFR</w:t>
        </w:r>
      </w:hyperlink>
      <w:hyperlink r:id="rId18">
        <w:r>
          <w:rPr>
            <w:rFonts w:ascii="Times New Roman" w:hAnsi="Times New Roman" w:eastAsia="Times New Roman" w:cs="Times New Roman"/>
            <w:color w:val="0563C1"/>
          </w:rPr>
          <w:t xml:space="preserve"> </w:t>
        </w:r>
      </w:hyperlink>
      <w:hyperlink r:id="rId19">
        <w:r>
          <w:rPr>
            <w:rFonts w:ascii="Times New Roman" w:hAnsi="Times New Roman" w:eastAsia="Times New Roman" w:cs="Times New Roman"/>
            <w:color w:val="0563C1"/>
            <w:u w:val="single"/>
          </w:rPr>
          <w:t>1320.8(b)(3)</w:t>
        </w:r>
      </w:hyperlink>
      <w:r>
        <w:rPr>
          <w:rFonts w:ascii="Times New Roman" w:hAnsi="Times New Roman" w:eastAsia="Times New Roman" w:cs="Times New Roman"/>
        </w:rPr>
        <w:t>.</w:t>
      </w:r>
    </w:p>
    <w:sectPr w:rsidR="00447C1F">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9FE" w:rsidRDefault="007229FE">
      <w:pPr>
        <w:spacing w:line="240" w:lineRule="auto"/>
      </w:pPr>
      <w:r>
        <w:separator/>
      </w:r>
    </w:p>
  </w:endnote>
  <w:endnote w:type="continuationSeparator" w:id="0">
    <w:p w:rsidR="007229FE" w:rsidRDefault="007229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C1F" w:rsidRDefault="003365D0">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4A6970">
      <w:rPr>
        <w:noProof/>
        <w:color w:val="000000"/>
      </w:rPr>
      <w:t>11</w:t>
    </w:r>
    <w:r>
      <w:rPr>
        <w:color w:val="000000"/>
      </w:rPr>
      <w:fldChar w:fldCharType="end"/>
    </w:r>
  </w:p>
  <w:p w:rsidR="00447C1F" w:rsidRDefault="00447C1F">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9FE" w:rsidRDefault="007229FE">
      <w:pPr>
        <w:spacing w:line="240" w:lineRule="auto"/>
      </w:pPr>
      <w:r>
        <w:separator/>
      </w:r>
    </w:p>
  </w:footnote>
  <w:footnote w:type="continuationSeparator" w:id="0">
    <w:p w:rsidR="007229FE" w:rsidRDefault="007229F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C1F"/>
    <w:rsid w:val="00024FB9"/>
    <w:rsid w:val="002335D1"/>
    <w:rsid w:val="00270B23"/>
    <w:rsid w:val="003365D0"/>
    <w:rsid w:val="00447C1F"/>
    <w:rsid w:val="004A6970"/>
    <w:rsid w:val="005D289E"/>
    <w:rsid w:val="00621D81"/>
    <w:rsid w:val="006E5163"/>
    <w:rsid w:val="007229FE"/>
    <w:rsid w:val="008149B6"/>
    <w:rsid w:val="009E61D7"/>
    <w:rsid w:val="00BE10AC"/>
    <w:rsid w:val="00CB583F"/>
    <w:rsid w:val="00D81B0E"/>
    <w:rsid w:val="00E90FEC"/>
    <w:rsid w:val="00EB70C8"/>
    <w:rsid w:val="00F70041"/>
    <w:rsid w:val="00F70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D7BE"/>
  <w15:docId w15:val="{E0A5A8A0-3AEC-4925-A1F1-C07EA740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78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845"/>
    <w:rPr>
      <w:rFonts w:ascii="Segoe UI" w:hAnsi="Segoe UI" w:cs="Segoe UI"/>
      <w:sz w:val="18"/>
      <w:szCs w:val="18"/>
    </w:rPr>
  </w:style>
  <w:style w:type="paragraph" w:styleId="ListParagraph">
    <w:name w:val="List Paragraph"/>
    <w:basedOn w:val="Normal"/>
    <w:uiPriority w:val="34"/>
    <w:qFormat/>
    <w:rsid w:val="009118EA"/>
    <w:pPr>
      <w:ind w:left="720"/>
      <w:contextualSpacing/>
    </w:pPr>
  </w:style>
  <w:style w:type="paragraph" w:styleId="CommentSubject">
    <w:name w:val="annotation subject"/>
    <w:basedOn w:val="CommentText"/>
    <w:next w:val="CommentText"/>
    <w:link w:val="CommentSubjectChar"/>
    <w:uiPriority w:val="99"/>
    <w:semiHidden/>
    <w:unhideWhenUsed/>
    <w:rsid w:val="001B7F4C"/>
    <w:rPr>
      <w:b/>
      <w:bCs/>
    </w:rPr>
  </w:style>
  <w:style w:type="character" w:customStyle="1" w:styleId="CommentSubjectChar">
    <w:name w:val="Comment Subject Char"/>
    <w:basedOn w:val="CommentTextChar"/>
    <w:link w:val="CommentSubject"/>
    <w:uiPriority w:val="99"/>
    <w:semiHidden/>
    <w:rsid w:val="001B7F4C"/>
    <w:rPr>
      <w:b/>
      <w:bCs/>
      <w:sz w:val="20"/>
      <w:szCs w:val="20"/>
    </w:rPr>
  </w:style>
  <w:style w:type="paragraph" w:styleId="Header">
    <w:name w:val="header"/>
    <w:basedOn w:val="Normal"/>
    <w:link w:val="HeaderChar"/>
    <w:uiPriority w:val="99"/>
    <w:unhideWhenUsed/>
    <w:rsid w:val="001263A5"/>
    <w:pPr>
      <w:tabs>
        <w:tab w:val="center" w:pos="4680"/>
        <w:tab w:val="right" w:pos="9360"/>
      </w:tabs>
      <w:spacing w:line="240" w:lineRule="auto"/>
    </w:pPr>
  </w:style>
  <w:style w:type="character" w:customStyle="1" w:styleId="HeaderChar">
    <w:name w:val="Header Char"/>
    <w:basedOn w:val="DefaultParagraphFont"/>
    <w:link w:val="Header"/>
    <w:uiPriority w:val="99"/>
    <w:rsid w:val="001263A5"/>
  </w:style>
  <w:style w:type="paragraph" w:styleId="Footer">
    <w:name w:val="footer"/>
    <w:basedOn w:val="Normal"/>
    <w:link w:val="FooterChar"/>
    <w:uiPriority w:val="99"/>
    <w:unhideWhenUsed/>
    <w:rsid w:val="001263A5"/>
    <w:pPr>
      <w:tabs>
        <w:tab w:val="center" w:pos="4680"/>
        <w:tab w:val="right" w:pos="9360"/>
      </w:tabs>
      <w:spacing w:line="240" w:lineRule="auto"/>
    </w:pPr>
  </w:style>
  <w:style w:type="character" w:customStyle="1" w:styleId="FooterChar">
    <w:name w:val="Footer Char"/>
    <w:basedOn w:val="DefaultParagraphFont"/>
    <w:link w:val="Footer"/>
    <w:uiPriority w:val="99"/>
    <w:rsid w:val="001263A5"/>
  </w:style>
  <w:style w:type="paragraph" w:styleId="Revision">
    <w:name w:val="Revision"/>
    <w:hidden/>
    <w:uiPriority w:val="99"/>
    <w:semiHidden/>
    <w:rsid w:val="00152E86"/>
    <w:pPr>
      <w:spacing w:line="240" w:lineRule="auto"/>
    </w:pPr>
  </w:style>
  <w:style w:type="character" w:styleId="Hyperlink">
    <w:name w:val="Hyperlink"/>
    <w:basedOn w:val="DefaultParagraphFont"/>
    <w:uiPriority w:val="99"/>
    <w:unhideWhenUsed/>
    <w:rsid w:val="00CB1FCF"/>
    <w:rPr>
      <w:color w:val="0000FF" w:themeColor="hyperlink"/>
      <w:u w:val="single"/>
    </w:r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542396">
      <w:bodyDiv w:val="1"/>
      <w:marLeft w:val="0"/>
      <w:marRight w:val="0"/>
      <w:marTop w:val="0"/>
      <w:marBottom w:val="0"/>
      <w:divBdr>
        <w:top w:val="none" w:sz="0" w:space="0" w:color="auto"/>
        <w:left w:val="none" w:sz="0" w:space="0" w:color="auto"/>
        <w:bottom w:val="none" w:sz="0" w:space="0" w:color="auto"/>
        <w:right w:val="none" w:sz="0" w:space="0" w:color="auto"/>
      </w:divBdr>
      <w:divsChild>
        <w:div w:id="635716859">
          <w:marLeft w:val="0"/>
          <w:marRight w:val="0"/>
          <w:marTop w:val="0"/>
          <w:marBottom w:val="0"/>
          <w:divBdr>
            <w:top w:val="none" w:sz="0" w:space="0" w:color="auto"/>
            <w:left w:val="none" w:sz="0" w:space="0" w:color="auto"/>
            <w:bottom w:val="none" w:sz="0" w:space="0" w:color="auto"/>
            <w:right w:val="none" w:sz="0" w:space="0" w:color="auto"/>
          </w:divBdr>
        </w:div>
        <w:div w:id="1596018117">
          <w:marLeft w:val="0"/>
          <w:marRight w:val="0"/>
          <w:marTop w:val="0"/>
          <w:marBottom w:val="0"/>
          <w:divBdr>
            <w:top w:val="none" w:sz="0" w:space="0" w:color="auto"/>
            <w:left w:val="none" w:sz="0" w:space="0" w:color="auto"/>
            <w:bottom w:val="none" w:sz="0" w:space="0" w:color="auto"/>
            <w:right w:val="none" w:sz="0" w:space="0" w:color="auto"/>
          </w:divBdr>
        </w:div>
        <w:div w:id="703139873">
          <w:marLeft w:val="0"/>
          <w:marRight w:val="0"/>
          <w:marTop w:val="0"/>
          <w:marBottom w:val="0"/>
          <w:divBdr>
            <w:top w:val="none" w:sz="0" w:space="0" w:color="auto"/>
            <w:left w:val="none" w:sz="0" w:space="0" w:color="auto"/>
            <w:bottom w:val="none" w:sz="0" w:space="0" w:color="auto"/>
            <w:right w:val="none" w:sz="0" w:space="0" w:color="auto"/>
          </w:divBdr>
        </w:div>
        <w:div w:id="11923041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ateratlantic.fisheries.noaa.gov/policyseries/index.php/GARPS/article/view/21/16" TargetMode="External"/><Relationship Id="rId13" Type="http://schemas.openxmlformats.org/officeDocument/2006/relationships/hyperlink" Target="https://www.commerce.gov/sites/default/files/2020-01/2020%20rpstandard.pdf" TargetMode="External"/><Relationship Id="rId18" Type="http://schemas.openxmlformats.org/officeDocument/2006/relationships/hyperlink" Target="http://www.gpo.gov/fdsys/pkg/CFR-2014-title5-vol3/pdf/CFR-2014-title5-vol3-sec1320-8.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fisheries.noaa.gov/new-england-mid-atlantic/marine-mammal-protection/atlantic-large-whale-take-reduction-plan" TargetMode="External"/><Relationship Id="rId12" Type="http://schemas.openxmlformats.org/officeDocument/2006/relationships/hyperlink" Target="http://www.corporateservices.noaa.gov/ames/administrative_orders/chapter_216/216-100.html" TargetMode="External"/><Relationship Id="rId17" Type="http://schemas.openxmlformats.org/officeDocument/2006/relationships/hyperlink" Target="http://www.gpo.gov/fdsys/pkg/CFR-2014-title5-vol3/pdf/CFR-2014-title5-vol3-sec1320-8.pdf" TargetMode="External"/><Relationship Id="rId2" Type="http://schemas.openxmlformats.org/officeDocument/2006/relationships/styles" Target="styles.xml"/><Relationship Id="rId16" Type="http://schemas.openxmlformats.org/officeDocument/2006/relationships/hyperlink" Target="http://www.gpo.gov/fdsys/pkg/CFR-2014-title5-vol3/pdf/CFR-2014-title5-vol3-sec1320-8.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cfr.gov/cgi-bin/text-idx?c=ecfr&amp;SID=a300e10c582730dc2008e29c40a93dbd&amp;rgn=div8&amp;view=text&amp;node=50:11.0.1.3.2.1.1.11&amp;idno=50" TargetMode="External"/><Relationship Id="rId5" Type="http://schemas.openxmlformats.org/officeDocument/2006/relationships/footnotes" Target="footnotes.xml"/><Relationship Id="rId15" Type="http://schemas.openxmlformats.org/officeDocument/2006/relationships/hyperlink" Target="http://www.gpo.gov/fdsys/pkg/CFR-2014-title5-vol3/pdf/CFR-2014-title5-vol3-sec1320-9.pdf" TargetMode="External"/><Relationship Id="rId10" Type="http://schemas.openxmlformats.org/officeDocument/2006/relationships/hyperlink" Target="https://www.fisheries.noaa.gov/new-england-mid-atlantic/marine-mammal-protection/atlantic-large-whale-take-reduction-plan" TargetMode="External"/><Relationship Id="rId19" Type="http://schemas.openxmlformats.org/officeDocument/2006/relationships/hyperlink" Target="http://www.gpo.gov/fdsys/pkg/CFR-2014-title5-vol3/pdf/CFR-2014-title5-vol3-sec1320-8.pdf" TargetMode="External"/><Relationship Id="rId4" Type="http://schemas.openxmlformats.org/officeDocument/2006/relationships/webSettings" Target="webSettings.xml"/><Relationship Id="rId9" Type="http://schemas.openxmlformats.org/officeDocument/2006/relationships/hyperlink" Target="http://www.fws.gov/informationquality/section515.html" TargetMode="External"/><Relationship Id="rId14" Type="http://schemas.openxmlformats.org/officeDocument/2006/relationships/hyperlink" Target="http://www.gpo.gov/fdsys/pkg/CFR-2014-title5-vol3/pdf/CFR-2014-title5-vol3-sec1320-9.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FenMXNG53BCAg3M4LhvZvbrdw==">AMUW2mWm9+Hb7djbfJ2lxbF6BSD36p4DUHkzuYtVFEtAt+sI/sMUo7EOSGYpC7mNGgboxMfiSEZeILOetGI5dv9ADfdJ/CK7ZVfaafczrtKsFwKzV3myUMWfqgRg5VNLH7MU6A7XuT0f2nuo4oPiMO4mJcVi3vdLdSauknFdReah8ZvmRpMR1d4=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13</Pages>
  <Words>5852</Words>
  <Characters>33362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39136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Ainsley Smith</dc:creator>
  <cp:lastModifiedBy>Adrienne.Thomas</cp:lastModifiedBy>
  <cp:revision>5</cp:revision>
  <dcterms:created xsi:type="dcterms:W3CDTF">2021-07-14T21:10:00Z</dcterms:created>
  <dcterms:modified xsi:type="dcterms:W3CDTF">2021-07-17T16:22:00Z</dcterms:modified>
</cp:coreProperties>
</file>