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006A" w:rsidR="00977EC6" w:rsidP="00977EC6" w:rsidRDefault="00977EC6" w14:paraId="319CD6F2" w14:textId="77777777">
      <w:pPr>
        <w:suppressAutoHyphens/>
        <w:jc w:val="center"/>
        <w:rPr>
          <w:b/>
        </w:rPr>
      </w:pPr>
      <w:r w:rsidRPr="002D006A">
        <w:rPr>
          <w:b/>
        </w:rPr>
        <w:t>SUPPORTING STATEMENT</w:t>
      </w:r>
      <w:r w:rsidRPr="002D006A">
        <w:rPr>
          <w:b/>
        </w:rPr>
        <w:tab/>
      </w:r>
      <w:r w:rsidRPr="002D006A">
        <w:rPr>
          <w:b/>
        </w:rPr>
        <w:fldChar w:fldCharType="begin"/>
      </w:r>
      <w:r w:rsidRPr="002D006A">
        <w:rPr>
          <w:b/>
        </w:rPr>
        <w:instrText xml:space="preserve">PRIVATE </w:instrText>
      </w:r>
      <w:r w:rsidRPr="002D006A">
        <w:rPr>
          <w:b/>
          <w:sz w:val="20"/>
        </w:rPr>
      </w:r>
      <w:r w:rsidRPr="002D006A">
        <w:rPr>
          <w:b/>
        </w:rPr>
        <w:fldChar w:fldCharType="end"/>
      </w:r>
    </w:p>
    <w:p w:rsidRPr="002D006A" w:rsidR="00977EC6" w:rsidP="00977EC6" w:rsidRDefault="00977EC6" w14:paraId="68EECF2A" w14:textId="77777777">
      <w:pPr>
        <w:pStyle w:val="EndnoteText"/>
        <w:tabs>
          <w:tab w:val="clear" w:pos="-720"/>
        </w:tabs>
      </w:pPr>
      <w:r w:rsidRPr="002D006A">
        <w:t xml:space="preserve"> </w:t>
      </w:r>
    </w:p>
    <w:p w:rsidRPr="002D006A" w:rsidR="00977EC6" w:rsidP="00977EC6" w:rsidRDefault="00977EC6" w14:paraId="2C8E70E6" w14:textId="77777777">
      <w:pPr>
        <w:suppressAutoHyphens/>
      </w:pPr>
      <w:r w:rsidRPr="002D006A">
        <w:rPr>
          <w:b/>
        </w:rPr>
        <w:t>A.  Justification</w:t>
      </w:r>
    </w:p>
    <w:p w:rsidRPr="002D006A" w:rsidR="00977EC6" w:rsidP="00977EC6" w:rsidRDefault="00977EC6" w14:paraId="6F8DFDF2" w14:textId="77777777">
      <w:pPr>
        <w:suppressAutoHyphens/>
      </w:pPr>
    </w:p>
    <w:p w:rsidRPr="002D006A" w:rsidR="00B852C1" w:rsidP="007F36EE" w:rsidRDefault="00977EC6" w14:paraId="35541750" w14:textId="77777777">
      <w:pPr>
        <w:tabs>
          <w:tab w:val="left" w:pos="5040"/>
        </w:tabs>
        <w:rPr>
          <w:color w:val="000000"/>
          <w:szCs w:val="22"/>
        </w:rPr>
      </w:pPr>
      <w:r w:rsidRPr="002D006A">
        <w:rPr>
          <w:b/>
        </w:rPr>
        <w:t xml:space="preserve">1.  </w:t>
      </w:r>
      <w:r w:rsidRPr="002D006A" w:rsidR="00D5217F">
        <w:rPr>
          <w:szCs w:val="22"/>
        </w:rPr>
        <w:t>Th</w:t>
      </w:r>
      <w:r w:rsidRPr="002D006A" w:rsidR="00AA10A4">
        <w:rPr>
          <w:szCs w:val="22"/>
        </w:rPr>
        <w:t>e Commission adopted on December 20, 2006</w:t>
      </w:r>
      <w:r w:rsidRPr="002D006A" w:rsidR="00B852C1">
        <w:rPr>
          <w:szCs w:val="22"/>
        </w:rPr>
        <w:t xml:space="preserve"> a </w:t>
      </w:r>
      <w:r w:rsidRPr="002D006A" w:rsidR="00B852C1">
        <w:rPr>
          <w:i/>
          <w:szCs w:val="22"/>
        </w:rPr>
        <w:t>Report</w:t>
      </w:r>
      <w:r w:rsidRPr="002D006A" w:rsidR="00D5217F">
        <w:rPr>
          <w:i/>
          <w:szCs w:val="22"/>
        </w:rPr>
        <w:t xml:space="preserve"> and Order</w:t>
      </w:r>
      <w:r w:rsidR="00227AF5">
        <w:rPr>
          <w:i/>
          <w:szCs w:val="22"/>
        </w:rPr>
        <w:t>,</w:t>
      </w:r>
      <w:r w:rsidRPr="002D006A" w:rsidR="00B852C1">
        <w:rPr>
          <w:i/>
          <w:szCs w:val="22"/>
        </w:rPr>
        <w:t xml:space="preserve"> In the Matter of </w:t>
      </w:r>
      <w:r w:rsidRPr="002D006A" w:rsidR="00B852C1">
        <w:rPr>
          <w:bCs/>
          <w:i/>
          <w:color w:val="000000"/>
          <w:szCs w:val="22"/>
        </w:rPr>
        <w:t>Implementation of Section 621(a)(1) of the Cable Communications Policy Act of 1984 as amended by the Cable Television Consumer Protection and Competition Act of 1992</w:t>
      </w:r>
      <w:r w:rsidRPr="002D006A" w:rsidR="001A3CF1">
        <w:rPr>
          <w:bCs/>
          <w:i/>
          <w:color w:val="000000"/>
          <w:szCs w:val="22"/>
        </w:rPr>
        <w:t xml:space="preserve"> </w:t>
      </w:r>
      <w:r w:rsidRPr="002D006A" w:rsidR="001A3CF1">
        <w:rPr>
          <w:szCs w:val="22"/>
        </w:rPr>
        <w:t>(“R&amp;O”)</w:t>
      </w:r>
      <w:r w:rsidRPr="002D006A" w:rsidR="004C6BE8">
        <w:rPr>
          <w:szCs w:val="22"/>
        </w:rPr>
        <w:t>, FCC 06-180, MB Docket 05-311</w:t>
      </w:r>
      <w:r w:rsidRPr="002D006A" w:rsidR="00B852C1">
        <w:rPr>
          <w:bCs/>
          <w:color w:val="000000"/>
          <w:szCs w:val="22"/>
        </w:rPr>
        <w:t>.</w:t>
      </w:r>
      <w:r w:rsidR="00022640">
        <w:rPr>
          <w:rStyle w:val="FootnoteReference"/>
          <w:bCs/>
          <w:color w:val="000000"/>
          <w:szCs w:val="22"/>
        </w:rPr>
        <w:footnoteReference w:id="1"/>
      </w:r>
      <w:r w:rsidRPr="002D006A" w:rsidR="00AA10A4">
        <w:rPr>
          <w:bCs/>
          <w:color w:val="000000"/>
          <w:szCs w:val="22"/>
        </w:rPr>
        <w:t xml:space="preserve">  </w:t>
      </w:r>
      <w:r w:rsidRPr="002D006A" w:rsidR="00B852C1">
        <w:rPr>
          <w:bCs/>
          <w:color w:val="000000"/>
          <w:szCs w:val="22"/>
        </w:rPr>
        <w:t>This</w:t>
      </w:r>
      <w:r w:rsidRPr="002D006A" w:rsidR="00B852C1">
        <w:rPr>
          <w:bCs/>
          <w:i/>
          <w:color w:val="000000"/>
          <w:szCs w:val="22"/>
        </w:rPr>
        <w:t xml:space="preserve"> </w:t>
      </w:r>
      <w:r w:rsidRPr="002D006A" w:rsidR="00B852C1">
        <w:rPr>
          <w:bCs/>
          <w:color w:val="000000"/>
          <w:szCs w:val="22"/>
        </w:rPr>
        <w:t>R&amp;O</w:t>
      </w:r>
      <w:r w:rsidRPr="002D006A" w:rsidR="00B852C1">
        <w:rPr>
          <w:szCs w:val="22"/>
        </w:rPr>
        <w:t xml:space="preserve"> provide</w:t>
      </w:r>
      <w:r w:rsidR="00E67621">
        <w:rPr>
          <w:szCs w:val="22"/>
        </w:rPr>
        <w:t>d</w:t>
      </w:r>
      <w:r w:rsidRPr="002D006A" w:rsidR="00D5217F">
        <w:rPr>
          <w:szCs w:val="22"/>
        </w:rPr>
        <w:t xml:space="preserve"> rules </w:t>
      </w:r>
      <w:r w:rsidRPr="002D006A" w:rsidR="00B852C1">
        <w:rPr>
          <w:szCs w:val="22"/>
        </w:rPr>
        <w:t>and guidance</w:t>
      </w:r>
      <w:r w:rsidRPr="002D006A" w:rsidR="00D5217F">
        <w:rPr>
          <w:szCs w:val="22"/>
        </w:rPr>
        <w:t xml:space="preserve"> to implement Section 621 of the Communications Act of 1934, as amended</w:t>
      </w:r>
      <w:r w:rsidRPr="002D006A" w:rsidR="00AA10A4">
        <w:rPr>
          <w:szCs w:val="22"/>
        </w:rPr>
        <w:t>.</w:t>
      </w:r>
      <w:r w:rsidRPr="002D006A" w:rsidR="00D5217F">
        <w:rPr>
          <w:szCs w:val="22"/>
        </w:rPr>
        <w:t xml:space="preserve">  Section 621 of the Communications Act prohibits franchising authorities from unreasonably refusing to award competitive franchises</w:t>
      </w:r>
      <w:r w:rsidRPr="002D006A" w:rsidR="00E801B6">
        <w:rPr>
          <w:rStyle w:val="FootnoteReference"/>
          <w:szCs w:val="22"/>
        </w:rPr>
        <w:footnoteReference w:id="2"/>
      </w:r>
      <w:r w:rsidRPr="002D006A" w:rsidR="00D5217F">
        <w:rPr>
          <w:szCs w:val="22"/>
        </w:rPr>
        <w:t xml:space="preserve"> for the provision of cable services.  </w:t>
      </w:r>
      <w:r w:rsidRPr="002D006A" w:rsidR="00D5217F">
        <w:rPr>
          <w:color w:val="000000"/>
          <w:szCs w:val="22"/>
        </w:rPr>
        <w:t xml:space="preserve">The Commission found that the current franchising process constitutes an unreasonable barrier to entry for competitive </w:t>
      </w:r>
      <w:r w:rsidRPr="002D006A" w:rsidR="008B270E">
        <w:rPr>
          <w:color w:val="000000"/>
          <w:szCs w:val="22"/>
        </w:rPr>
        <w:t>entrants that impede</w:t>
      </w:r>
      <w:r w:rsidRPr="002D006A" w:rsidR="00D5217F">
        <w:rPr>
          <w:color w:val="000000"/>
          <w:szCs w:val="22"/>
        </w:rPr>
        <w:t xml:space="preserve"> enhanced cable competition</w:t>
      </w:r>
      <w:r w:rsidRPr="002D006A" w:rsidR="00E801B6">
        <w:rPr>
          <w:rStyle w:val="FootnoteReference"/>
          <w:color w:val="000000"/>
          <w:szCs w:val="22"/>
        </w:rPr>
        <w:footnoteReference w:id="3"/>
      </w:r>
      <w:r w:rsidRPr="002D006A" w:rsidR="00D5217F">
        <w:rPr>
          <w:color w:val="000000"/>
          <w:szCs w:val="22"/>
        </w:rPr>
        <w:t xml:space="preserve"> and accelerated broadband deployment.</w:t>
      </w:r>
      <w:r w:rsidRPr="002D006A" w:rsidR="00E801B6">
        <w:rPr>
          <w:rStyle w:val="FootnoteReference"/>
          <w:color w:val="000000"/>
          <w:szCs w:val="22"/>
        </w:rPr>
        <w:footnoteReference w:id="4"/>
      </w:r>
      <w:r w:rsidRPr="002D006A" w:rsidR="00D5217F">
        <w:rPr>
          <w:color w:val="000000"/>
          <w:szCs w:val="22"/>
        </w:rPr>
        <w:t xml:space="preserve">  </w:t>
      </w:r>
      <w:r w:rsidR="007F36EE">
        <w:rPr>
          <w:color w:val="000000"/>
          <w:szCs w:val="22"/>
        </w:rPr>
        <w:t xml:space="preserve">The information collection </w:t>
      </w:r>
      <w:r w:rsidR="00E67621">
        <w:rPr>
          <w:color w:val="000000"/>
          <w:szCs w:val="22"/>
        </w:rPr>
        <w:t>requirements are</w:t>
      </w:r>
      <w:r w:rsidR="007F36EE">
        <w:rPr>
          <w:color w:val="000000"/>
          <w:szCs w:val="22"/>
        </w:rPr>
        <w:t xml:space="preserve"> as follows:</w:t>
      </w:r>
    </w:p>
    <w:p w:rsidRPr="002D006A" w:rsidR="00B852C1" w:rsidP="00B852C1" w:rsidRDefault="00B852C1" w14:paraId="760F2F33" w14:textId="77777777">
      <w:pPr>
        <w:suppressAutoHyphens/>
        <w:rPr>
          <w:b/>
          <w:color w:val="000000"/>
          <w:szCs w:val="22"/>
        </w:rPr>
      </w:pPr>
    </w:p>
    <w:p w:rsidRPr="002D006A" w:rsidR="00B852C1" w:rsidP="00B852C1" w:rsidRDefault="00B852C1" w14:paraId="3F92C13F" w14:textId="77777777">
      <w:pPr>
        <w:suppressAutoHyphens/>
        <w:rPr>
          <w:color w:val="000000"/>
          <w:szCs w:val="22"/>
        </w:rPr>
      </w:pPr>
      <w:r w:rsidRPr="002D006A">
        <w:rPr>
          <w:b/>
          <w:color w:val="000000"/>
          <w:szCs w:val="22"/>
        </w:rPr>
        <w:t xml:space="preserve">47 CFR 76.41(b) </w:t>
      </w:r>
      <w:r w:rsidRPr="002D006A">
        <w:rPr>
          <w:color w:val="000000"/>
          <w:szCs w:val="22"/>
        </w:rPr>
        <w:t>requires a competitive franchise applicant to include the following information in writing in its franchise application, in addition to any information required by applicable state and local laws:</w:t>
      </w:r>
    </w:p>
    <w:p w:rsidRPr="002D006A" w:rsidR="00B852C1" w:rsidP="00B852C1" w:rsidRDefault="00B852C1" w14:paraId="7C0C6254" w14:textId="77777777">
      <w:pPr>
        <w:suppressAutoHyphens/>
        <w:ind w:left="720"/>
        <w:rPr>
          <w:color w:val="000000"/>
          <w:szCs w:val="22"/>
        </w:rPr>
      </w:pPr>
      <w:r w:rsidRPr="002D006A">
        <w:rPr>
          <w:color w:val="000000"/>
          <w:szCs w:val="22"/>
        </w:rPr>
        <w:t xml:space="preserve">(1) </w:t>
      </w:r>
      <w:r w:rsidRPr="002D006A" w:rsidR="00E67621">
        <w:rPr>
          <w:color w:val="000000"/>
          <w:szCs w:val="22"/>
        </w:rPr>
        <w:t>The</w:t>
      </w:r>
      <w:r w:rsidRPr="002D006A">
        <w:rPr>
          <w:color w:val="000000"/>
          <w:szCs w:val="22"/>
        </w:rPr>
        <w:t xml:space="preserve"> applicant’s </w:t>
      </w:r>
      <w:proofErr w:type="gramStart"/>
      <w:r w:rsidRPr="002D006A">
        <w:rPr>
          <w:color w:val="000000"/>
          <w:szCs w:val="22"/>
        </w:rPr>
        <w:t>name;</w:t>
      </w:r>
      <w:proofErr w:type="gramEnd"/>
    </w:p>
    <w:p w:rsidRPr="002D006A" w:rsidR="00B852C1" w:rsidP="00B852C1" w:rsidRDefault="00B852C1" w14:paraId="0225258F" w14:textId="77777777">
      <w:pPr>
        <w:suppressAutoHyphens/>
        <w:ind w:left="720"/>
        <w:rPr>
          <w:color w:val="000000"/>
          <w:szCs w:val="22"/>
        </w:rPr>
      </w:pPr>
      <w:r w:rsidRPr="002D006A">
        <w:rPr>
          <w:color w:val="000000"/>
          <w:szCs w:val="22"/>
        </w:rPr>
        <w:t xml:space="preserve">(2) </w:t>
      </w:r>
      <w:r w:rsidRPr="002D006A" w:rsidR="00E67621">
        <w:rPr>
          <w:color w:val="000000"/>
          <w:szCs w:val="22"/>
        </w:rPr>
        <w:t>The</w:t>
      </w:r>
      <w:r w:rsidRPr="002D006A">
        <w:rPr>
          <w:color w:val="000000"/>
          <w:szCs w:val="22"/>
        </w:rPr>
        <w:t xml:space="preserve"> names of the applicant’s officers and </w:t>
      </w:r>
      <w:proofErr w:type="gramStart"/>
      <w:r w:rsidRPr="002D006A">
        <w:rPr>
          <w:color w:val="000000"/>
          <w:szCs w:val="22"/>
        </w:rPr>
        <w:t>directors;</w:t>
      </w:r>
      <w:proofErr w:type="gramEnd"/>
    </w:p>
    <w:p w:rsidRPr="002D006A" w:rsidR="00B852C1" w:rsidP="00B852C1" w:rsidRDefault="00B852C1" w14:paraId="661E87EF" w14:textId="77777777">
      <w:pPr>
        <w:suppressAutoHyphens/>
        <w:ind w:left="720"/>
        <w:rPr>
          <w:color w:val="000000"/>
          <w:szCs w:val="22"/>
        </w:rPr>
      </w:pPr>
      <w:r w:rsidRPr="002D006A">
        <w:rPr>
          <w:color w:val="000000"/>
          <w:szCs w:val="22"/>
        </w:rPr>
        <w:t xml:space="preserve">(3) </w:t>
      </w:r>
      <w:r w:rsidRPr="002D006A" w:rsidR="00E67621">
        <w:rPr>
          <w:color w:val="000000"/>
          <w:szCs w:val="22"/>
        </w:rPr>
        <w:t>The</w:t>
      </w:r>
      <w:r w:rsidRPr="002D006A">
        <w:rPr>
          <w:color w:val="000000"/>
          <w:szCs w:val="22"/>
        </w:rPr>
        <w:t xml:space="preserve"> business address of the </w:t>
      </w:r>
      <w:proofErr w:type="gramStart"/>
      <w:r w:rsidRPr="002D006A">
        <w:rPr>
          <w:color w:val="000000"/>
          <w:szCs w:val="22"/>
        </w:rPr>
        <w:t>applicant;</w:t>
      </w:r>
      <w:proofErr w:type="gramEnd"/>
    </w:p>
    <w:p w:rsidRPr="002D006A" w:rsidR="00B852C1" w:rsidP="00B852C1" w:rsidRDefault="00B852C1" w14:paraId="3C51C361" w14:textId="77777777">
      <w:pPr>
        <w:suppressAutoHyphens/>
        <w:ind w:left="720"/>
        <w:rPr>
          <w:color w:val="000000"/>
          <w:szCs w:val="22"/>
        </w:rPr>
      </w:pPr>
      <w:r w:rsidRPr="002D006A">
        <w:rPr>
          <w:color w:val="000000"/>
          <w:szCs w:val="22"/>
        </w:rPr>
        <w:t xml:space="preserve">(4) </w:t>
      </w:r>
      <w:r w:rsidRPr="002D006A" w:rsidR="00E67621">
        <w:rPr>
          <w:color w:val="000000"/>
          <w:szCs w:val="22"/>
        </w:rPr>
        <w:t>The</w:t>
      </w:r>
      <w:r w:rsidRPr="002D006A">
        <w:rPr>
          <w:color w:val="000000"/>
          <w:szCs w:val="22"/>
        </w:rPr>
        <w:t xml:space="preserve"> name and contact information of a designated contact for the </w:t>
      </w:r>
      <w:proofErr w:type="gramStart"/>
      <w:r w:rsidRPr="002D006A">
        <w:rPr>
          <w:color w:val="000000"/>
          <w:szCs w:val="22"/>
        </w:rPr>
        <w:t>applicant;</w:t>
      </w:r>
      <w:proofErr w:type="gramEnd"/>
    </w:p>
    <w:p w:rsidRPr="002D006A" w:rsidR="00B852C1" w:rsidP="00B852C1" w:rsidRDefault="00B852C1" w14:paraId="27C12BC5" w14:textId="77777777">
      <w:pPr>
        <w:suppressAutoHyphens/>
        <w:ind w:left="720"/>
        <w:rPr>
          <w:color w:val="000000"/>
          <w:szCs w:val="22"/>
        </w:rPr>
      </w:pPr>
      <w:r w:rsidRPr="002D006A">
        <w:rPr>
          <w:color w:val="000000"/>
          <w:szCs w:val="22"/>
        </w:rPr>
        <w:t xml:space="preserve">(5) </w:t>
      </w:r>
      <w:r w:rsidRPr="002D006A" w:rsidR="00E67621">
        <w:rPr>
          <w:color w:val="000000"/>
          <w:szCs w:val="22"/>
        </w:rPr>
        <w:t>A</w:t>
      </w:r>
      <w:r w:rsidRPr="002D006A">
        <w:rPr>
          <w:color w:val="000000"/>
          <w:szCs w:val="22"/>
        </w:rPr>
        <w:t xml:space="preserve"> description of the geographic area that the applicant proposes to </w:t>
      </w:r>
      <w:proofErr w:type="gramStart"/>
      <w:r w:rsidRPr="002D006A">
        <w:rPr>
          <w:color w:val="000000"/>
          <w:szCs w:val="22"/>
        </w:rPr>
        <w:t>serve;</w:t>
      </w:r>
      <w:proofErr w:type="gramEnd"/>
    </w:p>
    <w:p w:rsidRPr="002D006A" w:rsidR="00B852C1" w:rsidP="00B852C1" w:rsidRDefault="00B852C1" w14:paraId="38B8DBA4" w14:textId="77777777">
      <w:pPr>
        <w:suppressAutoHyphens/>
        <w:ind w:left="720"/>
        <w:rPr>
          <w:color w:val="000000"/>
          <w:szCs w:val="22"/>
        </w:rPr>
      </w:pPr>
      <w:r w:rsidRPr="002D006A">
        <w:rPr>
          <w:color w:val="000000"/>
          <w:szCs w:val="22"/>
        </w:rPr>
        <w:t xml:space="preserve">(6) </w:t>
      </w:r>
      <w:r w:rsidRPr="002D006A" w:rsidR="00E67621">
        <w:rPr>
          <w:color w:val="000000"/>
          <w:szCs w:val="22"/>
        </w:rPr>
        <w:t>The</w:t>
      </w:r>
      <w:r w:rsidRPr="002D006A">
        <w:rPr>
          <w:color w:val="000000"/>
          <w:szCs w:val="22"/>
        </w:rPr>
        <w:t xml:space="preserve"> PEG</w:t>
      </w:r>
      <w:r w:rsidRPr="002D006A" w:rsidR="00E801B6">
        <w:rPr>
          <w:rStyle w:val="FootnoteReference"/>
          <w:color w:val="000000"/>
          <w:szCs w:val="22"/>
        </w:rPr>
        <w:footnoteReference w:id="5"/>
      </w:r>
      <w:r w:rsidRPr="002D006A">
        <w:rPr>
          <w:color w:val="000000"/>
          <w:szCs w:val="22"/>
        </w:rPr>
        <w:t xml:space="preserve"> channel capacity and capital support proposed by the </w:t>
      </w:r>
      <w:proofErr w:type="gramStart"/>
      <w:r w:rsidRPr="002D006A">
        <w:rPr>
          <w:color w:val="000000"/>
          <w:szCs w:val="22"/>
        </w:rPr>
        <w:t>applicant;</w:t>
      </w:r>
      <w:proofErr w:type="gramEnd"/>
    </w:p>
    <w:p w:rsidRPr="002D006A" w:rsidR="00B852C1" w:rsidP="00B852C1" w:rsidRDefault="00B852C1" w14:paraId="26CEE976" w14:textId="77777777">
      <w:pPr>
        <w:suppressAutoHyphens/>
        <w:ind w:left="720"/>
        <w:rPr>
          <w:color w:val="000000"/>
          <w:szCs w:val="22"/>
        </w:rPr>
      </w:pPr>
      <w:r w:rsidRPr="002D006A">
        <w:rPr>
          <w:color w:val="000000"/>
          <w:szCs w:val="22"/>
        </w:rPr>
        <w:t xml:space="preserve">(7) </w:t>
      </w:r>
      <w:r w:rsidRPr="002D006A" w:rsidR="00E67621">
        <w:rPr>
          <w:color w:val="000000"/>
          <w:szCs w:val="22"/>
        </w:rPr>
        <w:t>The</w:t>
      </w:r>
      <w:r w:rsidRPr="002D006A">
        <w:rPr>
          <w:color w:val="000000"/>
          <w:szCs w:val="22"/>
        </w:rPr>
        <w:t xml:space="preserve"> term of the agreement proposed by the </w:t>
      </w:r>
      <w:proofErr w:type="gramStart"/>
      <w:r w:rsidRPr="002D006A">
        <w:rPr>
          <w:color w:val="000000"/>
          <w:szCs w:val="22"/>
        </w:rPr>
        <w:t>applicant;</w:t>
      </w:r>
      <w:proofErr w:type="gramEnd"/>
    </w:p>
    <w:p w:rsidRPr="002D006A" w:rsidR="00B852C1" w:rsidP="00B852C1" w:rsidRDefault="00B852C1" w14:paraId="6ADF2743" w14:textId="77777777">
      <w:pPr>
        <w:suppressAutoHyphens/>
        <w:ind w:left="720"/>
        <w:rPr>
          <w:color w:val="000000"/>
          <w:szCs w:val="22"/>
        </w:rPr>
      </w:pPr>
      <w:r w:rsidRPr="002D006A">
        <w:rPr>
          <w:color w:val="000000"/>
          <w:szCs w:val="22"/>
        </w:rPr>
        <w:t xml:space="preserve">(8) </w:t>
      </w:r>
      <w:r w:rsidRPr="002D006A" w:rsidR="00E67621">
        <w:rPr>
          <w:color w:val="000000"/>
          <w:szCs w:val="22"/>
        </w:rPr>
        <w:t>Whether</w:t>
      </w:r>
      <w:r w:rsidRPr="002D006A">
        <w:rPr>
          <w:color w:val="000000"/>
          <w:szCs w:val="22"/>
        </w:rPr>
        <w:t xml:space="preserve"> the applicant holds an existing authorization to access the public rights-of-way in the subject franchise service </w:t>
      </w:r>
      <w:proofErr w:type="gramStart"/>
      <w:r w:rsidRPr="002D006A">
        <w:rPr>
          <w:color w:val="000000"/>
          <w:szCs w:val="22"/>
        </w:rPr>
        <w:t>area;</w:t>
      </w:r>
      <w:proofErr w:type="gramEnd"/>
      <w:r w:rsidRPr="002D006A">
        <w:rPr>
          <w:color w:val="000000"/>
          <w:szCs w:val="22"/>
        </w:rPr>
        <w:t xml:space="preserve"> </w:t>
      </w:r>
    </w:p>
    <w:p w:rsidRPr="002D006A" w:rsidR="00B852C1" w:rsidP="00B852C1" w:rsidRDefault="00B852C1" w14:paraId="0DF2158D" w14:textId="77777777">
      <w:pPr>
        <w:suppressAutoHyphens/>
        <w:ind w:left="720"/>
        <w:rPr>
          <w:color w:val="000000"/>
          <w:szCs w:val="22"/>
        </w:rPr>
      </w:pPr>
      <w:r w:rsidRPr="002D006A">
        <w:rPr>
          <w:color w:val="000000"/>
          <w:szCs w:val="22"/>
        </w:rPr>
        <w:t xml:space="preserve">(9) </w:t>
      </w:r>
      <w:r w:rsidRPr="002D006A" w:rsidR="00E67621">
        <w:rPr>
          <w:color w:val="000000"/>
          <w:szCs w:val="22"/>
        </w:rPr>
        <w:t>The</w:t>
      </w:r>
      <w:r w:rsidRPr="002D006A">
        <w:rPr>
          <w:color w:val="000000"/>
          <w:szCs w:val="22"/>
        </w:rPr>
        <w:t xml:space="preserve"> amount of the franchise fee the applicant offers to pay; and</w:t>
      </w:r>
    </w:p>
    <w:p w:rsidRPr="002D006A" w:rsidR="00B852C1" w:rsidP="00B852C1" w:rsidRDefault="00B852C1" w14:paraId="1B317E65" w14:textId="77777777">
      <w:pPr>
        <w:suppressAutoHyphens/>
        <w:ind w:left="720"/>
        <w:rPr>
          <w:color w:val="000000"/>
          <w:szCs w:val="22"/>
        </w:rPr>
      </w:pPr>
      <w:r w:rsidRPr="002D006A">
        <w:rPr>
          <w:color w:val="000000"/>
          <w:szCs w:val="22"/>
        </w:rPr>
        <w:t xml:space="preserve">(10) </w:t>
      </w:r>
      <w:r w:rsidRPr="002D006A" w:rsidR="00E67621">
        <w:rPr>
          <w:color w:val="000000"/>
          <w:szCs w:val="22"/>
        </w:rPr>
        <w:t>Any</w:t>
      </w:r>
      <w:r w:rsidRPr="002D006A">
        <w:rPr>
          <w:color w:val="000000"/>
          <w:szCs w:val="22"/>
        </w:rPr>
        <w:t xml:space="preserve"> additional information required by applicable state or local laws.  </w:t>
      </w:r>
    </w:p>
    <w:p w:rsidRPr="002D006A" w:rsidR="00B852C1" w:rsidP="00B852C1" w:rsidRDefault="00B852C1" w14:paraId="54CA96B2" w14:textId="77777777">
      <w:pPr>
        <w:suppressAutoHyphens/>
        <w:ind w:left="720"/>
        <w:rPr>
          <w:color w:val="000000"/>
          <w:szCs w:val="22"/>
        </w:rPr>
      </w:pPr>
    </w:p>
    <w:p w:rsidRPr="002D006A" w:rsidR="00341741" w:rsidP="00B852C1" w:rsidRDefault="00341741" w14:paraId="7B0418BB" w14:textId="77777777">
      <w:pPr>
        <w:suppressAutoHyphens/>
        <w:rPr>
          <w:b/>
          <w:color w:val="000000"/>
          <w:szCs w:val="22"/>
        </w:rPr>
      </w:pPr>
    </w:p>
    <w:p w:rsidRPr="002D006A" w:rsidR="00341741" w:rsidP="00B852C1" w:rsidRDefault="00341741" w14:paraId="6735B79D" w14:textId="77777777">
      <w:pPr>
        <w:suppressAutoHyphens/>
        <w:rPr>
          <w:b/>
          <w:color w:val="000000"/>
          <w:szCs w:val="22"/>
        </w:rPr>
      </w:pPr>
    </w:p>
    <w:p w:rsidRPr="002D006A" w:rsidR="00341741" w:rsidP="00B852C1" w:rsidRDefault="00341741" w14:paraId="12D201A4" w14:textId="77777777">
      <w:pPr>
        <w:suppressAutoHyphens/>
        <w:rPr>
          <w:b/>
          <w:color w:val="000000"/>
          <w:szCs w:val="22"/>
        </w:rPr>
      </w:pPr>
    </w:p>
    <w:p w:rsidR="00B852C1" w:rsidP="00B852C1" w:rsidRDefault="00BF1BD3" w14:paraId="1D95B0DE" w14:textId="77777777">
      <w:pPr>
        <w:suppressAutoHyphens/>
        <w:rPr>
          <w:color w:val="000000"/>
          <w:szCs w:val="22"/>
        </w:rPr>
      </w:pPr>
      <w:r w:rsidRPr="002D006A">
        <w:rPr>
          <w:b/>
          <w:color w:val="000000"/>
          <w:szCs w:val="22"/>
        </w:rPr>
        <w:t>47 CFR 76.41</w:t>
      </w:r>
      <w:r w:rsidRPr="002D006A" w:rsidR="00B852C1">
        <w:rPr>
          <w:b/>
          <w:color w:val="000000"/>
          <w:szCs w:val="22"/>
        </w:rPr>
        <w:t>(d)</w:t>
      </w:r>
      <w:r w:rsidRPr="002D006A">
        <w:rPr>
          <w:color w:val="000000"/>
          <w:szCs w:val="22"/>
        </w:rPr>
        <w:t xml:space="preserve"> states w</w:t>
      </w:r>
      <w:r w:rsidRPr="002D006A" w:rsidR="00B852C1">
        <w:rPr>
          <w:color w:val="000000"/>
          <w:szCs w:val="22"/>
        </w:rPr>
        <w:t>hen a competitive franchise applicant files a franchise application with a franchising authority and the applicant has existing authority to access public rights-of-way</w:t>
      </w:r>
      <w:r w:rsidRPr="002D006A" w:rsidR="00E801B6">
        <w:rPr>
          <w:rStyle w:val="FootnoteReference"/>
          <w:color w:val="000000"/>
          <w:szCs w:val="22"/>
        </w:rPr>
        <w:footnoteReference w:id="6"/>
      </w:r>
      <w:r w:rsidRPr="002D006A" w:rsidR="00B852C1">
        <w:rPr>
          <w:color w:val="000000"/>
          <w:szCs w:val="22"/>
        </w:rPr>
        <w:t xml:space="preserve"> in the geographic area that the applicant proposes to serve, the franchising authority </w:t>
      </w:r>
      <w:r w:rsidRPr="002D006A" w:rsidR="00151D3C">
        <w:rPr>
          <w:color w:val="000000"/>
          <w:szCs w:val="22"/>
        </w:rPr>
        <w:t xml:space="preserve">grant or deny </w:t>
      </w:r>
      <w:r w:rsidRPr="002D006A" w:rsidR="00B852C1">
        <w:rPr>
          <w:color w:val="000000"/>
          <w:szCs w:val="22"/>
        </w:rPr>
        <w:t xml:space="preserve">the application within 90 days of the date the application is received by the franchising authority.  If a competitive franchise applicant does not have existing authority to access public rights-of-way in the geographic area that the applicant proposes to serve, the franchising authority must </w:t>
      </w:r>
      <w:r w:rsidR="00491783">
        <w:rPr>
          <w:color w:val="000000"/>
          <w:szCs w:val="22"/>
        </w:rPr>
        <w:t xml:space="preserve">perform </w:t>
      </w:r>
      <w:r w:rsidRPr="002D006A" w:rsidR="00151D3C">
        <w:rPr>
          <w:color w:val="000000"/>
          <w:szCs w:val="22"/>
        </w:rPr>
        <w:t xml:space="preserve">grant or deny </w:t>
      </w:r>
      <w:r w:rsidRPr="002D006A" w:rsidR="00B852C1">
        <w:rPr>
          <w:color w:val="000000"/>
          <w:szCs w:val="22"/>
        </w:rPr>
        <w:t>the application within 180 days of the date the application is received by the franchising authority.  A franchising authority and a competitive franchise applicant may agree in writing to extend the 90-day or 180-day deadline, whichever is applicable.</w:t>
      </w:r>
    </w:p>
    <w:p w:rsidR="003B65CB" w:rsidP="00B852C1" w:rsidRDefault="003B65CB" w14:paraId="12AF08A5" w14:textId="77777777">
      <w:pPr>
        <w:suppressAutoHyphens/>
        <w:rPr>
          <w:color w:val="000000"/>
          <w:szCs w:val="22"/>
        </w:rPr>
      </w:pPr>
    </w:p>
    <w:p w:rsidRPr="002D006A" w:rsidR="003B65CB" w:rsidP="00B852C1" w:rsidRDefault="003B65CB" w14:paraId="5FEB6D2B" w14:textId="77777777">
      <w:pPr>
        <w:suppressAutoHyphens/>
        <w:rPr>
          <w:color w:val="000000"/>
          <w:szCs w:val="22"/>
        </w:rPr>
      </w:pPr>
      <w:r>
        <w:rPr>
          <w:color w:val="000000"/>
          <w:szCs w:val="22"/>
        </w:rPr>
        <w:t>The Commission is requesting a three</w:t>
      </w:r>
      <w:r w:rsidR="00957091">
        <w:rPr>
          <w:color w:val="000000"/>
          <w:szCs w:val="22"/>
        </w:rPr>
        <w:t>-</w:t>
      </w:r>
      <w:r>
        <w:rPr>
          <w:color w:val="000000"/>
          <w:szCs w:val="22"/>
        </w:rPr>
        <w:t>year approval for this collection from the Office of Management and Budget (OMB).</w:t>
      </w:r>
    </w:p>
    <w:p w:rsidRPr="002D006A" w:rsidR="00BF1BD3" w:rsidP="00B852C1" w:rsidRDefault="00BF1BD3" w14:paraId="65C7F28B" w14:textId="77777777">
      <w:pPr>
        <w:suppressAutoHyphens/>
        <w:rPr>
          <w:color w:val="000000"/>
          <w:szCs w:val="22"/>
        </w:rPr>
      </w:pPr>
    </w:p>
    <w:p w:rsidRPr="002D006A" w:rsidR="00BF1BD3" w:rsidP="00BF1BD3" w:rsidRDefault="007F36EE" w14:paraId="42B0BC3A" w14:textId="77777777">
      <w:r>
        <w:t>T</w:t>
      </w:r>
      <w:r w:rsidRPr="002D006A" w:rsidR="00BF1BD3">
        <w:t>his information collection does not affect individuals or households; thus, there are no impacts under the Privacy Act.</w:t>
      </w:r>
    </w:p>
    <w:p w:rsidRPr="002D006A" w:rsidR="00BF1BD3" w:rsidP="00B852C1" w:rsidRDefault="00BF1BD3" w14:paraId="1131CEF8" w14:textId="77777777">
      <w:pPr>
        <w:suppressAutoHyphens/>
        <w:rPr>
          <w:color w:val="000000"/>
          <w:szCs w:val="22"/>
        </w:rPr>
      </w:pPr>
    </w:p>
    <w:p w:rsidRPr="002D006A" w:rsidR="009F48A9" w:rsidP="009F48A9" w:rsidRDefault="009F48A9" w14:paraId="3EDDC806" w14:textId="77777777">
      <w:pPr>
        <w:suppressAutoHyphens/>
      </w:pPr>
      <w:r>
        <w:rPr>
          <w:snapToGrid/>
          <w:szCs w:val="24"/>
        </w:rPr>
        <w:t>Authority for this collection of information is contained in 47 U.S.C. §§ 151, 152, 154(i), 157nt, 201, 531, 541 and 542</w:t>
      </w:r>
      <w:r w:rsidRPr="002D006A">
        <w:t>.</w:t>
      </w:r>
    </w:p>
    <w:p w:rsidRPr="002D006A" w:rsidR="00977EC6" w:rsidP="00F44860" w:rsidRDefault="00977EC6" w14:paraId="5D4F7667" w14:textId="77777777">
      <w:pPr>
        <w:suppressAutoHyphens/>
      </w:pPr>
      <w:r w:rsidRPr="002D006A">
        <w:t xml:space="preserve"> </w:t>
      </w:r>
    </w:p>
    <w:p w:rsidRPr="002D006A" w:rsidR="00AA10A4" w:rsidP="00E61363" w:rsidRDefault="00977EC6" w14:paraId="4C7E40A8" w14:textId="77777777">
      <w:pPr>
        <w:suppressAutoHyphens/>
      </w:pPr>
      <w:r w:rsidRPr="002D006A">
        <w:rPr>
          <w:b/>
        </w:rPr>
        <w:t xml:space="preserve">2.  </w:t>
      </w:r>
      <w:r w:rsidRPr="002D006A" w:rsidR="00AA10A4">
        <w:t>Local franchising authorities will use this information to consider franchise requests.  Local franchising authorities will review the information and use it as a starting point for franchise negotiations.</w:t>
      </w:r>
    </w:p>
    <w:p w:rsidRPr="002D006A" w:rsidR="00DB5869" w:rsidP="00E61363" w:rsidRDefault="00DB5869" w14:paraId="228354CF" w14:textId="77777777">
      <w:pPr>
        <w:suppressAutoHyphens/>
        <w:rPr>
          <w:szCs w:val="24"/>
        </w:rPr>
      </w:pPr>
    </w:p>
    <w:p w:rsidRPr="002D006A" w:rsidR="00AA10A4" w:rsidP="00E61363" w:rsidRDefault="00977EC6" w14:paraId="235952A2" w14:textId="77777777">
      <w:pPr>
        <w:suppressAutoHyphens/>
      </w:pPr>
      <w:r w:rsidRPr="002D006A">
        <w:rPr>
          <w:b/>
        </w:rPr>
        <w:t xml:space="preserve">3.  </w:t>
      </w:r>
      <w:r w:rsidRPr="002D006A" w:rsidR="00AA10A4">
        <w:t>Local franchising authorities may, at their discretion, collect this information electronically.  If local franchising authorities choose to collect the information electronically, those authorities must provide a mechanism to acknowledge receipt of the filing.  This acknowledgment will provide necessary evidentiary support in the event of a conflict between a filer and a local franchising authority.</w:t>
      </w:r>
    </w:p>
    <w:p w:rsidRPr="002D006A" w:rsidR="00AA10A4" w:rsidP="00E61363" w:rsidRDefault="00AA10A4" w14:paraId="34C3C4A1" w14:textId="77777777">
      <w:pPr>
        <w:suppressAutoHyphens/>
      </w:pPr>
    </w:p>
    <w:p w:rsidRPr="002D006A" w:rsidR="00977EC6" w:rsidP="00E61363" w:rsidRDefault="00977EC6" w14:paraId="555B1BAB" w14:textId="77777777">
      <w:pPr>
        <w:suppressAutoHyphens/>
      </w:pPr>
      <w:r w:rsidRPr="002D006A">
        <w:rPr>
          <w:b/>
        </w:rPr>
        <w:t xml:space="preserve">4.  </w:t>
      </w:r>
      <w:r w:rsidRPr="002D006A">
        <w:t xml:space="preserve">This agency does not impose similar information collection requirements on the respondents. </w:t>
      </w:r>
    </w:p>
    <w:p w:rsidRPr="002D006A" w:rsidR="00977EC6" w:rsidP="00E61363" w:rsidRDefault="00977EC6" w14:paraId="23415E64" w14:textId="77777777">
      <w:pPr>
        <w:suppressAutoHyphens/>
      </w:pPr>
      <w:r w:rsidRPr="002D006A">
        <w:t xml:space="preserve"> </w:t>
      </w:r>
    </w:p>
    <w:p w:rsidRPr="002D006A" w:rsidR="00AA10A4" w:rsidP="00AA10A4" w:rsidRDefault="00977EC6" w14:paraId="1DCEF20E" w14:textId="77777777">
      <w:pPr>
        <w:pStyle w:val="ParaNumCharCharChar1Char"/>
        <w:numPr>
          <w:ilvl w:val="0"/>
          <w:numId w:val="0"/>
        </w:numPr>
        <w:jc w:val="both"/>
        <w:rPr>
          <w:sz w:val="24"/>
          <w:szCs w:val="24"/>
        </w:rPr>
      </w:pPr>
      <w:r w:rsidRPr="002D006A">
        <w:rPr>
          <w:b/>
        </w:rPr>
        <w:t xml:space="preserve">5.  </w:t>
      </w:r>
      <w:r w:rsidRPr="002D006A" w:rsidR="00AA10A4">
        <w:rPr>
          <w:sz w:val="24"/>
          <w:szCs w:val="24"/>
        </w:rPr>
        <w:t xml:space="preserve">The R&amp;O provides that </w:t>
      </w:r>
      <w:r w:rsidRPr="002D006A" w:rsidR="006413D1">
        <w:rPr>
          <w:sz w:val="24"/>
          <w:szCs w:val="24"/>
        </w:rPr>
        <w:t>local franchising authorities</w:t>
      </w:r>
      <w:r w:rsidRPr="002D006A" w:rsidR="00AA10A4">
        <w:rPr>
          <w:sz w:val="24"/>
          <w:szCs w:val="24"/>
        </w:rPr>
        <w:t xml:space="preserve"> should reasonably </w:t>
      </w:r>
      <w:r w:rsidRPr="002D006A" w:rsidR="00AA10A4">
        <w:rPr>
          <w:rFonts w:ascii="Times" w:hAnsi="Times"/>
          <w:sz w:val="24"/>
          <w:szCs w:val="24"/>
        </w:rPr>
        <w:t>review</w:t>
      </w:r>
      <w:r w:rsidRPr="002D006A" w:rsidR="00AA10A4">
        <w:rPr>
          <w:sz w:val="24"/>
          <w:szCs w:val="24"/>
        </w:rPr>
        <w:t xml:space="preserve"> franchise applications within 90 days for entities existing authority to access rights-of way, and within </w:t>
      </w:r>
      <w:r w:rsidRPr="002D006A" w:rsidR="006413D1">
        <w:rPr>
          <w:sz w:val="24"/>
          <w:szCs w:val="24"/>
        </w:rPr>
        <w:t>180 days</w:t>
      </w:r>
      <w:r w:rsidRPr="002D006A" w:rsidR="00AA10A4">
        <w:rPr>
          <w:sz w:val="24"/>
          <w:szCs w:val="24"/>
        </w:rPr>
        <w:t xml:space="preserve"> for entities that do not have such authority.  </w:t>
      </w:r>
      <w:r w:rsidRPr="002D006A" w:rsidR="00AA10A4">
        <w:rPr>
          <w:rStyle w:val="documentbody"/>
          <w:sz w:val="24"/>
          <w:szCs w:val="24"/>
        </w:rPr>
        <w:t xml:space="preserve">This will result in decreasing the regulatory burdens on cable operators.  </w:t>
      </w:r>
      <w:r w:rsidRPr="002D006A" w:rsidR="006413D1">
        <w:rPr>
          <w:sz w:val="24"/>
          <w:szCs w:val="24"/>
        </w:rPr>
        <w:t>The agency</w:t>
      </w:r>
      <w:r w:rsidRPr="002D006A" w:rsidR="00AA10A4">
        <w:rPr>
          <w:sz w:val="24"/>
          <w:szCs w:val="24"/>
        </w:rPr>
        <w:t xml:space="preserve"> declined to adopt shorter deadlines that commenters proposed (</w:t>
      </w:r>
      <w:r w:rsidRPr="002D006A" w:rsidR="00AA10A4">
        <w:rPr>
          <w:i/>
          <w:sz w:val="24"/>
          <w:szCs w:val="24"/>
        </w:rPr>
        <w:t>e.g.</w:t>
      </w:r>
      <w:r w:rsidRPr="002D006A" w:rsidR="00AA10A4">
        <w:rPr>
          <w:sz w:val="24"/>
          <w:szCs w:val="24"/>
        </w:rPr>
        <w:t xml:space="preserve">, 17 days, one month) in order to provide small entities more flexibility in scheduling their franchise negotiation sessions.  In the </w:t>
      </w:r>
      <w:r w:rsidRPr="002D006A" w:rsidR="006413D1">
        <w:rPr>
          <w:sz w:val="24"/>
          <w:szCs w:val="24"/>
        </w:rPr>
        <w:t>R&amp;O</w:t>
      </w:r>
      <w:r w:rsidRPr="002D006A" w:rsidR="00AA10A4">
        <w:rPr>
          <w:sz w:val="24"/>
          <w:szCs w:val="24"/>
        </w:rPr>
        <w:t xml:space="preserve">, </w:t>
      </w:r>
      <w:r w:rsidRPr="002D006A" w:rsidR="006413D1">
        <w:rPr>
          <w:sz w:val="24"/>
          <w:szCs w:val="24"/>
        </w:rPr>
        <w:t xml:space="preserve">the agency </w:t>
      </w:r>
      <w:r w:rsidRPr="002D006A" w:rsidR="00AA10A4">
        <w:rPr>
          <w:sz w:val="24"/>
          <w:szCs w:val="24"/>
        </w:rPr>
        <w:t>also provide</w:t>
      </w:r>
      <w:r w:rsidRPr="002D006A" w:rsidR="006413D1">
        <w:rPr>
          <w:sz w:val="24"/>
          <w:szCs w:val="24"/>
        </w:rPr>
        <w:t>s guidance on whether a local franchising authority</w:t>
      </w:r>
      <w:r w:rsidRPr="002D006A" w:rsidR="00AA10A4">
        <w:rPr>
          <w:sz w:val="24"/>
          <w:szCs w:val="24"/>
        </w:rPr>
        <w:t xml:space="preserve"> may reasonably refuse to award a competitive franchise based on certain franchise requirements, such as build-out requirements and franchise fees.  As an alternative, </w:t>
      </w:r>
      <w:r w:rsidRPr="002D006A" w:rsidR="006413D1">
        <w:rPr>
          <w:sz w:val="24"/>
          <w:szCs w:val="24"/>
        </w:rPr>
        <w:t>the agency</w:t>
      </w:r>
      <w:r w:rsidRPr="002D006A" w:rsidR="00AA10A4">
        <w:rPr>
          <w:sz w:val="24"/>
          <w:szCs w:val="24"/>
        </w:rPr>
        <w:t xml:space="preserve"> considered providing no guidance on any franchising terms.  </w:t>
      </w:r>
      <w:r w:rsidRPr="002D006A" w:rsidR="006413D1">
        <w:rPr>
          <w:sz w:val="24"/>
          <w:szCs w:val="24"/>
        </w:rPr>
        <w:t xml:space="preserve">The agency </w:t>
      </w:r>
      <w:r w:rsidRPr="002D006A" w:rsidR="00AA10A4">
        <w:rPr>
          <w:sz w:val="24"/>
          <w:szCs w:val="24"/>
        </w:rPr>
        <w:t>conclude</w:t>
      </w:r>
      <w:r w:rsidRPr="002D006A" w:rsidR="006413D1">
        <w:rPr>
          <w:sz w:val="24"/>
          <w:szCs w:val="24"/>
        </w:rPr>
        <w:t>d</w:t>
      </w:r>
      <w:r w:rsidRPr="002D006A" w:rsidR="00AA10A4">
        <w:rPr>
          <w:sz w:val="24"/>
          <w:szCs w:val="24"/>
        </w:rPr>
        <w:t xml:space="preserve"> that the guidance provide</w:t>
      </w:r>
      <w:r w:rsidRPr="002D006A" w:rsidR="006413D1">
        <w:rPr>
          <w:sz w:val="24"/>
          <w:szCs w:val="24"/>
        </w:rPr>
        <w:t>d will minimize</w:t>
      </w:r>
      <w:r w:rsidRPr="002D006A" w:rsidR="00AA10A4">
        <w:rPr>
          <w:sz w:val="24"/>
          <w:szCs w:val="24"/>
        </w:rPr>
        <w:t xml:space="preserve"> any adverse impact on small entities because it clarifies the terms within which parties must </w:t>
      </w:r>
      <w:proofErr w:type="gramStart"/>
      <w:r w:rsidRPr="002D006A" w:rsidR="00AA10A4">
        <w:rPr>
          <w:sz w:val="24"/>
          <w:szCs w:val="24"/>
        </w:rPr>
        <w:t>negotiate,</w:t>
      </w:r>
      <w:r w:rsidR="00957091">
        <w:rPr>
          <w:sz w:val="24"/>
          <w:szCs w:val="24"/>
        </w:rPr>
        <w:t xml:space="preserve"> </w:t>
      </w:r>
      <w:r w:rsidRPr="002D006A" w:rsidR="00AA10A4">
        <w:rPr>
          <w:sz w:val="24"/>
          <w:szCs w:val="24"/>
        </w:rPr>
        <w:t>and</w:t>
      </w:r>
      <w:proofErr w:type="gramEnd"/>
      <w:r w:rsidRPr="002D006A" w:rsidR="00AA10A4">
        <w:rPr>
          <w:sz w:val="24"/>
          <w:szCs w:val="24"/>
        </w:rPr>
        <w:t xml:space="preserve"> should prevent small </w:t>
      </w:r>
      <w:r w:rsidRPr="002D006A" w:rsidR="00AA10A4">
        <w:rPr>
          <w:sz w:val="24"/>
          <w:szCs w:val="24"/>
        </w:rPr>
        <w:lastRenderedPageBreak/>
        <w:t>entities from facing costly litigation over those terms.</w:t>
      </w:r>
      <w:r w:rsidRPr="002D006A" w:rsidR="00341741">
        <w:rPr>
          <w:sz w:val="24"/>
          <w:szCs w:val="24"/>
        </w:rPr>
        <w:t xml:space="preserve">  Therefore, this collection of information does not have a significant economic impact on a substantial number of small entities/businesses.</w:t>
      </w:r>
    </w:p>
    <w:p w:rsidRPr="002D006A" w:rsidR="00977EC6" w:rsidP="00E61363" w:rsidRDefault="00977EC6" w14:paraId="2728C0C1" w14:textId="77777777">
      <w:pPr>
        <w:suppressAutoHyphens/>
      </w:pPr>
    </w:p>
    <w:p w:rsidRPr="002D006A" w:rsidR="00DA22F8" w:rsidP="00E61363" w:rsidRDefault="00977EC6" w14:paraId="61777265" w14:textId="77777777">
      <w:pPr>
        <w:suppressAutoHyphens/>
        <w:rPr>
          <w:snapToGrid/>
          <w:szCs w:val="24"/>
        </w:rPr>
      </w:pPr>
      <w:r w:rsidRPr="002D006A">
        <w:rPr>
          <w:b/>
        </w:rPr>
        <w:t xml:space="preserve">6.  </w:t>
      </w:r>
      <w:r w:rsidRPr="008E087C" w:rsidR="009F48A9">
        <w:t>This information collection is necessary to ensure that competitive franchise applicants provide local franchising authorities with the minimal information that is necessary to review a franchise application.  This information collection will help to ensure an efficient review of an applicant's franchise</w:t>
      </w:r>
      <w:r w:rsidR="009F48A9">
        <w:t xml:space="preserve"> submission</w:t>
      </w:r>
      <w:r w:rsidRPr="008E087C" w:rsidR="009F48A9">
        <w:t>, thereby reducing the amount of time necessary to review franchise applications</w:t>
      </w:r>
      <w:r w:rsidR="009F48A9">
        <w:t>.</w:t>
      </w:r>
    </w:p>
    <w:p w:rsidRPr="002D006A" w:rsidR="00DA22F8" w:rsidP="00E61363" w:rsidRDefault="00DA22F8" w14:paraId="3E6C7511" w14:textId="77777777">
      <w:pPr>
        <w:suppressAutoHyphens/>
        <w:rPr>
          <w:snapToGrid/>
          <w:szCs w:val="24"/>
        </w:rPr>
      </w:pPr>
    </w:p>
    <w:p w:rsidRPr="002D006A" w:rsidR="00824A75" w:rsidP="00824A75" w:rsidRDefault="00977EC6" w14:paraId="61D3E7FD" w14:textId="77777777">
      <w:pPr>
        <w:suppressAutoHyphens/>
        <w:rPr>
          <w:spacing w:val="-3"/>
          <w:sz w:val="22"/>
          <w:szCs w:val="22"/>
        </w:rPr>
      </w:pPr>
      <w:r w:rsidRPr="002D006A">
        <w:rPr>
          <w:b/>
        </w:rPr>
        <w:t xml:space="preserve">7. </w:t>
      </w:r>
      <w:r w:rsidRPr="00957091" w:rsidR="00824A75">
        <w:t>This collection of information is consistent with the guidelines in 5 CFR Section 1320.5(d)(2).</w:t>
      </w:r>
    </w:p>
    <w:p w:rsidRPr="002D006A" w:rsidR="00824A75" w:rsidP="00E61363" w:rsidRDefault="00824A75" w14:paraId="1977B472" w14:textId="77777777">
      <w:pPr>
        <w:suppressAutoHyphens/>
        <w:rPr>
          <w:b/>
        </w:rPr>
      </w:pPr>
    </w:p>
    <w:p w:rsidRPr="002D006A" w:rsidR="00BF1BD3" w:rsidP="00BF1BD3" w:rsidRDefault="00977EC6" w14:paraId="20524398" w14:textId="7949BD2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rPr>
      </w:pPr>
      <w:r w:rsidRPr="002D006A">
        <w:rPr>
          <w:b/>
        </w:rPr>
        <w:t xml:space="preserve">8.  </w:t>
      </w:r>
      <w:r w:rsidRPr="002D006A" w:rsidR="00BF1BD3">
        <w:rPr>
          <w:spacing w:val="-3"/>
        </w:rPr>
        <w:t xml:space="preserve">The Commission published a Notice </w:t>
      </w:r>
      <w:r w:rsidRPr="00870AA9" w:rsidR="00BF1BD3">
        <w:rPr>
          <w:spacing w:val="-3"/>
        </w:rPr>
        <w:t>(</w:t>
      </w:r>
      <w:r w:rsidR="008403AD">
        <w:rPr>
          <w:spacing w:val="-3"/>
        </w:rPr>
        <w:t>8</w:t>
      </w:r>
      <w:r w:rsidR="00957091">
        <w:rPr>
          <w:spacing w:val="-3"/>
        </w:rPr>
        <w:t>6</w:t>
      </w:r>
      <w:r w:rsidRPr="00870AA9" w:rsidR="00BF1BD3">
        <w:rPr>
          <w:spacing w:val="-3"/>
        </w:rPr>
        <w:t xml:space="preserve"> FR</w:t>
      </w:r>
      <w:r w:rsidR="00872E63">
        <w:rPr>
          <w:spacing w:val="-3"/>
        </w:rPr>
        <w:t xml:space="preserve"> </w:t>
      </w:r>
      <w:r w:rsidR="00B8005E">
        <w:rPr>
          <w:spacing w:val="-3"/>
        </w:rPr>
        <w:t>20695</w:t>
      </w:r>
      <w:r w:rsidR="004A71DD">
        <w:rPr>
          <w:spacing w:val="-3"/>
        </w:rPr>
        <w:t>)</w:t>
      </w:r>
      <w:r w:rsidRPr="00870AA9" w:rsidR="00BF1BD3">
        <w:rPr>
          <w:spacing w:val="-3"/>
        </w:rPr>
        <w:t xml:space="preserve"> in the </w:t>
      </w:r>
      <w:r w:rsidRPr="00870AA9" w:rsidR="00BF1BD3">
        <w:rPr>
          <w:i/>
          <w:spacing w:val="-3"/>
        </w:rPr>
        <w:t>Federal Register</w:t>
      </w:r>
      <w:r w:rsidRPr="00870AA9" w:rsidR="00BF1BD3">
        <w:rPr>
          <w:spacing w:val="-3"/>
        </w:rPr>
        <w:t xml:space="preserve"> on</w:t>
      </w:r>
      <w:r w:rsidR="002164DE">
        <w:rPr>
          <w:spacing w:val="-3"/>
        </w:rPr>
        <w:t xml:space="preserve"> </w:t>
      </w:r>
      <w:r w:rsidR="00872E63">
        <w:rPr>
          <w:spacing w:val="-3"/>
        </w:rPr>
        <w:t>A</w:t>
      </w:r>
      <w:r w:rsidR="004A71DD">
        <w:rPr>
          <w:spacing w:val="-3"/>
        </w:rPr>
        <w:t xml:space="preserve">pril </w:t>
      </w:r>
      <w:r w:rsidR="00B8005E">
        <w:rPr>
          <w:spacing w:val="-3"/>
        </w:rPr>
        <w:t xml:space="preserve"> 21</w:t>
      </w:r>
      <w:r w:rsidR="00227AF5">
        <w:rPr>
          <w:spacing w:val="-3"/>
        </w:rPr>
        <w:t>, 20</w:t>
      </w:r>
      <w:r w:rsidR="004A71DD">
        <w:rPr>
          <w:spacing w:val="-3"/>
        </w:rPr>
        <w:t xml:space="preserve">21 </w:t>
      </w:r>
      <w:r w:rsidR="003B65CB">
        <w:rPr>
          <w:spacing w:val="-3"/>
        </w:rPr>
        <w:t>seeking comment from the public on the information collection requirements contained in this collection</w:t>
      </w:r>
      <w:r w:rsidRPr="00870AA9" w:rsidR="00BF1BD3">
        <w:rPr>
          <w:spacing w:val="-3"/>
        </w:rPr>
        <w:t>.</w:t>
      </w:r>
      <w:r w:rsidRPr="002D006A" w:rsidR="00BF1BD3">
        <w:rPr>
          <w:spacing w:val="-3"/>
        </w:rPr>
        <w:t xml:space="preserve">  </w:t>
      </w:r>
    </w:p>
    <w:p w:rsidRPr="002D006A" w:rsidR="00977EC6" w:rsidP="00E61363" w:rsidRDefault="00977EC6" w14:paraId="0EF7F151" w14:textId="77777777">
      <w:pPr>
        <w:suppressAutoHyphens/>
      </w:pPr>
    </w:p>
    <w:p w:rsidRPr="002D006A" w:rsidR="00977EC6" w:rsidP="00E61363" w:rsidRDefault="00977EC6" w14:paraId="58F174C2" w14:textId="77777777">
      <w:pPr>
        <w:suppressAutoHyphens/>
      </w:pPr>
      <w:r w:rsidRPr="002D006A">
        <w:rPr>
          <w:b/>
        </w:rPr>
        <w:t xml:space="preserve">9.  </w:t>
      </w:r>
      <w:r w:rsidRPr="002D006A">
        <w:t>There will be no payment or gifts given to respondents.</w:t>
      </w:r>
    </w:p>
    <w:p w:rsidRPr="002D006A" w:rsidR="00824A75" w:rsidP="00E61363" w:rsidRDefault="00977EC6" w14:paraId="4219297E" w14:textId="77777777">
      <w:pPr>
        <w:suppressAutoHyphens/>
      </w:pPr>
      <w:r w:rsidRPr="002D006A">
        <w:t xml:space="preserve"> </w:t>
      </w:r>
    </w:p>
    <w:p w:rsidRPr="002D006A" w:rsidR="006413D1" w:rsidP="00E61363" w:rsidRDefault="00977EC6" w14:paraId="5A5999A5" w14:textId="77777777">
      <w:pPr>
        <w:suppressAutoHyphens/>
      </w:pPr>
      <w:r w:rsidRPr="002D006A">
        <w:rPr>
          <w:b/>
        </w:rPr>
        <w:t xml:space="preserve">10.  </w:t>
      </w:r>
      <w:r w:rsidRPr="002D006A" w:rsidR="00824A75">
        <w:rPr>
          <w:spacing w:val="-3"/>
        </w:rPr>
        <w:t>There is no need for confidentiality</w:t>
      </w:r>
      <w:r w:rsidR="007F36EE">
        <w:rPr>
          <w:spacing w:val="-3"/>
        </w:rPr>
        <w:t xml:space="preserve"> with is collection of information</w:t>
      </w:r>
      <w:r w:rsidRPr="002D006A" w:rsidR="00824A75">
        <w:rPr>
          <w:spacing w:val="-3"/>
        </w:rPr>
        <w:t>.</w:t>
      </w:r>
    </w:p>
    <w:p w:rsidRPr="002D006A" w:rsidR="00977EC6" w:rsidP="00E61363" w:rsidRDefault="00977EC6" w14:paraId="3A6824BC" w14:textId="77777777">
      <w:pPr>
        <w:suppressAutoHyphens/>
      </w:pPr>
    </w:p>
    <w:p w:rsidRPr="002D006A" w:rsidR="00EC77E5" w:rsidP="00E61363" w:rsidRDefault="00977EC6" w14:paraId="48561950" w14:textId="77777777">
      <w:pPr>
        <w:suppressAutoHyphens/>
      </w:pPr>
      <w:r w:rsidRPr="002D006A">
        <w:rPr>
          <w:b/>
        </w:rPr>
        <w:t xml:space="preserve">11.  </w:t>
      </w:r>
      <w:r w:rsidRPr="002D006A">
        <w:t xml:space="preserve">These information collection requirements do not address any private matters of a sensitive nature. </w:t>
      </w:r>
    </w:p>
    <w:p w:rsidRPr="002D006A" w:rsidR="00EC77E5" w:rsidP="00E61363" w:rsidRDefault="00EC77E5" w14:paraId="2A15E3D0" w14:textId="77777777">
      <w:pPr>
        <w:suppressAutoHyphens/>
      </w:pPr>
    </w:p>
    <w:p w:rsidRPr="002D006A" w:rsidR="00977EC6" w:rsidP="00E61363" w:rsidRDefault="00977EC6" w14:paraId="24D15C8F" w14:textId="77777777">
      <w:pPr>
        <w:suppressAutoHyphens/>
      </w:pPr>
      <w:r w:rsidRPr="002D006A">
        <w:rPr>
          <w:b/>
        </w:rPr>
        <w:t xml:space="preserve">12. </w:t>
      </w:r>
      <w:r w:rsidR="00DD2166">
        <w:rPr>
          <w:b/>
        </w:rPr>
        <w:t xml:space="preserve"> </w:t>
      </w:r>
      <w:r w:rsidRPr="002D006A" w:rsidR="00824A75">
        <w:rPr>
          <w:shd w:val="clear" w:color="auto" w:fill="FFFFFF"/>
        </w:rPr>
        <w:t>The public burden is as follows:</w:t>
      </w:r>
      <w:r w:rsidRPr="002D006A" w:rsidR="00824A75">
        <w:rPr>
          <w:b/>
          <w:shd w:val="clear" w:color="auto" w:fill="FFFFFF"/>
        </w:rPr>
        <w:t xml:space="preserve"> </w:t>
      </w:r>
      <w:r w:rsidRPr="002D006A" w:rsidR="000E3F9A">
        <w:rPr>
          <w:b/>
          <w:shd w:val="clear" w:color="auto" w:fill="FFFFFF"/>
        </w:rPr>
        <w:t xml:space="preserve">For </w:t>
      </w:r>
      <w:r w:rsidRPr="002D006A" w:rsidR="004B520D">
        <w:rPr>
          <w:b/>
          <w:shd w:val="clear" w:color="auto" w:fill="FFFFFF"/>
        </w:rPr>
        <w:t>47 CFR</w:t>
      </w:r>
      <w:r w:rsidRPr="002D006A" w:rsidR="00A70842">
        <w:rPr>
          <w:b/>
          <w:shd w:val="clear" w:color="auto" w:fill="FFFFFF"/>
        </w:rPr>
        <w:t xml:space="preserve"> </w:t>
      </w:r>
      <w:r w:rsidRPr="002D006A">
        <w:rPr>
          <w:b/>
        </w:rPr>
        <w:t>7</w:t>
      </w:r>
      <w:r w:rsidRPr="002D006A" w:rsidR="00A70842">
        <w:rPr>
          <w:b/>
        </w:rPr>
        <w:t>6</w:t>
      </w:r>
      <w:r w:rsidRPr="002D006A">
        <w:rPr>
          <w:b/>
        </w:rPr>
        <w:t>.</w:t>
      </w:r>
      <w:r w:rsidRPr="002D006A" w:rsidR="00A70842">
        <w:rPr>
          <w:b/>
        </w:rPr>
        <w:t>41(b)</w:t>
      </w:r>
      <w:r w:rsidRPr="002D006A" w:rsidR="000E3F9A">
        <w:t>, w</w:t>
      </w:r>
      <w:r w:rsidRPr="002D006A" w:rsidR="00A70842">
        <w:t xml:space="preserve">e </w:t>
      </w:r>
      <w:r w:rsidRPr="002D006A" w:rsidR="000E3F9A">
        <w:t>estimate</w:t>
      </w:r>
      <w:r w:rsidRPr="002D006A" w:rsidR="00854CFE">
        <w:t xml:space="preserve"> </w:t>
      </w:r>
      <w:r w:rsidR="00305A4A">
        <w:t>two</w:t>
      </w:r>
      <w:r w:rsidRPr="002D006A" w:rsidR="00305A4A">
        <w:t xml:space="preserve"> </w:t>
      </w:r>
      <w:r w:rsidRPr="002D006A" w:rsidR="00854CFE">
        <w:t>(</w:t>
      </w:r>
      <w:r w:rsidR="00305A4A">
        <w:t>2</w:t>
      </w:r>
      <w:r w:rsidRPr="002D006A" w:rsidR="00854CFE">
        <w:t>)</w:t>
      </w:r>
      <w:r w:rsidRPr="002D006A" w:rsidR="000E3F9A">
        <w:t xml:space="preserve"> competitive</w:t>
      </w:r>
      <w:r w:rsidRPr="002D006A" w:rsidR="00A70842">
        <w:t xml:space="preserve"> franchise applicant</w:t>
      </w:r>
      <w:r w:rsidR="00305A4A">
        <w:t>s</w:t>
      </w:r>
      <w:r w:rsidRPr="002D006A" w:rsidR="002B7A5E">
        <w:t xml:space="preserve"> </w:t>
      </w:r>
      <w:r w:rsidRPr="002D006A" w:rsidR="00A70842">
        <w:t>and expect</w:t>
      </w:r>
      <w:r w:rsidRPr="002D006A" w:rsidR="006413D1">
        <w:t xml:space="preserve"> each applicant will require </w:t>
      </w:r>
      <w:r w:rsidRPr="002D006A" w:rsidR="00796224">
        <w:t>0.5</w:t>
      </w:r>
      <w:r w:rsidRPr="002D006A" w:rsidR="000E3F9A">
        <w:t xml:space="preserve"> hours to complete</w:t>
      </w:r>
      <w:r w:rsidRPr="002D006A" w:rsidR="00796224">
        <w:t xml:space="preserve"> each</w:t>
      </w:r>
      <w:r w:rsidRPr="002D006A" w:rsidR="000E3F9A">
        <w:t xml:space="preserve"> </w:t>
      </w:r>
      <w:r w:rsidRPr="002D006A" w:rsidR="00796224">
        <w:t xml:space="preserve">franchise </w:t>
      </w:r>
      <w:r w:rsidRPr="002D006A" w:rsidR="000E3F9A">
        <w:t xml:space="preserve">application. </w:t>
      </w:r>
      <w:r w:rsidRPr="002D006A" w:rsidR="000E3F9A">
        <w:rPr>
          <w:b/>
        </w:rPr>
        <w:t xml:space="preserve">For </w:t>
      </w:r>
      <w:r w:rsidRPr="002D006A" w:rsidR="000E3F9A">
        <w:rPr>
          <w:b/>
          <w:shd w:val="clear" w:color="auto" w:fill="FFFFFF"/>
        </w:rPr>
        <w:t xml:space="preserve">47 CFR </w:t>
      </w:r>
      <w:r w:rsidRPr="002D006A" w:rsidR="000E3F9A">
        <w:rPr>
          <w:b/>
        </w:rPr>
        <w:t>76.41(d)</w:t>
      </w:r>
      <w:r w:rsidRPr="002D006A" w:rsidR="000E3F9A">
        <w:t xml:space="preserve">, we estimate </w:t>
      </w:r>
      <w:r w:rsidR="00305A4A">
        <w:t>2</w:t>
      </w:r>
      <w:r w:rsidRPr="002D006A" w:rsidR="00305A4A">
        <w:t xml:space="preserve">0 </w:t>
      </w:r>
      <w:r w:rsidRPr="002D006A" w:rsidR="000E3F9A">
        <w:t xml:space="preserve">LFAs will </w:t>
      </w:r>
      <w:proofErr w:type="gramStart"/>
      <w:r w:rsidRPr="002D006A" w:rsidR="000E3F9A">
        <w:t>take action</w:t>
      </w:r>
      <w:proofErr w:type="gramEnd"/>
      <w:r w:rsidRPr="002D006A" w:rsidR="000E3F9A">
        <w:t xml:space="preserve"> on </w:t>
      </w:r>
      <w:r w:rsidR="0043556C">
        <w:t>one</w:t>
      </w:r>
      <w:r w:rsidRPr="002D006A" w:rsidR="0043556C">
        <w:t xml:space="preserve"> </w:t>
      </w:r>
      <w:r w:rsidRPr="002D006A" w:rsidR="000E3F9A">
        <w:t xml:space="preserve">franchise application </w:t>
      </w:r>
      <w:r w:rsidRPr="002D006A" w:rsidR="00341741">
        <w:t xml:space="preserve">each </w:t>
      </w:r>
      <w:r w:rsidRPr="002D006A" w:rsidR="000E3F9A">
        <w:t xml:space="preserve">and expect the LFAs will require </w:t>
      </w:r>
      <w:r w:rsidRPr="002D006A" w:rsidR="00882496">
        <w:t>4</w:t>
      </w:r>
      <w:r w:rsidRPr="002D006A" w:rsidR="000E3F9A">
        <w:t xml:space="preserve"> hours to </w:t>
      </w:r>
      <w:r w:rsidR="00491783">
        <w:t>perform its initial review of the</w:t>
      </w:r>
      <w:r w:rsidRPr="002D006A" w:rsidR="000E3F9A">
        <w:t xml:space="preserve"> applications.</w:t>
      </w:r>
    </w:p>
    <w:p w:rsidRPr="002D006A" w:rsidR="007D3F17" w:rsidP="00E61363" w:rsidRDefault="007D3F17" w14:paraId="0ED8A40E" w14:textId="77777777">
      <w:pPr>
        <w:suppressAutoHyphens/>
      </w:pPr>
    </w:p>
    <w:p w:rsidRPr="002D006A" w:rsidR="00341741" w:rsidP="000E3F9A" w:rsidRDefault="00341741" w14:paraId="281A7937" w14:textId="77777777">
      <w:pPr>
        <w:suppressAutoHyphens/>
        <w:rPr>
          <w:b/>
          <w:shd w:val="clear" w:color="auto" w:fill="FFFFFF"/>
        </w:rPr>
      </w:pPr>
      <w:r w:rsidRPr="002D006A">
        <w:rPr>
          <w:b/>
          <w:shd w:val="clear" w:color="auto" w:fill="FFFFFF"/>
        </w:rPr>
        <w:t xml:space="preserve">Total </w:t>
      </w:r>
      <w:r w:rsidRPr="002D006A" w:rsidR="000E3F9A">
        <w:rPr>
          <w:b/>
          <w:shd w:val="clear" w:color="auto" w:fill="FFFFFF"/>
        </w:rPr>
        <w:t xml:space="preserve">Number of </w:t>
      </w:r>
      <w:r w:rsidRPr="002D006A">
        <w:rPr>
          <w:b/>
          <w:shd w:val="clear" w:color="auto" w:fill="FFFFFF"/>
        </w:rPr>
        <w:t xml:space="preserve">Annual </w:t>
      </w:r>
      <w:r w:rsidRPr="002D006A" w:rsidR="000E3F9A">
        <w:rPr>
          <w:b/>
          <w:shd w:val="clear" w:color="auto" w:fill="FFFFFF"/>
        </w:rPr>
        <w:t>Respondents:</w:t>
      </w:r>
      <w:r w:rsidRPr="002D006A" w:rsidR="00796224">
        <w:rPr>
          <w:b/>
          <w:shd w:val="clear" w:color="auto" w:fill="FFFFFF"/>
        </w:rPr>
        <w:t xml:space="preserve"> </w:t>
      </w:r>
    </w:p>
    <w:p w:rsidRPr="002D006A" w:rsidR="00341741" w:rsidP="000E3F9A" w:rsidRDefault="00341741" w14:paraId="1AA8FB70" w14:textId="77777777">
      <w:pPr>
        <w:suppressAutoHyphens/>
        <w:rPr>
          <w:b/>
          <w:shd w:val="clear" w:color="auto" w:fill="FFFFFF"/>
        </w:rPr>
      </w:pPr>
    </w:p>
    <w:p w:rsidRPr="002D006A" w:rsidR="00341741" w:rsidP="000E3F9A" w:rsidRDefault="00341741" w14:paraId="5FC2C3F6" w14:textId="77777777">
      <w:pPr>
        <w:suppressAutoHyphens/>
        <w:rPr>
          <w:b/>
          <w:shd w:val="clear" w:color="auto" w:fill="FFFFFF"/>
        </w:rPr>
      </w:pPr>
      <w:r w:rsidRPr="002D006A">
        <w:rPr>
          <w:b/>
          <w:shd w:val="clear" w:color="auto" w:fill="FFFFFF"/>
        </w:rPr>
        <w:tab/>
      </w:r>
      <w:r w:rsidR="003B65CB">
        <w:rPr>
          <w:b/>
          <w:shd w:val="clear" w:color="auto" w:fill="FFFFFF"/>
        </w:rPr>
        <w:t xml:space="preserve">         </w:t>
      </w:r>
      <w:r w:rsidR="00305A4A">
        <w:rPr>
          <w:b/>
          <w:shd w:val="clear" w:color="auto" w:fill="FFFFFF"/>
        </w:rPr>
        <w:t>2</w:t>
      </w:r>
      <w:r w:rsidRPr="002D006A" w:rsidR="00305A4A">
        <w:rPr>
          <w:b/>
          <w:shd w:val="clear" w:color="auto" w:fill="FFFFFF"/>
        </w:rPr>
        <w:t xml:space="preserve"> </w:t>
      </w:r>
      <w:r w:rsidRPr="002D006A">
        <w:rPr>
          <w:b/>
          <w:shd w:val="clear" w:color="auto" w:fill="FFFFFF"/>
        </w:rPr>
        <w:t>competitive franchise applicants</w:t>
      </w:r>
    </w:p>
    <w:p w:rsidRPr="002D006A" w:rsidR="00341741" w:rsidP="000E3F9A" w:rsidRDefault="00341741" w14:paraId="4DE4B11F" w14:textId="77777777">
      <w:pPr>
        <w:suppressAutoHyphens/>
        <w:rPr>
          <w:b/>
          <w:u w:val="single"/>
          <w:shd w:val="clear" w:color="auto" w:fill="FFFFFF"/>
        </w:rPr>
      </w:pPr>
      <w:r w:rsidRPr="002D006A">
        <w:rPr>
          <w:b/>
          <w:shd w:val="clear" w:color="auto" w:fill="FFFFFF"/>
        </w:rPr>
        <w:t xml:space="preserve">    </w:t>
      </w:r>
      <w:r w:rsidRPr="002D006A">
        <w:rPr>
          <w:b/>
          <w:shd w:val="clear" w:color="auto" w:fill="FFFFFF"/>
        </w:rPr>
        <w:tab/>
        <w:t xml:space="preserve">    </w:t>
      </w:r>
      <w:r w:rsidRPr="002D006A">
        <w:rPr>
          <w:b/>
          <w:u w:val="single"/>
          <w:shd w:val="clear" w:color="auto" w:fill="FFFFFF"/>
        </w:rPr>
        <w:t xml:space="preserve"> </w:t>
      </w:r>
      <w:r w:rsidR="00305A4A">
        <w:rPr>
          <w:b/>
          <w:u w:val="single"/>
          <w:shd w:val="clear" w:color="auto" w:fill="FFFFFF"/>
        </w:rPr>
        <w:t xml:space="preserve">  2</w:t>
      </w:r>
      <w:r w:rsidRPr="002D006A" w:rsidR="00305A4A">
        <w:rPr>
          <w:b/>
          <w:u w:val="single"/>
          <w:shd w:val="clear" w:color="auto" w:fill="FFFFFF"/>
        </w:rPr>
        <w:t xml:space="preserve">0 </w:t>
      </w:r>
      <w:r w:rsidRPr="002D006A">
        <w:rPr>
          <w:b/>
          <w:u w:val="single"/>
          <w:shd w:val="clear" w:color="auto" w:fill="FFFFFF"/>
        </w:rPr>
        <w:t>LFAs</w:t>
      </w:r>
    </w:p>
    <w:p w:rsidRPr="002D006A" w:rsidR="000E3F9A" w:rsidP="000E3F9A" w:rsidRDefault="00341741" w14:paraId="596BDCA9" w14:textId="77777777">
      <w:pPr>
        <w:suppressAutoHyphens/>
        <w:rPr>
          <w:b/>
          <w:shd w:val="clear" w:color="auto" w:fill="FFFFFF"/>
        </w:rPr>
      </w:pPr>
      <w:r w:rsidRPr="002D006A">
        <w:rPr>
          <w:b/>
          <w:shd w:val="clear" w:color="auto" w:fill="FFFFFF"/>
        </w:rPr>
        <w:t xml:space="preserve">                 </w:t>
      </w:r>
      <w:r w:rsidR="00305A4A">
        <w:rPr>
          <w:b/>
          <w:shd w:val="clear" w:color="auto" w:fill="FFFFFF"/>
        </w:rPr>
        <w:t xml:space="preserve">  22</w:t>
      </w:r>
      <w:r w:rsidRPr="002D006A" w:rsidR="00305A4A">
        <w:rPr>
          <w:b/>
          <w:shd w:val="clear" w:color="auto" w:fill="FFFFFF"/>
        </w:rPr>
        <w:t xml:space="preserve"> </w:t>
      </w:r>
      <w:r w:rsidRPr="002D006A">
        <w:rPr>
          <w:b/>
          <w:shd w:val="clear" w:color="auto" w:fill="FFFFFF"/>
        </w:rPr>
        <w:t>respondents</w:t>
      </w:r>
    </w:p>
    <w:p w:rsidRPr="002D006A" w:rsidR="00341741" w:rsidP="000E3F9A" w:rsidRDefault="00341741" w14:paraId="19FD168A" w14:textId="77777777">
      <w:pPr>
        <w:suppressAutoHyphens/>
        <w:rPr>
          <w:b/>
          <w:shd w:val="clear" w:color="auto" w:fill="FFFFFF"/>
        </w:rPr>
      </w:pPr>
    </w:p>
    <w:p w:rsidRPr="002D006A" w:rsidR="000E3F9A" w:rsidP="000E3F9A" w:rsidRDefault="000E3F9A" w14:paraId="1D566920" w14:textId="77777777">
      <w:pPr>
        <w:suppressAutoHyphens/>
        <w:rPr>
          <w:b/>
          <w:shd w:val="clear" w:color="auto" w:fill="FFFFFF"/>
        </w:rPr>
      </w:pPr>
    </w:p>
    <w:p w:rsidR="00DD2166" w:rsidP="000E3F9A" w:rsidRDefault="00DD2166" w14:paraId="170BC4EC" w14:textId="77777777">
      <w:pPr>
        <w:suppressAutoHyphens/>
        <w:rPr>
          <w:b/>
          <w:shd w:val="clear" w:color="auto" w:fill="FFFFFF"/>
        </w:rPr>
      </w:pPr>
    </w:p>
    <w:p w:rsidRPr="002D006A" w:rsidR="000E3F9A" w:rsidP="000E3F9A" w:rsidRDefault="00341741" w14:paraId="398E5279" w14:textId="77777777">
      <w:pPr>
        <w:suppressAutoHyphens/>
        <w:rPr>
          <w:b/>
          <w:shd w:val="clear" w:color="auto" w:fill="FFFFFF"/>
        </w:rPr>
      </w:pPr>
      <w:r w:rsidRPr="002D006A">
        <w:rPr>
          <w:b/>
          <w:shd w:val="clear" w:color="auto" w:fill="FFFFFF"/>
        </w:rPr>
        <w:t xml:space="preserve">Total </w:t>
      </w:r>
      <w:r w:rsidRPr="002D006A" w:rsidR="000E3F9A">
        <w:rPr>
          <w:b/>
          <w:shd w:val="clear" w:color="auto" w:fill="FFFFFF"/>
        </w:rPr>
        <w:t xml:space="preserve">Number of </w:t>
      </w:r>
      <w:r w:rsidRPr="002D006A">
        <w:rPr>
          <w:b/>
          <w:shd w:val="clear" w:color="auto" w:fill="FFFFFF"/>
        </w:rPr>
        <w:t xml:space="preserve">Annual </w:t>
      </w:r>
      <w:r w:rsidRPr="002D006A" w:rsidR="000E3F9A">
        <w:rPr>
          <w:b/>
          <w:shd w:val="clear" w:color="auto" w:fill="FFFFFF"/>
        </w:rPr>
        <w:t xml:space="preserve">Responses: </w:t>
      </w:r>
      <w:r w:rsidRPr="00DD1BFD" w:rsidR="00DD1BFD">
        <w:rPr>
          <w:shd w:val="clear" w:color="auto" w:fill="FFFFFF"/>
        </w:rPr>
        <w:t>For 47 CFR 76.41(b)</w:t>
      </w:r>
      <w:r w:rsidR="00DD1BFD">
        <w:rPr>
          <w:b/>
          <w:shd w:val="clear" w:color="auto" w:fill="FFFFFF"/>
        </w:rPr>
        <w:t xml:space="preserve"> </w:t>
      </w:r>
      <w:r w:rsidR="003B65CB">
        <w:rPr>
          <w:b/>
          <w:shd w:val="clear" w:color="auto" w:fill="FFFFFF"/>
        </w:rPr>
        <w:t xml:space="preserve"> </w:t>
      </w:r>
      <w:r w:rsidR="00924A80">
        <w:rPr>
          <w:shd w:val="clear" w:color="auto" w:fill="FFFFFF"/>
        </w:rPr>
        <w:t>2</w:t>
      </w:r>
      <w:r w:rsidR="00C01A1E">
        <w:rPr>
          <w:shd w:val="clear" w:color="auto" w:fill="FFFFFF"/>
        </w:rPr>
        <w:t>0</w:t>
      </w:r>
      <w:r w:rsidRPr="00DD2166">
        <w:rPr>
          <w:shd w:val="clear" w:color="auto" w:fill="FFFFFF"/>
        </w:rPr>
        <w:t xml:space="preserve"> </w:t>
      </w:r>
      <w:r w:rsidRPr="00DD2166" w:rsidR="00DD2166">
        <w:rPr>
          <w:shd w:val="clear" w:color="auto" w:fill="FFFFFF"/>
        </w:rPr>
        <w:t xml:space="preserve">franchise </w:t>
      </w:r>
      <w:r w:rsidRPr="00DD2166">
        <w:rPr>
          <w:shd w:val="clear" w:color="auto" w:fill="FFFFFF"/>
        </w:rPr>
        <w:t>applications</w:t>
      </w:r>
      <w:r w:rsidR="00DD2166">
        <w:rPr>
          <w:shd w:val="clear" w:color="auto" w:fill="FFFFFF"/>
        </w:rPr>
        <w:t xml:space="preserve"> </w:t>
      </w:r>
    </w:p>
    <w:p w:rsidR="00977EC6" w:rsidP="00E61363" w:rsidRDefault="00DD2166" w14:paraId="23FEC366" w14:textId="77777777">
      <w:pPr>
        <w:suppressAutoHyphens/>
        <w:rPr>
          <w:u w:val="single"/>
        </w:rPr>
      </w:pPr>
      <w:r>
        <w:t xml:space="preserve">                                                               </w:t>
      </w:r>
      <w:r w:rsidR="00DD1BFD">
        <w:t xml:space="preserve">For 47 CFR 76.41(d)  </w:t>
      </w:r>
      <w:r w:rsidR="00305A4A">
        <w:rPr>
          <w:u w:val="single"/>
        </w:rPr>
        <w:t>2</w:t>
      </w:r>
      <w:r w:rsidRPr="00DD2166" w:rsidR="00305A4A">
        <w:rPr>
          <w:u w:val="single"/>
        </w:rPr>
        <w:t xml:space="preserve">0 </w:t>
      </w:r>
      <w:r w:rsidRPr="00DD2166">
        <w:rPr>
          <w:u w:val="single"/>
        </w:rPr>
        <w:t xml:space="preserve">franchise applications  </w:t>
      </w:r>
    </w:p>
    <w:p w:rsidRPr="00DD2166" w:rsidR="00DD2166" w:rsidP="00E61363" w:rsidRDefault="00DD2166" w14:paraId="7F9AF8EB" w14:textId="77777777">
      <w:pPr>
        <w:suppressAutoHyphens/>
        <w:rPr>
          <w:b/>
        </w:rPr>
      </w:pPr>
      <w:r w:rsidRPr="00DD2166">
        <w:t xml:space="preserve">                                                               </w:t>
      </w:r>
      <w:r w:rsidR="00DD1BFD">
        <w:t xml:space="preserve">    </w:t>
      </w:r>
      <w:r w:rsidR="00C01A1E">
        <w:t xml:space="preserve">                               </w:t>
      </w:r>
      <w:r w:rsidR="00924A80">
        <w:rPr>
          <w:b/>
        </w:rPr>
        <w:t xml:space="preserve"> 4</w:t>
      </w:r>
      <w:r w:rsidR="00C01A1E">
        <w:rPr>
          <w:b/>
        </w:rPr>
        <w:t>0</w:t>
      </w:r>
      <w:r w:rsidRPr="00DD2166" w:rsidR="00305A4A">
        <w:rPr>
          <w:b/>
        </w:rPr>
        <w:t xml:space="preserve"> </w:t>
      </w:r>
      <w:r w:rsidRPr="00DD2166">
        <w:rPr>
          <w:b/>
        </w:rPr>
        <w:t>franchise</w:t>
      </w:r>
      <w:r w:rsidR="003B65CB">
        <w:rPr>
          <w:b/>
        </w:rPr>
        <w:t xml:space="preserve"> </w:t>
      </w:r>
      <w:r w:rsidRPr="00DD2166">
        <w:rPr>
          <w:b/>
        </w:rPr>
        <w:t>applications</w:t>
      </w:r>
    </w:p>
    <w:p w:rsidRPr="002D006A" w:rsidR="00341741" w:rsidP="00E61363" w:rsidRDefault="00341741" w14:paraId="774C398B" w14:textId="77777777">
      <w:pPr>
        <w:suppressAutoHyphens/>
        <w:rPr>
          <w:b/>
        </w:rPr>
      </w:pPr>
    </w:p>
    <w:p w:rsidR="00DD2166" w:rsidP="00E61363" w:rsidRDefault="00DD2166" w14:paraId="4248722C" w14:textId="77777777">
      <w:pPr>
        <w:suppressAutoHyphens/>
        <w:rPr>
          <w:b/>
        </w:rPr>
      </w:pPr>
    </w:p>
    <w:p w:rsidRPr="002D006A" w:rsidR="007D3F17" w:rsidP="00E61363" w:rsidRDefault="00D023F4" w14:paraId="7050D261" w14:textId="77777777">
      <w:pPr>
        <w:suppressAutoHyphens/>
        <w:rPr>
          <w:b/>
        </w:rPr>
      </w:pPr>
      <w:r w:rsidRPr="002D006A">
        <w:rPr>
          <w:b/>
        </w:rPr>
        <w:t>Annual</w:t>
      </w:r>
      <w:r w:rsidRPr="002D006A" w:rsidR="000E3F9A">
        <w:rPr>
          <w:b/>
        </w:rPr>
        <w:t xml:space="preserve"> Burden Hours:</w:t>
      </w:r>
      <w:r w:rsidRPr="002D006A" w:rsidR="00796224">
        <w:rPr>
          <w:b/>
        </w:rPr>
        <w:t xml:space="preserve"> </w:t>
      </w:r>
    </w:p>
    <w:p w:rsidRPr="002D006A" w:rsidR="000E3F9A" w:rsidP="00DD331F" w:rsidRDefault="000E3F9A" w14:paraId="67A3CF9E" w14:textId="77777777">
      <w:pPr>
        <w:shd w:val="clear" w:color="auto" w:fill="FFFFFF"/>
        <w:suppressAutoHyphens/>
      </w:pPr>
    </w:p>
    <w:p w:rsidRPr="002D006A" w:rsidR="00674C9D" w:rsidP="00854CFE" w:rsidRDefault="00305A4A" w14:paraId="1260CE52" w14:textId="77777777">
      <w:pPr>
        <w:shd w:val="clear" w:color="auto" w:fill="FFFFFF"/>
        <w:suppressAutoHyphens/>
        <w:ind w:left="720"/>
      </w:pPr>
      <w:r>
        <w:t>2</w:t>
      </w:r>
      <w:r w:rsidRPr="002D006A">
        <w:t xml:space="preserve"> </w:t>
      </w:r>
      <w:r w:rsidRPr="002D006A" w:rsidR="000E3F9A">
        <w:t>franchise applicants</w:t>
      </w:r>
      <w:r w:rsidRPr="002D006A" w:rsidR="00977EC6">
        <w:t xml:space="preserve"> </w:t>
      </w:r>
      <w:r w:rsidRPr="002D006A" w:rsidR="00796224">
        <w:t xml:space="preserve">x </w:t>
      </w:r>
      <w:r>
        <w:t>1</w:t>
      </w:r>
      <w:r w:rsidRPr="002D006A">
        <w:t xml:space="preserve">0 </w:t>
      </w:r>
      <w:r w:rsidRPr="002D006A" w:rsidR="00796224">
        <w:t>applications</w:t>
      </w:r>
      <w:r w:rsidRPr="002D006A" w:rsidR="00341741">
        <w:t>/applicant</w:t>
      </w:r>
      <w:r w:rsidRPr="002D006A" w:rsidR="00796224">
        <w:t xml:space="preserve"> </w:t>
      </w:r>
      <w:r w:rsidRPr="002D006A" w:rsidR="00674C9D">
        <w:t>x</w:t>
      </w:r>
      <w:r w:rsidRPr="002D006A" w:rsidR="000E3F9A">
        <w:t xml:space="preserve"> </w:t>
      </w:r>
      <w:r w:rsidRPr="002D006A" w:rsidR="004B5A38">
        <w:t>0</w:t>
      </w:r>
      <w:r w:rsidRPr="002D006A" w:rsidR="00796224">
        <w:t>.5</w:t>
      </w:r>
      <w:r w:rsidRPr="002D006A" w:rsidR="000E3F9A">
        <w:t xml:space="preserve"> hrs.</w:t>
      </w:r>
      <w:r w:rsidRPr="002D006A" w:rsidR="00341741">
        <w:t>/application</w:t>
      </w:r>
      <w:r w:rsidRPr="002D006A" w:rsidR="00796224">
        <w:t xml:space="preserve"> </w:t>
      </w:r>
      <w:r w:rsidRPr="002D006A" w:rsidR="00BE402D">
        <w:t xml:space="preserve">= </w:t>
      </w:r>
      <w:r w:rsidRPr="002D006A" w:rsidR="00341741">
        <w:t xml:space="preserve"> </w:t>
      </w:r>
      <w:r w:rsidR="0043556C">
        <w:t>1</w:t>
      </w:r>
      <w:r w:rsidRPr="002D006A" w:rsidR="00BE402D">
        <w:t>0</w:t>
      </w:r>
      <w:r w:rsidRPr="002D006A" w:rsidR="00882496">
        <w:t xml:space="preserve"> </w:t>
      </w:r>
      <w:r w:rsidRPr="002D006A" w:rsidR="000E3F9A">
        <w:t>hours</w:t>
      </w:r>
    </w:p>
    <w:p w:rsidRPr="002D006A" w:rsidR="00D023F4" w:rsidP="00854CFE" w:rsidRDefault="00305A4A" w14:paraId="26D7E52D" w14:textId="77777777">
      <w:pPr>
        <w:shd w:val="clear" w:color="auto" w:fill="FFFFFF"/>
        <w:suppressAutoHyphens/>
        <w:ind w:left="720"/>
      </w:pPr>
      <w:r>
        <w:t>20</w:t>
      </w:r>
      <w:r w:rsidRPr="002D006A">
        <w:t xml:space="preserve"> </w:t>
      </w:r>
      <w:r w:rsidRPr="002D006A" w:rsidR="00BE402D">
        <w:t>LFAs</w:t>
      </w:r>
      <w:r w:rsidRPr="002D006A" w:rsidR="004B5A38">
        <w:t xml:space="preserve"> x </w:t>
      </w:r>
      <w:r w:rsidR="0043556C">
        <w:t>1</w:t>
      </w:r>
      <w:r w:rsidRPr="002D006A" w:rsidR="0043556C">
        <w:t xml:space="preserve"> </w:t>
      </w:r>
      <w:r w:rsidRPr="002D006A" w:rsidR="004B5A38">
        <w:t>application</w:t>
      </w:r>
      <w:r w:rsidRPr="002D006A" w:rsidR="00341741">
        <w:t xml:space="preserve"> each</w:t>
      </w:r>
      <w:r w:rsidRPr="002D006A" w:rsidR="00D023F4">
        <w:t xml:space="preserve"> x </w:t>
      </w:r>
      <w:r w:rsidRPr="002D006A" w:rsidR="00BE402D">
        <w:t>4 hrs</w:t>
      </w:r>
      <w:r w:rsidRPr="002D006A" w:rsidR="00D023F4">
        <w:t>.</w:t>
      </w:r>
      <w:r w:rsidRPr="002D006A" w:rsidR="00341741">
        <w:t>/application</w:t>
      </w:r>
      <w:r w:rsidRPr="002D006A" w:rsidR="00D023F4">
        <w:t xml:space="preserve"> </w:t>
      </w:r>
      <w:r w:rsidRPr="002D006A" w:rsidR="00BE402D">
        <w:t xml:space="preserve">= </w:t>
      </w:r>
      <w:r w:rsidRPr="002D006A" w:rsidR="00341741">
        <w:t xml:space="preserve">                                </w:t>
      </w:r>
      <w:r w:rsidR="007D4E3B">
        <w:t xml:space="preserve">  </w:t>
      </w:r>
      <w:r>
        <w:t xml:space="preserve">  </w:t>
      </w:r>
      <w:r>
        <w:rPr>
          <w:u w:val="single"/>
        </w:rPr>
        <w:t>8</w:t>
      </w:r>
      <w:r w:rsidRPr="002D006A">
        <w:rPr>
          <w:u w:val="single"/>
        </w:rPr>
        <w:t xml:space="preserve">0 </w:t>
      </w:r>
      <w:r w:rsidRPr="002D006A" w:rsidR="00D023F4">
        <w:rPr>
          <w:u w:val="single"/>
        </w:rPr>
        <w:t>hours</w:t>
      </w:r>
    </w:p>
    <w:p w:rsidRPr="002D006A" w:rsidR="00D023F4" w:rsidP="00D023F4" w:rsidRDefault="00341741" w14:paraId="437FAA77" w14:textId="77777777">
      <w:pPr>
        <w:suppressAutoHyphens/>
        <w:rPr>
          <w:b/>
        </w:rPr>
      </w:pPr>
      <w:r w:rsidRPr="002D006A">
        <w:tab/>
      </w:r>
      <w:r w:rsidRPr="002D006A">
        <w:tab/>
      </w:r>
      <w:r w:rsidRPr="002D006A">
        <w:tab/>
      </w:r>
      <w:r w:rsidRPr="002D006A">
        <w:tab/>
      </w:r>
      <w:r w:rsidRPr="002D006A">
        <w:tab/>
      </w:r>
      <w:r w:rsidRPr="002D006A" w:rsidR="00E90C33">
        <w:t xml:space="preserve">                    </w:t>
      </w:r>
      <w:r w:rsidRPr="002D006A" w:rsidR="00E90C33">
        <w:rPr>
          <w:b/>
        </w:rPr>
        <w:t>Total Annual Burden Hours:</w:t>
      </w:r>
      <w:r w:rsidRPr="002D006A">
        <w:rPr>
          <w:b/>
        </w:rPr>
        <w:t xml:space="preserve"> </w:t>
      </w:r>
      <w:r w:rsidR="00305A4A">
        <w:rPr>
          <w:b/>
        </w:rPr>
        <w:t>9</w:t>
      </w:r>
      <w:r w:rsidRPr="002D006A" w:rsidR="00305A4A">
        <w:rPr>
          <w:b/>
        </w:rPr>
        <w:t xml:space="preserve">0 </w:t>
      </w:r>
      <w:r w:rsidRPr="002D006A">
        <w:rPr>
          <w:b/>
        </w:rPr>
        <w:t>hours</w:t>
      </w:r>
    </w:p>
    <w:p w:rsidRPr="002D006A" w:rsidR="00E90C33" w:rsidP="00E90C33" w:rsidRDefault="00E90C33" w14:paraId="13BB7D23" w14:textId="77777777">
      <w:pPr>
        <w:suppressAutoHyphens/>
      </w:pPr>
      <w:r w:rsidRPr="002D006A">
        <w:rPr>
          <w:b/>
        </w:rPr>
        <w:t>Annual “In-House Cost”</w:t>
      </w:r>
      <w:r w:rsidRPr="002D006A" w:rsidR="00977EC6">
        <w:rPr>
          <w:b/>
        </w:rPr>
        <w:t>:</w:t>
      </w:r>
      <w:r w:rsidRPr="002D006A" w:rsidR="00977EC6">
        <w:t xml:space="preserve">  </w:t>
      </w:r>
      <w:r w:rsidRPr="002D006A" w:rsidR="00882496">
        <w:t xml:space="preserve">We estimate that each </w:t>
      </w:r>
      <w:r w:rsidRPr="002D006A">
        <w:t>competitive franchise applicant</w:t>
      </w:r>
      <w:r w:rsidRPr="002D006A" w:rsidR="00882496">
        <w:t xml:space="preserve"> will maintain in-house personnel </w:t>
      </w:r>
      <w:r w:rsidRPr="002D006A">
        <w:t>to complete the franchise applications</w:t>
      </w:r>
      <w:r w:rsidRPr="002D006A" w:rsidR="00882496">
        <w:t>, at a cost of $</w:t>
      </w:r>
      <w:r w:rsidRPr="002D006A" w:rsidR="00305A4A">
        <w:t>1</w:t>
      </w:r>
      <w:r w:rsidR="00C01A1E">
        <w:t>00</w:t>
      </w:r>
      <w:r w:rsidRPr="002D006A" w:rsidR="00882496">
        <w:t>,000 per year,</w:t>
      </w:r>
      <w:r w:rsidRPr="002D006A" w:rsidR="00250613">
        <w:t xml:space="preserve"> ($</w:t>
      </w:r>
      <w:r w:rsidR="00C01A1E">
        <w:t xml:space="preserve">48.08 </w:t>
      </w:r>
      <w:r w:rsidRPr="002D006A" w:rsidR="00250613">
        <w:t xml:space="preserve">per hour).  Each </w:t>
      </w:r>
      <w:r w:rsidRPr="002D006A">
        <w:t>application will</w:t>
      </w:r>
      <w:r w:rsidRPr="002D006A" w:rsidR="00250613">
        <w:t xml:space="preserve"> require </w:t>
      </w:r>
      <w:r w:rsidRPr="002D006A" w:rsidR="00854CFE">
        <w:t>0</w:t>
      </w:r>
      <w:r w:rsidRPr="002D006A" w:rsidR="00C03734">
        <w:t xml:space="preserve">.5 </w:t>
      </w:r>
      <w:r w:rsidRPr="002D006A" w:rsidR="00250613">
        <w:t>hours</w:t>
      </w:r>
      <w:r w:rsidRPr="002D006A">
        <w:t xml:space="preserve"> to complete</w:t>
      </w:r>
      <w:r w:rsidRPr="002D006A" w:rsidR="00250613">
        <w:t>.</w:t>
      </w:r>
      <w:r w:rsidRPr="002D006A">
        <w:t xml:space="preserve">  Also, each LFA will require in-house personnel to </w:t>
      </w:r>
      <w:r w:rsidR="00491783">
        <w:t>perform its initial review of the</w:t>
      </w:r>
      <w:r w:rsidRPr="002D006A">
        <w:t xml:space="preserve"> applications, at a cost of $</w:t>
      </w:r>
      <w:r w:rsidRPr="002D006A" w:rsidR="00305A4A">
        <w:t>1</w:t>
      </w:r>
      <w:r w:rsidR="00C01A1E">
        <w:t>0</w:t>
      </w:r>
      <w:r w:rsidRPr="002D006A" w:rsidR="00305A4A">
        <w:t>0</w:t>
      </w:r>
      <w:r w:rsidRPr="002D006A">
        <w:t>,000 per year ($</w:t>
      </w:r>
      <w:r w:rsidR="00C01A1E">
        <w:t>48.08</w:t>
      </w:r>
      <w:r w:rsidRPr="002D006A" w:rsidR="00305A4A">
        <w:t xml:space="preserve"> </w:t>
      </w:r>
      <w:r w:rsidRPr="002D006A">
        <w:t>per hour).  This process will require 4 hours/application to complete.</w:t>
      </w:r>
    </w:p>
    <w:p w:rsidRPr="002D006A" w:rsidR="00E90C33" w:rsidP="00E90C33" w:rsidRDefault="00E90C33" w14:paraId="1ABC5C64" w14:textId="77777777">
      <w:pPr>
        <w:suppressAutoHyphens/>
      </w:pPr>
    </w:p>
    <w:p w:rsidRPr="002D006A" w:rsidR="00E90C33" w:rsidP="00E90C33" w:rsidRDefault="00305A4A" w14:paraId="47313667" w14:textId="77777777">
      <w:pPr>
        <w:suppressAutoHyphens/>
      </w:pPr>
      <w:r>
        <w:t>2</w:t>
      </w:r>
      <w:r w:rsidRPr="002D006A">
        <w:t xml:space="preserve"> </w:t>
      </w:r>
      <w:r w:rsidRPr="002D006A" w:rsidR="00E90C33">
        <w:t xml:space="preserve">franchise applicants x </w:t>
      </w:r>
      <w:r>
        <w:t>1</w:t>
      </w:r>
      <w:r w:rsidRPr="002D006A">
        <w:t xml:space="preserve">0 </w:t>
      </w:r>
      <w:r w:rsidRPr="002D006A" w:rsidR="00E90C33">
        <w:t>applications/applicant x 0.5 hrs./application x $</w:t>
      </w:r>
      <w:r w:rsidR="00C01A1E">
        <w:t>48.08</w:t>
      </w:r>
      <w:r w:rsidRPr="002D006A">
        <w:t xml:space="preserve"> </w:t>
      </w:r>
      <w:r w:rsidRPr="002D006A" w:rsidR="00E90C33">
        <w:t xml:space="preserve">=  </w:t>
      </w:r>
      <w:r w:rsidR="007D4E3B">
        <w:t xml:space="preserve"> </w:t>
      </w:r>
      <w:r w:rsidRPr="002D006A" w:rsidR="00E90C33">
        <w:t xml:space="preserve"> </w:t>
      </w:r>
      <w:r w:rsidR="007D4E3B">
        <w:t xml:space="preserve">  </w:t>
      </w:r>
      <w:r w:rsidRPr="002D006A" w:rsidR="00E90C33">
        <w:t xml:space="preserve"> </w:t>
      </w:r>
      <w:r w:rsidR="00C01A1E">
        <w:t>$   480.80</w:t>
      </w:r>
    </w:p>
    <w:p w:rsidRPr="002D006A" w:rsidR="00E90C33" w:rsidP="00E90C33" w:rsidRDefault="00305A4A" w14:paraId="4600F199" w14:textId="77777777">
      <w:pPr>
        <w:suppressAutoHyphens/>
      </w:pPr>
      <w:r>
        <w:t>20</w:t>
      </w:r>
      <w:r w:rsidRPr="002D006A">
        <w:t xml:space="preserve"> </w:t>
      </w:r>
      <w:r w:rsidRPr="002D006A" w:rsidR="00E90C33">
        <w:t xml:space="preserve">LFAs x </w:t>
      </w:r>
      <w:r w:rsidR="0043556C">
        <w:t>1</w:t>
      </w:r>
      <w:r w:rsidRPr="002D006A" w:rsidR="0043556C">
        <w:t xml:space="preserve"> </w:t>
      </w:r>
      <w:r w:rsidRPr="002D006A" w:rsidR="00E90C33">
        <w:t>application each x 4 hrs./application x $</w:t>
      </w:r>
      <w:r w:rsidR="00C01A1E">
        <w:t>48.08</w:t>
      </w:r>
      <w:r w:rsidRPr="002D006A">
        <w:t xml:space="preserve">=                         </w:t>
      </w:r>
      <w:r>
        <w:t xml:space="preserve"> </w:t>
      </w:r>
      <w:r w:rsidRPr="002D006A">
        <w:t xml:space="preserve">       </w:t>
      </w:r>
      <w:r>
        <w:t xml:space="preserve">    </w:t>
      </w:r>
      <w:r w:rsidRPr="002D006A">
        <w:t xml:space="preserve"> </w:t>
      </w:r>
      <w:r>
        <w:t xml:space="preserve">     </w:t>
      </w:r>
      <w:r w:rsidR="00C01A1E">
        <w:rPr>
          <w:u w:val="single"/>
        </w:rPr>
        <w:t>$3,846.40</w:t>
      </w:r>
    </w:p>
    <w:p w:rsidRPr="002D006A" w:rsidR="00250613" w:rsidP="00E90C33" w:rsidRDefault="00E90C33" w14:paraId="2D414ECE" w14:textId="77777777">
      <w:pPr>
        <w:suppressAutoHyphens/>
        <w:rPr>
          <w:b/>
        </w:rPr>
      </w:pPr>
      <w:r w:rsidRPr="002D006A">
        <w:tab/>
      </w:r>
      <w:r w:rsidRPr="002D006A">
        <w:tab/>
      </w:r>
      <w:r w:rsidRPr="002D006A">
        <w:tab/>
      </w:r>
      <w:r w:rsidRPr="002D006A">
        <w:tab/>
        <w:t xml:space="preserve">                                  </w:t>
      </w:r>
      <w:r w:rsidRPr="002D006A">
        <w:rPr>
          <w:b/>
        </w:rPr>
        <w:t>Total Annual In-House Cost:</w:t>
      </w:r>
      <w:r w:rsidRPr="002D006A">
        <w:rPr>
          <w:b/>
        </w:rPr>
        <w:tab/>
        <w:t xml:space="preserve">   </w:t>
      </w:r>
      <w:r w:rsidR="00305A4A">
        <w:rPr>
          <w:b/>
        </w:rPr>
        <w:t xml:space="preserve"> </w:t>
      </w:r>
      <w:r w:rsidRPr="002D006A">
        <w:rPr>
          <w:b/>
        </w:rPr>
        <w:t xml:space="preserve"> </w:t>
      </w:r>
      <w:r w:rsidR="00C01A1E">
        <w:rPr>
          <w:b/>
        </w:rPr>
        <w:t xml:space="preserve">  </w:t>
      </w:r>
      <w:r w:rsidR="0043556C">
        <w:rPr>
          <w:b/>
        </w:rPr>
        <w:t>$</w:t>
      </w:r>
      <w:r w:rsidR="00924A80">
        <w:rPr>
          <w:b/>
        </w:rPr>
        <w:t>4,327.20</w:t>
      </w:r>
      <w:r w:rsidRPr="002D006A">
        <w:rPr>
          <w:b/>
        </w:rPr>
        <w:tab/>
      </w:r>
    </w:p>
    <w:p w:rsidRPr="002D006A" w:rsidR="00E90C33" w:rsidP="00E61363" w:rsidRDefault="00E90C33" w14:paraId="3D78EE9B" w14:textId="77777777">
      <w:pPr>
        <w:suppressAutoHyphens/>
      </w:pPr>
    </w:p>
    <w:p w:rsidRPr="002D006A" w:rsidR="00977EC6" w:rsidP="00E61363" w:rsidRDefault="00977EC6" w14:paraId="63668BDE" w14:textId="77777777">
      <w:pPr>
        <w:suppressAutoHyphens/>
      </w:pPr>
      <w:r w:rsidRPr="002D006A">
        <w:t xml:space="preserve">All estimates are based on Commission staff's knowledge and familiarity with the availability of the data required. </w:t>
      </w:r>
    </w:p>
    <w:p w:rsidRPr="002D006A" w:rsidR="00977EC6" w:rsidP="00E61363" w:rsidRDefault="00977EC6" w14:paraId="7010C280" w14:textId="77777777">
      <w:pPr>
        <w:suppressAutoHyphens/>
      </w:pPr>
    </w:p>
    <w:p w:rsidRPr="002D006A" w:rsidR="00824A75" w:rsidP="00824A75" w:rsidRDefault="00977EC6" w14:paraId="4E029632" w14:textId="77777777">
      <w:pPr>
        <w:suppressAutoHyphens/>
        <w:rPr>
          <w:spacing w:val="-3"/>
          <w:sz w:val="22"/>
          <w:szCs w:val="22"/>
        </w:rPr>
      </w:pPr>
      <w:r w:rsidRPr="002D006A">
        <w:rPr>
          <w:b/>
        </w:rPr>
        <w:t xml:space="preserve">13. </w:t>
      </w:r>
      <w:r w:rsidRPr="002D006A" w:rsidR="00824A75">
        <w:rPr>
          <w:b/>
          <w:spacing w:val="-3"/>
          <w:sz w:val="22"/>
          <w:szCs w:val="22"/>
        </w:rPr>
        <w:t>Annual Cost Burden</w:t>
      </w:r>
      <w:r w:rsidRPr="002D006A" w:rsidR="00824A75">
        <w:rPr>
          <w:spacing w:val="-3"/>
          <w:sz w:val="22"/>
          <w:szCs w:val="22"/>
        </w:rPr>
        <w:t xml:space="preserve">: </w:t>
      </w:r>
    </w:p>
    <w:p w:rsidRPr="002D006A" w:rsidR="00824A75" w:rsidP="00824A75" w:rsidRDefault="00824A75" w14:paraId="5448D301" w14:textId="77777777">
      <w:pPr>
        <w:suppressAutoHyphens/>
        <w:rPr>
          <w:spacing w:val="-3"/>
          <w:sz w:val="22"/>
          <w:szCs w:val="22"/>
        </w:rPr>
      </w:pPr>
    </w:p>
    <w:p w:rsidRPr="00957091" w:rsidR="00824A75" w:rsidP="00824A75" w:rsidRDefault="00824A75" w14:paraId="08D3BB36"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957091">
        <w:rPr>
          <w:spacing w:val="-3"/>
          <w:szCs w:val="24"/>
        </w:rPr>
        <w:t>Total annualized capital/startup costs: None</w:t>
      </w:r>
    </w:p>
    <w:p w:rsidRPr="00957091" w:rsidR="00824A75" w:rsidP="00824A75" w:rsidRDefault="00824A75" w14:paraId="3DC1C50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Pr="00957091" w:rsidR="00824A75" w:rsidP="00824A75" w:rsidRDefault="00824A75" w14:paraId="4DB0A982"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957091">
        <w:rPr>
          <w:spacing w:val="-3"/>
          <w:szCs w:val="24"/>
        </w:rPr>
        <w:t>Total annual costs (O&amp;M): None</w:t>
      </w:r>
    </w:p>
    <w:p w:rsidRPr="00957091" w:rsidR="00824A75" w:rsidP="00824A75" w:rsidRDefault="00824A75" w14:paraId="0D63C5C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p>
    <w:p w:rsidRPr="00957091" w:rsidR="00824A75" w:rsidP="00824A75" w:rsidRDefault="00824A75" w14:paraId="47A65BAC" w14:textId="77777777">
      <w:pPr>
        <w:suppressAutoHyphens/>
        <w:ind w:firstLine="720"/>
        <w:rPr>
          <w:spacing w:val="-3"/>
          <w:szCs w:val="24"/>
        </w:rPr>
      </w:pPr>
      <w:r w:rsidRPr="00957091">
        <w:rPr>
          <w:spacing w:val="-3"/>
          <w:szCs w:val="24"/>
        </w:rPr>
        <w:t xml:space="preserve">(c)       Total annualized cost requested: </w:t>
      </w:r>
      <w:r w:rsidRPr="00957091">
        <w:rPr>
          <w:b/>
          <w:spacing w:val="-3"/>
          <w:szCs w:val="24"/>
        </w:rPr>
        <w:t>None</w:t>
      </w:r>
    </w:p>
    <w:p w:rsidRPr="002D006A" w:rsidR="00824A75" w:rsidP="00824A75" w:rsidRDefault="00824A75" w14:paraId="5417B82A" w14:textId="77777777">
      <w:pPr>
        <w:suppressAutoHyphens/>
        <w:rPr>
          <w:spacing w:val="-3"/>
          <w:sz w:val="22"/>
          <w:szCs w:val="22"/>
        </w:rPr>
      </w:pPr>
    </w:p>
    <w:p w:rsidRPr="002D006A" w:rsidR="009B0F3C" w:rsidP="00E61363" w:rsidRDefault="00977EC6" w14:paraId="2D010591" w14:textId="77777777">
      <w:pPr>
        <w:suppressAutoHyphens/>
      </w:pPr>
      <w:r w:rsidRPr="002D006A">
        <w:rPr>
          <w:b/>
        </w:rPr>
        <w:t>14.</w:t>
      </w:r>
      <w:r w:rsidR="00855E73">
        <w:rPr>
          <w:b/>
        </w:rPr>
        <w:t xml:space="preserve">  </w:t>
      </w:r>
      <w:r w:rsidRPr="002D006A" w:rsidR="00824A75">
        <w:t>There is no cost to the Federal Government.</w:t>
      </w:r>
    </w:p>
    <w:p w:rsidRPr="002D006A" w:rsidR="009B0F3C" w:rsidP="00E61363" w:rsidRDefault="009B0F3C" w14:paraId="1B3F4B25" w14:textId="77777777">
      <w:pPr>
        <w:suppressAutoHyphens/>
      </w:pPr>
    </w:p>
    <w:p w:rsidRPr="00231B21" w:rsidR="00977EC6" w:rsidP="00E61363" w:rsidRDefault="00977EC6" w14:paraId="66327825" w14:textId="77777777">
      <w:pPr>
        <w:suppressAutoHyphens/>
        <w:rPr>
          <w:sz w:val="22"/>
          <w:szCs w:val="22"/>
        </w:rPr>
      </w:pPr>
      <w:r w:rsidRPr="002D006A">
        <w:rPr>
          <w:b/>
        </w:rPr>
        <w:t>15</w:t>
      </w:r>
      <w:r w:rsidRPr="00231B21">
        <w:t>.</w:t>
      </w:r>
      <w:r w:rsidRPr="00231B21" w:rsidR="00855E73">
        <w:t xml:space="preserve"> </w:t>
      </w:r>
      <w:r w:rsidR="003B65CB">
        <w:t xml:space="preserve">There are </w:t>
      </w:r>
      <w:r w:rsidR="00227AF5">
        <w:t xml:space="preserve">no program changes or </w:t>
      </w:r>
      <w:r w:rsidR="003B65CB">
        <w:t>adjustments</w:t>
      </w:r>
      <w:r w:rsidR="00227AF5">
        <w:t xml:space="preserve"> to this collection.</w:t>
      </w:r>
      <w:r w:rsidRPr="00231B21" w:rsidR="00855E73">
        <w:t xml:space="preserve"> </w:t>
      </w:r>
    </w:p>
    <w:p w:rsidRPr="000C7217" w:rsidR="000C7217" w:rsidP="00E61363" w:rsidRDefault="000C7217" w14:paraId="39381C00" w14:textId="77777777">
      <w:pPr>
        <w:suppressAutoHyphens/>
        <w:rPr>
          <w:sz w:val="22"/>
          <w:szCs w:val="22"/>
        </w:rPr>
      </w:pPr>
    </w:p>
    <w:p w:rsidRPr="002D006A" w:rsidR="00977EC6" w:rsidP="00E61363" w:rsidRDefault="00977EC6" w14:paraId="38970FCE" w14:textId="77777777">
      <w:pPr>
        <w:suppressAutoHyphens/>
      </w:pPr>
      <w:r w:rsidRPr="002D006A">
        <w:rPr>
          <w:b/>
        </w:rPr>
        <w:t>16</w:t>
      </w:r>
      <w:r w:rsidRPr="002D006A" w:rsidR="009B0F3C">
        <w:rPr>
          <w:b/>
        </w:rPr>
        <w:t>.</w:t>
      </w:r>
      <w:r w:rsidR="00855E73">
        <w:rPr>
          <w:b/>
        </w:rPr>
        <w:t xml:space="preserve">  </w:t>
      </w:r>
      <w:r w:rsidRPr="002D006A" w:rsidR="009C0E06">
        <w:t>Thi</w:t>
      </w:r>
      <w:r w:rsidRPr="002D006A">
        <w:t xml:space="preserve">s data will not be published for statistical use. </w:t>
      </w:r>
    </w:p>
    <w:p w:rsidRPr="002D006A" w:rsidR="00977EC6" w:rsidP="00E61363" w:rsidRDefault="00977EC6" w14:paraId="16462994" w14:textId="77777777">
      <w:pPr>
        <w:suppressAutoHyphens/>
      </w:pPr>
    </w:p>
    <w:p w:rsidR="00977EC6" w:rsidP="00E61363" w:rsidRDefault="00977EC6" w14:paraId="1CB5E125" w14:textId="77777777">
      <w:pPr>
        <w:suppressAutoHyphens/>
      </w:pPr>
      <w:r w:rsidRPr="002D006A">
        <w:rPr>
          <w:b/>
        </w:rPr>
        <w:t xml:space="preserve">17.  </w:t>
      </w:r>
      <w:r w:rsidRPr="002D006A">
        <w:t>We do not seek approval to not display the expiration date for OMB approval of this information collection.</w:t>
      </w:r>
    </w:p>
    <w:p w:rsidR="00024379" w:rsidP="00E61363" w:rsidRDefault="00024379" w14:paraId="088AFBC5" w14:textId="77777777">
      <w:pPr>
        <w:suppressAutoHyphens/>
      </w:pPr>
    </w:p>
    <w:p w:rsidRPr="00E61363" w:rsidR="00977EC6" w:rsidP="009B0F3C" w:rsidRDefault="00977EC6" w14:paraId="56E9784D" w14:textId="77777777">
      <w:pPr>
        <w:shd w:val="clear" w:color="auto" w:fill="FFFFFF"/>
      </w:pPr>
      <w:r w:rsidRPr="002D006A">
        <w:rPr>
          <w:b/>
        </w:rPr>
        <w:t xml:space="preserve">18.  </w:t>
      </w:r>
      <w:r w:rsidR="000D2618">
        <w:rPr>
          <w:b/>
        </w:rPr>
        <w:t xml:space="preserve"> </w:t>
      </w:r>
      <w:r w:rsidRPr="002D006A" w:rsidR="009B0F3C">
        <w:rPr>
          <w:spacing w:val="-3"/>
          <w:szCs w:val="24"/>
          <w:shd w:val="clear" w:color="auto" w:fill="FFFFFF"/>
        </w:rPr>
        <w:t>T</w:t>
      </w:r>
      <w:r w:rsidRPr="002D006A" w:rsidR="00CB57C1">
        <w:rPr>
          <w:spacing w:val="-3"/>
          <w:szCs w:val="24"/>
          <w:shd w:val="clear" w:color="auto" w:fill="FFFFFF"/>
        </w:rPr>
        <w:t xml:space="preserve">here are no </w:t>
      </w:r>
      <w:r w:rsidR="00F46D99">
        <w:rPr>
          <w:spacing w:val="-3"/>
          <w:szCs w:val="24"/>
          <w:shd w:val="clear" w:color="auto" w:fill="FFFFFF"/>
        </w:rPr>
        <w:t xml:space="preserve">other </w:t>
      </w:r>
      <w:r w:rsidRPr="002D006A" w:rsidR="00CB57C1">
        <w:rPr>
          <w:spacing w:val="-3"/>
          <w:szCs w:val="24"/>
          <w:shd w:val="clear" w:color="auto" w:fill="FFFFFF"/>
        </w:rPr>
        <w:t xml:space="preserve">exceptions to the </w:t>
      </w:r>
      <w:r w:rsidRPr="002D006A" w:rsidR="00CB57C1">
        <w:rPr>
          <w:spacing w:val="-3"/>
          <w:szCs w:val="24"/>
        </w:rPr>
        <w:t>Certification Statement</w:t>
      </w:r>
      <w:r w:rsidRPr="002D006A" w:rsidR="00180B8E">
        <w:rPr>
          <w:spacing w:val="-3"/>
          <w:szCs w:val="24"/>
        </w:rPr>
        <w:t>.</w:t>
      </w:r>
      <w:r w:rsidRPr="001F320C" w:rsidR="00CB57C1">
        <w:rPr>
          <w:spacing w:val="-3"/>
          <w:szCs w:val="24"/>
        </w:rPr>
        <w:t xml:space="preserve"> </w:t>
      </w:r>
    </w:p>
    <w:p w:rsidRPr="00E61363" w:rsidR="00977EC6" w:rsidP="00E61363" w:rsidRDefault="00977EC6" w14:paraId="55B9039A" w14:textId="77777777">
      <w:pPr>
        <w:suppressAutoHyphens/>
      </w:pPr>
    </w:p>
    <w:p w:rsidRPr="00E61363" w:rsidR="00977EC6" w:rsidP="00E61363" w:rsidRDefault="00977EC6" w14:paraId="35CC1EC9" w14:textId="77777777">
      <w:pPr>
        <w:suppressAutoHyphens/>
      </w:pPr>
      <w:r w:rsidRPr="00E61363">
        <w:rPr>
          <w:b/>
        </w:rPr>
        <w:t>B.  Collections of Information Employing Statistical Methods</w:t>
      </w:r>
    </w:p>
    <w:p w:rsidRPr="00E61363" w:rsidR="00977EC6" w:rsidP="00E61363" w:rsidRDefault="00977EC6" w14:paraId="72C5D7D0" w14:textId="77777777">
      <w:pPr>
        <w:suppressAutoHyphens/>
      </w:pPr>
    </w:p>
    <w:p w:rsidRPr="00E61363" w:rsidR="00D90866" w:rsidP="00824A75" w:rsidRDefault="00977EC6" w14:paraId="2AF53BC1" w14:textId="77777777">
      <w:pPr>
        <w:suppressAutoHyphens/>
      </w:pPr>
      <w:r w:rsidRPr="00E61363">
        <w:t xml:space="preserve">No statistical methods are employed. </w:t>
      </w:r>
    </w:p>
    <w:sectPr w:rsidRPr="00E61363" w:rsidR="00D90866" w:rsidSect="00250613">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8DD29" w14:textId="77777777" w:rsidR="00D73039" w:rsidRDefault="00D73039">
      <w:r>
        <w:separator/>
      </w:r>
    </w:p>
  </w:endnote>
  <w:endnote w:type="continuationSeparator" w:id="0">
    <w:p w14:paraId="2E77E5E2" w14:textId="77777777" w:rsidR="00D73039" w:rsidRDefault="00D7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ED0C" w14:textId="77777777" w:rsidR="007F0170" w:rsidRDefault="007F0170" w:rsidP="00FC6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8B6E2" w14:textId="77777777" w:rsidR="007F0170" w:rsidRDefault="007F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0690E" w14:textId="77777777" w:rsidR="007F0170" w:rsidRPr="00FC613A" w:rsidRDefault="007F0170" w:rsidP="00FC613A">
    <w:pPr>
      <w:pStyle w:val="Footer"/>
      <w:framePr w:wrap="around" w:vAnchor="text" w:hAnchor="margin" w:xAlign="center" w:y="1"/>
      <w:rPr>
        <w:rStyle w:val="PageNumber"/>
        <w:sz w:val="20"/>
      </w:rPr>
    </w:pPr>
    <w:r w:rsidRPr="00FC613A">
      <w:rPr>
        <w:rStyle w:val="PageNumber"/>
        <w:sz w:val="20"/>
      </w:rPr>
      <w:fldChar w:fldCharType="begin"/>
    </w:r>
    <w:r w:rsidRPr="00FC613A">
      <w:rPr>
        <w:rStyle w:val="PageNumber"/>
        <w:sz w:val="20"/>
      </w:rPr>
      <w:instrText xml:space="preserve">PAGE  </w:instrText>
    </w:r>
    <w:r w:rsidRPr="00FC613A">
      <w:rPr>
        <w:rStyle w:val="PageNumber"/>
        <w:sz w:val="20"/>
      </w:rPr>
      <w:fldChar w:fldCharType="separate"/>
    </w:r>
    <w:r w:rsidR="00465C30">
      <w:rPr>
        <w:rStyle w:val="PageNumber"/>
        <w:noProof/>
        <w:sz w:val="20"/>
      </w:rPr>
      <w:t>1</w:t>
    </w:r>
    <w:r w:rsidRPr="00FC613A">
      <w:rPr>
        <w:rStyle w:val="PageNumber"/>
        <w:sz w:val="20"/>
      </w:rPr>
      <w:fldChar w:fldCharType="end"/>
    </w:r>
  </w:p>
  <w:p w14:paraId="35EB0917" w14:textId="77777777" w:rsidR="007F0170" w:rsidRDefault="007F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211E3" w14:textId="77777777" w:rsidR="00D73039" w:rsidRDefault="00D73039">
      <w:r>
        <w:separator/>
      </w:r>
    </w:p>
  </w:footnote>
  <w:footnote w:type="continuationSeparator" w:id="0">
    <w:p w14:paraId="6AFAAF9F" w14:textId="77777777" w:rsidR="00D73039" w:rsidRDefault="00D73039">
      <w:r>
        <w:continuationSeparator/>
      </w:r>
    </w:p>
  </w:footnote>
  <w:footnote w:id="1">
    <w:p w14:paraId="55C6D315" w14:textId="77777777" w:rsidR="00022640" w:rsidRDefault="00022640" w:rsidP="00957091">
      <w:pPr>
        <w:pStyle w:val="FootnoteText"/>
        <w:spacing w:after="120"/>
      </w:pPr>
      <w:r>
        <w:rPr>
          <w:rStyle w:val="FootnoteReference"/>
        </w:rPr>
        <w:footnoteRef/>
      </w:r>
      <w:r>
        <w:t xml:space="preserve"> The Commission has since adopted several other Orders in this docket; none affect the information collection burdens detailed in this supporting statement.</w:t>
      </w:r>
    </w:p>
  </w:footnote>
  <w:footnote w:id="2">
    <w:p w14:paraId="479C9F46" w14:textId="77777777" w:rsidR="007F0170" w:rsidRDefault="007F0170" w:rsidP="00E801B6">
      <w:pPr>
        <w:pStyle w:val="FootnoteText"/>
        <w:spacing w:after="120"/>
      </w:pPr>
      <w:r>
        <w:rPr>
          <w:rStyle w:val="FootnoteReference"/>
        </w:rPr>
        <w:footnoteRef/>
      </w:r>
      <w:r>
        <w:t xml:space="preserve"> </w:t>
      </w:r>
      <w:r w:rsidRPr="00E801B6">
        <w:t>A competitive franchise is a cable franchise sought in an area currently served by another cable operator or cable operators.  47 C.F.R. § 76.41.</w:t>
      </w:r>
    </w:p>
  </w:footnote>
  <w:footnote w:id="3">
    <w:p w14:paraId="5E9727AE" w14:textId="77777777" w:rsidR="007F0170" w:rsidRDefault="007F0170" w:rsidP="00E801B6">
      <w:pPr>
        <w:pStyle w:val="FootnoteText"/>
        <w:spacing w:after="120"/>
      </w:pPr>
      <w:r>
        <w:rPr>
          <w:rStyle w:val="FootnoteReference"/>
        </w:rPr>
        <w:footnoteRef/>
      </w:r>
      <w:r>
        <w:t xml:space="preserve"> </w:t>
      </w:r>
      <w:r w:rsidRPr="00E801B6">
        <w:t xml:space="preserve">Enhanced cable competition will promote the public interest, </w:t>
      </w:r>
      <w:proofErr w:type="gramStart"/>
      <w:r w:rsidRPr="00E801B6">
        <w:t>convenience</w:t>
      </w:r>
      <w:proofErr w:type="gramEnd"/>
      <w:r w:rsidRPr="00E801B6">
        <w:t xml:space="preserve"> and necessity by increasing competition and diversity in the multichannel video programming market. </w:t>
      </w:r>
      <w:r w:rsidRPr="00E801B6">
        <w:rPr>
          <w:i/>
          <w:iCs/>
        </w:rPr>
        <w:t>See</w:t>
      </w:r>
      <w:r w:rsidRPr="00E801B6">
        <w:t xml:space="preserve"> Implementation of Section 621(a)(1) of the Cable Communications Policy Act of 1984 as Amended by the Cable Television Consumer Protection and Competition Act of 1992, FCC 06-180, at ¶¶ 50-52 (rel. </w:t>
      </w:r>
      <w:smartTag w:uri="urn:schemas-microsoft-com:office:smarttags" w:element="date">
        <w:smartTagPr>
          <w:attr w:name="Year" w:val="2007"/>
          <w:attr w:name="Day" w:val="5"/>
          <w:attr w:name="Month" w:val="3"/>
          <w:attr w:name="ls" w:val="trans"/>
        </w:smartTagPr>
        <w:r w:rsidRPr="00E801B6">
          <w:t>March 5, 2007</w:t>
        </w:r>
      </w:smartTag>
      <w:r w:rsidRPr="00E801B6">
        <w:t>).</w:t>
      </w:r>
    </w:p>
  </w:footnote>
  <w:footnote w:id="4">
    <w:p w14:paraId="67DA2396" w14:textId="77777777" w:rsidR="007F0170" w:rsidRDefault="007F0170" w:rsidP="00E801B6">
      <w:pPr>
        <w:pStyle w:val="FootnoteText"/>
        <w:spacing w:after="120"/>
      </w:pPr>
      <w:r>
        <w:rPr>
          <w:rStyle w:val="FootnoteReference"/>
        </w:rPr>
        <w:footnoteRef/>
      </w:r>
      <w:r>
        <w:t xml:space="preserve"> </w:t>
      </w:r>
      <w:r w:rsidRPr="00E801B6">
        <w:t>Accelerated broadband deployment refers to the reasonable and timely delivery of advanced telecommunications capability to all Americans.  </w:t>
      </w:r>
      <w:r w:rsidRPr="00E801B6">
        <w:rPr>
          <w:i/>
          <w:iCs/>
        </w:rPr>
        <w:t xml:space="preserve">See </w:t>
      </w:r>
      <w:r w:rsidRPr="00E801B6">
        <w:t xml:space="preserve">Section 706 of the </w:t>
      </w:r>
      <w:smartTag w:uri="urn:schemas-microsoft-com:office:smarttags" w:element="PersonName">
        <w:r w:rsidRPr="00E801B6">
          <w:t>Telecommunications</w:t>
        </w:r>
      </w:smartTag>
      <w:r w:rsidRPr="00E801B6">
        <w:t xml:space="preserve"> Act of 1996, Pub. L. No. 104-104, Title VII, § 706, </w:t>
      </w:r>
      <w:smartTag w:uri="urn:schemas-microsoft-com:office:smarttags" w:element="date">
        <w:smartTagPr>
          <w:attr w:name="Year" w:val="1996"/>
          <w:attr w:name="Day" w:val="8"/>
          <w:attr w:name="Month" w:val="2"/>
          <w:attr w:name="ls" w:val="trans"/>
          <w:attr w:name="ns1:Year" w:val="1996"/>
          <w:attr w:name="ns1:Day" w:val="8"/>
          <w:attr w:name="ns1:Month" w:val="2"/>
        </w:smartTagPr>
        <w:r w:rsidRPr="00E801B6">
          <w:t>Feb. 8, 1996</w:t>
        </w:r>
      </w:smartTag>
      <w:r w:rsidRPr="00E801B6">
        <w:t>, 110 Stat. 153, reproduced in the notes under 47 U.S.C. § 157(a).</w:t>
      </w:r>
    </w:p>
  </w:footnote>
  <w:footnote w:id="5">
    <w:p w14:paraId="3694287B" w14:textId="77777777" w:rsidR="007F0170" w:rsidRDefault="007F0170" w:rsidP="00E801B6">
      <w:pPr>
        <w:pStyle w:val="FootnoteText"/>
        <w:spacing w:after="120"/>
      </w:pPr>
      <w:r>
        <w:rPr>
          <w:rStyle w:val="FootnoteReference"/>
        </w:rPr>
        <w:footnoteRef/>
      </w:r>
      <w:r>
        <w:t xml:space="preserve"> </w:t>
      </w:r>
      <w:r w:rsidRPr="00E801B6">
        <w:t xml:space="preserve">PEG stands for public, educational, and governmental access channels.  </w:t>
      </w:r>
      <w:r w:rsidRPr="00E801B6">
        <w:rPr>
          <w:i/>
          <w:iCs/>
        </w:rPr>
        <w:t>See discussion</w:t>
      </w:r>
      <w:r w:rsidRPr="00E801B6">
        <w:t xml:space="preserve"> in Implementation of Section 621(a)(1) of the Cable Communications Policy Act of 1984 as Amended by the Cable Television Consumer Protection and Competition Act of 1992, FCC 06-180, at ¶¶ 110-120 (rel. </w:t>
      </w:r>
      <w:smartTag w:uri="urn:schemas-microsoft-com:office:smarttags" w:element="date">
        <w:smartTagPr>
          <w:attr w:name="Year" w:val="2007"/>
          <w:attr w:name="Day" w:val="5"/>
          <w:attr w:name="Month" w:val="3"/>
          <w:attr w:name="ls" w:val="trans"/>
        </w:smartTagPr>
        <w:r w:rsidRPr="00E801B6">
          <w:t>March 5, 2007</w:t>
        </w:r>
      </w:smartTag>
      <w:r w:rsidRPr="00E801B6">
        <w:t>).</w:t>
      </w:r>
    </w:p>
  </w:footnote>
  <w:footnote w:id="6">
    <w:p w14:paraId="6CE1BB3E" w14:textId="77777777" w:rsidR="007F0170" w:rsidRDefault="007F0170" w:rsidP="00E801B6">
      <w:pPr>
        <w:pStyle w:val="FootnoteText"/>
        <w:spacing w:after="120"/>
      </w:pPr>
      <w:r>
        <w:rPr>
          <w:rStyle w:val="FootnoteReference"/>
        </w:rPr>
        <w:footnoteRef/>
      </w:r>
      <w:r>
        <w:t xml:space="preserve"> </w:t>
      </w:r>
      <w:r w:rsidRPr="00E801B6">
        <w:t>Public rights-of-way refers to publicly owned property such as roads, sidewalks, and park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2F2C5" w14:textId="624CB57C" w:rsidR="00227AF5" w:rsidRDefault="007F0170" w:rsidP="00227AF5">
    <w:pPr>
      <w:suppressAutoHyphens/>
      <w:rPr>
        <w:b/>
      </w:rPr>
    </w:pPr>
    <w:r>
      <w:rPr>
        <w:b/>
      </w:rPr>
      <w:t>OMB Control Number:  3060</w:t>
    </w:r>
    <w:r>
      <w:rPr>
        <w:b/>
      </w:rPr>
      <w:noBreakHyphen/>
      <w:t>1103</w:t>
    </w:r>
    <w:r>
      <w:rPr>
        <w:b/>
      </w:rPr>
      <w:tab/>
    </w:r>
    <w:r>
      <w:rPr>
        <w:b/>
      </w:rPr>
      <w:tab/>
    </w:r>
    <w:r w:rsidR="00227AF5">
      <w:rPr>
        <w:b/>
      </w:rPr>
      <w:tab/>
    </w:r>
    <w:r w:rsidR="00227AF5">
      <w:rPr>
        <w:b/>
      </w:rPr>
      <w:tab/>
    </w:r>
    <w:r w:rsidR="00227AF5">
      <w:rPr>
        <w:b/>
      </w:rPr>
      <w:tab/>
    </w:r>
    <w:r w:rsidR="00957091">
      <w:rPr>
        <w:b/>
      </w:rPr>
      <w:t>Ju</w:t>
    </w:r>
    <w:r w:rsidR="00B8005E">
      <w:rPr>
        <w:b/>
      </w:rPr>
      <w:t>ne</w:t>
    </w:r>
    <w:r w:rsidR="004A71DD">
      <w:rPr>
        <w:b/>
      </w:rPr>
      <w:t xml:space="preserve"> 2021</w:t>
    </w:r>
    <w:r>
      <w:rPr>
        <w:b/>
      </w:rPr>
      <w:tab/>
    </w:r>
    <w:r>
      <w:rPr>
        <w:b/>
      </w:rPr>
      <w:tab/>
    </w:r>
    <w:r>
      <w:rPr>
        <w:b/>
      </w:rPr>
      <w:tab/>
      <w:t xml:space="preserve">      </w:t>
    </w:r>
    <w:r w:rsidR="007F36EE">
      <w:rPr>
        <w:b/>
      </w:rPr>
      <w:t xml:space="preserve"> </w:t>
    </w:r>
  </w:p>
  <w:p w14:paraId="2EC84463" w14:textId="77777777" w:rsidR="007F0170" w:rsidRPr="00986397" w:rsidRDefault="007F0170" w:rsidP="00227AF5">
    <w:pPr>
      <w:suppressAutoHyphens/>
      <w:rPr>
        <w:b/>
      </w:rPr>
    </w:pPr>
    <w:r>
      <w:rPr>
        <w:b/>
      </w:rPr>
      <w:t>Title</w:t>
    </w:r>
    <w:r w:rsidRPr="00977EC6">
      <w:t xml:space="preserve">:  </w:t>
    </w:r>
    <w:r w:rsidRPr="00341741">
      <w:rPr>
        <w:b/>
      </w:rPr>
      <w:t>Section 76.41</w:t>
    </w:r>
    <w:r>
      <w:rPr>
        <w:b/>
      </w:rPr>
      <w:t>,</w:t>
    </w:r>
    <w:r w:rsidRPr="00341741">
      <w:rPr>
        <w:b/>
      </w:rPr>
      <w:t xml:space="preserve"> Franchise Application Process</w:t>
    </w:r>
  </w:p>
  <w:p w14:paraId="53F4551E" w14:textId="77777777" w:rsidR="007F0170" w:rsidRPr="00977EC6" w:rsidRDefault="007F0170" w:rsidP="00A16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E06CBB"/>
    <w:multiLevelType w:val="multilevel"/>
    <w:tmpl w:val="A46897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384607BC"/>
    <w:multiLevelType w:val="hybridMultilevel"/>
    <w:tmpl w:val="ACB2C1E6"/>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1C4805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3A5D19"/>
    <w:multiLevelType w:val="hybridMultilevel"/>
    <w:tmpl w:val="516AE78A"/>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61182925"/>
    <w:multiLevelType w:val="singleLevel"/>
    <w:tmpl w:val="F89C161A"/>
    <w:lvl w:ilvl="0">
      <w:start w:val="1"/>
      <w:numFmt w:val="decimal"/>
      <w:pStyle w:val="ParaNumCharCharChar1Char"/>
      <w:lvlText w:val="%1."/>
      <w:lvlJc w:val="left"/>
      <w:pPr>
        <w:tabs>
          <w:tab w:val="num" w:pos="4590"/>
        </w:tabs>
        <w:ind w:left="3510" w:firstLine="720"/>
      </w:pPr>
      <w:rPr>
        <w:b w:val="0"/>
        <w:i w:val="0"/>
      </w:rPr>
    </w:lvl>
  </w:abstractNum>
  <w:abstractNum w:abstractNumId="7" w15:restartNumberingAfterBreak="0">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6"/>
    <w:rsid w:val="00005CC8"/>
    <w:rsid w:val="000152F1"/>
    <w:rsid w:val="00022640"/>
    <w:rsid w:val="00024379"/>
    <w:rsid w:val="00054871"/>
    <w:rsid w:val="00096B32"/>
    <w:rsid w:val="000A3169"/>
    <w:rsid w:val="000C7217"/>
    <w:rsid w:val="000D0E4F"/>
    <w:rsid w:val="000D2618"/>
    <w:rsid w:val="000E3F9A"/>
    <w:rsid w:val="000F22F9"/>
    <w:rsid w:val="000F7408"/>
    <w:rsid w:val="00104D02"/>
    <w:rsid w:val="0012236F"/>
    <w:rsid w:val="00123987"/>
    <w:rsid w:val="0012602E"/>
    <w:rsid w:val="00151D3C"/>
    <w:rsid w:val="00164D43"/>
    <w:rsid w:val="00180B8E"/>
    <w:rsid w:val="001966A6"/>
    <w:rsid w:val="001A3CF1"/>
    <w:rsid w:val="001C6768"/>
    <w:rsid w:val="001D6171"/>
    <w:rsid w:val="002008F3"/>
    <w:rsid w:val="002009BE"/>
    <w:rsid w:val="002164DE"/>
    <w:rsid w:val="00227AF5"/>
    <w:rsid w:val="00231B21"/>
    <w:rsid w:val="0024259D"/>
    <w:rsid w:val="00250613"/>
    <w:rsid w:val="00262B77"/>
    <w:rsid w:val="00262BC8"/>
    <w:rsid w:val="00267E9F"/>
    <w:rsid w:val="00282667"/>
    <w:rsid w:val="002A58F0"/>
    <w:rsid w:val="002B7A5E"/>
    <w:rsid w:val="002C5562"/>
    <w:rsid w:val="002D006A"/>
    <w:rsid w:val="002E1B25"/>
    <w:rsid w:val="002F7E7E"/>
    <w:rsid w:val="00305A4A"/>
    <w:rsid w:val="0031263D"/>
    <w:rsid w:val="003201FB"/>
    <w:rsid w:val="00341741"/>
    <w:rsid w:val="003518B4"/>
    <w:rsid w:val="0035369A"/>
    <w:rsid w:val="003623A2"/>
    <w:rsid w:val="003626B7"/>
    <w:rsid w:val="00365FE0"/>
    <w:rsid w:val="003814D9"/>
    <w:rsid w:val="00390BA4"/>
    <w:rsid w:val="003919FC"/>
    <w:rsid w:val="00395206"/>
    <w:rsid w:val="003B14A6"/>
    <w:rsid w:val="003B65CB"/>
    <w:rsid w:val="003C33AD"/>
    <w:rsid w:val="003D1AD0"/>
    <w:rsid w:val="003F6A15"/>
    <w:rsid w:val="00405D1C"/>
    <w:rsid w:val="00405DE3"/>
    <w:rsid w:val="0043556C"/>
    <w:rsid w:val="00453666"/>
    <w:rsid w:val="00465C30"/>
    <w:rsid w:val="004674F6"/>
    <w:rsid w:val="00491783"/>
    <w:rsid w:val="00492E1F"/>
    <w:rsid w:val="00497239"/>
    <w:rsid w:val="004A1EAF"/>
    <w:rsid w:val="004A71DD"/>
    <w:rsid w:val="004B520D"/>
    <w:rsid w:val="004B5A38"/>
    <w:rsid w:val="004C53AE"/>
    <w:rsid w:val="004C6BE8"/>
    <w:rsid w:val="004D0E2F"/>
    <w:rsid w:val="004D45A2"/>
    <w:rsid w:val="004D5864"/>
    <w:rsid w:val="004F3BE1"/>
    <w:rsid w:val="004F7470"/>
    <w:rsid w:val="0051579B"/>
    <w:rsid w:val="00516619"/>
    <w:rsid w:val="005166D2"/>
    <w:rsid w:val="005371BA"/>
    <w:rsid w:val="0054428D"/>
    <w:rsid w:val="00553AA4"/>
    <w:rsid w:val="00564222"/>
    <w:rsid w:val="00566EC5"/>
    <w:rsid w:val="00571AB1"/>
    <w:rsid w:val="00574ED5"/>
    <w:rsid w:val="00593AD3"/>
    <w:rsid w:val="00597CB4"/>
    <w:rsid w:val="005B1C88"/>
    <w:rsid w:val="005D3FD4"/>
    <w:rsid w:val="005D6E60"/>
    <w:rsid w:val="005F19D9"/>
    <w:rsid w:val="005F34CA"/>
    <w:rsid w:val="00603994"/>
    <w:rsid w:val="0062442A"/>
    <w:rsid w:val="00640FE7"/>
    <w:rsid w:val="006413D1"/>
    <w:rsid w:val="00644E23"/>
    <w:rsid w:val="00652247"/>
    <w:rsid w:val="006549FD"/>
    <w:rsid w:val="00674C9D"/>
    <w:rsid w:val="00675397"/>
    <w:rsid w:val="00684799"/>
    <w:rsid w:val="00696EBA"/>
    <w:rsid w:val="006A19A2"/>
    <w:rsid w:val="006A73A6"/>
    <w:rsid w:val="006B4017"/>
    <w:rsid w:val="006B438D"/>
    <w:rsid w:val="006C0D4B"/>
    <w:rsid w:val="006D1854"/>
    <w:rsid w:val="006E35D6"/>
    <w:rsid w:val="006F2C4B"/>
    <w:rsid w:val="006F57F4"/>
    <w:rsid w:val="006F7562"/>
    <w:rsid w:val="007271B4"/>
    <w:rsid w:val="00736B62"/>
    <w:rsid w:val="00751337"/>
    <w:rsid w:val="00796224"/>
    <w:rsid w:val="007B0A1B"/>
    <w:rsid w:val="007C7A49"/>
    <w:rsid w:val="007D3F17"/>
    <w:rsid w:val="007D4E3B"/>
    <w:rsid w:val="007F0170"/>
    <w:rsid w:val="007F36EE"/>
    <w:rsid w:val="00803AF0"/>
    <w:rsid w:val="00807351"/>
    <w:rsid w:val="00824A75"/>
    <w:rsid w:val="0083021B"/>
    <w:rsid w:val="00834300"/>
    <w:rsid w:val="008364EB"/>
    <w:rsid w:val="008403AD"/>
    <w:rsid w:val="0084301B"/>
    <w:rsid w:val="008467D1"/>
    <w:rsid w:val="00851E89"/>
    <w:rsid w:val="00854CFE"/>
    <w:rsid w:val="00855E73"/>
    <w:rsid w:val="00860998"/>
    <w:rsid w:val="00870AA9"/>
    <w:rsid w:val="00872E63"/>
    <w:rsid w:val="00882496"/>
    <w:rsid w:val="0089155A"/>
    <w:rsid w:val="008A156F"/>
    <w:rsid w:val="008B270E"/>
    <w:rsid w:val="008C4371"/>
    <w:rsid w:val="008C5B98"/>
    <w:rsid w:val="008E2520"/>
    <w:rsid w:val="008E47EF"/>
    <w:rsid w:val="00900B93"/>
    <w:rsid w:val="00917A0B"/>
    <w:rsid w:val="00924932"/>
    <w:rsid w:val="00924A80"/>
    <w:rsid w:val="0094162C"/>
    <w:rsid w:val="00950C47"/>
    <w:rsid w:val="00957091"/>
    <w:rsid w:val="00974AB9"/>
    <w:rsid w:val="00977EC6"/>
    <w:rsid w:val="00986397"/>
    <w:rsid w:val="00990537"/>
    <w:rsid w:val="009B0F3C"/>
    <w:rsid w:val="009B7326"/>
    <w:rsid w:val="009C0E06"/>
    <w:rsid w:val="009E0A45"/>
    <w:rsid w:val="009F48A9"/>
    <w:rsid w:val="009F7AE9"/>
    <w:rsid w:val="00A02C39"/>
    <w:rsid w:val="00A02F88"/>
    <w:rsid w:val="00A07AB0"/>
    <w:rsid w:val="00A1110D"/>
    <w:rsid w:val="00A16532"/>
    <w:rsid w:val="00A22290"/>
    <w:rsid w:val="00A55876"/>
    <w:rsid w:val="00A5682A"/>
    <w:rsid w:val="00A57689"/>
    <w:rsid w:val="00A60862"/>
    <w:rsid w:val="00A64F18"/>
    <w:rsid w:val="00A70842"/>
    <w:rsid w:val="00A835A9"/>
    <w:rsid w:val="00A94EE2"/>
    <w:rsid w:val="00A9595A"/>
    <w:rsid w:val="00AA10A4"/>
    <w:rsid w:val="00AA4AE0"/>
    <w:rsid w:val="00AA4E3D"/>
    <w:rsid w:val="00AB584A"/>
    <w:rsid w:val="00AB5FF3"/>
    <w:rsid w:val="00AD0201"/>
    <w:rsid w:val="00AE5972"/>
    <w:rsid w:val="00B33925"/>
    <w:rsid w:val="00B370BB"/>
    <w:rsid w:val="00B50E7D"/>
    <w:rsid w:val="00B52D9A"/>
    <w:rsid w:val="00B531D9"/>
    <w:rsid w:val="00B73B6C"/>
    <w:rsid w:val="00B76688"/>
    <w:rsid w:val="00B8005E"/>
    <w:rsid w:val="00B852C1"/>
    <w:rsid w:val="00BA1229"/>
    <w:rsid w:val="00BD0BF7"/>
    <w:rsid w:val="00BE402D"/>
    <w:rsid w:val="00BF022C"/>
    <w:rsid w:val="00BF0F5E"/>
    <w:rsid w:val="00BF1BD3"/>
    <w:rsid w:val="00C01A1E"/>
    <w:rsid w:val="00C03734"/>
    <w:rsid w:val="00C31E65"/>
    <w:rsid w:val="00C370D3"/>
    <w:rsid w:val="00C836A0"/>
    <w:rsid w:val="00C903D3"/>
    <w:rsid w:val="00C9659C"/>
    <w:rsid w:val="00CA1652"/>
    <w:rsid w:val="00CA4E7B"/>
    <w:rsid w:val="00CB57C1"/>
    <w:rsid w:val="00CC3943"/>
    <w:rsid w:val="00CD64A0"/>
    <w:rsid w:val="00CE5409"/>
    <w:rsid w:val="00CE5A40"/>
    <w:rsid w:val="00CE5CD5"/>
    <w:rsid w:val="00D023F4"/>
    <w:rsid w:val="00D11B8F"/>
    <w:rsid w:val="00D17CDA"/>
    <w:rsid w:val="00D37BF8"/>
    <w:rsid w:val="00D477D5"/>
    <w:rsid w:val="00D5217F"/>
    <w:rsid w:val="00D71FAB"/>
    <w:rsid w:val="00D73039"/>
    <w:rsid w:val="00D76D23"/>
    <w:rsid w:val="00D90299"/>
    <w:rsid w:val="00D90866"/>
    <w:rsid w:val="00D9385E"/>
    <w:rsid w:val="00D9770F"/>
    <w:rsid w:val="00DA22F8"/>
    <w:rsid w:val="00DA713A"/>
    <w:rsid w:val="00DB447E"/>
    <w:rsid w:val="00DB5869"/>
    <w:rsid w:val="00DB5B06"/>
    <w:rsid w:val="00DD1BFD"/>
    <w:rsid w:val="00DD1E60"/>
    <w:rsid w:val="00DD2166"/>
    <w:rsid w:val="00DD2DAC"/>
    <w:rsid w:val="00DD331F"/>
    <w:rsid w:val="00DE4139"/>
    <w:rsid w:val="00DF5E1D"/>
    <w:rsid w:val="00E100F9"/>
    <w:rsid w:val="00E23DD9"/>
    <w:rsid w:val="00E37D4B"/>
    <w:rsid w:val="00E61363"/>
    <w:rsid w:val="00E67621"/>
    <w:rsid w:val="00E801B6"/>
    <w:rsid w:val="00E82777"/>
    <w:rsid w:val="00E87C63"/>
    <w:rsid w:val="00E90C33"/>
    <w:rsid w:val="00E94FEF"/>
    <w:rsid w:val="00EA40ED"/>
    <w:rsid w:val="00EB4D34"/>
    <w:rsid w:val="00EC3617"/>
    <w:rsid w:val="00EC563B"/>
    <w:rsid w:val="00EC77E5"/>
    <w:rsid w:val="00ED2D44"/>
    <w:rsid w:val="00EE005E"/>
    <w:rsid w:val="00EE4054"/>
    <w:rsid w:val="00EF5C12"/>
    <w:rsid w:val="00F22D8C"/>
    <w:rsid w:val="00F2300C"/>
    <w:rsid w:val="00F40F8C"/>
    <w:rsid w:val="00F44860"/>
    <w:rsid w:val="00F46D99"/>
    <w:rsid w:val="00F77E3E"/>
    <w:rsid w:val="00F825F4"/>
    <w:rsid w:val="00F8492C"/>
    <w:rsid w:val="00F92474"/>
    <w:rsid w:val="00F95441"/>
    <w:rsid w:val="00FC30F8"/>
    <w:rsid w:val="00FC4E43"/>
    <w:rsid w:val="00FC613A"/>
    <w:rsid w:val="00FD6890"/>
    <w:rsid w:val="00FE19FD"/>
    <w:rsid w:val="00FF2747"/>
    <w:rsid w:val="00FF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14:docId w14:val="5F4DC45F"/>
  <w15:chartTrackingRefBased/>
  <w15:docId w15:val="{B25A7A2D-6C39-458D-BC00-47EB1CCF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EC6"/>
    <w:pPr>
      <w:widowControl w:val="0"/>
    </w:pPr>
    <w:rPr>
      <w:snapToGrid w:val="0"/>
      <w:sz w:val="24"/>
    </w:rPr>
  </w:style>
  <w:style w:type="paragraph" w:styleId="Heading1">
    <w:name w:val="heading 1"/>
    <w:basedOn w:val="Normal"/>
    <w:next w:val="Normal"/>
    <w:qFormat/>
    <w:rsid w:val="00D5217F"/>
    <w:pPr>
      <w:keepNext/>
      <w:widowControl/>
      <w:numPr>
        <w:numId w:val="6"/>
      </w:numPr>
      <w:suppressAutoHyphens/>
      <w:spacing w:after="220"/>
      <w:jc w:val="both"/>
      <w:outlineLvl w:val="0"/>
    </w:pPr>
    <w:rPr>
      <w:b/>
      <w:caps/>
      <w:sz w:val="22"/>
    </w:rPr>
  </w:style>
  <w:style w:type="paragraph" w:styleId="Heading2">
    <w:name w:val="heading 2"/>
    <w:basedOn w:val="Normal"/>
    <w:next w:val="Normal"/>
    <w:qFormat/>
    <w:rsid w:val="00D5217F"/>
    <w:pPr>
      <w:keepNext/>
      <w:widowControl/>
      <w:numPr>
        <w:ilvl w:val="1"/>
        <w:numId w:val="6"/>
      </w:numPr>
      <w:spacing w:after="220"/>
      <w:jc w:val="both"/>
      <w:outlineLvl w:val="1"/>
    </w:pPr>
    <w:rPr>
      <w:b/>
      <w:sz w:val="22"/>
    </w:rPr>
  </w:style>
  <w:style w:type="paragraph" w:styleId="Heading3">
    <w:name w:val="heading 3"/>
    <w:basedOn w:val="Normal"/>
    <w:next w:val="Normal"/>
    <w:qFormat/>
    <w:rsid w:val="00D5217F"/>
    <w:pPr>
      <w:keepNext/>
      <w:widowControl/>
      <w:numPr>
        <w:ilvl w:val="2"/>
        <w:numId w:val="6"/>
      </w:numPr>
      <w:spacing w:after="220"/>
      <w:jc w:val="both"/>
      <w:outlineLvl w:val="2"/>
    </w:pPr>
    <w:rPr>
      <w:b/>
      <w:sz w:val="22"/>
    </w:rPr>
  </w:style>
  <w:style w:type="paragraph" w:styleId="Heading4">
    <w:name w:val="heading 4"/>
    <w:basedOn w:val="Normal"/>
    <w:next w:val="Normal"/>
    <w:qFormat/>
    <w:rsid w:val="00D5217F"/>
    <w:pPr>
      <w:keepNext/>
      <w:widowControl/>
      <w:numPr>
        <w:ilvl w:val="3"/>
        <w:numId w:val="6"/>
      </w:numPr>
      <w:spacing w:after="220"/>
      <w:jc w:val="both"/>
      <w:outlineLvl w:val="3"/>
    </w:pPr>
    <w:rPr>
      <w:b/>
      <w:sz w:val="22"/>
    </w:rPr>
  </w:style>
  <w:style w:type="paragraph" w:styleId="Heading5">
    <w:name w:val="heading 5"/>
    <w:basedOn w:val="Normal"/>
    <w:next w:val="Normal"/>
    <w:qFormat/>
    <w:rsid w:val="00D5217F"/>
    <w:pPr>
      <w:keepNext/>
      <w:widowControl/>
      <w:numPr>
        <w:ilvl w:val="4"/>
        <w:numId w:val="6"/>
      </w:numPr>
      <w:tabs>
        <w:tab w:val="left" w:pos="2880"/>
      </w:tabs>
      <w:suppressAutoHyphens/>
      <w:spacing w:after="220"/>
      <w:jc w:val="both"/>
      <w:outlineLvl w:val="4"/>
    </w:pPr>
    <w:rPr>
      <w:b/>
    </w:rPr>
  </w:style>
  <w:style w:type="paragraph" w:styleId="Heading6">
    <w:name w:val="heading 6"/>
    <w:aliases w:val="h6"/>
    <w:basedOn w:val="Normal"/>
    <w:next w:val="Normal"/>
    <w:qFormat/>
    <w:rsid w:val="00D5217F"/>
    <w:pPr>
      <w:widowControl/>
      <w:numPr>
        <w:ilvl w:val="5"/>
        <w:numId w:val="6"/>
      </w:numPr>
      <w:tabs>
        <w:tab w:val="left" w:pos="2880"/>
      </w:tabs>
      <w:spacing w:after="220"/>
      <w:jc w:val="both"/>
      <w:outlineLvl w:val="5"/>
    </w:pPr>
    <w:rPr>
      <w:b/>
      <w:sz w:val="22"/>
    </w:rPr>
  </w:style>
  <w:style w:type="paragraph" w:styleId="Heading7">
    <w:name w:val="heading 7"/>
    <w:basedOn w:val="Normal"/>
    <w:next w:val="Normal"/>
    <w:qFormat/>
    <w:rsid w:val="00D5217F"/>
    <w:pPr>
      <w:widowControl/>
      <w:numPr>
        <w:ilvl w:val="6"/>
        <w:numId w:val="6"/>
      </w:numPr>
      <w:spacing w:after="240"/>
      <w:jc w:val="both"/>
      <w:outlineLvl w:val="6"/>
    </w:pPr>
    <w:rPr>
      <w:b/>
      <w:sz w:val="22"/>
    </w:rPr>
  </w:style>
  <w:style w:type="paragraph" w:styleId="Heading8">
    <w:name w:val="heading 8"/>
    <w:basedOn w:val="Normal"/>
    <w:next w:val="Normal"/>
    <w:qFormat/>
    <w:rsid w:val="00D5217F"/>
    <w:pPr>
      <w:widowControl/>
      <w:numPr>
        <w:ilvl w:val="7"/>
        <w:numId w:val="6"/>
      </w:numPr>
      <w:tabs>
        <w:tab w:val="left" w:pos="5040"/>
      </w:tabs>
      <w:spacing w:after="240"/>
      <w:jc w:val="both"/>
      <w:outlineLvl w:val="7"/>
    </w:pPr>
    <w:rPr>
      <w:b/>
      <w:sz w:val="22"/>
    </w:rPr>
  </w:style>
  <w:style w:type="paragraph" w:styleId="Heading9">
    <w:name w:val="heading 9"/>
    <w:basedOn w:val="Normal"/>
    <w:next w:val="Normal"/>
    <w:qFormat/>
    <w:rsid w:val="00D5217F"/>
    <w:pPr>
      <w:widowControl/>
      <w:numPr>
        <w:ilvl w:val="8"/>
        <w:numId w:val="6"/>
      </w:numPr>
      <w:tabs>
        <w:tab w:val="left" w:pos="5040"/>
      </w:tabs>
      <w:spacing w:after="240"/>
      <w:jc w:val="both"/>
      <w:outlineLvl w:val="8"/>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rsid w:val="00D90866"/>
    <w:pPr>
      <w:numPr>
        <w:numId w:val="2"/>
      </w:numPr>
    </w:pPr>
  </w:style>
  <w:style w:type="paragraph" w:styleId="FootnoteText">
    <w:name w:val="footnote text"/>
    <w:aliases w:val="Footnote Text Char4,Footnote Text Char3 Char,Footnote Text Char1 Char Char1,Footnote Text Char Char1 Char Char,Footnote Text Char2 Char1 Char Char Char,Footnote Text Char1 Char Char Char2 Char Char,Footnote Text Char3,Footnote Text Char1,f"/>
    <w:basedOn w:val="Normal"/>
    <w:link w:val="FootnoteTextChar"/>
    <w:semiHidden/>
    <w:rsid w:val="005F34CA"/>
    <w:rPr>
      <w:sz w:val="20"/>
    </w:rPr>
  </w:style>
  <w:style w:type="character" w:styleId="FootnoteReference">
    <w:name w:val="footnote reference"/>
    <w:aliases w:val="Style 12,(NECG) Footnote Reference"/>
    <w:semiHidden/>
    <w:rsid w:val="005F34CA"/>
    <w:rPr>
      <w:vertAlign w:val="superscript"/>
    </w:rPr>
  </w:style>
  <w:style w:type="paragraph" w:styleId="EndnoteText">
    <w:name w:val="endnote text"/>
    <w:basedOn w:val="Normal"/>
    <w:semiHidden/>
    <w:rsid w:val="00977EC6"/>
    <w:pPr>
      <w:tabs>
        <w:tab w:val="left" w:pos="-720"/>
      </w:tabs>
      <w:suppressAutoHyphens/>
    </w:pPr>
  </w:style>
  <w:style w:type="paragraph" w:customStyle="1" w:styleId="Technical4">
    <w:name w:val="ÒÏTechnical 4"/>
    <w:rsid w:val="00977EC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styleId="PageNumber">
    <w:name w:val="page number"/>
    <w:basedOn w:val="DefaultParagraphFont"/>
    <w:rsid w:val="00FC613A"/>
  </w:style>
  <w:style w:type="character" w:customStyle="1" w:styleId="FootnoteTextChar">
    <w:name w:val="Footnote Text Char"/>
    <w:aliases w:val="Footnote Text Char4 Char,Footnote Text Char3 Char Char,Footnote Text Char1 Char Char1 Char,Footnote Text Char Char1 Char Char Char,Footnote Text Char2 Char1 Char Char Char Char,Footnote Text Char1 Char Char Char2 Char Char Char,f Char"/>
    <w:link w:val="FootnoteText"/>
    <w:rsid w:val="00D5217F"/>
    <w:rPr>
      <w:snapToGrid w:val="0"/>
      <w:lang w:val="en-US" w:eastAsia="en-US" w:bidi="ar-SA"/>
    </w:rPr>
  </w:style>
  <w:style w:type="paragraph" w:customStyle="1" w:styleId="ParaNumCharCharChar1Char">
    <w:name w:val="ParaNum Char Char Char1 Char"/>
    <w:basedOn w:val="Normal"/>
    <w:link w:val="ParaNumCharCharChar1CharChar"/>
    <w:rsid w:val="00AA10A4"/>
    <w:pPr>
      <w:numPr>
        <w:numId w:val="7"/>
      </w:numPr>
      <w:spacing w:after="120"/>
    </w:pPr>
    <w:rPr>
      <w:kern w:val="28"/>
      <w:sz w:val="22"/>
    </w:rPr>
  </w:style>
  <w:style w:type="character" w:customStyle="1" w:styleId="ParaNumCharCharChar1CharChar">
    <w:name w:val="ParaNum Char Char Char1 Char Char"/>
    <w:link w:val="ParaNumCharCharChar1Char"/>
    <w:rsid w:val="00AA10A4"/>
    <w:rPr>
      <w:snapToGrid w:val="0"/>
      <w:kern w:val="28"/>
      <w:sz w:val="22"/>
      <w:lang w:val="en-US" w:eastAsia="en-US" w:bidi="ar-SA"/>
    </w:rPr>
  </w:style>
  <w:style w:type="character" w:customStyle="1" w:styleId="documentbody">
    <w:name w:val="documentbody"/>
    <w:basedOn w:val="DefaultParagraphFont"/>
    <w:rsid w:val="00AA10A4"/>
  </w:style>
  <w:style w:type="paragraph" w:styleId="BalloonText">
    <w:name w:val="Balloon Text"/>
    <w:basedOn w:val="Normal"/>
    <w:semiHidden/>
    <w:rsid w:val="003C33AD"/>
    <w:rPr>
      <w:rFonts w:ascii="Tahoma" w:hAnsi="Tahoma" w:cs="Tahoma"/>
      <w:sz w:val="16"/>
      <w:szCs w:val="16"/>
    </w:rPr>
  </w:style>
  <w:style w:type="character" w:styleId="Emphasis">
    <w:name w:val="Emphasis"/>
    <w:qFormat/>
    <w:rsid w:val="000C7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0003">
      <w:bodyDiv w:val="1"/>
      <w:marLeft w:val="0"/>
      <w:marRight w:val="0"/>
      <w:marTop w:val="0"/>
      <w:marBottom w:val="0"/>
      <w:divBdr>
        <w:top w:val="none" w:sz="0" w:space="0" w:color="auto"/>
        <w:left w:val="none" w:sz="0" w:space="0" w:color="auto"/>
        <w:bottom w:val="none" w:sz="0" w:space="0" w:color="auto"/>
        <w:right w:val="none" w:sz="0" w:space="0" w:color="auto"/>
      </w:divBdr>
      <w:divsChild>
        <w:div w:id="1109087251">
          <w:marLeft w:val="0"/>
          <w:marRight w:val="0"/>
          <w:marTop w:val="0"/>
          <w:marBottom w:val="0"/>
          <w:divBdr>
            <w:top w:val="none" w:sz="0" w:space="0" w:color="auto"/>
            <w:left w:val="none" w:sz="0" w:space="0" w:color="auto"/>
            <w:bottom w:val="none" w:sz="0" w:space="0" w:color="auto"/>
            <w:right w:val="none" w:sz="0" w:space="0" w:color="auto"/>
          </w:divBdr>
        </w:div>
      </w:divsChild>
    </w:div>
    <w:div w:id="357780269">
      <w:bodyDiv w:val="1"/>
      <w:marLeft w:val="0"/>
      <w:marRight w:val="0"/>
      <w:marTop w:val="0"/>
      <w:marBottom w:val="0"/>
      <w:divBdr>
        <w:top w:val="none" w:sz="0" w:space="0" w:color="auto"/>
        <w:left w:val="none" w:sz="0" w:space="0" w:color="auto"/>
        <w:bottom w:val="none" w:sz="0" w:space="0" w:color="auto"/>
        <w:right w:val="none" w:sz="0" w:space="0" w:color="auto"/>
      </w:divBdr>
      <w:divsChild>
        <w:div w:id="155184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CBAB-1287-48EF-A4DE-9F61D339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smort</dc:creator>
  <cp:keywords/>
  <cp:lastModifiedBy>Cathy Williams</cp:lastModifiedBy>
  <cp:revision>2</cp:revision>
  <cp:lastPrinted>2013-04-09T14:13:00Z</cp:lastPrinted>
  <dcterms:created xsi:type="dcterms:W3CDTF">2021-06-23T17:16:00Z</dcterms:created>
  <dcterms:modified xsi:type="dcterms:W3CDTF">2021-06-23T17:16:00Z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oFAAohepTGvwTLjMCYYlVW7oEfaWkHINF6paX14p0MUzpNXXQpObbrcHey1IqM5up+uDCm44x92QunN8_x000d_
hPsijCEzsj394E06cKK84EZGmvWM0lz3leUDCU4j49BCpKxSNpSNFto2gv03Jwkt5JqSszmttpp2_x000d_
gcY8QfoYApMHAHAkv9o6vGjKJ3khaUno29oorWOazvUvY4DYz6s1hGUOIB9tViWXMf0kHcU5KBIZ_x000d_
PyroGO6e7aRMA8754</vt:lpwstr>
  </property>
  <property fmtid="{D5CDD505-2E9C-101B-9397-08002B2CF9AE}" pid="5" name="MAIL_MSG_ID2">
    <vt:lpwstr>nCYezF0AUqPyssBwEyZt8aE/hJnNJAaG/AxzUpgKxlsM3NlQbVkXya4dA+C_x000d_
B2WuCndcSl8K+WN9YMjBBHIu4dDt3WK+3TMrlu+VAArVDeOg</vt:lpwstr>
  </property>
</Properties>
</file>