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738" w:rsidP="00F06866" w:rsidRDefault="00EF3738" w14:paraId="1125205C" w14:textId="2025CE7A">
      <w:pPr>
        <w:pStyle w:val="Heading2"/>
        <w:tabs>
          <w:tab w:val="left" w:pos="900"/>
        </w:tabs>
        <w:ind w:right="-180"/>
      </w:pPr>
      <w:bookmarkStart w:name="_Request_for_Approval" w:id="0"/>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750D06">
        <w:rPr>
          <w:sz w:val="28"/>
        </w:rPr>
        <w:t>2120</w:t>
      </w:r>
      <w:r>
        <w:rPr>
          <w:sz w:val="28"/>
        </w:rPr>
        <w:t>-</w:t>
      </w:r>
      <w:r w:rsidR="00750D06">
        <w:rPr>
          <w:sz w:val="28"/>
        </w:rPr>
        <w:t>0746</w:t>
      </w:r>
      <w:r>
        <w:rPr>
          <w:sz w:val="28"/>
        </w:rPr>
        <w:t>)</w:t>
      </w:r>
    </w:p>
    <w:p w:rsidR="00EF3738" w:rsidP="00434E33" w:rsidRDefault="003F4B58" w14:paraId="585729C9" w14:textId="77777777">
      <w:r>
        <w:rPr>
          <w:noProof/>
        </w:rPr>
        <mc:AlternateContent>
          <mc:Choice Requires="wps">
            <w:drawing>
              <wp:anchor distT="0" distB="0" distL="114300" distR="114300" simplePos="0" relativeHeight="251658240" behindDoc="0" locked="0" layoutInCell="0" allowOverlap="1" wp14:editId="1A1BDAAD" wp14:anchorId="1E82C713">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a14="http://schemas.microsoft.com/office/drawing/2010/main" xmlns:a="http://schemas.openxmlformats.org/drawingml/2006/main">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35D5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EF3738">
        <w:rPr>
          <w:b/>
        </w:rPr>
        <w:t>TITLE OF INFORMATION COLLECTION:</w:t>
      </w:r>
      <w:r w:rsidR="00EF3738">
        <w:t xml:space="preserve">  </w:t>
      </w:r>
    </w:p>
    <w:p w:rsidRPr="009239AA" w:rsidR="008F3016" w:rsidP="00434E33" w:rsidRDefault="00892FEB" w14:paraId="22EADEFC" w14:textId="6EF67951">
      <w:pPr>
        <w:rPr>
          <w:b/>
        </w:rPr>
      </w:pPr>
      <w:r>
        <w:t>2020</w:t>
      </w:r>
      <w:r w:rsidR="008F3016">
        <w:t xml:space="preserve"> </w:t>
      </w:r>
      <w:r w:rsidR="00A02C47">
        <w:t xml:space="preserve">Obstruction Evaluation Group (OEG) </w:t>
      </w:r>
      <w:r w:rsidR="008F3016">
        <w:t xml:space="preserve">External/Internal Stakeholder Survey </w:t>
      </w:r>
    </w:p>
    <w:p w:rsidR="00EF3738" w:rsidRDefault="00EF3738" w14:paraId="277930A8" w14:textId="77777777"/>
    <w:p w:rsidR="00705F31" w:rsidP="003B6F20" w:rsidRDefault="00EF3738" w14:paraId="6F4C5EF7" w14:textId="77777777">
      <w:r>
        <w:rPr>
          <w:b/>
        </w:rPr>
        <w:t>PURPOSE</w:t>
      </w:r>
      <w:r w:rsidRPr="009239AA">
        <w:rPr>
          <w:b/>
        </w:rPr>
        <w:t xml:space="preserve">:  </w:t>
      </w:r>
    </w:p>
    <w:p w:rsidRPr="003B6F20" w:rsidR="00F11817" w:rsidP="003B6F20" w:rsidRDefault="00A02C47" w14:paraId="5FE423F0" w14:textId="0D0C4B54">
      <w:pPr>
        <w:jc w:val="both"/>
        <w:rPr>
          <w:iCs/>
          <w:sz w:val="23"/>
          <w:szCs w:val="23"/>
        </w:rPr>
      </w:pPr>
      <w:r>
        <w:rPr>
          <w:iCs/>
          <w:sz w:val="23"/>
          <w:szCs w:val="23"/>
        </w:rPr>
        <w:t xml:space="preserve">The Federal Aviation Administration, Mission Support Services, </w:t>
      </w:r>
      <w:r w:rsidRPr="003B6F20" w:rsidR="003B6F20">
        <w:rPr>
          <w:iCs/>
          <w:sz w:val="23"/>
          <w:szCs w:val="23"/>
        </w:rPr>
        <w:t>A</w:t>
      </w:r>
      <w:r w:rsidR="005D01F4">
        <w:rPr>
          <w:iCs/>
          <w:sz w:val="23"/>
          <w:szCs w:val="23"/>
        </w:rPr>
        <w:t>eronautical Information Services</w:t>
      </w:r>
      <w:r w:rsidRPr="003B6F20" w:rsidR="003B6F20">
        <w:rPr>
          <w:iCs/>
          <w:sz w:val="23"/>
          <w:szCs w:val="23"/>
        </w:rPr>
        <w:t xml:space="preserve">, Obstruction Evaluation Group (OEG) </w:t>
      </w:r>
      <w:r w:rsidR="00E454FE">
        <w:rPr>
          <w:iCs/>
          <w:sz w:val="23"/>
          <w:szCs w:val="23"/>
        </w:rPr>
        <w:t xml:space="preserve">conducts Obstruction Evaluation Airport, Airspace Analysis </w:t>
      </w:r>
      <w:r w:rsidR="008E0998">
        <w:rPr>
          <w:iCs/>
          <w:sz w:val="23"/>
          <w:szCs w:val="23"/>
        </w:rPr>
        <w:t xml:space="preserve">in order to make efficiencies to accurate, repeatable, and defendable determinations in a timely manner. OEG </w:t>
      </w:r>
      <w:r w:rsidRPr="003B6F20" w:rsidR="003B6F20">
        <w:rPr>
          <w:iCs/>
          <w:sz w:val="23"/>
          <w:szCs w:val="23"/>
        </w:rPr>
        <w:t>commits to providing quality aeronautical information and services that enable stakeholders</w:t>
      </w:r>
      <w:hyperlink w:history="1" w:anchor="Internal">
        <w:r w:rsidRPr="00B602B4" w:rsidR="009A7F94">
          <w:rPr>
            <w:rStyle w:val="Hyperlink"/>
            <w:i/>
            <w:iCs/>
            <w:sz w:val="23"/>
            <w:szCs w:val="23"/>
            <w:vertAlign w:val="superscript"/>
          </w:rPr>
          <w:t>1</w:t>
        </w:r>
      </w:hyperlink>
      <w:hyperlink w:history="1" w:anchor="External">
        <w:r w:rsidRPr="00B602B4" w:rsidR="009A7F94">
          <w:rPr>
            <w:rStyle w:val="Hyperlink"/>
            <w:i/>
            <w:iCs/>
            <w:sz w:val="23"/>
            <w:szCs w:val="23"/>
            <w:vertAlign w:val="superscript"/>
          </w:rPr>
          <w:t>,</w:t>
        </w:r>
      </w:hyperlink>
      <w:hyperlink w:history="1" w:anchor="External">
        <w:r w:rsidRPr="00B602B4" w:rsidR="009A7F94">
          <w:rPr>
            <w:rStyle w:val="Hyperlink"/>
            <w:i/>
            <w:iCs/>
            <w:sz w:val="23"/>
            <w:szCs w:val="23"/>
            <w:vertAlign w:val="superscript"/>
          </w:rPr>
          <w:t>2</w:t>
        </w:r>
      </w:hyperlink>
      <w:r w:rsidRPr="003B6F20" w:rsidR="003B6F20">
        <w:rPr>
          <w:iCs/>
          <w:sz w:val="23"/>
          <w:szCs w:val="23"/>
        </w:rPr>
        <w:t xml:space="preserve"> to plan and safely operate within the global airspace system efficiently. OEG achieves this goal by continually improving the timeliness and accuracy of its information and processes. </w:t>
      </w:r>
      <w:r w:rsidRPr="006C519F" w:rsidR="008467C0">
        <w:rPr>
          <w:iCs/>
          <w:sz w:val="23"/>
          <w:szCs w:val="23"/>
        </w:rPr>
        <w:t xml:space="preserve">The International Organization for Standardization (ISO) is an independent non-governmental organization with a membership of 164 national standards bodies. </w:t>
      </w:r>
      <w:r w:rsidRPr="006C519F" w:rsidR="003B6F20">
        <w:rPr>
          <w:iCs/>
          <w:sz w:val="23"/>
          <w:szCs w:val="23"/>
        </w:rPr>
        <w:t>OEG is an ISO 9001</w:t>
      </w:r>
      <w:r w:rsidRPr="006C519F" w:rsidR="008467C0">
        <w:rPr>
          <w:iCs/>
          <w:sz w:val="23"/>
          <w:szCs w:val="23"/>
        </w:rPr>
        <w:t xml:space="preserve">:2015 certified organization that is required to demonstrate its ability to consistently provide products and services that meet customer and applicable statutory and regulatory requirement and aims to enhance customer satisfaction through effective </w:t>
      </w:r>
      <w:r w:rsidRPr="006C519F" w:rsidR="005F331A">
        <w:rPr>
          <w:iCs/>
          <w:sz w:val="23"/>
          <w:szCs w:val="23"/>
        </w:rPr>
        <w:t>application of the system, including processes for improvement and assurance to conformity.</w:t>
      </w:r>
      <w:r w:rsidR="005F331A">
        <w:rPr>
          <w:iCs/>
          <w:sz w:val="23"/>
          <w:szCs w:val="23"/>
        </w:rPr>
        <w:t xml:space="preserve"> Specifically, </w:t>
      </w:r>
      <w:r w:rsidRPr="003B6F20" w:rsidR="003B6F20">
        <w:rPr>
          <w:iCs/>
          <w:sz w:val="23"/>
          <w:szCs w:val="23"/>
        </w:rPr>
        <w:t xml:space="preserve">Clause 4.2 of the international standard requires an organizational understanding of the needs and expectations of relevant interested parties. OEG has defined its relevant interested parties as internal and external stakeholders who are individuals or groups with interest in the success of the organization delivering intended results and maintaining the usefulness of the organization’s products and </w:t>
      </w:r>
      <w:r w:rsidRPr="000F7E0D" w:rsidR="003B6F20">
        <w:rPr>
          <w:iCs/>
          <w:sz w:val="23"/>
          <w:szCs w:val="23"/>
        </w:rPr>
        <w:t>services. The purpose of conducting internal and external stakeholder surveys is to measure and address stakeholder satisfaction focusing on stakeholder engagement. OEG Quality Management System (QMS</w:t>
      </w:r>
      <w:r w:rsidRPr="003B6F20" w:rsidR="003B6F20">
        <w:rPr>
          <w:iCs/>
          <w:sz w:val="23"/>
          <w:szCs w:val="23"/>
        </w:rPr>
        <w:t>) leadership IAW ISO 9001:2015 Clause 5.1.2 will utilize the survey results to address risk and opportunities to integrate and implement actions into its quality management system process as well as evaluate the effectiveness of these actions for continual improvement of products and services.  OEG goal and objective of conducting the survey is to ensure stakeholder satisfaction and process integrity. It is imperative to establish, implement, and maintain QMS continual process improvement as required by ISO 9001:2015. OEG QMS determines, understands, and consistently assesses the risk and opportunities that can affect the conformity of its products and services.</w:t>
      </w:r>
    </w:p>
    <w:p w:rsidR="00EF3738" w:rsidP="00434E33" w:rsidRDefault="00EF3738" w14:paraId="4E4391EB" w14:textId="77777777">
      <w:pPr>
        <w:pStyle w:val="Header"/>
        <w:tabs>
          <w:tab w:val="clear" w:pos="4320"/>
          <w:tab w:val="clear" w:pos="8640"/>
        </w:tabs>
        <w:rPr>
          <w:b/>
        </w:rPr>
      </w:pPr>
    </w:p>
    <w:p w:rsidRPr="00434E33" w:rsidR="00EF3738" w:rsidP="00434E33" w:rsidRDefault="00EF3738" w14:paraId="1141B526" w14:textId="77777777">
      <w:pPr>
        <w:pStyle w:val="Header"/>
        <w:tabs>
          <w:tab w:val="clear" w:pos="4320"/>
          <w:tab w:val="clear" w:pos="8640"/>
        </w:tabs>
        <w:rPr>
          <w:i/>
        </w:rPr>
      </w:pPr>
      <w:r w:rsidRPr="00434E33">
        <w:rPr>
          <w:b/>
        </w:rPr>
        <w:t>DESCRIPTION OF RESPONDENTS</w:t>
      </w:r>
      <w:r>
        <w:t xml:space="preserve">: </w:t>
      </w:r>
    </w:p>
    <w:p w:rsidR="00EF3738" w:rsidRDefault="00EF3738" w14:paraId="20CF1EF1" w14:textId="77777777"/>
    <w:p w:rsidR="00F96320" w:rsidRDefault="00F96320" w14:paraId="44E2B681" w14:textId="77777777">
      <w:r>
        <w:t>Respondents will reflect the characteristics of people who will comprise the target audience, specifically:</w:t>
      </w:r>
    </w:p>
    <w:p w:rsidR="00F96320" w:rsidRDefault="00F96320" w14:paraId="48803A1F" w14:textId="77777777"/>
    <w:p w:rsidRPr="00FB43D4" w:rsidR="00EF3738" w:rsidRDefault="009A7F94" w14:paraId="7A428722" w14:textId="18C9924E">
      <w:pPr>
        <w:rPr>
          <w:b/>
        </w:rPr>
      </w:pPr>
      <w:bookmarkStart w:name="Internal" w:id="1"/>
      <w:r>
        <w:rPr>
          <w:b/>
          <w:vertAlign w:val="superscript"/>
        </w:rPr>
        <w:t>1</w:t>
      </w:r>
      <w:r w:rsidRPr="00FB43D4" w:rsidR="00BB02DF">
        <w:rPr>
          <w:b/>
        </w:rPr>
        <w:t>Internal</w:t>
      </w:r>
      <w:r w:rsidRPr="00FB43D4" w:rsidR="00051B49">
        <w:rPr>
          <w:b/>
        </w:rPr>
        <w:t xml:space="preserve"> Stake</w:t>
      </w:r>
      <w:r w:rsidRPr="00FB43D4" w:rsidR="00F96320">
        <w:rPr>
          <w:b/>
        </w:rPr>
        <w:t>holders</w:t>
      </w:r>
      <w:bookmarkEnd w:id="1"/>
      <w:r w:rsidRPr="00FB43D4" w:rsidR="00F96320">
        <w:rPr>
          <w:b/>
        </w:rPr>
        <w:t xml:space="preserve">: </w:t>
      </w:r>
    </w:p>
    <w:p w:rsidR="00FB43D4" w:rsidP="00FB43D4" w:rsidRDefault="00FB43D4" w14:paraId="65471551" w14:textId="77777777">
      <w:pPr>
        <w:rPr>
          <w:bCs/>
        </w:rPr>
      </w:pPr>
      <w:r>
        <w:rPr>
          <w:bCs/>
        </w:rPr>
        <w:t>Individuals or groups within the agency who affect or who could be directly affected, by the OE processes are defined as internal stakeholders. The following are relevant interested parties identified as Internal</w:t>
      </w:r>
      <w:r>
        <w:rPr>
          <w:b/>
          <w:bCs/>
        </w:rPr>
        <w:t xml:space="preserve"> </w:t>
      </w:r>
      <w:r>
        <w:rPr>
          <w:bCs/>
        </w:rPr>
        <w:t>Stakeholders internal to OE</w:t>
      </w:r>
      <w:r w:rsidR="00FD566A">
        <w:rPr>
          <w:bCs/>
        </w:rPr>
        <w:t>G</w:t>
      </w:r>
      <w:r>
        <w:rPr>
          <w:bCs/>
        </w:rPr>
        <w:t xml:space="preserve"> coordination:</w:t>
      </w:r>
    </w:p>
    <w:p w:rsidR="00FB43D4" w:rsidP="00FB43D4" w:rsidRDefault="00FB43D4" w14:paraId="7309A8E7" w14:textId="77777777">
      <w:pPr>
        <w:pStyle w:val="ListParagraph"/>
        <w:numPr>
          <w:ilvl w:val="0"/>
          <w:numId w:val="20"/>
        </w:numPr>
        <w:spacing w:after="200" w:line="276" w:lineRule="auto"/>
        <w:rPr>
          <w:bCs/>
        </w:rPr>
      </w:pPr>
      <w:r w:rsidRPr="00F41D21">
        <w:rPr>
          <w:bCs/>
        </w:rPr>
        <w:t xml:space="preserve">Flight Standards (AFS); </w:t>
      </w:r>
    </w:p>
    <w:p w:rsidR="00FB43D4" w:rsidP="00FB43D4" w:rsidRDefault="00FB43D4" w14:paraId="54A19602" w14:textId="77777777">
      <w:pPr>
        <w:pStyle w:val="ListParagraph"/>
        <w:numPr>
          <w:ilvl w:val="0"/>
          <w:numId w:val="20"/>
        </w:numPr>
        <w:spacing w:after="200" w:line="276" w:lineRule="auto"/>
        <w:rPr>
          <w:bCs/>
        </w:rPr>
      </w:pPr>
      <w:r w:rsidRPr="00F41D21">
        <w:rPr>
          <w:bCs/>
        </w:rPr>
        <w:t xml:space="preserve">Flight Procedures Impact Analysis Team (AJV-A); </w:t>
      </w:r>
    </w:p>
    <w:p w:rsidR="00FB43D4" w:rsidP="00FB43D4" w:rsidRDefault="00FB43D4" w14:paraId="5604C0BD" w14:textId="77777777">
      <w:pPr>
        <w:pStyle w:val="ListParagraph"/>
        <w:numPr>
          <w:ilvl w:val="0"/>
          <w:numId w:val="20"/>
        </w:numPr>
        <w:spacing w:after="200" w:line="276" w:lineRule="auto"/>
        <w:rPr>
          <w:bCs/>
        </w:rPr>
      </w:pPr>
      <w:r w:rsidRPr="00F41D21">
        <w:rPr>
          <w:bCs/>
        </w:rPr>
        <w:t xml:space="preserve">Office of Airports (ARP); </w:t>
      </w:r>
    </w:p>
    <w:p w:rsidR="00FB43D4" w:rsidP="00FB43D4" w:rsidRDefault="00FB43D4" w14:paraId="0F62EFB9" w14:textId="77777777">
      <w:pPr>
        <w:pStyle w:val="ListParagraph"/>
        <w:numPr>
          <w:ilvl w:val="0"/>
          <w:numId w:val="20"/>
        </w:numPr>
        <w:spacing w:after="200" w:line="276" w:lineRule="auto"/>
        <w:rPr>
          <w:bCs/>
        </w:rPr>
      </w:pPr>
      <w:r w:rsidRPr="00F41D21">
        <w:rPr>
          <w:bCs/>
        </w:rPr>
        <w:t xml:space="preserve">Technical Operations (AJW); and </w:t>
      </w:r>
    </w:p>
    <w:p w:rsidRPr="00F41D21" w:rsidR="00FB43D4" w:rsidP="00FB43D4" w:rsidRDefault="00FB43D4" w14:paraId="6193569C" w14:textId="77777777">
      <w:pPr>
        <w:pStyle w:val="ListParagraph"/>
        <w:numPr>
          <w:ilvl w:val="0"/>
          <w:numId w:val="20"/>
        </w:numPr>
        <w:spacing w:after="200" w:line="276" w:lineRule="auto"/>
        <w:rPr>
          <w:bCs/>
        </w:rPr>
      </w:pPr>
      <w:r w:rsidRPr="00F41D21">
        <w:rPr>
          <w:bCs/>
        </w:rPr>
        <w:t xml:space="preserve">Spectrum Engineering (AJW-1C).  </w:t>
      </w:r>
    </w:p>
    <w:p w:rsidR="00FB43D4" w:rsidP="00FB43D4" w:rsidRDefault="00FB43D4" w14:paraId="6C6E86AC" w14:textId="77777777">
      <w:pPr>
        <w:ind w:firstLine="720"/>
        <w:rPr>
          <w:bCs/>
        </w:rPr>
      </w:pPr>
      <w:r>
        <w:rPr>
          <w:bCs/>
        </w:rPr>
        <w:t xml:space="preserve">Additional </w:t>
      </w:r>
      <w:r w:rsidR="00FD566A">
        <w:rPr>
          <w:bCs/>
        </w:rPr>
        <w:t>OEG I</w:t>
      </w:r>
      <w:r>
        <w:rPr>
          <w:bCs/>
        </w:rPr>
        <w:t xml:space="preserve">nternal </w:t>
      </w:r>
      <w:r w:rsidR="00FD566A">
        <w:rPr>
          <w:bCs/>
        </w:rPr>
        <w:t>S</w:t>
      </w:r>
      <w:r>
        <w:rPr>
          <w:bCs/>
        </w:rPr>
        <w:t xml:space="preserve">takeholders include: </w:t>
      </w:r>
    </w:p>
    <w:p w:rsidRPr="001E4D71" w:rsidR="00FB43D4" w:rsidP="00FB43D4" w:rsidRDefault="00FB43D4" w14:paraId="673152D1" w14:textId="77777777">
      <w:pPr>
        <w:pStyle w:val="ListParagraph"/>
        <w:numPr>
          <w:ilvl w:val="0"/>
          <w:numId w:val="19"/>
        </w:numPr>
        <w:spacing w:after="200" w:line="276" w:lineRule="auto"/>
        <w:rPr>
          <w:bCs/>
        </w:rPr>
      </w:pPr>
      <w:r w:rsidRPr="001E4D71">
        <w:rPr>
          <w:bCs/>
        </w:rPr>
        <w:t>Program Management Organization (PMO) manages the enterprise solution to obstruction evaluation automation;</w:t>
      </w:r>
    </w:p>
    <w:p w:rsidRPr="001E4D71" w:rsidR="00FB43D4" w:rsidP="00FB43D4" w:rsidRDefault="00FB43D4" w14:paraId="6A431023" w14:textId="77777777">
      <w:pPr>
        <w:pStyle w:val="ListParagraph"/>
        <w:numPr>
          <w:ilvl w:val="0"/>
          <w:numId w:val="19"/>
        </w:numPr>
        <w:spacing w:after="200" w:line="276" w:lineRule="auto"/>
        <w:rPr>
          <w:bCs/>
        </w:rPr>
      </w:pPr>
      <w:r w:rsidRPr="001E4D71">
        <w:rPr>
          <w:bCs/>
        </w:rPr>
        <w:lastRenderedPageBreak/>
        <w:t xml:space="preserve">Office of Government and Industry Affairs (AGI),interfaces with congressional interests; </w:t>
      </w:r>
    </w:p>
    <w:p w:rsidRPr="001E4D71" w:rsidR="00FB43D4" w:rsidP="00FB43D4" w:rsidRDefault="00FB43D4" w14:paraId="29CF045B" w14:textId="77777777">
      <w:pPr>
        <w:pStyle w:val="ListParagraph"/>
        <w:numPr>
          <w:ilvl w:val="0"/>
          <w:numId w:val="19"/>
        </w:numPr>
        <w:spacing w:after="200" w:line="276" w:lineRule="auto"/>
        <w:rPr>
          <w:bCs/>
        </w:rPr>
      </w:pPr>
      <w:r w:rsidRPr="001E4D71">
        <w:rPr>
          <w:bCs/>
        </w:rPr>
        <w:t>Air Traffic Services (AJT) represents the service providers and the specific FAA approach, en route, terminal, or flight service station facilities</w:t>
      </w:r>
      <w:r>
        <w:rPr>
          <w:bCs/>
        </w:rPr>
        <w:t>;</w:t>
      </w:r>
      <w:r w:rsidRPr="001E4D71">
        <w:rPr>
          <w:bCs/>
        </w:rPr>
        <w:t xml:space="preserve">  </w:t>
      </w:r>
    </w:p>
    <w:p w:rsidRPr="001E4D71" w:rsidR="00FB43D4" w:rsidP="00FB43D4" w:rsidRDefault="00FB43D4" w14:paraId="05E6D148" w14:textId="77777777">
      <w:pPr>
        <w:pStyle w:val="ListParagraph"/>
        <w:numPr>
          <w:ilvl w:val="0"/>
          <w:numId w:val="19"/>
        </w:numPr>
        <w:spacing w:after="200" w:line="276" w:lineRule="auto"/>
        <w:rPr>
          <w:bCs/>
        </w:rPr>
      </w:pPr>
      <w:r w:rsidRPr="001E4D71">
        <w:rPr>
          <w:bCs/>
        </w:rPr>
        <w:t>Eastern, Central, and Western Service Centers</w:t>
      </w:r>
      <w:r>
        <w:rPr>
          <w:bCs/>
        </w:rPr>
        <w:t xml:space="preserve"> (AJV-E, C, W)</w:t>
      </w:r>
      <w:r w:rsidRPr="001E4D71">
        <w:rPr>
          <w:bCs/>
        </w:rPr>
        <w:t xml:space="preserve"> </w:t>
      </w:r>
      <w:r>
        <w:rPr>
          <w:bCs/>
        </w:rPr>
        <w:t xml:space="preserve">are </w:t>
      </w:r>
      <w:r w:rsidRPr="001E4D71">
        <w:rPr>
          <w:bCs/>
        </w:rPr>
        <w:t xml:space="preserve">responsible for  coordination of operational impacts and support reimbursable agreements or changes to flight procedures; </w:t>
      </w:r>
    </w:p>
    <w:p w:rsidRPr="001E4D71" w:rsidR="00FB43D4" w:rsidP="00FB43D4" w:rsidRDefault="00FB43D4" w14:paraId="02F76FCE" w14:textId="77777777">
      <w:pPr>
        <w:pStyle w:val="ListParagraph"/>
        <w:numPr>
          <w:ilvl w:val="0"/>
          <w:numId w:val="19"/>
        </w:numPr>
        <w:spacing w:after="200" w:line="276" w:lineRule="auto"/>
        <w:rPr>
          <w:bCs/>
        </w:rPr>
      </w:pPr>
      <w:r w:rsidRPr="001E4D71">
        <w:rPr>
          <w:bCs/>
        </w:rPr>
        <w:t>Airspace Services (AJV-1)</w:t>
      </w:r>
      <w:r>
        <w:rPr>
          <w:bCs/>
        </w:rPr>
        <w:t xml:space="preserve"> </w:t>
      </w:r>
      <w:r w:rsidRPr="001E4D71">
        <w:rPr>
          <w:bCs/>
        </w:rPr>
        <w:t xml:space="preserve">support rulemaking and discretionary review; and </w:t>
      </w:r>
    </w:p>
    <w:p w:rsidRPr="00FB43D4" w:rsidR="00051B49" w:rsidP="00FB43D4" w:rsidRDefault="00FB43D4" w14:paraId="6988F199" w14:textId="77777777">
      <w:pPr>
        <w:pStyle w:val="ListParagraph"/>
        <w:numPr>
          <w:ilvl w:val="0"/>
          <w:numId w:val="19"/>
        </w:numPr>
        <w:spacing w:after="200" w:line="276" w:lineRule="auto"/>
        <w:rPr>
          <w:bCs/>
        </w:rPr>
      </w:pPr>
      <w:r w:rsidRPr="001E4D71">
        <w:rPr>
          <w:bCs/>
        </w:rPr>
        <w:t xml:space="preserve">Technical Training (AJI) </w:t>
      </w:r>
      <w:r>
        <w:rPr>
          <w:bCs/>
        </w:rPr>
        <w:t>develop and maintain</w:t>
      </w:r>
      <w:r w:rsidRPr="001E4D71">
        <w:rPr>
          <w:bCs/>
        </w:rPr>
        <w:t xml:space="preserve"> the OE technical training course. </w:t>
      </w:r>
    </w:p>
    <w:p w:rsidR="00051B49" w:rsidRDefault="00051B49" w14:paraId="45A96A87" w14:textId="77777777"/>
    <w:p w:rsidRPr="00FB43D4" w:rsidR="00051B49" w:rsidRDefault="009A7F94" w14:paraId="0F6895C3" w14:textId="4354A1F7">
      <w:pPr>
        <w:rPr>
          <w:b/>
        </w:rPr>
      </w:pPr>
      <w:bookmarkStart w:name="External" w:id="2"/>
      <w:r>
        <w:rPr>
          <w:b/>
          <w:vertAlign w:val="superscript"/>
        </w:rPr>
        <w:t>2</w:t>
      </w:r>
      <w:r w:rsidRPr="00FB43D4" w:rsidR="00FB43D4">
        <w:rPr>
          <w:b/>
        </w:rPr>
        <w:t>External Stakeholders</w:t>
      </w:r>
      <w:bookmarkEnd w:id="2"/>
      <w:r w:rsidRPr="00FB43D4" w:rsidR="00FB43D4">
        <w:rPr>
          <w:b/>
        </w:rPr>
        <w:t>:</w:t>
      </w:r>
    </w:p>
    <w:p w:rsidR="00EF3738" w:rsidRDefault="00EF3738" w14:paraId="3A460FB7" w14:textId="77777777"/>
    <w:p w:rsidR="00FB43D4" w:rsidP="00FB43D4" w:rsidRDefault="00FB43D4" w14:paraId="2CD5A9F6" w14:textId="77777777">
      <w:pPr>
        <w:rPr>
          <w:bCs/>
        </w:rPr>
      </w:pPr>
      <w:r>
        <w:rPr>
          <w:bCs/>
        </w:rPr>
        <w:t>Individuals or groups outside the Agency who effect or can be effected by the OE process. The following External</w:t>
      </w:r>
      <w:r>
        <w:rPr>
          <w:b/>
          <w:bCs/>
        </w:rPr>
        <w:t xml:space="preserve"> </w:t>
      </w:r>
      <w:r>
        <w:rPr>
          <w:bCs/>
        </w:rPr>
        <w:t>Stakeholders are identified as OEG</w:t>
      </w:r>
      <w:r w:rsidRPr="00743969">
        <w:rPr>
          <w:bCs/>
        </w:rPr>
        <w:t xml:space="preserve"> </w:t>
      </w:r>
      <w:r>
        <w:rPr>
          <w:bCs/>
        </w:rPr>
        <w:t xml:space="preserve">Interested Parties external to OE coordination: </w:t>
      </w:r>
    </w:p>
    <w:p w:rsidR="00FB43D4" w:rsidP="00FB43D4" w:rsidRDefault="00FB43D4" w14:paraId="1BE60AFA" w14:textId="77777777">
      <w:pPr>
        <w:ind w:firstLine="720"/>
        <w:rPr>
          <w:bCs/>
        </w:rPr>
      </w:pPr>
      <w:r>
        <w:rPr>
          <w:bCs/>
        </w:rPr>
        <w:t>Department of Defense (DoD);</w:t>
      </w:r>
    </w:p>
    <w:p w:rsidR="00FB43D4" w:rsidP="00FB43D4" w:rsidRDefault="00FB43D4" w14:paraId="633FCCAB" w14:textId="77777777">
      <w:pPr>
        <w:pStyle w:val="ListParagraph"/>
        <w:numPr>
          <w:ilvl w:val="0"/>
          <w:numId w:val="21"/>
        </w:numPr>
        <w:rPr>
          <w:bCs/>
        </w:rPr>
      </w:pPr>
      <w:r w:rsidRPr="00D912E7">
        <w:rPr>
          <w:bCs/>
        </w:rPr>
        <w:t xml:space="preserve">Air Force; </w:t>
      </w:r>
    </w:p>
    <w:p w:rsidR="00FB43D4" w:rsidP="00FB43D4" w:rsidRDefault="00FB43D4" w14:paraId="219BB0A3" w14:textId="77777777">
      <w:pPr>
        <w:pStyle w:val="ListParagraph"/>
        <w:numPr>
          <w:ilvl w:val="0"/>
          <w:numId w:val="21"/>
        </w:numPr>
        <w:rPr>
          <w:bCs/>
        </w:rPr>
      </w:pPr>
      <w:r w:rsidRPr="00D912E7">
        <w:rPr>
          <w:bCs/>
        </w:rPr>
        <w:t xml:space="preserve">Army; </w:t>
      </w:r>
    </w:p>
    <w:p w:rsidR="00FB43D4" w:rsidP="00FB43D4" w:rsidRDefault="00FB43D4" w14:paraId="6CD421FF" w14:textId="77777777">
      <w:pPr>
        <w:pStyle w:val="ListParagraph"/>
        <w:numPr>
          <w:ilvl w:val="0"/>
          <w:numId w:val="21"/>
        </w:numPr>
        <w:rPr>
          <w:bCs/>
        </w:rPr>
      </w:pPr>
      <w:r w:rsidRPr="00D912E7">
        <w:rPr>
          <w:bCs/>
        </w:rPr>
        <w:t>Navy</w:t>
      </w:r>
      <w:r>
        <w:rPr>
          <w:bCs/>
        </w:rPr>
        <w:t xml:space="preserve">; and </w:t>
      </w:r>
    </w:p>
    <w:p w:rsidR="00FB43D4" w:rsidP="00FB43D4" w:rsidRDefault="00FB43D4" w14:paraId="21292A1A" w14:textId="77777777">
      <w:pPr>
        <w:pStyle w:val="ListParagraph"/>
        <w:numPr>
          <w:ilvl w:val="0"/>
          <w:numId w:val="21"/>
        </w:numPr>
        <w:rPr>
          <w:bCs/>
        </w:rPr>
      </w:pPr>
      <w:r>
        <w:rPr>
          <w:bCs/>
        </w:rPr>
        <w:t>Clearinghouse</w:t>
      </w:r>
    </w:p>
    <w:p w:rsidRPr="00D912E7" w:rsidR="00FB43D4" w:rsidP="00FB43D4" w:rsidRDefault="00FB43D4" w14:paraId="4340E1AA" w14:textId="77777777">
      <w:pPr>
        <w:pStyle w:val="ListParagraph"/>
        <w:ind w:left="2160"/>
        <w:rPr>
          <w:bCs/>
        </w:rPr>
      </w:pPr>
    </w:p>
    <w:p w:rsidR="00FB43D4" w:rsidP="00FB43D4" w:rsidRDefault="00FB43D4" w14:paraId="2B1E15C5" w14:textId="77777777">
      <w:pPr>
        <w:ind w:firstLine="720"/>
        <w:rPr>
          <w:bCs/>
        </w:rPr>
      </w:pPr>
      <w:r>
        <w:rPr>
          <w:bCs/>
        </w:rPr>
        <w:t>Department of Homeland Security (DOH);</w:t>
      </w:r>
    </w:p>
    <w:p w:rsidR="00FB43D4" w:rsidP="00FB43D4" w:rsidRDefault="00FB43D4" w14:paraId="3C35E655" w14:textId="77777777">
      <w:pPr>
        <w:ind w:firstLine="720"/>
        <w:rPr>
          <w:bCs/>
        </w:rPr>
      </w:pPr>
    </w:p>
    <w:p w:rsidR="00FB43D4" w:rsidP="00FB43D4" w:rsidRDefault="00FB43D4" w14:paraId="7AD21475" w14:textId="77777777">
      <w:pPr>
        <w:ind w:firstLine="720"/>
        <w:rPr>
          <w:bCs/>
        </w:rPr>
      </w:pPr>
      <w:r>
        <w:rPr>
          <w:bCs/>
        </w:rPr>
        <w:t xml:space="preserve">Additional External Stakeholders include: </w:t>
      </w:r>
    </w:p>
    <w:p w:rsidRPr="00743969" w:rsidR="00FB43D4" w:rsidP="00FB43D4" w:rsidRDefault="00FB43D4" w14:paraId="6867B494" w14:textId="77777777">
      <w:pPr>
        <w:pStyle w:val="ListParagraph"/>
        <w:numPr>
          <w:ilvl w:val="0"/>
          <w:numId w:val="23"/>
        </w:numPr>
        <w:spacing w:after="200" w:line="276" w:lineRule="auto"/>
      </w:pPr>
      <w:r w:rsidRPr="00743969">
        <w:rPr>
          <w:bCs/>
        </w:rPr>
        <w:t>Individuals, representatives or consultants filing a notice of proposed construction</w:t>
      </w:r>
      <w:r>
        <w:rPr>
          <w:bCs/>
        </w:rPr>
        <w:t>;</w:t>
      </w:r>
      <w:r w:rsidRPr="00743969">
        <w:rPr>
          <w:bCs/>
        </w:rPr>
        <w:t xml:space="preserve"> </w:t>
      </w:r>
    </w:p>
    <w:p w:rsidR="00FB43D4" w:rsidP="00FB43D4" w:rsidRDefault="00FB43D4" w14:paraId="6D877724" w14:textId="77777777">
      <w:pPr>
        <w:pStyle w:val="ListParagraph"/>
        <w:numPr>
          <w:ilvl w:val="0"/>
          <w:numId w:val="23"/>
        </w:numPr>
        <w:spacing w:after="200" w:line="276" w:lineRule="auto"/>
      </w:pPr>
      <w:r w:rsidRPr="00743969">
        <w:rPr>
          <w:bCs/>
        </w:rPr>
        <w:t xml:space="preserve">State and local land use authorities, such as State Aviation Departments, permitting and zoning boards. Specific examples include the New York/New Jersey Port Authority; the </w:t>
      </w:r>
      <w:r>
        <w:t>Hillsborough County Aviation Authority (HCAA); the Miami Dade Aviation Department (MDAD) and the Metropolitan Washington Airports Authority;</w:t>
      </w:r>
    </w:p>
    <w:p w:rsidR="00FB43D4" w:rsidP="00FB43D4" w:rsidRDefault="00FB43D4" w14:paraId="00F29712" w14:textId="77777777">
      <w:pPr>
        <w:pStyle w:val="ListParagraph"/>
        <w:numPr>
          <w:ilvl w:val="0"/>
          <w:numId w:val="23"/>
        </w:numPr>
        <w:spacing w:after="200" w:line="276" w:lineRule="auto"/>
      </w:pPr>
      <w:r>
        <w:t>Wind energy project sponsors, such as Acciona Energy, Iberdrola Renewables, Extell Development Company, Laufer Wind, Sempra Energy, One Energy, NextEra Energy, APEX Clean Energy;</w:t>
      </w:r>
    </w:p>
    <w:p w:rsidRPr="00743969" w:rsidR="00FB43D4" w:rsidP="00FB43D4" w:rsidRDefault="00FB43D4" w14:paraId="759A2BBB" w14:textId="77777777">
      <w:pPr>
        <w:pStyle w:val="ListParagraph"/>
        <w:numPr>
          <w:ilvl w:val="0"/>
          <w:numId w:val="23"/>
        </w:numPr>
        <w:spacing w:after="200" w:line="276" w:lineRule="auto"/>
      </w:pPr>
      <w:r w:rsidRPr="00743969">
        <w:rPr>
          <w:bCs/>
        </w:rPr>
        <w:t>Industry representatives, such as the Specialized Carrier and Rigging Association (SC&amp;RA); American Wind Energy Association (AWEA); Wireless Infrastructure Association (WIA); National Association of Tower Erectors (NATE)</w:t>
      </w:r>
      <w:r>
        <w:rPr>
          <w:bCs/>
        </w:rPr>
        <w:t xml:space="preserve">; </w:t>
      </w:r>
      <w:r w:rsidRPr="00743969">
        <w:rPr>
          <w:bCs/>
        </w:rPr>
        <w:t xml:space="preserve"> </w:t>
      </w:r>
    </w:p>
    <w:p w:rsidRPr="00743969" w:rsidR="00FB43D4" w:rsidP="00FB43D4" w:rsidRDefault="00FB43D4" w14:paraId="368CACDB" w14:textId="77777777">
      <w:pPr>
        <w:pStyle w:val="ListParagraph"/>
        <w:numPr>
          <w:ilvl w:val="0"/>
          <w:numId w:val="23"/>
        </w:numPr>
        <w:spacing w:after="200" w:line="276" w:lineRule="auto"/>
      </w:pPr>
      <w:r>
        <w:rPr>
          <w:bCs/>
        </w:rPr>
        <w:t>I</w:t>
      </w:r>
      <w:r w:rsidRPr="00743969">
        <w:rPr>
          <w:bCs/>
        </w:rPr>
        <w:t>ndividual companies such as American Tower, TWR Lighting, SPX Flash Te</w:t>
      </w:r>
      <w:r>
        <w:rPr>
          <w:bCs/>
        </w:rPr>
        <w:t>chnologies, and Vertical Bridge;</w:t>
      </w:r>
      <w:r w:rsidRPr="00743969">
        <w:rPr>
          <w:bCs/>
        </w:rPr>
        <w:t xml:space="preserve">  </w:t>
      </w:r>
    </w:p>
    <w:p w:rsidRPr="00922634" w:rsidR="00FB43D4" w:rsidP="00FB43D4" w:rsidRDefault="00FB43D4" w14:paraId="4DD01F9B" w14:textId="77777777">
      <w:pPr>
        <w:pStyle w:val="ListParagraph"/>
        <w:numPr>
          <w:ilvl w:val="0"/>
          <w:numId w:val="23"/>
        </w:numPr>
        <w:spacing w:after="200" w:line="276" w:lineRule="auto"/>
      </w:pPr>
      <w:r w:rsidRPr="00743969">
        <w:rPr>
          <w:bCs/>
        </w:rPr>
        <w:t>Aviation organizations such as the National Business Aviation Association (NBAA), National Agricultural Aviation Association (NAAA), Aircraft Owners and Pilots Association (AOPA), Regional Air Line Association (RALA); International Air Transport Association (IATA); and Airlines For America (A4)</w:t>
      </w:r>
      <w:r>
        <w:rPr>
          <w:bCs/>
        </w:rPr>
        <w:t xml:space="preserve">; and </w:t>
      </w:r>
      <w:r w:rsidRPr="00743969">
        <w:rPr>
          <w:bCs/>
        </w:rPr>
        <w:t xml:space="preserve"> </w:t>
      </w:r>
    </w:p>
    <w:p w:rsidR="00FB43D4" w:rsidP="00FB43D4" w:rsidRDefault="00FB43D4" w14:paraId="4459532D" w14:textId="77777777">
      <w:pPr>
        <w:pStyle w:val="ListParagraph"/>
        <w:numPr>
          <w:ilvl w:val="0"/>
          <w:numId w:val="23"/>
        </w:numPr>
        <w:spacing w:after="200" w:line="276" w:lineRule="auto"/>
      </w:pPr>
      <w:r>
        <w:t>Airport subscribers and responders to various public notices when the FAA seeks input on aeronautical studies and other organizations or individuals that demonstrate a specific aeronautical interest include:</w:t>
      </w:r>
    </w:p>
    <w:p w:rsidR="00FB43D4" w:rsidP="00FB43D4" w:rsidRDefault="00FB43D4" w14:paraId="31D8C555" w14:textId="77777777">
      <w:pPr>
        <w:pStyle w:val="ListParagraph"/>
        <w:numPr>
          <w:ilvl w:val="1"/>
          <w:numId w:val="23"/>
        </w:numPr>
        <w:spacing w:after="200" w:line="276" w:lineRule="auto"/>
      </w:pPr>
      <w:r>
        <w:t xml:space="preserve">flying clubs, flight schools, fixed base operators, air taxi and chart flight offices; and </w:t>
      </w:r>
    </w:p>
    <w:p w:rsidRPr="00922634" w:rsidR="00FB43D4" w:rsidP="00FB43D4" w:rsidRDefault="00FB43D4" w14:paraId="64171B81" w14:textId="77777777">
      <w:pPr>
        <w:pStyle w:val="ListParagraph"/>
        <w:numPr>
          <w:ilvl w:val="1"/>
          <w:numId w:val="23"/>
        </w:numPr>
        <w:spacing w:after="200" w:line="276" w:lineRule="auto"/>
      </w:pPr>
      <w:r>
        <w:t xml:space="preserve">County judges and city mayors.  </w:t>
      </w:r>
    </w:p>
    <w:p w:rsidR="00FB43D4" w:rsidP="00FB43D4" w:rsidRDefault="00FB43D4" w14:paraId="65870498" w14:textId="77777777">
      <w:pPr>
        <w:ind w:firstLine="720"/>
        <w:rPr>
          <w:bCs/>
        </w:rPr>
      </w:pPr>
      <w:r>
        <w:rPr>
          <w:bCs/>
        </w:rPr>
        <w:t>External federal government stakeholders:</w:t>
      </w:r>
    </w:p>
    <w:p w:rsidR="00FB43D4" w:rsidP="00FB43D4" w:rsidRDefault="00FB43D4" w14:paraId="07C8282B" w14:textId="77777777">
      <w:pPr>
        <w:pStyle w:val="ListParagraph"/>
        <w:numPr>
          <w:ilvl w:val="0"/>
          <w:numId w:val="22"/>
        </w:numPr>
        <w:spacing w:after="200" w:line="276" w:lineRule="auto"/>
      </w:pPr>
      <w:r w:rsidRPr="00E51461">
        <w:t>Federal Communications Commission</w:t>
      </w:r>
      <w:r>
        <w:t xml:space="preserve"> (FCC);</w:t>
      </w:r>
      <w:r w:rsidRPr="00E51461">
        <w:t xml:space="preserve"> </w:t>
      </w:r>
      <w:r>
        <w:t>and</w:t>
      </w:r>
    </w:p>
    <w:p w:rsidRPr="00E51461" w:rsidR="00FB43D4" w:rsidP="00FB43D4" w:rsidRDefault="00FB43D4" w14:paraId="24B9B125" w14:textId="77777777">
      <w:pPr>
        <w:pStyle w:val="ListParagraph"/>
        <w:numPr>
          <w:ilvl w:val="0"/>
          <w:numId w:val="22"/>
        </w:numPr>
        <w:spacing w:after="200" w:line="276" w:lineRule="auto"/>
      </w:pPr>
      <w:r>
        <w:t>Bureau of Ocean Energy Management (BOEM).</w:t>
      </w:r>
    </w:p>
    <w:p w:rsidR="00EF3738" w:rsidRDefault="00EF3738" w14:paraId="02CDA2C6" w14:textId="77777777">
      <w:pPr>
        <w:rPr>
          <w:b/>
        </w:rPr>
      </w:pPr>
    </w:p>
    <w:p w:rsidRPr="00F06866" w:rsidR="00EF3738" w:rsidRDefault="00EF3738" w14:paraId="25EA409A" w14:textId="77777777">
      <w:pPr>
        <w:rPr>
          <w:b/>
        </w:rPr>
      </w:pPr>
      <w:r>
        <w:rPr>
          <w:b/>
        </w:rPr>
        <w:t>TYPE OF COLLECTION:</w:t>
      </w:r>
      <w:r w:rsidRPr="00F06866">
        <w:t xml:space="preserve"> (Check one)</w:t>
      </w:r>
    </w:p>
    <w:p w:rsidRPr="00434E33" w:rsidR="00EF3738" w:rsidP="0096108F" w:rsidRDefault="00EF3738" w14:paraId="26BD100B" w14:textId="77777777">
      <w:pPr>
        <w:pStyle w:val="BodyTextIndent"/>
        <w:tabs>
          <w:tab w:val="left" w:pos="360"/>
        </w:tabs>
        <w:ind w:left="0"/>
        <w:rPr>
          <w:bCs/>
          <w:sz w:val="16"/>
          <w:szCs w:val="16"/>
        </w:rPr>
      </w:pPr>
    </w:p>
    <w:p w:rsidRPr="00F06866" w:rsidR="00EF3738" w:rsidP="0096108F" w:rsidRDefault="00EF3738" w14:paraId="3E1D340A"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r>
      <w:r w:rsidRPr="00E05163">
        <w:rPr>
          <w:b/>
          <w:bCs/>
          <w:sz w:val="24"/>
        </w:rPr>
        <w:t>[</w:t>
      </w:r>
      <w:r w:rsidRPr="00E05163" w:rsidR="00E05163">
        <w:rPr>
          <w:rFonts w:ascii="Adobe Devanagari" w:hAnsi="Adobe Devanagari" w:cs="Adobe Devanagari"/>
          <w:b/>
        </w:rPr>
        <w:t>√</w:t>
      </w:r>
      <w:r w:rsidRPr="00E05163">
        <w:rPr>
          <w:b/>
          <w:bCs/>
          <w:sz w:val="24"/>
        </w:rPr>
        <w:t xml:space="preserve">] Customer Satisfaction Survey </w:t>
      </w:r>
      <w:r w:rsidRPr="00F06866">
        <w:rPr>
          <w:bCs/>
          <w:sz w:val="24"/>
        </w:rPr>
        <w:t xml:space="preserve">   </w:t>
      </w:r>
    </w:p>
    <w:p w:rsidR="00EF3738" w:rsidP="0096108F" w:rsidRDefault="00EF3738" w14:paraId="01622666"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Pr="00FD566A" w:rsidR="00EF3738" w:rsidP="0096108F" w:rsidRDefault="00EF3738" w14:paraId="2D67C476" w14:textId="77777777">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00FD566A">
        <w:rPr>
          <w:bCs/>
          <w:sz w:val="24"/>
        </w:rPr>
        <w:t>______________</w:t>
      </w:r>
    </w:p>
    <w:p w:rsidR="00EF3738" w:rsidRDefault="00EF3738" w14:paraId="00E8BF8F" w14:textId="77777777">
      <w:pPr>
        <w:pStyle w:val="Header"/>
        <w:tabs>
          <w:tab w:val="clear" w:pos="4320"/>
          <w:tab w:val="clear" w:pos="8640"/>
        </w:tabs>
      </w:pPr>
    </w:p>
    <w:p w:rsidR="00EF3738" w:rsidRDefault="00EF3738" w14:paraId="7C098402" w14:textId="77777777">
      <w:pPr>
        <w:rPr>
          <w:b/>
        </w:rPr>
      </w:pPr>
      <w:r>
        <w:rPr>
          <w:b/>
        </w:rPr>
        <w:t>CERTIFICATION:</w:t>
      </w:r>
    </w:p>
    <w:p w:rsidR="00EF3738" w:rsidRDefault="00EF3738" w14:paraId="141A4BFC" w14:textId="77777777">
      <w:pPr>
        <w:rPr>
          <w:sz w:val="16"/>
          <w:szCs w:val="16"/>
        </w:rPr>
      </w:pPr>
    </w:p>
    <w:p w:rsidRPr="009C13B9" w:rsidR="00EF3738" w:rsidP="008101A5" w:rsidRDefault="00EF3738" w14:paraId="4FE1C48F" w14:textId="77777777">
      <w:r>
        <w:t xml:space="preserve">I certify the following to be true: </w:t>
      </w:r>
    </w:p>
    <w:p w:rsidR="00EF3738" w:rsidP="008101A5" w:rsidRDefault="00EF3738" w14:paraId="233E7CC4" w14:textId="77777777">
      <w:pPr>
        <w:pStyle w:val="ListParagraph"/>
        <w:numPr>
          <w:ilvl w:val="0"/>
          <w:numId w:val="14"/>
        </w:numPr>
      </w:pPr>
      <w:r>
        <w:t>The collection is voluntary.</w:t>
      </w:r>
      <w:r w:rsidRPr="00C14CC4">
        <w:t xml:space="preserve"> </w:t>
      </w:r>
    </w:p>
    <w:p w:rsidR="00EF3738" w:rsidP="008101A5" w:rsidRDefault="00EF3738" w14:paraId="2F452460"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EF3738" w:rsidP="008101A5" w:rsidRDefault="00EF3738" w14:paraId="0A91410F"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r w:rsidR="00E05163">
        <w:tab/>
      </w:r>
    </w:p>
    <w:p w:rsidR="00EF3738" w:rsidP="008101A5" w:rsidRDefault="00EF3738" w14:paraId="0179893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EF3738" w:rsidP="008101A5" w:rsidRDefault="00EF3738" w14:paraId="2E90946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EF3738" w:rsidP="008101A5" w:rsidRDefault="00EF3738" w14:paraId="7B9A4CC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EF3738" w:rsidP="009C13B9" w:rsidRDefault="00EF3738" w14:paraId="69810C7B" w14:textId="77777777"/>
    <w:p w:rsidR="00EF3738" w:rsidP="009C13B9" w:rsidRDefault="00EF3738" w14:paraId="16C8AF2A" w14:textId="77777777">
      <w:r>
        <w:t>Name:</w:t>
      </w:r>
      <w:r w:rsidR="00051B49">
        <w:t xml:space="preserve"> </w:t>
      </w:r>
      <w:r w:rsidRPr="00051B49" w:rsidR="00051B49">
        <w:rPr>
          <w:u w:val="single"/>
        </w:rPr>
        <w:t>Fonda Woodard</w:t>
      </w:r>
      <w:r w:rsidR="00051B49">
        <w:t xml:space="preserve"> </w:t>
      </w:r>
    </w:p>
    <w:p w:rsidR="00EF3738" w:rsidP="009C13B9" w:rsidRDefault="00EF3738" w14:paraId="2BF4A7FD" w14:textId="77777777">
      <w:pPr>
        <w:pStyle w:val="ListParagraph"/>
        <w:ind w:left="360"/>
      </w:pPr>
    </w:p>
    <w:p w:rsidR="00EF3738" w:rsidP="009C13B9" w:rsidRDefault="00EF3738" w14:paraId="63DD648F" w14:textId="77777777">
      <w:r>
        <w:t>To assist review, please provide answers to the following question:</w:t>
      </w:r>
    </w:p>
    <w:p w:rsidR="00EF3738" w:rsidP="009C13B9" w:rsidRDefault="00EF3738" w14:paraId="3F679F03" w14:textId="77777777">
      <w:pPr>
        <w:pStyle w:val="ListParagraph"/>
        <w:ind w:left="360"/>
      </w:pPr>
    </w:p>
    <w:p w:rsidRPr="00C86E91" w:rsidR="00EF3738" w:rsidP="00C86E91" w:rsidRDefault="00EF3738" w14:paraId="054C007F" w14:textId="77777777">
      <w:pPr>
        <w:rPr>
          <w:b/>
        </w:rPr>
      </w:pPr>
      <w:r w:rsidRPr="00C86E91">
        <w:rPr>
          <w:b/>
        </w:rPr>
        <w:t>Personally Identifiable Information:</w:t>
      </w:r>
    </w:p>
    <w:p w:rsidR="00EF3738" w:rsidP="00C86E91" w:rsidRDefault="00EF3738" w14:paraId="4FBBC9C6" w14:textId="77777777">
      <w:pPr>
        <w:pStyle w:val="ListParagraph"/>
        <w:numPr>
          <w:ilvl w:val="0"/>
          <w:numId w:val="18"/>
        </w:numPr>
      </w:pPr>
      <w:r>
        <w:t>Is personally identifiable i</w:t>
      </w:r>
      <w:r w:rsidR="00051B49">
        <w:t xml:space="preserve">nformation (PII) collected? </w:t>
      </w:r>
      <w:r w:rsidRPr="008936D4" w:rsidR="00051B49">
        <w:rPr>
          <w:b/>
        </w:rPr>
        <w:t xml:space="preserve"> [</w:t>
      </w:r>
      <w:r w:rsidRPr="008936D4" w:rsidR="00FD566A">
        <w:rPr>
          <w:rFonts w:ascii="Adobe Devanagari" w:hAnsi="Adobe Devanagari" w:cs="Adobe Devanagari"/>
          <w:b/>
        </w:rPr>
        <w:t>√</w:t>
      </w:r>
      <w:r w:rsidRPr="008936D4">
        <w:rPr>
          <w:b/>
        </w:rPr>
        <w:t>] Yes</w:t>
      </w:r>
      <w:r>
        <w:t xml:space="preserve">  [ ]  No </w:t>
      </w:r>
    </w:p>
    <w:p w:rsidR="00EF3738" w:rsidP="00C86E91" w:rsidRDefault="00EF3738" w14:paraId="72388F43" w14:textId="77777777">
      <w:pPr>
        <w:pStyle w:val="ListParagraph"/>
        <w:numPr>
          <w:ilvl w:val="0"/>
          <w:numId w:val="18"/>
        </w:numPr>
      </w:pPr>
      <w:r>
        <w:t>If Yes, is the information that will be collected included in records that are subject t</w:t>
      </w:r>
      <w:r w:rsidR="00051B49">
        <w:t>o the P</w:t>
      </w:r>
      <w:r w:rsidR="00B25419">
        <w:t xml:space="preserve">rivacy Act of 1974?   [ ] Yes </w:t>
      </w:r>
      <w:r w:rsidRPr="008936D4" w:rsidR="00B25419">
        <w:rPr>
          <w:b/>
        </w:rPr>
        <w:t>[</w:t>
      </w:r>
      <w:r w:rsidRPr="008936D4" w:rsidR="00B25419">
        <w:rPr>
          <w:rFonts w:ascii="Adobe Devanagari" w:hAnsi="Adobe Devanagari" w:cs="Adobe Devanagari"/>
          <w:b/>
        </w:rPr>
        <w:t>√</w:t>
      </w:r>
      <w:r w:rsidRPr="008936D4">
        <w:rPr>
          <w:b/>
        </w:rPr>
        <w:t xml:space="preserve">] No </w:t>
      </w:r>
      <w:r>
        <w:t xml:space="preserve">  </w:t>
      </w:r>
    </w:p>
    <w:p w:rsidR="00EF3738" w:rsidP="00C86E91" w:rsidRDefault="00EF3738" w14:paraId="7EDCF17A" w14:textId="77777777">
      <w:pPr>
        <w:pStyle w:val="ListParagraph"/>
        <w:numPr>
          <w:ilvl w:val="0"/>
          <w:numId w:val="18"/>
        </w:numPr>
      </w:pPr>
      <w:r>
        <w:t>If Applicable, has a System or Records Notic</w:t>
      </w:r>
      <w:r w:rsidR="00051B49">
        <w:t xml:space="preserve">e been published?  [  ] Yes  </w:t>
      </w:r>
      <w:r w:rsidRPr="008936D4" w:rsidR="00051B49">
        <w:rPr>
          <w:b/>
        </w:rPr>
        <w:t>[</w:t>
      </w:r>
      <w:r w:rsidRPr="008936D4" w:rsidR="00FD566A">
        <w:rPr>
          <w:rFonts w:ascii="Adobe Devanagari" w:hAnsi="Adobe Devanagari" w:cs="Adobe Devanagari"/>
          <w:b/>
        </w:rPr>
        <w:t>√</w:t>
      </w:r>
      <w:r w:rsidRPr="008936D4">
        <w:rPr>
          <w:b/>
        </w:rPr>
        <w:t>] No</w:t>
      </w:r>
    </w:p>
    <w:p w:rsidR="00FB43D4" w:rsidP="00C86E91" w:rsidRDefault="00FB43D4" w14:paraId="7D28C423" w14:textId="77777777">
      <w:pPr>
        <w:pStyle w:val="ListParagraph"/>
        <w:ind w:left="0"/>
        <w:rPr>
          <w:b/>
        </w:rPr>
      </w:pPr>
    </w:p>
    <w:p w:rsidRPr="00C86E91" w:rsidR="00EF3738" w:rsidP="00C86E91" w:rsidRDefault="00EF3738" w14:paraId="1FF9656F" w14:textId="77777777">
      <w:pPr>
        <w:pStyle w:val="ListParagraph"/>
        <w:ind w:left="0"/>
        <w:rPr>
          <w:b/>
        </w:rPr>
      </w:pPr>
      <w:r>
        <w:rPr>
          <w:b/>
        </w:rPr>
        <w:t>Gifts or Payments:</w:t>
      </w:r>
    </w:p>
    <w:p w:rsidR="00EF3738" w:rsidP="00C86E91" w:rsidRDefault="00EF3738" w14:paraId="3DB50A66" w14:textId="5A31E1A5">
      <w:pPr>
        <w:rPr>
          <w:b/>
        </w:rPr>
      </w:pPr>
      <w:r>
        <w:t>Is an incentive (e.g., money or reimbursement of expenses, token of appreciation) provide</w:t>
      </w:r>
      <w:r w:rsidR="00B25419">
        <w:t>d to participants?  [  ] Yes</w:t>
      </w:r>
      <w:r w:rsidRPr="00E05163" w:rsidR="00B25419">
        <w:rPr>
          <w:b/>
        </w:rPr>
        <w:t xml:space="preserve"> [</w:t>
      </w:r>
      <w:r w:rsidRPr="00E05163" w:rsidR="00B25419">
        <w:rPr>
          <w:rFonts w:ascii="Adobe Devanagari" w:hAnsi="Adobe Devanagari" w:cs="Adobe Devanagari"/>
          <w:b/>
        </w:rPr>
        <w:t>√</w:t>
      </w:r>
      <w:r w:rsidRPr="00E05163">
        <w:rPr>
          <w:b/>
        </w:rPr>
        <w:t xml:space="preserve">] No  </w:t>
      </w:r>
    </w:p>
    <w:p w:rsidRPr="00E05163" w:rsidR="00750D06" w:rsidP="00C86E91" w:rsidRDefault="00750D06" w14:paraId="46AA58B9" w14:textId="77777777">
      <w:pPr>
        <w:rPr>
          <w:b/>
        </w:rPr>
      </w:pPr>
    </w:p>
    <w:p w:rsidR="00EF3738" w:rsidRDefault="00EF3738" w14:paraId="655CB1EF" w14:textId="77777777">
      <w:pPr>
        <w:rPr>
          <w:b/>
        </w:rPr>
      </w:pPr>
    </w:p>
    <w:p w:rsidRPr="00C627B9" w:rsidR="00EF3738" w:rsidP="00C627B9" w:rsidRDefault="00EF3738" w14:paraId="3C5119A5" w14:textId="77777777">
      <w:pPr>
        <w:rPr>
          <w:i/>
        </w:rPr>
      </w:pPr>
      <w:r>
        <w:rPr>
          <w:b/>
        </w:rPr>
        <w:t>BURDEN HOURS</w:t>
      </w:r>
      <w:r>
        <w:t xml:space="preserve"> </w:t>
      </w:r>
    </w:p>
    <w:tbl>
      <w:tblPr>
        <w:tblW w:w="98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02"/>
        <w:gridCol w:w="1649"/>
        <w:gridCol w:w="1894"/>
        <w:gridCol w:w="3090"/>
      </w:tblGrid>
      <w:tr w:rsidR="00EF3738" w:rsidTr="00750D06" w14:paraId="56576E14" w14:textId="77777777">
        <w:trPr>
          <w:trHeight w:val="290"/>
        </w:trPr>
        <w:tc>
          <w:tcPr>
            <w:tcW w:w="3202" w:type="dxa"/>
          </w:tcPr>
          <w:p w:rsidRPr="00D9683C" w:rsidR="00EF3738" w:rsidP="00C8488C" w:rsidRDefault="00EF3738" w14:paraId="0E51B599" w14:textId="77777777">
            <w:pPr>
              <w:rPr>
                <w:b/>
              </w:rPr>
            </w:pPr>
            <w:r w:rsidRPr="00D9683C">
              <w:rPr>
                <w:b/>
              </w:rPr>
              <w:t xml:space="preserve">Category of Respondent </w:t>
            </w:r>
          </w:p>
        </w:tc>
        <w:tc>
          <w:tcPr>
            <w:tcW w:w="1649" w:type="dxa"/>
          </w:tcPr>
          <w:p w:rsidRPr="00D9683C" w:rsidR="00EF3738" w:rsidP="00892FEB" w:rsidRDefault="00EF3738" w14:paraId="6FB05C36" w14:textId="77777777">
            <w:pPr>
              <w:jc w:val="center"/>
              <w:rPr>
                <w:b/>
              </w:rPr>
            </w:pPr>
            <w:r w:rsidRPr="00D9683C">
              <w:rPr>
                <w:b/>
              </w:rPr>
              <w:t>No. of Respondents</w:t>
            </w:r>
          </w:p>
        </w:tc>
        <w:tc>
          <w:tcPr>
            <w:tcW w:w="1894" w:type="dxa"/>
          </w:tcPr>
          <w:p w:rsidRPr="00D9683C" w:rsidR="00EF3738" w:rsidP="00892FEB" w:rsidRDefault="00EF3738" w14:paraId="5BCE7535" w14:textId="77777777">
            <w:pPr>
              <w:jc w:val="center"/>
              <w:rPr>
                <w:b/>
              </w:rPr>
            </w:pPr>
            <w:r w:rsidRPr="00D9683C">
              <w:rPr>
                <w:b/>
              </w:rPr>
              <w:t>Participation Time</w:t>
            </w:r>
          </w:p>
        </w:tc>
        <w:tc>
          <w:tcPr>
            <w:tcW w:w="3090" w:type="dxa"/>
          </w:tcPr>
          <w:p w:rsidRPr="00D9683C" w:rsidR="00EF3738" w:rsidP="00892FEB" w:rsidRDefault="00EF3738" w14:paraId="1A735A2F" w14:textId="77777777">
            <w:pPr>
              <w:jc w:val="center"/>
              <w:rPr>
                <w:b/>
              </w:rPr>
            </w:pPr>
            <w:r w:rsidRPr="00D9683C">
              <w:rPr>
                <w:b/>
              </w:rPr>
              <w:t>Burden</w:t>
            </w:r>
          </w:p>
        </w:tc>
      </w:tr>
      <w:tr w:rsidR="00EF3738" w:rsidTr="00750D06" w14:paraId="7A9E13A0" w14:textId="77777777">
        <w:trPr>
          <w:trHeight w:val="290"/>
        </w:trPr>
        <w:tc>
          <w:tcPr>
            <w:tcW w:w="3202" w:type="dxa"/>
          </w:tcPr>
          <w:p w:rsidR="00EF3738" w:rsidP="00843796" w:rsidRDefault="009E1BE8" w14:paraId="7326C729" w14:textId="77777777">
            <w:r>
              <w:t>Internal Stakeholders</w:t>
            </w:r>
          </w:p>
        </w:tc>
        <w:tc>
          <w:tcPr>
            <w:tcW w:w="1649" w:type="dxa"/>
          </w:tcPr>
          <w:p w:rsidR="00EF3738" w:rsidP="00D470C9" w:rsidRDefault="009E1BE8" w14:paraId="31B35E31" w14:textId="6A5C48D1">
            <w:r>
              <w:t>2</w:t>
            </w:r>
            <w:r w:rsidR="00D470C9">
              <w:t>8</w:t>
            </w:r>
            <w:r>
              <w:t>0</w:t>
            </w:r>
            <w:r w:rsidR="00D470C9">
              <w:t>5</w:t>
            </w:r>
            <w:r w:rsidR="0028093D">
              <w:t>*</w:t>
            </w:r>
          </w:p>
        </w:tc>
        <w:tc>
          <w:tcPr>
            <w:tcW w:w="1894" w:type="dxa"/>
          </w:tcPr>
          <w:p w:rsidR="00EF3738" w:rsidP="00843796" w:rsidRDefault="009E1BE8" w14:paraId="49313FAA" w14:textId="2812BA26">
            <w:r>
              <w:t>3 min</w:t>
            </w:r>
            <w:r w:rsidR="007B05A9">
              <w:t xml:space="preserve"> or less</w:t>
            </w:r>
          </w:p>
        </w:tc>
        <w:tc>
          <w:tcPr>
            <w:tcW w:w="3090" w:type="dxa"/>
          </w:tcPr>
          <w:p w:rsidR="00EF3738" w:rsidP="00D470C9" w:rsidRDefault="00D470C9" w14:paraId="016429A3" w14:textId="2E0A5E6B">
            <w:r>
              <w:t>8415</w:t>
            </w:r>
            <w:r w:rsidR="009E1BE8">
              <w:t xml:space="preserve"> min</w:t>
            </w:r>
            <w:r w:rsidR="006E6142">
              <w:t xml:space="preserve">/60 = </w:t>
            </w:r>
            <w:r w:rsidR="006C519F">
              <w:t>140.25</w:t>
            </w:r>
          </w:p>
        </w:tc>
      </w:tr>
      <w:tr w:rsidR="00EF3738" w:rsidTr="00F009B2" w14:paraId="535811B1" w14:textId="77777777">
        <w:trPr>
          <w:trHeight w:val="290"/>
        </w:trPr>
        <w:tc>
          <w:tcPr>
            <w:tcW w:w="3202" w:type="dxa"/>
            <w:shd w:val="clear" w:color="auto" w:fill="D9D9D9" w:themeFill="background1" w:themeFillShade="D9"/>
          </w:tcPr>
          <w:p w:rsidR="00EF3738" w:rsidP="00843796" w:rsidRDefault="009E1BE8" w14:paraId="1D63D0EC" w14:textId="77777777">
            <w:r>
              <w:t>External Stakeholders</w:t>
            </w:r>
          </w:p>
        </w:tc>
        <w:tc>
          <w:tcPr>
            <w:tcW w:w="1649" w:type="dxa"/>
            <w:shd w:val="clear" w:color="auto" w:fill="D9D9D9" w:themeFill="background1" w:themeFillShade="D9"/>
          </w:tcPr>
          <w:p w:rsidR="00EF3738" w:rsidP="00843796" w:rsidRDefault="00D470C9" w14:paraId="1952AD0D" w14:textId="34E1C8B1">
            <w:r>
              <w:t>5695</w:t>
            </w:r>
            <w:r w:rsidR="0028093D">
              <w:t>*</w:t>
            </w:r>
          </w:p>
        </w:tc>
        <w:tc>
          <w:tcPr>
            <w:tcW w:w="1894" w:type="dxa"/>
            <w:shd w:val="clear" w:color="auto" w:fill="D9D9D9" w:themeFill="background1" w:themeFillShade="D9"/>
          </w:tcPr>
          <w:p w:rsidR="00EF3738" w:rsidP="00843796" w:rsidRDefault="009E1BE8" w14:paraId="13C591DC" w14:textId="2C0A0940">
            <w:r>
              <w:t>3 min</w:t>
            </w:r>
            <w:r w:rsidR="007B05A9">
              <w:t xml:space="preserve"> or less</w:t>
            </w:r>
          </w:p>
        </w:tc>
        <w:tc>
          <w:tcPr>
            <w:tcW w:w="3090" w:type="dxa"/>
            <w:shd w:val="clear" w:color="auto" w:fill="D9D9D9" w:themeFill="background1" w:themeFillShade="D9"/>
          </w:tcPr>
          <w:p w:rsidR="00EF3738" w:rsidP="00D470C9" w:rsidRDefault="00D470C9" w14:paraId="1D795900" w14:textId="51845CCA">
            <w:r>
              <w:t>17085</w:t>
            </w:r>
            <w:r w:rsidR="009E1BE8">
              <w:t xml:space="preserve"> min</w:t>
            </w:r>
            <w:r w:rsidR="006E6142">
              <w:t xml:space="preserve">/60 = </w:t>
            </w:r>
            <w:r>
              <w:t>284</w:t>
            </w:r>
            <w:r w:rsidR="006E6142">
              <w:t>.</w:t>
            </w:r>
            <w:r>
              <w:t>7</w:t>
            </w:r>
            <w:r w:rsidR="006E6142">
              <w:t>5</w:t>
            </w:r>
          </w:p>
        </w:tc>
      </w:tr>
      <w:tr w:rsidR="00EF3738" w:rsidTr="00750D06" w14:paraId="32266B50" w14:textId="77777777">
        <w:trPr>
          <w:trHeight w:val="306"/>
        </w:trPr>
        <w:tc>
          <w:tcPr>
            <w:tcW w:w="3202" w:type="dxa"/>
          </w:tcPr>
          <w:p w:rsidRPr="00D9683C" w:rsidR="00EF3738" w:rsidP="00843796" w:rsidRDefault="00EF3738" w14:paraId="74AB9215" w14:textId="77777777">
            <w:pPr>
              <w:rPr>
                <w:b/>
              </w:rPr>
            </w:pPr>
            <w:r w:rsidRPr="00D9683C">
              <w:rPr>
                <w:b/>
              </w:rPr>
              <w:t>Totals</w:t>
            </w:r>
          </w:p>
        </w:tc>
        <w:tc>
          <w:tcPr>
            <w:tcW w:w="1649" w:type="dxa"/>
          </w:tcPr>
          <w:p w:rsidRPr="00D9683C" w:rsidR="00EF3738" w:rsidP="00843796" w:rsidRDefault="00D470C9" w14:paraId="75102736" w14:textId="37C06CDA">
            <w:pPr>
              <w:rPr>
                <w:b/>
              </w:rPr>
            </w:pPr>
            <w:r>
              <w:rPr>
                <w:b/>
              </w:rPr>
              <w:t>8500</w:t>
            </w:r>
            <w:r w:rsidR="0028093D">
              <w:rPr>
                <w:b/>
              </w:rPr>
              <w:t>*</w:t>
            </w:r>
          </w:p>
        </w:tc>
        <w:tc>
          <w:tcPr>
            <w:tcW w:w="1894" w:type="dxa"/>
          </w:tcPr>
          <w:p w:rsidRPr="009E1BE8" w:rsidR="00EF3738" w:rsidP="00843796" w:rsidRDefault="00750D06" w14:paraId="07BD3EED" w14:textId="162B6157">
            <w:pPr>
              <w:rPr>
                <w:b/>
              </w:rPr>
            </w:pPr>
            <w:r>
              <w:rPr>
                <w:b/>
              </w:rPr>
              <w:t>3</w:t>
            </w:r>
            <w:r w:rsidRPr="009E1BE8" w:rsidR="009E1BE8">
              <w:rPr>
                <w:b/>
              </w:rPr>
              <w:t xml:space="preserve"> min</w:t>
            </w:r>
            <w:r w:rsidR="007B05A9">
              <w:rPr>
                <w:b/>
              </w:rPr>
              <w:t xml:space="preserve"> or less</w:t>
            </w:r>
          </w:p>
        </w:tc>
        <w:tc>
          <w:tcPr>
            <w:tcW w:w="3090" w:type="dxa"/>
          </w:tcPr>
          <w:p w:rsidRPr="00D9683C" w:rsidR="00EF3738" w:rsidP="00750D06" w:rsidRDefault="00750D06" w14:paraId="0223CAC4" w14:textId="3C6AF7BB">
            <w:pPr>
              <w:rPr>
                <w:b/>
              </w:rPr>
            </w:pPr>
            <w:r>
              <w:rPr>
                <w:b/>
              </w:rPr>
              <w:t>25500</w:t>
            </w:r>
            <w:r w:rsidR="009E1BE8">
              <w:rPr>
                <w:b/>
              </w:rPr>
              <w:t xml:space="preserve"> min</w:t>
            </w:r>
            <w:r w:rsidR="006E6142">
              <w:rPr>
                <w:b/>
              </w:rPr>
              <w:t xml:space="preserve">/60 = </w:t>
            </w:r>
            <w:r>
              <w:rPr>
                <w:b/>
              </w:rPr>
              <w:t>425</w:t>
            </w:r>
            <w:r w:rsidR="006E6142">
              <w:rPr>
                <w:b/>
              </w:rPr>
              <w:t xml:space="preserve"> h</w:t>
            </w:r>
            <w:r w:rsidR="00892FEB">
              <w:rPr>
                <w:b/>
              </w:rPr>
              <w:t>ou</w:t>
            </w:r>
            <w:r w:rsidR="006E6142">
              <w:rPr>
                <w:b/>
              </w:rPr>
              <w:t>rs</w:t>
            </w:r>
          </w:p>
        </w:tc>
      </w:tr>
    </w:tbl>
    <w:p w:rsidR="00EF3738" w:rsidP="00F3170F" w:rsidRDefault="0028093D" w14:paraId="06EFB90E" w14:textId="77777777">
      <w:r>
        <w:t>*Approximate number based on identified possible respondents.</w:t>
      </w:r>
    </w:p>
    <w:p w:rsidR="00EF3738" w:rsidP="00F3170F" w:rsidRDefault="00EF3738" w14:paraId="359B0229" w14:textId="77777777"/>
    <w:p w:rsidR="00EF3738" w:rsidRDefault="00EF3738" w14:paraId="16AEC1F4" w14:textId="2327CAB9">
      <w:pPr>
        <w:rPr>
          <w:b/>
        </w:rPr>
      </w:pPr>
      <w:r>
        <w:rPr>
          <w:b/>
        </w:rPr>
        <w:t xml:space="preserve">FEDERAL COST:  </w:t>
      </w:r>
      <w:r>
        <w:t>The estimated annual cos</w:t>
      </w:r>
      <w:r w:rsidR="00B25419">
        <w:t xml:space="preserve">t to the Federal government is </w:t>
      </w:r>
      <w:r w:rsidRPr="008936D4" w:rsidR="0028093D">
        <w:rPr>
          <w:b/>
          <w:u w:val="single"/>
        </w:rPr>
        <w:t>$</w:t>
      </w:r>
      <w:r w:rsidRPr="008936D4" w:rsidR="00B25419">
        <w:rPr>
          <w:b/>
          <w:u w:val="single"/>
        </w:rPr>
        <w:t>1</w:t>
      </w:r>
      <w:r w:rsidR="00892FEB">
        <w:rPr>
          <w:b/>
          <w:u w:val="single"/>
        </w:rPr>
        <w:t>5</w:t>
      </w:r>
      <w:r w:rsidRPr="008936D4" w:rsidR="00B25419">
        <w:rPr>
          <w:b/>
          <w:u w:val="single"/>
        </w:rPr>
        <w:t>00</w:t>
      </w:r>
      <w:r w:rsidR="00B25419">
        <w:rPr>
          <w:u w:val="single"/>
        </w:rPr>
        <w:t>.</w:t>
      </w:r>
    </w:p>
    <w:p w:rsidR="00EF3738" w:rsidRDefault="00EF3738" w14:paraId="49536610" w14:textId="77777777">
      <w:pPr>
        <w:rPr>
          <w:b/>
          <w:bCs/>
          <w:u w:val="single"/>
        </w:rPr>
      </w:pPr>
    </w:p>
    <w:p w:rsidR="00EF3738" w:rsidP="00F06866" w:rsidRDefault="00EF3738" w14:paraId="1F7F4509" w14:textId="77777777">
      <w:pPr>
        <w:rPr>
          <w:b/>
        </w:rPr>
      </w:pPr>
      <w:r>
        <w:rPr>
          <w:b/>
          <w:bCs/>
          <w:u w:val="single"/>
        </w:rPr>
        <w:t>If you are conducting a focus group, survey, or plan to employ statistical methods, please  provide answers to the following questions:</w:t>
      </w:r>
    </w:p>
    <w:p w:rsidR="00EF3738" w:rsidP="00F06866" w:rsidRDefault="00EF3738" w14:paraId="70884036" w14:textId="77777777">
      <w:pPr>
        <w:rPr>
          <w:b/>
        </w:rPr>
      </w:pPr>
    </w:p>
    <w:p w:rsidR="00EF3738" w:rsidP="00F06866" w:rsidRDefault="00EF3738" w14:paraId="36143E92" w14:textId="77777777">
      <w:pPr>
        <w:rPr>
          <w:b/>
        </w:rPr>
      </w:pPr>
      <w:r>
        <w:rPr>
          <w:b/>
        </w:rPr>
        <w:t>The selection of your targeted respondents</w:t>
      </w:r>
    </w:p>
    <w:p w:rsidR="00EF3738" w:rsidP="0069403B" w:rsidRDefault="00EF3738" w14:paraId="41B130B2" w14:textId="61402C1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r>
      <w:r w:rsidRPr="00AC6626" w:rsidR="00B25419">
        <w:rPr>
          <w:b/>
        </w:rPr>
        <w:t>[</w:t>
      </w:r>
      <w:r w:rsidRPr="00AC6626" w:rsidR="00AC6626">
        <w:rPr>
          <w:rFonts w:ascii="Adobe Devanagari" w:hAnsi="Adobe Devanagari" w:cs="Adobe Devanagari"/>
          <w:b/>
        </w:rPr>
        <w:t>√</w:t>
      </w:r>
      <w:r w:rsidRPr="00AC6626" w:rsidR="0028093D">
        <w:rPr>
          <w:b/>
        </w:rPr>
        <w:t>] Yes</w:t>
      </w:r>
      <w:r w:rsidRPr="00AC6626" w:rsidR="0028093D">
        <w:rPr>
          <w:b/>
        </w:rPr>
        <w:tab/>
      </w:r>
      <w:r w:rsidRPr="00AC6626" w:rsidR="008936D4">
        <w:rPr>
          <w:b/>
        </w:rPr>
        <w:t xml:space="preserve"> </w:t>
      </w:r>
      <w:r w:rsidR="008936D4">
        <w:t xml:space="preserve"> </w:t>
      </w:r>
      <w:r w:rsidRPr="00AC6626" w:rsidR="0028093D">
        <w:t>[</w:t>
      </w:r>
      <w:r w:rsidRPr="00AC6626" w:rsidR="008936D4">
        <w:t xml:space="preserve"> </w:t>
      </w:r>
      <w:r w:rsidRPr="00AC6626">
        <w:t>] No</w:t>
      </w:r>
    </w:p>
    <w:p w:rsidR="00EF3738" w:rsidP="00636621" w:rsidRDefault="00EF3738" w14:paraId="45A5E558" w14:textId="77777777">
      <w:pPr>
        <w:pStyle w:val="ListParagraph"/>
      </w:pPr>
    </w:p>
    <w:p w:rsidR="00EF3738" w:rsidP="001B0AAA" w:rsidRDefault="00EF3738" w14:paraId="085C4228" w14:textId="77777777">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B25419" w:rsidP="001B0AAA" w:rsidRDefault="00B25419" w14:paraId="56629C32" w14:textId="77777777"/>
    <w:p w:rsidR="00B25419" w:rsidP="001B0AAA" w:rsidRDefault="00B25419" w14:paraId="200F15B0" w14:textId="77777777">
      <w:r w:rsidRPr="008936D4">
        <w:rPr>
          <w:b/>
        </w:rPr>
        <w:t>Description:</w:t>
      </w:r>
    </w:p>
    <w:p w:rsidR="00B25419" w:rsidP="00B25419" w:rsidRDefault="00B25419" w14:paraId="7DBFCD83" w14:textId="77777777">
      <w:pPr>
        <w:ind w:left="720"/>
      </w:pPr>
      <w:r>
        <w:t>Internal/External Stakeholder identified as relevant interested parties email list of potential respondents who use the OE/AAA website.</w:t>
      </w:r>
    </w:p>
    <w:p w:rsidR="00B25419" w:rsidP="00B25419" w:rsidRDefault="00B25419" w14:paraId="423C0CDB" w14:textId="77777777"/>
    <w:p w:rsidRPr="008936D4" w:rsidR="00B25419" w:rsidP="00B25419" w:rsidRDefault="00B25419" w14:paraId="14C6078D" w14:textId="77777777">
      <w:pPr>
        <w:rPr>
          <w:b/>
        </w:rPr>
      </w:pPr>
      <w:r w:rsidRPr="008936D4">
        <w:rPr>
          <w:b/>
        </w:rPr>
        <w:t xml:space="preserve">Sampling Plan: </w:t>
      </w:r>
      <w:r w:rsidRPr="008936D4">
        <w:rPr>
          <w:b/>
        </w:rPr>
        <w:tab/>
      </w:r>
    </w:p>
    <w:p w:rsidRPr="002B07E1" w:rsidR="002B07E1" w:rsidP="002B07E1" w:rsidRDefault="00886741" w14:paraId="0C1C6579" w14:textId="6256E84C">
      <w:pPr>
        <w:ind w:left="720"/>
      </w:pPr>
      <w:r>
        <w:t>OEG has a stratified</w:t>
      </w:r>
      <w:r w:rsidR="008936D4">
        <w:t xml:space="preserve"> systematic</w:t>
      </w:r>
      <w:r>
        <w:t xml:space="preserve"> sampling plan to divide the population into groups by organizational strata</w:t>
      </w:r>
      <w:r w:rsidR="008936D4">
        <w:t xml:space="preserve"> i.e., AFS; AJV-A; ARP etc</w:t>
      </w:r>
      <w:r>
        <w:t xml:space="preserve">. </w:t>
      </w:r>
      <w:r w:rsidRPr="002B07E1" w:rsidR="002B07E1">
        <w:rPr>
          <w:iCs/>
          <w:sz w:val="23"/>
          <w:szCs w:val="23"/>
        </w:rPr>
        <w:t xml:space="preserve">In all reports and other publications and statements resulting from this work, no attempt </w:t>
      </w:r>
      <w:r w:rsidR="002B07E1">
        <w:rPr>
          <w:iCs/>
          <w:sz w:val="23"/>
          <w:szCs w:val="23"/>
        </w:rPr>
        <w:t>is</w:t>
      </w:r>
      <w:r w:rsidRPr="002B07E1" w:rsidR="002B07E1">
        <w:rPr>
          <w:iCs/>
          <w:sz w:val="23"/>
          <w:szCs w:val="23"/>
        </w:rPr>
        <w:t xml:space="preserve"> made to draw inferences to any population other than the set of units that responded to the data collection effort. Submissions to OEG are voluntary and individuals self-select to participate in the feedback portal.</w:t>
      </w:r>
    </w:p>
    <w:p w:rsidR="00EF3738" w:rsidP="00A403BB" w:rsidRDefault="00EF3738" w14:paraId="386D7DBE" w14:textId="77777777"/>
    <w:p w:rsidR="00EF3738" w:rsidP="00A403BB" w:rsidRDefault="00EF3738" w14:paraId="5B7DB0FF" w14:textId="77777777">
      <w:pPr>
        <w:rPr>
          <w:b/>
        </w:rPr>
      </w:pPr>
      <w:r>
        <w:rPr>
          <w:b/>
        </w:rPr>
        <w:t>Administration of the Instrument</w:t>
      </w:r>
    </w:p>
    <w:p w:rsidR="00EF3738" w:rsidP="00A403BB" w:rsidRDefault="00EF3738" w14:paraId="7FFC11B5" w14:textId="77777777">
      <w:pPr>
        <w:pStyle w:val="ListParagraph"/>
        <w:numPr>
          <w:ilvl w:val="0"/>
          <w:numId w:val="17"/>
        </w:numPr>
      </w:pPr>
      <w:r>
        <w:t>How will you collect the information? (Check all that apply)</w:t>
      </w:r>
    </w:p>
    <w:p w:rsidR="00EF3738" w:rsidP="001B0AAA" w:rsidRDefault="00E05163" w14:paraId="04403C40" w14:textId="77777777">
      <w:pPr>
        <w:ind w:left="720"/>
      </w:pPr>
      <w:r>
        <w:t>[</w:t>
      </w:r>
      <w:r>
        <w:rPr>
          <w:rFonts w:ascii="Adobe Devanagari" w:hAnsi="Adobe Devanagari" w:cs="Adobe Devanagari"/>
        </w:rPr>
        <w:t>√</w:t>
      </w:r>
      <w:r w:rsidR="00EF3738">
        <w:t xml:space="preserve">] Web-based or other forms of Social Media </w:t>
      </w:r>
    </w:p>
    <w:p w:rsidR="00EF3738" w:rsidP="001B0AAA" w:rsidRDefault="00EF3738" w14:paraId="2F542184" w14:textId="77777777">
      <w:pPr>
        <w:ind w:left="720"/>
      </w:pPr>
      <w:r>
        <w:t>[  ] Telephone</w:t>
      </w:r>
      <w:r>
        <w:tab/>
      </w:r>
    </w:p>
    <w:p w:rsidR="00EF3738" w:rsidP="001B0AAA" w:rsidRDefault="00EF3738" w14:paraId="49969C9E" w14:textId="77777777">
      <w:pPr>
        <w:ind w:left="720"/>
      </w:pPr>
      <w:r>
        <w:t>[  ] In-person</w:t>
      </w:r>
      <w:r>
        <w:tab/>
      </w:r>
    </w:p>
    <w:p w:rsidR="00EF3738" w:rsidP="001B0AAA" w:rsidRDefault="00EF3738" w14:paraId="3203472B" w14:textId="77777777">
      <w:pPr>
        <w:ind w:left="720"/>
      </w:pPr>
      <w:r>
        <w:t xml:space="preserve">[  ] Mail </w:t>
      </w:r>
    </w:p>
    <w:p w:rsidR="00EF3738" w:rsidP="001B0AAA" w:rsidRDefault="00EF3738" w14:paraId="42CE1A6E" w14:textId="77777777">
      <w:pPr>
        <w:ind w:left="720"/>
      </w:pPr>
      <w:r>
        <w:t>[  ] Other, Explain</w:t>
      </w:r>
    </w:p>
    <w:p w:rsidR="00286717" w:rsidP="001B0AAA" w:rsidRDefault="00286717" w14:paraId="77D8D7AF" w14:textId="77777777">
      <w:pPr>
        <w:ind w:left="720"/>
      </w:pPr>
    </w:p>
    <w:p w:rsidR="00EF3738" w:rsidP="00F24CFC" w:rsidRDefault="00EF3738" w14:paraId="54D739BA" w14:textId="77777777">
      <w:pPr>
        <w:pStyle w:val="ListParagraph"/>
        <w:numPr>
          <w:ilvl w:val="0"/>
          <w:numId w:val="17"/>
        </w:numPr>
      </w:pPr>
      <w:r>
        <w:t>Will interviewers or facilitators be used?  [  ] Yes [</w:t>
      </w:r>
      <w:r w:rsidR="006E6142">
        <w:rPr>
          <w:rFonts w:ascii="Adobe Devanagari" w:hAnsi="Adobe Devanagari" w:cs="Adobe Devanagari"/>
        </w:rPr>
        <w:t>√</w:t>
      </w:r>
      <w:r>
        <w:t>] No</w:t>
      </w:r>
    </w:p>
    <w:p w:rsidR="00EF3738" w:rsidP="00F24CFC" w:rsidRDefault="00EF3738" w14:paraId="5FCE76CD" w14:textId="77777777">
      <w:pPr>
        <w:pStyle w:val="ListParagraph"/>
        <w:ind w:left="360"/>
      </w:pPr>
      <w:r>
        <w:t xml:space="preserve"> </w:t>
      </w:r>
    </w:p>
    <w:p w:rsidRPr="00F24CFC" w:rsidR="00EF3738" w:rsidP="00831086" w:rsidRDefault="00EF3738" w14:paraId="3476908B" w14:textId="1D529BC3">
      <w:pPr>
        <w:rPr>
          <w:b/>
        </w:rPr>
      </w:pPr>
      <w:r w:rsidRPr="00F24CFC">
        <w:rPr>
          <w:b/>
        </w:rPr>
        <w:t>Please make sure that all instruments, instructions, and scripts are submitted with the request.</w:t>
      </w:r>
      <w:bookmarkStart w:name="_GoBack" w:id="3"/>
      <w:bookmarkEnd w:id="3"/>
    </w:p>
    <w:p w:rsidR="00EF3738" w:rsidP="00F24CFC" w:rsidRDefault="00EF3738" w14:paraId="4393F74B" w14:textId="77777777">
      <w:pPr>
        <w:tabs>
          <w:tab w:val="left" w:pos="5670"/>
        </w:tabs>
        <w:suppressAutoHyphens/>
      </w:pPr>
    </w:p>
    <w:sectPr w:rsidR="00EF3738"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D19C56" w14:textId="77777777" w:rsidR="00C8449C" w:rsidRDefault="00C8449C">
      <w:r>
        <w:separator/>
      </w:r>
    </w:p>
  </w:endnote>
  <w:endnote w:type="continuationSeparator" w:id="0">
    <w:p w14:paraId="5A95A129" w14:textId="77777777" w:rsidR="00C8449C" w:rsidRDefault="00C8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E3DFE" w14:textId="048A7AFC" w:rsidR="00EF3738" w:rsidRDefault="00EF3738">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8449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DFFFE" w14:textId="77777777" w:rsidR="00C8449C" w:rsidRDefault="00C8449C">
      <w:r>
        <w:separator/>
      </w:r>
    </w:p>
  </w:footnote>
  <w:footnote w:type="continuationSeparator" w:id="0">
    <w:p w14:paraId="702D55D0" w14:textId="77777777" w:rsidR="00C8449C" w:rsidRDefault="00C84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739D"/>
    <w:multiLevelType w:val="hybridMultilevel"/>
    <w:tmpl w:val="5F3C0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18DE2836"/>
    <w:multiLevelType w:val="hybridMultilevel"/>
    <w:tmpl w:val="C88E65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B6A4A"/>
    <w:multiLevelType w:val="hybridMultilevel"/>
    <w:tmpl w:val="B14642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922F6B"/>
    <w:multiLevelType w:val="hybridMultilevel"/>
    <w:tmpl w:val="CE46DB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251951"/>
    <w:multiLevelType w:val="hybridMultilevel"/>
    <w:tmpl w:val="E13425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6D7C0478"/>
    <w:multiLevelType w:val="multilevel"/>
    <w:tmpl w:val="3DE8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22"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23"/>
  </w:num>
  <w:num w:numId="5">
    <w:abstractNumId w:val="4"/>
  </w:num>
  <w:num w:numId="6">
    <w:abstractNumId w:val="2"/>
  </w:num>
  <w:num w:numId="7">
    <w:abstractNumId w:val="12"/>
  </w:num>
  <w:num w:numId="8">
    <w:abstractNumId w:val="18"/>
  </w:num>
  <w:num w:numId="9">
    <w:abstractNumId w:val="13"/>
  </w:num>
  <w:num w:numId="10">
    <w:abstractNumId w:val="3"/>
  </w:num>
  <w:num w:numId="11">
    <w:abstractNumId w:val="8"/>
  </w:num>
  <w:num w:numId="12">
    <w:abstractNumId w:val="11"/>
  </w:num>
  <w:num w:numId="13">
    <w:abstractNumId w:val="1"/>
  </w:num>
  <w:num w:numId="14">
    <w:abstractNumId w:val="20"/>
  </w:num>
  <w:num w:numId="15">
    <w:abstractNumId w:val="16"/>
  </w:num>
  <w:num w:numId="16">
    <w:abstractNumId w:val="15"/>
  </w:num>
  <w:num w:numId="17">
    <w:abstractNumId w:val="5"/>
  </w:num>
  <w:num w:numId="18">
    <w:abstractNumId w:val="6"/>
  </w:num>
  <w:num w:numId="19">
    <w:abstractNumId w:val="10"/>
  </w:num>
  <w:num w:numId="20">
    <w:abstractNumId w:val="0"/>
  </w:num>
  <w:num w:numId="21">
    <w:abstractNumId w:val="17"/>
  </w:num>
  <w:num w:numId="22">
    <w:abstractNumId w:val="7"/>
  </w:num>
  <w:num w:numId="23">
    <w:abstractNumId w:val="9"/>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51B49"/>
    <w:rsid w:val="00067329"/>
    <w:rsid w:val="000B2838"/>
    <w:rsid w:val="000D44CA"/>
    <w:rsid w:val="000E200B"/>
    <w:rsid w:val="000F0DA5"/>
    <w:rsid w:val="000F68BE"/>
    <w:rsid w:val="000F7E0D"/>
    <w:rsid w:val="00116FC0"/>
    <w:rsid w:val="001927A4"/>
    <w:rsid w:val="00194AC6"/>
    <w:rsid w:val="001A23B0"/>
    <w:rsid w:val="001A25CC"/>
    <w:rsid w:val="001B0AAA"/>
    <w:rsid w:val="001C39F7"/>
    <w:rsid w:val="001E6193"/>
    <w:rsid w:val="00237B48"/>
    <w:rsid w:val="0024521E"/>
    <w:rsid w:val="00263C3D"/>
    <w:rsid w:val="00274D0B"/>
    <w:rsid w:val="0028093D"/>
    <w:rsid w:val="00286717"/>
    <w:rsid w:val="002B07E1"/>
    <w:rsid w:val="002B3C95"/>
    <w:rsid w:val="002D0B92"/>
    <w:rsid w:val="003B6F20"/>
    <w:rsid w:val="003C037E"/>
    <w:rsid w:val="003D5BBE"/>
    <w:rsid w:val="003E3C61"/>
    <w:rsid w:val="003F1C5B"/>
    <w:rsid w:val="003F4B58"/>
    <w:rsid w:val="00434E33"/>
    <w:rsid w:val="00441434"/>
    <w:rsid w:val="0045264C"/>
    <w:rsid w:val="00462316"/>
    <w:rsid w:val="004876EC"/>
    <w:rsid w:val="00487FD2"/>
    <w:rsid w:val="004D6E14"/>
    <w:rsid w:val="005009B0"/>
    <w:rsid w:val="0054212E"/>
    <w:rsid w:val="00562981"/>
    <w:rsid w:val="005A1006"/>
    <w:rsid w:val="005A1CB9"/>
    <w:rsid w:val="005D01F4"/>
    <w:rsid w:val="005E714A"/>
    <w:rsid w:val="005F331A"/>
    <w:rsid w:val="006140A0"/>
    <w:rsid w:val="00615C05"/>
    <w:rsid w:val="00636621"/>
    <w:rsid w:val="00642B49"/>
    <w:rsid w:val="006832D9"/>
    <w:rsid w:val="0069403B"/>
    <w:rsid w:val="00694713"/>
    <w:rsid w:val="006C519F"/>
    <w:rsid w:val="006E6142"/>
    <w:rsid w:val="006F3DDE"/>
    <w:rsid w:val="006F6F46"/>
    <w:rsid w:val="00704678"/>
    <w:rsid w:val="00705F31"/>
    <w:rsid w:val="007425E7"/>
    <w:rsid w:val="00750D06"/>
    <w:rsid w:val="0078315B"/>
    <w:rsid w:val="007B05A9"/>
    <w:rsid w:val="00802607"/>
    <w:rsid w:val="008101A5"/>
    <w:rsid w:val="00822664"/>
    <w:rsid w:val="00831086"/>
    <w:rsid w:val="00843796"/>
    <w:rsid w:val="008467C0"/>
    <w:rsid w:val="00886741"/>
    <w:rsid w:val="00892FEB"/>
    <w:rsid w:val="008936D4"/>
    <w:rsid w:val="00895229"/>
    <w:rsid w:val="008E0998"/>
    <w:rsid w:val="008F0203"/>
    <w:rsid w:val="008F3016"/>
    <w:rsid w:val="008F50D4"/>
    <w:rsid w:val="009239AA"/>
    <w:rsid w:val="00935ADA"/>
    <w:rsid w:val="00946B6C"/>
    <w:rsid w:val="00955A71"/>
    <w:rsid w:val="0096108F"/>
    <w:rsid w:val="00962059"/>
    <w:rsid w:val="009A7F94"/>
    <w:rsid w:val="009C13B9"/>
    <w:rsid w:val="009C713F"/>
    <w:rsid w:val="009D01A2"/>
    <w:rsid w:val="009E1BE8"/>
    <w:rsid w:val="009F5923"/>
    <w:rsid w:val="00A02C47"/>
    <w:rsid w:val="00A07217"/>
    <w:rsid w:val="00A403BB"/>
    <w:rsid w:val="00A674DF"/>
    <w:rsid w:val="00A83AA6"/>
    <w:rsid w:val="00AC6626"/>
    <w:rsid w:val="00AE1809"/>
    <w:rsid w:val="00B25419"/>
    <w:rsid w:val="00B25928"/>
    <w:rsid w:val="00B602B4"/>
    <w:rsid w:val="00B6734E"/>
    <w:rsid w:val="00B80D76"/>
    <w:rsid w:val="00B97A17"/>
    <w:rsid w:val="00BA2105"/>
    <w:rsid w:val="00BA7E06"/>
    <w:rsid w:val="00BB02DF"/>
    <w:rsid w:val="00BB43B5"/>
    <w:rsid w:val="00BB6219"/>
    <w:rsid w:val="00BD290F"/>
    <w:rsid w:val="00C008F3"/>
    <w:rsid w:val="00C14CC4"/>
    <w:rsid w:val="00C33C52"/>
    <w:rsid w:val="00C40D8B"/>
    <w:rsid w:val="00C627B9"/>
    <w:rsid w:val="00C8407A"/>
    <w:rsid w:val="00C8449C"/>
    <w:rsid w:val="00C8488C"/>
    <w:rsid w:val="00C86E91"/>
    <w:rsid w:val="00CA2650"/>
    <w:rsid w:val="00CB1078"/>
    <w:rsid w:val="00CC6FAF"/>
    <w:rsid w:val="00CE6388"/>
    <w:rsid w:val="00D24698"/>
    <w:rsid w:val="00D470C9"/>
    <w:rsid w:val="00D6383F"/>
    <w:rsid w:val="00D722A9"/>
    <w:rsid w:val="00D748CC"/>
    <w:rsid w:val="00D9683C"/>
    <w:rsid w:val="00DB59D0"/>
    <w:rsid w:val="00DC33D3"/>
    <w:rsid w:val="00E05163"/>
    <w:rsid w:val="00E26329"/>
    <w:rsid w:val="00E40B50"/>
    <w:rsid w:val="00E454FE"/>
    <w:rsid w:val="00E50293"/>
    <w:rsid w:val="00E65FFC"/>
    <w:rsid w:val="00E80951"/>
    <w:rsid w:val="00E854FE"/>
    <w:rsid w:val="00E86CC6"/>
    <w:rsid w:val="00EB56B3"/>
    <w:rsid w:val="00ED6492"/>
    <w:rsid w:val="00EF2095"/>
    <w:rsid w:val="00EF3738"/>
    <w:rsid w:val="00F009B2"/>
    <w:rsid w:val="00F06866"/>
    <w:rsid w:val="00F11817"/>
    <w:rsid w:val="00F118AC"/>
    <w:rsid w:val="00F15956"/>
    <w:rsid w:val="00F24CFC"/>
    <w:rsid w:val="00F3170F"/>
    <w:rsid w:val="00F4037D"/>
    <w:rsid w:val="00F55ADB"/>
    <w:rsid w:val="00F94101"/>
    <w:rsid w:val="00F96320"/>
    <w:rsid w:val="00F976B0"/>
    <w:rsid w:val="00FA6DE7"/>
    <w:rsid w:val="00FB04A2"/>
    <w:rsid w:val="00FB43D4"/>
    <w:rsid w:val="00FC0A8E"/>
    <w:rsid w:val="00FD566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589466A"/>
  <w14:defaultImageDpi w14:val="0"/>
  <w15:docId w15:val="{6723200F-FB6B-483E-BE2C-804E7F2B7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pPr>
      <w:spacing w:after="0" w:line="240" w:lineRule="auto"/>
    </w:pPr>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99"/>
    <w:rsid w:val="006832D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Emphasis">
    <w:name w:val="Emphasis"/>
    <w:basedOn w:val="DefaultParagraphFont"/>
    <w:uiPriority w:val="20"/>
    <w:qFormat/>
    <w:locked/>
    <w:rsid w:val="00886741"/>
    <w:rPr>
      <w:i/>
      <w:iCs/>
    </w:rPr>
  </w:style>
  <w:style w:type="paragraph" w:customStyle="1" w:styleId="Default">
    <w:name w:val="Default"/>
    <w:rsid w:val="002B07E1"/>
    <w:pPr>
      <w:autoSpaceDE w:val="0"/>
      <w:autoSpaceDN w:val="0"/>
      <w:adjustRightInd w:val="0"/>
      <w:spacing w:after="0" w:line="240" w:lineRule="auto"/>
    </w:pPr>
    <w:rPr>
      <w:color w:val="000000"/>
      <w:sz w:val="24"/>
      <w:szCs w:val="24"/>
    </w:rPr>
  </w:style>
  <w:style w:type="character" w:styleId="Hyperlink">
    <w:name w:val="Hyperlink"/>
    <w:basedOn w:val="DefaultParagraphFont"/>
    <w:uiPriority w:val="99"/>
    <w:unhideWhenUsed/>
    <w:rsid w:val="009A7F94"/>
    <w:rPr>
      <w:color w:val="0563C1" w:themeColor="hyperlink"/>
      <w:u w:val="single"/>
    </w:rPr>
  </w:style>
  <w:style w:type="character" w:styleId="FollowedHyperlink">
    <w:name w:val="FollowedHyperlink"/>
    <w:basedOn w:val="DefaultParagraphFont"/>
    <w:uiPriority w:val="99"/>
    <w:semiHidden/>
    <w:unhideWhenUsed/>
    <w:rsid w:val="009A7F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91055">
      <w:marLeft w:val="0"/>
      <w:marRight w:val="0"/>
      <w:marTop w:val="0"/>
      <w:marBottom w:val="0"/>
      <w:divBdr>
        <w:top w:val="none" w:sz="0" w:space="0" w:color="auto"/>
        <w:left w:val="none" w:sz="0" w:space="0" w:color="auto"/>
        <w:bottom w:val="none" w:sz="0" w:space="0" w:color="auto"/>
        <w:right w:val="none" w:sz="0" w:space="0" w:color="auto"/>
      </w:divBdr>
    </w:div>
    <w:div w:id="201163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OEG Generic Clearance Survey</dc:subject>
  <dc:creator>Fonda Woodard</dc:creator>
  <cp:keywords>PRA_OEG_OST</cp:keywords>
  <dc:description/>
  <cp:lastModifiedBy>Hall, Barbara L (FAA)</cp:lastModifiedBy>
  <cp:revision>2</cp:revision>
  <cp:lastPrinted>2019-06-04T13:08:00Z</cp:lastPrinted>
  <dcterms:created xsi:type="dcterms:W3CDTF">2020-06-01T14:18:00Z</dcterms:created>
  <dcterms:modified xsi:type="dcterms:W3CDTF">2020-06-01T14:18:00Z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