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222B8E" w:rsidP="00222B8E" w:rsidRDefault="00222B8E" w14:paraId="664FFD97" w14:textId="77777777">
      <w:pPr>
        <w:pStyle w:val="Heading1"/>
        <w:ind w:left="0"/>
        <w:jc w:val="center"/>
      </w:pPr>
      <w:bookmarkStart w:name="_GoBack" w:id="0"/>
      <w:bookmarkEnd w:id="0"/>
      <w:r w:rsidRPr="00BD7237">
        <w:t>SUPPORTING STATEMENT</w:t>
      </w:r>
    </w:p>
    <w:p w:rsidRPr="00BD7237" w:rsidR="00222B8E" w:rsidP="00222B8E" w:rsidRDefault="00222B8E" w14:paraId="25C07574" w14:textId="77777777">
      <w:pPr>
        <w:spacing w:before="22" w:line="259" w:lineRule="auto"/>
        <w:ind w:firstLine="14"/>
        <w:jc w:val="center"/>
        <w:rPr>
          <w:b/>
          <w:sz w:val="24"/>
          <w:szCs w:val="24"/>
        </w:rPr>
      </w:pPr>
      <w:r w:rsidRPr="00BD7237">
        <w:rPr>
          <w:b/>
          <w:sz w:val="24"/>
          <w:szCs w:val="24"/>
        </w:rPr>
        <w:t>U.S. Department of Commerce</w:t>
      </w:r>
    </w:p>
    <w:p w:rsidRPr="00BD7237" w:rsidR="00222B8E" w:rsidP="00222B8E" w:rsidRDefault="00222B8E" w14:paraId="6366B6AF" w14:textId="77777777">
      <w:pPr>
        <w:spacing w:before="22" w:line="259" w:lineRule="auto"/>
        <w:ind w:firstLine="14"/>
        <w:jc w:val="center"/>
        <w:rPr>
          <w:b/>
          <w:sz w:val="24"/>
          <w:szCs w:val="24"/>
        </w:rPr>
      </w:pPr>
      <w:r w:rsidRPr="00BD7237">
        <w:rPr>
          <w:b/>
          <w:sz w:val="24"/>
          <w:szCs w:val="24"/>
        </w:rPr>
        <w:t>National Oceanic &amp; Atmospheric Administration</w:t>
      </w:r>
    </w:p>
    <w:p w:rsidRPr="00222B8E" w:rsidR="00222B8E" w:rsidRDefault="00222B8E" w14:paraId="216DD2C3" w14:textId="77777777">
      <w:pPr>
        <w:spacing w:before="3"/>
        <w:ind w:left="1680" w:right="1742"/>
        <w:jc w:val="center"/>
        <w:rPr>
          <w:b/>
          <w:sz w:val="24"/>
          <w:szCs w:val="24"/>
        </w:rPr>
      </w:pPr>
      <w:r w:rsidRPr="00222B8E">
        <w:rPr>
          <w:b/>
          <w:sz w:val="24"/>
          <w:szCs w:val="24"/>
        </w:rPr>
        <w:t xml:space="preserve">Socio-Economic Survey of Hired Captains and Crew in New England, Mid-Atlantic, South Atlantic and Gulf of Mexico Commercial Fisheries </w:t>
      </w:r>
    </w:p>
    <w:p w:rsidR="00844413" w:rsidRDefault="0066531C" w14:paraId="0E4D8022" w14:textId="2AD44A63">
      <w:pPr>
        <w:spacing w:before="3"/>
        <w:ind w:left="1680" w:right="1742"/>
        <w:jc w:val="center"/>
        <w:rPr>
          <w:b/>
          <w:sz w:val="24"/>
          <w:szCs w:val="24"/>
        </w:rPr>
      </w:pPr>
      <w:r>
        <w:rPr>
          <w:b/>
          <w:sz w:val="24"/>
          <w:szCs w:val="24"/>
        </w:rPr>
        <w:t xml:space="preserve">OMB </w:t>
      </w:r>
      <w:r w:rsidR="00222B8E">
        <w:rPr>
          <w:b/>
          <w:sz w:val="24"/>
          <w:szCs w:val="24"/>
        </w:rPr>
        <w:t>Control No</w:t>
      </w:r>
      <w:r>
        <w:rPr>
          <w:b/>
          <w:sz w:val="24"/>
          <w:szCs w:val="24"/>
        </w:rPr>
        <w:t>. 0648-0636</w:t>
      </w:r>
    </w:p>
    <w:p w:rsidR="00844413" w:rsidRDefault="00844413" w14:paraId="4E395485" w14:textId="77777777">
      <w:pPr>
        <w:pBdr>
          <w:top w:val="nil"/>
          <w:left w:val="nil"/>
          <w:bottom w:val="nil"/>
          <w:right w:val="nil"/>
          <w:between w:val="nil"/>
        </w:pBdr>
        <w:rPr>
          <w:b/>
          <w:color w:val="000000"/>
          <w:sz w:val="26"/>
          <w:szCs w:val="26"/>
        </w:rPr>
      </w:pPr>
    </w:p>
    <w:p w:rsidR="00844413" w:rsidRDefault="00844413" w14:paraId="086C46B0" w14:textId="77777777">
      <w:pPr>
        <w:pBdr>
          <w:top w:val="nil"/>
          <w:left w:val="nil"/>
          <w:bottom w:val="nil"/>
          <w:right w:val="nil"/>
          <w:between w:val="nil"/>
        </w:pBdr>
        <w:rPr>
          <w:b/>
          <w:color w:val="000000"/>
          <w:sz w:val="26"/>
          <w:szCs w:val="26"/>
        </w:rPr>
      </w:pPr>
    </w:p>
    <w:p w:rsidR="00844413" w:rsidRDefault="00844413" w14:paraId="3CE095A5" w14:textId="77777777">
      <w:pPr>
        <w:pBdr>
          <w:top w:val="nil"/>
          <w:left w:val="nil"/>
          <w:bottom w:val="nil"/>
          <w:right w:val="nil"/>
          <w:between w:val="nil"/>
        </w:pBdr>
        <w:spacing w:before="3"/>
        <w:rPr>
          <w:b/>
          <w:color w:val="000000"/>
          <w:sz w:val="27"/>
          <w:szCs w:val="27"/>
        </w:rPr>
      </w:pPr>
    </w:p>
    <w:p w:rsidR="00844413" w:rsidRDefault="0066531C" w14:paraId="0ED9AE44" w14:textId="77777777">
      <w:pPr>
        <w:pBdr>
          <w:top w:val="nil"/>
          <w:left w:val="nil"/>
          <w:bottom w:val="nil"/>
          <w:right w:val="nil"/>
          <w:between w:val="nil"/>
        </w:pBdr>
        <w:tabs>
          <w:tab w:val="left" w:pos="1361"/>
        </w:tabs>
        <w:spacing w:before="1"/>
        <w:rPr>
          <w:b/>
          <w:color w:val="000000"/>
          <w:sz w:val="24"/>
          <w:szCs w:val="24"/>
        </w:rPr>
      </w:pPr>
      <w:bookmarkStart w:name="30j0zll" w:colFirst="0" w:colLast="0" w:id="1"/>
      <w:bookmarkEnd w:id="1"/>
      <w:r>
        <w:rPr>
          <w:b/>
          <w:color w:val="000000"/>
          <w:sz w:val="24"/>
          <w:szCs w:val="24"/>
        </w:rPr>
        <w:t>B.  COLLECTIONS OF INFORMATION EMPLOYING STATISTICAL METHODS</w:t>
      </w:r>
    </w:p>
    <w:p w:rsidR="00844413" w:rsidRDefault="00844413" w14:paraId="4FFF1994" w14:textId="77777777">
      <w:pPr>
        <w:pBdr>
          <w:top w:val="nil"/>
          <w:left w:val="nil"/>
          <w:bottom w:val="nil"/>
          <w:right w:val="nil"/>
          <w:between w:val="nil"/>
        </w:pBdr>
        <w:spacing w:before="11"/>
        <w:rPr>
          <w:b/>
          <w:color w:val="000000"/>
          <w:sz w:val="23"/>
          <w:szCs w:val="23"/>
        </w:rPr>
      </w:pPr>
    </w:p>
    <w:p w:rsidR="00844413" w:rsidRDefault="0066531C" w14:paraId="0885296C" w14:textId="77777777">
      <w:pPr>
        <w:numPr>
          <w:ilvl w:val="1"/>
          <w:numId w:val="1"/>
        </w:numPr>
        <w:tabs>
          <w:tab w:val="left" w:pos="1320"/>
        </w:tabs>
        <w:ind w:right="1514"/>
      </w:pPr>
      <w:r>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w:t>
      </w:r>
      <w:r w:rsidRPr="00763C67">
        <w:rPr>
          <w:b/>
          <w:sz w:val="24"/>
          <w:szCs w:val="24"/>
        </w:rPr>
        <w:t>to be provided in tabular form for the universe as a whole and for each of the strata in the proposed sample. Indicate expected response rates for the collection as a whole. If the collection</w:t>
      </w:r>
      <w:r>
        <w:rPr>
          <w:b/>
          <w:sz w:val="24"/>
          <w:szCs w:val="24"/>
        </w:rPr>
        <w:t xml:space="preserve"> had been conducted previously, include the actual response rate achieved during the last collection.</w:t>
      </w:r>
    </w:p>
    <w:p w:rsidR="00844413" w:rsidRDefault="00844413" w14:paraId="7792C1DD" w14:textId="77777777">
      <w:pPr>
        <w:pBdr>
          <w:top w:val="nil"/>
          <w:left w:val="nil"/>
          <w:bottom w:val="nil"/>
          <w:right w:val="nil"/>
          <w:between w:val="nil"/>
        </w:pBdr>
        <w:spacing w:before="2"/>
        <w:rPr>
          <w:b/>
          <w:color w:val="000000"/>
          <w:sz w:val="23"/>
          <w:szCs w:val="23"/>
        </w:rPr>
      </w:pPr>
    </w:p>
    <w:p w:rsidR="00844413" w:rsidRDefault="0066531C" w14:paraId="54242CE0" w14:textId="77777777">
      <w:pPr>
        <w:pBdr>
          <w:top w:val="nil"/>
          <w:left w:val="nil"/>
          <w:bottom w:val="nil"/>
          <w:right w:val="nil"/>
          <w:between w:val="nil"/>
        </w:pBdr>
        <w:ind w:left="1320"/>
        <w:rPr>
          <w:color w:val="000000"/>
          <w:sz w:val="24"/>
          <w:szCs w:val="24"/>
        </w:rPr>
      </w:pPr>
      <w:r>
        <w:rPr>
          <w:color w:val="000000"/>
          <w:sz w:val="24"/>
          <w:szCs w:val="24"/>
          <w:u w:val="single"/>
        </w:rPr>
        <w:t>Target and Sampling Populations</w:t>
      </w:r>
    </w:p>
    <w:p w:rsidR="00844413" w:rsidRDefault="00844413" w14:paraId="0ADA754E" w14:textId="77777777">
      <w:pPr>
        <w:pBdr>
          <w:top w:val="nil"/>
          <w:left w:val="nil"/>
          <w:bottom w:val="nil"/>
          <w:right w:val="nil"/>
          <w:between w:val="nil"/>
        </w:pBdr>
        <w:spacing w:before="3"/>
        <w:rPr>
          <w:color w:val="000000"/>
          <w:sz w:val="16"/>
          <w:szCs w:val="16"/>
        </w:rPr>
      </w:pPr>
    </w:p>
    <w:p w:rsidR="00844413" w:rsidRDefault="0066531C" w14:paraId="79D2E256" w14:textId="77777777">
      <w:pPr>
        <w:spacing w:before="91"/>
        <w:ind w:left="1080"/>
        <w:rPr>
          <w:sz w:val="20"/>
          <w:szCs w:val="20"/>
        </w:rPr>
      </w:pPr>
      <w:r>
        <w:tab/>
      </w:r>
      <w:hyperlink w:anchor="_1fob9te">
        <w:r>
          <w:rPr>
            <w:sz w:val="20"/>
            <w:szCs w:val="20"/>
          </w:rPr>
          <w:t xml:space="preserve">Table </w:t>
        </w:r>
      </w:hyperlink>
      <w:r>
        <w:rPr>
          <w:sz w:val="20"/>
          <w:szCs w:val="20"/>
        </w:rPr>
        <w:t>1. Definitions of the target and sampling populations for the survey.</w:t>
      </w:r>
    </w:p>
    <w:p w:rsidR="00844413" w:rsidRDefault="00844413" w14:paraId="2A41F581" w14:textId="77777777">
      <w:pPr>
        <w:pBdr>
          <w:top w:val="nil"/>
          <w:left w:val="nil"/>
          <w:bottom w:val="nil"/>
          <w:right w:val="nil"/>
          <w:between w:val="nil"/>
        </w:pBdr>
        <w:spacing w:before="7"/>
        <w:rPr>
          <w:color w:val="000000"/>
          <w:sz w:val="20"/>
          <w:szCs w:val="20"/>
        </w:rPr>
      </w:pPr>
    </w:p>
    <w:tbl>
      <w:tblPr>
        <w:tblStyle w:val="a"/>
        <w:tblW w:w="8010"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0"/>
        <w:gridCol w:w="4050"/>
      </w:tblGrid>
      <w:tr w:rsidR="00844413" w14:paraId="051B733A" w14:textId="77777777">
        <w:trPr>
          <w:trHeight w:val="148"/>
        </w:trPr>
        <w:tc>
          <w:tcPr>
            <w:tcW w:w="3960" w:type="dxa"/>
            <w:vAlign w:val="center"/>
          </w:tcPr>
          <w:p w:rsidR="00844413" w:rsidRDefault="0066531C" w14:paraId="3F741DDF" w14:textId="77777777">
            <w:pPr>
              <w:pBdr>
                <w:top w:val="nil"/>
                <w:left w:val="nil"/>
                <w:bottom w:val="nil"/>
                <w:right w:val="nil"/>
                <w:between w:val="nil"/>
              </w:pBdr>
              <w:spacing w:before="48" w:line="228" w:lineRule="auto"/>
              <w:ind w:left="144" w:right="101"/>
              <w:jc w:val="center"/>
              <w:rPr>
                <w:b/>
                <w:color w:val="000000"/>
                <w:sz w:val="20"/>
                <w:szCs w:val="20"/>
              </w:rPr>
            </w:pPr>
            <w:bookmarkStart w:name="_1fob9te" w:colFirst="0" w:colLast="0" w:id="2"/>
            <w:bookmarkEnd w:id="2"/>
            <w:r>
              <w:rPr>
                <w:b/>
                <w:color w:val="000000"/>
                <w:sz w:val="20"/>
                <w:szCs w:val="20"/>
              </w:rPr>
              <w:t>Category</w:t>
            </w:r>
          </w:p>
        </w:tc>
        <w:tc>
          <w:tcPr>
            <w:tcW w:w="4050" w:type="dxa"/>
            <w:vAlign w:val="center"/>
          </w:tcPr>
          <w:p w:rsidR="00844413" w:rsidRDefault="0066531C" w14:paraId="64AABCD7" w14:textId="77777777">
            <w:pPr>
              <w:pBdr>
                <w:top w:val="nil"/>
                <w:left w:val="nil"/>
                <w:bottom w:val="nil"/>
                <w:right w:val="nil"/>
                <w:between w:val="nil"/>
              </w:pBdr>
              <w:spacing w:before="48" w:line="229" w:lineRule="auto"/>
              <w:ind w:left="144"/>
              <w:jc w:val="center"/>
              <w:rPr>
                <w:b/>
                <w:color w:val="000000"/>
                <w:sz w:val="20"/>
                <w:szCs w:val="20"/>
              </w:rPr>
            </w:pPr>
            <w:r>
              <w:rPr>
                <w:b/>
                <w:color w:val="000000"/>
                <w:sz w:val="20"/>
                <w:szCs w:val="20"/>
              </w:rPr>
              <w:t>Crew Survey</w:t>
            </w:r>
          </w:p>
        </w:tc>
      </w:tr>
      <w:tr w:rsidR="00844413" w14:paraId="403A1AEA" w14:textId="77777777">
        <w:trPr>
          <w:trHeight w:val="1451"/>
        </w:trPr>
        <w:tc>
          <w:tcPr>
            <w:tcW w:w="3960" w:type="dxa"/>
            <w:vAlign w:val="center"/>
          </w:tcPr>
          <w:p w:rsidR="00844413" w:rsidRDefault="0066531C" w14:paraId="092039DC" w14:textId="77777777">
            <w:pPr>
              <w:pBdr>
                <w:top w:val="nil"/>
                <w:left w:val="nil"/>
                <w:bottom w:val="nil"/>
                <w:right w:val="nil"/>
                <w:between w:val="nil"/>
              </w:pBdr>
              <w:spacing w:before="168"/>
              <w:ind w:left="244" w:right="254"/>
              <w:jc w:val="center"/>
              <w:rPr>
                <w:color w:val="000000"/>
                <w:sz w:val="20"/>
                <w:szCs w:val="20"/>
              </w:rPr>
            </w:pPr>
            <w:r>
              <w:rPr>
                <w:b/>
                <w:color w:val="000000"/>
                <w:sz w:val="20"/>
                <w:szCs w:val="20"/>
              </w:rPr>
              <w:t xml:space="preserve">Target population </w:t>
            </w:r>
            <w:r>
              <w:rPr>
                <w:color w:val="000000"/>
                <w:sz w:val="20"/>
                <w:szCs w:val="20"/>
              </w:rPr>
              <w:t>– The population that the survey effort is interested in collecting data about.</w:t>
            </w:r>
          </w:p>
        </w:tc>
        <w:tc>
          <w:tcPr>
            <w:tcW w:w="4050" w:type="dxa"/>
            <w:vAlign w:val="center"/>
          </w:tcPr>
          <w:p w:rsidR="00844413" w:rsidRDefault="0066531C" w14:paraId="345872D5" w14:textId="77777777">
            <w:pPr>
              <w:pBdr>
                <w:top w:val="nil"/>
                <w:left w:val="nil"/>
                <w:bottom w:val="nil"/>
                <w:right w:val="nil"/>
                <w:between w:val="nil"/>
              </w:pBdr>
              <w:spacing w:before="99"/>
              <w:ind w:left="516" w:right="296" w:firstLine="2"/>
              <w:jc w:val="center"/>
              <w:rPr>
                <w:color w:val="000000"/>
                <w:sz w:val="20"/>
                <w:szCs w:val="20"/>
              </w:rPr>
            </w:pPr>
            <w:r>
              <w:rPr>
                <w:color w:val="000000"/>
                <w:sz w:val="20"/>
                <w:szCs w:val="20"/>
              </w:rPr>
              <w:t>Individuals who work as crew on commercial fishing vessels operating in the New England, Mid-Atlantic, South Atlantic, and Gulf of Mexico states.</w:t>
            </w:r>
          </w:p>
        </w:tc>
      </w:tr>
      <w:tr w:rsidR="00844413" w14:paraId="199300BF" w14:textId="77777777">
        <w:trPr>
          <w:trHeight w:val="1097"/>
        </w:trPr>
        <w:tc>
          <w:tcPr>
            <w:tcW w:w="3960" w:type="dxa"/>
            <w:vAlign w:val="center"/>
          </w:tcPr>
          <w:p w:rsidR="00844413" w:rsidRDefault="0066531C" w14:paraId="10274C11" w14:textId="77777777">
            <w:pPr>
              <w:pBdr>
                <w:top w:val="nil"/>
                <w:left w:val="nil"/>
                <w:bottom w:val="nil"/>
                <w:right w:val="nil"/>
                <w:between w:val="nil"/>
              </w:pBdr>
              <w:spacing w:before="146"/>
              <w:ind w:left="195" w:right="295"/>
              <w:jc w:val="center"/>
              <w:rPr>
                <w:color w:val="000000"/>
                <w:sz w:val="20"/>
                <w:szCs w:val="20"/>
              </w:rPr>
            </w:pPr>
            <w:r>
              <w:rPr>
                <w:b/>
                <w:color w:val="000000"/>
                <w:sz w:val="20"/>
                <w:szCs w:val="20"/>
              </w:rPr>
              <w:t xml:space="preserve">Sampling population </w:t>
            </w:r>
            <w:r>
              <w:rPr>
                <w:color w:val="000000"/>
                <w:sz w:val="20"/>
                <w:szCs w:val="20"/>
              </w:rPr>
              <w:t>– The set of individuals from which the sample units are drawn.</w:t>
            </w:r>
          </w:p>
        </w:tc>
        <w:tc>
          <w:tcPr>
            <w:tcW w:w="4050" w:type="dxa"/>
            <w:vAlign w:val="center"/>
          </w:tcPr>
          <w:p w:rsidR="00844413" w:rsidRDefault="0066531C" w14:paraId="4E9DDF79" w14:textId="77777777">
            <w:pPr>
              <w:pBdr>
                <w:top w:val="nil"/>
                <w:left w:val="nil"/>
                <w:bottom w:val="nil"/>
                <w:right w:val="nil"/>
                <w:between w:val="nil"/>
              </w:pBdr>
              <w:spacing w:before="137"/>
              <w:ind w:left="538" w:right="259"/>
              <w:jc w:val="center"/>
              <w:rPr>
                <w:color w:val="000000"/>
                <w:sz w:val="20"/>
                <w:szCs w:val="20"/>
              </w:rPr>
            </w:pPr>
            <w:r>
              <w:rPr>
                <w:color w:val="000000"/>
                <w:sz w:val="20"/>
                <w:szCs w:val="20"/>
              </w:rPr>
              <w:t>Individual crew members that can be encountered on the public areas of docks.</w:t>
            </w:r>
          </w:p>
        </w:tc>
      </w:tr>
    </w:tbl>
    <w:p w:rsidR="00844413" w:rsidRDefault="00844413" w14:paraId="3790666B" w14:textId="77777777">
      <w:pPr>
        <w:pBdr>
          <w:top w:val="nil"/>
          <w:left w:val="nil"/>
          <w:bottom w:val="nil"/>
          <w:right w:val="nil"/>
          <w:between w:val="nil"/>
        </w:pBdr>
        <w:rPr>
          <w:color w:val="000000"/>
        </w:rPr>
      </w:pPr>
    </w:p>
    <w:p w:rsidR="00844413" w:rsidRDefault="00844413" w14:paraId="39B5F834" w14:textId="77777777">
      <w:pPr>
        <w:pBdr>
          <w:top w:val="nil"/>
          <w:left w:val="nil"/>
          <w:bottom w:val="nil"/>
          <w:right w:val="nil"/>
          <w:between w:val="nil"/>
        </w:pBdr>
        <w:spacing w:before="7"/>
        <w:rPr>
          <w:color w:val="000000"/>
          <w:sz w:val="24"/>
          <w:szCs w:val="24"/>
        </w:rPr>
      </w:pPr>
    </w:p>
    <w:p w:rsidR="00844413" w:rsidRDefault="0066531C" w14:paraId="14FFBADC" w14:textId="77777777">
      <w:pPr>
        <w:pBdr>
          <w:top w:val="nil"/>
          <w:left w:val="nil"/>
          <w:bottom w:val="nil"/>
          <w:right w:val="nil"/>
          <w:between w:val="nil"/>
        </w:pBdr>
        <w:ind w:left="1320"/>
        <w:rPr>
          <w:color w:val="000000"/>
          <w:sz w:val="24"/>
          <w:szCs w:val="24"/>
        </w:rPr>
      </w:pPr>
      <w:r>
        <w:rPr>
          <w:color w:val="000000"/>
          <w:sz w:val="24"/>
          <w:szCs w:val="24"/>
          <w:u w:val="single"/>
        </w:rPr>
        <w:t>Population and Sample Size</w:t>
      </w:r>
      <w:r>
        <w:rPr>
          <w:strike/>
          <w:color w:val="000000"/>
          <w:sz w:val="24"/>
          <w:szCs w:val="24"/>
          <w:u w:val="single"/>
        </w:rPr>
        <w:t>s</w:t>
      </w:r>
    </w:p>
    <w:p w:rsidR="00844413" w:rsidRDefault="00844413" w14:paraId="31B046D7" w14:textId="77777777">
      <w:pPr>
        <w:pBdr>
          <w:top w:val="nil"/>
          <w:left w:val="nil"/>
          <w:bottom w:val="nil"/>
          <w:right w:val="nil"/>
          <w:between w:val="nil"/>
        </w:pBdr>
        <w:spacing w:before="2"/>
        <w:rPr>
          <w:color w:val="000000"/>
          <w:sz w:val="24"/>
          <w:szCs w:val="24"/>
        </w:rPr>
      </w:pPr>
    </w:p>
    <w:p w:rsidR="00844413" w:rsidRDefault="0066531C" w14:paraId="529A736E" w14:textId="7C6C3C26">
      <w:pPr>
        <w:pBdr>
          <w:top w:val="nil"/>
          <w:left w:val="nil"/>
          <w:bottom w:val="nil"/>
          <w:right w:val="nil"/>
          <w:between w:val="nil"/>
        </w:pBdr>
        <w:spacing w:before="72"/>
        <w:ind w:left="1320" w:right="1361"/>
        <w:rPr>
          <w:color w:val="000000"/>
          <w:sz w:val="24"/>
          <w:szCs w:val="24"/>
        </w:rPr>
      </w:pPr>
      <w:r>
        <w:rPr>
          <w:color w:val="000000"/>
          <w:sz w:val="24"/>
          <w:szCs w:val="24"/>
        </w:rPr>
        <w:t xml:space="preserve">The target population for the Survey consists of individuals who work as </w:t>
      </w:r>
      <w:r w:rsidR="00151C37">
        <w:rPr>
          <w:color w:val="000000"/>
          <w:sz w:val="24"/>
          <w:szCs w:val="24"/>
        </w:rPr>
        <w:t xml:space="preserve">hired captains and </w:t>
      </w:r>
      <w:r>
        <w:rPr>
          <w:color w:val="000000"/>
          <w:sz w:val="24"/>
          <w:szCs w:val="24"/>
        </w:rPr>
        <w:t xml:space="preserve">crew </w:t>
      </w:r>
      <w:r w:rsidR="0093160A">
        <w:rPr>
          <w:color w:val="000000"/>
          <w:sz w:val="24"/>
          <w:szCs w:val="24"/>
        </w:rPr>
        <w:t xml:space="preserve">(here to for referred to as </w:t>
      </w:r>
      <w:r w:rsidR="0002628F">
        <w:rPr>
          <w:color w:val="000000"/>
          <w:sz w:val="24"/>
          <w:szCs w:val="24"/>
        </w:rPr>
        <w:t>c</w:t>
      </w:r>
      <w:r w:rsidR="0093160A">
        <w:rPr>
          <w:color w:val="000000"/>
          <w:sz w:val="24"/>
          <w:szCs w:val="24"/>
        </w:rPr>
        <w:t xml:space="preserve">rew) </w:t>
      </w:r>
      <w:r>
        <w:rPr>
          <w:color w:val="000000"/>
          <w:sz w:val="24"/>
          <w:szCs w:val="24"/>
        </w:rPr>
        <w:t>on commercial fishing vessels operating in the New England, Mid-Atlantic, South Atlantic, or Gulf of Mexico states (Table 1). There is no available database of information on those who work as crew on commercial fishing vessels in the target regions. Therefore, the NEFSC and SEFSC will utilize estimates of employment in commercial fishing as the sampling frame from which to calculate an appropriate sample size. The employment estimates in New England and the Mid-Atlantic come from</w:t>
      </w:r>
      <w:r w:rsidR="00FE3337">
        <w:rPr>
          <w:color w:val="000000"/>
          <w:sz w:val="24"/>
          <w:szCs w:val="24"/>
        </w:rPr>
        <w:t xml:space="preserve"> </w:t>
      </w:r>
      <w:r w:rsidRPr="00FE3337" w:rsidR="00FE3337">
        <w:rPr>
          <w:color w:val="000000"/>
          <w:sz w:val="24"/>
          <w:szCs w:val="24"/>
        </w:rPr>
        <w:t xml:space="preserve">two Census data sources, County Business Patterns (CBP) and Nonemployer Statistics data for the NAICS code “Fishing”. The CBP provides annual statistics for establishments with paid employees. The Nonemployer Statistics covers establishments with no </w:t>
      </w:r>
      <w:r w:rsidRPr="00FE3337" w:rsidR="00FE3337">
        <w:rPr>
          <w:color w:val="000000"/>
          <w:sz w:val="24"/>
          <w:szCs w:val="24"/>
        </w:rPr>
        <w:lastRenderedPageBreak/>
        <w:t>employees; most are sole proprietorships.</w:t>
      </w:r>
      <w:r w:rsidR="009801D1">
        <w:t xml:space="preserve"> </w:t>
      </w:r>
      <w:r w:rsidRPr="009801D1" w:rsidDel="009801D1" w:rsidR="009801D1">
        <w:rPr>
          <w:color w:val="000000"/>
          <w:sz w:val="24"/>
          <w:szCs w:val="24"/>
        </w:rPr>
        <w:t xml:space="preserve"> </w:t>
      </w:r>
      <w:r w:rsidRPr="009801D1">
        <w:rPr>
          <w:color w:val="000000"/>
          <w:sz w:val="24"/>
          <w:szCs w:val="24"/>
        </w:rPr>
        <w:t>These estimates of commercial fishing employment by state are provided in Table 2. The total estimated population of individuals employed in commercial fishing in New England and the Mid-Atl</w:t>
      </w:r>
      <w:r>
        <w:rPr>
          <w:color w:val="000000"/>
          <w:sz w:val="24"/>
          <w:szCs w:val="24"/>
        </w:rPr>
        <w:t xml:space="preserve">antic is </w:t>
      </w:r>
      <w:r w:rsidR="0001470A">
        <w:rPr>
          <w:color w:val="000000"/>
          <w:sz w:val="24"/>
          <w:szCs w:val="24"/>
        </w:rPr>
        <w:t>19,380</w:t>
      </w:r>
      <w:r>
        <w:rPr>
          <w:color w:val="000000"/>
          <w:sz w:val="24"/>
          <w:szCs w:val="24"/>
        </w:rPr>
        <w:t xml:space="preserve">. </w:t>
      </w:r>
      <w:r w:rsidR="00B51EC8">
        <w:rPr>
          <w:color w:val="000000"/>
          <w:sz w:val="24"/>
          <w:szCs w:val="24"/>
        </w:rPr>
        <w:t>The commercial fishing employment population size is the estimated size of the universe from which our sample will be drawn. Since there is no sample frame, we calculate a sample size based on this estimated population size. The sample is not stratified because the population estimates are available only at broad geographic scales and are not specified at the fishery level.</w:t>
      </w:r>
      <w:r w:rsidR="005752FD">
        <w:rPr>
          <w:color w:val="000000"/>
          <w:sz w:val="24"/>
          <w:szCs w:val="24"/>
        </w:rPr>
        <w:t xml:space="preserve"> T</w:t>
      </w:r>
      <w:r w:rsidR="00036CFB">
        <w:rPr>
          <w:color w:val="000000"/>
          <w:sz w:val="24"/>
          <w:szCs w:val="24"/>
        </w:rPr>
        <w:t xml:space="preserve">able 1 describes the population universe and sample and Table 2 provides the estimated size of the population within </w:t>
      </w:r>
      <w:r w:rsidR="00151C37">
        <w:rPr>
          <w:color w:val="000000"/>
          <w:sz w:val="24"/>
          <w:szCs w:val="24"/>
        </w:rPr>
        <w:t xml:space="preserve">the </w:t>
      </w:r>
      <w:r w:rsidR="00036CFB">
        <w:rPr>
          <w:color w:val="000000"/>
          <w:sz w:val="24"/>
          <w:szCs w:val="24"/>
        </w:rPr>
        <w:t>universe of potential respondents to be sampled.</w:t>
      </w:r>
    </w:p>
    <w:p w:rsidR="00844413" w:rsidRDefault="00844413" w14:paraId="0A4B2E30" w14:textId="77777777">
      <w:pPr>
        <w:pBdr>
          <w:top w:val="nil"/>
          <w:left w:val="nil"/>
          <w:bottom w:val="nil"/>
          <w:right w:val="nil"/>
          <w:between w:val="nil"/>
        </w:pBdr>
        <w:spacing w:before="72"/>
        <w:ind w:left="1320" w:right="1361"/>
        <w:rPr>
          <w:color w:val="000000"/>
          <w:sz w:val="24"/>
          <w:szCs w:val="24"/>
        </w:rPr>
      </w:pPr>
    </w:p>
    <w:p w:rsidR="00844413" w:rsidRDefault="0066531C" w14:paraId="01379825" w14:textId="77777777">
      <w:pPr>
        <w:ind w:left="720" w:firstLine="720"/>
      </w:pPr>
      <w:r>
        <w:t>Table 2. Commercial Fishing Employment Estimates by State for the Northeast and Southeast</w:t>
      </w:r>
    </w:p>
    <w:p w:rsidR="00844413" w:rsidRDefault="00844413" w14:paraId="4CD47977" w14:textId="77777777"/>
    <w:tbl>
      <w:tblPr>
        <w:tblStyle w:val="a0"/>
        <w:tblW w:w="9045" w:type="dxa"/>
        <w:tblInd w:w="1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22"/>
        <w:gridCol w:w="4523"/>
      </w:tblGrid>
      <w:tr w:rsidR="00844413" w14:paraId="4CC6994C" w14:textId="77777777">
        <w:trPr>
          <w:trHeight w:val="288"/>
        </w:trPr>
        <w:tc>
          <w:tcPr>
            <w:tcW w:w="4522" w:type="dxa"/>
          </w:tcPr>
          <w:p w:rsidR="00844413" w:rsidRDefault="0066531C" w14:paraId="0E44A2A6" w14:textId="77777777">
            <w:pPr>
              <w:jc w:val="center"/>
              <w:rPr>
                <w:b/>
              </w:rPr>
            </w:pPr>
            <w:r>
              <w:rPr>
                <w:b/>
              </w:rPr>
              <w:t>State</w:t>
            </w:r>
          </w:p>
        </w:tc>
        <w:tc>
          <w:tcPr>
            <w:tcW w:w="4523" w:type="dxa"/>
          </w:tcPr>
          <w:p w:rsidR="00844413" w:rsidRDefault="0066531C" w14:paraId="7A208621" w14:textId="77777777">
            <w:pPr>
              <w:jc w:val="center"/>
              <w:rPr>
                <w:b/>
              </w:rPr>
            </w:pPr>
            <w:r>
              <w:rPr>
                <w:b/>
              </w:rPr>
              <w:t>Estimated Number Employed in Commercial Fishing</w:t>
            </w:r>
          </w:p>
        </w:tc>
      </w:tr>
      <w:tr w:rsidR="00844413" w14:paraId="16713BF2" w14:textId="77777777">
        <w:trPr>
          <w:trHeight w:val="288"/>
        </w:trPr>
        <w:tc>
          <w:tcPr>
            <w:tcW w:w="4522" w:type="dxa"/>
          </w:tcPr>
          <w:p w:rsidR="00844413" w:rsidRDefault="0066531C" w14:paraId="79F3D571" w14:textId="77777777">
            <w:pPr>
              <w:jc w:val="center"/>
            </w:pPr>
            <w:r>
              <w:t>Maine</w:t>
            </w:r>
          </w:p>
        </w:tc>
        <w:tc>
          <w:tcPr>
            <w:tcW w:w="4523" w:type="dxa"/>
          </w:tcPr>
          <w:p w:rsidR="00844413" w:rsidRDefault="0066531C" w14:paraId="1A505247" w14:textId="5F4C7D1B">
            <w:pPr>
              <w:jc w:val="center"/>
            </w:pPr>
            <w:r>
              <w:t>7,</w:t>
            </w:r>
            <w:r w:rsidR="00FE3337">
              <w:t>807</w:t>
            </w:r>
          </w:p>
        </w:tc>
      </w:tr>
      <w:tr w:rsidR="00844413" w14:paraId="665F5221" w14:textId="77777777">
        <w:trPr>
          <w:trHeight w:val="288"/>
        </w:trPr>
        <w:tc>
          <w:tcPr>
            <w:tcW w:w="4522" w:type="dxa"/>
          </w:tcPr>
          <w:p w:rsidR="00844413" w:rsidRDefault="0066531C" w14:paraId="111577B4" w14:textId="77777777">
            <w:pPr>
              <w:jc w:val="center"/>
            </w:pPr>
            <w:r>
              <w:t>New Hampshire</w:t>
            </w:r>
          </w:p>
        </w:tc>
        <w:tc>
          <w:tcPr>
            <w:tcW w:w="4523" w:type="dxa"/>
          </w:tcPr>
          <w:p w:rsidR="00844413" w:rsidRDefault="00FE3337" w14:paraId="7F9DDE1F" w14:textId="14686607">
            <w:pPr>
              <w:jc w:val="center"/>
            </w:pPr>
            <w:r>
              <w:t>290</w:t>
            </w:r>
          </w:p>
        </w:tc>
      </w:tr>
      <w:tr w:rsidR="00844413" w14:paraId="359B8F1F" w14:textId="77777777">
        <w:trPr>
          <w:trHeight w:val="288"/>
        </w:trPr>
        <w:tc>
          <w:tcPr>
            <w:tcW w:w="4522" w:type="dxa"/>
          </w:tcPr>
          <w:p w:rsidR="00844413" w:rsidRDefault="0066531C" w14:paraId="71DEBA64" w14:textId="77777777">
            <w:pPr>
              <w:jc w:val="center"/>
            </w:pPr>
            <w:r>
              <w:t>Massachusetts</w:t>
            </w:r>
          </w:p>
        </w:tc>
        <w:tc>
          <w:tcPr>
            <w:tcW w:w="4523" w:type="dxa"/>
          </w:tcPr>
          <w:p w:rsidR="00844413" w:rsidRDefault="00FE3337" w14:paraId="08A17895" w14:textId="041EDFA1">
            <w:pPr>
              <w:jc w:val="center"/>
            </w:pPr>
            <w:r>
              <w:t>3,598</w:t>
            </w:r>
          </w:p>
        </w:tc>
      </w:tr>
      <w:tr w:rsidR="00844413" w14:paraId="72148504" w14:textId="77777777">
        <w:trPr>
          <w:trHeight w:val="288"/>
        </w:trPr>
        <w:tc>
          <w:tcPr>
            <w:tcW w:w="4522" w:type="dxa"/>
          </w:tcPr>
          <w:p w:rsidR="00844413" w:rsidRDefault="0066531C" w14:paraId="2BCE6B6F" w14:textId="77777777">
            <w:pPr>
              <w:jc w:val="center"/>
            </w:pPr>
            <w:r>
              <w:t>Rhode Island</w:t>
            </w:r>
          </w:p>
        </w:tc>
        <w:tc>
          <w:tcPr>
            <w:tcW w:w="4523" w:type="dxa"/>
          </w:tcPr>
          <w:p w:rsidR="00844413" w:rsidRDefault="0066531C" w14:paraId="28FC4CA1" w14:textId="2F75E919">
            <w:pPr>
              <w:jc w:val="center"/>
            </w:pPr>
            <w:r>
              <w:t>1,</w:t>
            </w:r>
            <w:r w:rsidR="00FE3337">
              <w:t>069</w:t>
            </w:r>
          </w:p>
        </w:tc>
      </w:tr>
      <w:tr w:rsidR="00844413" w14:paraId="03684C47" w14:textId="77777777">
        <w:trPr>
          <w:trHeight w:val="288"/>
        </w:trPr>
        <w:tc>
          <w:tcPr>
            <w:tcW w:w="4522" w:type="dxa"/>
          </w:tcPr>
          <w:p w:rsidR="00844413" w:rsidRDefault="0066531C" w14:paraId="183FE411" w14:textId="77777777">
            <w:pPr>
              <w:jc w:val="center"/>
            </w:pPr>
            <w:r>
              <w:t>Connecticut</w:t>
            </w:r>
          </w:p>
        </w:tc>
        <w:tc>
          <w:tcPr>
            <w:tcW w:w="4523" w:type="dxa"/>
          </w:tcPr>
          <w:p w:rsidR="00844413" w:rsidRDefault="00FE3337" w14:paraId="661D0C28" w14:textId="597C341B">
            <w:pPr>
              <w:jc w:val="center"/>
            </w:pPr>
            <w:r>
              <w:t>343</w:t>
            </w:r>
          </w:p>
        </w:tc>
      </w:tr>
      <w:tr w:rsidR="00844413" w14:paraId="0A856A24" w14:textId="77777777">
        <w:trPr>
          <w:trHeight w:val="288"/>
        </w:trPr>
        <w:tc>
          <w:tcPr>
            <w:tcW w:w="4522" w:type="dxa"/>
          </w:tcPr>
          <w:p w:rsidR="00844413" w:rsidRDefault="0066531C" w14:paraId="5342E8EE" w14:textId="77777777">
            <w:pPr>
              <w:jc w:val="center"/>
            </w:pPr>
            <w:r>
              <w:t>New York</w:t>
            </w:r>
          </w:p>
        </w:tc>
        <w:tc>
          <w:tcPr>
            <w:tcW w:w="4523" w:type="dxa"/>
          </w:tcPr>
          <w:p w:rsidR="00844413" w:rsidRDefault="0066531C" w14:paraId="48EEC196" w14:textId="0CE7C95A">
            <w:pPr>
              <w:jc w:val="center"/>
            </w:pPr>
            <w:r>
              <w:t>1,</w:t>
            </w:r>
            <w:r w:rsidR="00FE3337">
              <w:t>430</w:t>
            </w:r>
          </w:p>
        </w:tc>
      </w:tr>
      <w:tr w:rsidR="00844413" w14:paraId="73C3C6CB" w14:textId="77777777">
        <w:trPr>
          <w:trHeight w:val="288"/>
        </w:trPr>
        <w:tc>
          <w:tcPr>
            <w:tcW w:w="4522" w:type="dxa"/>
          </w:tcPr>
          <w:p w:rsidR="00844413" w:rsidRDefault="0066531C" w14:paraId="3B45A7F7" w14:textId="77777777">
            <w:pPr>
              <w:jc w:val="center"/>
            </w:pPr>
            <w:r>
              <w:t>New Jersey</w:t>
            </w:r>
          </w:p>
        </w:tc>
        <w:tc>
          <w:tcPr>
            <w:tcW w:w="4523" w:type="dxa"/>
          </w:tcPr>
          <w:p w:rsidR="00844413" w:rsidRDefault="0066531C" w14:paraId="7A49941B" w14:textId="3324377F">
            <w:pPr>
              <w:jc w:val="center"/>
            </w:pPr>
            <w:r>
              <w:t>1,</w:t>
            </w:r>
            <w:r w:rsidR="00FE3337">
              <w:t>456</w:t>
            </w:r>
          </w:p>
        </w:tc>
      </w:tr>
      <w:tr w:rsidR="00844413" w14:paraId="1453FA98" w14:textId="77777777">
        <w:trPr>
          <w:trHeight w:val="288"/>
        </w:trPr>
        <w:tc>
          <w:tcPr>
            <w:tcW w:w="4522" w:type="dxa"/>
          </w:tcPr>
          <w:p w:rsidR="00844413" w:rsidRDefault="0066531C" w14:paraId="38AE44AB" w14:textId="77777777">
            <w:pPr>
              <w:jc w:val="center"/>
            </w:pPr>
            <w:r>
              <w:t>Delaware</w:t>
            </w:r>
          </w:p>
        </w:tc>
        <w:tc>
          <w:tcPr>
            <w:tcW w:w="4523" w:type="dxa"/>
          </w:tcPr>
          <w:p w:rsidR="00844413" w:rsidRDefault="0066531C" w14:paraId="108D35C2" w14:textId="0F71C6A7">
            <w:pPr>
              <w:jc w:val="center"/>
            </w:pPr>
            <w:r>
              <w:t>1</w:t>
            </w:r>
            <w:r w:rsidR="00FE3337">
              <w:t>50</w:t>
            </w:r>
          </w:p>
        </w:tc>
      </w:tr>
      <w:tr w:rsidR="00844413" w14:paraId="6C2C4CE8" w14:textId="77777777">
        <w:trPr>
          <w:trHeight w:val="288"/>
        </w:trPr>
        <w:tc>
          <w:tcPr>
            <w:tcW w:w="4522" w:type="dxa"/>
          </w:tcPr>
          <w:p w:rsidR="00844413" w:rsidRDefault="0066531C" w14:paraId="74C145A6" w14:textId="77777777">
            <w:pPr>
              <w:jc w:val="center"/>
            </w:pPr>
            <w:r>
              <w:t>Maryland</w:t>
            </w:r>
          </w:p>
        </w:tc>
        <w:tc>
          <w:tcPr>
            <w:tcW w:w="4523" w:type="dxa"/>
          </w:tcPr>
          <w:p w:rsidR="00844413" w:rsidRDefault="0066531C" w14:paraId="3599E67E" w14:textId="1ADE9B09">
            <w:pPr>
              <w:jc w:val="center"/>
            </w:pPr>
            <w:r>
              <w:t>1,</w:t>
            </w:r>
            <w:r w:rsidR="00FE3337">
              <w:t>729</w:t>
            </w:r>
          </w:p>
        </w:tc>
      </w:tr>
      <w:tr w:rsidR="00844413" w14:paraId="2617DC68" w14:textId="77777777">
        <w:trPr>
          <w:trHeight w:val="288"/>
        </w:trPr>
        <w:tc>
          <w:tcPr>
            <w:tcW w:w="4522" w:type="dxa"/>
          </w:tcPr>
          <w:p w:rsidR="00844413" w:rsidRDefault="0066531C" w14:paraId="7A8F5803" w14:textId="77777777">
            <w:pPr>
              <w:jc w:val="center"/>
            </w:pPr>
            <w:r>
              <w:t>Virginia</w:t>
            </w:r>
          </w:p>
        </w:tc>
        <w:tc>
          <w:tcPr>
            <w:tcW w:w="4523" w:type="dxa"/>
          </w:tcPr>
          <w:p w:rsidR="00844413" w:rsidRDefault="0066531C" w14:paraId="6830757B" w14:textId="68EE5BBE">
            <w:pPr>
              <w:jc w:val="center"/>
            </w:pPr>
            <w:r>
              <w:t>1,</w:t>
            </w:r>
            <w:r w:rsidR="00FE3337">
              <w:t>508</w:t>
            </w:r>
          </w:p>
        </w:tc>
      </w:tr>
      <w:tr w:rsidR="00844413" w14:paraId="4AA5CE64" w14:textId="77777777">
        <w:trPr>
          <w:trHeight w:val="288"/>
        </w:trPr>
        <w:tc>
          <w:tcPr>
            <w:tcW w:w="4522" w:type="dxa"/>
          </w:tcPr>
          <w:p w:rsidR="00844413" w:rsidRDefault="0066531C" w14:paraId="7C6F4AC2" w14:textId="77777777">
            <w:pPr>
              <w:jc w:val="center"/>
              <w:rPr>
                <w:b/>
              </w:rPr>
            </w:pPr>
            <w:r>
              <w:rPr>
                <w:b/>
              </w:rPr>
              <w:t>Northeast Total</w:t>
            </w:r>
          </w:p>
        </w:tc>
        <w:tc>
          <w:tcPr>
            <w:tcW w:w="4523" w:type="dxa"/>
          </w:tcPr>
          <w:p w:rsidR="00844413" w:rsidRDefault="00FE3337" w14:paraId="5493F188" w14:textId="1B428010">
            <w:pPr>
              <w:jc w:val="center"/>
              <w:rPr>
                <w:b/>
              </w:rPr>
            </w:pPr>
            <w:r>
              <w:rPr>
                <w:b/>
              </w:rPr>
              <w:t>19,380</w:t>
            </w:r>
          </w:p>
        </w:tc>
      </w:tr>
      <w:tr w:rsidR="00844413" w14:paraId="5E3A0D75" w14:textId="77777777">
        <w:trPr>
          <w:trHeight w:val="288"/>
        </w:trPr>
        <w:tc>
          <w:tcPr>
            <w:tcW w:w="4522" w:type="dxa"/>
          </w:tcPr>
          <w:p w:rsidR="00844413" w:rsidRDefault="0066531C" w14:paraId="55EB9FF4" w14:textId="77777777">
            <w:pPr>
              <w:jc w:val="center"/>
            </w:pPr>
            <w:r>
              <w:t>Texas</w:t>
            </w:r>
          </w:p>
        </w:tc>
        <w:tc>
          <w:tcPr>
            <w:tcW w:w="4523" w:type="dxa"/>
          </w:tcPr>
          <w:p w:rsidR="00844413" w:rsidRDefault="0066531C" w14:paraId="4B64345F" w14:textId="77777777">
            <w:pPr>
              <w:jc w:val="center"/>
            </w:pPr>
            <w:r>
              <w:t>1,486</w:t>
            </w:r>
          </w:p>
        </w:tc>
      </w:tr>
      <w:tr w:rsidR="00844413" w14:paraId="52175310" w14:textId="77777777">
        <w:trPr>
          <w:trHeight w:val="288"/>
        </w:trPr>
        <w:tc>
          <w:tcPr>
            <w:tcW w:w="4522" w:type="dxa"/>
          </w:tcPr>
          <w:p w:rsidR="00844413" w:rsidRDefault="0066531C" w14:paraId="74231F63" w14:textId="77777777">
            <w:pPr>
              <w:jc w:val="center"/>
            </w:pPr>
            <w:r>
              <w:t>Louisiana</w:t>
            </w:r>
          </w:p>
        </w:tc>
        <w:tc>
          <w:tcPr>
            <w:tcW w:w="4523" w:type="dxa"/>
          </w:tcPr>
          <w:p w:rsidR="00844413" w:rsidRDefault="0066531C" w14:paraId="027809A9" w14:textId="77777777">
            <w:pPr>
              <w:jc w:val="center"/>
            </w:pPr>
            <w:r>
              <w:t>1,476</w:t>
            </w:r>
          </w:p>
        </w:tc>
      </w:tr>
      <w:tr w:rsidR="00844413" w14:paraId="60C57AB7" w14:textId="77777777">
        <w:trPr>
          <w:trHeight w:val="288"/>
        </w:trPr>
        <w:tc>
          <w:tcPr>
            <w:tcW w:w="4522" w:type="dxa"/>
          </w:tcPr>
          <w:p w:rsidR="00844413" w:rsidRDefault="0066531C" w14:paraId="63DA6F45" w14:textId="77777777">
            <w:pPr>
              <w:jc w:val="center"/>
            </w:pPr>
            <w:r>
              <w:t>Mississippi</w:t>
            </w:r>
          </w:p>
        </w:tc>
        <w:tc>
          <w:tcPr>
            <w:tcW w:w="4523" w:type="dxa"/>
          </w:tcPr>
          <w:p w:rsidR="00844413" w:rsidRDefault="0066531C" w14:paraId="4DEB8E78" w14:textId="77777777">
            <w:pPr>
              <w:jc w:val="center"/>
            </w:pPr>
            <w:r>
              <w:t>483</w:t>
            </w:r>
          </w:p>
        </w:tc>
      </w:tr>
      <w:tr w:rsidR="00844413" w14:paraId="5743F622" w14:textId="77777777">
        <w:trPr>
          <w:trHeight w:val="288"/>
        </w:trPr>
        <w:tc>
          <w:tcPr>
            <w:tcW w:w="4522" w:type="dxa"/>
          </w:tcPr>
          <w:p w:rsidR="00844413" w:rsidRDefault="0066531C" w14:paraId="1301B89E" w14:textId="77777777">
            <w:pPr>
              <w:jc w:val="center"/>
            </w:pPr>
            <w:r>
              <w:t>Alabama</w:t>
            </w:r>
          </w:p>
        </w:tc>
        <w:tc>
          <w:tcPr>
            <w:tcW w:w="4523" w:type="dxa"/>
          </w:tcPr>
          <w:p w:rsidR="00844413" w:rsidRDefault="0066531C" w14:paraId="44143BB9" w14:textId="77777777">
            <w:pPr>
              <w:jc w:val="center"/>
            </w:pPr>
            <w:r>
              <w:t>545</w:t>
            </w:r>
          </w:p>
        </w:tc>
      </w:tr>
      <w:tr w:rsidR="00844413" w14:paraId="5F98D598" w14:textId="77777777">
        <w:trPr>
          <w:trHeight w:val="288"/>
        </w:trPr>
        <w:tc>
          <w:tcPr>
            <w:tcW w:w="4522" w:type="dxa"/>
          </w:tcPr>
          <w:p w:rsidR="00844413" w:rsidRDefault="0066531C" w14:paraId="65464C98" w14:textId="77777777">
            <w:pPr>
              <w:jc w:val="center"/>
            </w:pPr>
            <w:r>
              <w:t>Florida</w:t>
            </w:r>
          </w:p>
        </w:tc>
        <w:tc>
          <w:tcPr>
            <w:tcW w:w="4523" w:type="dxa"/>
          </w:tcPr>
          <w:p w:rsidR="00844413" w:rsidRDefault="0066531C" w14:paraId="54F53FAE" w14:textId="77777777">
            <w:pPr>
              <w:jc w:val="center"/>
            </w:pPr>
            <w:r>
              <w:t>5,261</w:t>
            </w:r>
          </w:p>
        </w:tc>
      </w:tr>
      <w:tr w:rsidR="00844413" w14:paraId="2179A2DC" w14:textId="77777777">
        <w:trPr>
          <w:trHeight w:val="288"/>
        </w:trPr>
        <w:tc>
          <w:tcPr>
            <w:tcW w:w="4522" w:type="dxa"/>
          </w:tcPr>
          <w:p w:rsidR="00844413" w:rsidRDefault="0066531C" w14:paraId="05470AD4" w14:textId="77777777">
            <w:pPr>
              <w:jc w:val="center"/>
            </w:pPr>
            <w:r>
              <w:t>Georgia</w:t>
            </w:r>
          </w:p>
        </w:tc>
        <w:tc>
          <w:tcPr>
            <w:tcW w:w="4523" w:type="dxa"/>
          </w:tcPr>
          <w:p w:rsidR="00844413" w:rsidRDefault="0066531C" w14:paraId="11771BFE" w14:textId="77777777">
            <w:pPr>
              <w:jc w:val="center"/>
            </w:pPr>
            <w:r>
              <w:t>378</w:t>
            </w:r>
          </w:p>
        </w:tc>
      </w:tr>
      <w:tr w:rsidR="00844413" w14:paraId="318A74F2" w14:textId="77777777">
        <w:trPr>
          <w:trHeight w:val="288"/>
        </w:trPr>
        <w:tc>
          <w:tcPr>
            <w:tcW w:w="4522" w:type="dxa"/>
          </w:tcPr>
          <w:p w:rsidR="00844413" w:rsidRDefault="0066531C" w14:paraId="5269A59E" w14:textId="77777777">
            <w:pPr>
              <w:jc w:val="center"/>
            </w:pPr>
            <w:r>
              <w:t>South Carolina</w:t>
            </w:r>
          </w:p>
        </w:tc>
        <w:tc>
          <w:tcPr>
            <w:tcW w:w="4523" w:type="dxa"/>
          </w:tcPr>
          <w:p w:rsidR="00844413" w:rsidRDefault="0066531C" w14:paraId="3A03741E" w14:textId="77777777">
            <w:pPr>
              <w:jc w:val="center"/>
            </w:pPr>
            <w:r>
              <w:t>177</w:t>
            </w:r>
          </w:p>
        </w:tc>
      </w:tr>
      <w:tr w:rsidR="00844413" w14:paraId="541BBE34" w14:textId="77777777">
        <w:trPr>
          <w:trHeight w:val="288"/>
        </w:trPr>
        <w:tc>
          <w:tcPr>
            <w:tcW w:w="4522" w:type="dxa"/>
          </w:tcPr>
          <w:p w:rsidR="00844413" w:rsidRDefault="0066531C" w14:paraId="27B53DC9" w14:textId="77777777">
            <w:pPr>
              <w:jc w:val="center"/>
            </w:pPr>
            <w:r>
              <w:t>North Carolina</w:t>
            </w:r>
          </w:p>
        </w:tc>
        <w:tc>
          <w:tcPr>
            <w:tcW w:w="4523" w:type="dxa"/>
          </w:tcPr>
          <w:p w:rsidR="00844413" w:rsidRDefault="0066531C" w14:paraId="6F1001A3" w14:textId="77777777">
            <w:pPr>
              <w:jc w:val="center"/>
            </w:pPr>
            <w:r>
              <w:t>1,869</w:t>
            </w:r>
          </w:p>
        </w:tc>
      </w:tr>
      <w:tr w:rsidR="00844413" w14:paraId="7175B6A3" w14:textId="77777777">
        <w:trPr>
          <w:trHeight w:val="288"/>
        </w:trPr>
        <w:tc>
          <w:tcPr>
            <w:tcW w:w="4522" w:type="dxa"/>
          </w:tcPr>
          <w:p w:rsidR="00844413" w:rsidRDefault="0066531C" w14:paraId="475CB19F" w14:textId="77777777">
            <w:pPr>
              <w:jc w:val="center"/>
              <w:rPr>
                <w:b/>
              </w:rPr>
            </w:pPr>
            <w:r>
              <w:rPr>
                <w:b/>
              </w:rPr>
              <w:t>Southeast Total</w:t>
            </w:r>
          </w:p>
        </w:tc>
        <w:tc>
          <w:tcPr>
            <w:tcW w:w="4523" w:type="dxa"/>
          </w:tcPr>
          <w:p w:rsidR="00844413" w:rsidRDefault="0066531C" w14:paraId="4A170DB5" w14:textId="77777777">
            <w:pPr>
              <w:jc w:val="center"/>
              <w:rPr>
                <w:b/>
              </w:rPr>
            </w:pPr>
            <w:r>
              <w:rPr>
                <w:b/>
              </w:rPr>
              <w:t>11,675*</w:t>
            </w:r>
          </w:p>
        </w:tc>
      </w:tr>
    </w:tbl>
    <w:p w:rsidR="00844413" w:rsidRDefault="0066531C" w14:paraId="4BEC7BE8" w14:textId="5AF3E9D4">
      <w:pPr>
        <w:pBdr>
          <w:top w:val="nil"/>
          <w:left w:val="nil"/>
          <w:bottom w:val="nil"/>
          <w:right w:val="nil"/>
          <w:between w:val="nil"/>
        </w:pBdr>
        <w:rPr>
          <w:color w:val="000000"/>
        </w:rPr>
      </w:pPr>
      <w:r>
        <w:tab/>
      </w:r>
      <w:r>
        <w:tab/>
      </w:r>
      <w:r>
        <w:rPr>
          <w:rFonts w:ascii="Calibri" w:hAnsi="Calibri" w:eastAsia="Calibri" w:cs="Calibri"/>
          <w:sz w:val="16"/>
          <w:szCs w:val="16"/>
        </w:rPr>
        <w:t>*</w:t>
      </w:r>
      <w:r>
        <w:rPr>
          <w:rFonts w:ascii="Arial" w:hAnsi="Arial" w:eastAsia="Arial" w:cs="Arial"/>
          <w:i/>
          <w:color w:val="333333"/>
          <w:sz w:val="16"/>
          <w:szCs w:val="16"/>
          <w:highlight w:val="white"/>
        </w:rPr>
        <w:t>Due to rounding, some totals may not correspond with the sum of the separate figures</w:t>
      </w:r>
    </w:p>
    <w:p w:rsidR="00844413" w:rsidRDefault="00844413" w14:paraId="4A5A5450" w14:textId="77777777">
      <w:pPr>
        <w:pBdr>
          <w:top w:val="nil"/>
          <w:left w:val="nil"/>
          <w:bottom w:val="nil"/>
          <w:right w:val="nil"/>
          <w:between w:val="nil"/>
        </w:pBdr>
        <w:spacing w:before="7" w:after="1"/>
        <w:rPr>
          <w:color w:val="000000"/>
          <w:sz w:val="20"/>
          <w:szCs w:val="20"/>
        </w:rPr>
      </w:pPr>
    </w:p>
    <w:p w:rsidR="00844413" w:rsidRDefault="0066531C" w14:paraId="06616386" w14:textId="5A5E419B">
      <w:pPr>
        <w:pBdr>
          <w:top w:val="nil"/>
          <w:left w:val="nil"/>
          <w:bottom w:val="nil"/>
          <w:right w:val="nil"/>
          <w:between w:val="nil"/>
        </w:pBdr>
        <w:ind w:left="1325" w:right="1368"/>
        <w:rPr>
          <w:color w:val="000000"/>
          <w:sz w:val="24"/>
          <w:szCs w:val="24"/>
        </w:rPr>
      </w:pPr>
      <w:r>
        <w:rPr>
          <w:color w:val="000000"/>
          <w:sz w:val="24"/>
          <w:szCs w:val="24"/>
        </w:rPr>
        <w:t xml:space="preserve">Similar to the NEFSC approach, the SEFSC will utilize estimates of employment in commercial fishing in the South Atlantic and Gulf of Mexico states as </w:t>
      </w:r>
      <w:r w:rsidRPr="009E37C3">
        <w:rPr>
          <w:color w:val="000000"/>
          <w:sz w:val="24"/>
          <w:szCs w:val="24"/>
        </w:rPr>
        <w:t>the sampling frame</w:t>
      </w:r>
      <w:r>
        <w:rPr>
          <w:color w:val="000000"/>
          <w:sz w:val="24"/>
          <w:szCs w:val="24"/>
        </w:rPr>
        <w:t xml:space="preserve"> from which to calculate an appropriate sample size. The commercial fisheries in the Southeast Region are divided by species groups based on separate fishery management plans. Those species groups include snapper-grouper (SG), reef fish (RF), coastal migratory pelagics (CMP), dolphin/wahoo(DW), shark (SHK), and other (OTH) fisheries. The Southeast Region also includes two shrimp fisheries – South Atlantic and Gulf of Mexico – managed by separate management plans. Finally, the Southeast Region is home to a highly migratory species (HMS) fishery. The geographic distribution of participation in these species groups varies widely across the southeast region and it is not uncommon for licensed vessels to participate in multiple fisheries. The SEFSC expects that crew members may also </w:t>
      </w:r>
      <w:r>
        <w:rPr>
          <w:color w:val="000000"/>
          <w:sz w:val="24"/>
          <w:szCs w:val="24"/>
        </w:rPr>
        <w:lastRenderedPageBreak/>
        <w:t xml:space="preserve">participate in multiple fisheries across the region depending on the season, value of the fishery at the time, and opportunities for multiple trips/days at sea. The crew employment estimates in Table 2 come from Northern Economics, Inc., which provided a preliminary implementation plan for a Southeast Region </w:t>
      </w:r>
      <w:r w:rsidR="009E37C3">
        <w:rPr>
          <w:color w:val="000000"/>
          <w:sz w:val="24"/>
          <w:szCs w:val="24"/>
        </w:rPr>
        <w:t xml:space="preserve">crew </w:t>
      </w:r>
      <w:r>
        <w:rPr>
          <w:color w:val="000000"/>
          <w:sz w:val="24"/>
          <w:szCs w:val="24"/>
        </w:rPr>
        <w:t xml:space="preserve">survey and included a range of quantitative data on the various fisheries in the Southeast Region, including the number of vessels, average crew size, and geographic distribution of participant vessels. The total estimated population of individuals employed in the commercial fishing in the Southeast is 11,675. </w:t>
      </w:r>
    </w:p>
    <w:p w:rsidR="00844413" w:rsidRDefault="00844413" w14:paraId="6133B2B7" w14:textId="77777777">
      <w:pPr>
        <w:pBdr>
          <w:top w:val="nil"/>
          <w:left w:val="nil"/>
          <w:bottom w:val="nil"/>
          <w:right w:val="nil"/>
          <w:between w:val="nil"/>
        </w:pBdr>
        <w:ind w:left="1325" w:right="1368"/>
        <w:rPr>
          <w:color w:val="000000"/>
          <w:sz w:val="24"/>
          <w:szCs w:val="24"/>
        </w:rPr>
      </w:pPr>
    </w:p>
    <w:p w:rsidR="00844413" w:rsidRDefault="0066531C" w14:paraId="175C08AD" w14:textId="6D07BE1C">
      <w:pPr>
        <w:pBdr>
          <w:top w:val="nil"/>
          <w:left w:val="nil"/>
          <w:bottom w:val="nil"/>
          <w:right w:val="nil"/>
          <w:between w:val="nil"/>
        </w:pBdr>
        <w:ind w:left="1325" w:right="1368"/>
        <w:rPr>
          <w:color w:val="000000"/>
          <w:sz w:val="24"/>
          <w:szCs w:val="24"/>
        </w:rPr>
      </w:pPr>
      <w:r>
        <w:rPr>
          <w:color w:val="000000"/>
          <w:sz w:val="24"/>
          <w:szCs w:val="24"/>
        </w:rPr>
        <w:t>From these population estimates, a target number of responses of 749 was calculated using Cochran’s (1977) formula for categorical data, described in detail in Question 2. Then, we re-calculated the sample size that we would expect to produce that number of responses allowing for a 20% nonresponse rate. The resulting sample size is 937.</w:t>
      </w:r>
    </w:p>
    <w:p w:rsidR="00844413" w:rsidRDefault="00844413" w14:paraId="40C5816E" w14:textId="77777777">
      <w:pPr>
        <w:pBdr>
          <w:top w:val="nil"/>
          <w:left w:val="nil"/>
          <w:bottom w:val="nil"/>
          <w:right w:val="nil"/>
          <w:between w:val="nil"/>
        </w:pBdr>
        <w:ind w:left="1325" w:right="1368"/>
        <w:rPr>
          <w:color w:val="000000"/>
          <w:sz w:val="24"/>
          <w:szCs w:val="24"/>
        </w:rPr>
      </w:pPr>
    </w:p>
    <w:p w:rsidR="000B56DC" w:rsidRDefault="003E7125" w14:paraId="32222C38" w14:textId="75BCE1BA">
      <w:pPr>
        <w:pBdr>
          <w:top w:val="nil"/>
          <w:left w:val="nil"/>
          <w:bottom w:val="nil"/>
          <w:right w:val="nil"/>
          <w:between w:val="nil"/>
        </w:pBdr>
        <w:spacing w:before="72"/>
        <w:ind w:left="1320" w:right="1361"/>
        <w:rPr>
          <w:color w:val="000000"/>
          <w:sz w:val="24"/>
          <w:szCs w:val="24"/>
        </w:rPr>
      </w:pPr>
      <w:r>
        <w:rPr>
          <w:color w:val="000000"/>
          <w:sz w:val="24"/>
          <w:szCs w:val="24"/>
        </w:rPr>
        <w:t>D</w:t>
      </w:r>
      <w:r w:rsidR="0066531C">
        <w:rPr>
          <w:color w:val="000000"/>
          <w:sz w:val="24"/>
          <w:szCs w:val="24"/>
        </w:rPr>
        <w:t>ata collection will involve a</w:t>
      </w:r>
      <w:r>
        <w:rPr>
          <w:color w:val="000000"/>
          <w:sz w:val="24"/>
          <w:szCs w:val="24"/>
        </w:rPr>
        <w:t xml:space="preserve"> random (i.e., times and locations)</w:t>
      </w:r>
      <w:r w:rsidR="0066531C">
        <w:rPr>
          <w:color w:val="000000"/>
          <w:sz w:val="24"/>
          <w:szCs w:val="24"/>
        </w:rPr>
        <w:t xml:space="preserve"> </w:t>
      </w:r>
      <w:r>
        <w:rPr>
          <w:color w:val="000000"/>
          <w:sz w:val="24"/>
          <w:szCs w:val="24"/>
        </w:rPr>
        <w:t xml:space="preserve">intercept survey method </w:t>
      </w:r>
      <w:r w:rsidR="0066531C">
        <w:rPr>
          <w:color w:val="000000"/>
          <w:sz w:val="24"/>
          <w:szCs w:val="24"/>
        </w:rPr>
        <w:t>at docks where commercial fishing activity takes place</w:t>
      </w:r>
      <w:r>
        <w:rPr>
          <w:color w:val="000000"/>
          <w:sz w:val="24"/>
          <w:szCs w:val="24"/>
        </w:rPr>
        <w:t xml:space="preserve"> </w:t>
      </w:r>
      <w:r w:rsidR="00C02D87">
        <w:rPr>
          <w:color w:val="000000"/>
          <w:sz w:val="24"/>
          <w:szCs w:val="24"/>
        </w:rPr>
        <w:t>“</w:t>
      </w:r>
      <w:r w:rsidR="007B6A74">
        <w:rPr>
          <w:color w:val="000000"/>
          <w:sz w:val="24"/>
          <w:szCs w:val="24"/>
        </w:rPr>
        <w:t>to maximize response rates for hard-to-find individuals</w:t>
      </w:r>
      <w:r w:rsidR="00C02D87">
        <w:rPr>
          <w:color w:val="000000"/>
          <w:sz w:val="24"/>
          <w:szCs w:val="24"/>
        </w:rPr>
        <w:t>”</w:t>
      </w:r>
      <w:r w:rsidR="007B6A74">
        <w:rPr>
          <w:color w:val="000000"/>
          <w:sz w:val="24"/>
          <w:szCs w:val="24"/>
        </w:rPr>
        <w:t xml:space="preserve"> (Miller et al. 1997) such as crew for whom there is no registry from which to draw a strictly random sample (Pollnac et al. 201</w:t>
      </w:r>
      <w:r w:rsidR="009A1DB9">
        <w:rPr>
          <w:color w:val="000000"/>
          <w:sz w:val="24"/>
          <w:szCs w:val="24"/>
        </w:rPr>
        <w:t>5</w:t>
      </w:r>
      <w:r w:rsidR="007B6A74">
        <w:rPr>
          <w:color w:val="000000"/>
          <w:sz w:val="24"/>
          <w:szCs w:val="24"/>
        </w:rPr>
        <w:t xml:space="preserve">). Pollnac and Poggie (1978) found this approach to be an effective method to </w:t>
      </w:r>
      <w:r w:rsidR="00352600">
        <w:rPr>
          <w:color w:val="000000"/>
          <w:sz w:val="24"/>
          <w:szCs w:val="24"/>
        </w:rPr>
        <w:t>achieve high</w:t>
      </w:r>
      <w:r w:rsidR="007B6A74">
        <w:rPr>
          <w:color w:val="000000"/>
          <w:sz w:val="24"/>
          <w:szCs w:val="24"/>
        </w:rPr>
        <w:t xml:space="preserve"> response rates</w:t>
      </w:r>
      <w:r w:rsidR="00C02D87">
        <w:rPr>
          <w:color w:val="000000"/>
          <w:sz w:val="24"/>
          <w:szCs w:val="24"/>
        </w:rPr>
        <w:t xml:space="preserve">. Note that this approach was used </w:t>
      </w:r>
      <w:r w:rsidR="000B56DC">
        <w:rPr>
          <w:color w:val="000000"/>
          <w:sz w:val="24"/>
          <w:szCs w:val="24"/>
        </w:rPr>
        <w:t>for the</w:t>
      </w:r>
      <w:r w:rsidR="00C02D87">
        <w:rPr>
          <w:color w:val="000000"/>
          <w:sz w:val="24"/>
          <w:szCs w:val="24"/>
        </w:rPr>
        <w:t xml:space="preserve"> second implementation of this study in </w:t>
      </w:r>
      <w:r w:rsidR="000B56DC">
        <w:rPr>
          <w:color w:val="000000"/>
          <w:sz w:val="24"/>
          <w:szCs w:val="24"/>
        </w:rPr>
        <w:t xml:space="preserve">2018/2019, achieving over a 90% response rate (Silva et al., In press). </w:t>
      </w:r>
      <w:r w:rsidRPr="005752FD" w:rsidR="000B56DC">
        <w:rPr>
          <w:color w:val="000000"/>
          <w:sz w:val="24"/>
          <w:szCs w:val="24"/>
        </w:rPr>
        <w:t>For t</w:t>
      </w:r>
      <w:r w:rsidR="000B56DC">
        <w:rPr>
          <w:color w:val="000000"/>
          <w:sz w:val="24"/>
          <w:szCs w:val="24"/>
        </w:rPr>
        <w:t xml:space="preserve">he intercept method process, interviewers </w:t>
      </w:r>
      <w:r w:rsidRPr="005752FD" w:rsidR="000B56DC">
        <w:rPr>
          <w:color w:val="000000"/>
          <w:sz w:val="24"/>
          <w:szCs w:val="24"/>
        </w:rPr>
        <w:t>approach ind</w:t>
      </w:r>
      <w:r w:rsidR="000B56DC">
        <w:rPr>
          <w:color w:val="000000"/>
          <w:sz w:val="24"/>
          <w:szCs w:val="24"/>
        </w:rPr>
        <w:t xml:space="preserve">ividuals on the docks and vessels </w:t>
      </w:r>
      <w:r w:rsidRPr="005752FD" w:rsidR="000B56DC">
        <w:rPr>
          <w:color w:val="000000"/>
          <w:sz w:val="24"/>
          <w:szCs w:val="24"/>
        </w:rPr>
        <w:t xml:space="preserve">and ask </w:t>
      </w:r>
      <w:r w:rsidR="000B56DC">
        <w:rPr>
          <w:color w:val="000000"/>
          <w:sz w:val="24"/>
          <w:szCs w:val="24"/>
        </w:rPr>
        <w:t xml:space="preserve">whether they are crew or hired captains and then solicit for participation in this voluntary and anonymous survey. Our efforts to </w:t>
      </w:r>
      <w:r w:rsidRPr="005752FD" w:rsidR="000B56DC">
        <w:rPr>
          <w:color w:val="000000"/>
          <w:sz w:val="24"/>
          <w:szCs w:val="24"/>
        </w:rPr>
        <w:t xml:space="preserve">increase the likelihood of making contact </w:t>
      </w:r>
      <w:r w:rsidR="000B56DC">
        <w:rPr>
          <w:color w:val="000000"/>
          <w:sz w:val="24"/>
          <w:szCs w:val="24"/>
        </w:rPr>
        <w:t xml:space="preserve">include </w:t>
      </w:r>
      <w:r w:rsidRPr="005752FD" w:rsidR="000B56DC">
        <w:rPr>
          <w:color w:val="000000"/>
          <w:sz w:val="24"/>
          <w:szCs w:val="24"/>
        </w:rPr>
        <w:t>working with Port Agents and local stakeholders</w:t>
      </w:r>
      <w:r w:rsidR="00620132">
        <w:rPr>
          <w:color w:val="000000"/>
          <w:sz w:val="24"/>
          <w:szCs w:val="24"/>
        </w:rPr>
        <w:t>, and</w:t>
      </w:r>
      <w:r w:rsidR="000B56DC">
        <w:rPr>
          <w:color w:val="000000"/>
          <w:sz w:val="24"/>
          <w:szCs w:val="24"/>
        </w:rPr>
        <w:t xml:space="preserve"> </w:t>
      </w:r>
      <w:r w:rsidRPr="005752FD" w:rsidR="000B56DC">
        <w:rPr>
          <w:color w:val="000000"/>
          <w:sz w:val="24"/>
          <w:szCs w:val="24"/>
        </w:rPr>
        <w:t xml:space="preserve">using vessel trip report data to </w:t>
      </w:r>
      <w:r w:rsidR="00620132">
        <w:rPr>
          <w:color w:val="000000"/>
          <w:sz w:val="24"/>
          <w:szCs w:val="24"/>
        </w:rPr>
        <w:t>identify</w:t>
      </w:r>
      <w:r w:rsidRPr="005752FD" w:rsidR="000B56DC">
        <w:rPr>
          <w:color w:val="000000"/>
          <w:sz w:val="24"/>
          <w:szCs w:val="24"/>
        </w:rPr>
        <w:t xml:space="preserve"> the </w:t>
      </w:r>
      <w:r w:rsidR="00620132">
        <w:rPr>
          <w:color w:val="000000"/>
          <w:sz w:val="24"/>
          <w:szCs w:val="24"/>
        </w:rPr>
        <w:t>optimal</w:t>
      </w:r>
      <w:r w:rsidRPr="005752FD" w:rsidR="000B56DC">
        <w:rPr>
          <w:color w:val="000000"/>
          <w:sz w:val="24"/>
          <w:szCs w:val="24"/>
        </w:rPr>
        <w:t xml:space="preserve"> times to find vessels in port.</w:t>
      </w:r>
    </w:p>
    <w:p w:rsidR="00620132" w:rsidRDefault="00620132" w14:paraId="790D605A" w14:textId="77777777">
      <w:pPr>
        <w:pBdr>
          <w:top w:val="nil"/>
          <w:left w:val="nil"/>
          <w:bottom w:val="nil"/>
          <w:right w:val="nil"/>
          <w:between w:val="nil"/>
        </w:pBdr>
        <w:spacing w:before="72"/>
        <w:ind w:left="1320" w:right="1361"/>
        <w:rPr>
          <w:color w:val="000000"/>
          <w:sz w:val="24"/>
          <w:szCs w:val="24"/>
        </w:rPr>
      </w:pPr>
    </w:p>
    <w:p w:rsidR="00C630DB" w:rsidRDefault="000B56DC" w14:paraId="22F6E8C8" w14:textId="51B7ADB6">
      <w:pPr>
        <w:pBdr>
          <w:top w:val="nil"/>
          <w:left w:val="nil"/>
          <w:bottom w:val="nil"/>
          <w:right w:val="nil"/>
          <w:between w:val="nil"/>
        </w:pBdr>
        <w:spacing w:before="72"/>
        <w:ind w:left="1320" w:right="1361"/>
        <w:rPr>
          <w:color w:val="000000"/>
          <w:sz w:val="24"/>
          <w:szCs w:val="24"/>
        </w:rPr>
      </w:pPr>
      <w:r>
        <w:rPr>
          <w:color w:val="000000"/>
          <w:sz w:val="24"/>
          <w:szCs w:val="24"/>
        </w:rPr>
        <w:t xml:space="preserve">To </w:t>
      </w:r>
      <w:r w:rsidR="009A2DFA">
        <w:rPr>
          <w:color w:val="000000"/>
          <w:sz w:val="24"/>
          <w:szCs w:val="24"/>
        </w:rPr>
        <w:t xml:space="preserve">further </w:t>
      </w:r>
      <w:r>
        <w:rPr>
          <w:color w:val="000000"/>
          <w:sz w:val="24"/>
          <w:szCs w:val="24"/>
        </w:rPr>
        <w:t>maximize the response rate, t</w:t>
      </w:r>
      <w:r w:rsidR="007B6A74">
        <w:rPr>
          <w:color w:val="000000"/>
          <w:sz w:val="24"/>
          <w:szCs w:val="24"/>
        </w:rPr>
        <w:t>he</w:t>
      </w:r>
      <w:r w:rsidR="0066531C">
        <w:rPr>
          <w:color w:val="000000"/>
          <w:sz w:val="24"/>
          <w:szCs w:val="24"/>
        </w:rPr>
        <w:t xml:space="preserve"> NEFSC and SEFSC will select a random sample of fishing ports from the universe of ports in the New England, Mid-Atlantic, South Atlantic, and Gulf of Mexico states. To ensure that the most active ports are selected, the NEFSC and SEFSC will employ a probability proportional to size (PPS) sampling method. Specifically, under a PPS approach a port’s probability of being selected into the sample will be related to the “size” of the port, with larger ports being more likely to be selected into the sample. The PPS approach is necessary to ensure that selected ports are more active and thus, more likely to result in completed crew surveys. For this study, the size of the port will be assessed using </w:t>
      </w:r>
      <w:r w:rsidR="009A2DFA">
        <w:rPr>
          <w:color w:val="000000"/>
          <w:sz w:val="24"/>
          <w:szCs w:val="24"/>
        </w:rPr>
        <w:t xml:space="preserve">the  </w:t>
      </w:r>
      <w:r w:rsidR="0066531C">
        <w:rPr>
          <w:color w:val="000000"/>
          <w:sz w:val="24"/>
          <w:szCs w:val="24"/>
        </w:rPr>
        <w:t xml:space="preserve">commercial fishing engagement index from </w:t>
      </w:r>
      <w:r>
        <w:rPr>
          <w:color w:val="000000"/>
          <w:sz w:val="24"/>
          <w:szCs w:val="24"/>
        </w:rPr>
        <w:t xml:space="preserve">the </w:t>
      </w:r>
      <w:hyperlink w:history="1" r:id="rId8">
        <w:r w:rsidRPr="009A2DFA">
          <w:rPr>
            <w:rStyle w:val="Hyperlink"/>
            <w:sz w:val="24"/>
            <w:szCs w:val="24"/>
          </w:rPr>
          <w:t xml:space="preserve">NOAA </w:t>
        </w:r>
        <w:r w:rsidRPr="009A2DFA" w:rsidR="00BD628C">
          <w:rPr>
            <w:rStyle w:val="Hyperlink"/>
            <w:sz w:val="24"/>
            <w:szCs w:val="24"/>
          </w:rPr>
          <w:t>Fisheries Community</w:t>
        </w:r>
        <w:r w:rsidRPr="009A2DFA">
          <w:rPr>
            <w:rStyle w:val="Hyperlink"/>
            <w:sz w:val="24"/>
            <w:szCs w:val="24"/>
          </w:rPr>
          <w:t xml:space="preserve"> Social Vulnerability Indicators</w:t>
        </w:r>
      </w:hyperlink>
      <w:r>
        <w:rPr>
          <w:color w:val="000000"/>
          <w:sz w:val="24"/>
          <w:szCs w:val="24"/>
        </w:rPr>
        <w:t xml:space="preserve"> </w:t>
      </w:r>
      <w:r w:rsidR="00BD628C">
        <w:rPr>
          <w:color w:val="000000"/>
          <w:sz w:val="24"/>
          <w:szCs w:val="24"/>
        </w:rPr>
        <w:t xml:space="preserve">(CSVIs) </w:t>
      </w:r>
      <w:r w:rsidR="0066531C">
        <w:rPr>
          <w:color w:val="000000"/>
          <w:sz w:val="24"/>
          <w:szCs w:val="24"/>
        </w:rPr>
        <w:t>developed by NEFSC and SEFSC staff (Jepson and Colburn 2013)</w:t>
      </w:r>
      <w:r w:rsidR="002311EB">
        <w:rPr>
          <w:color w:val="000000"/>
          <w:sz w:val="24"/>
          <w:szCs w:val="24"/>
        </w:rPr>
        <w:t xml:space="preserve"> and implemented nationally at all NOAA Fisheries science centers (see CSVI list of publications </w:t>
      </w:r>
      <w:hyperlink w:history="1" r:id="rId9">
        <w:r w:rsidRPr="002311EB" w:rsidR="002311EB">
          <w:rPr>
            <w:rStyle w:val="Hyperlink"/>
            <w:sz w:val="24"/>
            <w:szCs w:val="24"/>
          </w:rPr>
          <w:t>here</w:t>
        </w:r>
      </w:hyperlink>
      <w:r w:rsidR="002311EB">
        <w:rPr>
          <w:color w:val="000000"/>
          <w:sz w:val="24"/>
          <w:szCs w:val="24"/>
        </w:rPr>
        <w:t>)</w:t>
      </w:r>
      <w:r w:rsidR="0066531C">
        <w:rPr>
          <w:color w:val="000000"/>
          <w:sz w:val="24"/>
          <w:szCs w:val="24"/>
        </w:rPr>
        <w:t xml:space="preserve">. The commercial fishing engagement index is reported </w:t>
      </w:r>
      <w:r w:rsidR="0066531C">
        <w:rPr>
          <w:sz w:val="24"/>
          <w:szCs w:val="24"/>
        </w:rPr>
        <w:t>by the community</w:t>
      </w:r>
      <w:r w:rsidR="0066531C">
        <w:rPr>
          <w:color w:val="000000"/>
          <w:sz w:val="24"/>
          <w:szCs w:val="24"/>
        </w:rPr>
        <w:t xml:space="preserve"> and is generated from a principal component factor analysis of variables associated with fishing activity. The “community level” here refers to data at the level of Census Designated Place (CDP) nested within a set of counties designated as “coastal” by their connection to the ocean through a coastline, river, bay, or estuary. The variables used to determine commercial fishing engagement include the number of commercial fishing permits, the value of landings, dealers with landings, and the total landings in </w:t>
      </w:r>
      <w:r w:rsidRPr="005752FD" w:rsidDel="00F061CE" w:rsidR="00F061CE">
        <w:rPr>
          <w:color w:val="000000"/>
          <w:sz w:val="24"/>
          <w:szCs w:val="24"/>
        </w:rPr>
        <w:t xml:space="preserve"> </w:t>
      </w:r>
      <w:r w:rsidR="009A2DFA">
        <w:rPr>
          <w:color w:val="000000"/>
          <w:sz w:val="24"/>
          <w:szCs w:val="24"/>
        </w:rPr>
        <w:t>pounds</w:t>
      </w:r>
      <w:r w:rsidR="009A2DFA">
        <w:rPr>
          <w:rStyle w:val="CommentReference"/>
        </w:rPr>
        <w:t>.</w:t>
      </w:r>
      <w:r w:rsidR="009A2DFA">
        <w:rPr>
          <w:color w:val="000000"/>
          <w:sz w:val="24"/>
          <w:szCs w:val="24"/>
        </w:rPr>
        <w:t xml:space="preserve"> </w:t>
      </w:r>
      <w:r w:rsidR="00620132">
        <w:rPr>
          <w:color w:val="000000"/>
          <w:sz w:val="24"/>
          <w:szCs w:val="24"/>
        </w:rPr>
        <w:t>Community</w:t>
      </w:r>
      <w:r w:rsidRPr="005752FD" w:rsidR="005752FD">
        <w:rPr>
          <w:color w:val="000000"/>
          <w:sz w:val="24"/>
          <w:szCs w:val="24"/>
        </w:rPr>
        <w:t xml:space="preserve"> sample s</w:t>
      </w:r>
      <w:r w:rsidR="005752FD">
        <w:rPr>
          <w:color w:val="000000"/>
          <w:sz w:val="24"/>
          <w:szCs w:val="24"/>
        </w:rPr>
        <w:t xml:space="preserve">ize may vary year to year due to variation in commercial </w:t>
      </w:r>
      <w:r w:rsidR="005752FD">
        <w:rPr>
          <w:color w:val="000000"/>
          <w:sz w:val="24"/>
          <w:szCs w:val="24"/>
        </w:rPr>
        <w:lastRenderedPageBreak/>
        <w:t>engagement scores over time</w:t>
      </w:r>
      <w:r w:rsidRPr="005752FD" w:rsidR="005752FD">
        <w:rPr>
          <w:color w:val="000000"/>
          <w:sz w:val="24"/>
          <w:szCs w:val="24"/>
        </w:rPr>
        <w:t xml:space="preserve">. We </w:t>
      </w:r>
      <w:r w:rsidR="00620132">
        <w:rPr>
          <w:color w:val="000000"/>
          <w:sz w:val="24"/>
          <w:szCs w:val="24"/>
        </w:rPr>
        <w:t xml:space="preserve"> select</w:t>
      </w:r>
      <w:r w:rsidR="00C630DB">
        <w:rPr>
          <w:color w:val="000000"/>
          <w:sz w:val="24"/>
          <w:szCs w:val="24"/>
        </w:rPr>
        <w:t>ed</w:t>
      </w:r>
      <w:r w:rsidR="00620132">
        <w:rPr>
          <w:color w:val="000000"/>
          <w:sz w:val="24"/>
          <w:szCs w:val="24"/>
        </w:rPr>
        <w:t xml:space="preserve"> from </w:t>
      </w:r>
      <w:r w:rsidRPr="005752FD" w:rsidR="005752FD">
        <w:rPr>
          <w:color w:val="000000"/>
          <w:sz w:val="24"/>
          <w:szCs w:val="24"/>
        </w:rPr>
        <w:t>“high” and “moderately high” commercial engagement communities</w:t>
      </w:r>
      <w:r w:rsidR="005752FD">
        <w:rPr>
          <w:color w:val="000000"/>
          <w:sz w:val="24"/>
          <w:szCs w:val="24"/>
        </w:rPr>
        <w:t xml:space="preserve"> in the target regions</w:t>
      </w:r>
      <w:r w:rsidRPr="005752FD" w:rsidR="005752FD">
        <w:rPr>
          <w:color w:val="000000"/>
          <w:sz w:val="24"/>
          <w:szCs w:val="24"/>
        </w:rPr>
        <w:t xml:space="preserve">. </w:t>
      </w:r>
      <w:r w:rsidR="00C630DB">
        <w:rPr>
          <w:color w:val="000000"/>
          <w:sz w:val="24"/>
          <w:szCs w:val="24"/>
        </w:rPr>
        <w:t xml:space="preserve">Fifty communities were selected using the PPS approach. </w:t>
      </w:r>
    </w:p>
    <w:p w:rsidR="00C630DB" w:rsidRDefault="00C630DB" w14:paraId="6472B220" w14:textId="77777777">
      <w:pPr>
        <w:pBdr>
          <w:top w:val="nil"/>
          <w:left w:val="nil"/>
          <w:bottom w:val="nil"/>
          <w:right w:val="nil"/>
          <w:between w:val="nil"/>
        </w:pBdr>
        <w:spacing w:before="72"/>
        <w:ind w:left="1320" w:right="1361"/>
        <w:rPr>
          <w:color w:val="000000"/>
          <w:sz w:val="24"/>
          <w:szCs w:val="24"/>
        </w:rPr>
      </w:pPr>
    </w:p>
    <w:p w:rsidR="00844413" w:rsidRDefault="005752FD" w14:paraId="740335B8" w14:textId="2EA3CFC5">
      <w:pPr>
        <w:pBdr>
          <w:top w:val="nil"/>
          <w:left w:val="nil"/>
          <w:bottom w:val="nil"/>
          <w:right w:val="nil"/>
          <w:between w:val="nil"/>
        </w:pBdr>
        <w:spacing w:before="72"/>
        <w:ind w:left="1320" w:right="1361"/>
        <w:rPr>
          <w:color w:val="000000"/>
          <w:sz w:val="24"/>
          <w:szCs w:val="24"/>
        </w:rPr>
      </w:pPr>
      <w:r w:rsidRPr="005752FD">
        <w:rPr>
          <w:color w:val="000000"/>
          <w:sz w:val="24"/>
          <w:szCs w:val="24"/>
        </w:rPr>
        <w:t xml:space="preserve">The sample of individuals from each </w:t>
      </w:r>
      <w:r w:rsidR="00620132">
        <w:rPr>
          <w:color w:val="000000"/>
          <w:sz w:val="24"/>
          <w:szCs w:val="24"/>
        </w:rPr>
        <w:t>community</w:t>
      </w:r>
      <w:r w:rsidRPr="005752FD">
        <w:rPr>
          <w:color w:val="000000"/>
          <w:sz w:val="24"/>
          <w:szCs w:val="24"/>
        </w:rPr>
        <w:t xml:space="preserve"> is determined based on availability of crew during our </w:t>
      </w:r>
      <w:r w:rsidR="00ED546E">
        <w:rPr>
          <w:color w:val="000000"/>
          <w:sz w:val="24"/>
          <w:szCs w:val="24"/>
        </w:rPr>
        <w:t xml:space="preserve">port visits. </w:t>
      </w:r>
      <w:r w:rsidRPr="005752FD">
        <w:rPr>
          <w:color w:val="000000"/>
          <w:sz w:val="24"/>
          <w:szCs w:val="24"/>
        </w:rPr>
        <w:t xml:space="preserve"> </w:t>
      </w:r>
      <w:r w:rsidR="00ED546E">
        <w:rPr>
          <w:color w:val="000000"/>
          <w:sz w:val="24"/>
          <w:szCs w:val="24"/>
        </w:rPr>
        <w:t>We</w:t>
      </w:r>
      <w:r w:rsidRPr="005752FD">
        <w:rPr>
          <w:color w:val="000000"/>
          <w:sz w:val="24"/>
          <w:szCs w:val="24"/>
        </w:rPr>
        <w:t xml:space="preserve"> return to ports multiple times </w:t>
      </w:r>
      <w:r w:rsidR="00ED546E">
        <w:rPr>
          <w:color w:val="000000"/>
          <w:sz w:val="24"/>
          <w:szCs w:val="24"/>
        </w:rPr>
        <w:t xml:space="preserve">on different days of the week and at different times of </w:t>
      </w:r>
      <w:r w:rsidR="001644CA">
        <w:rPr>
          <w:color w:val="000000"/>
          <w:sz w:val="24"/>
          <w:szCs w:val="24"/>
        </w:rPr>
        <w:t>day</w:t>
      </w:r>
      <w:r w:rsidR="00ED546E">
        <w:rPr>
          <w:color w:val="000000"/>
          <w:sz w:val="24"/>
          <w:szCs w:val="24"/>
        </w:rPr>
        <w:t xml:space="preserve"> when crew will most likely be present</w:t>
      </w:r>
      <w:r w:rsidR="001644CA">
        <w:rPr>
          <w:color w:val="000000"/>
          <w:sz w:val="24"/>
          <w:szCs w:val="24"/>
        </w:rPr>
        <w:t>.</w:t>
      </w:r>
      <w:r w:rsidRPr="005752FD">
        <w:rPr>
          <w:color w:val="000000"/>
          <w:sz w:val="24"/>
          <w:szCs w:val="24"/>
        </w:rPr>
        <w:t xml:space="preserve"> The sample size typically corresponds to the size of the port, such that New Bedford, MA, for example, generally represents a large</w:t>
      </w:r>
      <w:r>
        <w:rPr>
          <w:color w:val="000000"/>
          <w:sz w:val="24"/>
          <w:szCs w:val="24"/>
        </w:rPr>
        <w:t>r</w:t>
      </w:r>
      <w:r w:rsidRPr="005752FD">
        <w:rPr>
          <w:color w:val="000000"/>
          <w:sz w:val="24"/>
          <w:szCs w:val="24"/>
        </w:rPr>
        <w:t xml:space="preserve"> proportion </w:t>
      </w:r>
      <w:r>
        <w:rPr>
          <w:color w:val="000000"/>
          <w:sz w:val="24"/>
          <w:szCs w:val="24"/>
        </w:rPr>
        <w:t xml:space="preserve">of the </w:t>
      </w:r>
      <w:r w:rsidRPr="005752FD">
        <w:rPr>
          <w:color w:val="000000"/>
          <w:sz w:val="24"/>
          <w:szCs w:val="24"/>
        </w:rPr>
        <w:t>responses</w:t>
      </w:r>
      <w:r>
        <w:rPr>
          <w:color w:val="000000"/>
          <w:sz w:val="24"/>
          <w:szCs w:val="24"/>
        </w:rPr>
        <w:t xml:space="preserve"> relative to other ports in the sample. There is no exact target per port </w:t>
      </w:r>
      <w:r w:rsidRPr="005752FD">
        <w:rPr>
          <w:color w:val="000000"/>
          <w:sz w:val="24"/>
          <w:szCs w:val="24"/>
        </w:rPr>
        <w:t>because our employment estimates do not go to that level of geographic resolution.</w:t>
      </w:r>
    </w:p>
    <w:p w:rsidR="00844413" w:rsidRDefault="00844413" w14:paraId="3A30CF1A" w14:textId="77777777">
      <w:pPr>
        <w:ind w:left="720" w:firstLine="720"/>
        <w:rPr>
          <w:sz w:val="20"/>
          <w:szCs w:val="20"/>
        </w:rPr>
      </w:pPr>
    </w:p>
    <w:p w:rsidR="00844413" w:rsidRDefault="0066531C" w14:paraId="7D85EAA3" w14:textId="77777777">
      <w:pPr>
        <w:pBdr>
          <w:top w:val="nil"/>
          <w:left w:val="nil"/>
          <w:bottom w:val="nil"/>
          <w:right w:val="nil"/>
          <w:between w:val="nil"/>
        </w:pBdr>
        <w:ind w:left="1200"/>
        <w:rPr>
          <w:color w:val="000000"/>
          <w:sz w:val="24"/>
          <w:szCs w:val="24"/>
        </w:rPr>
      </w:pPr>
      <w:r>
        <w:rPr>
          <w:color w:val="000000"/>
          <w:sz w:val="24"/>
          <w:szCs w:val="24"/>
          <w:u w:val="single"/>
        </w:rPr>
        <w:t>Response Rates</w:t>
      </w:r>
    </w:p>
    <w:p w:rsidR="00844413" w:rsidRDefault="0066531C" w14:paraId="15877963" w14:textId="77777777">
      <w:pPr>
        <w:pBdr>
          <w:top w:val="nil"/>
          <w:left w:val="nil"/>
          <w:bottom w:val="nil"/>
          <w:right w:val="nil"/>
          <w:between w:val="nil"/>
        </w:pBdr>
        <w:spacing w:before="192"/>
        <w:ind w:left="1200" w:right="1450"/>
        <w:rPr>
          <w:color w:val="000000"/>
          <w:sz w:val="24"/>
          <w:szCs w:val="24"/>
        </w:rPr>
      </w:pPr>
      <w:r>
        <w:rPr>
          <w:color w:val="000000"/>
          <w:sz w:val="24"/>
          <w:szCs w:val="24"/>
        </w:rPr>
        <w:t xml:space="preserve">Although we expect that the response rate </w:t>
      </w:r>
      <w:r>
        <w:rPr>
          <w:sz w:val="24"/>
          <w:szCs w:val="24"/>
        </w:rPr>
        <w:t xml:space="preserve">will </w:t>
      </w:r>
      <w:r>
        <w:rPr>
          <w:color w:val="000000"/>
          <w:sz w:val="24"/>
          <w:szCs w:val="24"/>
        </w:rPr>
        <w:t xml:space="preserve">be </w:t>
      </w:r>
      <w:r>
        <w:rPr>
          <w:sz w:val="24"/>
          <w:szCs w:val="24"/>
        </w:rPr>
        <w:t>greater than 8</w:t>
      </w:r>
      <w:r>
        <w:rPr>
          <w:color w:val="000000"/>
          <w:sz w:val="24"/>
          <w:szCs w:val="24"/>
        </w:rPr>
        <w:t>0 percent, we based the sample size on a response rate of 80 percent.</w:t>
      </w:r>
      <w:r>
        <w:rPr>
          <w:sz w:val="24"/>
          <w:szCs w:val="24"/>
        </w:rPr>
        <w:t xml:space="preserve"> </w:t>
      </w:r>
      <w:r>
        <w:rPr>
          <w:color w:val="000000"/>
          <w:sz w:val="24"/>
          <w:szCs w:val="24"/>
        </w:rPr>
        <w:t>The</w:t>
      </w:r>
      <w:r>
        <w:rPr>
          <w:sz w:val="24"/>
          <w:szCs w:val="24"/>
        </w:rPr>
        <w:t xml:space="preserve"> previous data collection effort achieved greater than a 90% response rate due to effective outreach through pre-survey correspondence with stakeholders and coordination with NMFS Port Agents who have substantial knowledge of the ports in our sample. We will once again conduct outreach prior to survey implementation and will work closely with Port Agents to engage with local stakeholders to boost response rates.</w:t>
      </w:r>
    </w:p>
    <w:p w:rsidR="00844413" w:rsidRDefault="00844413" w14:paraId="09487C59" w14:textId="77777777">
      <w:pPr>
        <w:pBdr>
          <w:top w:val="nil"/>
          <w:left w:val="nil"/>
          <w:bottom w:val="nil"/>
          <w:right w:val="nil"/>
          <w:between w:val="nil"/>
        </w:pBdr>
        <w:rPr>
          <w:color w:val="000000"/>
          <w:sz w:val="24"/>
          <w:szCs w:val="24"/>
        </w:rPr>
      </w:pPr>
    </w:p>
    <w:p w:rsidR="00844413" w:rsidRDefault="0066531C" w14:paraId="3CD70A58" w14:textId="77777777">
      <w:pPr>
        <w:numPr>
          <w:ilvl w:val="1"/>
          <w:numId w:val="1"/>
        </w:numPr>
        <w:tabs>
          <w:tab w:val="left" w:pos="1320"/>
        </w:tabs>
        <w:ind w:left="1079" w:right="1677" w:firstLine="0"/>
      </w:pPr>
      <w:bookmarkStart w:name="3znysh7" w:colFirst="0" w:colLast="0" w:id="3"/>
      <w:bookmarkEnd w:id="3"/>
      <w:r>
        <w:rPr>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44413" w:rsidRDefault="00844413" w14:paraId="20B4ABA9" w14:textId="77777777">
      <w:pPr>
        <w:pBdr>
          <w:top w:val="nil"/>
          <w:left w:val="nil"/>
          <w:bottom w:val="nil"/>
          <w:right w:val="nil"/>
          <w:between w:val="nil"/>
        </w:pBdr>
        <w:spacing w:before="9"/>
        <w:rPr>
          <w:b/>
          <w:color w:val="000000"/>
          <w:sz w:val="23"/>
          <w:szCs w:val="23"/>
        </w:rPr>
      </w:pPr>
    </w:p>
    <w:p w:rsidR="00844413" w:rsidRDefault="0066531C" w14:paraId="4E2A3621" w14:textId="77777777">
      <w:pPr>
        <w:pBdr>
          <w:top w:val="nil"/>
          <w:left w:val="nil"/>
          <w:bottom w:val="nil"/>
          <w:right w:val="nil"/>
          <w:between w:val="nil"/>
        </w:pBdr>
        <w:spacing w:before="1"/>
        <w:ind w:left="1080"/>
        <w:rPr>
          <w:color w:val="000000"/>
          <w:sz w:val="24"/>
          <w:szCs w:val="24"/>
        </w:rPr>
      </w:pPr>
      <w:r>
        <w:rPr>
          <w:color w:val="000000"/>
          <w:sz w:val="24"/>
          <w:szCs w:val="24"/>
          <w:u w:val="single"/>
        </w:rPr>
        <w:t>Sample Selection</w:t>
      </w:r>
    </w:p>
    <w:p w:rsidR="00844413" w:rsidRDefault="00844413" w14:paraId="446B719F" w14:textId="77777777">
      <w:pPr>
        <w:pBdr>
          <w:top w:val="nil"/>
          <w:left w:val="nil"/>
          <w:bottom w:val="nil"/>
          <w:right w:val="nil"/>
          <w:between w:val="nil"/>
        </w:pBdr>
        <w:spacing w:before="2"/>
        <w:rPr>
          <w:color w:val="000000"/>
          <w:sz w:val="16"/>
          <w:szCs w:val="16"/>
        </w:rPr>
      </w:pPr>
    </w:p>
    <w:p w:rsidR="00844413" w:rsidRDefault="0066531C" w14:paraId="68F2AE3C" w14:textId="77777777">
      <w:pPr>
        <w:pBdr>
          <w:top w:val="nil"/>
          <w:left w:val="nil"/>
          <w:bottom w:val="nil"/>
          <w:right w:val="nil"/>
          <w:between w:val="nil"/>
        </w:pBdr>
        <w:spacing w:before="90"/>
        <w:ind w:left="1080" w:right="1135"/>
        <w:rPr>
          <w:color w:val="000000"/>
          <w:sz w:val="24"/>
          <w:szCs w:val="24"/>
        </w:rPr>
      </w:pPr>
      <w:bookmarkStart w:name="_2et92p0" w:colFirst="0" w:colLast="0" w:id="4"/>
      <w:bookmarkEnd w:id="4"/>
      <w:r>
        <w:rPr>
          <w:color w:val="000000"/>
          <w:sz w:val="24"/>
          <w:szCs w:val="24"/>
        </w:rPr>
        <w:t xml:space="preserve">The sample size was calculated using Cochran’s (1977) formula for categorical data (Bartlett et al. 2001). Determining sample size requires specifying acceptable margins of error for the “items </w:t>
      </w:r>
      <w:r>
        <w:rPr>
          <w:sz w:val="24"/>
          <w:szCs w:val="24"/>
        </w:rPr>
        <w:t>that are regarded</w:t>
      </w:r>
      <w:r>
        <w:rPr>
          <w:color w:val="000000"/>
          <w:sz w:val="24"/>
          <w:szCs w:val="24"/>
        </w:rPr>
        <w:t xml:space="preserve"> as most vital to the survey,” (Cochran 1977). Since we will be collecting both categorical (e.g., educational level and ethnicity) and continuous (e.g., years of experience and five-point scales for</w:t>
      </w:r>
      <w:r>
        <w:rPr>
          <w:color w:val="000000"/>
          <w:sz w:val="20"/>
          <w:szCs w:val="20"/>
        </w:rPr>
        <w:t xml:space="preserve"> </w:t>
      </w:r>
      <w:r>
        <w:rPr>
          <w:color w:val="000000"/>
          <w:sz w:val="24"/>
          <w:szCs w:val="24"/>
        </w:rPr>
        <w:t>attitudes, beliefs, and perceptions) data, the formula and procedures for categorical data will be utilized given that categorical data require larger sample sizes than continuous data.</w:t>
      </w:r>
    </w:p>
    <w:p w:rsidR="00844413" w:rsidRDefault="00844413" w14:paraId="41132CF5" w14:textId="77777777">
      <w:pPr>
        <w:pBdr>
          <w:top w:val="nil"/>
          <w:left w:val="nil"/>
          <w:bottom w:val="nil"/>
          <w:right w:val="nil"/>
          <w:between w:val="nil"/>
        </w:pBdr>
        <w:spacing w:before="2"/>
        <w:rPr>
          <w:color w:val="000000"/>
          <w:sz w:val="24"/>
          <w:szCs w:val="24"/>
        </w:rPr>
      </w:pPr>
    </w:p>
    <w:p w:rsidR="00844413" w:rsidRDefault="0066531C" w14:paraId="17B081D5" w14:textId="77777777">
      <w:pPr>
        <w:pBdr>
          <w:top w:val="nil"/>
          <w:left w:val="nil"/>
          <w:bottom w:val="nil"/>
          <w:right w:val="nil"/>
          <w:between w:val="nil"/>
        </w:pBdr>
        <w:ind w:left="1080" w:right="1215"/>
        <w:rPr>
          <w:color w:val="000000"/>
          <w:sz w:val="24"/>
          <w:szCs w:val="24"/>
        </w:rPr>
      </w:pPr>
      <w:r>
        <w:rPr>
          <w:color w:val="000000"/>
          <w:sz w:val="24"/>
          <w:szCs w:val="24"/>
        </w:rPr>
        <w:t>In determining sample size, we will consider two key factors as derived from Cochran’s formula: 1) an acceptable margin of error, and 2) an acceptable alpha level, or the probability of committing Type 1 error, i.e., incorrectly rejecting the null hypothesis (Bartlett et al. 2001). We will use the most common margin of error for categorical data (i.e., 5%) and the most common alpha level (i.e., .05) used in research in the social and behavioral sciences. The alpha level corresponds inversely to the confidence level such that increasing the alpha level will result in a decreased confidence level. The alpha level of .05 used in this sample selection method will mean a confidence level of 0.95, or 95% confidence. Sample size determination also requires estimating the variance of the primary variables of interest in the study. We will employ the recommended .50 as an estimate of the population proportion (p) for categorical data.</w:t>
      </w:r>
    </w:p>
    <w:p w:rsidR="00844413" w:rsidRDefault="00844413" w14:paraId="69717F26" w14:textId="3F7C3A73">
      <w:pPr>
        <w:pBdr>
          <w:top w:val="nil"/>
          <w:left w:val="nil"/>
          <w:bottom w:val="nil"/>
          <w:right w:val="nil"/>
          <w:between w:val="nil"/>
        </w:pBdr>
        <w:spacing w:before="209"/>
        <w:ind w:left="1080" w:right="2095"/>
        <w:rPr>
          <w:color w:val="000000"/>
          <w:sz w:val="24"/>
          <w:szCs w:val="24"/>
        </w:rPr>
      </w:pPr>
    </w:p>
    <w:p w:rsidR="00844413" w:rsidRDefault="00844413" w14:paraId="4227CC8A" w14:textId="77777777">
      <w:pPr>
        <w:pBdr>
          <w:top w:val="nil"/>
          <w:left w:val="nil"/>
          <w:bottom w:val="nil"/>
          <w:right w:val="nil"/>
          <w:between w:val="nil"/>
        </w:pBdr>
        <w:ind w:left="1080" w:right="2088"/>
        <w:rPr>
          <w:i/>
          <w:color w:val="000000"/>
          <w:sz w:val="24"/>
          <w:szCs w:val="24"/>
        </w:rPr>
      </w:pPr>
    </w:p>
    <w:p w:rsidRPr="00F061CE" w:rsidR="00844413" w:rsidRDefault="0066531C" w14:paraId="0BDEAE04" w14:textId="77777777">
      <w:pPr>
        <w:pBdr>
          <w:top w:val="nil"/>
          <w:left w:val="nil"/>
          <w:bottom w:val="nil"/>
          <w:right w:val="nil"/>
          <w:between w:val="nil"/>
        </w:pBdr>
        <w:ind w:left="1080" w:right="2088"/>
        <w:rPr>
          <w:i/>
          <w:color w:val="000000"/>
          <w:sz w:val="24"/>
          <w:szCs w:val="24"/>
        </w:rPr>
      </w:pPr>
      <w:r w:rsidRPr="00F061CE">
        <w:rPr>
          <w:i/>
          <w:color w:val="000000"/>
          <w:sz w:val="24"/>
          <w:szCs w:val="24"/>
        </w:rPr>
        <w:tab/>
      </w:r>
      <w:r w:rsidRPr="00F061CE">
        <w:rPr>
          <w:i/>
          <w:color w:val="000000"/>
          <w:sz w:val="24"/>
          <w:szCs w:val="24"/>
        </w:rPr>
        <w:tab/>
        <w:t>(t)</w:t>
      </w:r>
      <w:r w:rsidRPr="00F061CE">
        <w:rPr>
          <w:i/>
          <w:color w:val="000000"/>
          <w:sz w:val="24"/>
          <w:szCs w:val="24"/>
          <w:vertAlign w:val="superscript"/>
        </w:rPr>
        <w:t>2</w:t>
      </w:r>
      <w:r w:rsidRPr="00F061CE">
        <w:rPr>
          <w:i/>
          <w:color w:val="000000"/>
          <w:sz w:val="24"/>
          <w:szCs w:val="24"/>
        </w:rPr>
        <w:t xml:space="preserve"> * (p)(q)</w:t>
      </w:r>
    </w:p>
    <w:p w:rsidRPr="00377FD9" w:rsidR="00844413" w:rsidRDefault="0066531C" w14:paraId="78C687CC" w14:textId="77777777">
      <w:pPr>
        <w:pBdr>
          <w:top w:val="nil"/>
          <w:left w:val="nil"/>
          <w:bottom w:val="nil"/>
          <w:right w:val="nil"/>
          <w:between w:val="nil"/>
        </w:pBdr>
        <w:ind w:left="1080" w:right="2088"/>
        <w:rPr>
          <w:i/>
          <w:color w:val="000000"/>
          <w:sz w:val="24"/>
          <w:szCs w:val="24"/>
        </w:rPr>
      </w:pPr>
      <w:r w:rsidRPr="00377FD9">
        <w:rPr>
          <w:i/>
          <w:color w:val="000000"/>
          <w:sz w:val="24"/>
          <w:szCs w:val="24"/>
        </w:rPr>
        <w:t>n</w:t>
      </w:r>
      <w:r w:rsidRPr="00377FD9">
        <w:rPr>
          <w:i/>
          <w:color w:val="000000"/>
          <w:sz w:val="24"/>
          <w:szCs w:val="24"/>
        </w:rPr>
        <w:tab/>
        <w:t>=</w:t>
      </w:r>
      <w:r w:rsidRPr="00377FD9">
        <w:rPr>
          <w:i/>
          <w:color w:val="000000"/>
          <w:sz w:val="24"/>
          <w:szCs w:val="24"/>
        </w:rPr>
        <w:tab/>
        <w:t>---------------</w:t>
      </w:r>
      <w:r w:rsidRPr="00377FD9">
        <w:rPr>
          <w:i/>
          <w:color w:val="000000"/>
          <w:sz w:val="24"/>
          <w:szCs w:val="24"/>
        </w:rPr>
        <w:tab/>
      </w:r>
      <w:r w:rsidRPr="00377FD9">
        <w:rPr>
          <w:i/>
          <w:color w:val="000000"/>
          <w:sz w:val="24"/>
          <w:szCs w:val="24"/>
        </w:rPr>
        <w:tab/>
      </w:r>
    </w:p>
    <w:p w:rsidRPr="00C36E90" w:rsidR="00844413" w:rsidRDefault="0066531C" w14:paraId="73548DB9" w14:textId="77777777">
      <w:pPr>
        <w:pBdr>
          <w:top w:val="nil"/>
          <w:left w:val="nil"/>
          <w:bottom w:val="nil"/>
          <w:right w:val="nil"/>
          <w:between w:val="nil"/>
        </w:pBdr>
        <w:ind w:left="1080" w:right="2088"/>
        <w:rPr>
          <w:i/>
          <w:color w:val="000000"/>
          <w:sz w:val="24"/>
          <w:szCs w:val="24"/>
          <w:vertAlign w:val="superscript"/>
        </w:rPr>
      </w:pPr>
      <w:r w:rsidRPr="00C36E90">
        <w:rPr>
          <w:i/>
          <w:color w:val="000000"/>
          <w:sz w:val="24"/>
          <w:szCs w:val="24"/>
        </w:rPr>
        <w:tab/>
      </w:r>
      <w:r w:rsidRPr="00C36E90">
        <w:rPr>
          <w:i/>
          <w:color w:val="000000"/>
          <w:sz w:val="24"/>
          <w:szCs w:val="24"/>
        </w:rPr>
        <w:tab/>
        <w:t xml:space="preserve">       (d)</w:t>
      </w:r>
      <w:r w:rsidRPr="00C36E90">
        <w:rPr>
          <w:i/>
          <w:color w:val="000000"/>
          <w:sz w:val="24"/>
          <w:szCs w:val="24"/>
          <w:vertAlign w:val="superscript"/>
        </w:rPr>
        <w:t>2</w:t>
      </w:r>
    </w:p>
    <w:p w:rsidRPr="00C36E90" w:rsidR="00844413" w:rsidRDefault="00844413" w14:paraId="0DCDF2B6" w14:textId="77777777">
      <w:pPr>
        <w:pBdr>
          <w:top w:val="nil"/>
          <w:left w:val="nil"/>
          <w:bottom w:val="nil"/>
          <w:right w:val="nil"/>
          <w:between w:val="nil"/>
        </w:pBdr>
        <w:ind w:left="1080" w:right="2088"/>
        <w:rPr>
          <w:i/>
          <w:color w:val="000000"/>
          <w:sz w:val="24"/>
          <w:szCs w:val="24"/>
        </w:rPr>
      </w:pPr>
    </w:p>
    <w:p w:rsidRPr="00C36E90" w:rsidR="00844413" w:rsidRDefault="0066531C" w14:paraId="30E4F760" w14:textId="77777777">
      <w:pPr>
        <w:pBdr>
          <w:top w:val="nil"/>
          <w:left w:val="nil"/>
          <w:bottom w:val="nil"/>
          <w:right w:val="nil"/>
          <w:between w:val="nil"/>
        </w:pBdr>
        <w:ind w:left="1080" w:right="2088"/>
        <w:rPr>
          <w:i/>
          <w:color w:val="000000"/>
          <w:sz w:val="24"/>
          <w:szCs w:val="24"/>
        </w:rPr>
      </w:pPr>
      <w:r w:rsidRPr="00C36E90">
        <w:rPr>
          <w:i/>
          <w:color w:val="000000"/>
          <w:sz w:val="24"/>
          <w:szCs w:val="24"/>
        </w:rPr>
        <w:t xml:space="preserve">Where t = the t-value derived from selected alpha level, </w:t>
      </w:r>
    </w:p>
    <w:p w:rsidRPr="00C36E90" w:rsidR="00844413" w:rsidRDefault="0066531C" w14:paraId="5AF2EDBF" w14:textId="77777777">
      <w:pPr>
        <w:pBdr>
          <w:top w:val="nil"/>
          <w:left w:val="nil"/>
          <w:bottom w:val="nil"/>
          <w:right w:val="nil"/>
          <w:between w:val="nil"/>
        </w:pBdr>
        <w:ind w:left="1080" w:right="2088"/>
        <w:rPr>
          <w:i/>
          <w:color w:val="000000"/>
          <w:sz w:val="24"/>
          <w:szCs w:val="24"/>
        </w:rPr>
      </w:pPr>
      <w:r w:rsidRPr="00C36E90">
        <w:rPr>
          <w:i/>
          <w:color w:val="000000"/>
          <w:sz w:val="24"/>
          <w:szCs w:val="24"/>
        </w:rPr>
        <w:t>(p)(q) = estimate of variance (using the proportion of the population (p) with a certain characteristic of interest and q = (1-p)</w:t>
      </w:r>
      <w:r w:rsidRPr="00C36E90">
        <w:rPr>
          <w:i/>
          <w:sz w:val="24"/>
          <w:szCs w:val="24"/>
        </w:rPr>
        <w:t xml:space="preserve">, </w:t>
      </w:r>
    </w:p>
    <w:p w:rsidRPr="00C36E90" w:rsidR="00844413" w:rsidRDefault="0066531C" w14:paraId="3497AA5B" w14:textId="77777777">
      <w:pPr>
        <w:pBdr>
          <w:top w:val="nil"/>
          <w:left w:val="nil"/>
          <w:bottom w:val="nil"/>
          <w:right w:val="nil"/>
          <w:between w:val="nil"/>
        </w:pBdr>
        <w:ind w:left="1080" w:right="2088"/>
        <w:rPr>
          <w:i/>
          <w:color w:val="000000"/>
          <w:sz w:val="24"/>
          <w:szCs w:val="24"/>
        </w:rPr>
      </w:pPr>
      <w:r w:rsidRPr="00C36E90">
        <w:rPr>
          <w:i/>
          <w:color w:val="000000"/>
          <w:sz w:val="24"/>
          <w:szCs w:val="24"/>
        </w:rPr>
        <w:t>and d = margin of error</w:t>
      </w:r>
    </w:p>
    <w:p w:rsidRPr="00C36E90" w:rsidR="00844413" w:rsidRDefault="00844413" w14:paraId="396F231A" w14:textId="77777777">
      <w:pPr>
        <w:pBdr>
          <w:top w:val="nil"/>
          <w:left w:val="nil"/>
          <w:bottom w:val="nil"/>
          <w:right w:val="nil"/>
          <w:between w:val="nil"/>
        </w:pBdr>
        <w:ind w:left="1080" w:right="2088"/>
        <w:rPr>
          <w:i/>
          <w:sz w:val="24"/>
          <w:szCs w:val="24"/>
        </w:rPr>
      </w:pPr>
    </w:p>
    <w:p w:rsidRPr="00C36E90" w:rsidR="00844413" w:rsidP="007E2F83" w:rsidRDefault="0066531C" w14:paraId="77A25F34" w14:textId="77777777">
      <w:pPr>
        <w:ind w:left="1080" w:right="2088"/>
        <w:rPr>
          <w:i/>
          <w:sz w:val="24"/>
          <w:szCs w:val="24"/>
        </w:rPr>
      </w:pPr>
      <w:r w:rsidRPr="00C36E90">
        <w:rPr>
          <w:i/>
          <w:sz w:val="24"/>
          <w:szCs w:val="24"/>
        </w:rPr>
        <w:t>Hence, the minimum estimated sample size is:</w:t>
      </w:r>
    </w:p>
    <w:p w:rsidRPr="00C36E90" w:rsidR="00844413" w:rsidRDefault="00844413" w14:paraId="2B2B4806" w14:textId="77777777">
      <w:pPr>
        <w:pBdr>
          <w:top w:val="nil"/>
          <w:left w:val="nil"/>
          <w:bottom w:val="nil"/>
          <w:right w:val="nil"/>
          <w:between w:val="nil"/>
        </w:pBdr>
        <w:ind w:left="1080" w:right="2088"/>
        <w:rPr>
          <w:i/>
          <w:sz w:val="24"/>
          <w:szCs w:val="24"/>
        </w:rPr>
      </w:pPr>
    </w:p>
    <w:p w:rsidRPr="00C36E90" w:rsidR="00844413" w:rsidRDefault="0066531C" w14:paraId="3676EB04" w14:textId="77777777">
      <w:pPr>
        <w:pBdr>
          <w:top w:val="nil"/>
          <w:left w:val="nil"/>
          <w:bottom w:val="nil"/>
          <w:right w:val="nil"/>
          <w:between w:val="nil"/>
        </w:pBdr>
        <w:ind w:left="1080" w:right="2088"/>
        <w:rPr>
          <w:i/>
          <w:color w:val="000000"/>
          <w:sz w:val="24"/>
          <w:szCs w:val="24"/>
        </w:rPr>
      </w:pPr>
      <w:r w:rsidRPr="00C36E90">
        <w:rPr>
          <w:i/>
          <w:color w:val="000000"/>
          <w:sz w:val="24"/>
          <w:szCs w:val="24"/>
        </w:rPr>
        <w:tab/>
      </w:r>
      <w:r w:rsidRPr="00C36E90">
        <w:rPr>
          <w:i/>
          <w:color w:val="000000"/>
          <w:sz w:val="24"/>
          <w:szCs w:val="24"/>
        </w:rPr>
        <w:tab/>
        <w:t>(1.96)</w:t>
      </w:r>
      <w:r w:rsidRPr="00C36E90">
        <w:rPr>
          <w:i/>
          <w:color w:val="000000"/>
          <w:sz w:val="24"/>
          <w:szCs w:val="24"/>
          <w:vertAlign w:val="superscript"/>
        </w:rPr>
        <w:t>2</w:t>
      </w:r>
      <w:r w:rsidRPr="00C36E90">
        <w:rPr>
          <w:i/>
          <w:color w:val="000000"/>
          <w:sz w:val="24"/>
          <w:szCs w:val="24"/>
        </w:rPr>
        <w:t xml:space="preserve"> * (.5)(.5)</w:t>
      </w:r>
    </w:p>
    <w:p w:rsidRPr="00C36E90" w:rsidR="00844413" w:rsidRDefault="0066531C" w14:paraId="0B22D452" w14:textId="77777777">
      <w:pPr>
        <w:pBdr>
          <w:top w:val="nil"/>
          <w:left w:val="nil"/>
          <w:bottom w:val="nil"/>
          <w:right w:val="nil"/>
          <w:between w:val="nil"/>
        </w:pBdr>
        <w:ind w:left="1080" w:right="2088"/>
        <w:rPr>
          <w:i/>
          <w:color w:val="000000"/>
          <w:sz w:val="24"/>
          <w:szCs w:val="24"/>
        </w:rPr>
      </w:pPr>
      <w:r w:rsidRPr="00C36E90">
        <w:rPr>
          <w:i/>
          <w:color w:val="000000"/>
          <w:sz w:val="24"/>
          <w:szCs w:val="24"/>
        </w:rPr>
        <w:t>n</w:t>
      </w:r>
      <w:r w:rsidRPr="00C36E90">
        <w:rPr>
          <w:i/>
          <w:color w:val="000000"/>
          <w:sz w:val="24"/>
          <w:szCs w:val="24"/>
        </w:rPr>
        <w:tab/>
        <w:t>=</w:t>
      </w:r>
      <w:r w:rsidRPr="00C36E90">
        <w:rPr>
          <w:i/>
          <w:color w:val="000000"/>
          <w:sz w:val="24"/>
          <w:szCs w:val="24"/>
        </w:rPr>
        <w:tab/>
        <w:t>---------------</w:t>
      </w:r>
      <w:r w:rsidRPr="00C36E90">
        <w:rPr>
          <w:i/>
          <w:color w:val="000000"/>
          <w:sz w:val="24"/>
          <w:szCs w:val="24"/>
        </w:rPr>
        <w:tab/>
      </w:r>
      <w:r w:rsidRPr="00C36E90">
        <w:rPr>
          <w:i/>
          <w:color w:val="000000"/>
          <w:sz w:val="24"/>
          <w:szCs w:val="24"/>
        </w:rPr>
        <w:tab/>
        <w:t>= 384</w:t>
      </w:r>
    </w:p>
    <w:p w:rsidRPr="00C36E90" w:rsidR="00844413" w:rsidRDefault="0066531C" w14:paraId="5237F56D" w14:textId="77777777">
      <w:pPr>
        <w:pBdr>
          <w:top w:val="nil"/>
          <w:left w:val="nil"/>
          <w:bottom w:val="nil"/>
          <w:right w:val="nil"/>
          <w:between w:val="nil"/>
        </w:pBdr>
        <w:ind w:left="1080" w:right="2088"/>
        <w:rPr>
          <w:i/>
          <w:color w:val="000000"/>
          <w:sz w:val="24"/>
          <w:szCs w:val="24"/>
          <w:vertAlign w:val="superscript"/>
        </w:rPr>
      </w:pPr>
      <w:r w:rsidRPr="00C36E90">
        <w:rPr>
          <w:i/>
          <w:color w:val="000000"/>
          <w:sz w:val="24"/>
          <w:szCs w:val="24"/>
        </w:rPr>
        <w:tab/>
      </w:r>
      <w:r w:rsidRPr="00C36E90">
        <w:rPr>
          <w:i/>
          <w:color w:val="000000"/>
          <w:sz w:val="24"/>
          <w:szCs w:val="24"/>
        </w:rPr>
        <w:tab/>
        <w:t xml:space="preserve">       (.05)</w:t>
      </w:r>
      <w:r w:rsidRPr="00C36E90">
        <w:rPr>
          <w:i/>
          <w:color w:val="000000"/>
          <w:sz w:val="24"/>
          <w:szCs w:val="24"/>
          <w:vertAlign w:val="superscript"/>
        </w:rPr>
        <w:t>2</w:t>
      </w:r>
    </w:p>
    <w:p w:rsidRPr="00770E10" w:rsidR="00844413" w:rsidRDefault="0066531C" w14:paraId="47CF33CF" w14:textId="77777777">
      <w:pPr>
        <w:spacing w:before="209"/>
        <w:ind w:left="1080" w:right="2095"/>
        <w:rPr>
          <w:i/>
          <w:sz w:val="24"/>
          <w:szCs w:val="24"/>
        </w:rPr>
      </w:pPr>
      <w:r w:rsidRPr="00763C67">
        <w:rPr>
          <w:i/>
          <w:color w:val="000000"/>
          <w:sz w:val="24"/>
          <w:szCs w:val="24"/>
        </w:rPr>
        <w:t>Using the above outlined variables of measurement and the estimated population sizes (N) for the Northeast and Southeast regions, we calculated the sample size based on Cochran’s finite population correction formula for final sample size determination (Bartlett et al 2001):</w:t>
      </w:r>
      <w:r w:rsidRPr="00770E10">
        <w:rPr>
          <w:sz w:val="24"/>
          <w:szCs w:val="24"/>
        </w:rPr>
        <w:t xml:space="preserve">  </w:t>
      </w:r>
    </w:p>
    <w:p w:rsidRPr="00763C67" w:rsidR="00844413" w:rsidRDefault="00813CD6" w14:paraId="73036489" w14:textId="77777777">
      <w:pPr>
        <w:pBdr>
          <w:top w:val="nil"/>
          <w:left w:val="nil"/>
          <w:bottom w:val="nil"/>
          <w:right w:val="nil"/>
          <w:between w:val="nil"/>
        </w:pBdr>
        <w:ind w:left="1080" w:right="2088"/>
        <w:rPr>
          <w:sz w:val="24"/>
          <w:szCs w:val="24"/>
        </w:rPr>
      </w:pPr>
      <m:oMathPara>
        <m:oMath>
          <m:sSup>
            <m:sSupPr>
              <m:ctrlPr>
                <w:rPr>
                  <w:rFonts w:ascii="Cambria Math" w:hAnsi="Cambria Math" w:eastAsia="Cambria Math" w:cs="Cambria Math"/>
                  <w:i/>
                  <w:sz w:val="24"/>
                  <w:szCs w:val="24"/>
                </w:rPr>
              </m:ctrlPr>
            </m:sSupPr>
            <m:e>
              <m:r>
                <w:rPr>
                  <w:rFonts w:ascii="Cambria Math" w:hAnsi="Cambria Math" w:eastAsia="Cambria Math" w:cs="Cambria Math"/>
                  <w:sz w:val="24"/>
                  <w:szCs w:val="24"/>
                </w:rPr>
                <m:t>n'</m:t>
              </m:r>
            </m:e>
            <m:sup/>
          </m:sSup>
          <m:r>
            <w:rPr>
              <w:rFonts w:ascii="Cambria Math" w:hAnsi="Cambria Math" w:eastAsia="Cambria Math" w:cs="Cambria Math"/>
              <w:sz w:val="24"/>
              <w:szCs w:val="24"/>
            </w:rPr>
            <m:t>=</m:t>
          </m:r>
          <m:f>
            <m:fPr>
              <m:ctrlPr>
                <w:rPr>
                  <w:rFonts w:ascii="Cambria Math" w:hAnsi="Cambria Math" w:eastAsia="Cambria Math" w:cs="Cambria Math"/>
                  <w:sz w:val="24"/>
                  <w:szCs w:val="24"/>
                </w:rPr>
              </m:ctrlPr>
            </m:fPr>
            <m:num>
              <m:r>
                <w:rPr>
                  <w:rFonts w:ascii="Cambria Math" w:hAnsi="Cambria Math" w:eastAsia="Cambria Math" w:cs="Cambria Math"/>
                  <w:sz w:val="24"/>
                  <w:szCs w:val="24"/>
                </w:rPr>
                <m:t>n</m:t>
              </m:r>
            </m:num>
            <m:den>
              <m:r>
                <w:rPr>
                  <w:rFonts w:ascii="Cambria Math" w:hAnsi="Cambria Math" w:eastAsia="Cambria Math" w:cs="Cambria Math"/>
                  <w:sz w:val="24"/>
                  <w:szCs w:val="24"/>
                </w:rPr>
                <m:t>1+</m:t>
              </m:r>
              <m:f>
                <m:fPr>
                  <m:ctrlPr>
                    <w:rPr>
                      <w:rFonts w:ascii="Cambria Math" w:hAnsi="Cambria Math" w:eastAsia="Cambria Math" w:cs="Cambria Math"/>
                      <w:sz w:val="24"/>
                      <w:szCs w:val="24"/>
                    </w:rPr>
                  </m:ctrlPr>
                </m:fPr>
                <m:num>
                  <m:r>
                    <w:rPr>
                      <w:rFonts w:ascii="Cambria Math" w:hAnsi="Cambria Math" w:eastAsia="Cambria Math" w:cs="Cambria Math"/>
                      <w:sz w:val="24"/>
                      <w:szCs w:val="24"/>
                    </w:rPr>
                    <m:t>n</m:t>
                  </m:r>
                </m:num>
                <m:den>
                  <m:r>
                    <w:rPr>
                      <w:rFonts w:ascii="Cambria Math" w:hAnsi="Cambria Math" w:eastAsia="Cambria Math" w:cs="Cambria Math"/>
                      <w:sz w:val="24"/>
                      <w:szCs w:val="24"/>
                    </w:rPr>
                    <m:t>N</m:t>
                  </m:r>
                </m:den>
              </m:f>
            </m:den>
          </m:f>
        </m:oMath>
      </m:oMathPara>
    </w:p>
    <w:p w:rsidRPr="00F061CE" w:rsidR="00844413" w:rsidRDefault="00844413" w14:paraId="6434E1E4" w14:textId="77777777">
      <w:pPr>
        <w:pBdr>
          <w:top w:val="nil"/>
          <w:left w:val="nil"/>
          <w:bottom w:val="nil"/>
          <w:right w:val="nil"/>
          <w:between w:val="nil"/>
        </w:pBdr>
        <w:ind w:left="1080" w:right="2088"/>
        <w:rPr>
          <w:i/>
          <w:sz w:val="24"/>
          <w:szCs w:val="24"/>
        </w:rPr>
      </w:pPr>
    </w:p>
    <w:p w:rsidRPr="00377FD9" w:rsidR="00844413" w:rsidRDefault="0066531C" w14:paraId="5BCAC710" w14:textId="613798D6">
      <w:pPr>
        <w:pBdr>
          <w:top w:val="nil"/>
          <w:left w:val="nil"/>
          <w:bottom w:val="nil"/>
          <w:right w:val="nil"/>
          <w:between w:val="nil"/>
        </w:pBdr>
        <w:ind w:left="1080" w:right="2088"/>
        <w:rPr>
          <w:i/>
          <w:color w:val="000000"/>
          <w:sz w:val="24"/>
          <w:szCs w:val="24"/>
          <w:vertAlign w:val="superscript"/>
        </w:rPr>
      </w:pPr>
      <w:r w:rsidRPr="00F061CE">
        <w:rPr>
          <w:i/>
          <w:sz w:val="24"/>
          <w:szCs w:val="24"/>
        </w:rPr>
        <w:t xml:space="preserve">Cochran’s correction for an estimated Northeast population of </w:t>
      </w:r>
      <w:r w:rsidR="0001470A">
        <w:rPr>
          <w:i/>
          <w:sz w:val="24"/>
          <w:szCs w:val="24"/>
        </w:rPr>
        <w:t>19,380</w:t>
      </w:r>
      <w:r w:rsidRPr="00F061CE">
        <w:rPr>
          <w:i/>
          <w:sz w:val="24"/>
          <w:szCs w:val="24"/>
        </w:rPr>
        <w:t xml:space="preserve"> is: </w:t>
      </w:r>
    </w:p>
    <w:p w:rsidRPr="00377FD9" w:rsidR="00844413" w:rsidRDefault="00844413" w14:paraId="0D43857C" w14:textId="77777777">
      <w:pPr>
        <w:pBdr>
          <w:top w:val="nil"/>
          <w:left w:val="nil"/>
          <w:bottom w:val="nil"/>
          <w:right w:val="nil"/>
          <w:between w:val="nil"/>
        </w:pBdr>
        <w:ind w:left="1080" w:right="2088"/>
        <w:rPr>
          <w:i/>
          <w:color w:val="000000"/>
          <w:sz w:val="24"/>
          <w:szCs w:val="24"/>
          <w:vertAlign w:val="superscript"/>
        </w:rPr>
      </w:pPr>
    </w:p>
    <w:p w:rsidRPr="00F061CE" w:rsidR="00844413" w:rsidRDefault="0066531C" w14:paraId="7264A343" w14:textId="2CEF3E55">
      <w:pPr>
        <w:pBdr>
          <w:top w:val="nil"/>
          <w:left w:val="nil"/>
          <w:bottom w:val="nil"/>
          <w:right w:val="nil"/>
          <w:between w:val="nil"/>
        </w:pBdr>
        <w:ind w:left="1080" w:right="2088"/>
        <w:rPr>
          <w:i/>
          <w:sz w:val="24"/>
          <w:szCs w:val="24"/>
        </w:rPr>
      </w:pPr>
      <w:r w:rsidRPr="00C36E90">
        <w:rPr>
          <w:i/>
          <w:sz w:val="24"/>
          <w:szCs w:val="24"/>
        </w:rPr>
        <w:tab/>
      </w:r>
      <m:oMath>
        <m:sSup>
          <m:sSupPr>
            <m:ctrlPr>
              <w:rPr>
                <w:rFonts w:ascii="Cambria Math" w:hAnsi="Cambria Math" w:eastAsia="Cambria Math" w:cs="Cambria Math"/>
                <w:i/>
                <w:sz w:val="24"/>
                <w:szCs w:val="24"/>
              </w:rPr>
            </m:ctrlPr>
          </m:sSupPr>
          <m:e>
            <m:r>
              <w:rPr>
                <w:rFonts w:ascii="Cambria Math" w:hAnsi="Cambria Math" w:eastAsia="Cambria Math" w:cs="Cambria Math"/>
                <w:sz w:val="24"/>
                <w:szCs w:val="24"/>
              </w:rPr>
              <m:t>n'</m:t>
            </m:r>
          </m:e>
          <m:sup/>
        </m:sSup>
        <m:r>
          <w:rPr>
            <w:rFonts w:ascii="Cambria Math" w:hAnsi="Cambria Math" w:eastAsia="Cambria Math" w:cs="Cambria Math"/>
            <w:sz w:val="24"/>
            <w:szCs w:val="24"/>
          </w:rPr>
          <m:t>=</m:t>
        </m:r>
        <m:f>
          <m:fPr>
            <m:ctrlPr>
              <w:rPr>
                <w:rFonts w:ascii="Cambria Math" w:hAnsi="Cambria Math" w:eastAsia="Cambria Math" w:cs="Cambria Math"/>
                <w:sz w:val="24"/>
                <w:szCs w:val="24"/>
              </w:rPr>
            </m:ctrlPr>
          </m:fPr>
          <m:num>
            <m:r>
              <w:rPr>
                <w:rFonts w:ascii="Cambria Math" w:hAnsi="Cambria Math" w:eastAsia="Cambria Math" w:cs="Cambria Math"/>
                <w:sz w:val="24"/>
                <w:szCs w:val="24"/>
              </w:rPr>
              <m:t>384</m:t>
            </m:r>
          </m:num>
          <m:den>
            <m:r>
              <w:rPr>
                <w:rFonts w:ascii="Cambria Math" w:hAnsi="Cambria Math" w:eastAsia="Cambria Math" w:cs="Cambria Math"/>
                <w:sz w:val="24"/>
                <w:szCs w:val="24"/>
              </w:rPr>
              <m:t>1+</m:t>
            </m:r>
            <m:f>
              <m:fPr>
                <m:ctrlPr>
                  <w:rPr>
                    <w:rFonts w:ascii="Cambria Math" w:hAnsi="Cambria Math" w:eastAsia="Cambria Math" w:cs="Cambria Math"/>
                    <w:sz w:val="24"/>
                    <w:szCs w:val="24"/>
                  </w:rPr>
                </m:ctrlPr>
              </m:fPr>
              <m:num>
                <m:r>
                  <w:rPr>
                    <w:rFonts w:ascii="Cambria Math" w:hAnsi="Cambria Math" w:eastAsia="Cambria Math" w:cs="Cambria Math"/>
                    <w:sz w:val="24"/>
                    <w:szCs w:val="24"/>
                  </w:rPr>
                  <m:t>384</m:t>
                </m:r>
              </m:num>
              <m:den>
                <m:r>
                  <w:rPr>
                    <w:rFonts w:ascii="Cambria Math" w:hAnsi="Cambria Math" w:eastAsia="Cambria Math" w:cs="Cambria Math"/>
                    <w:sz w:val="24"/>
                    <w:szCs w:val="24"/>
                  </w:rPr>
                  <m:t>19,380</m:t>
                </m:r>
              </m:den>
            </m:f>
          </m:den>
        </m:f>
        <m:r>
          <w:rPr>
            <w:rFonts w:ascii="Cambria Math" w:hAnsi="Cambria Math" w:eastAsia="Cambria Math" w:cs="Cambria Math"/>
            <w:sz w:val="24"/>
            <w:szCs w:val="24"/>
          </w:rPr>
          <m:t>=377</m:t>
        </m:r>
      </m:oMath>
    </w:p>
    <w:p w:rsidRPr="00F061CE" w:rsidR="00844413" w:rsidRDefault="00844413" w14:paraId="19D82A8B" w14:textId="77777777">
      <w:pPr>
        <w:pBdr>
          <w:top w:val="nil"/>
          <w:left w:val="nil"/>
          <w:bottom w:val="nil"/>
          <w:right w:val="nil"/>
          <w:between w:val="nil"/>
        </w:pBdr>
        <w:ind w:left="1080" w:right="2088"/>
        <w:rPr>
          <w:i/>
          <w:sz w:val="24"/>
          <w:szCs w:val="24"/>
        </w:rPr>
      </w:pPr>
    </w:p>
    <w:p w:rsidRPr="00C36E90" w:rsidR="00844413" w:rsidP="007E2F83" w:rsidRDefault="0066531C" w14:paraId="0D44B0EA" w14:textId="75AD6792">
      <w:pPr>
        <w:pBdr>
          <w:top w:val="nil"/>
          <w:left w:val="nil"/>
          <w:bottom w:val="nil"/>
          <w:right w:val="nil"/>
          <w:between w:val="nil"/>
        </w:pBdr>
        <w:ind w:left="1080" w:right="2088"/>
        <w:rPr>
          <w:color w:val="000000"/>
          <w:sz w:val="24"/>
          <w:szCs w:val="24"/>
          <w:vertAlign w:val="superscript"/>
        </w:rPr>
      </w:pPr>
      <w:r w:rsidRPr="00C36E90">
        <w:rPr>
          <w:i/>
          <w:sz w:val="24"/>
          <w:szCs w:val="24"/>
        </w:rPr>
        <w:tab/>
      </w:r>
      <w:r w:rsidRPr="00C36E90">
        <w:rPr>
          <w:i/>
          <w:sz w:val="24"/>
          <w:szCs w:val="24"/>
        </w:rPr>
        <w:tab/>
      </w:r>
    </w:p>
    <w:p w:rsidRPr="00F061CE" w:rsidR="00844413" w:rsidP="00C12C15" w:rsidRDefault="00770E10" w14:paraId="1F43A799" w14:textId="08F461A0">
      <w:pPr>
        <w:pBdr>
          <w:top w:val="nil"/>
          <w:left w:val="nil"/>
          <w:bottom w:val="nil"/>
          <w:right w:val="nil"/>
          <w:between w:val="nil"/>
        </w:pBdr>
        <w:ind w:left="720" w:right="2088" w:firstLine="360"/>
        <w:rPr>
          <w:i/>
          <w:color w:val="000000"/>
          <w:sz w:val="24"/>
          <w:szCs w:val="24"/>
          <w:vertAlign w:val="superscript"/>
        </w:rPr>
      </w:pPr>
      <w:r>
        <w:rPr>
          <w:i/>
          <w:sz w:val="24"/>
          <w:szCs w:val="24"/>
        </w:rPr>
        <w:t xml:space="preserve">Similarly, </w:t>
      </w:r>
      <w:r w:rsidRPr="00F061CE" w:rsidR="0066531C">
        <w:rPr>
          <w:i/>
          <w:sz w:val="24"/>
          <w:szCs w:val="24"/>
        </w:rPr>
        <w:t xml:space="preserve">Cochran’s correction for an estimated Southeast population of </w:t>
      </w:r>
      <w:r w:rsidR="00C12C15">
        <w:rPr>
          <w:i/>
          <w:sz w:val="24"/>
          <w:szCs w:val="24"/>
        </w:rPr>
        <w:t xml:space="preserve">   1</w:t>
      </w:r>
      <w:r w:rsidRPr="00F061CE" w:rsidR="0066531C">
        <w:rPr>
          <w:i/>
          <w:sz w:val="24"/>
          <w:szCs w:val="24"/>
        </w:rPr>
        <w:t xml:space="preserve">1,675 is: </w:t>
      </w:r>
    </w:p>
    <w:p w:rsidRPr="00F061CE" w:rsidR="00844413" w:rsidP="007E2F83" w:rsidRDefault="00813CD6" w14:paraId="018160F8" w14:textId="77777777">
      <w:pPr>
        <w:ind w:left="1080" w:right="2088"/>
        <w:rPr>
          <w:i/>
          <w:color w:val="000000"/>
          <w:sz w:val="24"/>
          <w:szCs w:val="24"/>
          <w:vertAlign w:val="superscript"/>
        </w:rPr>
      </w:pPr>
      <m:oMathPara>
        <m:oMath>
          <m:sSup>
            <m:sSupPr>
              <m:ctrlPr>
                <w:rPr>
                  <w:rFonts w:ascii="Cambria Math" w:hAnsi="Cambria Math"/>
                  <w:i/>
                  <w:color w:val="000000"/>
                  <w:sz w:val="24"/>
                  <w:szCs w:val="24"/>
                  <w:vertAlign w:val="superscript"/>
                </w:rPr>
              </m:ctrlPr>
            </m:sSupPr>
            <m:e>
              <m:r>
                <w:rPr>
                  <w:rFonts w:ascii="Cambria Math" w:hAnsi="Cambria Math"/>
                  <w:color w:val="000000"/>
                  <w:sz w:val="24"/>
                  <w:szCs w:val="24"/>
                  <w:vertAlign w:val="superscript"/>
                </w:rPr>
                <m:t>n'</m:t>
              </m:r>
            </m:e>
            <m:sup/>
          </m:sSup>
          <m:r>
            <w:rPr>
              <w:rFonts w:ascii="Cambria Math" w:hAnsi="Cambria Math"/>
              <w:color w:val="000000"/>
              <w:sz w:val="24"/>
              <w:szCs w:val="24"/>
              <w:vertAlign w:val="superscript"/>
            </w:rPr>
            <m:t>=</m:t>
          </m:r>
          <m:f>
            <m:fPr>
              <m:ctrlPr>
                <w:rPr>
                  <w:rFonts w:ascii="Cambria Math" w:hAnsi="Cambria Math"/>
                  <w:i/>
                  <w:color w:val="000000"/>
                  <w:sz w:val="24"/>
                  <w:szCs w:val="24"/>
                  <w:vertAlign w:val="superscript"/>
                </w:rPr>
              </m:ctrlPr>
            </m:fPr>
            <m:num>
              <m:r>
                <w:rPr>
                  <w:rFonts w:ascii="Cambria Math" w:hAnsi="Cambria Math"/>
                  <w:color w:val="000000"/>
                  <w:sz w:val="24"/>
                  <w:szCs w:val="24"/>
                  <w:vertAlign w:val="superscript"/>
                </w:rPr>
                <m:t>384</m:t>
              </m:r>
            </m:num>
            <m:den>
              <m:r>
                <w:rPr>
                  <w:rFonts w:ascii="Cambria Math" w:hAnsi="Cambria Math"/>
                  <w:color w:val="000000"/>
                  <w:sz w:val="24"/>
                  <w:szCs w:val="24"/>
                  <w:vertAlign w:val="superscript"/>
                </w:rPr>
                <m:t>1+</m:t>
              </m:r>
              <m:f>
                <m:fPr>
                  <m:ctrlPr>
                    <w:rPr>
                      <w:rFonts w:ascii="Cambria Math" w:hAnsi="Cambria Math"/>
                      <w:i/>
                      <w:color w:val="000000"/>
                      <w:sz w:val="24"/>
                      <w:szCs w:val="24"/>
                      <w:vertAlign w:val="superscript"/>
                    </w:rPr>
                  </m:ctrlPr>
                </m:fPr>
                <m:num>
                  <m:r>
                    <w:rPr>
                      <w:rFonts w:ascii="Cambria Math" w:hAnsi="Cambria Math"/>
                      <w:color w:val="000000"/>
                      <w:sz w:val="24"/>
                      <w:szCs w:val="24"/>
                      <w:vertAlign w:val="superscript"/>
                    </w:rPr>
                    <m:t>384</m:t>
                  </m:r>
                </m:num>
                <m:den>
                  <m:r>
                    <w:rPr>
                      <w:rFonts w:ascii="Cambria Math" w:hAnsi="Cambria Math"/>
                      <w:color w:val="000000"/>
                      <w:sz w:val="24"/>
                      <w:szCs w:val="24"/>
                      <w:vertAlign w:val="superscript"/>
                    </w:rPr>
                    <m:t>11,675</m:t>
                  </m:r>
                </m:den>
              </m:f>
              <m:r>
                <w:rPr>
                  <w:rFonts w:ascii="Cambria Math" w:hAnsi="Cambria Math"/>
                  <w:color w:val="000000"/>
                  <w:sz w:val="24"/>
                  <w:szCs w:val="24"/>
                  <w:vertAlign w:val="superscript"/>
                </w:rPr>
                <m:t xml:space="preserve"> </m:t>
              </m:r>
            </m:den>
          </m:f>
          <m:r>
            <w:rPr>
              <w:rFonts w:ascii="Cambria Math" w:hAnsi="Cambria Math"/>
              <w:color w:val="000000"/>
              <w:sz w:val="24"/>
              <w:szCs w:val="24"/>
              <w:vertAlign w:val="superscript"/>
            </w:rPr>
            <m:t>=372</m:t>
          </m:r>
        </m:oMath>
      </m:oMathPara>
    </w:p>
    <w:p w:rsidR="00844413" w:rsidRDefault="0066531C" w14:paraId="7A411045" w14:textId="3449006A">
      <w:pPr>
        <w:pBdr>
          <w:top w:val="nil"/>
          <w:left w:val="nil"/>
          <w:bottom w:val="nil"/>
          <w:right w:val="nil"/>
          <w:between w:val="nil"/>
        </w:pBdr>
        <w:ind w:left="1080" w:right="2088"/>
        <w:rPr>
          <w:i/>
          <w:sz w:val="24"/>
          <w:szCs w:val="24"/>
        </w:rPr>
      </w:pPr>
      <w:r w:rsidRPr="00C36E90">
        <w:rPr>
          <w:i/>
          <w:sz w:val="24"/>
          <w:szCs w:val="24"/>
        </w:rPr>
        <w:tab/>
      </w:r>
    </w:p>
    <w:p w:rsidR="00844413" w:rsidRDefault="0066531C" w14:paraId="2D1A13F0" w14:textId="77777777">
      <w:pPr>
        <w:pBdr>
          <w:top w:val="nil"/>
          <w:left w:val="nil"/>
          <w:bottom w:val="nil"/>
          <w:right w:val="nil"/>
          <w:between w:val="nil"/>
        </w:pBdr>
        <w:ind w:left="1080"/>
        <w:rPr>
          <w:color w:val="000000"/>
          <w:sz w:val="24"/>
          <w:szCs w:val="24"/>
        </w:rPr>
      </w:pPr>
      <w:r>
        <w:rPr>
          <w:color w:val="000000"/>
          <w:sz w:val="24"/>
          <w:szCs w:val="24"/>
        </w:rPr>
        <w:t xml:space="preserve">Therefore, the total target number of responses for all regions combined is 749 and given a response rate of 80 percent, a sample size of 937 is sufficiently large to estimate the true values of the primary variables of interest in this population. </w:t>
      </w:r>
    </w:p>
    <w:p w:rsidR="00844413" w:rsidRDefault="00844413" w14:paraId="5C7BB52E" w14:textId="77777777">
      <w:pPr>
        <w:ind w:left="1080" w:right="2088"/>
        <w:rPr>
          <w:color w:val="000000"/>
          <w:sz w:val="24"/>
          <w:szCs w:val="24"/>
        </w:rPr>
      </w:pPr>
    </w:p>
    <w:p w:rsidR="00844413" w:rsidRDefault="0066531C" w14:paraId="10E27B22" w14:textId="77777777">
      <w:pPr>
        <w:pBdr>
          <w:top w:val="nil"/>
          <w:left w:val="nil"/>
          <w:bottom w:val="nil"/>
          <w:right w:val="nil"/>
          <w:between w:val="nil"/>
        </w:pBdr>
        <w:ind w:left="1080"/>
        <w:rPr>
          <w:color w:val="000000"/>
          <w:sz w:val="24"/>
          <w:szCs w:val="24"/>
          <w:u w:val="single"/>
        </w:rPr>
      </w:pPr>
      <w:r>
        <w:rPr>
          <w:color w:val="000000"/>
          <w:sz w:val="24"/>
          <w:szCs w:val="24"/>
          <w:u w:val="single"/>
        </w:rPr>
        <w:t>Unusual Problems</w:t>
      </w:r>
    </w:p>
    <w:p w:rsidR="00844413" w:rsidRDefault="00844413" w14:paraId="5B9A7D86" w14:textId="77777777">
      <w:pPr>
        <w:pBdr>
          <w:top w:val="nil"/>
          <w:left w:val="nil"/>
          <w:bottom w:val="nil"/>
          <w:right w:val="nil"/>
          <w:between w:val="nil"/>
        </w:pBdr>
        <w:ind w:left="1080"/>
        <w:rPr>
          <w:color w:val="000000"/>
          <w:sz w:val="24"/>
          <w:szCs w:val="24"/>
        </w:rPr>
      </w:pPr>
    </w:p>
    <w:p w:rsidR="00844413" w:rsidRDefault="0066531C" w14:paraId="50CE6408" w14:textId="3C74DBCC">
      <w:pPr>
        <w:pBdr>
          <w:top w:val="nil"/>
          <w:left w:val="nil"/>
          <w:bottom w:val="nil"/>
          <w:right w:val="nil"/>
          <w:between w:val="nil"/>
        </w:pBdr>
        <w:ind w:left="1080"/>
        <w:rPr>
          <w:color w:val="000000"/>
          <w:sz w:val="24"/>
          <w:szCs w:val="24"/>
        </w:rPr>
      </w:pPr>
      <w:r>
        <w:rPr>
          <w:color w:val="000000"/>
          <w:sz w:val="24"/>
          <w:szCs w:val="24"/>
        </w:rPr>
        <w:t>We expect to encounter no unusual problem</w:t>
      </w:r>
      <w:r w:rsidR="00ED7151">
        <w:rPr>
          <w:color w:val="000000"/>
          <w:sz w:val="24"/>
          <w:szCs w:val="24"/>
        </w:rPr>
        <w:t>s</w:t>
      </w:r>
      <w:r>
        <w:rPr>
          <w:color w:val="000000"/>
          <w:sz w:val="24"/>
          <w:szCs w:val="24"/>
        </w:rPr>
        <w:t>.</w:t>
      </w:r>
    </w:p>
    <w:p w:rsidR="00844413" w:rsidRDefault="00844413" w14:paraId="18E06565" w14:textId="77777777">
      <w:pPr>
        <w:pBdr>
          <w:top w:val="nil"/>
          <w:left w:val="nil"/>
          <w:bottom w:val="nil"/>
          <w:right w:val="nil"/>
          <w:between w:val="nil"/>
        </w:pBdr>
        <w:spacing w:before="7"/>
        <w:rPr>
          <w:color w:val="000000"/>
          <w:sz w:val="10"/>
          <w:szCs w:val="10"/>
        </w:rPr>
      </w:pPr>
    </w:p>
    <w:p w:rsidR="00844413" w:rsidRDefault="0066531C" w14:paraId="739E890A" w14:textId="77777777">
      <w:pPr>
        <w:numPr>
          <w:ilvl w:val="1"/>
          <w:numId w:val="1"/>
        </w:numPr>
        <w:tabs>
          <w:tab w:val="left" w:pos="1320"/>
        </w:tabs>
        <w:spacing w:before="90"/>
        <w:ind w:left="1080" w:right="1597" w:firstLine="0"/>
      </w:pPr>
      <w:bookmarkStart w:name="tyjcwt" w:colFirst="0" w:colLast="0" w:id="5"/>
      <w:bookmarkEnd w:id="5"/>
      <w:r>
        <w:rPr>
          <w:b/>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44413" w:rsidRDefault="00844413" w14:paraId="23FC2B10" w14:textId="77777777">
      <w:pPr>
        <w:pBdr>
          <w:top w:val="nil"/>
          <w:left w:val="nil"/>
          <w:bottom w:val="nil"/>
          <w:right w:val="nil"/>
          <w:between w:val="nil"/>
        </w:pBdr>
        <w:rPr>
          <w:b/>
          <w:color w:val="000000"/>
          <w:sz w:val="24"/>
          <w:szCs w:val="24"/>
        </w:rPr>
      </w:pPr>
    </w:p>
    <w:p w:rsidR="00844413" w:rsidRDefault="0066531C" w14:paraId="1C0CC3FB" w14:textId="77777777">
      <w:pPr>
        <w:pBdr>
          <w:top w:val="nil"/>
          <w:left w:val="nil"/>
          <w:bottom w:val="nil"/>
          <w:right w:val="nil"/>
          <w:between w:val="nil"/>
        </w:pBdr>
        <w:spacing w:before="1"/>
        <w:ind w:left="1079" w:right="1423"/>
        <w:rPr>
          <w:color w:val="000000"/>
          <w:sz w:val="24"/>
          <w:szCs w:val="24"/>
        </w:rPr>
      </w:pPr>
      <w:r>
        <w:rPr>
          <w:color w:val="000000"/>
          <w:sz w:val="24"/>
          <w:szCs w:val="24"/>
        </w:rPr>
        <w:t>The crew survey will be implemented as an intercept approach in which interviewers will intercept crew at the docks. A random intercept survey is being used to maximize response rates and is a method used for studies of hard-to-find individuals (Miller et.al. 1997) such as crew, who may not have a permanent address or phone number or may live aboard the vessel on which they work (Kitner 2006). A study similar to this one involved a 90 percent response rate from 350 fishermen in New England in 2009 and 2010 (</w:t>
      </w:r>
      <w:r>
        <w:rPr>
          <w:sz w:val="24"/>
          <w:szCs w:val="24"/>
        </w:rPr>
        <w:t>Pollnac et al. 2015)</w:t>
      </w:r>
      <w:r>
        <w:rPr>
          <w:color w:val="000000"/>
          <w:sz w:val="24"/>
          <w:szCs w:val="24"/>
        </w:rPr>
        <w:t>.</w:t>
      </w:r>
      <w:r>
        <w:rPr>
          <w:sz w:val="24"/>
          <w:szCs w:val="24"/>
        </w:rPr>
        <w:t xml:space="preserve"> Additionally, the prior 2018-2019 survey wave of this information collection effort was also able to achieve greater than a 90% response rate, as noted above.</w:t>
      </w:r>
    </w:p>
    <w:p w:rsidR="00844413" w:rsidRDefault="00844413" w14:paraId="30C72C62" w14:textId="77777777">
      <w:pPr>
        <w:pBdr>
          <w:top w:val="nil"/>
          <w:left w:val="nil"/>
          <w:bottom w:val="nil"/>
          <w:right w:val="nil"/>
          <w:between w:val="nil"/>
        </w:pBdr>
        <w:spacing w:before="6"/>
        <w:rPr>
          <w:color w:val="000000"/>
          <w:sz w:val="23"/>
          <w:szCs w:val="23"/>
        </w:rPr>
      </w:pPr>
    </w:p>
    <w:p w:rsidR="00844413" w:rsidRDefault="0066531C" w14:paraId="63FE67EB" w14:textId="77777777">
      <w:pPr>
        <w:pBdr>
          <w:top w:val="nil"/>
          <w:left w:val="nil"/>
          <w:bottom w:val="nil"/>
          <w:right w:val="nil"/>
          <w:between w:val="nil"/>
        </w:pBdr>
        <w:ind w:left="1080" w:right="1449"/>
        <w:rPr>
          <w:color w:val="000000"/>
          <w:sz w:val="24"/>
          <w:szCs w:val="24"/>
        </w:rPr>
      </w:pPr>
      <w:r>
        <w:rPr>
          <w:color w:val="000000"/>
          <w:sz w:val="24"/>
          <w:szCs w:val="24"/>
        </w:rPr>
        <w:t>To maximize response rates, surveys will be conducted in-person. Face-to-face interviews are an effective method for the collection of information from people such as individuals who may not be able to participate using other methods (Bernard 2006). Face- to- face interviews also make it possible to probe for more in-depth answers and clarify respondent questions (Bernard 2006). In addition, the individuals participating in the research have the opportunity to communicate with the researcher and provide additional information that is useful to the overall objectives of the study. We will coordinate follow-up phone calls with crew who may be interested in completing the survey but are not immediately available during the dockside intercept.</w:t>
      </w:r>
    </w:p>
    <w:p w:rsidR="00844413" w:rsidRDefault="00844413" w14:paraId="31E584AE" w14:textId="77777777">
      <w:pPr>
        <w:pBdr>
          <w:top w:val="nil"/>
          <w:left w:val="nil"/>
          <w:bottom w:val="nil"/>
          <w:right w:val="nil"/>
          <w:between w:val="nil"/>
        </w:pBdr>
        <w:rPr>
          <w:color w:val="000000"/>
          <w:sz w:val="24"/>
          <w:szCs w:val="24"/>
        </w:rPr>
      </w:pPr>
    </w:p>
    <w:p w:rsidR="00844413" w:rsidRDefault="0066531C" w14:paraId="4D1FC6AD" w14:textId="77777777">
      <w:pPr>
        <w:pBdr>
          <w:top w:val="nil"/>
          <w:left w:val="nil"/>
          <w:bottom w:val="nil"/>
          <w:right w:val="nil"/>
          <w:between w:val="nil"/>
        </w:pBdr>
        <w:spacing w:before="1"/>
        <w:ind w:left="1080" w:right="1748"/>
        <w:rPr>
          <w:color w:val="000000"/>
          <w:sz w:val="24"/>
          <w:szCs w:val="24"/>
        </w:rPr>
      </w:pPr>
      <w:r>
        <w:rPr>
          <w:color w:val="000000"/>
          <w:sz w:val="24"/>
          <w:szCs w:val="24"/>
        </w:rPr>
        <w:t>Prior to the implementation of the survey, interviewers will explain that the survey is anonymous, participation is voluntary and that the interview can be stopped at any point. It will also be explained that participants can skip questions they do not want to answer.</w:t>
      </w:r>
    </w:p>
    <w:p w:rsidR="00844413" w:rsidRDefault="00844413" w14:paraId="5715AEEB" w14:textId="77777777">
      <w:pPr>
        <w:pBdr>
          <w:top w:val="nil"/>
          <w:left w:val="nil"/>
          <w:bottom w:val="nil"/>
          <w:right w:val="nil"/>
          <w:between w:val="nil"/>
        </w:pBdr>
        <w:spacing w:before="4"/>
        <w:rPr>
          <w:color w:val="000000"/>
          <w:sz w:val="24"/>
          <w:szCs w:val="24"/>
        </w:rPr>
      </w:pPr>
    </w:p>
    <w:p w:rsidRPr="00ED7151" w:rsidR="00844413" w:rsidRDefault="0066531C" w14:paraId="75E43F91" w14:textId="77777777">
      <w:pPr>
        <w:spacing w:before="1" w:line="244" w:lineRule="auto"/>
        <w:ind w:left="1079" w:right="1420"/>
        <w:rPr>
          <w:sz w:val="24"/>
          <w:szCs w:val="24"/>
        </w:rPr>
      </w:pPr>
      <w:r>
        <w:rPr>
          <w:sz w:val="24"/>
          <w:szCs w:val="24"/>
        </w:rPr>
        <w:t xml:space="preserve">The </w:t>
      </w:r>
      <w:r w:rsidRPr="00ED7151">
        <w:rPr>
          <w:sz w:val="24"/>
          <w:szCs w:val="24"/>
        </w:rPr>
        <w:t>NEFSC and SEFSC will work with town harbor commissioners and NMFS port agents in sample ports to determine the best times of the year and day to perform an intercept survey of crew. We will use an electronic vessel tracking system so that we have information on when vessels are departing/arriving. To foster “buy-in” to the project ahead of time, we will also conduct workshops/webinars leading up to deployment of the survey so that fishing industry members have some knowledge of the purpose of the survey. In addition, the NEFSC and SEFSC will advertise the survey in newsletters and on social media such as Facebook and Twitter. An example of a web based newsletter used during the 2018-2019 implementation is included in this PRA package.</w:t>
      </w:r>
    </w:p>
    <w:p w:rsidRPr="00ED7151" w:rsidR="00844413" w:rsidRDefault="00844413" w14:paraId="5067817B" w14:textId="77777777">
      <w:pPr>
        <w:pBdr>
          <w:top w:val="nil"/>
          <w:left w:val="nil"/>
          <w:bottom w:val="nil"/>
          <w:right w:val="nil"/>
          <w:between w:val="nil"/>
        </w:pBdr>
        <w:spacing w:before="7"/>
        <w:rPr>
          <w:color w:val="000000"/>
          <w:sz w:val="24"/>
          <w:szCs w:val="24"/>
        </w:rPr>
      </w:pPr>
    </w:p>
    <w:p w:rsidR="00844413" w:rsidRDefault="0066531C" w14:paraId="2DDF236D" w14:textId="77777777">
      <w:pPr>
        <w:pBdr>
          <w:top w:val="nil"/>
          <w:left w:val="nil"/>
          <w:bottom w:val="nil"/>
          <w:right w:val="nil"/>
          <w:between w:val="nil"/>
        </w:pBdr>
        <w:ind w:left="1079"/>
        <w:rPr>
          <w:color w:val="000000"/>
          <w:sz w:val="24"/>
          <w:szCs w:val="24"/>
        </w:rPr>
      </w:pPr>
      <w:r>
        <w:rPr>
          <w:color w:val="000000"/>
          <w:sz w:val="24"/>
          <w:szCs w:val="24"/>
        </w:rPr>
        <w:t>The NEFSC and SEFSC have employed the following practices to maximize response rate:</w:t>
      </w:r>
    </w:p>
    <w:p w:rsidR="00844413" w:rsidRDefault="00844413" w14:paraId="645EDAF9" w14:textId="77777777">
      <w:pPr>
        <w:pBdr>
          <w:top w:val="nil"/>
          <w:left w:val="nil"/>
          <w:bottom w:val="nil"/>
          <w:right w:val="nil"/>
          <w:between w:val="nil"/>
        </w:pBdr>
        <w:rPr>
          <w:color w:val="000000"/>
          <w:sz w:val="25"/>
          <w:szCs w:val="25"/>
        </w:rPr>
      </w:pPr>
    </w:p>
    <w:p w:rsidR="00844413" w:rsidRDefault="0066531C" w14:paraId="26035C26" w14:textId="7129CDE9">
      <w:pPr>
        <w:numPr>
          <w:ilvl w:val="2"/>
          <w:numId w:val="1"/>
        </w:numPr>
        <w:pBdr>
          <w:top w:val="nil"/>
          <w:left w:val="nil"/>
          <w:bottom w:val="nil"/>
          <w:right w:val="nil"/>
          <w:between w:val="nil"/>
        </w:pBdr>
        <w:tabs>
          <w:tab w:val="left" w:pos="1898"/>
          <w:tab w:val="left" w:pos="1899"/>
        </w:tabs>
        <w:spacing w:before="1" w:line="237" w:lineRule="auto"/>
        <w:ind w:right="1361"/>
        <w:rPr>
          <w:color w:val="000000"/>
        </w:rPr>
      </w:pPr>
      <w:r>
        <w:rPr>
          <w:color w:val="000000"/>
          <w:sz w:val="24"/>
          <w:szCs w:val="24"/>
        </w:rPr>
        <w:t>Survey length—NMFS has limited the length of the survey to ensure it can be completed in a reasonable amount of time. The survey questionnaire is</w:t>
      </w:r>
      <w:r w:rsidR="00BF5EEE">
        <w:rPr>
          <w:color w:val="000000"/>
          <w:sz w:val="24"/>
          <w:szCs w:val="24"/>
        </w:rPr>
        <w:t xml:space="preserve"> expected to take approximately</w:t>
      </w:r>
      <w:r>
        <w:rPr>
          <w:color w:val="000000"/>
          <w:sz w:val="24"/>
          <w:szCs w:val="24"/>
        </w:rPr>
        <w:t xml:space="preserve"> 20 minutes to complete due </w:t>
      </w:r>
      <w:r>
        <w:rPr>
          <w:sz w:val="24"/>
          <w:szCs w:val="24"/>
        </w:rPr>
        <w:t>to its</w:t>
      </w:r>
      <w:r>
        <w:rPr>
          <w:color w:val="000000"/>
          <w:sz w:val="24"/>
          <w:szCs w:val="24"/>
        </w:rPr>
        <w:t xml:space="preserve"> focused topics and limited use of Likert-style questions, open-ended questions, and loaded or double-barreled questions. </w:t>
      </w:r>
    </w:p>
    <w:p w:rsidR="00844413" w:rsidRDefault="0066531C" w14:paraId="69F2E18A" w14:textId="77777777">
      <w:pPr>
        <w:numPr>
          <w:ilvl w:val="2"/>
          <w:numId w:val="1"/>
        </w:numPr>
        <w:pBdr>
          <w:top w:val="nil"/>
          <w:left w:val="nil"/>
          <w:bottom w:val="nil"/>
          <w:right w:val="nil"/>
          <w:between w:val="nil"/>
        </w:pBdr>
        <w:tabs>
          <w:tab w:val="left" w:pos="1898"/>
          <w:tab w:val="left" w:pos="1899"/>
        </w:tabs>
        <w:spacing w:before="1" w:line="237" w:lineRule="auto"/>
        <w:ind w:right="1361"/>
        <w:rPr>
          <w:color w:val="000000"/>
        </w:rPr>
      </w:pPr>
      <w:r>
        <w:rPr>
          <w:color w:val="000000"/>
          <w:sz w:val="24"/>
          <w:szCs w:val="24"/>
        </w:rPr>
        <w:t>Best-practices design—NEFSC and SEFSC staff have expertise in survey design, including question sequencing, wording, and graphic elements on the survey. Staff also have experience programming many different survey software platforms to allow for question branching, skip patterns, and ideal question presentation for ease of interpretation and response (i.e., clear instructions, menu options, response formatting restrictions and error messaging, etc.).</w:t>
      </w:r>
    </w:p>
    <w:p w:rsidR="00844413" w:rsidRDefault="00844413" w14:paraId="25C34CC4" w14:textId="77777777">
      <w:pPr>
        <w:pBdr>
          <w:top w:val="nil"/>
          <w:left w:val="nil"/>
          <w:bottom w:val="nil"/>
          <w:right w:val="nil"/>
          <w:between w:val="nil"/>
        </w:pBdr>
        <w:spacing w:before="3"/>
        <w:rPr>
          <w:color w:val="000000"/>
          <w:sz w:val="21"/>
          <w:szCs w:val="21"/>
        </w:rPr>
      </w:pPr>
    </w:p>
    <w:p w:rsidR="00844413" w:rsidRDefault="0066531C" w14:paraId="5064C8AE" w14:textId="77777777">
      <w:pPr>
        <w:numPr>
          <w:ilvl w:val="1"/>
          <w:numId w:val="1"/>
        </w:numPr>
        <w:tabs>
          <w:tab w:val="left" w:pos="1330"/>
        </w:tabs>
        <w:ind w:right="1518"/>
      </w:pPr>
      <w:bookmarkStart w:name="3dy6vkm" w:colFirst="0" w:colLast="0" w:id="6"/>
      <w:bookmarkEnd w:id="6"/>
      <w:r>
        <w:rPr>
          <w:b/>
          <w:sz w:val="24"/>
          <w:szCs w:val="24"/>
        </w:rPr>
        <w:t xml:space="preserve">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44413" w:rsidRDefault="00844413" w14:paraId="45738E02" w14:textId="77777777">
      <w:pPr>
        <w:pBdr>
          <w:top w:val="nil"/>
          <w:left w:val="nil"/>
          <w:bottom w:val="nil"/>
          <w:right w:val="nil"/>
          <w:between w:val="nil"/>
        </w:pBdr>
        <w:spacing w:before="6"/>
        <w:rPr>
          <w:b/>
          <w:color w:val="000000"/>
          <w:sz w:val="23"/>
          <w:szCs w:val="23"/>
        </w:rPr>
      </w:pPr>
    </w:p>
    <w:p w:rsidR="00844413" w:rsidRDefault="0066531C" w14:paraId="7D1BB18C" w14:textId="7DE29A7D">
      <w:pPr>
        <w:pBdr>
          <w:top w:val="nil"/>
          <w:left w:val="nil"/>
          <w:bottom w:val="nil"/>
          <w:right w:val="nil"/>
          <w:between w:val="nil"/>
        </w:pBdr>
        <w:spacing w:before="1"/>
        <w:ind w:left="1080" w:right="1156"/>
        <w:rPr>
          <w:color w:val="000000"/>
          <w:sz w:val="24"/>
          <w:szCs w:val="24"/>
        </w:rPr>
      </w:pPr>
      <w:r>
        <w:rPr>
          <w:color w:val="000000"/>
          <w:sz w:val="24"/>
          <w:szCs w:val="24"/>
        </w:rPr>
        <w:t>The majority of the survey questions in this study are based on the previous wave of data collection (OMB Control No. 0648-0636), which was implemented by NEFSC in the Northeast region in 2018-2019 resulting in over 400 completed interviews. Only new questions were tested 9 times in the Northeast region whereas all questions were tested by the SEFSC in the Southeast region.</w:t>
      </w:r>
    </w:p>
    <w:p w:rsidR="00844413" w:rsidRDefault="00844413" w14:paraId="2A774B5C" w14:textId="77777777">
      <w:pPr>
        <w:pBdr>
          <w:top w:val="nil"/>
          <w:left w:val="nil"/>
          <w:bottom w:val="nil"/>
          <w:right w:val="nil"/>
          <w:between w:val="nil"/>
        </w:pBdr>
        <w:spacing w:before="1"/>
        <w:ind w:left="1080" w:right="1156"/>
        <w:rPr>
          <w:color w:val="000000"/>
          <w:sz w:val="24"/>
          <w:szCs w:val="24"/>
        </w:rPr>
      </w:pPr>
    </w:p>
    <w:p w:rsidR="00844413" w:rsidRDefault="0066531C" w14:paraId="3D92D9DF" w14:textId="77777777">
      <w:pPr>
        <w:numPr>
          <w:ilvl w:val="1"/>
          <w:numId w:val="1"/>
        </w:numPr>
        <w:tabs>
          <w:tab w:val="left" w:pos="1320"/>
        </w:tabs>
        <w:ind w:left="1080" w:right="1877" w:firstLine="0"/>
      </w:pPr>
      <w:bookmarkStart w:name="1t3h5sf" w:colFirst="0" w:colLast="0" w:id="7"/>
      <w:bookmarkEnd w:id="7"/>
      <w:r>
        <w:rPr>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844413" w:rsidRDefault="00844413" w14:paraId="45BD047F" w14:textId="77777777">
      <w:pPr>
        <w:pBdr>
          <w:top w:val="nil"/>
          <w:left w:val="nil"/>
          <w:bottom w:val="nil"/>
          <w:right w:val="nil"/>
          <w:between w:val="nil"/>
        </w:pBdr>
        <w:spacing w:before="2"/>
        <w:rPr>
          <w:b/>
          <w:color w:val="000000"/>
          <w:sz w:val="23"/>
          <w:szCs w:val="23"/>
        </w:rPr>
      </w:pPr>
    </w:p>
    <w:p w:rsidR="00844413" w:rsidRDefault="0066531C" w14:paraId="7F6256B9" w14:textId="77777777">
      <w:pPr>
        <w:pBdr>
          <w:top w:val="nil"/>
          <w:left w:val="nil"/>
          <w:bottom w:val="nil"/>
          <w:right w:val="nil"/>
          <w:between w:val="nil"/>
        </w:pBdr>
        <w:ind w:left="1080" w:right="1815"/>
        <w:rPr>
          <w:color w:val="000000"/>
          <w:sz w:val="24"/>
          <w:szCs w:val="24"/>
        </w:rPr>
      </w:pPr>
      <w:r>
        <w:rPr>
          <w:color w:val="000000"/>
          <w:sz w:val="24"/>
          <w:szCs w:val="24"/>
        </w:rPr>
        <w:t>The following individuals were involved in the statistical aspects of the design and will be responsible for the collection and analysis of data generated from this study.</w:t>
      </w:r>
    </w:p>
    <w:p w:rsidR="00844413" w:rsidRDefault="00844413" w14:paraId="7AA5E832" w14:textId="77777777">
      <w:pPr>
        <w:pBdr>
          <w:top w:val="nil"/>
          <w:left w:val="nil"/>
          <w:bottom w:val="nil"/>
          <w:right w:val="nil"/>
          <w:between w:val="nil"/>
        </w:pBdr>
        <w:spacing w:before="3" w:after="1"/>
        <w:rPr>
          <w:color w:val="000000"/>
          <w:sz w:val="25"/>
          <w:szCs w:val="25"/>
        </w:rPr>
      </w:pPr>
    </w:p>
    <w:tbl>
      <w:tblPr>
        <w:tblStyle w:val="a1"/>
        <w:tblW w:w="9576" w:type="dxa"/>
        <w:tblInd w:w="1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192"/>
        <w:gridCol w:w="3192"/>
        <w:gridCol w:w="3192"/>
      </w:tblGrid>
      <w:tr w:rsidR="00844413" w14:paraId="2EBA2C68" w14:textId="77777777">
        <w:trPr>
          <w:trHeight w:val="230"/>
        </w:trPr>
        <w:tc>
          <w:tcPr>
            <w:tcW w:w="3192" w:type="dxa"/>
          </w:tcPr>
          <w:p w:rsidR="00844413" w:rsidRDefault="0066531C" w14:paraId="49C9C312" w14:textId="77777777">
            <w:pPr>
              <w:pBdr>
                <w:top w:val="nil"/>
                <w:left w:val="nil"/>
                <w:bottom w:val="nil"/>
                <w:right w:val="nil"/>
                <w:between w:val="nil"/>
              </w:pBdr>
              <w:spacing w:line="210" w:lineRule="auto"/>
              <w:ind w:left="107"/>
              <w:rPr>
                <w:b/>
                <w:color w:val="000000"/>
                <w:sz w:val="20"/>
                <w:szCs w:val="20"/>
              </w:rPr>
            </w:pPr>
            <w:r>
              <w:rPr>
                <w:b/>
                <w:color w:val="000000"/>
                <w:sz w:val="20"/>
                <w:szCs w:val="20"/>
              </w:rPr>
              <w:t>Name and Affiliation</w:t>
            </w:r>
          </w:p>
        </w:tc>
        <w:tc>
          <w:tcPr>
            <w:tcW w:w="3192" w:type="dxa"/>
          </w:tcPr>
          <w:p w:rsidR="00844413" w:rsidRDefault="0066531C" w14:paraId="5C4D5B96" w14:textId="77777777">
            <w:pPr>
              <w:pBdr>
                <w:top w:val="nil"/>
                <w:left w:val="nil"/>
                <w:bottom w:val="nil"/>
                <w:right w:val="nil"/>
                <w:between w:val="nil"/>
              </w:pBdr>
              <w:spacing w:line="210" w:lineRule="auto"/>
              <w:ind w:left="107"/>
              <w:rPr>
                <w:b/>
                <w:color w:val="000000"/>
                <w:sz w:val="20"/>
                <w:szCs w:val="20"/>
              </w:rPr>
            </w:pPr>
            <w:r>
              <w:rPr>
                <w:b/>
                <w:color w:val="000000"/>
                <w:sz w:val="20"/>
                <w:szCs w:val="20"/>
              </w:rPr>
              <w:t>Phone</w:t>
            </w:r>
          </w:p>
        </w:tc>
        <w:tc>
          <w:tcPr>
            <w:tcW w:w="3192" w:type="dxa"/>
          </w:tcPr>
          <w:p w:rsidR="00844413" w:rsidRDefault="0066531C" w14:paraId="1EBF5F5D" w14:textId="77777777">
            <w:pPr>
              <w:pBdr>
                <w:top w:val="nil"/>
                <w:left w:val="nil"/>
                <w:bottom w:val="nil"/>
                <w:right w:val="nil"/>
                <w:between w:val="nil"/>
              </w:pBdr>
              <w:spacing w:line="210" w:lineRule="auto"/>
              <w:ind w:left="107"/>
              <w:rPr>
                <w:b/>
                <w:color w:val="000000"/>
                <w:sz w:val="20"/>
                <w:szCs w:val="20"/>
              </w:rPr>
            </w:pPr>
            <w:r>
              <w:rPr>
                <w:b/>
                <w:color w:val="000000"/>
                <w:sz w:val="20"/>
                <w:szCs w:val="20"/>
              </w:rPr>
              <w:t>Email</w:t>
            </w:r>
          </w:p>
        </w:tc>
      </w:tr>
      <w:tr w:rsidR="00844413" w14:paraId="0916035D" w14:textId="77777777">
        <w:trPr>
          <w:trHeight w:val="460"/>
        </w:trPr>
        <w:tc>
          <w:tcPr>
            <w:tcW w:w="3192" w:type="dxa"/>
          </w:tcPr>
          <w:p w:rsidR="00844413" w:rsidRDefault="0066531C" w14:paraId="37465F68" w14:textId="77777777">
            <w:pPr>
              <w:pBdr>
                <w:top w:val="nil"/>
                <w:left w:val="nil"/>
                <w:bottom w:val="nil"/>
                <w:right w:val="nil"/>
                <w:between w:val="nil"/>
              </w:pBdr>
              <w:spacing w:line="218" w:lineRule="auto"/>
              <w:ind w:left="107"/>
              <w:rPr>
                <w:color w:val="000000"/>
                <w:sz w:val="20"/>
                <w:szCs w:val="20"/>
              </w:rPr>
            </w:pPr>
            <w:r>
              <w:rPr>
                <w:color w:val="000000"/>
                <w:sz w:val="20"/>
                <w:szCs w:val="20"/>
              </w:rPr>
              <w:t>Lisa Colburn,</w:t>
            </w:r>
          </w:p>
          <w:p w:rsidR="00844413" w:rsidRDefault="0066531C" w14:paraId="21C6F984" w14:textId="77777777">
            <w:pPr>
              <w:pBdr>
                <w:top w:val="nil"/>
                <w:left w:val="nil"/>
                <w:bottom w:val="nil"/>
                <w:right w:val="nil"/>
                <w:between w:val="nil"/>
              </w:pBdr>
              <w:spacing w:line="222" w:lineRule="auto"/>
              <w:ind w:left="107"/>
              <w:rPr>
                <w:color w:val="000000"/>
                <w:sz w:val="20"/>
                <w:szCs w:val="20"/>
              </w:rPr>
            </w:pPr>
            <w:r>
              <w:rPr>
                <w:color w:val="000000"/>
                <w:sz w:val="20"/>
                <w:szCs w:val="20"/>
              </w:rPr>
              <w:t>Northeast Fisheries Science Center</w:t>
            </w:r>
          </w:p>
        </w:tc>
        <w:tc>
          <w:tcPr>
            <w:tcW w:w="3192" w:type="dxa"/>
          </w:tcPr>
          <w:p w:rsidR="00844413" w:rsidRDefault="0066531C" w14:paraId="695F0389" w14:textId="77777777">
            <w:pPr>
              <w:pBdr>
                <w:top w:val="nil"/>
                <w:left w:val="nil"/>
                <w:bottom w:val="nil"/>
                <w:right w:val="nil"/>
                <w:between w:val="nil"/>
              </w:pBdr>
              <w:spacing w:line="221" w:lineRule="auto"/>
              <w:ind w:left="107"/>
              <w:rPr>
                <w:color w:val="000000"/>
                <w:sz w:val="20"/>
                <w:szCs w:val="20"/>
              </w:rPr>
            </w:pPr>
            <w:r>
              <w:rPr>
                <w:color w:val="000000"/>
                <w:sz w:val="20"/>
                <w:szCs w:val="20"/>
              </w:rPr>
              <w:t>401-782-3253</w:t>
            </w:r>
          </w:p>
        </w:tc>
        <w:tc>
          <w:tcPr>
            <w:tcW w:w="3192" w:type="dxa"/>
          </w:tcPr>
          <w:p w:rsidR="00844413" w:rsidRDefault="00813CD6" w14:paraId="7D177CA7" w14:textId="77777777">
            <w:pPr>
              <w:pBdr>
                <w:top w:val="nil"/>
                <w:left w:val="nil"/>
                <w:bottom w:val="nil"/>
                <w:right w:val="nil"/>
                <w:between w:val="nil"/>
              </w:pBdr>
              <w:spacing w:line="221" w:lineRule="auto"/>
              <w:ind w:left="4"/>
              <w:rPr>
                <w:color w:val="000000"/>
                <w:sz w:val="20"/>
                <w:szCs w:val="20"/>
              </w:rPr>
            </w:pPr>
            <w:hyperlink r:id="rId10">
              <w:r w:rsidR="0066531C">
                <w:rPr>
                  <w:color w:val="0000FF"/>
                  <w:sz w:val="20"/>
                  <w:szCs w:val="20"/>
                  <w:u w:val="single"/>
                </w:rPr>
                <w:t>lisa.l.colburn@noaa.gov</w:t>
              </w:r>
            </w:hyperlink>
          </w:p>
        </w:tc>
      </w:tr>
      <w:tr w:rsidR="00844413" w14:paraId="648917D2" w14:textId="77777777">
        <w:trPr>
          <w:trHeight w:val="458"/>
        </w:trPr>
        <w:tc>
          <w:tcPr>
            <w:tcW w:w="3192" w:type="dxa"/>
          </w:tcPr>
          <w:p w:rsidR="00844413" w:rsidRDefault="0066531C" w14:paraId="2C8BC175" w14:textId="77777777">
            <w:pPr>
              <w:pBdr>
                <w:top w:val="nil"/>
                <w:left w:val="nil"/>
                <w:bottom w:val="nil"/>
                <w:right w:val="nil"/>
                <w:between w:val="nil"/>
              </w:pBdr>
              <w:spacing w:line="218" w:lineRule="auto"/>
              <w:ind w:left="107"/>
              <w:rPr>
                <w:color w:val="000000"/>
                <w:sz w:val="20"/>
                <w:szCs w:val="20"/>
              </w:rPr>
            </w:pPr>
            <w:r>
              <w:rPr>
                <w:color w:val="000000"/>
                <w:sz w:val="20"/>
                <w:szCs w:val="20"/>
              </w:rPr>
              <w:t>Matthew Cutler,</w:t>
            </w:r>
          </w:p>
          <w:p w:rsidR="00844413" w:rsidRDefault="0066531C" w14:paraId="0889619A" w14:textId="77777777">
            <w:pPr>
              <w:pBdr>
                <w:top w:val="nil"/>
                <w:left w:val="nil"/>
                <w:bottom w:val="nil"/>
                <w:right w:val="nil"/>
                <w:between w:val="nil"/>
              </w:pBdr>
              <w:spacing w:line="220" w:lineRule="auto"/>
              <w:ind w:left="107"/>
              <w:rPr>
                <w:color w:val="000000"/>
                <w:sz w:val="20"/>
                <w:szCs w:val="20"/>
              </w:rPr>
            </w:pPr>
            <w:r>
              <w:rPr>
                <w:color w:val="000000"/>
                <w:sz w:val="20"/>
                <w:szCs w:val="20"/>
              </w:rPr>
              <w:t>Northeast Fisheries Science Center</w:t>
            </w:r>
          </w:p>
        </w:tc>
        <w:tc>
          <w:tcPr>
            <w:tcW w:w="3192" w:type="dxa"/>
          </w:tcPr>
          <w:p w:rsidR="00844413" w:rsidRDefault="0066531C" w14:paraId="1971F7FC" w14:textId="77777777">
            <w:pPr>
              <w:pBdr>
                <w:top w:val="nil"/>
                <w:left w:val="nil"/>
                <w:bottom w:val="nil"/>
                <w:right w:val="nil"/>
                <w:between w:val="nil"/>
              </w:pBdr>
              <w:spacing w:line="221" w:lineRule="auto"/>
              <w:ind w:left="107"/>
              <w:rPr>
                <w:color w:val="000000"/>
                <w:sz w:val="20"/>
                <w:szCs w:val="20"/>
              </w:rPr>
            </w:pPr>
            <w:r>
              <w:rPr>
                <w:color w:val="000000"/>
                <w:sz w:val="20"/>
                <w:szCs w:val="20"/>
              </w:rPr>
              <w:t>508-495-4731</w:t>
            </w:r>
          </w:p>
        </w:tc>
        <w:tc>
          <w:tcPr>
            <w:tcW w:w="3192" w:type="dxa"/>
          </w:tcPr>
          <w:p w:rsidR="00844413" w:rsidRDefault="00813CD6" w14:paraId="44434A60" w14:textId="77777777">
            <w:pPr>
              <w:pBdr>
                <w:top w:val="nil"/>
                <w:left w:val="nil"/>
                <w:bottom w:val="nil"/>
                <w:right w:val="nil"/>
                <w:between w:val="nil"/>
              </w:pBdr>
              <w:spacing w:line="221" w:lineRule="auto"/>
              <w:ind w:left="7"/>
              <w:rPr>
                <w:color w:val="000000"/>
                <w:sz w:val="20"/>
                <w:szCs w:val="20"/>
              </w:rPr>
            </w:pPr>
            <w:hyperlink r:id="rId11">
              <w:r w:rsidR="0066531C">
                <w:rPr>
                  <w:color w:val="0000FF"/>
                  <w:sz w:val="20"/>
                  <w:szCs w:val="20"/>
                  <w:u w:val="single"/>
                </w:rPr>
                <w:t>matthew.cutler@noaa.gov</w:t>
              </w:r>
            </w:hyperlink>
          </w:p>
        </w:tc>
      </w:tr>
      <w:tr w:rsidR="00844413" w14:paraId="58377D06" w14:textId="77777777">
        <w:trPr>
          <w:trHeight w:val="460"/>
        </w:trPr>
        <w:tc>
          <w:tcPr>
            <w:tcW w:w="3192" w:type="dxa"/>
            <w:tcBorders>
              <w:top w:val="single" w:color="000000" w:sz="4" w:space="0"/>
              <w:left w:val="single" w:color="000000" w:sz="4" w:space="0"/>
              <w:bottom w:val="single" w:color="000000" w:sz="4" w:space="0"/>
              <w:right w:val="single" w:color="000000" w:sz="4" w:space="0"/>
            </w:tcBorders>
            <w:shd w:val="clear" w:color="auto" w:fill="FFFFFF"/>
          </w:tcPr>
          <w:p w:rsidR="00844413" w:rsidRDefault="0066531C" w14:paraId="7A63B00C" w14:textId="77777777">
            <w:pPr>
              <w:pBdr>
                <w:top w:val="nil"/>
                <w:left w:val="nil"/>
                <w:bottom w:val="nil"/>
                <w:right w:val="nil"/>
                <w:between w:val="nil"/>
              </w:pBdr>
              <w:spacing w:line="224" w:lineRule="auto"/>
              <w:ind w:left="107"/>
              <w:rPr>
                <w:color w:val="000000"/>
                <w:sz w:val="20"/>
                <w:szCs w:val="20"/>
              </w:rPr>
            </w:pPr>
            <w:r>
              <w:rPr>
                <w:color w:val="000000"/>
                <w:sz w:val="20"/>
                <w:szCs w:val="20"/>
              </w:rPr>
              <w:t>Matthew McPherson, Southeast Fisheries Science Center</w:t>
            </w:r>
          </w:p>
        </w:tc>
        <w:tc>
          <w:tcPr>
            <w:tcW w:w="3192" w:type="dxa"/>
            <w:tcBorders>
              <w:top w:val="single" w:color="000000" w:sz="4" w:space="0"/>
              <w:left w:val="single" w:color="000000" w:sz="4" w:space="0"/>
              <w:bottom w:val="single" w:color="000000" w:sz="4" w:space="0"/>
              <w:right w:val="single" w:color="000000" w:sz="4" w:space="0"/>
            </w:tcBorders>
            <w:shd w:val="clear" w:color="auto" w:fill="FFFFFF"/>
          </w:tcPr>
          <w:p w:rsidR="00844413" w:rsidRDefault="0066531C" w14:paraId="5D65B79D" w14:textId="77777777">
            <w:pPr>
              <w:pBdr>
                <w:top w:val="nil"/>
                <w:left w:val="nil"/>
                <w:bottom w:val="nil"/>
                <w:right w:val="nil"/>
                <w:between w:val="nil"/>
              </w:pBdr>
              <w:spacing w:line="223" w:lineRule="auto"/>
              <w:ind w:left="107"/>
              <w:rPr>
                <w:color w:val="000000"/>
                <w:sz w:val="20"/>
                <w:szCs w:val="20"/>
              </w:rPr>
            </w:pPr>
            <w:r>
              <w:rPr>
                <w:color w:val="000000"/>
                <w:sz w:val="20"/>
                <w:szCs w:val="20"/>
              </w:rPr>
              <w:t>(305) 365-4112</w:t>
            </w:r>
          </w:p>
        </w:tc>
        <w:tc>
          <w:tcPr>
            <w:tcW w:w="3192" w:type="dxa"/>
            <w:tcBorders>
              <w:top w:val="single" w:color="000000" w:sz="4" w:space="0"/>
              <w:left w:val="single" w:color="000000" w:sz="4" w:space="0"/>
              <w:bottom w:val="single" w:color="000000" w:sz="4" w:space="0"/>
              <w:right w:val="single" w:color="000000" w:sz="4" w:space="0"/>
            </w:tcBorders>
            <w:shd w:val="clear" w:color="auto" w:fill="FFFFFF"/>
          </w:tcPr>
          <w:p w:rsidR="00844413" w:rsidRDefault="00813CD6" w14:paraId="2241FA99" w14:textId="77777777">
            <w:pPr>
              <w:pBdr>
                <w:top w:val="nil"/>
                <w:left w:val="nil"/>
                <w:bottom w:val="nil"/>
                <w:right w:val="nil"/>
                <w:between w:val="nil"/>
              </w:pBdr>
              <w:spacing w:line="223" w:lineRule="auto"/>
              <w:ind w:left="4"/>
              <w:rPr>
                <w:color w:val="000000"/>
              </w:rPr>
            </w:pPr>
            <w:hyperlink r:id="rId12">
              <w:r w:rsidR="0066531C">
                <w:rPr>
                  <w:color w:val="0000FF"/>
                  <w:u w:val="single"/>
                </w:rPr>
                <w:t>matthew.mcpherson@noaa.gov</w:t>
              </w:r>
            </w:hyperlink>
          </w:p>
        </w:tc>
      </w:tr>
    </w:tbl>
    <w:p w:rsidR="00844413" w:rsidRDefault="00844413" w14:paraId="63C426EB" w14:textId="77777777">
      <w:pPr>
        <w:spacing w:line="223" w:lineRule="auto"/>
        <w:rPr>
          <w:sz w:val="20"/>
          <w:szCs w:val="20"/>
        </w:rPr>
        <w:sectPr w:rsidR="00844413">
          <w:footerReference w:type="default" r:id="rId13"/>
          <w:pgSz w:w="12240" w:h="15840"/>
          <w:pgMar w:top="720" w:right="720" w:bottom="720" w:left="720" w:header="0" w:footer="515" w:gutter="0"/>
          <w:pgNumType w:start="1"/>
          <w:cols w:space="720"/>
        </w:sectPr>
      </w:pPr>
    </w:p>
    <w:p w:rsidR="00844413" w:rsidRDefault="0066531C" w14:paraId="7715FA1B" w14:textId="77777777">
      <w:pPr>
        <w:spacing w:before="76"/>
        <w:ind w:left="1684" w:right="1742"/>
        <w:jc w:val="center"/>
        <w:rPr>
          <w:b/>
          <w:sz w:val="24"/>
          <w:szCs w:val="24"/>
        </w:rPr>
      </w:pPr>
      <w:bookmarkStart w:name="4d34og8" w:colFirst="0" w:colLast="0" w:id="8"/>
      <w:bookmarkEnd w:id="8"/>
      <w:r>
        <w:rPr>
          <w:b/>
          <w:sz w:val="24"/>
          <w:szCs w:val="24"/>
        </w:rPr>
        <w:t>REFERENCES</w:t>
      </w:r>
    </w:p>
    <w:p w:rsidR="00844413" w:rsidRDefault="00844413" w14:paraId="2128DDDD" w14:textId="77777777">
      <w:pPr>
        <w:pBdr>
          <w:top w:val="nil"/>
          <w:left w:val="nil"/>
          <w:bottom w:val="nil"/>
          <w:right w:val="nil"/>
          <w:between w:val="nil"/>
        </w:pBdr>
        <w:spacing w:before="7"/>
        <w:rPr>
          <w:b/>
          <w:color w:val="000000"/>
          <w:sz w:val="23"/>
          <w:szCs w:val="23"/>
        </w:rPr>
      </w:pPr>
    </w:p>
    <w:p w:rsidR="00844413" w:rsidRDefault="0066531C" w14:paraId="37D42B19" w14:textId="77777777">
      <w:pPr>
        <w:pBdr>
          <w:top w:val="nil"/>
          <w:left w:val="nil"/>
          <w:bottom w:val="nil"/>
          <w:right w:val="nil"/>
          <w:between w:val="nil"/>
        </w:pBdr>
        <w:spacing w:line="237" w:lineRule="auto"/>
        <w:ind w:left="1800" w:right="2075" w:hanging="720"/>
        <w:rPr>
          <w:color w:val="000000"/>
          <w:sz w:val="24"/>
          <w:szCs w:val="24"/>
        </w:rPr>
      </w:pPr>
      <w:r>
        <w:rPr>
          <w:color w:val="000000"/>
          <w:sz w:val="24"/>
          <w:szCs w:val="24"/>
        </w:rPr>
        <w:t>Bernard, R.H. (2006). “Research methods in anthropology: Qualitative and quantitative approaches.” Altamira Press, New York.</w:t>
      </w:r>
    </w:p>
    <w:p w:rsidR="00844413" w:rsidRDefault="00844413" w14:paraId="61862051" w14:textId="77777777">
      <w:pPr>
        <w:pBdr>
          <w:top w:val="nil"/>
          <w:left w:val="nil"/>
          <w:bottom w:val="nil"/>
          <w:right w:val="nil"/>
          <w:between w:val="nil"/>
        </w:pBdr>
        <w:spacing w:before="3"/>
        <w:rPr>
          <w:color w:val="000000"/>
          <w:sz w:val="24"/>
          <w:szCs w:val="24"/>
        </w:rPr>
      </w:pPr>
    </w:p>
    <w:p w:rsidR="00844413" w:rsidRDefault="0066531C" w14:paraId="7192B324" w14:textId="77777777">
      <w:pPr>
        <w:pBdr>
          <w:top w:val="nil"/>
          <w:left w:val="nil"/>
          <w:bottom w:val="nil"/>
          <w:right w:val="nil"/>
          <w:between w:val="nil"/>
        </w:pBdr>
        <w:ind w:left="1080"/>
        <w:rPr>
          <w:color w:val="000000"/>
          <w:sz w:val="24"/>
          <w:szCs w:val="24"/>
        </w:rPr>
      </w:pPr>
      <w:r>
        <w:rPr>
          <w:color w:val="000000"/>
          <w:sz w:val="24"/>
          <w:szCs w:val="24"/>
        </w:rPr>
        <w:t>Cochran, W. G. (1977). “Sampling techniques.” 3d Ed. Wiley.</w:t>
      </w:r>
    </w:p>
    <w:p w:rsidR="00844413" w:rsidRDefault="00844413" w14:paraId="23EF659D" w14:textId="77777777">
      <w:pPr>
        <w:pBdr>
          <w:top w:val="nil"/>
          <w:left w:val="nil"/>
          <w:bottom w:val="nil"/>
          <w:right w:val="nil"/>
          <w:between w:val="nil"/>
        </w:pBdr>
        <w:rPr>
          <w:color w:val="000000"/>
          <w:sz w:val="24"/>
          <w:szCs w:val="24"/>
        </w:rPr>
      </w:pPr>
    </w:p>
    <w:p w:rsidR="00844413" w:rsidRDefault="0066531C" w14:paraId="321A037D" w14:textId="2BE00734">
      <w:pPr>
        <w:pBdr>
          <w:top w:val="nil"/>
          <w:left w:val="nil"/>
          <w:bottom w:val="nil"/>
          <w:right w:val="nil"/>
          <w:between w:val="nil"/>
        </w:pBdr>
        <w:ind w:left="1800" w:right="1795" w:hanging="720"/>
        <w:rPr>
          <w:color w:val="000000"/>
          <w:sz w:val="24"/>
          <w:szCs w:val="24"/>
        </w:rPr>
      </w:pPr>
      <w:r>
        <w:rPr>
          <w:color w:val="000000"/>
          <w:sz w:val="24"/>
          <w:szCs w:val="24"/>
        </w:rPr>
        <w:t xml:space="preserve">Jepson, M., </w:t>
      </w:r>
      <w:r w:rsidR="009A1DB9">
        <w:rPr>
          <w:color w:val="000000"/>
          <w:sz w:val="24"/>
          <w:szCs w:val="24"/>
        </w:rPr>
        <w:t xml:space="preserve">and </w:t>
      </w:r>
      <w:r>
        <w:rPr>
          <w:color w:val="000000"/>
          <w:sz w:val="24"/>
          <w:szCs w:val="24"/>
        </w:rPr>
        <w:t>Colburn, L. L. (2013). “Development of social indicators of fishing community vulnerability and resilience in the US southeast and northeast regions.” US Department of Commerce, National Oceanic and Atmospheric Administration, National Marine Fisheries Service.</w:t>
      </w:r>
    </w:p>
    <w:p w:rsidR="00844413" w:rsidRDefault="00844413" w14:paraId="2B04A8E1" w14:textId="77777777">
      <w:pPr>
        <w:pBdr>
          <w:top w:val="nil"/>
          <w:left w:val="nil"/>
          <w:bottom w:val="nil"/>
          <w:right w:val="nil"/>
          <w:between w:val="nil"/>
        </w:pBdr>
        <w:rPr>
          <w:color w:val="000000"/>
          <w:sz w:val="24"/>
          <w:szCs w:val="24"/>
        </w:rPr>
      </w:pPr>
    </w:p>
    <w:p w:rsidR="00844413" w:rsidRDefault="0066531C" w14:paraId="6CCF8ABD" w14:textId="77777777">
      <w:pPr>
        <w:pBdr>
          <w:top w:val="nil"/>
          <w:left w:val="nil"/>
          <w:bottom w:val="nil"/>
          <w:right w:val="nil"/>
          <w:between w:val="nil"/>
        </w:pBdr>
        <w:ind w:left="1799" w:right="1595" w:hanging="720"/>
        <w:rPr>
          <w:color w:val="000000"/>
          <w:sz w:val="24"/>
          <w:szCs w:val="24"/>
        </w:rPr>
      </w:pPr>
      <w:r>
        <w:rPr>
          <w:color w:val="000000"/>
          <w:sz w:val="24"/>
          <w:szCs w:val="24"/>
        </w:rPr>
        <w:t xml:space="preserve">Kitner, K. (2006). “Beeliners, pinkies, and kitties: Mobility and marginalization in the South Atlantic snapper grouper fishery.” </w:t>
      </w:r>
      <w:r>
        <w:rPr>
          <w:i/>
          <w:color w:val="000000"/>
          <w:sz w:val="24"/>
          <w:szCs w:val="24"/>
        </w:rPr>
        <w:t xml:space="preserve">Human Organization </w:t>
      </w:r>
      <w:r>
        <w:rPr>
          <w:color w:val="000000"/>
          <w:sz w:val="24"/>
          <w:szCs w:val="24"/>
        </w:rPr>
        <w:t>65(3): 294 – 306.</w:t>
      </w:r>
    </w:p>
    <w:p w:rsidR="00844413" w:rsidRDefault="00844413" w14:paraId="710A6E0B" w14:textId="77777777">
      <w:pPr>
        <w:pBdr>
          <w:top w:val="nil"/>
          <w:left w:val="nil"/>
          <w:bottom w:val="nil"/>
          <w:right w:val="nil"/>
          <w:between w:val="nil"/>
        </w:pBdr>
        <w:rPr>
          <w:color w:val="000000"/>
          <w:sz w:val="24"/>
          <w:szCs w:val="24"/>
        </w:rPr>
      </w:pPr>
    </w:p>
    <w:p w:rsidR="00844413" w:rsidRDefault="0066531C" w14:paraId="382C7FBA" w14:textId="78037591">
      <w:pPr>
        <w:pBdr>
          <w:top w:val="nil"/>
          <w:left w:val="nil"/>
          <w:bottom w:val="nil"/>
          <w:right w:val="nil"/>
          <w:between w:val="nil"/>
        </w:pBdr>
        <w:ind w:left="1799" w:right="1723" w:hanging="720"/>
        <w:rPr>
          <w:color w:val="000000"/>
          <w:sz w:val="24"/>
          <w:szCs w:val="24"/>
        </w:rPr>
      </w:pPr>
      <w:r>
        <w:rPr>
          <w:color w:val="000000"/>
          <w:sz w:val="24"/>
          <w:szCs w:val="24"/>
        </w:rPr>
        <w:t xml:space="preserve">Miller, K.W., L.B. Wilder, F.A. Stillman, D.M. Becker (1997). “The feasibility of a street intercept survey method in an African-American community.” </w:t>
      </w:r>
      <w:r>
        <w:rPr>
          <w:i/>
          <w:color w:val="000000"/>
          <w:sz w:val="24"/>
          <w:szCs w:val="24"/>
        </w:rPr>
        <w:t xml:space="preserve">American Journal of Public Health </w:t>
      </w:r>
      <w:r>
        <w:rPr>
          <w:color w:val="000000"/>
          <w:sz w:val="24"/>
          <w:szCs w:val="24"/>
        </w:rPr>
        <w:t>87(4): 665-658.</w:t>
      </w:r>
    </w:p>
    <w:p w:rsidR="009A1DB9" w:rsidRDefault="009A1DB9" w14:paraId="37C233B6" w14:textId="77777777">
      <w:pPr>
        <w:pBdr>
          <w:top w:val="nil"/>
          <w:left w:val="nil"/>
          <w:bottom w:val="nil"/>
          <w:right w:val="nil"/>
          <w:between w:val="nil"/>
        </w:pBdr>
        <w:ind w:left="1799" w:right="1723" w:hanging="720"/>
        <w:rPr>
          <w:color w:val="000000"/>
          <w:sz w:val="24"/>
          <w:szCs w:val="24"/>
        </w:rPr>
      </w:pPr>
    </w:p>
    <w:p w:rsidR="009A1DB9" w:rsidP="009A1DB9" w:rsidRDefault="009A1DB9" w14:paraId="49944AF8" w14:textId="179FE225">
      <w:pPr>
        <w:pBdr>
          <w:top w:val="nil"/>
          <w:left w:val="nil"/>
          <w:bottom w:val="nil"/>
          <w:right w:val="nil"/>
          <w:between w:val="nil"/>
        </w:pBdr>
        <w:ind w:left="1799" w:right="1723" w:hanging="720"/>
        <w:rPr>
          <w:color w:val="000000"/>
          <w:sz w:val="24"/>
          <w:szCs w:val="24"/>
        </w:rPr>
      </w:pPr>
      <w:r w:rsidRPr="009A1DB9">
        <w:rPr>
          <w:color w:val="000000"/>
          <w:sz w:val="24"/>
          <w:szCs w:val="24"/>
        </w:rPr>
        <w:t>P</w:t>
      </w:r>
      <w:r>
        <w:rPr>
          <w:color w:val="000000"/>
          <w:sz w:val="24"/>
          <w:szCs w:val="24"/>
        </w:rPr>
        <w:t>ollnac, R. B., and Poggie, J. J. (</w:t>
      </w:r>
      <w:r w:rsidRPr="009A1DB9">
        <w:rPr>
          <w:color w:val="000000"/>
          <w:sz w:val="24"/>
          <w:szCs w:val="24"/>
        </w:rPr>
        <w:t>1978</w:t>
      </w:r>
      <w:r>
        <w:rPr>
          <w:color w:val="000000"/>
          <w:sz w:val="24"/>
          <w:szCs w:val="24"/>
        </w:rPr>
        <w:t>)</w:t>
      </w:r>
      <w:r w:rsidRPr="009A1DB9">
        <w:rPr>
          <w:color w:val="000000"/>
          <w:sz w:val="24"/>
          <w:szCs w:val="24"/>
        </w:rPr>
        <w:t>. Economic gratification orientations among small-scale</w:t>
      </w:r>
      <w:r>
        <w:rPr>
          <w:color w:val="000000"/>
          <w:sz w:val="24"/>
          <w:szCs w:val="24"/>
        </w:rPr>
        <w:t xml:space="preserve"> </w:t>
      </w:r>
      <w:r w:rsidRPr="009A1DB9">
        <w:rPr>
          <w:color w:val="000000"/>
          <w:sz w:val="24"/>
          <w:szCs w:val="24"/>
        </w:rPr>
        <w:t>fishermen in Panama and Puerto Rico. Hum. Organization 37(4):355–367.</w:t>
      </w:r>
    </w:p>
    <w:p w:rsidR="00844413" w:rsidRDefault="00844413" w14:paraId="1E2CD36C" w14:textId="77777777">
      <w:pPr>
        <w:pBdr>
          <w:top w:val="nil"/>
          <w:left w:val="nil"/>
          <w:bottom w:val="nil"/>
          <w:right w:val="nil"/>
          <w:between w:val="nil"/>
        </w:pBdr>
        <w:ind w:left="1799" w:right="1123" w:hanging="720"/>
        <w:rPr>
          <w:sz w:val="24"/>
          <w:szCs w:val="24"/>
        </w:rPr>
      </w:pPr>
    </w:p>
    <w:p w:rsidR="00844413" w:rsidRDefault="0066531C" w14:paraId="38B78956" w14:textId="77777777">
      <w:pPr>
        <w:pBdr>
          <w:top w:val="nil"/>
          <w:left w:val="nil"/>
          <w:bottom w:val="nil"/>
          <w:right w:val="nil"/>
          <w:between w:val="nil"/>
        </w:pBdr>
        <w:ind w:left="1799" w:right="1123" w:hanging="720"/>
        <w:rPr>
          <w:sz w:val="24"/>
          <w:szCs w:val="24"/>
        </w:rPr>
      </w:pPr>
      <w:r>
        <w:rPr>
          <w:color w:val="222222"/>
          <w:sz w:val="24"/>
          <w:szCs w:val="24"/>
          <w:highlight w:val="white"/>
        </w:rPr>
        <w:t xml:space="preserve">Pollnac, R. B., Seara, T., &amp; Colburn, L. L. (2015). Aspects of fishery management, job satisfaction, and well-being among commercial fishermen in the northeast region of the United States. </w:t>
      </w:r>
      <w:r>
        <w:rPr>
          <w:i/>
          <w:color w:val="222222"/>
          <w:sz w:val="24"/>
          <w:szCs w:val="24"/>
          <w:highlight w:val="white"/>
        </w:rPr>
        <w:t>Society &amp; Natural Resources</w:t>
      </w:r>
      <w:r>
        <w:rPr>
          <w:color w:val="222222"/>
          <w:sz w:val="24"/>
          <w:szCs w:val="24"/>
          <w:highlight w:val="white"/>
        </w:rPr>
        <w:t xml:space="preserve">, </w:t>
      </w:r>
      <w:r>
        <w:rPr>
          <w:i/>
          <w:color w:val="222222"/>
          <w:sz w:val="24"/>
          <w:szCs w:val="24"/>
          <w:highlight w:val="white"/>
        </w:rPr>
        <w:t>28</w:t>
      </w:r>
      <w:r>
        <w:rPr>
          <w:color w:val="222222"/>
          <w:sz w:val="24"/>
          <w:szCs w:val="24"/>
          <w:highlight w:val="white"/>
        </w:rPr>
        <w:t>(1), 75-92.</w:t>
      </w:r>
    </w:p>
    <w:p w:rsidR="00844413" w:rsidRDefault="00844413" w14:paraId="741C7D6F" w14:textId="77777777">
      <w:pPr>
        <w:pBdr>
          <w:top w:val="nil"/>
          <w:left w:val="nil"/>
          <w:bottom w:val="nil"/>
          <w:right w:val="nil"/>
          <w:between w:val="nil"/>
        </w:pBdr>
        <w:ind w:left="1799" w:right="1123" w:hanging="720"/>
        <w:rPr>
          <w:sz w:val="24"/>
          <w:szCs w:val="24"/>
        </w:rPr>
      </w:pPr>
    </w:p>
    <w:p w:rsidR="00844413" w:rsidRDefault="00844413" w14:paraId="0404F953" w14:textId="77777777">
      <w:pPr>
        <w:ind w:left="1080" w:right="1166"/>
        <w:rPr>
          <w:b/>
          <w:sz w:val="24"/>
          <w:szCs w:val="24"/>
          <w:highlight w:val="yellow"/>
        </w:rPr>
      </w:pPr>
    </w:p>
    <w:sectPr w:rsidR="00844413">
      <w:footerReference w:type="default" r:id="rId14"/>
      <w:pgSz w:w="12240" w:h="15840"/>
      <w:pgMar w:top="1500" w:right="340" w:bottom="280" w:left="4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CBD9F" w14:textId="77777777" w:rsidR="005B5D6F" w:rsidRDefault="005B5D6F">
      <w:r>
        <w:separator/>
      </w:r>
    </w:p>
  </w:endnote>
  <w:endnote w:type="continuationSeparator" w:id="0">
    <w:p w14:paraId="516ED1A8" w14:textId="77777777" w:rsidR="005B5D6F" w:rsidRDefault="005B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43A6" w14:textId="455C2B39" w:rsidR="00844413" w:rsidRDefault="0066531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13CD6">
      <w:rPr>
        <w:noProof/>
        <w:color w:val="000000"/>
      </w:rPr>
      <w:t>5</w:t>
    </w:r>
    <w:r>
      <w:rPr>
        <w:color w:val="000000"/>
      </w:rPr>
      <w:fldChar w:fldCharType="end"/>
    </w:r>
  </w:p>
  <w:p w14:paraId="5AD50348" w14:textId="77777777" w:rsidR="00844413" w:rsidRDefault="0084441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FCE27" w14:textId="22BDD0B7" w:rsidR="00844413" w:rsidRDefault="0066531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13CD6">
      <w:rPr>
        <w:noProof/>
        <w:color w:val="000000"/>
      </w:rPr>
      <w:t>1</w:t>
    </w:r>
    <w:r>
      <w:rPr>
        <w:color w:val="000000"/>
      </w:rPr>
      <w:fldChar w:fldCharType="end"/>
    </w:r>
  </w:p>
  <w:p w14:paraId="0D1483D0" w14:textId="77777777" w:rsidR="00844413" w:rsidRDefault="0084441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A903" w14:textId="77777777" w:rsidR="005B5D6F" w:rsidRDefault="005B5D6F">
      <w:r>
        <w:separator/>
      </w:r>
    </w:p>
  </w:footnote>
  <w:footnote w:type="continuationSeparator" w:id="0">
    <w:p w14:paraId="77ED8E0B" w14:textId="77777777" w:rsidR="005B5D6F" w:rsidRDefault="005B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3780"/>
    <w:multiLevelType w:val="multilevel"/>
    <w:tmpl w:val="E4F07C50"/>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2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13"/>
    <w:rsid w:val="00000066"/>
    <w:rsid w:val="0001470A"/>
    <w:rsid w:val="0002628F"/>
    <w:rsid w:val="00036CFB"/>
    <w:rsid w:val="000B56DC"/>
    <w:rsid w:val="000E0CFC"/>
    <w:rsid w:val="00151C37"/>
    <w:rsid w:val="001644CA"/>
    <w:rsid w:val="001B7B52"/>
    <w:rsid w:val="001D4758"/>
    <w:rsid w:val="001F71A2"/>
    <w:rsid w:val="00214920"/>
    <w:rsid w:val="00222B8E"/>
    <w:rsid w:val="002311EB"/>
    <w:rsid w:val="002548B3"/>
    <w:rsid w:val="002F1F86"/>
    <w:rsid w:val="0030608C"/>
    <w:rsid w:val="0032134E"/>
    <w:rsid w:val="003377FA"/>
    <w:rsid w:val="00352600"/>
    <w:rsid w:val="00377FD9"/>
    <w:rsid w:val="00392576"/>
    <w:rsid w:val="003B0AEE"/>
    <w:rsid w:val="003E7125"/>
    <w:rsid w:val="00402CC9"/>
    <w:rsid w:val="00415BE8"/>
    <w:rsid w:val="00470272"/>
    <w:rsid w:val="004A3EE7"/>
    <w:rsid w:val="004F6173"/>
    <w:rsid w:val="0054034A"/>
    <w:rsid w:val="005752FD"/>
    <w:rsid w:val="005804DC"/>
    <w:rsid w:val="0058067C"/>
    <w:rsid w:val="005A5FFA"/>
    <w:rsid w:val="005B5D6F"/>
    <w:rsid w:val="005E3536"/>
    <w:rsid w:val="005F69E2"/>
    <w:rsid w:val="00620132"/>
    <w:rsid w:val="0066531C"/>
    <w:rsid w:val="00685FC6"/>
    <w:rsid w:val="006C19AB"/>
    <w:rsid w:val="006D65F7"/>
    <w:rsid w:val="007161E2"/>
    <w:rsid w:val="007347B8"/>
    <w:rsid w:val="00763C67"/>
    <w:rsid w:val="00770E10"/>
    <w:rsid w:val="007B6A74"/>
    <w:rsid w:val="007C18D5"/>
    <w:rsid w:val="007E2F83"/>
    <w:rsid w:val="007E7F4D"/>
    <w:rsid w:val="00806EAB"/>
    <w:rsid w:val="00813CD6"/>
    <w:rsid w:val="00844413"/>
    <w:rsid w:val="0091395A"/>
    <w:rsid w:val="0093160A"/>
    <w:rsid w:val="009414BA"/>
    <w:rsid w:val="009801D1"/>
    <w:rsid w:val="009921D8"/>
    <w:rsid w:val="009A1DB9"/>
    <w:rsid w:val="009A2DFA"/>
    <w:rsid w:val="009D7D6E"/>
    <w:rsid w:val="009E37C3"/>
    <w:rsid w:val="00A23765"/>
    <w:rsid w:val="00A6524D"/>
    <w:rsid w:val="00A90733"/>
    <w:rsid w:val="00AD1874"/>
    <w:rsid w:val="00B15EA7"/>
    <w:rsid w:val="00B353FD"/>
    <w:rsid w:val="00B436AE"/>
    <w:rsid w:val="00B51EC8"/>
    <w:rsid w:val="00B91CC1"/>
    <w:rsid w:val="00BA3A1F"/>
    <w:rsid w:val="00BB01EE"/>
    <w:rsid w:val="00BD628C"/>
    <w:rsid w:val="00BF5EEE"/>
    <w:rsid w:val="00C02D87"/>
    <w:rsid w:val="00C12C15"/>
    <w:rsid w:val="00C36E90"/>
    <w:rsid w:val="00C630DB"/>
    <w:rsid w:val="00CA01D7"/>
    <w:rsid w:val="00CA34CF"/>
    <w:rsid w:val="00CD1E1A"/>
    <w:rsid w:val="00D02206"/>
    <w:rsid w:val="00D33051"/>
    <w:rsid w:val="00DD0BE4"/>
    <w:rsid w:val="00E54D0E"/>
    <w:rsid w:val="00E732B2"/>
    <w:rsid w:val="00E97801"/>
    <w:rsid w:val="00ED546E"/>
    <w:rsid w:val="00ED7151"/>
    <w:rsid w:val="00F061CE"/>
    <w:rsid w:val="00F37B29"/>
    <w:rsid w:val="00F55E90"/>
    <w:rsid w:val="00F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2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3765"/>
    <w:rPr>
      <w:b/>
      <w:bCs/>
    </w:rPr>
  </w:style>
  <w:style w:type="character" w:customStyle="1" w:styleId="CommentSubjectChar">
    <w:name w:val="Comment Subject Char"/>
    <w:basedOn w:val="CommentTextChar"/>
    <w:link w:val="CommentSubject"/>
    <w:uiPriority w:val="99"/>
    <w:semiHidden/>
    <w:rsid w:val="00A23765"/>
    <w:rPr>
      <w:b/>
      <w:bCs/>
      <w:sz w:val="20"/>
      <w:szCs w:val="20"/>
    </w:rPr>
  </w:style>
  <w:style w:type="character" w:styleId="Hyperlink">
    <w:name w:val="Hyperlink"/>
    <w:basedOn w:val="DefaultParagraphFont"/>
    <w:uiPriority w:val="99"/>
    <w:unhideWhenUsed/>
    <w:rsid w:val="00A23765"/>
    <w:rPr>
      <w:color w:val="0000FF" w:themeColor="hyperlink"/>
      <w:u w:val="single"/>
    </w:rPr>
  </w:style>
  <w:style w:type="character" w:styleId="FollowedHyperlink">
    <w:name w:val="FollowedHyperlink"/>
    <w:basedOn w:val="DefaultParagraphFont"/>
    <w:uiPriority w:val="99"/>
    <w:semiHidden/>
    <w:unhideWhenUsed/>
    <w:rsid w:val="00AD1874"/>
    <w:rPr>
      <w:color w:val="800080" w:themeColor="followedHyperlink"/>
      <w:u w:val="single"/>
    </w:rPr>
  </w:style>
  <w:style w:type="paragraph" w:styleId="Revision">
    <w:name w:val="Revision"/>
    <w:hidden/>
    <w:uiPriority w:val="99"/>
    <w:semiHidden/>
    <w:rsid w:val="001644C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socioeconomics/social-indicators-coastal-communit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mcpherson@noa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cutler@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sa.l.colburn@noaa.gov" TargetMode="External"/><Relationship Id="rId4" Type="http://schemas.openxmlformats.org/officeDocument/2006/relationships/settings" Target="settings.xml"/><Relationship Id="rId9" Type="http://schemas.openxmlformats.org/officeDocument/2006/relationships/hyperlink" Target="https://www.fisheries.noaa.gov/national/socioeconomics/social-indicators-public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E736-F44B-40CB-A7F0-2C4C23FC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2021-07-27T20:40:00Z</dcterms:created>
  <dcterms:modified xsi:type="dcterms:W3CDTF">2021-07-27T20:40:00Z</dcterms:modified>
</cp:coreProperties>
</file>