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702D" w:rsidR="00B1408F" w:rsidP="00B1408F" w:rsidRDefault="00437951" w14:paraId="6BEA1350" w14:textId="07B30E7A">
      <w:pPr>
        <w:pStyle w:val="DefaultText"/>
        <w:jc w:val="right"/>
        <w:rPr>
          <w:rStyle w:val="InitialStyle"/>
          <w:rFonts w:ascii="Times New Roman" w:hAnsi="Times New Roman"/>
          <w:b/>
          <w:szCs w:val="24"/>
        </w:rPr>
      </w:pPr>
      <w:r>
        <w:rPr>
          <w:rStyle w:val="InitialStyle"/>
          <w:rFonts w:ascii="Times New Roman" w:hAnsi="Times New Roman"/>
          <w:b/>
          <w:szCs w:val="24"/>
        </w:rPr>
        <w:t>January 2022</w:t>
      </w:r>
    </w:p>
    <w:p w:rsidR="00B1408F" w:rsidP="00174F33" w:rsidRDefault="00B1408F" w14:paraId="49841A19" w14:textId="77777777">
      <w:pPr>
        <w:pStyle w:val="DefaultText"/>
        <w:rPr>
          <w:rStyle w:val="InitialStyle"/>
          <w:rFonts w:ascii="Times New Roman" w:hAnsi="Times New Roman"/>
          <w:b/>
          <w:szCs w:val="24"/>
        </w:rPr>
      </w:pPr>
    </w:p>
    <w:p w:rsidR="00614397" w:rsidP="0034158E" w:rsidRDefault="0034158E" w14:paraId="5196CBFC" w14:textId="25D07779">
      <w:pPr>
        <w:pStyle w:val="DefaultText"/>
        <w:jc w:val="center"/>
        <w:rPr>
          <w:rStyle w:val="InitialStyle"/>
          <w:rFonts w:ascii="Times New Roman" w:hAnsi="Times New Roman"/>
          <w:b/>
          <w:szCs w:val="24"/>
        </w:rPr>
      </w:pPr>
      <w:r w:rsidRPr="0092702D">
        <w:rPr>
          <w:rStyle w:val="InitialStyle"/>
          <w:rFonts w:ascii="Times New Roman" w:hAnsi="Times New Roman"/>
          <w:b/>
          <w:szCs w:val="24"/>
        </w:rPr>
        <w:t>SUPPORTING STATEMENT</w:t>
      </w:r>
    </w:p>
    <w:p w:rsidR="0034158E" w:rsidP="0034158E" w:rsidRDefault="0034158E" w14:paraId="1FA76609" w14:textId="377BEE79">
      <w:pPr>
        <w:pStyle w:val="DefaultText"/>
        <w:jc w:val="center"/>
        <w:rPr>
          <w:rStyle w:val="InitialStyle"/>
          <w:rFonts w:ascii="Times New Roman" w:hAnsi="Times New Roman"/>
          <w:b/>
          <w:szCs w:val="24"/>
        </w:rPr>
      </w:pPr>
      <w:r w:rsidRPr="0092702D">
        <w:rPr>
          <w:rStyle w:val="InitialStyle"/>
          <w:rFonts w:ascii="Times New Roman" w:hAnsi="Times New Roman"/>
          <w:b/>
          <w:szCs w:val="24"/>
        </w:rPr>
        <w:t>EMERGENCY MANAGEMENT RESPONSE SYSTEM (EMRS)</w:t>
      </w:r>
    </w:p>
    <w:p w:rsidRPr="0092702D" w:rsidR="00614397" w:rsidP="00614397" w:rsidRDefault="00614397" w14:paraId="31339F74" w14:textId="77777777">
      <w:pPr>
        <w:pStyle w:val="DefaultText"/>
        <w:jc w:val="center"/>
        <w:rPr>
          <w:rStyle w:val="InitialStyle"/>
          <w:rFonts w:ascii="Times New Roman" w:hAnsi="Times New Roman"/>
          <w:b/>
          <w:szCs w:val="24"/>
        </w:rPr>
      </w:pPr>
      <w:r w:rsidRPr="0092702D">
        <w:rPr>
          <w:rStyle w:val="InitialStyle"/>
          <w:rFonts w:ascii="Times New Roman" w:hAnsi="Times New Roman"/>
          <w:b/>
          <w:szCs w:val="24"/>
        </w:rPr>
        <w:t>OMB NO. 0579-0071</w:t>
      </w:r>
    </w:p>
    <w:p w:rsidRPr="0034158E" w:rsidR="0034158E" w:rsidP="00174F33" w:rsidRDefault="0034158E" w14:paraId="74022904" w14:textId="77777777">
      <w:pPr>
        <w:pStyle w:val="DefaultText"/>
        <w:rPr>
          <w:rStyle w:val="InitialStyle"/>
          <w:rFonts w:ascii="Times New Roman" w:hAnsi="Times New Roman"/>
          <w:b/>
          <w:szCs w:val="24"/>
        </w:rPr>
      </w:pPr>
    </w:p>
    <w:p w:rsidRPr="0092702D" w:rsidR="0034158E" w:rsidP="0034158E" w:rsidRDefault="0034158E" w14:paraId="38215C20" w14:textId="77777777">
      <w:pPr>
        <w:pStyle w:val="DefaultText"/>
        <w:rPr>
          <w:rStyle w:val="InitialStyle"/>
          <w:rFonts w:ascii="Times New Roman" w:hAnsi="Times New Roman"/>
          <w:b/>
          <w:szCs w:val="24"/>
        </w:rPr>
      </w:pPr>
      <w:r w:rsidRPr="0092702D">
        <w:rPr>
          <w:rStyle w:val="InitialStyle"/>
          <w:rFonts w:ascii="Times New Roman" w:hAnsi="Times New Roman"/>
          <w:b/>
          <w:szCs w:val="24"/>
        </w:rPr>
        <w:t>A.  Justification</w:t>
      </w:r>
    </w:p>
    <w:p w:rsidR="0034158E" w:rsidP="0034158E" w:rsidRDefault="0034158E" w14:paraId="6248E042" w14:textId="5840758A">
      <w:pPr>
        <w:pStyle w:val="DefaultText"/>
        <w:rPr>
          <w:rStyle w:val="InitialStyle"/>
          <w:rFonts w:ascii="Times New Roman" w:hAnsi="Times New Roman"/>
          <w:b/>
          <w:szCs w:val="24"/>
        </w:rPr>
      </w:pPr>
    </w:p>
    <w:p w:rsidRPr="0034158E" w:rsidR="00932932" w:rsidP="0034158E" w:rsidRDefault="00932932" w14:paraId="3BEA1ABB" w14:textId="77777777">
      <w:pPr>
        <w:pStyle w:val="DefaultText"/>
        <w:rPr>
          <w:rStyle w:val="InitialStyle"/>
          <w:rFonts w:ascii="Times New Roman" w:hAnsi="Times New Roman"/>
          <w:b/>
          <w:szCs w:val="24"/>
        </w:rPr>
      </w:pPr>
    </w:p>
    <w:p w:rsidRPr="00892DE8" w:rsidR="0034158E" w:rsidP="0034158E" w:rsidRDefault="0034158E" w14:paraId="20D03DE3"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4158E" w:rsidR="0034158E" w:rsidP="0034158E" w:rsidRDefault="0034158E" w14:paraId="6FE2F53E" w14:textId="77777777">
      <w:pPr>
        <w:pStyle w:val="DefaultText"/>
        <w:rPr>
          <w:rStyle w:val="InitialStyle"/>
          <w:rFonts w:ascii="Times New Roman" w:hAnsi="Times New Roman"/>
          <w:szCs w:val="24"/>
        </w:rPr>
      </w:pPr>
    </w:p>
    <w:p w:rsidRPr="0034158E" w:rsidR="0034158E" w:rsidP="0034158E" w:rsidRDefault="0034158E" w14:paraId="70E74C2C" w14:textId="42DA7AC1">
      <w:pPr>
        <w:rPr>
          <w:sz w:val="24"/>
          <w:szCs w:val="24"/>
        </w:rPr>
      </w:pPr>
      <w:r w:rsidRPr="0092702D">
        <w:rPr>
          <w:rStyle w:val="Strong"/>
          <w:b w:val="0"/>
          <w:sz w:val="24"/>
          <w:szCs w:val="24"/>
        </w:rPr>
        <w:t>The Animal Health Protection Act (AHPA) of 2002 i</w:t>
      </w:r>
      <w:r w:rsidRPr="0092702D">
        <w:rPr>
          <w:sz w:val="24"/>
          <w:szCs w:val="24"/>
        </w:rPr>
        <w:t>s the</w:t>
      </w:r>
      <w:r w:rsidRPr="0092702D">
        <w:rPr>
          <w:b/>
          <w:sz w:val="24"/>
          <w:szCs w:val="24"/>
        </w:rPr>
        <w:t xml:space="preserve"> </w:t>
      </w:r>
      <w:r w:rsidRPr="0034158E">
        <w:rPr>
          <w:sz w:val="24"/>
          <w:szCs w:val="24"/>
        </w:rPr>
        <w:t xml:space="preserve">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r w:rsidRPr="0034158E" w:rsidR="00F97AB6">
        <w:rPr>
          <w:sz w:val="24"/>
          <w:szCs w:val="24"/>
        </w:rPr>
        <w:t>necessary,</w:t>
      </w:r>
      <w:r w:rsidRPr="0034158E">
        <w:rPr>
          <w:sz w:val="24"/>
          <w:szCs w:val="24"/>
        </w:rPr>
        <w:t xml:space="preserve"> to prevent the spread of any livestock or poultry pest or disease.</w:t>
      </w:r>
      <w:r w:rsidR="000046F3">
        <w:rPr>
          <w:sz w:val="24"/>
          <w:szCs w:val="24"/>
        </w:rPr>
        <w:t xml:space="preserve"> </w:t>
      </w:r>
      <w:r w:rsidRPr="000046F3" w:rsidR="000046F3">
        <w:rPr>
          <w:sz w:val="24"/>
          <w:szCs w:val="24"/>
        </w:rPr>
        <w:t>The AHPA is contained in Title X, Subtitle E, Sections 10401-18 of P.L. 107-171, May 13, 2002, the Farm Security and Rural Investment Act of 2002 [7 U.S.C. 8301 et. seq.].</w:t>
      </w:r>
    </w:p>
    <w:p w:rsidRPr="0034158E" w:rsidR="0034158E" w:rsidP="0034158E" w:rsidRDefault="0034158E" w14:paraId="74622F8A" w14:textId="77777777">
      <w:pPr>
        <w:rPr>
          <w:sz w:val="24"/>
          <w:szCs w:val="24"/>
        </w:rPr>
      </w:pPr>
    </w:p>
    <w:p w:rsidRPr="0034158E" w:rsidR="0034158E" w:rsidP="000046F3" w:rsidRDefault="0034158E" w14:paraId="18693E8B" w14:textId="4E4F183C">
      <w:pPr>
        <w:rPr>
          <w:rStyle w:val="InitialStyle"/>
          <w:rFonts w:ascii="Times New Roman" w:hAnsi="Times New Roman"/>
          <w:szCs w:val="24"/>
        </w:rPr>
      </w:pPr>
      <w:r w:rsidRPr="0034158E">
        <w:rPr>
          <w:rStyle w:val="InitialStyle"/>
          <w:rFonts w:ascii="Times New Roman" w:hAnsi="Times New Roman"/>
          <w:szCs w:val="24"/>
        </w:rPr>
        <w:t>Disease prevention is the most effective method for maintaining a healthy animal population and for enhancing the ability of the United States to compete in the world market of animal and animal product trade.</w:t>
      </w:r>
      <w:r w:rsidR="000046F3">
        <w:rPr>
          <w:rStyle w:val="InitialStyle"/>
          <w:rFonts w:ascii="Times New Roman" w:hAnsi="Times New Roman"/>
          <w:szCs w:val="24"/>
        </w:rPr>
        <w:t xml:space="preserve"> </w:t>
      </w:r>
      <w:r w:rsidRPr="0034158E">
        <w:rPr>
          <w:rStyle w:val="InitialStyle"/>
          <w:rFonts w:ascii="Times New Roman" w:hAnsi="Times New Roman"/>
          <w:szCs w:val="24"/>
        </w:rPr>
        <w:t xml:space="preserve">In connection with the U.S. Department of Agriculture’s mission to prevent animal disease, the Animal and Plant Health Inspection Service (APHIS)’s Veterinary Services (VS) unit investigates </w:t>
      </w:r>
      <w:r w:rsidRPr="0034158E">
        <w:rPr>
          <w:rStyle w:val="InitialStyle"/>
          <w:rFonts w:ascii="Times New Roman" w:hAnsi="Times New Roman"/>
          <w:color w:val="000000"/>
          <w:szCs w:val="24"/>
        </w:rPr>
        <w:t xml:space="preserve">suspected </w:t>
      </w:r>
      <w:r w:rsidR="006A2C2F">
        <w:rPr>
          <w:rStyle w:val="InitialStyle"/>
          <w:rFonts w:ascii="Times New Roman" w:hAnsi="Times New Roman"/>
          <w:szCs w:val="24"/>
        </w:rPr>
        <w:t>f</w:t>
      </w:r>
      <w:r w:rsidRPr="0034158E">
        <w:rPr>
          <w:rStyle w:val="InitialStyle"/>
          <w:rFonts w:ascii="Times New Roman" w:hAnsi="Times New Roman"/>
          <w:szCs w:val="24"/>
        </w:rPr>
        <w:t xml:space="preserve">oreign </w:t>
      </w:r>
      <w:r w:rsidR="006A2C2F">
        <w:rPr>
          <w:rStyle w:val="InitialStyle"/>
          <w:rFonts w:ascii="Times New Roman" w:hAnsi="Times New Roman"/>
          <w:szCs w:val="24"/>
        </w:rPr>
        <w:t>a</w:t>
      </w:r>
      <w:r w:rsidRPr="0034158E">
        <w:rPr>
          <w:rStyle w:val="InitialStyle"/>
          <w:rFonts w:ascii="Times New Roman" w:hAnsi="Times New Roman"/>
          <w:szCs w:val="24"/>
        </w:rPr>
        <w:t xml:space="preserve">nimal </w:t>
      </w:r>
      <w:r w:rsidR="006A2C2F">
        <w:rPr>
          <w:rStyle w:val="InitialStyle"/>
          <w:rFonts w:ascii="Times New Roman" w:hAnsi="Times New Roman"/>
          <w:szCs w:val="24"/>
        </w:rPr>
        <w:t>d</w:t>
      </w:r>
      <w:r w:rsidRPr="0034158E">
        <w:rPr>
          <w:rStyle w:val="InitialStyle"/>
          <w:rFonts w:ascii="Times New Roman" w:hAnsi="Times New Roman"/>
          <w:szCs w:val="24"/>
        </w:rPr>
        <w:t>isease (FAD) occurrences. These investigations help APHIS protect the health of the U.S. livestock and poultry populations.</w:t>
      </w:r>
      <w:r w:rsidR="00AC7A6E">
        <w:rPr>
          <w:rStyle w:val="FootnoteReference"/>
          <w:szCs w:val="24"/>
        </w:rPr>
        <w:footnoteReference w:id="1"/>
      </w:r>
      <w:r w:rsidR="000046F3">
        <w:rPr>
          <w:rStyle w:val="InitialStyle"/>
          <w:rFonts w:ascii="Times New Roman" w:hAnsi="Times New Roman"/>
          <w:szCs w:val="24"/>
        </w:rPr>
        <w:t xml:space="preserve"> </w:t>
      </w:r>
      <w:r w:rsidRPr="0034158E">
        <w:rPr>
          <w:rStyle w:val="InitialStyle"/>
          <w:rFonts w:ascii="Times New Roman" w:hAnsi="Times New Roman"/>
          <w:szCs w:val="24"/>
        </w:rPr>
        <w:t>APHIS’ authority to investigate suspected occurrences of FADs in livestock or poultry is delineated in Public Law 87-518, dated July</w:t>
      </w:r>
      <w:r w:rsidR="002D658D">
        <w:rPr>
          <w:rStyle w:val="InitialStyle"/>
          <w:rFonts w:ascii="Times New Roman" w:hAnsi="Times New Roman"/>
          <w:szCs w:val="24"/>
        </w:rPr>
        <w:t> </w:t>
      </w:r>
      <w:r w:rsidRPr="0034158E">
        <w:rPr>
          <w:rStyle w:val="InitialStyle"/>
          <w:rFonts w:ascii="Times New Roman" w:hAnsi="Times New Roman"/>
          <w:szCs w:val="24"/>
        </w:rPr>
        <w:t xml:space="preserve">2, 1962; and 21 U.S.C. 111, 112, 113, 114, 114a, 120, and 134a. The regulations implementing these laws are found in part 53 of Title 9, </w:t>
      </w:r>
      <w:r w:rsidRPr="0034158E">
        <w:rPr>
          <w:rStyle w:val="InitialStyle"/>
          <w:rFonts w:ascii="Times New Roman" w:hAnsi="Times New Roman"/>
          <w:i/>
          <w:szCs w:val="24"/>
        </w:rPr>
        <w:t>Code of Federal Regulations</w:t>
      </w:r>
      <w:r w:rsidRPr="0034158E">
        <w:rPr>
          <w:rStyle w:val="InitialStyle"/>
          <w:rFonts w:ascii="Times New Roman" w:hAnsi="Times New Roman"/>
          <w:szCs w:val="24"/>
        </w:rPr>
        <w:t xml:space="preserve">. </w:t>
      </w:r>
    </w:p>
    <w:p w:rsidRPr="0034158E" w:rsidR="0034158E" w:rsidP="0034158E" w:rsidRDefault="0034158E" w14:paraId="18911F22" w14:textId="77777777">
      <w:pPr>
        <w:pStyle w:val="DefaultText"/>
        <w:rPr>
          <w:rStyle w:val="InitialStyle"/>
          <w:rFonts w:ascii="Times New Roman" w:hAnsi="Times New Roman"/>
          <w:szCs w:val="24"/>
        </w:rPr>
      </w:pPr>
    </w:p>
    <w:p w:rsidR="005A2F68" w:rsidP="0034158E" w:rsidRDefault="0034158E" w14:paraId="50394D27" w14:textId="77777777">
      <w:pPr>
        <w:pStyle w:val="DefaultText"/>
        <w:rPr>
          <w:rStyle w:val="InitialStyle"/>
          <w:rFonts w:ascii="Times New Roman" w:hAnsi="Times New Roman"/>
          <w:szCs w:val="24"/>
        </w:rPr>
      </w:pPr>
      <w:r w:rsidRPr="0034158E">
        <w:rPr>
          <w:rStyle w:val="InitialStyle"/>
          <w:rFonts w:ascii="Times New Roman" w:hAnsi="Times New Roman"/>
          <w:szCs w:val="24"/>
        </w:rPr>
        <w:t xml:space="preserve">Through its FAD Surveillance Program, the VS Emergency Management staff compiles essential epidemiological and diagnostic data used to define FADs and their risk factors. The data is compiled through </w:t>
      </w:r>
      <w:r w:rsidRPr="0034158E">
        <w:rPr>
          <w:rStyle w:val="InitialStyle"/>
          <w:rFonts w:ascii="Times New Roman" w:hAnsi="Times New Roman"/>
          <w:color w:val="000000"/>
          <w:szCs w:val="24"/>
        </w:rPr>
        <w:t>the VS Emergency Management Response System (EMRS), a Web-based database for reporting</w:t>
      </w:r>
      <w:r w:rsidRPr="0034158E">
        <w:rPr>
          <w:rStyle w:val="InitialStyle"/>
          <w:rFonts w:ascii="Times New Roman" w:hAnsi="Times New Roman"/>
          <w:szCs w:val="24"/>
        </w:rPr>
        <w:t xml:space="preserve"> investigations of suspected FAD occurrences.</w:t>
      </w:r>
      <w:r w:rsidR="006467DE">
        <w:rPr>
          <w:rStyle w:val="InitialStyle"/>
          <w:rFonts w:ascii="Times New Roman" w:hAnsi="Times New Roman"/>
          <w:szCs w:val="24"/>
        </w:rPr>
        <w:t xml:space="preserve"> </w:t>
      </w:r>
    </w:p>
    <w:p w:rsidR="005A2F68" w:rsidP="0034158E" w:rsidRDefault="005A2F68" w14:paraId="74DDE01D" w14:textId="77777777">
      <w:pPr>
        <w:pStyle w:val="DefaultText"/>
        <w:rPr>
          <w:rStyle w:val="InitialStyle"/>
          <w:rFonts w:ascii="Times New Roman" w:hAnsi="Times New Roman"/>
          <w:szCs w:val="24"/>
        </w:rPr>
      </w:pPr>
    </w:p>
    <w:p w:rsidRPr="0034158E" w:rsidR="0034158E" w:rsidP="0034158E" w:rsidRDefault="0034158E" w14:paraId="476BC7E6" w14:textId="4151A96F">
      <w:pPr>
        <w:pStyle w:val="DefaultText"/>
        <w:rPr>
          <w:szCs w:val="24"/>
        </w:rPr>
      </w:pPr>
      <w:r w:rsidRPr="0034158E">
        <w:rPr>
          <w:rStyle w:val="InitialStyle"/>
          <w:rFonts w:ascii="Times New Roman" w:hAnsi="Times New Roman"/>
          <w:szCs w:val="24"/>
        </w:rPr>
        <w:t>APHIS is asking OMB to approve, for an additional 3 years, information collection activities involved in using the EMRS</w:t>
      </w:r>
      <w:r w:rsidRPr="0034158E">
        <w:rPr>
          <w:szCs w:val="24"/>
        </w:rPr>
        <w:t>.</w:t>
      </w:r>
    </w:p>
    <w:p w:rsidR="000046F3" w:rsidRDefault="000046F3" w14:paraId="1DA09A1A" w14:textId="24E8B6C0">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Pr="00892DE8" w:rsidR="0034158E" w:rsidP="0034158E" w:rsidRDefault="0034158E" w14:paraId="354498EF" w14:textId="77777777">
      <w:pPr>
        <w:pStyle w:val="DefaultText"/>
        <w:rPr>
          <w:rStyle w:val="InitialStyle"/>
          <w:rFonts w:ascii="Times New Roman" w:hAnsi="Times New Roman"/>
          <w:b/>
          <w:szCs w:val="24"/>
        </w:rPr>
      </w:pPr>
      <w:bookmarkStart w:name="_Hlk70086309" w:id="0"/>
      <w:r w:rsidRPr="00892DE8">
        <w:rPr>
          <w:rStyle w:val="InitialStyle"/>
          <w:rFonts w:ascii="Times New Roman" w:hAnsi="Times New Roman"/>
          <w:b/>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34158E" w:rsidP="0034158E" w:rsidRDefault="0034158E" w14:paraId="23ABD939" w14:textId="77777777">
      <w:pPr>
        <w:pStyle w:val="DefaultText"/>
        <w:rPr>
          <w:rStyle w:val="InitialStyle"/>
          <w:rFonts w:ascii="Times New Roman" w:hAnsi="Times New Roman"/>
          <w:b/>
          <w:szCs w:val="24"/>
        </w:rPr>
      </w:pPr>
    </w:p>
    <w:p w:rsidRPr="00F743E7" w:rsidR="00436213" w:rsidP="00436213" w:rsidRDefault="00436213" w14:paraId="12B935BA" w14:textId="694D62A5">
      <w:pPr>
        <w:rPr>
          <w:sz w:val="24"/>
          <w:szCs w:val="24"/>
        </w:rPr>
      </w:pPr>
      <w:r w:rsidRPr="00F743E7">
        <w:rPr>
          <w:sz w:val="24"/>
          <w:szCs w:val="24"/>
        </w:rPr>
        <w:t xml:space="preserve">APHIS uses the following information activities to effectively </w:t>
      </w:r>
      <w:r w:rsidRPr="0034158E">
        <w:rPr>
          <w:rStyle w:val="InitialStyle"/>
          <w:rFonts w:ascii="Times New Roman" w:hAnsi="Times New Roman"/>
          <w:szCs w:val="24"/>
        </w:rPr>
        <w:t>prevent FAD occurrences</w:t>
      </w:r>
      <w:r w:rsidRPr="00F743E7">
        <w:rPr>
          <w:sz w:val="24"/>
          <w:szCs w:val="24"/>
        </w:rPr>
        <w:t xml:space="preserve"> </w:t>
      </w:r>
      <w:r>
        <w:rPr>
          <w:sz w:val="24"/>
          <w:szCs w:val="24"/>
        </w:rPr>
        <w:t xml:space="preserve">and </w:t>
      </w:r>
      <w:r w:rsidRPr="0034158E">
        <w:rPr>
          <w:rStyle w:val="InitialStyle"/>
          <w:rFonts w:ascii="Times New Roman" w:hAnsi="Times New Roman"/>
          <w:szCs w:val="24"/>
        </w:rPr>
        <w:t xml:space="preserve">protect the health of </w:t>
      </w:r>
      <w:r w:rsidR="000046F3">
        <w:rPr>
          <w:rStyle w:val="InitialStyle"/>
          <w:rFonts w:ascii="Times New Roman" w:hAnsi="Times New Roman"/>
          <w:szCs w:val="24"/>
        </w:rPr>
        <w:t xml:space="preserve">animals in </w:t>
      </w:r>
      <w:r w:rsidRPr="0034158E">
        <w:rPr>
          <w:rStyle w:val="InitialStyle"/>
          <w:rFonts w:ascii="Times New Roman" w:hAnsi="Times New Roman"/>
          <w:szCs w:val="24"/>
        </w:rPr>
        <w:t xml:space="preserve">the </w:t>
      </w:r>
      <w:r w:rsidRPr="00F743E7">
        <w:rPr>
          <w:sz w:val="24"/>
          <w:szCs w:val="24"/>
        </w:rPr>
        <w:t>United States.</w:t>
      </w:r>
    </w:p>
    <w:p w:rsidRPr="0034158E" w:rsidR="00436213" w:rsidP="0034158E" w:rsidRDefault="00436213" w14:paraId="664EE820" w14:textId="77777777">
      <w:pPr>
        <w:pStyle w:val="DefaultText"/>
        <w:rPr>
          <w:rStyle w:val="InitialStyle"/>
          <w:rFonts w:ascii="Times New Roman" w:hAnsi="Times New Roman"/>
          <w:b/>
          <w:szCs w:val="24"/>
        </w:rPr>
      </w:pPr>
    </w:p>
    <w:p w:rsidRPr="000046F3" w:rsidR="000046F3" w:rsidP="000046F3" w:rsidRDefault="000046F3" w14:paraId="1C233F9A" w14:textId="77777777">
      <w:pPr>
        <w:spacing w:line="240" w:lineRule="atLeast"/>
        <w:rPr>
          <w:b/>
          <w:sz w:val="24"/>
          <w:szCs w:val="24"/>
          <w:u w:val="single"/>
        </w:rPr>
      </w:pPr>
      <w:r w:rsidRPr="000046F3">
        <w:rPr>
          <w:b/>
          <w:sz w:val="24"/>
          <w:szCs w:val="24"/>
          <w:u w:val="single"/>
        </w:rPr>
        <w:t>Emergency Management Response System (EMRS); (9 CFR 53); (State) (Business)</w:t>
      </w:r>
    </w:p>
    <w:p w:rsidR="0034158E" w:rsidP="0034158E" w:rsidRDefault="0034158E" w14:paraId="3EF0C0FE" w14:textId="0882D9F7">
      <w:pPr>
        <w:spacing w:line="240" w:lineRule="atLeast"/>
        <w:rPr>
          <w:rStyle w:val="InitialStyle"/>
          <w:rFonts w:ascii="Times New Roman" w:hAnsi="Times New Roman"/>
          <w:szCs w:val="24"/>
        </w:rPr>
      </w:pPr>
      <w:r w:rsidRPr="0034158E">
        <w:rPr>
          <w:rStyle w:val="InitialStyle"/>
          <w:rFonts w:ascii="Times New Roman" w:hAnsi="Times New Roman"/>
          <w:szCs w:val="24"/>
        </w:rPr>
        <w:t>When a potential FAD incident is reported, APHIS or State animal health authorities send a foreign animal disease diagnostician to</w:t>
      </w:r>
      <w:r w:rsidR="000046F3">
        <w:rPr>
          <w:rStyle w:val="InitialStyle"/>
          <w:rFonts w:ascii="Times New Roman" w:hAnsi="Times New Roman"/>
          <w:szCs w:val="24"/>
        </w:rPr>
        <w:t xml:space="preserve"> the site</w:t>
      </w:r>
      <w:r w:rsidRPr="0034158E">
        <w:rPr>
          <w:rStyle w:val="InitialStyle"/>
          <w:rFonts w:ascii="Times New Roman" w:hAnsi="Times New Roman"/>
          <w:szCs w:val="24"/>
        </w:rPr>
        <w:t xml:space="preserve">. The Federal or State diagnostician obtains vital epidemiological data by conducting field investigations and by interviewing the owner or manager of the premises being investigated. Information </w:t>
      </w:r>
      <w:r w:rsidR="000046F3">
        <w:rPr>
          <w:rStyle w:val="InitialStyle"/>
          <w:rFonts w:ascii="Times New Roman" w:hAnsi="Times New Roman"/>
          <w:szCs w:val="24"/>
        </w:rPr>
        <w:t xml:space="preserve">collected and </w:t>
      </w:r>
      <w:r w:rsidRPr="0034158E">
        <w:rPr>
          <w:rStyle w:val="InitialStyle"/>
          <w:rFonts w:ascii="Times New Roman" w:hAnsi="Times New Roman"/>
          <w:color w:val="000000"/>
          <w:szCs w:val="24"/>
        </w:rPr>
        <w:t>recorded in EMRS</w:t>
      </w:r>
      <w:r w:rsidR="000046F3">
        <w:rPr>
          <w:rStyle w:val="InitialStyle"/>
          <w:rFonts w:ascii="Times New Roman" w:hAnsi="Times New Roman"/>
          <w:color w:val="000000"/>
          <w:szCs w:val="24"/>
        </w:rPr>
        <w:t xml:space="preserve"> by the diagnostician</w:t>
      </w:r>
      <w:r w:rsidRPr="0034158E">
        <w:rPr>
          <w:rStyle w:val="InitialStyle"/>
          <w:rFonts w:ascii="Times New Roman" w:hAnsi="Times New Roman"/>
          <w:i/>
          <w:color w:val="FF0000"/>
          <w:szCs w:val="24"/>
        </w:rPr>
        <w:t xml:space="preserve"> </w:t>
      </w:r>
      <w:r w:rsidRPr="0034158E">
        <w:rPr>
          <w:rStyle w:val="InitialStyle"/>
          <w:rFonts w:ascii="Times New Roman" w:hAnsi="Times New Roman"/>
          <w:szCs w:val="24"/>
        </w:rPr>
        <w:t>includes:</w:t>
      </w:r>
    </w:p>
    <w:p w:rsidRPr="0034158E" w:rsidR="00892DE8" w:rsidP="0034158E" w:rsidRDefault="00892DE8" w14:paraId="3528B640" w14:textId="77777777">
      <w:pPr>
        <w:spacing w:line="240" w:lineRule="atLeast"/>
        <w:rPr>
          <w:rStyle w:val="InitialStyle"/>
          <w:rFonts w:ascii="Times New Roman" w:hAnsi="Times New Roman"/>
          <w:szCs w:val="24"/>
        </w:rPr>
      </w:pPr>
    </w:p>
    <w:p w:rsidRPr="000046F3" w:rsidR="000046F3" w:rsidP="000046F3" w:rsidRDefault="000046F3" w14:paraId="272D3915" w14:textId="77777777">
      <w:pPr>
        <w:numPr>
          <w:ilvl w:val="0"/>
          <w:numId w:val="1"/>
        </w:numPr>
        <w:spacing w:line="240" w:lineRule="atLeast"/>
        <w:rPr>
          <w:sz w:val="24"/>
          <w:szCs w:val="24"/>
        </w:rPr>
      </w:pPr>
      <w:r w:rsidRPr="000046F3">
        <w:rPr>
          <w:sz w:val="24"/>
          <w:szCs w:val="24"/>
        </w:rPr>
        <w:t>The purpose of the diagnostician's visit to the site.</w:t>
      </w:r>
    </w:p>
    <w:p w:rsidRPr="000046F3" w:rsidR="000046F3" w:rsidP="000046F3" w:rsidRDefault="000046F3" w14:paraId="0CF39261" w14:textId="77777777">
      <w:pPr>
        <w:numPr>
          <w:ilvl w:val="0"/>
          <w:numId w:val="1"/>
        </w:numPr>
        <w:spacing w:line="240" w:lineRule="atLeast"/>
        <w:rPr>
          <w:sz w:val="24"/>
          <w:szCs w:val="24"/>
        </w:rPr>
      </w:pPr>
      <w:r w:rsidRPr="000046F3">
        <w:rPr>
          <w:sz w:val="24"/>
          <w:szCs w:val="24"/>
        </w:rPr>
        <w:t>The name and address of the site owner or manager.</w:t>
      </w:r>
    </w:p>
    <w:p w:rsidRPr="000046F3" w:rsidR="000046F3" w:rsidP="000046F3" w:rsidRDefault="000046F3" w14:paraId="77434C1B" w14:textId="77777777">
      <w:pPr>
        <w:numPr>
          <w:ilvl w:val="0"/>
          <w:numId w:val="1"/>
        </w:numPr>
        <w:spacing w:line="240" w:lineRule="atLeast"/>
        <w:rPr>
          <w:sz w:val="24"/>
          <w:szCs w:val="24"/>
        </w:rPr>
      </w:pPr>
      <w:r w:rsidRPr="000046F3">
        <w:rPr>
          <w:sz w:val="24"/>
          <w:szCs w:val="24"/>
        </w:rPr>
        <w:t>The type of operation being investigated.</w:t>
      </w:r>
    </w:p>
    <w:p w:rsidRPr="000046F3" w:rsidR="000046F3" w:rsidP="000046F3" w:rsidRDefault="000046F3" w14:paraId="6BCBA2D7" w14:textId="77777777">
      <w:pPr>
        <w:numPr>
          <w:ilvl w:val="0"/>
          <w:numId w:val="1"/>
        </w:numPr>
        <w:spacing w:line="240" w:lineRule="atLeast"/>
        <w:rPr>
          <w:sz w:val="24"/>
          <w:szCs w:val="24"/>
        </w:rPr>
      </w:pPr>
      <w:r w:rsidRPr="000046F3">
        <w:rPr>
          <w:sz w:val="24"/>
          <w:szCs w:val="24"/>
        </w:rPr>
        <w:t>The number and type of animals on the premises.</w:t>
      </w:r>
    </w:p>
    <w:p w:rsidRPr="000046F3" w:rsidR="000046F3" w:rsidP="000046F3" w:rsidRDefault="000046F3" w14:paraId="7E32F5D5" w14:textId="77777777">
      <w:pPr>
        <w:numPr>
          <w:ilvl w:val="0"/>
          <w:numId w:val="1"/>
        </w:numPr>
        <w:spacing w:line="240" w:lineRule="atLeast"/>
        <w:rPr>
          <w:sz w:val="24"/>
          <w:szCs w:val="24"/>
        </w:rPr>
      </w:pPr>
      <w:r w:rsidRPr="000046F3">
        <w:rPr>
          <w:sz w:val="24"/>
          <w:szCs w:val="24"/>
        </w:rPr>
        <w:t>Whether any animals have been moved to or from the premises and when this movement occurred.</w:t>
      </w:r>
    </w:p>
    <w:p w:rsidRPr="000046F3" w:rsidR="000046F3" w:rsidP="000046F3" w:rsidRDefault="000046F3" w14:paraId="040DE398" w14:textId="77777777">
      <w:pPr>
        <w:numPr>
          <w:ilvl w:val="0"/>
          <w:numId w:val="1"/>
        </w:numPr>
        <w:spacing w:line="240" w:lineRule="atLeast"/>
        <w:rPr>
          <w:sz w:val="24"/>
          <w:szCs w:val="24"/>
        </w:rPr>
      </w:pPr>
      <w:r w:rsidRPr="000046F3">
        <w:rPr>
          <w:sz w:val="24"/>
          <w:szCs w:val="24"/>
        </w:rPr>
        <w:t>The number of sick or dead animals.</w:t>
      </w:r>
    </w:p>
    <w:p w:rsidRPr="000046F3" w:rsidR="000046F3" w:rsidP="000046F3" w:rsidRDefault="000046F3" w14:paraId="23E0F166" w14:textId="77777777">
      <w:pPr>
        <w:numPr>
          <w:ilvl w:val="0"/>
          <w:numId w:val="1"/>
        </w:numPr>
        <w:spacing w:line="240" w:lineRule="atLeast"/>
        <w:rPr>
          <w:sz w:val="24"/>
          <w:szCs w:val="24"/>
        </w:rPr>
      </w:pPr>
      <w:r w:rsidRPr="000046F3">
        <w:rPr>
          <w:sz w:val="24"/>
          <w:szCs w:val="24"/>
        </w:rPr>
        <w:t>The results of physical examinations of the affected animals.</w:t>
      </w:r>
    </w:p>
    <w:p w:rsidRPr="000046F3" w:rsidR="000046F3" w:rsidP="000046F3" w:rsidRDefault="000046F3" w14:paraId="07998BDB" w14:textId="77777777">
      <w:pPr>
        <w:numPr>
          <w:ilvl w:val="0"/>
          <w:numId w:val="1"/>
        </w:numPr>
        <w:spacing w:line="240" w:lineRule="atLeast"/>
        <w:rPr>
          <w:sz w:val="24"/>
          <w:szCs w:val="24"/>
        </w:rPr>
      </w:pPr>
      <w:r w:rsidRPr="000046F3">
        <w:rPr>
          <w:sz w:val="24"/>
          <w:szCs w:val="24"/>
        </w:rPr>
        <w:t>The results of postmortem examinations.</w:t>
      </w:r>
    </w:p>
    <w:p w:rsidRPr="000046F3" w:rsidR="000046F3" w:rsidP="000046F3" w:rsidRDefault="000046F3" w14:paraId="28971412" w14:textId="77777777">
      <w:pPr>
        <w:numPr>
          <w:ilvl w:val="0"/>
          <w:numId w:val="1"/>
        </w:numPr>
        <w:spacing w:line="240" w:lineRule="atLeast"/>
        <w:rPr>
          <w:sz w:val="24"/>
          <w:szCs w:val="24"/>
        </w:rPr>
      </w:pPr>
      <w:r w:rsidRPr="000046F3">
        <w:rPr>
          <w:sz w:val="24"/>
          <w:szCs w:val="24"/>
        </w:rPr>
        <w:t>The number and kinds of samples taken.</w:t>
      </w:r>
    </w:p>
    <w:p w:rsidRPr="000046F3" w:rsidR="000046F3" w:rsidP="000046F3" w:rsidRDefault="000046F3" w14:paraId="46E9C344" w14:textId="77777777">
      <w:pPr>
        <w:numPr>
          <w:ilvl w:val="0"/>
          <w:numId w:val="1"/>
        </w:numPr>
        <w:spacing w:line="240" w:lineRule="atLeast"/>
        <w:rPr>
          <w:sz w:val="24"/>
          <w:szCs w:val="24"/>
        </w:rPr>
      </w:pPr>
      <w:r w:rsidRPr="000046F3">
        <w:rPr>
          <w:sz w:val="24"/>
          <w:szCs w:val="24"/>
        </w:rPr>
        <w:t>The name of the suspected disease.</w:t>
      </w:r>
    </w:p>
    <w:p w:rsidR="006467DE" w:rsidP="006467DE" w:rsidRDefault="006467DE" w14:paraId="4A821E4D" w14:textId="77777777">
      <w:pPr>
        <w:spacing w:line="240" w:lineRule="atLeast"/>
        <w:rPr>
          <w:rStyle w:val="InitialStyle"/>
          <w:rFonts w:ascii="Times New Roman" w:hAnsi="Times New Roman"/>
          <w:szCs w:val="24"/>
        </w:rPr>
      </w:pPr>
    </w:p>
    <w:p w:rsidR="00D1323A" w:rsidP="00D1323A" w:rsidRDefault="00932932" w14:paraId="7CD159B1" w14:textId="05EF0401">
      <w:pPr>
        <w:spacing w:line="240" w:lineRule="atLeast"/>
        <w:rPr>
          <w:rStyle w:val="InitialStyle"/>
          <w:rFonts w:ascii="Times New Roman" w:hAnsi="Times New Roman"/>
          <w:szCs w:val="24"/>
        </w:rPr>
      </w:pPr>
      <w:r>
        <w:rPr>
          <w:rStyle w:val="InitialStyle"/>
          <w:rFonts w:ascii="Times New Roman" w:hAnsi="Times New Roman"/>
          <w:szCs w:val="24"/>
        </w:rPr>
        <w:t xml:space="preserve">VS collects the </w:t>
      </w:r>
      <w:r w:rsidR="005D780B">
        <w:rPr>
          <w:rStyle w:val="InitialStyle"/>
          <w:rFonts w:ascii="Times New Roman" w:hAnsi="Times New Roman"/>
          <w:szCs w:val="24"/>
        </w:rPr>
        <w:t>information is collected</w:t>
      </w:r>
      <w:r w:rsidR="001E7EB9">
        <w:rPr>
          <w:rStyle w:val="InitialStyle"/>
          <w:rFonts w:ascii="Times New Roman" w:hAnsi="Times New Roman"/>
          <w:szCs w:val="24"/>
        </w:rPr>
        <w:t xml:space="preserve"> via </w:t>
      </w:r>
      <w:r w:rsidR="004F6B11">
        <w:rPr>
          <w:rStyle w:val="InitialStyle"/>
          <w:rFonts w:ascii="Times New Roman" w:hAnsi="Times New Roman"/>
          <w:szCs w:val="24"/>
        </w:rPr>
        <w:t>the EMRS2Go</w:t>
      </w:r>
      <w:r w:rsidR="001E7EB9">
        <w:rPr>
          <w:rStyle w:val="InitialStyle"/>
          <w:rFonts w:ascii="Times New Roman" w:hAnsi="Times New Roman"/>
          <w:szCs w:val="24"/>
        </w:rPr>
        <w:t xml:space="preserve"> application.</w:t>
      </w:r>
      <w:r w:rsidR="003B0E92">
        <w:rPr>
          <w:rStyle w:val="FootnoteReference"/>
          <w:sz w:val="24"/>
          <w:szCs w:val="24"/>
        </w:rPr>
        <w:footnoteReference w:id="2"/>
      </w:r>
      <w:r>
        <w:rPr>
          <w:rStyle w:val="InitialStyle"/>
          <w:rFonts w:ascii="Times New Roman" w:hAnsi="Times New Roman"/>
          <w:szCs w:val="24"/>
        </w:rPr>
        <w:t xml:space="preserve">  The information is used to determine and take the necessary steps for controlling and eradicating foreign animal disease outbreaks.</w:t>
      </w:r>
    </w:p>
    <w:p w:rsidRPr="00953B8C" w:rsidR="00953B8C" w:rsidP="00D1323A" w:rsidRDefault="00953B8C" w14:paraId="7B0DC4AB" w14:textId="6F0FB1A2">
      <w:pPr>
        <w:overflowPunct/>
        <w:autoSpaceDE/>
        <w:autoSpaceDN/>
        <w:adjustRightInd/>
        <w:textAlignment w:val="auto"/>
        <w:rPr>
          <w:rStyle w:val="InitialStyle"/>
          <w:rFonts w:ascii="Times New Roman" w:hAnsi="Times New Roman"/>
          <w:szCs w:val="24"/>
        </w:rPr>
      </w:pPr>
    </w:p>
    <w:bookmarkEnd w:id="0"/>
    <w:p w:rsidRPr="0034158E" w:rsidR="00953B8C" w:rsidP="0034158E" w:rsidRDefault="00953B8C" w14:paraId="5A3EC796" w14:textId="77777777">
      <w:pPr>
        <w:pStyle w:val="DefaultText"/>
        <w:rPr>
          <w:rStyle w:val="InitialStyle"/>
          <w:rFonts w:ascii="Times New Roman" w:hAnsi="Times New Roman"/>
          <w:b/>
          <w:szCs w:val="24"/>
        </w:rPr>
      </w:pPr>
    </w:p>
    <w:p w:rsidRPr="00892DE8" w:rsidR="0034158E" w:rsidP="0034158E" w:rsidRDefault="0034158E" w14:paraId="357B9BE3"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4158E" w:rsidR="0034158E" w:rsidP="0034158E" w:rsidRDefault="0034158E" w14:paraId="6218177F" w14:textId="77777777">
      <w:pPr>
        <w:pStyle w:val="DefaultText"/>
        <w:rPr>
          <w:rStyle w:val="InitialStyle"/>
          <w:rFonts w:ascii="Times New Roman" w:hAnsi="Times New Roman"/>
          <w:szCs w:val="24"/>
        </w:rPr>
      </w:pPr>
    </w:p>
    <w:p w:rsidR="000046F3" w:rsidP="000046F3" w:rsidRDefault="000046F3" w14:paraId="644E7383" w14:textId="1F104B7B">
      <w:pPr>
        <w:pStyle w:val="DefaultText"/>
        <w:rPr>
          <w:bCs/>
        </w:rPr>
      </w:pPr>
      <w:r w:rsidRPr="000046F3">
        <w:rPr>
          <w:bCs/>
        </w:rPr>
        <w:t xml:space="preserve">EMRS is an online, electronic database in use since 2004. Information is collected through onsite investigation and interviews and entered into the database by an authorized VS or State Department of Agriculture veterinarian. Further information about accessing and using the application is available at </w:t>
      </w:r>
      <w:r w:rsidRPr="00A65714">
        <w:rPr>
          <w:bCs/>
        </w:rPr>
        <w:t>https://www.aphis.usda.gov/aphis/ourfocus/animalhealth/emergency-management/sa_emrs/ct_emrs</w:t>
      </w:r>
      <w:r>
        <w:rPr>
          <w:bCs/>
        </w:rPr>
        <w:t xml:space="preserve">. </w:t>
      </w:r>
      <w:r w:rsidR="00D52080">
        <w:rPr>
          <w:bCs/>
        </w:rPr>
        <w:t xml:space="preserve"> </w:t>
      </w:r>
      <w:r w:rsidRPr="000046F3">
        <w:rPr>
          <w:bCs/>
        </w:rPr>
        <w:t xml:space="preserve">The EMRS system allows multiple methods of entering data. APHIS staff or State personnel accessing and using EMRS can build personal user and contact </w:t>
      </w:r>
      <w:r w:rsidRPr="000046F3">
        <w:rPr>
          <w:bCs/>
        </w:rPr>
        <w:lastRenderedPageBreak/>
        <w:t xml:space="preserve">screens including their contact information, dispatch information, and deployment readiness checklist. </w:t>
      </w:r>
    </w:p>
    <w:p w:rsidR="00932932" w:rsidP="000046F3" w:rsidRDefault="00932932" w14:paraId="4F2C7577" w14:textId="77A33084">
      <w:pPr>
        <w:pStyle w:val="DefaultText"/>
        <w:rPr>
          <w:bCs/>
        </w:rPr>
      </w:pPr>
    </w:p>
    <w:p w:rsidR="00932932" w:rsidP="000046F3" w:rsidRDefault="00932932" w14:paraId="4A89336F" w14:textId="77777777">
      <w:pPr>
        <w:pStyle w:val="DefaultText"/>
        <w:rPr>
          <w:bCs/>
        </w:rPr>
      </w:pPr>
    </w:p>
    <w:p w:rsidRPr="00892DE8" w:rsidR="0034158E" w:rsidP="0034158E" w:rsidRDefault="0034158E" w14:paraId="0836DD01"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Pr="0034158E" w:rsidR="0034158E" w:rsidP="0034158E" w:rsidRDefault="0034158E" w14:paraId="3BC92071" w14:textId="77777777">
      <w:pPr>
        <w:pStyle w:val="DefaultText"/>
        <w:rPr>
          <w:rStyle w:val="InitialStyle"/>
          <w:rFonts w:ascii="Times New Roman" w:hAnsi="Times New Roman"/>
          <w:szCs w:val="24"/>
        </w:rPr>
      </w:pPr>
    </w:p>
    <w:p w:rsidRPr="0034158E" w:rsidR="0034158E" w:rsidP="0034158E" w:rsidRDefault="0034158E" w14:paraId="2DEE67EB" w14:textId="77777777">
      <w:pPr>
        <w:pStyle w:val="DefaultText"/>
        <w:rPr>
          <w:rStyle w:val="InitialStyle"/>
          <w:rFonts w:ascii="Times New Roman" w:hAnsi="Times New Roman"/>
          <w:szCs w:val="24"/>
        </w:rPr>
      </w:pPr>
      <w:r w:rsidRPr="0034158E">
        <w:rPr>
          <w:rStyle w:val="InitialStyle"/>
          <w:rFonts w:ascii="Times New Roman" w:hAnsi="Times New Roman"/>
          <w:szCs w:val="24"/>
        </w:rPr>
        <w:t>The information that APHIS collects is not available from any other source. APHIS is the only Federal agency responsible for detecting and eradicating FADs.</w:t>
      </w:r>
    </w:p>
    <w:p w:rsidR="00892DE8" w:rsidP="0034158E" w:rsidRDefault="00892DE8" w14:paraId="2E15662F" w14:textId="77777777">
      <w:pPr>
        <w:pStyle w:val="DefaultText"/>
        <w:rPr>
          <w:rStyle w:val="InitialStyle"/>
          <w:rFonts w:ascii="Times New Roman" w:hAnsi="Times New Roman"/>
          <w:b/>
          <w:szCs w:val="24"/>
        </w:rPr>
      </w:pPr>
    </w:p>
    <w:p w:rsidR="00892DE8" w:rsidP="0034158E" w:rsidRDefault="00892DE8" w14:paraId="05FDDB51" w14:textId="77777777">
      <w:pPr>
        <w:pStyle w:val="DefaultText"/>
        <w:rPr>
          <w:rStyle w:val="InitialStyle"/>
          <w:rFonts w:ascii="Times New Roman" w:hAnsi="Times New Roman"/>
          <w:b/>
          <w:szCs w:val="24"/>
        </w:rPr>
      </w:pPr>
    </w:p>
    <w:p w:rsidRPr="00892DE8" w:rsidR="0034158E" w:rsidP="0034158E" w:rsidRDefault="0034158E" w14:paraId="76D3556A"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5.  If the collection of information impacts small businesses or other small entities, describe any methods used to minimize burden.</w:t>
      </w:r>
    </w:p>
    <w:p w:rsidRPr="0034158E" w:rsidR="0034158E" w:rsidP="0034158E" w:rsidRDefault="0034158E" w14:paraId="2480BD0B" w14:textId="77777777">
      <w:pPr>
        <w:pStyle w:val="DefaultText"/>
        <w:rPr>
          <w:rStyle w:val="InitialStyle"/>
          <w:rFonts w:ascii="Times New Roman" w:hAnsi="Times New Roman"/>
          <w:szCs w:val="24"/>
        </w:rPr>
      </w:pPr>
    </w:p>
    <w:p w:rsidRPr="0034158E" w:rsidR="0034158E" w:rsidP="0034158E" w:rsidRDefault="007C3381" w14:paraId="79E11A72" w14:textId="3B93C8BD">
      <w:pPr>
        <w:pStyle w:val="DefaultText"/>
        <w:rPr>
          <w:rStyle w:val="InitialStyle"/>
          <w:rFonts w:ascii="Times New Roman" w:hAnsi="Times New Roman"/>
          <w:b/>
          <w:szCs w:val="24"/>
        </w:rPr>
      </w:pPr>
      <w:r>
        <w:rPr>
          <w:rStyle w:val="InitialStyle"/>
          <w:rFonts w:ascii="Times New Roman" w:hAnsi="Times New Roman"/>
          <w:szCs w:val="24"/>
        </w:rPr>
        <w:t xml:space="preserve">APHIS estimates zero percent of the respondents will be considered small entities. </w:t>
      </w:r>
      <w:r w:rsidRPr="0034158E" w:rsidR="0034158E">
        <w:rPr>
          <w:rStyle w:val="InitialStyle"/>
          <w:rFonts w:ascii="Times New Roman" w:hAnsi="Times New Roman"/>
          <w:szCs w:val="24"/>
        </w:rPr>
        <w:t>The information collected is the absolute minimum needed to conduct meaningful surveillance for FADs.</w:t>
      </w:r>
    </w:p>
    <w:p w:rsidRPr="0034158E" w:rsidR="0034158E" w:rsidP="0034158E" w:rsidRDefault="0034158E" w14:paraId="4BC0843F" w14:textId="77777777">
      <w:pPr>
        <w:pStyle w:val="DefaultText"/>
        <w:rPr>
          <w:rStyle w:val="InitialStyle"/>
          <w:rFonts w:ascii="Times New Roman" w:hAnsi="Times New Roman"/>
          <w:b/>
          <w:szCs w:val="24"/>
        </w:rPr>
      </w:pPr>
    </w:p>
    <w:p w:rsidRPr="0034158E" w:rsidR="0034158E" w:rsidP="0034158E" w:rsidRDefault="0034158E" w14:paraId="339E300A" w14:textId="77777777">
      <w:pPr>
        <w:pStyle w:val="DefaultText"/>
        <w:rPr>
          <w:rStyle w:val="InitialStyle"/>
          <w:rFonts w:ascii="Times New Roman" w:hAnsi="Times New Roman"/>
          <w:b/>
          <w:szCs w:val="24"/>
        </w:rPr>
      </w:pPr>
    </w:p>
    <w:p w:rsidRPr="00892DE8" w:rsidR="0034158E" w:rsidP="0034158E" w:rsidRDefault="0034158E" w14:paraId="56A5D097"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Pr="0034158E" w:rsidR="0034158E" w:rsidP="0034158E" w:rsidRDefault="0034158E" w14:paraId="32400C58" w14:textId="77777777">
      <w:pPr>
        <w:pStyle w:val="DefaultText"/>
        <w:rPr>
          <w:rStyle w:val="InitialStyle"/>
          <w:rFonts w:ascii="Times New Roman" w:hAnsi="Times New Roman"/>
          <w:szCs w:val="24"/>
        </w:rPr>
      </w:pPr>
    </w:p>
    <w:p w:rsidRPr="0034158E" w:rsidR="0034158E" w:rsidP="0034158E" w:rsidRDefault="0034158E" w14:paraId="5E265D7D" w14:textId="33A40956">
      <w:pPr>
        <w:pStyle w:val="DefaultText"/>
        <w:rPr>
          <w:rStyle w:val="InitialStyle"/>
          <w:rFonts w:ascii="Times New Roman" w:hAnsi="Times New Roman"/>
          <w:szCs w:val="24"/>
        </w:rPr>
      </w:pPr>
      <w:r w:rsidRPr="0034158E">
        <w:rPr>
          <w:rStyle w:val="InitialStyle"/>
          <w:rFonts w:ascii="Times New Roman" w:hAnsi="Times New Roman"/>
          <w:szCs w:val="24"/>
        </w:rPr>
        <w:t xml:space="preserve">If this information is not collected, APHIS will </w:t>
      </w:r>
      <w:r w:rsidR="00205E7B">
        <w:rPr>
          <w:rStyle w:val="InitialStyle"/>
          <w:rFonts w:ascii="Times New Roman" w:hAnsi="Times New Roman"/>
          <w:szCs w:val="24"/>
        </w:rPr>
        <w:t>n</w:t>
      </w:r>
      <w:r w:rsidRPr="0034158E">
        <w:rPr>
          <w:rStyle w:val="InitialStyle"/>
          <w:rFonts w:ascii="Times New Roman" w:hAnsi="Times New Roman"/>
          <w:szCs w:val="24"/>
        </w:rPr>
        <w:t>o</w:t>
      </w:r>
      <w:r w:rsidR="00205E7B">
        <w:rPr>
          <w:rStyle w:val="InitialStyle"/>
          <w:rFonts w:ascii="Times New Roman" w:hAnsi="Times New Roman"/>
          <w:szCs w:val="24"/>
        </w:rPr>
        <w:t xml:space="preserve">t be able </w:t>
      </w:r>
      <w:r w:rsidRPr="0034158E">
        <w:rPr>
          <w:rStyle w:val="InitialStyle"/>
          <w:rFonts w:ascii="Times New Roman" w:hAnsi="Times New Roman"/>
          <w:szCs w:val="24"/>
        </w:rPr>
        <w:t>to detect and monitor FAD outbreaks in the United States, thus eliminating the possibility of early detection and eradication. A FAD outbreak would economically damage not only U.S. livestock or poultry industries, but also U.S. consumers.</w:t>
      </w:r>
    </w:p>
    <w:p w:rsidRPr="0034158E" w:rsidR="0034158E" w:rsidP="0034158E" w:rsidRDefault="0034158E" w14:paraId="00DD763B" w14:textId="77777777">
      <w:pPr>
        <w:pStyle w:val="DefaultText"/>
        <w:rPr>
          <w:rStyle w:val="InitialStyle"/>
          <w:rFonts w:ascii="Times New Roman" w:hAnsi="Times New Roman"/>
          <w:b/>
          <w:szCs w:val="24"/>
        </w:rPr>
      </w:pPr>
    </w:p>
    <w:p w:rsidRPr="0034158E" w:rsidR="0034158E" w:rsidP="0034158E" w:rsidRDefault="0034158E" w14:paraId="4B0D658A" w14:textId="77777777">
      <w:pPr>
        <w:pStyle w:val="DefaultText"/>
        <w:rPr>
          <w:rStyle w:val="InitialStyle"/>
          <w:rFonts w:ascii="Times New Roman" w:hAnsi="Times New Roman"/>
          <w:b/>
          <w:szCs w:val="24"/>
        </w:rPr>
      </w:pPr>
    </w:p>
    <w:p w:rsidRPr="00892DE8" w:rsidR="00892DE8" w:rsidP="00892DE8" w:rsidRDefault="00892DE8" w14:paraId="5BFD2A23" w14:textId="77777777">
      <w:pPr>
        <w:pStyle w:val="DefaultText"/>
        <w:rPr>
          <w:rStyle w:val="InitialStyle"/>
          <w:rFonts w:ascii="Times New Roman" w:hAnsi="Times New Roman"/>
          <w:szCs w:val="24"/>
        </w:rPr>
      </w:pPr>
      <w:r w:rsidRPr="00892DE8">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Pr="00892DE8" w:rsidR="00892DE8" w:rsidP="00892DE8" w:rsidRDefault="00892DE8" w14:paraId="1A465F34" w14:textId="77777777">
      <w:pPr>
        <w:pStyle w:val="DefaultText"/>
        <w:rPr>
          <w:rStyle w:val="InitialStyle"/>
          <w:rFonts w:ascii="Times New Roman" w:hAnsi="Times New Roman"/>
          <w:szCs w:val="24"/>
        </w:rPr>
      </w:pPr>
    </w:p>
    <w:p w:rsidRPr="006A6380" w:rsidR="00892DE8" w:rsidP="006A6380" w:rsidRDefault="00892DE8" w14:paraId="72EC2196" w14:textId="410E2C54">
      <w:pPr>
        <w:numPr>
          <w:ilvl w:val="0"/>
          <w:numId w:val="2"/>
        </w:numPr>
        <w:tabs>
          <w:tab w:val="clear" w:pos="360"/>
        </w:tabs>
        <w:overflowPunct/>
        <w:autoSpaceDE/>
        <w:autoSpaceDN/>
        <w:adjustRightInd/>
        <w:spacing w:before="60" w:after="60"/>
        <w:ind w:left="806" w:hanging="450"/>
        <w:textAlignment w:val="auto"/>
        <w:rPr>
          <w:b/>
          <w:sz w:val="24"/>
          <w:szCs w:val="24"/>
        </w:rPr>
      </w:pPr>
      <w:r w:rsidRPr="00892DE8">
        <w:rPr>
          <w:b/>
          <w:sz w:val="24"/>
          <w:szCs w:val="24"/>
        </w:rPr>
        <w:t>requiring respondents to report information to the agency more often than quarterly;</w:t>
      </w:r>
    </w:p>
    <w:p w:rsidRPr="006A6380" w:rsidR="00892DE8" w:rsidP="006A6380" w:rsidRDefault="00892DE8" w14:paraId="65E787A7" w14:textId="4BE80277">
      <w:pPr>
        <w:numPr>
          <w:ilvl w:val="0"/>
          <w:numId w:val="2"/>
        </w:numPr>
        <w:tabs>
          <w:tab w:val="clear" w:pos="360"/>
        </w:tabs>
        <w:overflowPunct/>
        <w:autoSpaceDE/>
        <w:autoSpaceDN/>
        <w:adjustRightInd/>
        <w:spacing w:before="60" w:after="60"/>
        <w:ind w:left="806" w:hanging="450"/>
        <w:textAlignment w:val="auto"/>
        <w:rPr>
          <w:b/>
          <w:sz w:val="24"/>
          <w:szCs w:val="24"/>
        </w:rPr>
      </w:pPr>
      <w:r w:rsidRPr="00892DE8">
        <w:rPr>
          <w:b/>
          <w:sz w:val="24"/>
          <w:szCs w:val="24"/>
        </w:rPr>
        <w:t>requiring respondents to prepare a written response to a</w:t>
      </w:r>
      <w:r>
        <w:rPr>
          <w:b/>
          <w:sz w:val="24"/>
          <w:szCs w:val="24"/>
        </w:rPr>
        <w:t xml:space="preserve"> collection of information in </w:t>
      </w:r>
      <w:r w:rsidRPr="00892DE8">
        <w:rPr>
          <w:b/>
          <w:sz w:val="24"/>
          <w:szCs w:val="24"/>
        </w:rPr>
        <w:t>fewer than 30 days after receipt of it;</w:t>
      </w:r>
    </w:p>
    <w:p w:rsidRPr="006A6380" w:rsidR="00892DE8" w:rsidP="006A6380" w:rsidRDefault="00892DE8" w14:paraId="459E9D78" w14:textId="5F981B20">
      <w:pPr>
        <w:numPr>
          <w:ilvl w:val="0"/>
          <w:numId w:val="3"/>
        </w:numPr>
        <w:tabs>
          <w:tab w:val="clear" w:pos="360"/>
        </w:tabs>
        <w:overflowPunct/>
        <w:autoSpaceDE/>
        <w:autoSpaceDN/>
        <w:adjustRightInd/>
        <w:spacing w:before="60" w:after="60"/>
        <w:ind w:left="806" w:hanging="450"/>
        <w:textAlignment w:val="auto"/>
        <w:rPr>
          <w:b/>
          <w:sz w:val="24"/>
          <w:szCs w:val="24"/>
        </w:rPr>
      </w:pPr>
      <w:r w:rsidRPr="00892DE8">
        <w:rPr>
          <w:b/>
          <w:sz w:val="24"/>
          <w:szCs w:val="24"/>
        </w:rPr>
        <w:t>requiring respondents to submit more than an original and two copies of any document;</w:t>
      </w:r>
    </w:p>
    <w:p w:rsidRPr="006A6380" w:rsidR="00892DE8" w:rsidP="006A6380" w:rsidRDefault="00892DE8" w14:paraId="71D3BDCD" w14:textId="44701F50">
      <w:pPr>
        <w:numPr>
          <w:ilvl w:val="0"/>
          <w:numId w:val="4"/>
        </w:numPr>
        <w:tabs>
          <w:tab w:val="clear" w:pos="360"/>
        </w:tabs>
        <w:overflowPunct/>
        <w:autoSpaceDE/>
        <w:autoSpaceDN/>
        <w:adjustRightInd/>
        <w:spacing w:before="60" w:after="60"/>
        <w:ind w:left="806" w:hanging="450"/>
        <w:textAlignment w:val="auto"/>
        <w:rPr>
          <w:b/>
          <w:sz w:val="24"/>
          <w:szCs w:val="24"/>
        </w:rPr>
      </w:pPr>
      <w:r w:rsidRPr="00892DE8">
        <w:rPr>
          <w:b/>
          <w:sz w:val="24"/>
          <w:szCs w:val="24"/>
        </w:rPr>
        <w:t>requiring respondents to retain records, other than health, medical, government contract, grant-in-aid, or tax records for more than three years;</w:t>
      </w:r>
    </w:p>
    <w:p w:rsidRPr="006A6380" w:rsidR="00892DE8" w:rsidP="006A6380" w:rsidRDefault="00892DE8" w14:paraId="29A8980C" w14:textId="16A3BC47">
      <w:pPr>
        <w:numPr>
          <w:ilvl w:val="0"/>
          <w:numId w:val="4"/>
        </w:numPr>
        <w:tabs>
          <w:tab w:val="clear" w:pos="360"/>
        </w:tabs>
        <w:overflowPunct/>
        <w:autoSpaceDE/>
        <w:autoSpaceDN/>
        <w:adjustRightInd/>
        <w:spacing w:before="60" w:after="60"/>
        <w:ind w:left="806" w:hanging="450"/>
        <w:textAlignment w:val="auto"/>
        <w:rPr>
          <w:b/>
          <w:sz w:val="24"/>
          <w:szCs w:val="24"/>
        </w:rPr>
      </w:pPr>
      <w:r w:rsidRPr="00892DE8">
        <w:rPr>
          <w:b/>
          <w:sz w:val="24"/>
          <w:szCs w:val="24"/>
        </w:rPr>
        <w:t>in connection with a statistical survey, that is not designed to produce valid and rel</w:t>
      </w:r>
      <w:r w:rsidR="006A2C2F">
        <w:rPr>
          <w:b/>
          <w:sz w:val="24"/>
          <w:szCs w:val="24"/>
        </w:rPr>
        <w:t>i</w:t>
      </w:r>
      <w:r w:rsidRPr="00892DE8">
        <w:rPr>
          <w:b/>
          <w:sz w:val="24"/>
          <w:szCs w:val="24"/>
        </w:rPr>
        <w:t>able results that can be generalized to the universe of study;</w:t>
      </w:r>
    </w:p>
    <w:p w:rsidRPr="00892DE8" w:rsidR="00892DE8" w:rsidP="006A6380" w:rsidRDefault="00892DE8" w14:paraId="43DDD6A1" w14:textId="77777777">
      <w:pPr>
        <w:numPr>
          <w:ilvl w:val="0"/>
          <w:numId w:val="5"/>
        </w:numPr>
        <w:tabs>
          <w:tab w:val="clear" w:pos="360"/>
        </w:tabs>
        <w:overflowPunct/>
        <w:autoSpaceDE/>
        <w:autoSpaceDN/>
        <w:adjustRightInd/>
        <w:spacing w:before="60" w:after="60"/>
        <w:ind w:left="806" w:hanging="450"/>
        <w:textAlignment w:val="auto"/>
        <w:rPr>
          <w:b/>
          <w:sz w:val="24"/>
          <w:szCs w:val="24"/>
        </w:rPr>
      </w:pPr>
      <w:r w:rsidRPr="00892DE8">
        <w:rPr>
          <w:b/>
          <w:sz w:val="24"/>
          <w:szCs w:val="24"/>
        </w:rPr>
        <w:t>requiring the use of a statistical data classification that has not been reviewed and approved by OMB;</w:t>
      </w:r>
    </w:p>
    <w:p w:rsidRPr="006A6380" w:rsidR="00892DE8" w:rsidP="006A6380" w:rsidRDefault="00892DE8" w14:paraId="3A07C61E" w14:textId="63C1E736">
      <w:pPr>
        <w:numPr>
          <w:ilvl w:val="0"/>
          <w:numId w:val="6"/>
        </w:numPr>
        <w:tabs>
          <w:tab w:val="clear" w:pos="360"/>
        </w:tabs>
        <w:overflowPunct/>
        <w:autoSpaceDE/>
        <w:autoSpaceDN/>
        <w:adjustRightInd/>
        <w:spacing w:before="60" w:after="60"/>
        <w:ind w:left="806" w:hanging="450"/>
        <w:textAlignment w:val="auto"/>
        <w:rPr>
          <w:b/>
          <w:sz w:val="24"/>
          <w:szCs w:val="24"/>
        </w:rPr>
      </w:pPr>
      <w:r w:rsidRPr="00892DE8">
        <w:rPr>
          <w:b/>
          <w:sz w:val="24"/>
          <w:szCs w:val="24"/>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92DE8" w:rsidR="00892DE8" w:rsidP="006A6380" w:rsidRDefault="00892DE8" w14:paraId="57484311" w14:textId="77777777">
      <w:pPr>
        <w:numPr>
          <w:ilvl w:val="0"/>
          <w:numId w:val="7"/>
        </w:numPr>
        <w:tabs>
          <w:tab w:val="num" w:pos="288"/>
        </w:tabs>
        <w:overflowPunct/>
        <w:autoSpaceDE/>
        <w:autoSpaceDN/>
        <w:adjustRightInd/>
        <w:spacing w:before="60" w:after="60"/>
        <w:ind w:left="806" w:hanging="450"/>
        <w:textAlignment w:val="auto"/>
        <w:rPr>
          <w:sz w:val="24"/>
          <w:szCs w:val="24"/>
        </w:rPr>
      </w:pPr>
      <w:r w:rsidRPr="00892DE8">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92DE8" w:rsidR="00892DE8" w:rsidP="00892DE8" w:rsidRDefault="00892DE8" w14:paraId="0A41B8AC" w14:textId="77777777">
      <w:pPr>
        <w:rPr>
          <w:sz w:val="24"/>
          <w:szCs w:val="24"/>
        </w:rPr>
      </w:pPr>
    </w:p>
    <w:p w:rsidRPr="00892DE8" w:rsidR="00892DE8" w:rsidP="00892DE8" w:rsidRDefault="00892DE8" w14:paraId="0A05EB5C" w14:textId="645FC29C">
      <w:pPr>
        <w:rPr>
          <w:sz w:val="24"/>
          <w:szCs w:val="24"/>
        </w:rPr>
      </w:pPr>
      <w:r w:rsidRPr="00892DE8">
        <w:rPr>
          <w:sz w:val="24"/>
          <w:szCs w:val="24"/>
        </w:rPr>
        <w:t>This information collection is conducted in a manner consistent with the guidelines established in</w:t>
      </w:r>
      <w:r w:rsidR="006A6380">
        <w:rPr>
          <w:sz w:val="24"/>
          <w:szCs w:val="24"/>
        </w:rPr>
        <w:t xml:space="preserve"> </w:t>
      </w:r>
      <w:r w:rsidRPr="00892DE8">
        <w:rPr>
          <w:sz w:val="24"/>
          <w:szCs w:val="24"/>
        </w:rPr>
        <w:t>5 CFR 1320.5.</w:t>
      </w:r>
    </w:p>
    <w:p w:rsidRPr="0034158E" w:rsidR="0034158E" w:rsidP="0034158E" w:rsidRDefault="0034158E" w14:paraId="2022E0EC" w14:textId="77777777">
      <w:pPr>
        <w:pStyle w:val="DefaultText"/>
        <w:rPr>
          <w:rStyle w:val="InitialStyle"/>
          <w:rFonts w:ascii="Times New Roman" w:hAnsi="Times New Roman"/>
          <w:b/>
          <w:szCs w:val="24"/>
        </w:rPr>
      </w:pPr>
    </w:p>
    <w:p w:rsidRPr="0034158E" w:rsidR="0034158E" w:rsidP="0034158E" w:rsidRDefault="0034158E" w14:paraId="751B6F8F" w14:textId="77777777">
      <w:pPr>
        <w:pStyle w:val="DefaultText"/>
        <w:rPr>
          <w:rStyle w:val="InitialStyle"/>
          <w:rFonts w:ascii="Times New Roman" w:hAnsi="Times New Roman"/>
          <w:b/>
          <w:szCs w:val="24"/>
        </w:rPr>
      </w:pPr>
    </w:p>
    <w:p w:rsidRPr="00892DE8" w:rsidR="0034158E" w:rsidP="0034158E" w:rsidRDefault="0034158E" w14:paraId="3893B923"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 xml:space="preserve">8.  </w:t>
      </w:r>
      <w:bookmarkStart w:name="_Hlk80348829" w:id="1"/>
      <w:r w:rsidRPr="00892DE8">
        <w:rPr>
          <w:rStyle w:val="InitialStyle"/>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bookmarkEnd w:id="1"/>
    </w:p>
    <w:p w:rsidRPr="0034158E" w:rsidR="0034158E" w:rsidP="0034158E" w:rsidRDefault="0034158E" w14:paraId="163234AE" w14:textId="77777777">
      <w:pPr>
        <w:pStyle w:val="DefaultText"/>
        <w:rPr>
          <w:rStyle w:val="InitialStyle"/>
          <w:rFonts w:ascii="Times New Roman" w:hAnsi="Times New Roman"/>
          <w:szCs w:val="24"/>
        </w:rPr>
      </w:pPr>
    </w:p>
    <w:p w:rsidR="00D52080" w:rsidP="00D52080" w:rsidRDefault="0034158E" w14:paraId="450D9F1C" w14:textId="1F45B951">
      <w:pPr>
        <w:pStyle w:val="DefaultText"/>
      </w:pPr>
      <w:r w:rsidRPr="0034158E">
        <w:rPr>
          <w:rStyle w:val="InitialStyle"/>
          <w:rFonts w:ascii="Times New Roman" w:hAnsi="Times New Roman"/>
          <w:color w:val="000000"/>
          <w:szCs w:val="24"/>
        </w:rPr>
        <w:t xml:space="preserve">APHIS </w:t>
      </w:r>
      <w:r w:rsidRPr="0034158E">
        <w:rPr>
          <w:rStyle w:val="InitialStyle"/>
          <w:rFonts w:ascii="Times New Roman" w:hAnsi="Times New Roman"/>
          <w:szCs w:val="24"/>
        </w:rPr>
        <w:t xml:space="preserve">engaged in productive consultations </w:t>
      </w:r>
      <w:r w:rsidR="00D52080">
        <w:rPr>
          <w:rStyle w:val="InitialStyle"/>
          <w:rFonts w:ascii="Times New Roman" w:hAnsi="Times New Roman"/>
          <w:szCs w:val="24"/>
        </w:rPr>
        <w:t xml:space="preserve">with the respondents listed below by email and phone to discuss </w:t>
      </w:r>
      <w:r w:rsidRPr="00772B0D" w:rsidR="00D52080">
        <w:t>the information</w:t>
      </w:r>
      <w:r w:rsidR="00D52080">
        <w:t xml:space="preserve">.  </w:t>
      </w:r>
      <w:r w:rsidRPr="00772B0D" w:rsidR="00D52080">
        <w:t xml:space="preserve">APHIS collects to administer its testing and surveillance for its animal disease programs. </w:t>
      </w:r>
      <w:r w:rsidR="00D52080">
        <w:t xml:space="preserve"> </w:t>
      </w:r>
      <w:r w:rsidRPr="00772B0D" w:rsidR="00D52080">
        <w:t xml:space="preserve">We discussed with them how we and they obtain the necessary data and how frequently; how much data is available; the convenience and clarity of reporting formats and other collection instruments; and the clarity of, and necessity for, any recordkeeping requirements. </w:t>
      </w:r>
      <w:r w:rsidR="00D52080">
        <w:t xml:space="preserve"> </w:t>
      </w:r>
      <w:r w:rsidRPr="00772B0D" w:rsidR="00D52080">
        <w:t>The respondents stated via email or phone that they had no concerns with any of these items and had no further recommendations.</w:t>
      </w:r>
    </w:p>
    <w:p w:rsidRPr="00772B0D" w:rsidR="00D52080" w:rsidP="00D52080" w:rsidRDefault="00D52080" w14:paraId="50E32168" w14:textId="77777777">
      <w:pPr>
        <w:pStyle w:val="DefaultText"/>
      </w:pPr>
    </w:p>
    <w:p w:rsidRPr="000305FD" w:rsidR="008F31B4" w:rsidP="008F31B4" w:rsidRDefault="00223D69" w14:paraId="5ED1AC0E" w14:textId="233933A9">
      <w:pPr>
        <w:rPr>
          <w:sz w:val="24"/>
          <w:szCs w:val="24"/>
        </w:rPr>
      </w:pPr>
      <w:r w:rsidRPr="000305FD">
        <w:rPr>
          <w:sz w:val="24"/>
          <w:szCs w:val="24"/>
        </w:rPr>
        <w:t xml:space="preserve">Dr. </w:t>
      </w:r>
      <w:r w:rsidR="0069358D">
        <w:rPr>
          <w:sz w:val="24"/>
          <w:szCs w:val="24"/>
        </w:rPr>
        <w:t>Annette Jones</w:t>
      </w:r>
    </w:p>
    <w:p w:rsidR="00223D69" w:rsidP="008F31B4" w:rsidRDefault="00223D69" w14:paraId="6E1AB198" w14:textId="1D2467FD">
      <w:pPr>
        <w:rPr>
          <w:sz w:val="24"/>
          <w:szCs w:val="24"/>
        </w:rPr>
      </w:pPr>
      <w:r w:rsidRPr="000305FD">
        <w:rPr>
          <w:sz w:val="24"/>
          <w:szCs w:val="24"/>
        </w:rPr>
        <w:t>State Veterinarian</w:t>
      </w:r>
      <w:r w:rsidR="0069358D">
        <w:rPr>
          <w:sz w:val="24"/>
          <w:szCs w:val="24"/>
        </w:rPr>
        <w:t xml:space="preserve"> and Director</w:t>
      </w:r>
    </w:p>
    <w:p w:rsidRPr="000305FD" w:rsidR="0069358D" w:rsidP="008F31B4" w:rsidRDefault="0069358D" w14:paraId="2AFDD6CC" w14:textId="05FE6789">
      <w:pPr>
        <w:rPr>
          <w:sz w:val="24"/>
          <w:szCs w:val="24"/>
        </w:rPr>
      </w:pPr>
      <w:r>
        <w:rPr>
          <w:sz w:val="24"/>
          <w:szCs w:val="24"/>
        </w:rPr>
        <w:t>California Department of Food and Agriculture</w:t>
      </w:r>
    </w:p>
    <w:p w:rsidR="0069358D" w:rsidP="008F31B4" w:rsidRDefault="0069358D" w14:paraId="42C906AC" w14:textId="55BB1EFC">
      <w:pPr>
        <w:rPr>
          <w:sz w:val="24"/>
          <w:szCs w:val="24"/>
        </w:rPr>
      </w:pPr>
      <w:r>
        <w:rPr>
          <w:sz w:val="24"/>
          <w:szCs w:val="24"/>
        </w:rPr>
        <w:t>Animal Health and Food Safety Services</w:t>
      </w:r>
    </w:p>
    <w:p w:rsidRPr="000305FD" w:rsidR="00223D69" w:rsidP="008F31B4" w:rsidRDefault="0069358D" w14:paraId="7AF81F9E" w14:textId="6DA05D7A">
      <w:pPr>
        <w:rPr>
          <w:sz w:val="24"/>
          <w:szCs w:val="24"/>
        </w:rPr>
      </w:pPr>
      <w:r>
        <w:rPr>
          <w:sz w:val="24"/>
          <w:szCs w:val="24"/>
        </w:rPr>
        <w:t>1220 N Street</w:t>
      </w:r>
    </w:p>
    <w:p w:rsidRPr="000305FD" w:rsidR="00223D69" w:rsidP="008F31B4" w:rsidRDefault="0069358D" w14:paraId="478FE1D5" w14:textId="4E3044EC">
      <w:pPr>
        <w:rPr>
          <w:sz w:val="24"/>
          <w:szCs w:val="24"/>
        </w:rPr>
      </w:pPr>
      <w:r>
        <w:rPr>
          <w:sz w:val="24"/>
          <w:szCs w:val="24"/>
        </w:rPr>
        <w:t>Sacramento</w:t>
      </w:r>
      <w:r w:rsidRPr="000305FD" w:rsidR="00223D69">
        <w:rPr>
          <w:sz w:val="24"/>
          <w:szCs w:val="24"/>
        </w:rPr>
        <w:t xml:space="preserve">, </w:t>
      </w:r>
      <w:r>
        <w:rPr>
          <w:sz w:val="24"/>
          <w:szCs w:val="24"/>
        </w:rPr>
        <w:t>CA 95814</w:t>
      </w:r>
    </w:p>
    <w:p w:rsidR="00223D69" w:rsidP="008F31B4" w:rsidRDefault="0069358D" w14:paraId="65192DA1" w14:textId="147E2472">
      <w:pPr>
        <w:rPr>
          <w:sz w:val="24"/>
          <w:szCs w:val="24"/>
        </w:rPr>
      </w:pPr>
      <w:r>
        <w:rPr>
          <w:sz w:val="24"/>
          <w:szCs w:val="24"/>
        </w:rPr>
        <w:t>Phone: (916) 900-5000</w:t>
      </w:r>
    </w:p>
    <w:p w:rsidR="0069358D" w:rsidP="008F31B4" w:rsidRDefault="0069358D" w14:paraId="6512A1C6" w14:textId="195D9822">
      <w:pPr>
        <w:rPr>
          <w:sz w:val="24"/>
          <w:szCs w:val="24"/>
        </w:rPr>
      </w:pPr>
      <w:r>
        <w:rPr>
          <w:sz w:val="24"/>
          <w:szCs w:val="24"/>
        </w:rPr>
        <w:t>Fax: (916) 900-5332</w:t>
      </w:r>
    </w:p>
    <w:p w:rsidR="0069358D" w:rsidP="008F31B4" w:rsidRDefault="0069358D" w14:paraId="36A21403" w14:textId="22A66195">
      <w:pPr>
        <w:rPr>
          <w:sz w:val="24"/>
          <w:szCs w:val="24"/>
        </w:rPr>
      </w:pPr>
      <w:r>
        <w:rPr>
          <w:sz w:val="24"/>
          <w:szCs w:val="24"/>
        </w:rPr>
        <w:t>Annette.jones@cdfa.ca.gov</w:t>
      </w:r>
    </w:p>
    <w:p w:rsidRPr="000305FD" w:rsidR="0069358D" w:rsidP="008F31B4" w:rsidRDefault="0069358D" w14:paraId="62726AB5" w14:textId="77777777">
      <w:pPr>
        <w:rPr>
          <w:sz w:val="24"/>
          <w:szCs w:val="24"/>
        </w:rPr>
      </w:pPr>
    </w:p>
    <w:p w:rsidRPr="000305FD" w:rsidR="00223D69" w:rsidP="008F31B4" w:rsidRDefault="00223D69" w14:paraId="0205A823" w14:textId="288F82E7">
      <w:pPr>
        <w:rPr>
          <w:sz w:val="24"/>
          <w:szCs w:val="24"/>
        </w:rPr>
      </w:pPr>
      <w:r w:rsidRPr="000305FD">
        <w:rPr>
          <w:sz w:val="24"/>
          <w:szCs w:val="24"/>
        </w:rPr>
        <w:t>Dr.</w:t>
      </w:r>
      <w:r w:rsidR="0069358D">
        <w:rPr>
          <w:sz w:val="24"/>
          <w:szCs w:val="24"/>
        </w:rPr>
        <w:t xml:space="preserve"> Bret Marsh</w:t>
      </w:r>
    </w:p>
    <w:p w:rsidRPr="000305FD" w:rsidR="00223D69" w:rsidP="008F31B4" w:rsidRDefault="0069358D" w14:paraId="2E0FE8CF" w14:textId="0EB43AEC">
      <w:pPr>
        <w:rPr>
          <w:sz w:val="24"/>
          <w:szCs w:val="24"/>
        </w:rPr>
      </w:pPr>
      <w:r>
        <w:rPr>
          <w:sz w:val="24"/>
          <w:szCs w:val="24"/>
        </w:rPr>
        <w:t xml:space="preserve">Indiana </w:t>
      </w:r>
      <w:r w:rsidRPr="000305FD" w:rsidR="00223D69">
        <w:rPr>
          <w:sz w:val="24"/>
          <w:szCs w:val="24"/>
        </w:rPr>
        <w:t>State Veterinarian</w:t>
      </w:r>
    </w:p>
    <w:p w:rsidR="0069358D" w:rsidP="008F31B4" w:rsidRDefault="0069358D" w14:paraId="00A6664C" w14:textId="1279C3E9">
      <w:pPr>
        <w:rPr>
          <w:sz w:val="24"/>
          <w:szCs w:val="24"/>
        </w:rPr>
      </w:pPr>
      <w:r>
        <w:rPr>
          <w:sz w:val="24"/>
          <w:szCs w:val="24"/>
        </w:rPr>
        <w:t>Indiana Board of Animal Health</w:t>
      </w:r>
    </w:p>
    <w:p w:rsidR="0069358D" w:rsidP="008F31B4" w:rsidRDefault="0069358D" w14:paraId="645D8155" w14:textId="00F18054">
      <w:pPr>
        <w:rPr>
          <w:sz w:val="24"/>
          <w:szCs w:val="24"/>
        </w:rPr>
      </w:pPr>
      <w:r>
        <w:rPr>
          <w:sz w:val="24"/>
          <w:szCs w:val="24"/>
        </w:rPr>
        <w:t>Discovery Hall, Suite 100</w:t>
      </w:r>
    </w:p>
    <w:p w:rsidRPr="000305FD" w:rsidR="00223D69" w:rsidP="008F31B4" w:rsidRDefault="0069358D" w14:paraId="7BD54AB6" w14:textId="60A48C37">
      <w:pPr>
        <w:rPr>
          <w:sz w:val="24"/>
          <w:szCs w:val="24"/>
        </w:rPr>
      </w:pPr>
      <w:r>
        <w:rPr>
          <w:sz w:val="24"/>
          <w:szCs w:val="24"/>
        </w:rPr>
        <w:t>1202 East 38</w:t>
      </w:r>
      <w:r w:rsidRPr="0069358D">
        <w:rPr>
          <w:sz w:val="24"/>
          <w:szCs w:val="24"/>
          <w:vertAlign w:val="superscript"/>
        </w:rPr>
        <w:t>th</w:t>
      </w:r>
      <w:r>
        <w:rPr>
          <w:sz w:val="24"/>
          <w:szCs w:val="24"/>
        </w:rPr>
        <w:t xml:space="preserve"> Street</w:t>
      </w:r>
    </w:p>
    <w:p w:rsidRPr="000305FD" w:rsidR="00223D69" w:rsidP="008F31B4" w:rsidRDefault="0069358D" w14:paraId="5C57169A" w14:textId="32A6CF97">
      <w:pPr>
        <w:rPr>
          <w:sz w:val="24"/>
          <w:szCs w:val="24"/>
        </w:rPr>
      </w:pPr>
      <w:r>
        <w:rPr>
          <w:sz w:val="24"/>
          <w:szCs w:val="24"/>
        </w:rPr>
        <w:t>Indianapolis, IN 46205</w:t>
      </w:r>
    </w:p>
    <w:p w:rsidR="00AE578B" w:rsidP="008F31B4" w:rsidRDefault="0069358D" w14:paraId="4354EA9B" w14:textId="6E37BAF5">
      <w:pPr>
        <w:rPr>
          <w:sz w:val="24"/>
          <w:szCs w:val="24"/>
        </w:rPr>
      </w:pPr>
      <w:r>
        <w:rPr>
          <w:sz w:val="24"/>
          <w:szCs w:val="24"/>
        </w:rPr>
        <w:t>Phone: (317) 544-2400</w:t>
      </w:r>
    </w:p>
    <w:p w:rsidR="0069358D" w:rsidP="008F31B4" w:rsidRDefault="0069358D" w14:paraId="159C723D" w14:textId="60874085">
      <w:pPr>
        <w:rPr>
          <w:sz w:val="24"/>
          <w:szCs w:val="24"/>
        </w:rPr>
      </w:pPr>
      <w:r>
        <w:rPr>
          <w:sz w:val="24"/>
          <w:szCs w:val="24"/>
        </w:rPr>
        <w:t>Fax: (317) 974-2011</w:t>
      </w:r>
    </w:p>
    <w:p w:rsidR="0069358D" w:rsidP="008F31B4" w:rsidRDefault="0069358D" w14:paraId="3FC30981" w14:textId="1F5BF942">
      <w:pPr>
        <w:rPr>
          <w:sz w:val="24"/>
          <w:szCs w:val="24"/>
        </w:rPr>
      </w:pPr>
      <w:r>
        <w:rPr>
          <w:sz w:val="24"/>
          <w:szCs w:val="24"/>
        </w:rPr>
        <w:t>bmarsh@boah.in.gov</w:t>
      </w:r>
    </w:p>
    <w:p w:rsidRPr="000305FD" w:rsidR="00AE578B" w:rsidP="008F31B4" w:rsidRDefault="0069358D" w14:paraId="76A4C0B3" w14:textId="544F2835">
      <w:pPr>
        <w:rPr>
          <w:sz w:val="24"/>
          <w:szCs w:val="24"/>
        </w:rPr>
      </w:pPr>
      <w:r>
        <w:rPr>
          <w:sz w:val="24"/>
          <w:szCs w:val="24"/>
        </w:rPr>
        <w:lastRenderedPageBreak/>
        <w:t>Dr. Andrew Schwartz</w:t>
      </w:r>
    </w:p>
    <w:p w:rsidRPr="000305FD" w:rsidR="00AE578B" w:rsidP="008F31B4" w:rsidRDefault="0069358D" w14:paraId="29817A0E" w14:textId="2A68922E">
      <w:pPr>
        <w:rPr>
          <w:sz w:val="24"/>
          <w:szCs w:val="24"/>
        </w:rPr>
      </w:pPr>
      <w:r>
        <w:rPr>
          <w:sz w:val="24"/>
          <w:szCs w:val="24"/>
        </w:rPr>
        <w:t>State Veterinarian and Executive Director</w:t>
      </w:r>
    </w:p>
    <w:p w:rsidRPr="000305FD" w:rsidR="00AE578B" w:rsidP="008F31B4" w:rsidRDefault="0069358D" w14:paraId="026BE317" w14:textId="00E2F508">
      <w:pPr>
        <w:rPr>
          <w:sz w:val="24"/>
          <w:szCs w:val="24"/>
        </w:rPr>
      </w:pPr>
      <w:r>
        <w:rPr>
          <w:sz w:val="24"/>
          <w:szCs w:val="24"/>
        </w:rPr>
        <w:t>Texas Animal Health Commission</w:t>
      </w:r>
    </w:p>
    <w:p w:rsidRPr="000305FD" w:rsidR="00AE578B" w:rsidP="008F31B4" w:rsidRDefault="0069358D" w14:paraId="3FEB6805" w14:textId="7C9ED98E">
      <w:pPr>
        <w:rPr>
          <w:sz w:val="24"/>
          <w:szCs w:val="24"/>
        </w:rPr>
      </w:pPr>
      <w:r>
        <w:rPr>
          <w:sz w:val="24"/>
          <w:szCs w:val="24"/>
        </w:rPr>
        <w:t>P.O. Box 12966</w:t>
      </w:r>
    </w:p>
    <w:p w:rsidR="008F31B4" w:rsidP="008F31B4" w:rsidRDefault="0069358D" w14:paraId="2031E5A2" w14:textId="769CA773">
      <w:pPr>
        <w:pStyle w:val="DefaultText"/>
      </w:pPr>
      <w:r>
        <w:t>Austin, TX 78711</w:t>
      </w:r>
    </w:p>
    <w:p w:rsidR="006A2C2F" w:rsidP="008F31B4" w:rsidRDefault="0069358D" w14:paraId="35433751" w14:textId="76CBC7F1">
      <w:pPr>
        <w:pStyle w:val="DefaultText"/>
      </w:pPr>
      <w:r>
        <w:t>Phone: (800) 550-8242</w:t>
      </w:r>
    </w:p>
    <w:p w:rsidR="0069358D" w:rsidP="008F31B4" w:rsidRDefault="0069358D" w14:paraId="02C25B1F" w14:textId="1E391960">
      <w:pPr>
        <w:pStyle w:val="DefaultText"/>
      </w:pPr>
      <w:r>
        <w:t>Fax: (512) 719-0729</w:t>
      </w:r>
    </w:p>
    <w:p w:rsidR="0069358D" w:rsidP="008F31B4" w:rsidRDefault="0069358D" w14:paraId="5DA7386A" w14:textId="585AF6C4">
      <w:pPr>
        <w:pStyle w:val="DefaultText"/>
      </w:pPr>
      <w:r>
        <w:t>execdir@tahc.texas.gov</w:t>
      </w:r>
    </w:p>
    <w:p w:rsidR="0069358D" w:rsidP="008F31B4" w:rsidRDefault="0069358D" w14:paraId="7F1DB498" w14:textId="34B9ABA6">
      <w:pPr>
        <w:pStyle w:val="DefaultText"/>
      </w:pPr>
    </w:p>
    <w:p w:rsidRPr="00D52080" w:rsidR="00D52080" w:rsidP="00D52080" w:rsidRDefault="00D52080" w14:paraId="0214CA16" w14:textId="6442A0A4">
      <w:pPr>
        <w:rPr>
          <w:sz w:val="24"/>
          <w:szCs w:val="24"/>
        </w:rPr>
      </w:pPr>
      <w:r w:rsidRPr="00D52080">
        <w:rPr>
          <w:sz w:val="24"/>
          <w:szCs w:val="24"/>
        </w:rPr>
        <w:t xml:space="preserve">On </w:t>
      </w:r>
      <w:r w:rsidR="00482781">
        <w:rPr>
          <w:sz w:val="24"/>
          <w:szCs w:val="24"/>
        </w:rPr>
        <w:t xml:space="preserve">Monday, June 7, 2021, </w:t>
      </w:r>
      <w:r w:rsidRPr="00A84A80" w:rsidR="00482781">
        <w:rPr>
          <w:sz w:val="24"/>
          <w:szCs w:val="24"/>
        </w:rPr>
        <w:t xml:space="preserve">APHIS published in the Federal Register </w:t>
      </w:r>
      <w:r w:rsidR="007870A5">
        <w:rPr>
          <w:sz w:val="24"/>
          <w:szCs w:val="24"/>
        </w:rPr>
        <w:t xml:space="preserve">(FR </w:t>
      </w:r>
      <w:r w:rsidRPr="00A84A80" w:rsidR="00482781">
        <w:rPr>
          <w:sz w:val="24"/>
          <w:szCs w:val="24"/>
        </w:rPr>
        <w:t xml:space="preserve">86 </w:t>
      </w:r>
      <w:r w:rsidR="00482781">
        <w:rPr>
          <w:sz w:val="24"/>
          <w:szCs w:val="24"/>
        </w:rPr>
        <w:t>30250</w:t>
      </w:r>
      <w:r w:rsidR="007870A5">
        <w:rPr>
          <w:sz w:val="24"/>
          <w:szCs w:val="24"/>
        </w:rPr>
        <w:t>)</w:t>
      </w:r>
      <w:r w:rsidRPr="00A84A80" w:rsidR="00482781">
        <w:rPr>
          <w:sz w:val="24"/>
          <w:szCs w:val="24"/>
        </w:rPr>
        <w:t>, a 60-day notice seeking public comments on its plans to request a 3-</w:t>
      </w:r>
      <w:r w:rsidRPr="007870A5" w:rsidR="00482781">
        <w:rPr>
          <w:sz w:val="24"/>
          <w:szCs w:val="24"/>
        </w:rPr>
        <w:t xml:space="preserve">year approval of this collection of information.  </w:t>
      </w:r>
      <w:r w:rsidRPr="007870A5">
        <w:rPr>
          <w:rFonts w:eastAsia="Calibri"/>
          <w:sz w:val="24"/>
          <w:szCs w:val="24"/>
        </w:rPr>
        <w:t>No comments from the public were received.</w:t>
      </w:r>
      <w:r w:rsidRPr="007870A5">
        <w:rPr>
          <w:rFonts w:eastAsia="Calibri"/>
          <w:color w:val="FF0000"/>
          <w:sz w:val="24"/>
          <w:szCs w:val="24"/>
        </w:rPr>
        <w:t xml:space="preserve"> </w:t>
      </w:r>
    </w:p>
    <w:p w:rsidR="0069358D" w:rsidP="008F31B4" w:rsidRDefault="0069358D" w14:paraId="51FACF1A" w14:textId="71B29730">
      <w:pPr>
        <w:pStyle w:val="DefaultText"/>
      </w:pPr>
    </w:p>
    <w:p w:rsidR="007870A5" w:rsidP="008F31B4" w:rsidRDefault="007870A5" w14:paraId="2F8D51B4" w14:textId="77777777">
      <w:pPr>
        <w:pStyle w:val="DefaultText"/>
      </w:pPr>
    </w:p>
    <w:p w:rsidRPr="00892DE8" w:rsidR="0034158E" w:rsidP="0034158E" w:rsidRDefault="0034158E" w14:paraId="6EADF27E"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9.  Explain any decision to provide any payment or gift to respondents, other than remuneration of contractors or grantees.</w:t>
      </w:r>
    </w:p>
    <w:p w:rsidRPr="0034158E" w:rsidR="0034158E" w:rsidP="0034158E" w:rsidRDefault="0034158E" w14:paraId="223CC456" w14:textId="77777777">
      <w:pPr>
        <w:pStyle w:val="DefaultText"/>
        <w:rPr>
          <w:rStyle w:val="InitialStyle"/>
          <w:rFonts w:ascii="Times New Roman" w:hAnsi="Times New Roman"/>
          <w:szCs w:val="24"/>
        </w:rPr>
      </w:pPr>
    </w:p>
    <w:p w:rsidR="0034158E" w:rsidP="0034158E" w:rsidRDefault="0034158E" w14:paraId="1044D4C3" w14:textId="77777777">
      <w:pPr>
        <w:pStyle w:val="DefaultText"/>
        <w:rPr>
          <w:rStyle w:val="InitialStyle"/>
          <w:rFonts w:ascii="Times New Roman" w:hAnsi="Times New Roman"/>
          <w:szCs w:val="24"/>
        </w:rPr>
      </w:pPr>
      <w:r w:rsidRPr="0034158E">
        <w:rPr>
          <w:rStyle w:val="InitialStyle"/>
          <w:rFonts w:ascii="Times New Roman" w:hAnsi="Times New Roman"/>
          <w:szCs w:val="24"/>
        </w:rPr>
        <w:t xml:space="preserve">This information collection activity involves no payments or gifts to respondents. </w:t>
      </w:r>
    </w:p>
    <w:p w:rsidR="00AE578B" w:rsidP="0034158E" w:rsidRDefault="00AE578B" w14:paraId="792F2CDE" w14:textId="77777777">
      <w:pPr>
        <w:pStyle w:val="DefaultText"/>
        <w:rPr>
          <w:rStyle w:val="InitialStyle"/>
          <w:rFonts w:ascii="Times New Roman" w:hAnsi="Times New Roman"/>
          <w:szCs w:val="24"/>
        </w:rPr>
      </w:pPr>
    </w:p>
    <w:p w:rsidRPr="0034158E" w:rsidR="0092702D" w:rsidP="0034158E" w:rsidRDefault="0092702D" w14:paraId="75A4FCB0" w14:textId="77777777">
      <w:pPr>
        <w:pStyle w:val="DefaultText"/>
        <w:rPr>
          <w:rStyle w:val="InitialStyle"/>
          <w:rFonts w:ascii="Times New Roman" w:hAnsi="Times New Roman"/>
          <w:szCs w:val="24"/>
        </w:rPr>
      </w:pPr>
    </w:p>
    <w:p w:rsidRPr="00892DE8" w:rsidR="0034158E" w:rsidP="0034158E" w:rsidRDefault="0034158E" w14:paraId="557EEC5D"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10.  Describe any assurance of confidentiality provided to respondents and the basis for the assurance in statute, regulation, or Agency policy.</w:t>
      </w:r>
    </w:p>
    <w:p w:rsidRPr="0034158E" w:rsidR="0034158E" w:rsidP="0034158E" w:rsidRDefault="0034158E" w14:paraId="013E9284" w14:textId="77777777">
      <w:pPr>
        <w:pStyle w:val="DefaultText"/>
        <w:rPr>
          <w:rStyle w:val="InitialStyle"/>
          <w:rFonts w:ascii="Times New Roman" w:hAnsi="Times New Roman"/>
          <w:szCs w:val="24"/>
        </w:rPr>
      </w:pPr>
    </w:p>
    <w:p w:rsidRPr="00822E76" w:rsidR="00822E76" w:rsidP="00822E76" w:rsidRDefault="00822E76" w14:paraId="124F9D05" w14:textId="4C6C868E">
      <w:pPr>
        <w:rPr>
          <w:sz w:val="24"/>
          <w:szCs w:val="24"/>
        </w:rPr>
      </w:pPr>
      <w:r w:rsidRPr="00822E76">
        <w:rPr>
          <w:sz w:val="24"/>
          <w:szCs w:val="24"/>
        </w:rPr>
        <w:t>See System of Records Notice</w:t>
      </w:r>
      <w:r>
        <w:rPr>
          <w:sz w:val="24"/>
          <w:szCs w:val="24"/>
        </w:rPr>
        <w:t xml:space="preserve"> (SORN)</w:t>
      </w:r>
      <w:r w:rsidRPr="00822E76">
        <w:rPr>
          <w:sz w:val="24"/>
          <w:szCs w:val="24"/>
        </w:rPr>
        <w:t xml:space="preserve">, USDA-APHIS-11, Emergency Management Response System (EMRS), FR Doc </w:t>
      </w:r>
      <w:r w:rsidR="00437951">
        <w:rPr>
          <w:sz w:val="24"/>
          <w:szCs w:val="24"/>
        </w:rPr>
        <w:t>20-015-1</w:t>
      </w:r>
      <w:r w:rsidRPr="00822E76">
        <w:rPr>
          <w:sz w:val="24"/>
          <w:szCs w:val="24"/>
        </w:rPr>
        <w:t xml:space="preserve"> which published in Federal Register on </w:t>
      </w:r>
      <w:r w:rsidR="00437951">
        <w:rPr>
          <w:sz w:val="24"/>
          <w:szCs w:val="24"/>
        </w:rPr>
        <w:t>December 9, 2021</w:t>
      </w:r>
      <w:r w:rsidRPr="00822E76">
        <w:rPr>
          <w:sz w:val="24"/>
          <w:szCs w:val="24"/>
        </w:rPr>
        <w:t xml:space="preserve"> (Volume </w:t>
      </w:r>
      <w:r w:rsidR="00437951">
        <w:rPr>
          <w:sz w:val="24"/>
          <w:szCs w:val="24"/>
        </w:rPr>
        <w:t>86</w:t>
      </w:r>
      <w:r w:rsidRPr="00822E76">
        <w:rPr>
          <w:sz w:val="24"/>
          <w:szCs w:val="24"/>
        </w:rPr>
        <w:t xml:space="preserve">, Number </w:t>
      </w:r>
      <w:r w:rsidR="00437951">
        <w:rPr>
          <w:sz w:val="24"/>
          <w:szCs w:val="24"/>
        </w:rPr>
        <w:t>234</w:t>
      </w:r>
      <w:r w:rsidRPr="00822E76">
        <w:rPr>
          <w:sz w:val="24"/>
          <w:szCs w:val="24"/>
        </w:rPr>
        <w:t xml:space="preserve">) [pages </w:t>
      </w:r>
      <w:r w:rsidR="00437951">
        <w:rPr>
          <w:sz w:val="24"/>
          <w:szCs w:val="24"/>
        </w:rPr>
        <w:t>70082</w:t>
      </w:r>
      <w:r w:rsidRPr="00822E76">
        <w:rPr>
          <w:sz w:val="24"/>
          <w:szCs w:val="24"/>
        </w:rPr>
        <w:t>-</w:t>
      </w:r>
      <w:r w:rsidR="00437951">
        <w:rPr>
          <w:sz w:val="24"/>
          <w:szCs w:val="24"/>
        </w:rPr>
        <w:t>70086</w:t>
      </w:r>
      <w:r w:rsidRPr="00822E76">
        <w:rPr>
          <w:sz w:val="24"/>
          <w:szCs w:val="24"/>
        </w:rPr>
        <w:t>].</w:t>
      </w:r>
    </w:p>
    <w:p w:rsidRPr="00822E76" w:rsidR="00822E76" w:rsidP="00D65C2C" w:rsidRDefault="00822E76" w14:paraId="6E5E4B40" w14:textId="77777777">
      <w:pPr>
        <w:rPr>
          <w:color w:val="000000"/>
          <w:sz w:val="24"/>
          <w:szCs w:val="24"/>
        </w:rPr>
      </w:pPr>
    </w:p>
    <w:p w:rsidRPr="00822E76" w:rsidR="0034158E" w:rsidP="00D65C2C" w:rsidRDefault="00D65C2C" w14:paraId="5887868D" w14:textId="2A2F29AB">
      <w:pPr>
        <w:rPr>
          <w:rStyle w:val="InitialStyle"/>
          <w:rFonts w:ascii="Times New Roman" w:hAnsi="Times New Roman"/>
          <w:color w:val="000000"/>
          <w:szCs w:val="24"/>
        </w:rPr>
      </w:pPr>
      <w:r w:rsidRPr="00822E76">
        <w:rPr>
          <w:color w:val="000000"/>
          <w:sz w:val="24"/>
          <w:szCs w:val="24"/>
        </w:rPr>
        <w:t>No additional assurance of confidentiality is provided with this information collection. Any</w:t>
      </w:r>
      <w:r w:rsidRPr="00822E76" w:rsidR="004A4838">
        <w:rPr>
          <w:color w:val="000000"/>
          <w:sz w:val="24"/>
          <w:szCs w:val="24"/>
        </w:rPr>
        <w:br/>
      </w:r>
      <w:r w:rsidRPr="00822E76">
        <w:rPr>
          <w:color w:val="000000"/>
          <w:sz w:val="24"/>
          <w:szCs w:val="24"/>
        </w:rPr>
        <w:t>and all information obtained in this collection shall not be disclosed except in accordance with</w:t>
      </w:r>
      <w:r w:rsidRPr="00822E76" w:rsidR="004A4838">
        <w:rPr>
          <w:color w:val="000000"/>
          <w:sz w:val="24"/>
          <w:szCs w:val="24"/>
        </w:rPr>
        <w:br/>
      </w:r>
      <w:r w:rsidRPr="00822E76">
        <w:rPr>
          <w:color w:val="000000"/>
          <w:sz w:val="24"/>
          <w:szCs w:val="24"/>
        </w:rPr>
        <w:t>5 U.S.C.552a.</w:t>
      </w:r>
    </w:p>
    <w:p w:rsidR="0034158E" w:rsidP="0034158E" w:rsidRDefault="0034158E" w14:paraId="6241BCB1" w14:textId="36C537C4">
      <w:pPr>
        <w:pStyle w:val="DefaultText"/>
        <w:rPr>
          <w:rStyle w:val="InitialStyle"/>
          <w:rFonts w:ascii="Times New Roman" w:hAnsi="Times New Roman"/>
          <w:b/>
          <w:szCs w:val="24"/>
        </w:rPr>
      </w:pPr>
    </w:p>
    <w:p w:rsidRPr="0034158E" w:rsidR="0034158E" w:rsidP="0034158E" w:rsidRDefault="0034158E" w14:paraId="0EF0C611" w14:textId="77777777">
      <w:pPr>
        <w:pStyle w:val="DefaultText"/>
        <w:rPr>
          <w:rStyle w:val="InitialStyle"/>
          <w:rFonts w:ascii="Times New Roman" w:hAnsi="Times New Roman"/>
          <w:b/>
          <w:szCs w:val="24"/>
        </w:rPr>
      </w:pPr>
    </w:p>
    <w:p w:rsidRPr="00892DE8" w:rsidR="0034158E" w:rsidP="0034158E" w:rsidRDefault="0034158E" w14:paraId="45EB4601" w14:textId="487CA5D2">
      <w:pPr>
        <w:pStyle w:val="DefaultText"/>
        <w:rPr>
          <w:rStyle w:val="InitialStyle"/>
          <w:rFonts w:ascii="Times New Roman" w:hAnsi="Times New Roman"/>
          <w:b/>
          <w:szCs w:val="24"/>
        </w:rPr>
      </w:pPr>
      <w:r w:rsidRPr="00892DE8">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reasons why the Agency considers the questions necessary, the specific uses to be made of the information, the explanation to be given to persons from whom the information is requested, and any steps to be taken to obtain their consent.</w:t>
      </w:r>
    </w:p>
    <w:p w:rsidRPr="0034158E" w:rsidR="0034158E" w:rsidP="0034158E" w:rsidRDefault="0034158E" w14:paraId="6DE9674E" w14:textId="77777777">
      <w:pPr>
        <w:pStyle w:val="DefaultText"/>
        <w:rPr>
          <w:rStyle w:val="InitialStyle"/>
          <w:rFonts w:ascii="Times New Roman" w:hAnsi="Times New Roman"/>
          <w:szCs w:val="24"/>
        </w:rPr>
      </w:pPr>
    </w:p>
    <w:p w:rsidRPr="0034158E" w:rsidR="0034158E" w:rsidP="0034158E" w:rsidRDefault="0034158E" w14:paraId="2E2D1E76" w14:textId="4F94C805">
      <w:pPr>
        <w:pStyle w:val="DefaultText"/>
        <w:rPr>
          <w:rStyle w:val="InitialStyle"/>
          <w:rFonts w:ascii="Times New Roman" w:hAnsi="Times New Roman"/>
          <w:szCs w:val="24"/>
        </w:rPr>
      </w:pPr>
      <w:r w:rsidRPr="0034158E">
        <w:rPr>
          <w:rStyle w:val="InitialStyle"/>
          <w:rFonts w:ascii="Times New Roman" w:hAnsi="Times New Roman"/>
          <w:szCs w:val="24"/>
        </w:rPr>
        <w:t xml:space="preserve">This information collection activity </w:t>
      </w:r>
      <w:r w:rsidR="003519DE">
        <w:rPr>
          <w:rStyle w:val="InitialStyle"/>
          <w:rFonts w:ascii="Times New Roman" w:hAnsi="Times New Roman"/>
          <w:szCs w:val="24"/>
        </w:rPr>
        <w:t>asks</w:t>
      </w:r>
      <w:r w:rsidRPr="0034158E">
        <w:rPr>
          <w:rStyle w:val="InitialStyle"/>
          <w:rFonts w:ascii="Times New Roman" w:hAnsi="Times New Roman"/>
          <w:szCs w:val="24"/>
        </w:rPr>
        <w:t xml:space="preserve"> no questions of a personal or sensitive nature.</w:t>
      </w:r>
    </w:p>
    <w:p w:rsidRPr="0034158E" w:rsidR="0034158E" w:rsidP="0034158E" w:rsidRDefault="0034158E" w14:paraId="13F669EA" w14:textId="77777777">
      <w:pPr>
        <w:pStyle w:val="DefaultText"/>
        <w:rPr>
          <w:rStyle w:val="InitialStyle"/>
          <w:rFonts w:ascii="Times New Roman" w:hAnsi="Times New Roman"/>
          <w:b/>
          <w:szCs w:val="24"/>
        </w:rPr>
      </w:pPr>
    </w:p>
    <w:p w:rsidRPr="0034158E" w:rsidR="0034158E" w:rsidP="0034158E" w:rsidRDefault="0034158E" w14:paraId="6F49EFB3" w14:textId="77777777">
      <w:pPr>
        <w:pStyle w:val="DefaultText"/>
        <w:rPr>
          <w:rStyle w:val="InitialStyle"/>
          <w:rFonts w:ascii="Times New Roman" w:hAnsi="Times New Roman"/>
          <w:b/>
          <w:szCs w:val="24"/>
        </w:rPr>
      </w:pPr>
    </w:p>
    <w:p w:rsidRPr="00892DE8" w:rsidR="0034158E" w:rsidP="0034158E" w:rsidRDefault="0034158E" w14:paraId="027DA0FD"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 xml:space="preserve">12.  Provide estimates of the hour burden of the collection of information.  </w:t>
      </w:r>
      <w:bookmarkStart w:name="_Hlk80349044" w:id="2"/>
      <w:r w:rsidRPr="00892DE8">
        <w:rPr>
          <w:rStyle w:val="InitialStyle"/>
          <w:rFonts w:ascii="Times New Roman" w:hAnsi="Times New Roman"/>
          <w:b/>
          <w:szCs w:val="24"/>
        </w:rPr>
        <w:t>Indicate the number of respondents, frequency of response, annual hour burden, and an explanation of how the burden was estimated.</w:t>
      </w:r>
    </w:p>
    <w:p w:rsidRPr="0034158E" w:rsidR="0034158E" w:rsidP="0034158E" w:rsidRDefault="0034158E" w14:paraId="2895C03C" w14:textId="77777777">
      <w:pPr>
        <w:pStyle w:val="DefaultText"/>
        <w:rPr>
          <w:rStyle w:val="InitialStyle"/>
          <w:rFonts w:ascii="Times New Roman" w:hAnsi="Times New Roman"/>
          <w:b/>
          <w:szCs w:val="24"/>
        </w:rPr>
      </w:pPr>
    </w:p>
    <w:p w:rsidRPr="00D65C2C" w:rsidR="0034158E" w:rsidP="00BF0D3B" w:rsidRDefault="0034158E" w14:paraId="13FC8BBA" w14:textId="31238B5A">
      <w:pPr>
        <w:pStyle w:val="DefaultText"/>
        <w:numPr>
          <w:ilvl w:val="0"/>
          <w:numId w:val="7"/>
        </w:numPr>
        <w:rPr>
          <w:rStyle w:val="InitialStyle"/>
          <w:rFonts w:ascii="Times New Roman" w:hAnsi="Times New Roman"/>
          <w:b/>
          <w:szCs w:val="24"/>
        </w:rPr>
      </w:pPr>
      <w:r w:rsidRPr="00D65C2C">
        <w:rPr>
          <w:rStyle w:val="InitialStyle"/>
          <w:rFonts w:ascii="Times New Roman" w:hAnsi="Times New Roman"/>
          <w:b/>
          <w:szCs w:val="24"/>
        </w:rPr>
        <w:lastRenderedPageBreak/>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bookmarkEnd w:id="2"/>
    <w:p w:rsidRPr="0034158E" w:rsidR="0034158E" w:rsidP="00BF0D3B" w:rsidRDefault="0034158E" w14:paraId="5A6EA689" w14:textId="77777777">
      <w:pPr>
        <w:pStyle w:val="DefaultText"/>
        <w:ind w:left="720"/>
        <w:rPr>
          <w:rStyle w:val="InitialStyle"/>
          <w:rFonts w:ascii="Times New Roman" w:hAnsi="Times New Roman"/>
          <w:szCs w:val="24"/>
        </w:rPr>
      </w:pPr>
      <w:r w:rsidRPr="0034158E">
        <w:rPr>
          <w:rStyle w:val="InitialStyle"/>
          <w:rFonts w:ascii="Times New Roman" w:hAnsi="Times New Roman"/>
          <w:szCs w:val="24"/>
        </w:rPr>
        <w:t>See APHIS Form 71. Burden estimates were developed from discussions with APHIS headquarters and field personnel, State veterinary authorities, and owner</w:t>
      </w:r>
      <w:r w:rsidR="005846E2">
        <w:rPr>
          <w:rStyle w:val="InitialStyle"/>
          <w:rFonts w:ascii="Times New Roman" w:hAnsi="Times New Roman"/>
          <w:szCs w:val="24"/>
        </w:rPr>
        <w:t>s</w:t>
      </w:r>
      <w:r w:rsidRPr="0034158E">
        <w:rPr>
          <w:rStyle w:val="InitialStyle"/>
          <w:rFonts w:ascii="Times New Roman" w:hAnsi="Times New Roman"/>
          <w:szCs w:val="24"/>
        </w:rPr>
        <w:t xml:space="preserve"> and operators of livestock and poultry operations in the United States.</w:t>
      </w:r>
    </w:p>
    <w:p w:rsidRPr="0034158E" w:rsidR="0034158E" w:rsidP="0034158E" w:rsidRDefault="0034158E" w14:paraId="61F7B5FA" w14:textId="77777777">
      <w:pPr>
        <w:pStyle w:val="DefaultText"/>
        <w:rPr>
          <w:rStyle w:val="InitialStyle"/>
          <w:rFonts w:ascii="Times New Roman" w:hAnsi="Times New Roman"/>
          <w:szCs w:val="24"/>
        </w:rPr>
      </w:pPr>
    </w:p>
    <w:p w:rsidRPr="00D65C2C" w:rsidR="0034158E" w:rsidP="00BF0D3B" w:rsidRDefault="0034158E" w14:paraId="770D1A59" w14:textId="4717B59F">
      <w:pPr>
        <w:pStyle w:val="DefaultText"/>
        <w:numPr>
          <w:ilvl w:val="0"/>
          <w:numId w:val="7"/>
        </w:numPr>
        <w:rPr>
          <w:rStyle w:val="InitialStyle"/>
          <w:rFonts w:ascii="Times New Roman" w:hAnsi="Times New Roman"/>
          <w:b/>
          <w:szCs w:val="24"/>
        </w:rPr>
      </w:pPr>
      <w:bookmarkStart w:name="_Hlk80349112" w:id="3"/>
      <w:r w:rsidRPr="00D65C2C">
        <w:rPr>
          <w:rStyle w:val="InitialStyle"/>
          <w:rFonts w:ascii="Times New Roman" w:hAnsi="Times New Roman"/>
          <w:b/>
          <w:szCs w:val="24"/>
        </w:rPr>
        <w:t>Provide estimates of annualized cost to respondents for the hour burdens for collections of information, identifying and using appropriate wage rate categories.</w:t>
      </w:r>
    </w:p>
    <w:bookmarkEnd w:id="3"/>
    <w:p w:rsidRPr="0034158E" w:rsidR="0034158E" w:rsidP="0034158E" w:rsidRDefault="0034158E" w14:paraId="4CB8C310" w14:textId="77777777">
      <w:pPr>
        <w:pStyle w:val="DefaultText"/>
        <w:rPr>
          <w:rStyle w:val="InitialStyle"/>
          <w:rFonts w:ascii="Times New Roman" w:hAnsi="Times New Roman"/>
          <w:b/>
          <w:szCs w:val="24"/>
        </w:rPr>
      </w:pPr>
    </w:p>
    <w:p w:rsidRPr="0034158E" w:rsidR="0034158E" w:rsidP="00BF0D3B" w:rsidRDefault="007870A5" w14:paraId="67202B08" w14:textId="68665D00">
      <w:pPr>
        <w:pStyle w:val="300"/>
        <w:ind w:left="720"/>
        <w:rPr>
          <w:rStyle w:val="301"/>
          <w:szCs w:val="24"/>
        </w:rPr>
      </w:pPr>
      <w:r>
        <w:rPr>
          <w:sz w:val="24"/>
          <w:szCs w:val="24"/>
        </w:rPr>
        <w:t>The r</w:t>
      </w:r>
      <w:r w:rsidRPr="0034158E" w:rsidR="0034158E">
        <w:rPr>
          <w:sz w:val="24"/>
          <w:szCs w:val="24"/>
        </w:rPr>
        <w:t xml:space="preserve">espondents </w:t>
      </w:r>
      <w:r>
        <w:rPr>
          <w:sz w:val="24"/>
          <w:szCs w:val="24"/>
        </w:rPr>
        <w:t xml:space="preserve">in this </w:t>
      </w:r>
      <w:r w:rsidR="004A4838">
        <w:rPr>
          <w:sz w:val="24"/>
          <w:szCs w:val="24"/>
        </w:rPr>
        <w:t xml:space="preserve">renewal </w:t>
      </w:r>
      <w:r w:rsidRPr="0034158E" w:rsidR="0034158E">
        <w:rPr>
          <w:sz w:val="24"/>
          <w:szCs w:val="24"/>
        </w:rPr>
        <w:t xml:space="preserve">are </w:t>
      </w:r>
      <w:r w:rsidRPr="0034158E" w:rsidR="0034158E">
        <w:rPr>
          <w:rStyle w:val="301"/>
          <w:szCs w:val="24"/>
        </w:rPr>
        <w:t>owners or operators of livestock and poultry facilities and State animal health officials.</w:t>
      </w:r>
      <w:r w:rsidRPr="0034158E" w:rsidR="0034158E">
        <w:rPr>
          <w:sz w:val="24"/>
          <w:szCs w:val="24"/>
        </w:rPr>
        <w:t xml:space="preserve"> APHIS estimates the total annualized cost to these respondents to be $</w:t>
      </w:r>
      <w:r w:rsidR="007F4243">
        <w:rPr>
          <w:sz w:val="24"/>
          <w:szCs w:val="24"/>
        </w:rPr>
        <w:t>1,749,284</w:t>
      </w:r>
      <w:r w:rsidRPr="0034158E" w:rsidR="0034158E">
        <w:rPr>
          <w:sz w:val="24"/>
          <w:szCs w:val="24"/>
        </w:rPr>
        <w:t>. APHIS arrived at this figure by multiplying the total burden</w:t>
      </w:r>
      <w:r w:rsidR="005C58AE">
        <w:rPr>
          <w:sz w:val="24"/>
          <w:szCs w:val="24"/>
        </w:rPr>
        <w:t xml:space="preserve"> hours </w:t>
      </w:r>
      <w:r w:rsidRPr="000B2FFC" w:rsidR="005C58AE">
        <w:rPr>
          <w:sz w:val="24"/>
          <w:szCs w:val="24"/>
        </w:rPr>
        <w:t>(</w:t>
      </w:r>
      <w:r w:rsidR="007F4243">
        <w:rPr>
          <w:sz w:val="24"/>
          <w:szCs w:val="24"/>
        </w:rPr>
        <w:t>24,703</w:t>
      </w:r>
      <w:r w:rsidRPr="0034158E" w:rsidR="0034158E">
        <w:rPr>
          <w:sz w:val="24"/>
          <w:szCs w:val="24"/>
        </w:rPr>
        <w:t>) by the estimated average hourly wage of the above respondents ($</w:t>
      </w:r>
      <w:r w:rsidR="00A92678">
        <w:rPr>
          <w:sz w:val="24"/>
          <w:szCs w:val="24"/>
        </w:rPr>
        <w:t>48.87</w:t>
      </w:r>
      <w:r w:rsidRPr="0034158E" w:rsidR="0034158E">
        <w:rPr>
          <w:sz w:val="24"/>
          <w:szCs w:val="24"/>
        </w:rPr>
        <w:t>)</w:t>
      </w:r>
      <w:r w:rsidR="00672B24">
        <w:rPr>
          <w:sz w:val="24"/>
          <w:szCs w:val="24"/>
        </w:rPr>
        <w:t xml:space="preserve"> </w:t>
      </w:r>
      <w:r w:rsidRPr="00672B24" w:rsidR="00672B24">
        <w:rPr>
          <w:sz w:val="24"/>
          <w:szCs w:val="24"/>
        </w:rPr>
        <w:t>and then multiplying the result by 1.4</w:t>
      </w:r>
      <w:r w:rsidR="00672B24">
        <w:rPr>
          <w:sz w:val="24"/>
          <w:szCs w:val="24"/>
        </w:rPr>
        <w:t>49</w:t>
      </w:r>
      <w:r w:rsidRPr="00672B24" w:rsidR="00672B24">
        <w:rPr>
          <w:sz w:val="24"/>
          <w:szCs w:val="24"/>
        </w:rPr>
        <w:t xml:space="preserve"> to capture benefit costs</w:t>
      </w:r>
      <w:r w:rsidRPr="0034158E" w:rsidR="0034158E">
        <w:rPr>
          <w:sz w:val="24"/>
          <w:szCs w:val="24"/>
        </w:rPr>
        <w:t>.</w:t>
      </w:r>
      <w:r w:rsidRPr="0034158E" w:rsidR="0034158E">
        <w:rPr>
          <w:rStyle w:val="301"/>
          <w:szCs w:val="24"/>
        </w:rPr>
        <w:t xml:space="preserve"> </w:t>
      </w:r>
    </w:p>
    <w:p w:rsidR="0034158E" w:rsidP="00BF0D3B" w:rsidRDefault="0034158E" w14:paraId="581FB329" w14:textId="74D6CABF">
      <w:pPr>
        <w:pStyle w:val="300"/>
        <w:ind w:left="720"/>
        <w:rPr>
          <w:rStyle w:val="301"/>
          <w:szCs w:val="24"/>
        </w:rPr>
      </w:pPr>
    </w:p>
    <w:p w:rsidR="0034158E" w:rsidP="00932932" w:rsidRDefault="00BC6029" w14:paraId="6C3A5C03" w14:textId="348B1D2B">
      <w:pPr>
        <w:pStyle w:val="300"/>
        <w:ind w:left="720"/>
        <w:rPr>
          <w:sz w:val="24"/>
          <w:szCs w:val="24"/>
        </w:rPr>
      </w:pPr>
      <w:r>
        <w:rPr>
          <w:rStyle w:val="301"/>
          <w:szCs w:val="24"/>
        </w:rPr>
        <w:t>The average hourly rates used to calculate the estimate are for o</w:t>
      </w:r>
      <w:r w:rsidRPr="0034158E" w:rsidR="0034158E">
        <w:rPr>
          <w:rStyle w:val="301"/>
          <w:szCs w:val="24"/>
        </w:rPr>
        <w:t>wners or operators of livestock facilities</w:t>
      </w:r>
      <w:r>
        <w:rPr>
          <w:rStyle w:val="301"/>
          <w:szCs w:val="24"/>
        </w:rPr>
        <w:t xml:space="preserve"> (</w:t>
      </w:r>
      <w:r w:rsidRPr="0034158E" w:rsidR="0034158E">
        <w:rPr>
          <w:rStyle w:val="301"/>
          <w:szCs w:val="24"/>
        </w:rPr>
        <w:t>$</w:t>
      </w:r>
      <w:r w:rsidR="00E549EF">
        <w:rPr>
          <w:rStyle w:val="301"/>
          <w:szCs w:val="24"/>
        </w:rPr>
        <w:t>3</w:t>
      </w:r>
      <w:r w:rsidR="00A92678">
        <w:rPr>
          <w:rStyle w:val="301"/>
          <w:szCs w:val="24"/>
        </w:rPr>
        <w:t>6</w:t>
      </w:r>
      <w:r w:rsidR="00AE4E60">
        <w:rPr>
          <w:rStyle w:val="301"/>
          <w:szCs w:val="24"/>
        </w:rPr>
        <w:t>.</w:t>
      </w:r>
      <w:r w:rsidR="00A92678">
        <w:rPr>
          <w:rStyle w:val="301"/>
          <w:szCs w:val="24"/>
        </w:rPr>
        <w:t>93</w:t>
      </w:r>
      <w:r>
        <w:rPr>
          <w:rStyle w:val="301"/>
          <w:szCs w:val="24"/>
        </w:rPr>
        <w:t>,</w:t>
      </w:r>
      <w:r w:rsidRPr="0034158E" w:rsidR="0034158E">
        <w:rPr>
          <w:rStyle w:val="301"/>
          <w:szCs w:val="24"/>
        </w:rPr>
        <w:t xml:space="preserve"> </w:t>
      </w:r>
      <w:r w:rsidR="00490C6A">
        <w:rPr>
          <w:rStyle w:val="301"/>
          <w:szCs w:val="24"/>
        </w:rPr>
        <w:t xml:space="preserve">SOCC </w:t>
      </w:r>
      <w:r w:rsidRPr="0034158E" w:rsidR="0034158E">
        <w:rPr>
          <w:rStyle w:val="301"/>
          <w:szCs w:val="24"/>
        </w:rPr>
        <w:t>11-</w:t>
      </w:r>
      <w:r w:rsidRPr="0034158E" w:rsidR="006B08F6">
        <w:rPr>
          <w:rStyle w:val="301"/>
          <w:szCs w:val="24"/>
        </w:rPr>
        <w:t>901</w:t>
      </w:r>
      <w:r w:rsidR="006B08F6">
        <w:rPr>
          <w:rStyle w:val="301"/>
          <w:szCs w:val="24"/>
        </w:rPr>
        <w:t>3</w:t>
      </w:r>
      <w:r>
        <w:rPr>
          <w:rStyle w:val="301"/>
          <w:szCs w:val="24"/>
        </w:rPr>
        <w:t xml:space="preserve"> (f</w:t>
      </w:r>
      <w:r w:rsidRPr="0034158E" w:rsidR="0034158E">
        <w:rPr>
          <w:rStyle w:val="301"/>
          <w:szCs w:val="24"/>
        </w:rPr>
        <w:t xml:space="preserve">arm, </w:t>
      </w:r>
      <w:r>
        <w:rPr>
          <w:rStyle w:val="301"/>
          <w:szCs w:val="24"/>
        </w:rPr>
        <w:t>r</w:t>
      </w:r>
      <w:r w:rsidRPr="0034158E" w:rsidR="0034158E">
        <w:rPr>
          <w:rStyle w:val="301"/>
          <w:szCs w:val="24"/>
        </w:rPr>
        <w:t xml:space="preserve">anch, and </w:t>
      </w:r>
      <w:r>
        <w:rPr>
          <w:rStyle w:val="301"/>
          <w:szCs w:val="24"/>
        </w:rPr>
        <w:t>o</w:t>
      </w:r>
      <w:r w:rsidRPr="0034158E" w:rsidR="0034158E">
        <w:rPr>
          <w:rStyle w:val="301"/>
          <w:szCs w:val="24"/>
        </w:rPr>
        <w:t xml:space="preserve">ther </w:t>
      </w:r>
      <w:r>
        <w:rPr>
          <w:rStyle w:val="301"/>
          <w:szCs w:val="24"/>
        </w:rPr>
        <w:t>a</w:t>
      </w:r>
      <w:r w:rsidRPr="0034158E" w:rsidR="0034158E">
        <w:rPr>
          <w:rStyle w:val="301"/>
          <w:szCs w:val="24"/>
        </w:rPr>
        <w:t xml:space="preserve">gricultural </w:t>
      </w:r>
      <w:r>
        <w:rPr>
          <w:rStyle w:val="301"/>
          <w:szCs w:val="24"/>
        </w:rPr>
        <w:t>m</w:t>
      </w:r>
      <w:r w:rsidRPr="0034158E" w:rsidR="0034158E">
        <w:rPr>
          <w:rStyle w:val="301"/>
          <w:szCs w:val="24"/>
        </w:rPr>
        <w:t>anagers</w:t>
      </w:r>
      <w:r>
        <w:rPr>
          <w:rStyle w:val="301"/>
          <w:szCs w:val="24"/>
        </w:rPr>
        <w:t>))</w:t>
      </w:r>
      <w:r w:rsidR="007870A5">
        <w:rPr>
          <w:rStyle w:val="301"/>
          <w:szCs w:val="24"/>
        </w:rPr>
        <w:t xml:space="preserve"> and </w:t>
      </w:r>
      <w:r w:rsidRPr="0034158E" w:rsidR="0034158E">
        <w:rPr>
          <w:rStyle w:val="301"/>
          <w:szCs w:val="24"/>
        </w:rPr>
        <w:t>State animal health authorities</w:t>
      </w:r>
      <w:r>
        <w:rPr>
          <w:rStyle w:val="301"/>
          <w:szCs w:val="24"/>
        </w:rPr>
        <w:t xml:space="preserve"> (</w:t>
      </w:r>
      <w:r w:rsidRPr="0034158E" w:rsidR="0034158E">
        <w:rPr>
          <w:rStyle w:val="301"/>
          <w:szCs w:val="24"/>
        </w:rPr>
        <w:t>$</w:t>
      </w:r>
      <w:r w:rsidR="00A92678">
        <w:rPr>
          <w:rStyle w:val="301"/>
          <w:szCs w:val="24"/>
        </w:rPr>
        <w:t>60.81</w:t>
      </w:r>
      <w:r>
        <w:rPr>
          <w:rStyle w:val="301"/>
          <w:szCs w:val="24"/>
        </w:rPr>
        <w:t xml:space="preserve">, </w:t>
      </w:r>
      <w:r w:rsidR="00490C6A">
        <w:rPr>
          <w:rStyle w:val="301"/>
          <w:szCs w:val="24"/>
        </w:rPr>
        <w:t xml:space="preserve">SOCC </w:t>
      </w:r>
      <w:r w:rsidRPr="0034158E" w:rsidR="0034158E">
        <w:rPr>
          <w:rStyle w:val="301"/>
          <w:szCs w:val="24"/>
        </w:rPr>
        <w:t xml:space="preserve">11-0000 </w:t>
      </w:r>
      <w:r>
        <w:rPr>
          <w:rStyle w:val="301"/>
          <w:szCs w:val="24"/>
        </w:rPr>
        <w:t>(m</w:t>
      </w:r>
      <w:r w:rsidRPr="0034158E" w:rsidR="0034158E">
        <w:rPr>
          <w:rStyle w:val="301"/>
          <w:szCs w:val="24"/>
        </w:rPr>
        <w:t xml:space="preserve">anagement </w:t>
      </w:r>
      <w:r>
        <w:rPr>
          <w:rStyle w:val="301"/>
          <w:szCs w:val="24"/>
        </w:rPr>
        <w:t>o</w:t>
      </w:r>
      <w:r w:rsidRPr="0034158E" w:rsidR="0034158E">
        <w:rPr>
          <w:rStyle w:val="301"/>
          <w:szCs w:val="24"/>
        </w:rPr>
        <w:t>ccupations</w:t>
      </w:r>
      <w:r>
        <w:rPr>
          <w:rStyle w:val="301"/>
          <w:szCs w:val="24"/>
        </w:rPr>
        <w:t xml:space="preserve">)).  </w:t>
      </w:r>
      <w:r w:rsidRPr="00932932" w:rsidR="00932932">
        <w:rPr>
          <w:sz w:val="24"/>
          <w:szCs w:val="24"/>
        </w:rPr>
        <w:t>According to the BLS Occupational Employment and Wage Statistics website, the national hourly wage estimate for SOCC 11-9013 (farmers, ranchers, and other agricultural managers) has decreased over the last three years.</w:t>
      </w:r>
      <w:r w:rsidR="00932932">
        <w:rPr>
          <w:rStyle w:val="301"/>
          <w:szCs w:val="24"/>
        </w:rPr>
        <w:t xml:space="preserve">  </w:t>
      </w:r>
      <w:r w:rsidRPr="00BC6029">
        <w:rPr>
          <w:rStyle w:val="301"/>
          <w:szCs w:val="24"/>
        </w:rPr>
        <w:t xml:space="preserve">The rates were found at the </w:t>
      </w:r>
      <w:r w:rsidRPr="00BC6029">
        <w:rPr>
          <w:sz w:val="24"/>
          <w:szCs w:val="24"/>
        </w:rPr>
        <w:t xml:space="preserve">U.S. Bureau of Labor Statistics website </w:t>
      </w:r>
      <w:r w:rsidRPr="00932932" w:rsidR="00932932">
        <w:rPr>
          <w:sz w:val="24"/>
          <w:szCs w:val="24"/>
        </w:rPr>
        <w:t>https://www.bls.gov/oes/current/</w:t>
      </w:r>
      <w:r w:rsidR="00932932">
        <w:rPr>
          <w:sz w:val="24"/>
          <w:szCs w:val="24"/>
        </w:rPr>
        <w:br/>
      </w:r>
      <w:r w:rsidRPr="00932932" w:rsidR="00932932">
        <w:rPr>
          <w:sz w:val="24"/>
          <w:szCs w:val="24"/>
        </w:rPr>
        <w:t>oes_stru.htm</w:t>
      </w:r>
      <w:r w:rsidRPr="00BC6029">
        <w:rPr>
          <w:sz w:val="24"/>
          <w:szCs w:val="24"/>
        </w:rPr>
        <w:t>.</w:t>
      </w:r>
    </w:p>
    <w:p w:rsidR="00932932" w:rsidP="00BF0D3B" w:rsidRDefault="00932932" w14:paraId="4D45AA45" w14:textId="1D4EB8F5">
      <w:pPr>
        <w:pStyle w:val="300"/>
        <w:ind w:left="720"/>
        <w:rPr>
          <w:sz w:val="24"/>
          <w:szCs w:val="24"/>
        </w:rPr>
      </w:pPr>
    </w:p>
    <w:p w:rsidRPr="00672B24" w:rsidR="00BC6029" w:rsidP="00BF0D3B" w:rsidRDefault="00932932" w14:paraId="7A6F510F" w14:textId="45C5B524">
      <w:pPr>
        <w:pStyle w:val="300"/>
        <w:ind w:left="720"/>
        <w:rPr>
          <w:sz w:val="24"/>
          <w:szCs w:val="24"/>
        </w:rPr>
      </w:pPr>
      <w:r>
        <w:rPr>
          <w:sz w:val="24"/>
          <w:szCs w:val="24"/>
        </w:rPr>
        <w:t xml:space="preserve">In the </w:t>
      </w:r>
      <w:r w:rsidRPr="00672B24" w:rsidR="00BC6029">
        <w:rPr>
          <w:sz w:val="24"/>
          <w:szCs w:val="24"/>
        </w:rPr>
        <w:t>DOL BLS news release USDL-21-0437 released March 18, 2021,</w:t>
      </w:r>
      <w:r>
        <w:rPr>
          <w:sz w:val="24"/>
          <w:szCs w:val="24"/>
        </w:rPr>
        <w:t xml:space="preserve"> the </w:t>
      </w:r>
      <w:r w:rsidRPr="00672B24" w:rsidR="00BC6029">
        <w:rPr>
          <w:sz w:val="24"/>
          <w:szCs w:val="24"/>
        </w:rPr>
        <w:t>employee benefits account for 31 percent of employee costs, and wages account for the remaining 69 percent. Mathematically, total costs can be calculated as a function of wages using a multiplier of 1.449.</w:t>
      </w:r>
    </w:p>
    <w:p w:rsidR="00BC6029" w:rsidP="0034158E" w:rsidRDefault="00BC6029" w14:paraId="3CE03403" w14:textId="0038398D">
      <w:pPr>
        <w:pStyle w:val="300"/>
        <w:rPr>
          <w:rStyle w:val="301"/>
          <w:szCs w:val="24"/>
        </w:rPr>
      </w:pPr>
    </w:p>
    <w:p w:rsidR="00BC6029" w:rsidP="0034158E" w:rsidRDefault="00BC6029" w14:paraId="08047D44" w14:textId="62632921">
      <w:pPr>
        <w:pStyle w:val="300"/>
        <w:rPr>
          <w:rStyle w:val="301"/>
          <w:szCs w:val="24"/>
        </w:rPr>
      </w:pPr>
    </w:p>
    <w:p w:rsidRPr="00892DE8" w:rsidR="0034158E" w:rsidP="0034158E" w:rsidRDefault="0034158E" w14:paraId="5B6564BD" w14:textId="1BEE992B">
      <w:pPr>
        <w:pStyle w:val="DefaultText"/>
        <w:rPr>
          <w:rStyle w:val="InitialStyle"/>
          <w:rFonts w:ascii="Times New Roman" w:hAnsi="Times New Roman"/>
          <w:b/>
          <w:szCs w:val="24"/>
        </w:rPr>
      </w:pPr>
      <w:r w:rsidRPr="00892DE8">
        <w:rPr>
          <w:rStyle w:val="InitialStyle"/>
          <w:rFonts w:ascii="Times New Roman" w:hAnsi="Times New Roman"/>
          <w:b/>
          <w:szCs w:val="24"/>
        </w:rPr>
        <w:t xml:space="preserve">13.  Provide estimates of the total annual cost burden to respondents or record keepers resulting from the collection of information </w:t>
      </w:r>
      <w:bookmarkStart w:name="_Hlk80352603" w:id="4"/>
      <w:r w:rsidRPr="00892DE8">
        <w:rPr>
          <w:rStyle w:val="InitialStyle"/>
          <w:rFonts w:ascii="Times New Roman" w:hAnsi="Times New Roman"/>
          <w:b/>
          <w:szCs w:val="24"/>
        </w:rPr>
        <w:t>(do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bookmarkEnd w:id="4"/>
    <w:p w:rsidRPr="0034158E" w:rsidR="0034158E" w:rsidP="0034158E" w:rsidRDefault="0034158E" w14:paraId="5BD684D8" w14:textId="77777777">
      <w:pPr>
        <w:pStyle w:val="DefaultText"/>
        <w:rPr>
          <w:rStyle w:val="InitialStyle"/>
          <w:rFonts w:ascii="Times New Roman" w:hAnsi="Times New Roman"/>
          <w:szCs w:val="24"/>
        </w:rPr>
      </w:pPr>
    </w:p>
    <w:p w:rsidRPr="0034158E" w:rsidR="0034158E" w:rsidP="0034158E" w:rsidRDefault="0034158E" w14:paraId="4FB338AC" w14:textId="77777777">
      <w:pPr>
        <w:pStyle w:val="DefaultText"/>
        <w:rPr>
          <w:rStyle w:val="InitialStyle"/>
          <w:rFonts w:ascii="Times New Roman" w:hAnsi="Times New Roman"/>
          <w:b/>
          <w:szCs w:val="24"/>
        </w:rPr>
      </w:pPr>
      <w:r w:rsidRPr="0034158E">
        <w:rPr>
          <w:rStyle w:val="InitialStyle"/>
          <w:rFonts w:ascii="Times New Roman" w:hAnsi="Times New Roman"/>
          <w:szCs w:val="24"/>
        </w:rPr>
        <w:t>No annual cost burden is associated with capital and startup costs, operation and maintenance expenditures, and purchase of services.</w:t>
      </w:r>
    </w:p>
    <w:p w:rsidRPr="0034158E" w:rsidR="0034158E" w:rsidP="0034158E" w:rsidRDefault="0034158E" w14:paraId="2991EF09" w14:textId="77777777">
      <w:pPr>
        <w:pStyle w:val="DefaultText"/>
        <w:rPr>
          <w:rStyle w:val="InitialStyle"/>
          <w:rFonts w:ascii="Times New Roman" w:hAnsi="Times New Roman"/>
          <w:b/>
          <w:szCs w:val="24"/>
        </w:rPr>
      </w:pPr>
    </w:p>
    <w:p w:rsidRPr="0034158E" w:rsidR="0034158E" w:rsidP="0034158E" w:rsidRDefault="0034158E" w14:paraId="5E8BE9DC" w14:textId="77777777">
      <w:pPr>
        <w:pStyle w:val="DefaultText"/>
        <w:rPr>
          <w:rStyle w:val="InitialStyle"/>
          <w:rFonts w:ascii="Times New Roman" w:hAnsi="Times New Roman"/>
          <w:b/>
          <w:szCs w:val="24"/>
        </w:rPr>
      </w:pPr>
    </w:p>
    <w:p w:rsidRPr="00892DE8" w:rsidR="0034158E" w:rsidP="0034158E" w:rsidRDefault="0034158E" w14:paraId="3897829A"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 xml:space="preserve">14.  </w:t>
      </w:r>
      <w:bookmarkStart w:name="_Hlk80349852" w:id="5"/>
      <w:r w:rsidRPr="00892DE8">
        <w:rPr>
          <w:rStyle w:val="InitialStyle"/>
          <w:rFonts w:ascii="Times New Roman" w:hAnsi="Times New Roman"/>
          <w:b/>
          <w:szCs w:val="24"/>
        </w:rPr>
        <w:t>Provide estimates of annualized cost to the Federal government.  Provide a description of the method used to estimate cost and any other expense that would not have been incurred without this collection of information.</w:t>
      </w:r>
    </w:p>
    <w:bookmarkEnd w:id="5"/>
    <w:p w:rsidRPr="0034158E" w:rsidR="0034158E" w:rsidP="0034158E" w:rsidRDefault="0034158E" w14:paraId="277A1414" w14:textId="77777777">
      <w:pPr>
        <w:pStyle w:val="DefaultText"/>
        <w:rPr>
          <w:rStyle w:val="InitialStyle"/>
          <w:rFonts w:ascii="Times New Roman" w:hAnsi="Times New Roman"/>
          <w:szCs w:val="24"/>
        </w:rPr>
      </w:pPr>
    </w:p>
    <w:p w:rsidR="0034158E" w:rsidP="0034158E" w:rsidRDefault="00054EA7" w14:paraId="11611DB5" w14:textId="2E90C8E7">
      <w:pPr>
        <w:pStyle w:val="DefaultText"/>
        <w:rPr>
          <w:rStyle w:val="InitialStyle"/>
          <w:rFonts w:ascii="Times New Roman" w:hAnsi="Times New Roman"/>
          <w:szCs w:val="24"/>
        </w:rPr>
      </w:pPr>
      <w:r>
        <w:rPr>
          <w:rStyle w:val="InitialStyle"/>
          <w:rFonts w:ascii="Times New Roman" w:hAnsi="Times New Roman"/>
          <w:szCs w:val="24"/>
        </w:rPr>
        <w:lastRenderedPageBreak/>
        <w:t xml:space="preserve">See APHIS Form 79. </w:t>
      </w:r>
      <w:r w:rsidRPr="0034158E" w:rsidR="0034158E">
        <w:rPr>
          <w:rStyle w:val="InitialStyle"/>
          <w:rFonts w:ascii="Times New Roman" w:hAnsi="Times New Roman"/>
          <w:szCs w:val="24"/>
        </w:rPr>
        <w:t>The annualized cost to the Federal government is estimat</w:t>
      </w:r>
      <w:r w:rsidR="003754D4">
        <w:rPr>
          <w:rStyle w:val="InitialStyle"/>
          <w:rFonts w:ascii="Times New Roman" w:hAnsi="Times New Roman"/>
          <w:szCs w:val="24"/>
        </w:rPr>
        <w:t>ed at</w:t>
      </w:r>
      <w:r w:rsidR="001F751A">
        <w:rPr>
          <w:rStyle w:val="InitialStyle"/>
          <w:rFonts w:ascii="Times New Roman" w:hAnsi="Times New Roman"/>
          <w:szCs w:val="24"/>
        </w:rPr>
        <w:t xml:space="preserve"> $</w:t>
      </w:r>
      <w:r w:rsidR="00317600">
        <w:rPr>
          <w:rStyle w:val="InitialStyle"/>
          <w:rFonts w:ascii="Times New Roman" w:hAnsi="Times New Roman"/>
          <w:szCs w:val="24"/>
        </w:rPr>
        <w:t>2</w:t>
      </w:r>
      <w:r w:rsidR="003553C2">
        <w:rPr>
          <w:rStyle w:val="InitialStyle"/>
          <w:rFonts w:ascii="Times New Roman" w:hAnsi="Times New Roman"/>
          <w:szCs w:val="24"/>
        </w:rPr>
        <w:t>,</w:t>
      </w:r>
      <w:r w:rsidR="00317600">
        <w:rPr>
          <w:rStyle w:val="InitialStyle"/>
          <w:rFonts w:ascii="Times New Roman" w:hAnsi="Times New Roman"/>
          <w:szCs w:val="24"/>
        </w:rPr>
        <w:t>049</w:t>
      </w:r>
      <w:r w:rsidR="00BC6029">
        <w:rPr>
          <w:rStyle w:val="InitialStyle"/>
          <w:rFonts w:ascii="Times New Roman" w:hAnsi="Times New Roman"/>
          <w:szCs w:val="24"/>
        </w:rPr>
        <w:t>,</w:t>
      </w:r>
      <w:r w:rsidR="00317600">
        <w:rPr>
          <w:rStyle w:val="InitialStyle"/>
          <w:rFonts w:ascii="Times New Roman" w:hAnsi="Times New Roman"/>
          <w:szCs w:val="24"/>
        </w:rPr>
        <w:t>292</w:t>
      </w:r>
      <w:r w:rsidR="0046226A">
        <w:rPr>
          <w:rStyle w:val="InitialStyle"/>
          <w:rFonts w:ascii="Times New Roman" w:hAnsi="Times New Roman"/>
          <w:szCs w:val="24"/>
        </w:rPr>
        <w:t>.</w:t>
      </w:r>
    </w:p>
    <w:p w:rsidR="00FB2A40" w:rsidP="0034158E" w:rsidRDefault="00FB2A40" w14:paraId="1D0AC6DF" w14:textId="417C103C">
      <w:pPr>
        <w:pStyle w:val="DefaultText"/>
        <w:rPr>
          <w:rStyle w:val="InitialStyle"/>
          <w:rFonts w:ascii="Times New Roman" w:hAnsi="Times New Roman"/>
          <w:szCs w:val="24"/>
        </w:rPr>
      </w:pPr>
    </w:p>
    <w:p w:rsidR="00FB2A40" w:rsidP="0034158E" w:rsidRDefault="00FB2A40" w14:paraId="4F87A29D" w14:textId="2176528E">
      <w:pPr>
        <w:pStyle w:val="DefaultText"/>
        <w:rPr>
          <w:rStyle w:val="InitialStyle"/>
          <w:rFonts w:ascii="Times New Roman" w:hAnsi="Times New Roman"/>
          <w:szCs w:val="24"/>
        </w:rPr>
      </w:pPr>
    </w:p>
    <w:p w:rsidRPr="00010BC7" w:rsidR="0034158E" w:rsidP="0034158E" w:rsidRDefault="0034158E" w14:paraId="5139A9B1" w14:textId="3BA8F1C2">
      <w:pPr>
        <w:pStyle w:val="DefaultText"/>
        <w:rPr>
          <w:rStyle w:val="InitialStyle"/>
          <w:rFonts w:ascii="Times New Roman" w:hAnsi="Times New Roman"/>
          <w:b/>
          <w:szCs w:val="24"/>
        </w:rPr>
      </w:pPr>
      <w:r w:rsidRPr="00892DE8">
        <w:rPr>
          <w:rStyle w:val="InitialStyle"/>
          <w:rFonts w:ascii="Times New Roman" w:hAnsi="Times New Roman"/>
          <w:b/>
          <w:szCs w:val="24"/>
        </w:rPr>
        <w:t xml:space="preserve">15.  </w:t>
      </w:r>
      <w:bookmarkStart w:name="_Hlk80350257" w:id="6"/>
      <w:r w:rsidRPr="00892DE8">
        <w:rPr>
          <w:rStyle w:val="InitialStyle"/>
          <w:rFonts w:ascii="Times New Roman" w:hAnsi="Times New Roman"/>
          <w:b/>
          <w:szCs w:val="24"/>
        </w:rPr>
        <w:t>Explain the reasons for any program changes or adjustments reported in Items 13 or 14 of the OMB Form 83-1.</w:t>
      </w:r>
      <w:bookmarkEnd w:id="6"/>
    </w:p>
    <w:p w:rsidRPr="00357A07" w:rsidR="000B5473" w:rsidP="000B5473" w:rsidRDefault="000B5473" w14:paraId="0A18F6BE" w14:textId="325CCB96">
      <w:pPr>
        <w:overflowPunct/>
        <w:autoSpaceDE/>
        <w:autoSpaceDN/>
        <w:adjustRightInd/>
        <w:textAlignment w:val="auto"/>
        <w:rPr>
          <w:sz w:val="24"/>
          <w:szCs w:val="24"/>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2"/>
        <w:gridCol w:w="1341"/>
        <w:gridCol w:w="1341"/>
        <w:gridCol w:w="1342"/>
        <w:gridCol w:w="1341"/>
        <w:gridCol w:w="1341"/>
        <w:gridCol w:w="1342"/>
      </w:tblGrid>
      <w:tr w:rsidRPr="00357A07" w:rsidR="00357A07" w:rsidTr="007630B2" w14:paraId="4812BFAD" w14:textId="77777777">
        <w:trPr>
          <w:trHeight w:val="736"/>
        </w:trPr>
        <w:tc>
          <w:tcPr>
            <w:tcW w:w="1492" w:type="dxa"/>
            <w:shd w:val="clear" w:color="auto" w:fill="auto"/>
            <w:vAlign w:val="center"/>
          </w:tcPr>
          <w:p w:rsidRPr="00010BC7" w:rsidR="00A92678" w:rsidP="009A00CE" w:rsidRDefault="00A92678" w14:paraId="3A8B9597" w14:textId="77777777">
            <w:pPr>
              <w:jc w:val="center"/>
              <w:rPr>
                <w:rFonts w:ascii="Arial" w:hAnsi="Arial" w:eastAsia="Calibri" w:cs="Arial"/>
                <w:b/>
                <w:bCs/>
                <w:sz w:val="16"/>
                <w:szCs w:val="22"/>
              </w:rPr>
            </w:pPr>
          </w:p>
        </w:tc>
        <w:tc>
          <w:tcPr>
            <w:tcW w:w="1341" w:type="dxa"/>
            <w:shd w:val="clear" w:color="auto" w:fill="auto"/>
            <w:vAlign w:val="center"/>
          </w:tcPr>
          <w:p w:rsidRPr="00010BC7" w:rsidR="00A92678" w:rsidP="009A00CE" w:rsidRDefault="00A92678" w14:paraId="17F6A4D7" w14:textId="77777777">
            <w:pPr>
              <w:jc w:val="center"/>
              <w:rPr>
                <w:rFonts w:ascii="Arial" w:hAnsi="Arial" w:eastAsia="Calibri" w:cs="Arial"/>
                <w:b/>
                <w:bCs/>
                <w:sz w:val="16"/>
                <w:szCs w:val="22"/>
              </w:rPr>
            </w:pPr>
            <w:r w:rsidRPr="00010BC7">
              <w:rPr>
                <w:rFonts w:ascii="Arial" w:hAnsi="Arial" w:eastAsia="Calibri" w:cs="Arial"/>
                <w:b/>
                <w:bCs/>
                <w:sz w:val="16"/>
                <w:szCs w:val="16"/>
              </w:rPr>
              <w:t>Requested</w:t>
            </w:r>
          </w:p>
        </w:tc>
        <w:tc>
          <w:tcPr>
            <w:tcW w:w="1341" w:type="dxa"/>
            <w:shd w:val="clear" w:color="auto" w:fill="auto"/>
            <w:vAlign w:val="center"/>
          </w:tcPr>
          <w:p w:rsidRPr="00010BC7" w:rsidR="00A92678" w:rsidP="009A00CE" w:rsidRDefault="00A92678" w14:paraId="6C1E7D8E" w14:textId="77777777">
            <w:pPr>
              <w:jc w:val="center"/>
              <w:rPr>
                <w:rFonts w:ascii="Arial" w:hAnsi="Arial" w:eastAsia="Calibri" w:cs="Arial"/>
                <w:b/>
                <w:bCs/>
                <w:sz w:val="16"/>
                <w:szCs w:val="22"/>
              </w:rPr>
            </w:pPr>
            <w:r w:rsidRPr="00010BC7">
              <w:rPr>
                <w:rFonts w:ascii="Arial" w:hAnsi="Arial" w:eastAsia="Calibri" w:cs="Arial"/>
                <w:b/>
                <w:bCs/>
                <w:sz w:val="16"/>
                <w:szCs w:val="16"/>
              </w:rPr>
              <w:t>Program Change Due to New Statute</w:t>
            </w:r>
          </w:p>
        </w:tc>
        <w:tc>
          <w:tcPr>
            <w:tcW w:w="1342" w:type="dxa"/>
            <w:shd w:val="clear" w:color="auto" w:fill="auto"/>
            <w:vAlign w:val="center"/>
          </w:tcPr>
          <w:p w:rsidRPr="00010BC7" w:rsidR="00A92678" w:rsidP="009A00CE" w:rsidRDefault="00A92678" w14:paraId="68C3AC4A" w14:textId="77777777">
            <w:pPr>
              <w:jc w:val="center"/>
              <w:rPr>
                <w:rFonts w:ascii="Arial" w:hAnsi="Arial" w:eastAsia="Calibri" w:cs="Arial"/>
                <w:b/>
                <w:bCs/>
                <w:sz w:val="16"/>
                <w:szCs w:val="22"/>
              </w:rPr>
            </w:pPr>
            <w:r w:rsidRPr="00010BC7">
              <w:rPr>
                <w:rFonts w:ascii="Arial" w:hAnsi="Arial" w:eastAsia="Calibri" w:cs="Arial"/>
                <w:b/>
                <w:bCs/>
                <w:sz w:val="16"/>
                <w:szCs w:val="16"/>
              </w:rPr>
              <w:t>Program Change Due to Agency Discretion</w:t>
            </w:r>
          </w:p>
        </w:tc>
        <w:tc>
          <w:tcPr>
            <w:tcW w:w="1341" w:type="dxa"/>
            <w:shd w:val="clear" w:color="auto" w:fill="auto"/>
            <w:vAlign w:val="center"/>
          </w:tcPr>
          <w:p w:rsidRPr="00010BC7" w:rsidR="00A92678" w:rsidP="009A00CE" w:rsidRDefault="00A92678" w14:paraId="35B58EE4" w14:textId="77777777">
            <w:pPr>
              <w:jc w:val="center"/>
              <w:rPr>
                <w:rFonts w:ascii="Arial" w:hAnsi="Arial" w:eastAsia="Calibri" w:cs="Arial"/>
                <w:b/>
                <w:bCs/>
                <w:sz w:val="16"/>
                <w:szCs w:val="22"/>
              </w:rPr>
            </w:pPr>
            <w:r w:rsidRPr="00010BC7">
              <w:rPr>
                <w:rFonts w:ascii="Arial" w:hAnsi="Arial" w:eastAsia="Calibri" w:cs="Arial"/>
                <w:b/>
                <w:bCs/>
                <w:sz w:val="16"/>
                <w:szCs w:val="16"/>
              </w:rPr>
              <w:t>Change Due to Adjustment in Agency Estimate</w:t>
            </w:r>
          </w:p>
        </w:tc>
        <w:tc>
          <w:tcPr>
            <w:tcW w:w="1341" w:type="dxa"/>
            <w:shd w:val="clear" w:color="auto" w:fill="auto"/>
            <w:vAlign w:val="center"/>
          </w:tcPr>
          <w:p w:rsidRPr="00010BC7" w:rsidR="00A92678" w:rsidP="009A00CE" w:rsidRDefault="00A92678" w14:paraId="11378BE9" w14:textId="77777777">
            <w:pPr>
              <w:jc w:val="center"/>
              <w:rPr>
                <w:rFonts w:ascii="Arial" w:hAnsi="Arial" w:eastAsia="Calibri" w:cs="Arial"/>
                <w:b/>
                <w:bCs/>
                <w:sz w:val="16"/>
                <w:szCs w:val="22"/>
              </w:rPr>
            </w:pPr>
            <w:r w:rsidRPr="00010BC7">
              <w:rPr>
                <w:rFonts w:ascii="Arial" w:hAnsi="Arial" w:eastAsia="Calibri" w:cs="Arial"/>
                <w:b/>
                <w:bCs/>
                <w:sz w:val="16"/>
                <w:szCs w:val="16"/>
              </w:rPr>
              <w:t>Change Due to Potential Violation of the PRA</w:t>
            </w:r>
          </w:p>
        </w:tc>
        <w:tc>
          <w:tcPr>
            <w:tcW w:w="1342" w:type="dxa"/>
            <w:shd w:val="clear" w:color="auto" w:fill="auto"/>
            <w:vAlign w:val="center"/>
          </w:tcPr>
          <w:p w:rsidRPr="00010BC7" w:rsidR="00A92678" w:rsidP="009A00CE" w:rsidRDefault="00A92678" w14:paraId="1AFF1D46" w14:textId="77777777">
            <w:pPr>
              <w:jc w:val="center"/>
              <w:rPr>
                <w:rFonts w:ascii="Arial" w:hAnsi="Arial" w:eastAsia="Calibri" w:cs="Arial"/>
                <w:b/>
                <w:bCs/>
                <w:sz w:val="16"/>
                <w:szCs w:val="22"/>
              </w:rPr>
            </w:pPr>
            <w:r w:rsidRPr="00010BC7">
              <w:rPr>
                <w:rFonts w:ascii="Arial" w:hAnsi="Arial" w:eastAsia="Calibri" w:cs="Arial"/>
                <w:b/>
                <w:bCs/>
                <w:sz w:val="16"/>
                <w:szCs w:val="16"/>
              </w:rPr>
              <w:t>Previously Approved</w:t>
            </w:r>
          </w:p>
        </w:tc>
      </w:tr>
      <w:tr w:rsidRPr="001B6797" w:rsidR="00A92678" w:rsidTr="007630B2" w14:paraId="0A8CF7A8" w14:textId="77777777">
        <w:trPr>
          <w:trHeight w:val="736"/>
        </w:trPr>
        <w:tc>
          <w:tcPr>
            <w:tcW w:w="1492" w:type="dxa"/>
            <w:shd w:val="clear" w:color="auto" w:fill="auto"/>
            <w:vAlign w:val="center"/>
          </w:tcPr>
          <w:p w:rsidRPr="00010BC7" w:rsidR="00A92678" w:rsidP="009A00CE" w:rsidRDefault="00A92678" w14:paraId="12502100" w14:textId="77777777">
            <w:pPr>
              <w:rPr>
                <w:rFonts w:ascii="Arial" w:hAnsi="Arial" w:eastAsia="Calibri" w:cs="Arial"/>
                <w:b/>
                <w:bCs/>
                <w:sz w:val="16"/>
                <w:szCs w:val="22"/>
              </w:rPr>
            </w:pPr>
            <w:r w:rsidRPr="00010BC7">
              <w:rPr>
                <w:rFonts w:ascii="Arial" w:hAnsi="Arial" w:eastAsia="Calibri" w:cs="Arial"/>
                <w:b/>
                <w:bCs/>
                <w:sz w:val="16"/>
                <w:szCs w:val="16"/>
              </w:rPr>
              <w:t>Annual Number of Responses</w:t>
            </w:r>
          </w:p>
        </w:tc>
        <w:tc>
          <w:tcPr>
            <w:tcW w:w="1341" w:type="dxa"/>
            <w:shd w:val="clear" w:color="auto" w:fill="auto"/>
            <w:vAlign w:val="center"/>
          </w:tcPr>
          <w:p w:rsidRPr="00010BC7" w:rsidR="00A92678" w:rsidP="00010BC7" w:rsidRDefault="00A92678" w14:paraId="270EA59D" w14:textId="1FEEBC3D">
            <w:pPr>
              <w:jc w:val="center"/>
              <w:rPr>
                <w:rFonts w:eastAsia="Calibri"/>
                <w:bCs/>
                <w:sz w:val="22"/>
                <w:szCs w:val="22"/>
              </w:rPr>
            </w:pPr>
            <w:r w:rsidRPr="00010BC7">
              <w:rPr>
                <w:rFonts w:eastAsia="Calibri"/>
                <w:bCs/>
                <w:sz w:val="22"/>
                <w:szCs w:val="22"/>
              </w:rPr>
              <w:t>24,703</w:t>
            </w:r>
          </w:p>
        </w:tc>
        <w:tc>
          <w:tcPr>
            <w:tcW w:w="1341" w:type="dxa"/>
            <w:shd w:val="clear" w:color="auto" w:fill="auto"/>
            <w:vAlign w:val="center"/>
          </w:tcPr>
          <w:p w:rsidRPr="00010BC7" w:rsidR="00A92678" w:rsidP="00010BC7" w:rsidRDefault="00A92678" w14:paraId="77F43CBE" w14:textId="77777777">
            <w:pPr>
              <w:jc w:val="center"/>
              <w:rPr>
                <w:rFonts w:eastAsia="Calibri"/>
                <w:bCs/>
                <w:sz w:val="22"/>
                <w:szCs w:val="22"/>
              </w:rPr>
            </w:pPr>
            <w:r w:rsidRPr="00010BC7">
              <w:rPr>
                <w:rFonts w:eastAsia="Calibri"/>
                <w:bCs/>
                <w:sz w:val="22"/>
                <w:szCs w:val="22"/>
              </w:rPr>
              <w:t>0</w:t>
            </w:r>
          </w:p>
        </w:tc>
        <w:tc>
          <w:tcPr>
            <w:tcW w:w="1342" w:type="dxa"/>
            <w:shd w:val="clear" w:color="auto" w:fill="auto"/>
            <w:vAlign w:val="center"/>
          </w:tcPr>
          <w:p w:rsidRPr="00010BC7" w:rsidR="00A92678" w:rsidP="00010BC7" w:rsidRDefault="00A92678" w14:paraId="6FCB3484" w14:textId="77777777">
            <w:pPr>
              <w:jc w:val="center"/>
              <w:rPr>
                <w:rFonts w:eastAsia="Calibri"/>
                <w:bCs/>
                <w:sz w:val="22"/>
                <w:szCs w:val="22"/>
              </w:rPr>
            </w:pPr>
            <w:r w:rsidRPr="00010BC7">
              <w:rPr>
                <w:rFonts w:eastAsia="Calibri"/>
                <w:bCs/>
                <w:sz w:val="22"/>
                <w:szCs w:val="22"/>
              </w:rPr>
              <w:t>0</w:t>
            </w:r>
          </w:p>
        </w:tc>
        <w:tc>
          <w:tcPr>
            <w:tcW w:w="1341" w:type="dxa"/>
            <w:shd w:val="clear" w:color="auto" w:fill="auto"/>
            <w:vAlign w:val="center"/>
          </w:tcPr>
          <w:p w:rsidRPr="00010BC7" w:rsidR="00A92678" w:rsidP="00010BC7" w:rsidRDefault="005A2F68" w14:paraId="61AA9095" w14:textId="6E97C781">
            <w:pPr>
              <w:jc w:val="center"/>
              <w:rPr>
                <w:rFonts w:eastAsia="Calibri"/>
                <w:bCs/>
                <w:sz w:val="22"/>
                <w:szCs w:val="22"/>
              </w:rPr>
            </w:pPr>
            <w:r>
              <w:rPr>
                <w:rFonts w:eastAsia="Calibri"/>
                <w:bCs/>
                <w:sz w:val="22"/>
                <w:szCs w:val="22"/>
              </w:rPr>
              <w:t>2</w:t>
            </w:r>
            <w:r w:rsidR="002F250B">
              <w:rPr>
                <w:rFonts w:eastAsia="Calibri"/>
                <w:bCs/>
                <w:sz w:val="22"/>
                <w:szCs w:val="22"/>
              </w:rPr>
              <w:t>3,071</w:t>
            </w:r>
          </w:p>
        </w:tc>
        <w:tc>
          <w:tcPr>
            <w:tcW w:w="1341" w:type="dxa"/>
            <w:shd w:val="clear" w:color="auto" w:fill="auto"/>
            <w:vAlign w:val="center"/>
          </w:tcPr>
          <w:p w:rsidRPr="00010BC7" w:rsidR="00A92678" w:rsidP="00010BC7" w:rsidRDefault="00A92678" w14:paraId="67797BDE" w14:textId="77777777">
            <w:pPr>
              <w:jc w:val="center"/>
              <w:rPr>
                <w:rFonts w:eastAsia="Calibri"/>
                <w:bCs/>
                <w:sz w:val="22"/>
                <w:szCs w:val="22"/>
              </w:rPr>
            </w:pPr>
            <w:r w:rsidRPr="00010BC7">
              <w:rPr>
                <w:rFonts w:eastAsia="Calibri"/>
                <w:bCs/>
                <w:sz w:val="22"/>
                <w:szCs w:val="22"/>
              </w:rPr>
              <w:t>0</w:t>
            </w:r>
          </w:p>
        </w:tc>
        <w:tc>
          <w:tcPr>
            <w:tcW w:w="1342" w:type="dxa"/>
            <w:shd w:val="clear" w:color="auto" w:fill="auto"/>
            <w:vAlign w:val="center"/>
          </w:tcPr>
          <w:p w:rsidRPr="00010BC7" w:rsidR="00A92678" w:rsidP="00010BC7" w:rsidRDefault="002F250B" w14:paraId="3A91E863" w14:textId="4B9D7A59">
            <w:pPr>
              <w:jc w:val="center"/>
              <w:rPr>
                <w:rFonts w:eastAsia="Calibri"/>
                <w:bCs/>
                <w:sz w:val="22"/>
                <w:szCs w:val="22"/>
              </w:rPr>
            </w:pPr>
            <w:r>
              <w:rPr>
                <w:rFonts w:eastAsia="Calibri"/>
                <w:bCs/>
                <w:sz w:val="22"/>
                <w:szCs w:val="22"/>
              </w:rPr>
              <w:t>1,632</w:t>
            </w:r>
          </w:p>
        </w:tc>
      </w:tr>
      <w:tr w:rsidRPr="001B6797" w:rsidR="00A92678" w:rsidTr="007630B2" w14:paraId="69ACA162" w14:textId="77777777">
        <w:trPr>
          <w:trHeight w:val="736"/>
        </w:trPr>
        <w:tc>
          <w:tcPr>
            <w:tcW w:w="1492" w:type="dxa"/>
            <w:shd w:val="clear" w:color="auto" w:fill="auto"/>
            <w:vAlign w:val="center"/>
          </w:tcPr>
          <w:p w:rsidRPr="00010BC7" w:rsidR="00A92678" w:rsidP="009A00CE" w:rsidRDefault="00A92678" w14:paraId="5D05ABC4" w14:textId="77777777">
            <w:pPr>
              <w:rPr>
                <w:rFonts w:ascii="Arial" w:hAnsi="Arial" w:eastAsia="Calibri" w:cs="Arial"/>
                <w:b/>
                <w:bCs/>
                <w:sz w:val="16"/>
                <w:szCs w:val="22"/>
              </w:rPr>
            </w:pPr>
            <w:r w:rsidRPr="00010BC7">
              <w:rPr>
                <w:rFonts w:ascii="Arial" w:hAnsi="Arial" w:eastAsia="Calibri" w:cs="Arial"/>
                <w:b/>
                <w:bCs/>
                <w:sz w:val="16"/>
                <w:szCs w:val="16"/>
              </w:rPr>
              <w:t>Annual Time Burden (Hours)</w:t>
            </w:r>
          </w:p>
        </w:tc>
        <w:tc>
          <w:tcPr>
            <w:tcW w:w="1341" w:type="dxa"/>
            <w:shd w:val="clear" w:color="auto" w:fill="auto"/>
            <w:vAlign w:val="center"/>
          </w:tcPr>
          <w:p w:rsidRPr="00010BC7" w:rsidR="00A92678" w:rsidP="00010BC7" w:rsidRDefault="00A92678" w14:paraId="3D9B5FD6" w14:textId="44CAD47A">
            <w:pPr>
              <w:jc w:val="center"/>
              <w:rPr>
                <w:rFonts w:eastAsia="Calibri"/>
                <w:bCs/>
                <w:sz w:val="22"/>
                <w:szCs w:val="22"/>
              </w:rPr>
            </w:pPr>
            <w:r w:rsidRPr="00010BC7">
              <w:rPr>
                <w:rFonts w:eastAsia="Calibri"/>
                <w:bCs/>
                <w:sz w:val="22"/>
                <w:szCs w:val="22"/>
              </w:rPr>
              <w:t>24,703</w:t>
            </w:r>
          </w:p>
        </w:tc>
        <w:tc>
          <w:tcPr>
            <w:tcW w:w="1341" w:type="dxa"/>
            <w:shd w:val="clear" w:color="auto" w:fill="auto"/>
            <w:vAlign w:val="center"/>
          </w:tcPr>
          <w:p w:rsidRPr="00010BC7" w:rsidR="00A92678" w:rsidP="00010BC7" w:rsidRDefault="00A92678" w14:paraId="0CB86239" w14:textId="77777777">
            <w:pPr>
              <w:jc w:val="center"/>
              <w:rPr>
                <w:rFonts w:eastAsia="Calibri"/>
                <w:bCs/>
                <w:sz w:val="22"/>
                <w:szCs w:val="22"/>
              </w:rPr>
            </w:pPr>
            <w:r w:rsidRPr="00010BC7">
              <w:rPr>
                <w:rFonts w:eastAsia="Calibri"/>
                <w:bCs/>
                <w:sz w:val="22"/>
                <w:szCs w:val="22"/>
              </w:rPr>
              <w:t>0</w:t>
            </w:r>
          </w:p>
        </w:tc>
        <w:tc>
          <w:tcPr>
            <w:tcW w:w="1342" w:type="dxa"/>
            <w:shd w:val="clear" w:color="auto" w:fill="auto"/>
            <w:vAlign w:val="center"/>
          </w:tcPr>
          <w:p w:rsidRPr="00010BC7" w:rsidR="00A92678" w:rsidP="00010BC7" w:rsidRDefault="00A92678" w14:paraId="189CD124" w14:textId="77777777">
            <w:pPr>
              <w:jc w:val="center"/>
              <w:rPr>
                <w:rFonts w:eastAsia="Calibri"/>
                <w:bCs/>
                <w:sz w:val="22"/>
                <w:szCs w:val="22"/>
              </w:rPr>
            </w:pPr>
            <w:r w:rsidRPr="00010BC7">
              <w:rPr>
                <w:rFonts w:eastAsia="Calibri"/>
                <w:bCs/>
                <w:sz w:val="22"/>
                <w:szCs w:val="22"/>
              </w:rPr>
              <w:t>0</w:t>
            </w:r>
          </w:p>
        </w:tc>
        <w:tc>
          <w:tcPr>
            <w:tcW w:w="1341" w:type="dxa"/>
            <w:shd w:val="clear" w:color="auto" w:fill="auto"/>
            <w:vAlign w:val="center"/>
          </w:tcPr>
          <w:p w:rsidRPr="00010BC7" w:rsidR="00A92678" w:rsidP="00010BC7" w:rsidRDefault="0046226A" w14:paraId="531020E7" w14:textId="423B7EEA">
            <w:pPr>
              <w:jc w:val="center"/>
              <w:rPr>
                <w:rFonts w:eastAsia="Calibri"/>
                <w:bCs/>
                <w:sz w:val="22"/>
                <w:szCs w:val="22"/>
              </w:rPr>
            </w:pPr>
            <w:r w:rsidRPr="00010BC7">
              <w:rPr>
                <w:rFonts w:eastAsia="Calibri"/>
                <w:bCs/>
                <w:sz w:val="22"/>
                <w:szCs w:val="22"/>
              </w:rPr>
              <w:t>23,071</w:t>
            </w:r>
          </w:p>
        </w:tc>
        <w:tc>
          <w:tcPr>
            <w:tcW w:w="1341" w:type="dxa"/>
            <w:shd w:val="clear" w:color="auto" w:fill="auto"/>
            <w:vAlign w:val="center"/>
          </w:tcPr>
          <w:p w:rsidRPr="00010BC7" w:rsidR="00A92678" w:rsidP="00010BC7" w:rsidRDefault="00A92678" w14:paraId="2CCB1B0E" w14:textId="77777777">
            <w:pPr>
              <w:jc w:val="center"/>
              <w:rPr>
                <w:rFonts w:eastAsia="Calibri"/>
                <w:bCs/>
                <w:sz w:val="22"/>
                <w:szCs w:val="22"/>
              </w:rPr>
            </w:pPr>
            <w:r w:rsidRPr="00010BC7">
              <w:rPr>
                <w:rFonts w:eastAsia="Calibri"/>
                <w:bCs/>
                <w:sz w:val="22"/>
                <w:szCs w:val="22"/>
              </w:rPr>
              <w:t>0</w:t>
            </w:r>
          </w:p>
        </w:tc>
        <w:tc>
          <w:tcPr>
            <w:tcW w:w="1342" w:type="dxa"/>
            <w:shd w:val="clear" w:color="auto" w:fill="auto"/>
            <w:vAlign w:val="center"/>
          </w:tcPr>
          <w:p w:rsidRPr="00010BC7" w:rsidR="00A92678" w:rsidP="00010BC7" w:rsidRDefault="00A92678" w14:paraId="06D9B976" w14:textId="77777777">
            <w:pPr>
              <w:jc w:val="center"/>
              <w:rPr>
                <w:rFonts w:eastAsia="Calibri"/>
                <w:bCs/>
                <w:sz w:val="22"/>
                <w:szCs w:val="22"/>
              </w:rPr>
            </w:pPr>
            <w:r w:rsidRPr="00010BC7">
              <w:rPr>
                <w:rFonts w:eastAsia="Calibri"/>
                <w:bCs/>
                <w:sz w:val="22"/>
                <w:szCs w:val="22"/>
              </w:rPr>
              <w:t>1,632</w:t>
            </w:r>
          </w:p>
        </w:tc>
      </w:tr>
    </w:tbl>
    <w:p w:rsidR="000B5473" w:rsidP="0034158E" w:rsidRDefault="000B5473" w14:paraId="5160375F" w14:textId="77777777">
      <w:pPr>
        <w:pStyle w:val="DefaultText"/>
        <w:rPr>
          <w:rStyle w:val="InitialStyle"/>
          <w:rFonts w:ascii="Times New Roman" w:hAnsi="Times New Roman"/>
          <w:szCs w:val="24"/>
        </w:rPr>
      </w:pPr>
    </w:p>
    <w:p w:rsidR="00C54515" w:rsidP="00D7761B" w:rsidRDefault="00C54515" w14:paraId="1E7FCB6B" w14:textId="1D54FA77">
      <w:pPr>
        <w:rPr>
          <w:rStyle w:val="InitialStyle"/>
          <w:rFonts w:ascii="Times New Roman" w:hAnsi="Times New Roman"/>
          <w:szCs w:val="24"/>
        </w:rPr>
      </w:pPr>
      <w:r>
        <w:rPr>
          <w:rStyle w:val="InitialStyle"/>
          <w:rFonts w:ascii="Times New Roman" w:hAnsi="Times New Roman"/>
          <w:szCs w:val="24"/>
        </w:rPr>
        <w:t xml:space="preserve">This request for renewal is for 24,703 estimated </w:t>
      </w:r>
      <w:r w:rsidR="00B206C9">
        <w:rPr>
          <w:rStyle w:val="InitialStyle"/>
          <w:rFonts w:ascii="Times New Roman" w:hAnsi="Times New Roman"/>
          <w:szCs w:val="24"/>
        </w:rPr>
        <w:t xml:space="preserve">annual </w:t>
      </w:r>
      <w:r>
        <w:rPr>
          <w:rStyle w:val="InitialStyle"/>
          <w:rFonts w:ascii="Times New Roman" w:hAnsi="Times New Roman"/>
          <w:szCs w:val="24"/>
        </w:rPr>
        <w:t xml:space="preserve">responses and 24,703 estimated </w:t>
      </w:r>
      <w:r w:rsidR="00B206C9">
        <w:rPr>
          <w:rStyle w:val="InitialStyle"/>
          <w:rFonts w:ascii="Times New Roman" w:hAnsi="Times New Roman"/>
          <w:szCs w:val="24"/>
        </w:rPr>
        <w:t xml:space="preserve">annual </w:t>
      </w:r>
      <w:r>
        <w:rPr>
          <w:rStyle w:val="InitialStyle"/>
          <w:rFonts w:ascii="Times New Roman" w:hAnsi="Times New Roman"/>
          <w:szCs w:val="24"/>
        </w:rPr>
        <w:t xml:space="preserve">burden hours, reflecting </w:t>
      </w:r>
      <w:r w:rsidR="005A2F68">
        <w:rPr>
          <w:rStyle w:val="InitialStyle"/>
          <w:rFonts w:ascii="Times New Roman" w:hAnsi="Times New Roman"/>
          <w:szCs w:val="24"/>
        </w:rPr>
        <w:t xml:space="preserve">increases </w:t>
      </w:r>
      <w:r>
        <w:rPr>
          <w:rStyle w:val="InitialStyle"/>
          <w:rFonts w:ascii="Times New Roman" w:hAnsi="Times New Roman"/>
          <w:szCs w:val="24"/>
        </w:rPr>
        <w:t>of 2</w:t>
      </w:r>
      <w:r w:rsidR="002F250B">
        <w:rPr>
          <w:rStyle w:val="InitialStyle"/>
          <w:rFonts w:ascii="Times New Roman" w:hAnsi="Times New Roman"/>
          <w:szCs w:val="24"/>
        </w:rPr>
        <w:t>3</w:t>
      </w:r>
      <w:r>
        <w:rPr>
          <w:rStyle w:val="InitialStyle"/>
          <w:rFonts w:ascii="Times New Roman" w:hAnsi="Times New Roman"/>
          <w:szCs w:val="24"/>
        </w:rPr>
        <w:t>,</w:t>
      </w:r>
      <w:r w:rsidR="002F250B">
        <w:rPr>
          <w:rStyle w:val="InitialStyle"/>
          <w:rFonts w:ascii="Times New Roman" w:hAnsi="Times New Roman"/>
          <w:szCs w:val="24"/>
        </w:rPr>
        <w:t>071</w:t>
      </w:r>
      <w:r>
        <w:rPr>
          <w:rStyle w:val="InitialStyle"/>
          <w:rFonts w:ascii="Times New Roman" w:hAnsi="Times New Roman"/>
          <w:szCs w:val="24"/>
        </w:rPr>
        <w:t xml:space="preserve"> responses and 23,071 hours of burden from the previous renewal request.</w:t>
      </w:r>
      <w:r w:rsidR="007870A5">
        <w:rPr>
          <w:rStyle w:val="InitialStyle"/>
          <w:rFonts w:ascii="Times New Roman" w:hAnsi="Times New Roman"/>
          <w:szCs w:val="24"/>
        </w:rPr>
        <w:t xml:space="preserve">  The estimated total number of respondents </w:t>
      </w:r>
      <w:r w:rsidR="00174F33">
        <w:rPr>
          <w:rStyle w:val="InitialStyle"/>
          <w:rFonts w:ascii="Times New Roman" w:hAnsi="Times New Roman"/>
          <w:szCs w:val="24"/>
        </w:rPr>
        <w:t>increas</w:t>
      </w:r>
      <w:r w:rsidR="0056030B">
        <w:rPr>
          <w:rStyle w:val="InitialStyle"/>
          <w:rFonts w:ascii="Times New Roman" w:hAnsi="Times New Roman"/>
          <w:szCs w:val="24"/>
        </w:rPr>
        <w:t>ing</w:t>
      </w:r>
      <w:r w:rsidR="00174F33">
        <w:rPr>
          <w:rStyle w:val="InitialStyle"/>
          <w:rFonts w:ascii="Times New Roman" w:hAnsi="Times New Roman"/>
          <w:szCs w:val="24"/>
        </w:rPr>
        <w:t xml:space="preserve"> from 136 to 158.</w:t>
      </w:r>
    </w:p>
    <w:p w:rsidR="00C54515" w:rsidP="00D7761B" w:rsidRDefault="00C54515" w14:paraId="7D95BE3A" w14:textId="77777777">
      <w:pPr>
        <w:rPr>
          <w:rStyle w:val="InitialStyle"/>
          <w:rFonts w:ascii="Times New Roman" w:hAnsi="Times New Roman"/>
          <w:szCs w:val="24"/>
        </w:rPr>
      </w:pPr>
    </w:p>
    <w:p w:rsidRPr="00D7761B" w:rsidR="00D7761B" w:rsidP="00D7761B" w:rsidRDefault="00C54515" w14:paraId="0F0138D4" w14:textId="17CDB784">
      <w:pPr>
        <w:rPr>
          <w:rStyle w:val="InitialStyle"/>
          <w:rFonts w:ascii="Times New Roman" w:hAnsi="Times New Roman"/>
          <w:szCs w:val="24"/>
        </w:rPr>
      </w:pPr>
      <w:r>
        <w:rPr>
          <w:rStyle w:val="InitialStyle"/>
          <w:rFonts w:ascii="Times New Roman" w:hAnsi="Times New Roman"/>
          <w:szCs w:val="24"/>
        </w:rPr>
        <w:t xml:space="preserve">Adjustments to the Agency estimates </w:t>
      </w:r>
      <w:r w:rsidR="00B206C9">
        <w:rPr>
          <w:rStyle w:val="InitialStyle"/>
          <w:rFonts w:ascii="Times New Roman" w:hAnsi="Times New Roman"/>
          <w:szCs w:val="24"/>
        </w:rPr>
        <w:t>are</w:t>
      </w:r>
      <w:r>
        <w:rPr>
          <w:rStyle w:val="InitialStyle"/>
          <w:rFonts w:ascii="Times New Roman" w:hAnsi="Times New Roman"/>
          <w:szCs w:val="24"/>
        </w:rPr>
        <w:t xml:space="preserve"> </w:t>
      </w:r>
      <w:r w:rsidR="0046226A">
        <w:rPr>
          <w:rStyle w:val="InitialStyle"/>
          <w:rFonts w:ascii="Times New Roman" w:hAnsi="Times New Roman"/>
          <w:szCs w:val="24"/>
        </w:rPr>
        <w:t>due to the</w:t>
      </w:r>
      <w:r w:rsidRPr="0034158E" w:rsidR="0034158E">
        <w:rPr>
          <w:rStyle w:val="InitialStyle"/>
          <w:rFonts w:ascii="Times New Roman" w:hAnsi="Times New Roman"/>
          <w:szCs w:val="24"/>
        </w:rPr>
        <w:t xml:space="preserve"> periodic fluctuations in d</w:t>
      </w:r>
      <w:r w:rsidR="00D7761B">
        <w:rPr>
          <w:rStyle w:val="InitialStyle"/>
          <w:rFonts w:ascii="Times New Roman" w:hAnsi="Times New Roman"/>
          <w:szCs w:val="24"/>
        </w:rPr>
        <w:t>isease occurrence and reporting</w:t>
      </w:r>
      <w:r w:rsidR="00B206C9">
        <w:rPr>
          <w:rStyle w:val="InitialStyle"/>
          <w:rFonts w:ascii="Times New Roman" w:hAnsi="Times New Roman"/>
          <w:szCs w:val="24"/>
        </w:rPr>
        <w:t>. T</w:t>
      </w:r>
      <w:r w:rsidR="00D7761B">
        <w:rPr>
          <w:rStyle w:val="InitialStyle"/>
          <w:rFonts w:ascii="Times New Roman" w:hAnsi="Times New Roman"/>
          <w:szCs w:val="24"/>
        </w:rPr>
        <w:t xml:space="preserve">he large </w:t>
      </w:r>
      <w:r w:rsidR="00A92678">
        <w:rPr>
          <w:rStyle w:val="InitialStyle"/>
          <w:rFonts w:ascii="Times New Roman" w:hAnsi="Times New Roman"/>
          <w:szCs w:val="24"/>
        </w:rPr>
        <w:t xml:space="preserve">increase primarily </w:t>
      </w:r>
      <w:r w:rsidR="00D7761B">
        <w:rPr>
          <w:rStyle w:val="InitialStyle"/>
          <w:rFonts w:ascii="Times New Roman" w:hAnsi="Times New Roman"/>
          <w:szCs w:val="24"/>
        </w:rPr>
        <w:t xml:space="preserve">owes to </w:t>
      </w:r>
      <w:r w:rsidR="00A92678">
        <w:rPr>
          <w:rStyle w:val="InitialStyle"/>
          <w:rFonts w:ascii="Times New Roman" w:hAnsi="Times New Roman"/>
          <w:szCs w:val="24"/>
        </w:rPr>
        <w:t xml:space="preserve">two significant </w:t>
      </w:r>
      <w:r w:rsidRPr="00D7761B" w:rsidR="00D7761B">
        <w:rPr>
          <w:rStyle w:val="InitialStyle"/>
          <w:rFonts w:ascii="Times New Roman" w:hAnsi="Times New Roman"/>
          <w:szCs w:val="24"/>
        </w:rPr>
        <w:t xml:space="preserve">APHIS’ </w:t>
      </w:r>
      <w:r w:rsidR="00A92678">
        <w:rPr>
          <w:rStyle w:val="InitialStyle"/>
          <w:rFonts w:ascii="Times New Roman" w:hAnsi="Times New Roman"/>
          <w:szCs w:val="24"/>
        </w:rPr>
        <w:t xml:space="preserve">disease </w:t>
      </w:r>
      <w:r w:rsidRPr="00D7761B" w:rsidR="00D7761B">
        <w:rPr>
          <w:rStyle w:val="InitialStyle"/>
          <w:rFonts w:ascii="Times New Roman" w:hAnsi="Times New Roman"/>
          <w:szCs w:val="24"/>
        </w:rPr>
        <w:t>response</w:t>
      </w:r>
      <w:r w:rsidR="00A92678">
        <w:rPr>
          <w:rStyle w:val="InitialStyle"/>
          <w:rFonts w:ascii="Times New Roman" w:hAnsi="Times New Roman"/>
          <w:szCs w:val="24"/>
        </w:rPr>
        <w:t>s</w:t>
      </w:r>
      <w:r w:rsidR="00B206C9">
        <w:rPr>
          <w:rStyle w:val="InitialStyle"/>
          <w:rFonts w:ascii="Times New Roman" w:hAnsi="Times New Roman"/>
          <w:szCs w:val="24"/>
        </w:rPr>
        <w:t xml:space="preserve">, </w:t>
      </w:r>
      <w:r>
        <w:rPr>
          <w:rStyle w:val="InitialStyle"/>
          <w:rFonts w:ascii="Times New Roman" w:hAnsi="Times New Roman"/>
          <w:szCs w:val="24"/>
        </w:rPr>
        <w:t>t</w:t>
      </w:r>
      <w:r w:rsidRPr="00D7761B" w:rsidR="00D7761B">
        <w:rPr>
          <w:rStyle w:val="InitialStyle"/>
          <w:rFonts w:ascii="Times New Roman" w:hAnsi="Times New Roman"/>
          <w:szCs w:val="24"/>
        </w:rPr>
        <w:t xml:space="preserve">he </w:t>
      </w:r>
      <w:r w:rsidR="00D7761B">
        <w:rPr>
          <w:rStyle w:val="InitialStyle"/>
          <w:rFonts w:ascii="Times New Roman" w:hAnsi="Times New Roman"/>
          <w:szCs w:val="24"/>
        </w:rPr>
        <w:t>201</w:t>
      </w:r>
      <w:r w:rsidR="00A92678">
        <w:rPr>
          <w:rStyle w:val="InitialStyle"/>
          <w:rFonts w:ascii="Times New Roman" w:hAnsi="Times New Roman"/>
          <w:szCs w:val="24"/>
        </w:rPr>
        <w:t>8-2020</w:t>
      </w:r>
      <w:r w:rsidR="00D7761B">
        <w:rPr>
          <w:rStyle w:val="InitialStyle"/>
          <w:rFonts w:ascii="Times New Roman" w:hAnsi="Times New Roman"/>
          <w:szCs w:val="24"/>
        </w:rPr>
        <w:t xml:space="preserve"> </w:t>
      </w:r>
      <w:r w:rsidR="00A92678">
        <w:rPr>
          <w:rStyle w:val="InitialStyle"/>
          <w:rFonts w:ascii="Times New Roman" w:hAnsi="Times New Roman"/>
          <w:szCs w:val="24"/>
        </w:rPr>
        <w:t xml:space="preserve">virulent Newcastle disease </w:t>
      </w:r>
      <w:r w:rsidRPr="00D7761B" w:rsidR="00D7761B">
        <w:rPr>
          <w:rStyle w:val="InitialStyle"/>
          <w:rFonts w:ascii="Times New Roman" w:hAnsi="Times New Roman"/>
          <w:szCs w:val="24"/>
        </w:rPr>
        <w:t>outbreak</w:t>
      </w:r>
      <w:r w:rsidR="00A92678">
        <w:rPr>
          <w:rStyle w:val="InitialStyle"/>
          <w:rFonts w:ascii="Times New Roman" w:hAnsi="Times New Roman"/>
          <w:szCs w:val="24"/>
        </w:rPr>
        <w:t xml:space="preserve"> in California, and a</w:t>
      </w:r>
      <w:r w:rsidR="003E31D6">
        <w:rPr>
          <w:rStyle w:val="InitialStyle"/>
          <w:rFonts w:ascii="Times New Roman" w:hAnsi="Times New Roman"/>
          <w:szCs w:val="24"/>
        </w:rPr>
        <w:t>n outbreak of a</w:t>
      </w:r>
      <w:r w:rsidR="00A92678">
        <w:rPr>
          <w:rStyle w:val="InitialStyle"/>
          <w:rFonts w:ascii="Times New Roman" w:hAnsi="Times New Roman"/>
          <w:szCs w:val="24"/>
        </w:rPr>
        <w:t xml:space="preserve"> </w:t>
      </w:r>
      <w:r w:rsidR="00A92678">
        <w:rPr>
          <w:sz w:val="24"/>
          <w:szCs w:val="24"/>
        </w:rPr>
        <w:t>v</w:t>
      </w:r>
      <w:r w:rsidRPr="00A92678" w:rsidR="00A92678">
        <w:rPr>
          <w:sz w:val="24"/>
          <w:szCs w:val="24"/>
        </w:rPr>
        <w:t xml:space="preserve">esicular disease in pigs that mimics </w:t>
      </w:r>
      <w:r w:rsidR="00A92678">
        <w:rPr>
          <w:sz w:val="24"/>
          <w:szCs w:val="24"/>
        </w:rPr>
        <w:t>foot-and-mouth disease (FMD) in several States.</w:t>
      </w:r>
      <w:r w:rsidR="003553C2">
        <w:rPr>
          <w:sz w:val="24"/>
          <w:szCs w:val="24"/>
        </w:rPr>
        <w:t xml:space="preserve"> The increase is also due in part to the increased participation of States in the EMRS program.</w:t>
      </w:r>
    </w:p>
    <w:p w:rsidR="0034158E" w:rsidP="0034158E" w:rsidRDefault="0034158E" w14:paraId="7246D9BD" w14:textId="4DD39284">
      <w:pPr>
        <w:pStyle w:val="DefaultText"/>
        <w:rPr>
          <w:rStyle w:val="InitialStyle"/>
          <w:rFonts w:ascii="Times New Roman" w:hAnsi="Times New Roman"/>
          <w:b/>
          <w:szCs w:val="24"/>
        </w:rPr>
      </w:pPr>
    </w:p>
    <w:p w:rsidRPr="0034158E" w:rsidR="0034158E" w:rsidP="0034158E" w:rsidRDefault="0034158E" w14:paraId="0CBDD722" w14:textId="77777777">
      <w:pPr>
        <w:pStyle w:val="DefaultText"/>
        <w:rPr>
          <w:rStyle w:val="InitialStyle"/>
          <w:rFonts w:ascii="Times New Roman" w:hAnsi="Times New Roman"/>
          <w:b/>
          <w:szCs w:val="24"/>
        </w:rPr>
      </w:pPr>
    </w:p>
    <w:p w:rsidRPr="00892DE8" w:rsidR="0034158E" w:rsidP="0034158E" w:rsidRDefault="0034158E" w14:paraId="0A8E16E6"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 xml:space="preserve">16.  </w:t>
      </w:r>
      <w:bookmarkStart w:name="_Hlk80351018" w:id="7"/>
      <w:r w:rsidRPr="00892DE8">
        <w:rPr>
          <w:rStyle w:val="InitialStyle"/>
          <w:rFonts w:ascii="Times New Roman" w:hAnsi="Times New Roman"/>
          <w:b/>
          <w:szCs w:val="24"/>
        </w:rPr>
        <w:t>For collections of information whose results are planned to be published, outline plans for tabulation and publication.</w:t>
      </w:r>
      <w:bookmarkEnd w:id="7"/>
    </w:p>
    <w:p w:rsidRPr="0034158E" w:rsidR="0034158E" w:rsidP="0034158E" w:rsidRDefault="0034158E" w14:paraId="08111EC5" w14:textId="77777777">
      <w:pPr>
        <w:pStyle w:val="DefaultText"/>
        <w:rPr>
          <w:rStyle w:val="InitialStyle"/>
          <w:rFonts w:ascii="Times New Roman" w:hAnsi="Times New Roman"/>
          <w:szCs w:val="24"/>
        </w:rPr>
      </w:pPr>
    </w:p>
    <w:p w:rsidRPr="0034158E" w:rsidR="0034158E" w:rsidP="0034158E" w:rsidRDefault="0034158E" w14:paraId="13D61B4C" w14:textId="77777777">
      <w:pPr>
        <w:pStyle w:val="DefaultText"/>
        <w:rPr>
          <w:rStyle w:val="InitialStyle"/>
          <w:rFonts w:ascii="Times New Roman" w:hAnsi="Times New Roman"/>
          <w:szCs w:val="24"/>
        </w:rPr>
      </w:pPr>
      <w:r w:rsidRPr="0034158E">
        <w:rPr>
          <w:rStyle w:val="InitialStyle"/>
          <w:rFonts w:ascii="Times New Roman" w:hAnsi="Times New Roman"/>
          <w:szCs w:val="24"/>
        </w:rPr>
        <w:t>APHIS has no plans to publish information it collects in connection with this program.</w:t>
      </w:r>
    </w:p>
    <w:p w:rsidRPr="0034158E" w:rsidR="0034158E" w:rsidP="0034158E" w:rsidRDefault="0034158E" w14:paraId="17E20123" w14:textId="77777777">
      <w:pPr>
        <w:pStyle w:val="DefaultText"/>
        <w:rPr>
          <w:rStyle w:val="InitialStyle"/>
          <w:rFonts w:ascii="Times New Roman" w:hAnsi="Times New Roman"/>
          <w:b/>
          <w:szCs w:val="24"/>
        </w:rPr>
      </w:pPr>
    </w:p>
    <w:p w:rsidRPr="0034158E" w:rsidR="0034158E" w:rsidP="0034158E" w:rsidRDefault="0034158E" w14:paraId="54525CFA" w14:textId="77777777">
      <w:pPr>
        <w:pStyle w:val="DefaultText"/>
        <w:rPr>
          <w:rStyle w:val="InitialStyle"/>
          <w:rFonts w:ascii="Times New Roman" w:hAnsi="Times New Roman"/>
          <w:b/>
          <w:szCs w:val="24"/>
        </w:rPr>
      </w:pPr>
    </w:p>
    <w:p w:rsidRPr="00892DE8" w:rsidR="0034158E" w:rsidP="0034158E" w:rsidRDefault="0034158E" w14:paraId="76C5C4AC" w14:textId="05C557A3">
      <w:pPr>
        <w:pStyle w:val="DefaultText"/>
        <w:rPr>
          <w:rStyle w:val="InitialStyle"/>
          <w:rFonts w:ascii="Times New Roman" w:hAnsi="Times New Roman"/>
          <w:b/>
          <w:szCs w:val="24"/>
        </w:rPr>
      </w:pPr>
      <w:r w:rsidRPr="00892DE8">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Pr="0034158E" w:rsidR="0034158E" w:rsidP="0034158E" w:rsidRDefault="0034158E" w14:paraId="1C17033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4"/>
          <w:szCs w:val="24"/>
        </w:rPr>
      </w:pPr>
    </w:p>
    <w:p w:rsidRPr="0034158E" w:rsidR="0034158E" w:rsidP="0034158E" w:rsidRDefault="005C58AE" w14:paraId="39E3B4F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4"/>
          <w:szCs w:val="24"/>
        </w:rPr>
      </w:pPr>
      <w:r>
        <w:rPr>
          <w:sz w:val="24"/>
          <w:szCs w:val="24"/>
        </w:rPr>
        <w:t>There are n</w:t>
      </w:r>
      <w:r w:rsidRPr="0034158E" w:rsidR="0034158E">
        <w:rPr>
          <w:sz w:val="24"/>
          <w:szCs w:val="24"/>
        </w:rPr>
        <w:t>o forms included in this information collection.</w:t>
      </w:r>
    </w:p>
    <w:p w:rsidRPr="0034158E" w:rsidR="0034158E" w:rsidP="0034158E" w:rsidRDefault="0034158E" w14:paraId="6FA15877" w14:textId="77777777">
      <w:pPr>
        <w:pStyle w:val="DefaultText"/>
        <w:rPr>
          <w:rStyle w:val="InitialStyle"/>
          <w:rFonts w:ascii="Times New Roman" w:hAnsi="Times New Roman"/>
          <w:b/>
          <w:szCs w:val="24"/>
        </w:rPr>
      </w:pPr>
    </w:p>
    <w:p w:rsidRPr="0034158E" w:rsidR="0034158E" w:rsidP="0034158E" w:rsidRDefault="0034158E" w14:paraId="1BCBC20C" w14:textId="77777777">
      <w:pPr>
        <w:pStyle w:val="DefaultText"/>
        <w:rPr>
          <w:rStyle w:val="InitialStyle"/>
          <w:rFonts w:ascii="Times New Roman" w:hAnsi="Times New Roman"/>
          <w:b/>
          <w:szCs w:val="24"/>
        </w:rPr>
      </w:pPr>
    </w:p>
    <w:p w:rsidRPr="00892DE8" w:rsidR="0034158E" w:rsidP="0034158E" w:rsidRDefault="0034158E" w14:paraId="72E000BA" w14:textId="12BE6EE2">
      <w:pPr>
        <w:pStyle w:val="DefaultText"/>
        <w:rPr>
          <w:rStyle w:val="InitialStyle"/>
          <w:rFonts w:ascii="Times New Roman" w:hAnsi="Times New Roman"/>
          <w:b/>
          <w:szCs w:val="24"/>
        </w:rPr>
      </w:pPr>
      <w:r w:rsidRPr="00892DE8">
        <w:rPr>
          <w:rStyle w:val="InitialStyle"/>
          <w:rFonts w:ascii="Times New Roman" w:hAnsi="Times New Roman"/>
          <w:b/>
          <w:szCs w:val="24"/>
        </w:rPr>
        <w:t>18.  Explain each exception to the certification statement identified in the “Certification for Paperwork Reduction Act."</w:t>
      </w:r>
    </w:p>
    <w:p w:rsidRPr="0034158E" w:rsidR="0034158E" w:rsidP="0034158E" w:rsidRDefault="0034158E" w14:paraId="1688CC85" w14:textId="77777777">
      <w:pPr>
        <w:pStyle w:val="DefaultText"/>
        <w:rPr>
          <w:rStyle w:val="InitialStyle"/>
          <w:rFonts w:ascii="Times New Roman" w:hAnsi="Times New Roman"/>
          <w:szCs w:val="24"/>
        </w:rPr>
      </w:pPr>
    </w:p>
    <w:p w:rsidRPr="0034158E" w:rsidR="0034158E" w:rsidP="0034158E" w:rsidRDefault="0034158E" w14:paraId="191AC1FE" w14:textId="77777777">
      <w:pPr>
        <w:pStyle w:val="DefaultText"/>
        <w:rPr>
          <w:rStyle w:val="InitialStyle"/>
          <w:rFonts w:ascii="Times New Roman" w:hAnsi="Times New Roman"/>
          <w:szCs w:val="24"/>
        </w:rPr>
      </w:pPr>
      <w:r w:rsidRPr="0034158E">
        <w:rPr>
          <w:rStyle w:val="InitialStyle"/>
          <w:rFonts w:ascii="Times New Roman" w:hAnsi="Times New Roman"/>
          <w:szCs w:val="24"/>
        </w:rPr>
        <w:t>APHIS can certify compliance with all provisions under the Act.</w:t>
      </w:r>
    </w:p>
    <w:p w:rsidRPr="0034158E" w:rsidR="0034158E" w:rsidP="0034158E" w:rsidRDefault="0034158E" w14:paraId="3290DF2D" w14:textId="77777777">
      <w:pPr>
        <w:pStyle w:val="DefaultText"/>
        <w:rPr>
          <w:rStyle w:val="InitialStyle"/>
          <w:rFonts w:ascii="Times New Roman" w:hAnsi="Times New Roman"/>
          <w:szCs w:val="24"/>
        </w:rPr>
      </w:pPr>
    </w:p>
    <w:p w:rsidRPr="0034158E" w:rsidR="0034158E" w:rsidP="0034158E" w:rsidRDefault="0034158E" w14:paraId="7ACE9A22" w14:textId="77777777">
      <w:pPr>
        <w:pStyle w:val="DefaultText"/>
        <w:rPr>
          <w:rStyle w:val="InitialStyle"/>
          <w:rFonts w:ascii="Times New Roman" w:hAnsi="Times New Roman"/>
          <w:b/>
          <w:szCs w:val="24"/>
        </w:rPr>
      </w:pPr>
    </w:p>
    <w:p w:rsidRPr="00892DE8" w:rsidR="0034158E" w:rsidP="0034158E" w:rsidRDefault="0034158E" w14:paraId="62FC13EB" w14:textId="77777777">
      <w:pPr>
        <w:pStyle w:val="DefaultText"/>
        <w:rPr>
          <w:rStyle w:val="InitialStyle"/>
          <w:rFonts w:ascii="Times New Roman" w:hAnsi="Times New Roman"/>
          <w:b/>
          <w:szCs w:val="24"/>
        </w:rPr>
      </w:pPr>
      <w:r w:rsidRPr="00892DE8">
        <w:rPr>
          <w:rStyle w:val="InitialStyle"/>
          <w:rFonts w:ascii="Times New Roman" w:hAnsi="Times New Roman"/>
          <w:b/>
          <w:szCs w:val="24"/>
        </w:rPr>
        <w:t>B.  Collections of Information Employing Statistical Methods</w:t>
      </w:r>
    </w:p>
    <w:p w:rsidRPr="0034158E" w:rsidR="0034158E" w:rsidP="0034158E" w:rsidRDefault="0034158E" w14:paraId="7B950B17" w14:textId="77777777">
      <w:pPr>
        <w:pStyle w:val="DefaultText"/>
        <w:rPr>
          <w:rStyle w:val="InitialStyle"/>
          <w:rFonts w:ascii="Times New Roman" w:hAnsi="Times New Roman"/>
          <w:szCs w:val="24"/>
        </w:rPr>
      </w:pPr>
    </w:p>
    <w:p w:rsidRPr="00174F33" w:rsidR="003F3041" w:rsidP="00174F33" w:rsidRDefault="0034158E" w14:paraId="24A589DF" w14:textId="761D2185">
      <w:pPr>
        <w:pStyle w:val="DefaultText"/>
        <w:rPr>
          <w:szCs w:val="24"/>
        </w:rPr>
      </w:pPr>
      <w:r w:rsidRPr="0034158E">
        <w:rPr>
          <w:rStyle w:val="InitialStyle"/>
          <w:rFonts w:ascii="Times New Roman" w:hAnsi="Times New Roman"/>
          <w:szCs w:val="24"/>
        </w:rPr>
        <w:t>There are no statistical methods associated with the information collection activities used in this program.</w:t>
      </w:r>
    </w:p>
    <w:sectPr w:rsidRPr="00174F33" w:rsidR="003F3041" w:rsidSect="00D1323A">
      <w:footerReference w:type="default" r:id="rId8"/>
      <w:pgSz w:w="12240" w:h="15840"/>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3B3B0" w14:textId="77777777" w:rsidR="00223D69" w:rsidRDefault="00223D69" w:rsidP="006A2C2F">
      <w:r>
        <w:separator/>
      </w:r>
    </w:p>
  </w:endnote>
  <w:endnote w:type="continuationSeparator" w:id="0">
    <w:p w14:paraId="03D3795E" w14:textId="77777777" w:rsidR="00223D69" w:rsidRDefault="00223D69" w:rsidP="006A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820445"/>
      <w:docPartObj>
        <w:docPartGallery w:val="Page Numbers (Bottom of Page)"/>
        <w:docPartUnique/>
      </w:docPartObj>
    </w:sdtPr>
    <w:sdtEndPr>
      <w:rPr>
        <w:noProof/>
      </w:rPr>
    </w:sdtEndPr>
    <w:sdtContent>
      <w:p w14:paraId="5E6C3222" w14:textId="0B374B99" w:rsidR="00223D69" w:rsidRDefault="00223D69" w:rsidP="00D52080">
        <w:pPr>
          <w:pStyle w:val="Footer"/>
          <w:jc w:val="center"/>
        </w:pPr>
        <w:r>
          <w:fldChar w:fldCharType="begin"/>
        </w:r>
        <w:r>
          <w:instrText xml:space="preserve"> PAGE   \* MERGEFORMAT </w:instrText>
        </w:r>
        <w:r>
          <w:fldChar w:fldCharType="separate"/>
        </w:r>
        <w:r w:rsidR="00E56D0E">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7C4FF" w14:textId="77777777" w:rsidR="00223D69" w:rsidRDefault="00223D69" w:rsidP="006A2C2F">
      <w:r>
        <w:separator/>
      </w:r>
    </w:p>
  </w:footnote>
  <w:footnote w:type="continuationSeparator" w:id="0">
    <w:p w14:paraId="28988BDB" w14:textId="77777777" w:rsidR="00223D69" w:rsidRDefault="00223D69" w:rsidP="006A2C2F">
      <w:r>
        <w:continuationSeparator/>
      </w:r>
    </w:p>
  </w:footnote>
  <w:footnote w:id="1">
    <w:p w14:paraId="3B5E581E" w14:textId="780CFA3C" w:rsidR="00223D69" w:rsidRDefault="00223D69">
      <w:pPr>
        <w:pStyle w:val="FootnoteText"/>
      </w:pPr>
      <w:r>
        <w:rPr>
          <w:rStyle w:val="FootnoteReference"/>
        </w:rPr>
        <w:footnoteRef/>
      </w:r>
      <w:r>
        <w:t xml:space="preserve"> Investigations into occurrences of diseases already occurring in, or endemic to, the United States are addressed in Paperwork Reduction Act packages specific to those diseases: Bovine tuberculosis (0579-0146); bovine brucellosis (0579-004</w:t>
      </w:r>
      <w:r w:rsidR="000046F3">
        <w:t>7</w:t>
      </w:r>
      <w:r>
        <w:t>); scrapie (0579-0101); chronic wasting disease (0579-0189); equine infectious anemia (0579-0127); and highly pathogenic avian influenza (0579-0245 and 0579-0440). Diseases of swine are addressed in 0579-0</w:t>
      </w:r>
      <w:r w:rsidR="000046F3">
        <w:t>065</w:t>
      </w:r>
      <w:r>
        <w:t>.</w:t>
      </w:r>
    </w:p>
  </w:footnote>
  <w:footnote w:id="2">
    <w:p w14:paraId="6F6B9822" w14:textId="5F3C0E7E" w:rsidR="003B0E92" w:rsidRDefault="003B0E92">
      <w:pPr>
        <w:pStyle w:val="FootnoteText"/>
      </w:pPr>
      <w:r>
        <w:rPr>
          <w:rStyle w:val="FootnoteReference"/>
        </w:rPr>
        <w:footnoteRef/>
      </w:r>
      <w:r>
        <w:t xml:space="preserve"> VS also has a fillable/printable PDF investigators can use to collect information, but this is not official or widely used either. The information on the PDF duplicates what appears in the EMRS system.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67237DD5"/>
    <w:multiLevelType w:val="hybridMultilevel"/>
    <w:tmpl w:val="69AA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58E"/>
    <w:rsid w:val="000046F3"/>
    <w:rsid w:val="00010BC7"/>
    <w:rsid w:val="0002288D"/>
    <w:rsid w:val="000305FD"/>
    <w:rsid w:val="00054EA7"/>
    <w:rsid w:val="000B2FFC"/>
    <w:rsid w:val="000B5473"/>
    <w:rsid w:val="000C36AA"/>
    <w:rsid w:val="000E0396"/>
    <w:rsid w:val="000E6A58"/>
    <w:rsid w:val="00132A73"/>
    <w:rsid w:val="00144A5C"/>
    <w:rsid w:val="001514D3"/>
    <w:rsid w:val="00157A7C"/>
    <w:rsid w:val="0017386E"/>
    <w:rsid w:val="00174F33"/>
    <w:rsid w:val="001E7EB9"/>
    <w:rsid w:val="001F751A"/>
    <w:rsid w:val="00205C05"/>
    <w:rsid w:val="00205E7B"/>
    <w:rsid w:val="002160D1"/>
    <w:rsid w:val="00223D69"/>
    <w:rsid w:val="00296FFF"/>
    <w:rsid w:val="002D658D"/>
    <w:rsid w:val="002F250B"/>
    <w:rsid w:val="003051D7"/>
    <w:rsid w:val="00317600"/>
    <w:rsid w:val="0034158E"/>
    <w:rsid w:val="003519DE"/>
    <w:rsid w:val="003553C2"/>
    <w:rsid w:val="00357A07"/>
    <w:rsid w:val="003754D4"/>
    <w:rsid w:val="003B0E92"/>
    <w:rsid w:val="003E31D6"/>
    <w:rsid w:val="003F3041"/>
    <w:rsid w:val="00432C49"/>
    <w:rsid w:val="00436213"/>
    <w:rsid w:val="00437951"/>
    <w:rsid w:val="0046226A"/>
    <w:rsid w:val="00482781"/>
    <w:rsid w:val="00490C6A"/>
    <w:rsid w:val="004A0735"/>
    <w:rsid w:val="004A375F"/>
    <w:rsid w:val="004A4838"/>
    <w:rsid w:val="004C0891"/>
    <w:rsid w:val="004D1F4F"/>
    <w:rsid w:val="004E2FEF"/>
    <w:rsid w:val="004F6B11"/>
    <w:rsid w:val="00542E75"/>
    <w:rsid w:val="0056030B"/>
    <w:rsid w:val="005846E2"/>
    <w:rsid w:val="005A2F68"/>
    <w:rsid w:val="005C0899"/>
    <w:rsid w:val="005C58AE"/>
    <w:rsid w:val="005D780B"/>
    <w:rsid w:val="005E7416"/>
    <w:rsid w:val="00606DD0"/>
    <w:rsid w:val="006123B2"/>
    <w:rsid w:val="00614397"/>
    <w:rsid w:val="00616A0D"/>
    <w:rsid w:val="006467DE"/>
    <w:rsid w:val="00672B24"/>
    <w:rsid w:val="0069358D"/>
    <w:rsid w:val="006A2C2F"/>
    <w:rsid w:val="006A6380"/>
    <w:rsid w:val="006B08F6"/>
    <w:rsid w:val="006E3DFE"/>
    <w:rsid w:val="006F7162"/>
    <w:rsid w:val="007630B2"/>
    <w:rsid w:val="00772B0D"/>
    <w:rsid w:val="007736E2"/>
    <w:rsid w:val="007870A5"/>
    <w:rsid w:val="007A0BC5"/>
    <w:rsid w:val="007C3381"/>
    <w:rsid w:val="007F4243"/>
    <w:rsid w:val="007F520A"/>
    <w:rsid w:val="00822E76"/>
    <w:rsid w:val="008239BF"/>
    <w:rsid w:val="00843FE4"/>
    <w:rsid w:val="008662CE"/>
    <w:rsid w:val="00892DE8"/>
    <w:rsid w:val="008B24D5"/>
    <w:rsid w:val="008F2A8D"/>
    <w:rsid w:val="008F31B4"/>
    <w:rsid w:val="00926992"/>
    <w:rsid w:val="0092702D"/>
    <w:rsid w:val="00932932"/>
    <w:rsid w:val="0093731D"/>
    <w:rsid w:val="00951397"/>
    <w:rsid w:val="00953B8C"/>
    <w:rsid w:val="00A24DAF"/>
    <w:rsid w:val="00A65714"/>
    <w:rsid w:val="00A768BC"/>
    <w:rsid w:val="00A83E13"/>
    <w:rsid w:val="00A92678"/>
    <w:rsid w:val="00AA6C9F"/>
    <w:rsid w:val="00AC7A6E"/>
    <w:rsid w:val="00AD6FA6"/>
    <w:rsid w:val="00AE030D"/>
    <w:rsid w:val="00AE4E60"/>
    <w:rsid w:val="00AE578B"/>
    <w:rsid w:val="00AF69A8"/>
    <w:rsid w:val="00B0790A"/>
    <w:rsid w:val="00B1408F"/>
    <w:rsid w:val="00B206C9"/>
    <w:rsid w:val="00B3193E"/>
    <w:rsid w:val="00B51402"/>
    <w:rsid w:val="00BC6029"/>
    <w:rsid w:val="00BD12ED"/>
    <w:rsid w:val="00BE2F4F"/>
    <w:rsid w:val="00BF0D3B"/>
    <w:rsid w:val="00C31849"/>
    <w:rsid w:val="00C54515"/>
    <w:rsid w:val="00D11544"/>
    <w:rsid w:val="00D1323A"/>
    <w:rsid w:val="00D20069"/>
    <w:rsid w:val="00D52080"/>
    <w:rsid w:val="00D65C2C"/>
    <w:rsid w:val="00D7761B"/>
    <w:rsid w:val="00DB2D68"/>
    <w:rsid w:val="00DB762F"/>
    <w:rsid w:val="00DD7316"/>
    <w:rsid w:val="00E0120D"/>
    <w:rsid w:val="00E549EF"/>
    <w:rsid w:val="00E56D0E"/>
    <w:rsid w:val="00F015E2"/>
    <w:rsid w:val="00F061BF"/>
    <w:rsid w:val="00F7549A"/>
    <w:rsid w:val="00F871A4"/>
    <w:rsid w:val="00F97AB6"/>
    <w:rsid w:val="00FA3143"/>
    <w:rsid w:val="00FB2A40"/>
    <w:rsid w:val="00FC731A"/>
    <w:rsid w:val="00FF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4FDC"/>
  <w15:docId w15:val="{B333C948-71D7-47DD-9E99-C7E5AC8C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8E"/>
    <w:pPr>
      <w:overflowPunct w:val="0"/>
      <w:autoSpaceDE w:val="0"/>
      <w:autoSpaceDN w:val="0"/>
      <w:adjustRightInd w:val="0"/>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4158E"/>
    <w:rPr>
      <w:sz w:val="24"/>
    </w:rPr>
  </w:style>
  <w:style w:type="character" w:customStyle="1" w:styleId="InitialStyle">
    <w:name w:val="InitialStyle"/>
    <w:rsid w:val="0034158E"/>
    <w:rPr>
      <w:rFonts w:ascii="Courier New" w:hAnsi="Courier New"/>
      <w:color w:val="auto"/>
      <w:spacing w:val="0"/>
      <w:sz w:val="24"/>
    </w:rPr>
  </w:style>
  <w:style w:type="character" w:styleId="Strong">
    <w:name w:val="Strong"/>
    <w:qFormat/>
    <w:rsid w:val="0034158E"/>
    <w:rPr>
      <w:b/>
      <w:bCs/>
    </w:rPr>
  </w:style>
  <w:style w:type="paragraph" w:customStyle="1" w:styleId="300">
    <w:name w:val="300"/>
    <w:basedOn w:val="Normal"/>
    <w:rsid w:val="0034158E"/>
  </w:style>
  <w:style w:type="character" w:customStyle="1" w:styleId="301">
    <w:name w:val="301"/>
    <w:rsid w:val="0034158E"/>
    <w:rPr>
      <w:color w:val="auto"/>
      <w:spacing w:val="0"/>
      <w:sz w:val="24"/>
    </w:rPr>
  </w:style>
  <w:style w:type="paragraph" w:styleId="BalloonText">
    <w:name w:val="Balloon Text"/>
    <w:basedOn w:val="Normal"/>
    <w:link w:val="BalloonTextChar"/>
    <w:uiPriority w:val="99"/>
    <w:semiHidden/>
    <w:unhideWhenUsed/>
    <w:rsid w:val="0092702D"/>
    <w:rPr>
      <w:rFonts w:ascii="Tahoma" w:hAnsi="Tahoma" w:cs="Tahoma"/>
      <w:sz w:val="16"/>
      <w:szCs w:val="16"/>
    </w:rPr>
  </w:style>
  <w:style w:type="character" w:customStyle="1" w:styleId="BalloonTextChar">
    <w:name w:val="Balloon Text Char"/>
    <w:link w:val="BalloonText"/>
    <w:uiPriority w:val="99"/>
    <w:semiHidden/>
    <w:rsid w:val="0092702D"/>
    <w:rPr>
      <w:rFonts w:ascii="Tahoma" w:eastAsia="Times New Roman" w:hAnsi="Tahoma" w:cs="Tahoma"/>
      <w:sz w:val="16"/>
      <w:szCs w:val="16"/>
    </w:rPr>
  </w:style>
  <w:style w:type="character" w:styleId="Hyperlink">
    <w:name w:val="Hyperlink"/>
    <w:uiPriority w:val="99"/>
    <w:unhideWhenUsed/>
    <w:rsid w:val="00D65C2C"/>
    <w:rPr>
      <w:color w:val="0000FF"/>
      <w:u w:val="single"/>
    </w:rPr>
  </w:style>
  <w:style w:type="character" w:styleId="CommentReference">
    <w:name w:val="annotation reference"/>
    <w:uiPriority w:val="99"/>
    <w:semiHidden/>
    <w:unhideWhenUsed/>
    <w:rsid w:val="006B08F6"/>
    <w:rPr>
      <w:sz w:val="16"/>
      <w:szCs w:val="16"/>
    </w:rPr>
  </w:style>
  <w:style w:type="paragraph" w:styleId="CommentText">
    <w:name w:val="annotation text"/>
    <w:basedOn w:val="Normal"/>
    <w:link w:val="CommentTextChar"/>
    <w:uiPriority w:val="99"/>
    <w:semiHidden/>
    <w:unhideWhenUsed/>
    <w:rsid w:val="006B08F6"/>
  </w:style>
  <w:style w:type="character" w:customStyle="1" w:styleId="CommentTextChar">
    <w:name w:val="Comment Text Char"/>
    <w:link w:val="CommentText"/>
    <w:uiPriority w:val="99"/>
    <w:semiHidden/>
    <w:rsid w:val="006B08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B08F6"/>
    <w:rPr>
      <w:b/>
      <w:bCs/>
    </w:rPr>
  </w:style>
  <w:style w:type="character" w:customStyle="1" w:styleId="CommentSubjectChar">
    <w:name w:val="Comment Subject Char"/>
    <w:link w:val="CommentSubject"/>
    <w:uiPriority w:val="99"/>
    <w:semiHidden/>
    <w:rsid w:val="006B08F6"/>
    <w:rPr>
      <w:rFonts w:ascii="Times New Roman" w:eastAsia="Times New Roman" w:hAnsi="Times New Roman"/>
      <w:b/>
      <w:bCs/>
    </w:rPr>
  </w:style>
  <w:style w:type="character" w:styleId="FollowedHyperlink">
    <w:name w:val="FollowedHyperlink"/>
    <w:uiPriority w:val="99"/>
    <w:semiHidden/>
    <w:unhideWhenUsed/>
    <w:rsid w:val="006B08F6"/>
    <w:rPr>
      <w:color w:val="800080"/>
      <w:u w:val="single"/>
    </w:rPr>
  </w:style>
  <w:style w:type="paragraph" w:styleId="Header">
    <w:name w:val="header"/>
    <w:basedOn w:val="Normal"/>
    <w:link w:val="HeaderChar"/>
    <w:uiPriority w:val="99"/>
    <w:unhideWhenUsed/>
    <w:rsid w:val="006A2C2F"/>
    <w:pPr>
      <w:tabs>
        <w:tab w:val="center" w:pos="4680"/>
        <w:tab w:val="right" w:pos="9360"/>
      </w:tabs>
    </w:pPr>
  </w:style>
  <w:style w:type="character" w:customStyle="1" w:styleId="HeaderChar">
    <w:name w:val="Header Char"/>
    <w:basedOn w:val="DefaultParagraphFont"/>
    <w:link w:val="Header"/>
    <w:uiPriority w:val="99"/>
    <w:rsid w:val="006A2C2F"/>
    <w:rPr>
      <w:rFonts w:ascii="Times New Roman" w:eastAsia="Times New Roman" w:hAnsi="Times New Roman"/>
    </w:rPr>
  </w:style>
  <w:style w:type="paragraph" w:styleId="Footer">
    <w:name w:val="footer"/>
    <w:basedOn w:val="Normal"/>
    <w:link w:val="FooterChar"/>
    <w:uiPriority w:val="99"/>
    <w:unhideWhenUsed/>
    <w:rsid w:val="006A2C2F"/>
    <w:pPr>
      <w:tabs>
        <w:tab w:val="center" w:pos="4680"/>
        <w:tab w:val="right" w:pos="9360"/>
      </w:tabs>
    </w:pPr>
  </w:style>
  <w:style w:type="character" w:customStyle="1" w:styleId="FooterChar">
    <w:name w:val="Footer Char"/>
    <w:basedOn w:val="DefaultParagraphFont"/>
    <w:link w:val="Footer"/>
    <w:uiPriority w:val="99"/>
    <w:rsid w:val="006A2C2F"/>
    <w:rPr>
      <w:rFonts w:ascii="Times New Roman" w:eastAsia="Times New Roman" w:hAnsi="Times New Roman"/>
    </w:rPr>
  </w:style>
  <w:style w:type="paragraph" w:styleId="FootnoteText">
    <w:name w:val="footnote text"/>
    <w:basedOn w:val="Normal"/>
    <w:link w:val="FootnoteTextChar"/>
    <w:uiPriority w:val="99"/>
    <w:semiHidden/>
    <w:unhideWhenUsed/>
    <w:rsid w:val="00AC7A6E"/>
  </w:style>
  <w:style w:type="character" w:customStyle="1" w:styleId="FootnoteTextChar">
    <w:name w:val="Footnote Text Char"/>
    <w:basedOn w:val="DefaultParagraphFont"/>
    <w:link w:val="FootnoteText"/>
    <w:uiPriority w:val="99"/>
    <w:semiHidden/>
    <w:rsid w:val="00AC7A6E"/>
    <w:rPr>
      <w:rFonts w:ascii="Times New Roman" w:eastAsia="Times New Roman" w:hAnsi="Times New Roman"/>
    </w:rPr>
  </w:style>
  <w:style w:type="character" w:styleId="FootnoteReference">
    <w:name w:val="footnote reference"/>
    <w:basedOn w:val="DefaultParagraphFont"/>
    <w:uiPriority w:val="99"/>
    <w:semiHidden/>
    <w:unhideWhenUsed/>
    <w:rsid w:val="00AC7A6E"/>
    <w:rPr>
      <w:vertAlign w:val="superscript"/>
    </w:rPr>
  </w:style>
  <w:style w:type="character" w:styleId="UnresolvedMention">
    <w:name w:val="Unresolved Mention"/>
    <w:basedOn w:val="DefaultParagraphFont"/>
    <w:uiPriority w:val="99"/>
    <w:semiHidden/>
    <w:unhideWhenUsed/>
    <w:rsid w:val="00004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9144">
      <w:bodyDiv w:val="1"/>
      <w:marLeft w:val="0"/>
      <w:marRight w:val="0"/>
      <w:marTop w:val="0"/>
      <w:marBottom w:val="0"/>
      <w:divBdr>
        <w:top w:val="none" w:sz="0" w:space="0" w:color="auto"/>
        <w:left w:val="none" w:sz="0" w:space="0" w:color="auto"/>
        <w:bottom w:val="none" w:sz="0" w:space="0" w:color="auto"/>
        <w:right w:val="none" w:sz="0" w:space="0" w:color="auto"/>
      </w:divBdr>
    </w:div>
    <w:div w:id="563297374">
      <w:bodyDiv w:val="1"/>
      <w:marLeft w:val="0"/>
      <w:marRight w:val="0"/>
      <w:marTop w:val="0"/>
      <w:marBottom w:val="0"/>
      <w:divBdr>
        <w:top w:val="none" w:sz="0" w:space="0" w:color="auto"/>
        <w:left w:val="none" w:sz="0" w:space="0" w:color="auto"/>
        <w:bottom w:val="none" w:sz="0" w:space="0" w:color="auto"/>
        <w:right w:val="none" w:sz="0" w:space="0" w:color="auto"/>
      </w:divBdr>
    </w:div>
    <w:div w:id="593592274">
      <w:bodyDiv w:val="1"/>
      <w:marLeft w:val="0"/>
      <w:marRight w:val="0"/>
      <w:marTop w:val="0"/>
      <w:marBottom w:val="0"/>
      <w:divBdr>
        <w:top w:val="none" w:sz="0" w:space="0" w:color="auto"/>
        <w:left w:val="none" w:sz="0" w:space="0" w:color="auto"/>
        <w:bottom w:val="none" w:sz="0" w:space="0" w:color="auto"/>
        <w:right w:val="none" w:sz="0" w:space="0" w:color="auto"/>
      </w:divBdr>
    </w:div>
    <w:div w:id="1515803488">
      <w:bodyDiv w:val="1"/>
      <w:marLeft w:val="0"/>
      <w:marRight w:val="0"/>
      <w:marTop w:val="0"/>
      <w:marBottom w:val="0"/>
      <w:divBdr>
        <w:top w:val="none" w:sz="0" w:space="0" w:color="auto"/>
        <w:left w:val="none" w:sz="0" w:space="0" w:color="auto"/>
        <w:bottom w:val="none" w:sz="0" w:space="0" w:color="auto"/>
        <w:right w:val="none" w:sz="0" w:space="0" w:color="auto"/>
      </w:divBdr>
    </w:div>
    <w:div w:id="1731802686">
      <w:bodyDiv w:val="1"/>
      <w:marLeft w:val="0"/>
      <w:marRight w:val="0"/>
      <w:marTop w:val="0"/>
      <w:marBottom w:val="450"/>
      <w:divBdr>
        <w:top w:val="none" w:sz="0" w:space="0" w:color="auto"/>
        <w:left w:val="none" w:sz="0" w:space="0" w:color="auto"/>
        <w:bottom w:val="none" w:sz="0" w:space="0" w:color="auto"/>
        <w:right w:val="none" w:sz="0" w:space="0" w:color="auto"/>
      </w:divBdr>
      <w:divsChild>
        <w:div w:id="1047098262">
          <w:marLeft w:val="0"/>
          <w:marRight w:val="0"/>
          <w:marTop w:val="0"/>
          <w:marBottom w:val="0"/>
          <w:divBdr>
            <w:top w:val="none" w:sz="0" w:space="0" w:color="auto"/>
            <w:left w:val="none" w:sz="0" w:space="0" w:color="auto"/>
            <w:bottom w:val="none" w:sz="0" w:space="0" w:color="auto"/>
            <w:right w:val="none" w:sz="0" w:space="0" w:color="auto"/>
          </w:divBdr>
          <w:divsChild>
            <w:div w:id="12269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757D-C240-434E-90C3-A6BC7898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16008</CharactersWithSpaces>
  <SharedDoc>false</SharedDoc>
  <HLinks>
    <vt:vector size="6" baseType="variant">
      <vt:variant>
        <vt:i4>2949177</vt:i4>
      </vt:variant>
      <vt:variant>
        <vt:i4>0</vt:i4>
      </vt:variant>
      <vt:variant>
        <vt:i4>0</vt:i4>
      </vt:variant>
      <vt:variant>
        <vt:i4>5</vt:i4>
      </vt:variant>
      <vt:variant>
        <vt:lpwstr>http://www.aphis.usda.gov/vs/ep/EMRS_for_Routine_FAD_Investigations.htm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Keegan, Regina - MRP-APHIS</cp:lastModifiedBy>
  <cp:revision>3</cp:revision>
  <cp:lastPrinted>2012-02-22T14:44:00Z</cp:lastPrinted>
  <dcterms:created xsi:type="dcterms:W3CDTF">2022-01-13T13:03:00Z</dcterms:created>
  <dcterms:modified xsi:type="dcterms:W3CDTF">2022-01-13T13:12:00Z</dcterms:modified>
</cp:coreProperties>
</file>