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E3E" w:rsidRDefault="00067E3E" w14:paraId="2BF12D34" w14:textId="77777777">
      <w:pPr>
        <w:suppressAutoHyphens/>
        <w:rPr>
          <w:b/>
          <w:sz w:val="24"/>
        </w:rPr>
      </w:pPr>
    </w:p>
    <w:p w:rsidRPr="00335F80" w:rsidR="00067E3E" w:rsidRDefault="004602DE" w14:paraId="5E5FE47A" w14:textId="77777777">
      <w:pPr>
        <w:pStyle w:val="Heading3"/>
        <w:rPr>
          <w:bCs w:val="0"/>
        </w:rPr>
      </w:pPr>
      <w:r>
        <w:rPr>
          <w:bCs w:val="0"/>
        </w:rPr>
        <w:t>SUPPORTING STATEMENT</w:t>
      </w:r>
    </w:p>
    <w:p w:rsidR="00067E3E" w:rsidRDefault="00067E3E" w14:paraId="1FCD0C31" w14:textId="77777777">
      <w:pPr>
        <w:pStyle w:val="EndnoteText"/>
        <w:tabs>
          <w:tab w:val="left" w:pos="-720"/>
        </w:tabs>
        <w:suppressAutoHyphens/>
      </w:pPr>
    </w:p>
    <w:p w:rsidRPr="00213FFB" w:rsidR="00067E3E" w:rsidRDefault="00067E3E" w14:paraId="18596E8C" w14:textId="77777777">
      <w:pPr>
        <w:tabs>
          <w:tab w:val="left" w:pos="-720"/>
        </w:tabs>
        <w:suppressAutoHyphens/>
        <w:rPr>
          <w:sz w:val="24"/>
        </w:rPr>
      </w:pPr>
      <w:r w:rsidRPr="00213FFB">
        <w:rPr>
          <w:bCs/>
          <w:sz w:val="24"/>
        </w:rPr>
        <w:t>A.</w:t>
      </w:r>
      <w:r w:rsidRPr="00213FFB">
        <w:rPr>
          <w:sz w:val="24"/>
        </w:rPr>
        <w:t xml:space="preserve">  </w:t>
      </w:r>
      <w:r w:rsidRPr="00213FFB" w:rsidR="0001072A">
        <w:rPr>
          <w:sz w:val="24"/>
        </w:rPr>
        <w:t xml:space="preserve"> </w:t>
      </w:r>
      <w:r w:rsidRPr="00213FFB">
        <w:rPr>
          <w:bCs/>
          <w:sz w:val="24"/>
          <w:u w:val="single"/>
        </w:rPr>
        <w:t>Justification</w:t>
      </w:r>
      <w:r w:rsidRPr="00213FFB">
        <w:rPr>
          <w:bCs/>
          <w:sz w:val="24"/>
        </w:rPr>
        <w:t>:</w:t>
      </w:r>
    </w:p>
    <w:p w:rsidR="00067E3E" w:rsidRDefault="00067E3E" w14:paraId="39F2B3EC" w14:textId="77777777">
      <w:pPr>
        <w:tabs>
          <w:tab w:val="left" w:pos="-720"/>
        </w:tabs>
        <w:suppressAutoHyphens/>
        <w:rPr>
          <w:sz w:val="24"/>
        </w:rPr>
      </w:pPr>
    </w:p>
    <w:p w:rsidR="00A603DD" w:rsidRDefault="00DF1FDB" w14:paraId="5C0B1BA7" w14:textId="781AB9D7">
      <w:pPr>
        <w:suppressAutoHyphens/>
        <w:rPr>
          <w:bCs/>
          <w:iCs/>
          <w:spacing w:val="-3"/>
          <w:sz w:val="24"/>
        </w:rPr>
      </w:pPr>
      <w:r>
        <w:rPr>
          <w:bCs/>
          <w:iCs/>
          <w:spacing w:val="-3"/>
          <w:sz w:val="24"/>
        </w:rPr>
        <w:t xml:space="preserve">1.  </w:t>
      </w:r>
      <w:r w:rsidR="00E248A9">
        <w:rPr>
          <w:bCs/>
          <w:iCs/>
          <w:spacing w:val="-3"/>
          <w:sz w:val="24"/>
        </w:rPr>
        <w:t xml:space="preserve">The Federal Communications Commission (“Commission”) </w:t>
      </w:r>
      <w:r w:rsidR="006A746A">
        <w:rPr>
          <w:bCs/>
          <w:iCs/>
          <w:spacing w:val="-3"/>
          <w:sz w:val="24"/>
        </w:rPr>
        <w:t xml:space="preserve">is requesting that the Office of Management and Budget (OMB) approve </w:t>
      </w:r>
      <w:r w:rsidR="00EB5822">
        <w:rPr>
          <w:bCs/>
          <w:iCs/>
          <w:spacing w:val="-3"/>
          <w:sz w:val="24"/>
        </w:rPr>
        <w:t>a</w:t>
      </w:r>
      <w:r>
        <w:rPr>
          <w:bCs/>
          <w:iCs/>
          <w:spacing w:val="-3"/>
          <w:sz w:val="24"/>
        </w:rPr>
        <w:t>n extension</w:t>
      </w:r>
      <w:r w:rsidR="00EB5822">
        <w:rPr>
          <w:bCs/>
          <w:iCs/>
          <w:spacing w:val="-3"/>
          <w:sz w:val="24"/>
        </w:rPr>
        <w:t xml:space="preserve"> </w:t>
      </w:r>
      <w:r w:rsidR="006A746A">
        <w:rPr>
          <w:bCs/>
          <w:iCs/>
          <w:spacing w:val="-3"/>
          <w:sz w:val="24"/>
        </w:rPr>
        <w:t>of the information collection, “International Signaling Point Code (ISPC)</w:t>
      </w:r>
      <w:r w:rsidR="007649BE">
        <w:rPr>
          <w:bCs/>
          <w:iCs/>
          <w:spacing w:val="-3"/>
          <w:sz w:val="24"/>
        </w:rPr>
        <w:t>,</w:t>
      </w:r>
      <w:r w:rsidR="006A746A">
        <w:rPr>
          <w:bCs/>
          <w:iCs/>
          <w:spacing w:val="-3"/>
          <w:sz w:val="24"/>
        </w:rPr>
        <w:t>” under OMB Control No. 3060-1028</w:t>
      </w:r>
      <w:r w:rsidR="00C2585E">
        <w:rPr>
          <w:bCs/>
          <w:iCs/>
          <w:spacing w:val="-3"/>
          <w:sz w:val="24"/>
        </w:rPr>
        <w:t xml:space="preserve"> (Delegated Authority Collection).  </w:t>
      </w:r>
    </w:p>
    <w:p w:rsidR="00E7277C" w:rsidRDefault="00E7277C" w14:paraId="34585256" w14:textId="77777777">
      <w:pPr>
        <w:suppressAutoHyphens/>
        <w:rPr>
          <w:bCs/>
          <w:i/>
          <w:spacing w:val="-3"/>
          <w:sz w:val="24"/>
        </w:rPr>
      </w:pPr>
    </w:p>
    <w:p w:rsidRPr="005713D7" w:rsidR="003A162E" w:rsidRDefault="003A162E" w14:paraId="3130CB75" w14:textId="77777777">
      <w:pPr>
        <w:suppressAutoHyphens/>
        <w:rPr>
          <w:bCs/>
          <w:iCs/>
          <w:spacing w:val="-3"/>
          <w:sz w:val="24"/>
        </w:rPr>
      </w:pPr>
      <w:r w:rsidRPr="005713D7">
        <w:rPr>
          <w:bCs/>
          <w:iCs/>
          <w:spacing w:val="-3"/>
          <w:sz w:val="24"/>
          <w:u w:val="single"/>
        </w:rPr>
        <w:t>Background Information</w:t>
      </w:r>
      <w:r w:rsidRPr="005713D7" w:rsidR="007050C2">
        <w:rPr>
          <w:bCs/>
          <w:iCs/>
          <w:spacing w:val="-3"/>
          <w:sz w:val="24"/>
        </w:rPr>
        <w:t>:</w:t>
      </w:r>
    </w:p>
    <w:p w:rsidR="003A162E" w:rsidRDefault="003A162E" w14:paraId="37FA0FA9" w14:textId="77777777">
      <w:pPr>
        <w:suppressAutoHyphens/>
        <w:rPr>
          <w:spacing w:val="-3"/>
          <w:sz w:val="24"/>
        </w:rPr>
      </w:pPr>
    </w:p>
    <w:p w:rsidR="00067E3E" w:rsidRDefault="00067E3E" w14:paraId="0F379D2A" w14:textId="4A2B5390">
      <w:pPr>
        <w:suppressAutoHyphens/>
        <w:rPr>
          <w:spacing w:val="-3"/>
          <w:sz w:val="24"/>
        </w:rPr>
      </w:pPr>
      <w:r>
        <w:rPr>
          <w:spacing w:val="-3"/>
          <w:sz w:val="24"/>
        </w:rPr>
        <w:t xml:space="preserve">An </w:t>
      </w:r>
      <w:r w:rsidR="00827E3E">
        <w:rPr>
          <w:spacing w:val="-3"/>
          <w:sz w:val="24"/>
        </w:rPr>
        <w:t xml:space="preserve">ISPC </w:t>
      </w:r>
      <w:r>
        <w:rPr>
          <w:spacing w:val="-3"/>
          <w:sz w:val="24"/>
        </w:rPr>
        <w:t xml:space="preserve">is </w:t>
      </w:r>
      <w:r>
        <w:rPr>
          <w:sz w:val="24"/>
        </w:rPr>
        <w:t>a unique</w:t>
      </w:r>
      <w:r w:rsidR="005F120C">
        <w:rPr>
          <w:sz w:val="24"/>
        </w:rPr>
        <w:t>,</w:t>
      </w:r>
      <w:r>
        <w:rPr>
          <w:sz w:val="24"/>
        </w:rPr>
        <w:t xml:space="preserve"> seven-digit code used to identify </w:t>
      </w:r>
      <w:r w:rsidRPr="00571AE7" w:rsidR="00960670">
        <w:rPr>
          <w:sz w:val="24"/>
          <w:u w:color="FF0000"/>
        </w:rPr>
        <w:t>the signaling network</w:t>
      </w:r>
      <w:r w:rsidRPr="00960670" w:rsidR="00960670">
        <w:rPr>
          <w:color w:val="FF0000"/>
          <w:sz w:val="24"/>
        </w:rPr>
        <w:t xml:space="preserve"> </w:t>
      </w:r>
      <w:r w:rsidR="00960670">
        <w:rPr>
          <w:sz w:val="24"/>
        </w:rPr>
        <w:t xml:space="preserve">of </w:t>
      </w:r>
      <w:r>
        <w:rPr>
          <w:sz w:val="24"/>
        </w:rPr>
        <w:t>each international carrier.  The ISPC has a unique format that is used at the international level for signaling message routing and identification of signaling points</w:t>
      </w:r>
      <w:r w:rsidR="00CD7DCC">
        <w:rPr>
          <w:sz w:val="24"/>
        </w:rPr>
        <w:t xml:space="preserve"> in Signaling System 7 networks</w:t>
      </w:r>
      <w:r>
        <w:rPr>
          <w:sz w:val="24"/>
        </w:rPr>
        <w:t xml:space="preserve">.  The Commission receives </w:t>
      </w:r>
      <w:r w:rsidR="0053308A">
        <w:rPr>
          <w:sz w:val="24"/>
        </w:rPr>
        <w:t xml:space="preserve">ISPC </w:t>
      </w:r>
      <w:r>
        <w:rPr>
          <w:sz w:val="24"/>
        </w:rPr>
        <w:t xml:space="preserve">applications from international carriers on the electronic, Internet-based International Bureau Filing System (IBFS). After receipt of the ISPC application, the Commission assigns the ISPC code to each applicant (international carrier) free of charge on a first-come, first-served basis.  The collection of this information is required to assign a unique identification code to each international carrier and to facilitate communication among international carriers by their use of the ISPC code on the shared signaling network.  The Commission informs the </w:t>
      </w:r>
      <w:r w:rsidR="00810E5F">
        <w:rPr>
          <w:sz w:val="24"/>
        </w:rPr>
        <w:t>International Telecommunication Union (</w:t>
      </w:r>
      <w:r>
        <w:rPr>
          <w:sz w:val="24"/>
        </w:rPr>
        <w:t>ITU</w:t>
      </w:r>
      <w:r w:rsidR="00810E5F">
        <w:rPr>
          <w:sz w:val="24"/>
        </w:rPr>
        <w:t>)</w:t>
      </w:r>
      <w:r>
        <w:rPr>
          <w:sz w:val="24"/>
        </w:rPr>
        <w:t xml:space="preserve"> of its assignment of ISPCs to international carriers on an ongoing basis.</w:t>
      </w:r>
    </w:p>
    <w:p w:rsidR="00067E3E" w:rsidRDefault="00067E3E" w14:paraId="639514C5" w14:textId="77777777">
      <w:pPr>
        <w:tabs>
          <w:tab w:val="left" w:pos="-720"/>
        </w:tabs>
        <w:suppressAutoHyphens/>
        <w:rPr>
          <w:sz w:val="24"/>
        </w:rPr>
      </w:pPr>
    </w:p>
    <w:p w:rsidRPr="008D40E1" w:rsidR="00C416F1" w:rsidRDefault="00067E3E" w14:paraId="694AB277" w14:textId="378D1257">
      <w:pPr>
        <w:rPr>
          <w:bCs/>
          <w:sz w:val="24"/>
        </w:rPr>
      </w:pPr>
      <w:r>
        <w:rPr>
          <w:sz w:val="24"/>
        </w:rPr>
        <w:t xml:space="preserve">In 1987, the Federal Communications Commission (“Commission”) assumed the responsibility </w:t>
      </w:r>
      <w:r w:rsidRPr="0025462B" w:rsidR="00960670">
        <w:rPr>
          <w:sz w:val="24"/>
          <w:u w:color="FF0000"/>
        </w:rPr>
        <w:t>as the Administrator for the U.S.</w:t>
      </w:r>
      <w:r w:rsidR="00960670">
        <w:rPr>
          <w:sz w:val="24"/>
        </w:rPr>
        <w:t xml:space="preserve"> of </w:t>
      </w:r>
      <w:r>
        <w:rPr>
          <w:sz w:val="24"/>
        </w:rPr>
        <w:t xml:space="preserve">issuing ISPCs to international </w:t>
      </w:r>
      <w:r w:rsidR="00810E5F">
        <w:rPr>
          <w:sz w:val="24"/>
        </w:rPr>
        <w:t xml:space="preserve">carriers </w:t>
      </w:r>
      <w:r>
        <w:rPr>
          <w:sz w:val="24"/>
        </w:rPr>
        <w:t>based on an exchange of letters between AT&amp;T,</w:t>
      </w:r>
      <w:r w:rsidR="005B4D02">
        <w:rPr>
          <w:sz w:val="24"/>
        </w:rPr>
        <w:t xml:space="preserve"> the</w:t>
      </w:r>
      <w:r>
        <w:rPr>
          <w:sz w:val="24"/>
        </w:rPr>
        <w:t xml:space="preserve"> Commission, and the International Telecommunications Union-Telecommunications Standardization (ITU-T).  </w:t>
      </w:r>
      <w:r w:rsidR="005B4D02">
        <w:rPr>
          <w:sz w:val="24"/>
        </w:rPr>
        <w:t xml:space="preserve">The ITU allocates a specific amount of ISPCs to member countries for assignment to carriers.  </w:t>
      </w:r>
      <w:r w:rsidRPr="008D40E1" w:rsidR="00C416F1">
        <w:rPr>
          <w:bCs/>
          <w:sz w:val="24"/>
        </w:rPr>
        <w:t>ITU-T Recommendation Q.708</w:t>
      </w:r>
      <w:r w:rsidRPr="008D40E1" w:rsidR="00D635E0">
        <w:rPr>
          <w:bCs/>
          <w:sz w:val="24"/>
        </w:rPr>
        <w:t xml:space="preserve"> includes a list of </w:t>
      </w:r>
      <w:r w:rsidR="005B4D02">
        <w:rPr>
          <w:bCs/>
          <w:sz w:val="24"/>
        </w:rPr>
        <w:t xml:space="preserve">criteria for assignment of </w:t>
      </w:r>
      <w:r w:rsidRPr="008D40E1" w:rsidR="00D635E0">
        <w:rPr>
          <w:bCs/>
          <w:sz w:val="24"/>
        </w:rPr>
        <w:t>signaling point codes</w:t>
      </w:r>
      <w:r w:rsidRPr="008D40E1" w:rsidR="00C416F1">
        <w:rPr>
          <w:bCs/>
          <w:sz w:val="24"/>
        </w:rPr>
        <w:t>.</w:t>
      </w:r>
    </w:p>
    <w:p w:rsidR="00C416F1" w:rsidRDefault="00C416F1" w14:paraId="71AD6475" w14:textId="77777777">
      <w:pPr>
        <w:rPr>
          <w:sz w:val="24"/>
        </w:rPr>
      </w:pPr>
    </w:p>
    <w:p w:rsidR="00067E3E" w:rsidRDefault="00067E3E" w14:paraId="23F3C58E" w14:textId="77777777">
      <w:pPr>
        <w:rPr>
          <w:sz w:val="24"/>
        </w:rPr>
      </w:pPr>
      <w:r>
        <w:rPr>
          <w:sz w:val="24"/>
        </w:rPr>
        <w:t xml:space="preserve">The ITU, headquartered in </w:t>
      </w:r>
      <w:smartTag w:uri="urn:schemas-microsoft-com:office:smarttags" w:element="place">
        <w:smartTag w:uri="urn:schemas-microsoft-com:office:smarttags" w:element="City">
          <w:r>
            <w:rPr>
              <w:sz w:val="24"/>
            </w:rPr>
            <w:t>Geneva</w:t>
          </w:r>
        </w:smartTag>
        <w:r>
          <w:rPr>
            <w:sz w:val="24"/>
          </w:rPr>
          <w:t xml:space="preserve">, </w:t>
        </w:r>
        <w:smartTag w:uri="urn:schemas-microsoft-com:office:smarttags" w:element="country-region">
          <w:r>
            <w:rPr>
              <w:sz w:val="24"/>
            </w:rPr>
            <w:t>Switzerland</w:t>
          </w:r>
        </w:smartTag>
      </w:smartTag>
      <w:r>
        <w:rPr>
          <w:sz w:val="24"/>
        </w:rPr>
        <w:t xml:space="preserve">, is an international organization within the United Nations System where governments and the private sector coordinate global telecom networks and services. </w:t>
      </w:r>
      <w:r w:rsidR="0004419F">
        <w:rPr>
          <w:sz w:val="24"/>
        </w:rPr>
        <w:t xml:space="preserve"> </w:t>
      </w:r>
      <w:r>
        <w:rPr>
          <w:sz w:val="24"/>
        </w:rPr>
        <w:t>The ITU-T, which is one of three sectors of the ITU, has a continuing role in preparing the technical specifications for telecommunication</w:t>
      </w:r>
      <w:r w:rsidR="00810E5F">
        <w:rPr>
          <w:sz w:val="24"/>
        </w:rPr>
        <w:t>s</w:t>
      </w:r>
      <w:r>
        <w:rPr>
          <w:sz w:val="24"/>
        </w:rPr>
        <w:t xml:space="preserve"> systems, networks and services, including their operation, performance and maintenance.  In addition, the ITU-T oversees the tariff principles and accounting methods used to provide international service</w:t>
      </w:r>
      <w:r w:rsidR="00810E5F">
        <w:rPr>
          <w:sz w:val="24"/>
        </w:rPr>
        <w:t>s</w:t>
      </w:r>
      <w:r>
        <w:rPr>
          <w:sz w:val="24"/>
        </w:rPr>
        <w:t xml:space="preserve">. </w:t>
      </w:r>
    </w:p>
    <w:p w:rsidRPr="00960670" w:rsidR="00067E3E" w:rsidRDefault="00067E3E" w14:paraId="59EEA589" w14:textId="77777777">
      <w:pPr>
        <w:suppressAutoHyphens/>
        <w:rPr>
          <w:strike/>
          <w:sz w:val="24"/>
        </w:rPr>
      </w:pPr>
    </w:p>
    <w:p w:rsidR="00506F18" w:rsidRDefault="00506F18" w14:paraId="33516784" w14:textId="77777777">
      <w:pPr>
        <w:pStyle w:val="ParaNum"/>
        <w:numPr>
          <w:ilvl w:val="0"/>
          <w:numId w:val="0"/>
        </w:numPr>
        <w:tabs>
          <w:tab w:val="clear" w:pos="1440"/>
          <w:tab w:val="left" w:pos="720"/>
        </w:tabs>
        <w:jc w:val="left"/>
        <w:rPr>
          <w:sz w:val="24"/>
        </w:rPr>
      </w:pPr>
      <w:r>
        <w:rPr>
          <w:sz w:val="24"/>
        </w:rPr>
        <w:t xml:space="preserve">We would like to continue to maintain OMB approval of the existing application, </w:t>
      </w:r>
      <w:r w:rsidRPr="004548CD" w:rsidR="00894575">
        <w:rPr>
          <w:sz w:val="24"/>
        </w:rPr>
        <w:t>“International Signa</w:t>
      </w:r>
      <w:r w:rsidRPr="004548CD">
        <w:rPr>
          <w:sz w:val="24"/>
        </w:rPr>
        <w:t>ling Point Code Filing Per Network Per Code,”</w:t>
      </w:r>
      <w:r>
        <w:rPr>
          <w:sz w:val="24"/>
        </w:rPr>
        <w:t xml:space="preserve"> that is currently available on the IBFS.</w:t>
      </w:r>
    </w:p>
    <w:p w:rsidR="00DF1FDB" w:rsidRDefault="00DF1FDB" w14:paraId="61CB91F6" w14:textId="77777777">
      <w:pPr>
        <w:pStyle w:val="ParaNum"/>
        <w:numPr>
          <w:ilvl w:val="0"/>
          <w:numId w:val="0"/>
        </w:numPr>
        <w:tabs>
          <w:tab w:val="clear" w:pos="1440"/>
          <w:tab w:val="left" w:pos="720"/>
        </w:tabs>
        <w:jc w:val="left"/>
        <w:rPr>
          <w:sz w:val="24"/>
        </w:rPr>
      </w:pPr>
    </w:p>
    <w:p w:rsidR="00DF1FDB" w:rsidRDefault="00DF1FDB" w14:paraId="232F68E3" w14:textId="77777777">
      <w:pPr>
        <w:pStyle w:val="ParaNum"/>
        <w:numPr>
          <w:ilvl w:val="0"/>
          <w:numId w:val="0"/>
        </w:numPr>
        <w:tabs>
          <w:tab w:val="clear" w:pos="1440"/>
          <w:tab w:val="left" w:pos="720"/>
        </w:tabs>
        <w:jc w:val="left"/>
        <w:rPr>
          <w:sz w:val="24"/>
        </w:rPr>
      </w:pPr>
    </w:p>
    <w:p w:rsidR="00067E3E" w:rsidRDefault="00A603DD" w14:paraId="54FCF843" w14:textId="59AB7EE1">
      <w:pPr>
        <w:pStyle w:val="ParaNum"/>
        <w:numPr>
          <w:ilvl w:val="0"/>
          <w:numId w:val="0"/>
        </w:numPr>
        <w:tabs>
          <w:tab w:val="clear" w:pos="1440"/>
          <w:tab w:val="left" w:pos="720"/>
        </w:tabs>
        <w:jc w:val="left"/>
        <w:rPr>
          <w:sz w:val="24"/>
        </w:rPr>
      </w:pPr>
      <w:r>
        <w:rPr>
          <w:sz w:val="24"/>
        </w:rPr>
        <w:lastRenderedPageBreak/>
        <w:t>T</w:t>
      </w:r>
      <w:r w:rsidR="00067E3E">
        <w:rPr>
          <w:sz w:val="24"/>
        </w:rPr>
        <w:t>his information collection does not affect individuals or households; thus, there are no impacts under the Privacy Act.</w:t>
      </w:r>
    </w:p>
    <w:p w:rsidR="00B81666" w:rsidP="005B4D02" w:rsidRDefault="00B81666" w14:paraId="5E0D2138" w14:textId="4CD3B194">
      <w:pPr>
        <w:suppressAutoHyphens/>
        <w:rPr>
          <w:spacing w:val="-3"/>
          <w:sz w:val="24"/>
        </w:rPr>
      </w:pPr>
      <w:r>
        <w:rPr>
          <w:sz w:val="24"/>
        </w:rPr>
        <w:t>The statutor</w:t>
      </w:r>
      <w:r w:rsidR="00DE05F5">
        <w:rPr>
          <w:sz w:val="24"/>
        </w:rPr>
        <w:t>y authority for this collection is contained in Sections 1, 4(i)-(j), 201-205, 211, 214, 219-220, 303(r), 309 and 403 of the Communications Act of 1934, as amended, 47 U.S.C §§ 151, 154(i)-(j), 201-205, 211, 214, 219-220, 303(r), and 403.</w:t>
      </w:r>
    </w:p>
    <w:p w:rsidR="00067E3E" w:rsidRDefault="00067E3E" w14:paraId="38C03C02" w14:textId="77777777">
      <w:pPr>
        <w:pStyle w:val="EndnoteText"/>
        <w:tabs>
          <w:tab w:val="left" w:pos="-720"/>
        </w:tabs>
        <w:suppressAutoHyphens/>
      </w:pPr>
    </w:p>
    <w:p w:rsidR="00067E3E" w:rsidRDefault="00067E3E" w14:paraId="41CAEA53" w14:textId="77777777">
      <w:pPr>
        <w:tabs>
          <w:tab w:val="left" w:pos="-720"/>
        </w:tabs>
        <w:suppressAutoHyphens/>
        <w:rPr>
          <w:sz w:val="24"/>
        </w:rPr>
      </w:pPr>
      <w:r>
        <w:rPr>
          <w:sz w:val="24"/>
        </w:rPr>
        <w:t xml:space="preserve">2.  </w:t>
      </w:r>
      <w:r w:rsidR="00AA2545">
        <w:rPr>
          <w:sz w:val="24"/>
        </w:rPr>
        <w:t xml:space="preserve"> </w:t>
      </w:r>
      <w:r>
        <w:rPr>
          <w:sz w:val="24"/>
        </w:rPr>
        <w:t xml:space="preserve">The information collection requirements contained in this collection </w:t>
      </w:r>
      <w:r w:rsidR="00987561">
        <w:rPr>
          <w:sz w:val="24"/>
        </w:rPr>
        <w:t xml:space="preserve">facilitate </w:t>
      </w:r>
      <w:r>
        <w:rPr>
          <w:sz w:val="24"/>
        </w:rPr>
        <w:t xml:space="preserve">the Commission's assignment of unique ISPCs to international carriers for identification purposes.  </w:t>
      </w:r>
    </w:p>
    <w:p w:rsidR="00067E3E" w:rsidRDefault="00067E3E" w14:paraId="208C4493" w14:textId="77777777">
      <w:pPr>
        <w:tabs>
          <w:tab w:val="left" w:pos="-720"/>
        </w:tabs>
        <w:suppressAutoHyphens/>
        <w:rPr>
          <w:sz w:val="24"/>
        </w:rPr>
      </w:pPr>
      <w:r>
        <w:rPr>
          <w:sz w:val="24"/>
        </w:rPr>
        <w:t xml:space="preserve">In addition, </w:t>
      </w:r>
      <w:r w:rsidR="00BD7D82">
        <w:rPr>
          <w:sz w:val="24"/>
        </w:rPr>
        <w:t xml:space="preserve">they </w:t>
      </w:r>
      <w:r w:rsidR="00987561">
        <w:rPr>
          <w:sz w:val="24"/>
        </w:rPr>
        <w:t xml:space="preserve">enhance </w:t>
      </w:r>
      <w:r>
        <w:rPr>
          <w:sz w:val="24"/>
        </w:rPr>
        <w:t>the ability of the international carriers to communicate with each other internationally through the shared signaling network.</w:t>
      </w:r>
      <w:r w:rsidR="005B4D02">
        <w:rPr>
          <w:sz w:val="24"/>
        </w:rPr>
        <w:t xml:space="preserve">  Since ISPCs are a limited resource, the information collection assists the Commission in reclaiming ISPCs that are not being used.</w:t>
      </w:r>
    </w:p>
    <w:p w:rsidR="00067E3E" w:rsidRDefault="00067E3E" w14:paraId="402F8DC0" w14:textId="77777777">
      <w:pPr>
        <w:tabs>
          <w:tab w:val="left" w:pos="-720"/>
        </w:tabs>
        <w:suppressAutoHyphens/>
        <w:rPr>
          <w:b/>
          <w:sz w:val="24"/>
        </w:rPr>
      </w:pPr>
    </w:p>
    <w:p w:rsidR="00067E3E" w:rsidRDefault="00067E3E" w14:paraId="7B5DCA20" w14:textId="3A0575D6">
      <w:pPr>
        <w:suppressAutoHyphens/>
        <w:rPr>
          <w:sz w:val="24"/>
        </w:rPr>
      </w:pPr>
      <w:r>
        <w:rPr>
          <w:spacing w:val="-3"/>
          <w:sz w:val="24"/>
        </w:rPr>
        <w:t xml:space="preserve">3.  </w:t>
      </w:r>
      <w:r w:rsidR="00AA2545">
        <w:rPr>
          <w:spacing w:val="-3"/>
          <w:sz w:val="24"/>
        </w:rPr>
        <w:t xml:space="preserve"> </w:t>
      </w:r>
      <w:r>
        <w:rPr>
          <w:sz w:val="24"/>
        </w:rPr>
        <w:t>As a result of the implem</w:t>
      </w:r>
      <w:r w:rsidR="00F14E5B">
        <w:rPr>
          <w:sz w:val="24"/>
        </w:rPr>
        <w:t xml:space="preserve">entation of the International Electronic </w:t>
      </w:r>
      <w:r>
        <w:rPr>
          <w:sz w:val="24"/>
        </w:rPr>
        <w:t xml:space="preserve">Filing </w:t>
      </w:r>
      <w:r w:rsidR="007E6E35">
        <w:rPr>
          <w:sz w:val="24"/>
        </w:rPr>
        <w:t>Report and Order (</w:t>
      </w:r>
      <w:r>
        <w:rPr>
          <w:sz w:val="24"/>
        </w:rPr>
        <w:t>R&amp;O</w:t>
      </w:r>
      <w:r w:rsidR="007E6E35">
        <w:rPr>
          <w:sz w:val="24"/>
        </w:rPr>
        <w:t>)</w:t>
      </w:r>
      <w:r w:rsidR="00B331BB">
        <w:rPr>
          <w:sz w:val="24"/>
        </w:rPr>
        <w:t xml:space="preserve"> (FCC 05-91)</w:t>
      </w:r>
      <w:r>
        <w:rPr>
          <w:sz w:val="24"/>
        </w:rPr>
        <w:t xml:space="preserve">, applicants for ISPCs are required to submit their applications electronically </w:t>
      </w:r>
      <w:r w:rsidR="00E30922">
        <w:rPr>
          <w:sz w:val="24"/>
        </w:rPr>
        <w:t xml:space="preserve">via </w:t>
      </w:r>
      <w:r>
        <w:rPr>
          <w:sz w:val="24"/>
        </w:rPr>
        <w:t xml:space="preserve">the International Bureau Filing System (IBFS).  </w:t>
      </w:r>
      <w:r w:rsidR="00C80B3F">
        <w:rPr>
          <w:sz w:val="24"/>
        </w:rPr>
        <w:t>As a result of the R&amp;O</w:t>
      </w:r>
      <w:r w:rsidR="00BD7D82">
        <w:rPr>
          <w:sz w:val="24"/>
        </w:rPr>
        <w:t xml:space="preserve">, a total of 100 percent of applications are filed </w:t>
      </w:r>
      <w:r w:rsidR="00F02401">
        <w:rPr>
          <w:sz w:val="24"/>
        </w:rPr>
        <w:t xml:space="preserve">electronically </w:t>
      </w:r>
      <w:r w:rsidR="00BD7D82">
        <w:rPr>
          <w:sz w:val="24"/>
        </w:rPr>
        <w:t xml:space="preserve">in </w:t>
      </w:r>
      <w:r w:rsidR="00F02401">
        <w:rPr>
          <w:sz w:val="24"/>
        </w:rPr>
        <w:t>the IBFS.</w:t>
      </w:r>
    </w:p>
    <w:p w:rsidR="00067E3E" w:rsidRDefault="00067E3E" w14:paraId="5820237C" w14:textId="77777777">
      <w:pPr>
        <w:tabs>
          <w:tab w:val="left" w:pos="-720"/>
        </w:tabs>
        <w:suppressAutoHyphens/>
        <w:rPr>
          <w:spacing w:val="-3"/>
          <w:sz w:val="24"/>
        </w:rPr>
      </w:pPr>
    </w:p>
    <w:p w:rsidR="009554AF" w:rsidRDefault="00067E3E" w14:paraId="63FE419C" w14:textId="77777777">
      <w:pPr>
        <w:tabs>
          <w:tab w:val="left" w:pos="-720"/>
        </w:tabs>
        <w:suppressAutoHyphens/>
        <w:rPr>
          <w:sz w:val="24"/>
        </w:rPr>
      </w:pPr>
      <w:r>
        <w:rPr>
          <w:sz w:val="24"/>
        </w:rPr>
        <w:t xml:space="preserve">4.  </w:t>
      </w:r>
      <w:r w:rsidR="00AA2545">
        <w:rPr>
          <w:sz w:val="24"/>
        </w:rPr>
        <w:t xml:space="preserve"> </w:t>
      </w:r>
      <w:r>
        <w:rPr>
          <w:sz w:val="24"/>
        </w:rPr>
        <w:t xml:space="preserve">The Commission does not impose similar information collections on the respondents.  </w:t>
      </w:r>
    </w:p>
    <w:p w:rsidR="00067E3E" w:rsidRDefault="00067E3E" w14:paraId="2C27D74A" w14:textId="77777777">
      <w:pPr>
        <w:tabs>
          <w:tab w:val="left" w:pos="-720"/>
        </w:tabs>
        <w:suppressAutoHyphens/>
        <w:rPr>
          <w:sz w:val="24"/>
        </w:rPr>
      </w:pPr>
      <w:r>
        <w:rPr>
          <w:sz w:val="24"/>
        </w:rPr>
        <w:t xml:space="preserve">There </w:t>
      </w:r>
      <w:r w:rsidR="009554AF">
        <w:rPr>
          <w:sz w:val="24"/>
        </w:rPr>
        <w:t xml:space="preserve">is </w:t>
      </w:r>
      <w:r>
        <w:rPr>
          <w:sz w:val="24"/>
        </w:rPr>
        <w:t>no similar data available.</w:t>
      </w:r>
    </w:p>
    <w:p w:rsidR="00067E3E" w:rsidRDefault="00067E3E" w14:paraId="0F7AEEA7" w14:textId="77777777">
      <w:pPr>
        <w:pStyle w:val="BodyText2"/>
      </w:pPr>
    </w:p>
    <w:p w:rsidR="00067E3E" w:rsidRDefault="00067E3E" w14:paraId="7A223C0E" w14:textId="77777777">
      <w:pPr>
        <w:tabs>
          <w:tab w:val="left" w:pos="-720"/>
        </w:tabs>
        <w:suppressAutoHyphens/>
        <w:rPr>
          <w:sz w:val="24"/>
        </w:rPr>
      </w:pPr>
      <w:r>
        <w:rPr>
          <w:sz w:val="24"/>
        </w:rPr>
        <w:t xml:space="preserve">5.  </w:t>
      </w:r>
      <w:r w:rsidR="00AA2545">
        <w:rPr>
          <w:sz w:val="24"/>
        </w:rPr>
        <w:t xml:space="preserve"> </w:t>
      </w:r>
      <w:r>
        <w:rPr>
          <w:sz w:val="24"/>
        </w:rPr>
        <w:t>This collection of information does not significantly impact small businesses or other small entities.</w:t>
      </w:r>
    </w:p>
    <w:p w:rsidR="00067E3E" w:rsidRDefault="00067E3E" w14:paraId="0E66D88E" w14:textId="77777777">
      <w:pPr>
        <w:tabs>
          <w:tab w:val="left" w:pos="-720"/>
        </w:tabs>
        <w:suppressAutoHyphens/>
        <w:rPr>
          <w:sz w:val="24"/>
        </w:rPr>
      </w:pPr>
    </w:p>
    <w:p w:rsidR="00067E3E" w:rsidRDefault="00067E3E" w14:paraId="1A8E6F9E" w14:textId="7E867199">
      <w:pPr>
        <w:tabs>
          <w:tab w:val="left" w:pos="-720"/>
        </w:tabs>
        <w:suppressAutoHyphens/>
        <w:rPr>
          <w:spacing w:val="-3"/>
          <w:sz w:val="24"/>
        </w:rPr>
      </w:pPr>
      <w:r>
        <w:rPr>
          <w:spacing w:val="-3"/>
          <w:sz w:val="24"/>
        </w:rPr>
        <w:t xml:space="preserve">6.  </w:t>
      </w:r>
      <w:r w:rsidR="004A0B84">
        <w:rPr>
          <w:spacing w:val="-3"/>
          <w:sz w:val="24"/>
        </w:rPr>
        <w:t xml:space="preserve"> </w:t>
      </w:r>
      <w:r>
        <w:rPr>
          <w:spacing w:val="-3"/>
          <w:sz w:val="24"/>
        </w:rPr>
        <w:t xml:space="preserve">The Commission </w:t>
      </w:r>
      <w:r w:rsidRPr="002F044F">
        <w:rPr>
          <w:spacing w:val="-3"/>
          <w:sz w:val="24"/>
        </w:rPr>
        <w:t xml:space="preserve">would </w:t>
      </w:r>
      <w:r w:rsidRPr="002F044F" w:rsidR="00091636">
        <w:rPr>
          <w:spacing w:val="-3"/>
          <w:sz w:val="24"/>
        </w:rPr>
        <w:t xml:space="preserve">not </w:t>
      </w:r>
      <w:r w:rsidRPr="002F044F">
        <w:rPr>
          <w:spacing w:val="-3"/>
          <w:sz w:val="24"/>
        </w:rPr>
        <w:t>have unique</w:t>
      </w:r>
      <w:r w:rsidRPr="00D34382">
        <w:rPr>
          <w:spacing w:val="-3"/>
          <w:sz w:val="24"/>
        </w:rPr>
        <w:t xml:space="preserve"> identification code</w:t>
      </w:r>
      <w:r w:rsidRPr="00D34382" w:rsidR="00DC40B1">
        <w:rPr>
          <w:spacing w:val="-3"/>
          <w:sz w:val="24"/>
        </w:rPr>
        <w:t>s</w:t>
      </w:r>
      <w:r w:rsidRPr="00D34382">
        <w:rPr>
          <w:spacing w:val="-3"/>
          <w:sz w:val="24"/>
        </w:rPr>
        <w:t xml:space="preserve"> (ISPC) to identify</w:t>
      </w:r>
      <w:r>
        <w:rPr>
          <w:spacing w:val="-3"/>
          <w:sz w:val="24"/>
        </w:rPr>
        <w:t xml:space="preserve"> each international carrier if these collections of information were not conducted.  Furthermore, the lack of ISPCs would hinder the international carriers' ability to identify other carriers and would likely result in delays in communication or miscommunication among international carriers on the shared signaling network.</w:t>
      </w:r>
    </w:p>
    <w:p w:rsidR="00067E3E" w:rsidRDefault="00067E3E" w14:paraId="655CC46E" w14:textId="77777777">
      <w:pPr>
        <w:tabs>
          <w:tab w:val="left" w:pos="-720"/>
        </w:tabs>
        <w:suppressAutoHyphens/>
        <w:rPr>
          <w:sz w:val="24"/>
        </w:rPr>
      </w:pPr>
    </w:p>
    <w:p w:rsidR="00067E3E" w:rsidRDefault="00067E3E" w14:paraId="32E8AD78" w14:textId="77777777">
      <w:pPr>
        <w:tabs>
          <w:tab w:val="left" w:pos="-720"/>
        </w:tabs>
        <w:suppressAutoHyphens/>
        <w:rPr>
          <w:sz w:val="24"/>
        </w:rPr>
      </w:pPr>
      <w:r>
        <w:rPr>
          <w:sz w:val="24"/>
        </w:rPr>
        <w:t xml:space="preserve">7.  </w:t>
      </w:r>
      <w:r w:rsidR="004A0B84">
        <w:rPr>
          <w:sz w:val="24"/>
        </w:rPr>
        <w:t xml:space="preserve"> </w:t>
      </w:r>
      <w:r>
        <w:rPr>
          <w:sz w:val="24"/>
        </w:rPr>
        <w:t xml:space="preserve">The collection of information will not be conducted in any manner inconsistent with the guidelines </w:t>
      </w:r>
      <w:r w:rsidR="00F00A60">
        <w:rPr>
          <w:sz w:val="24"/>
        </w:rPr>
        <w:t xml:space="preserve">of </w:t>
      </w:r>
      <w:r>
        <w:rPr>
          <w:sz w:val="24"/>
        </w:rPr>
        <w:t>5 CFR 1320.</w:t>
      </w:r>
    </w:p>
    <w:p w:rsidR="00067E3E" w:rsidRDefault="00067E3E" w14:paraId="23539196" w14:textId="77777777">
      <w:pPr>
        <w:tabs>
          <w:tab w:val="left" w:pos="-720"/>
        </w:tabs>
        <w:suppressAutoHyphens/>
        <w:rPr>
          <w:b/>
          <w:sz w:val="24"/>
        </w:rPr>
      </w:pPr>
    </w:p>
    <w:p w:rsidR="00067E3E" w:rsidRDefault="00067E3E" w14:paraId="5804FBC9" w14:textId="4F52E275">
      <w:pPr>
        <w:tabs>
          <w:tab w:val="left" w:pos="-720"/>
        </w:tabs>
        <w:suppressAutoHyphens/>
        <w:rPr>
          <w:sz w:val="24"/>
        </w:rPr>
      </w:pPr>
      <w:r>
        <w:rPr>
          <w:sz w:val="24"/>
        </w:rPr>
        <w:t xml:space="preserve">8.   </w:t>
      </w:r>
      <w:r w:rsidR="009A53CF">
        <w:rPr>
          <w:sz w:val="24"/>
        </w:rPr>
        <w:t xml:space="preserve"> On</w:t>
      </w:r>
      <w:r w:rsidR="00C12357">
        <w:rPr>
          <w:sz w:val="24"/>
        </w:rPr>
        <w:t xml:space="preserve"> </w:t>
      </w:r>
      <w:r w:rsidR="002970F5">
        <w:rPr>
          <w:sz w:val="24"/>
        </w:rPr>
        <w:t>March 5, 2021</w:t>
      </w:r>
      <w:r w:rsidR="009A53CF">
        <w:rPr>
          <w:sz w:val="24"/>
        </w:rPr>
        <w:t xml:space="preserve">, </w:t>
      </w:r>
      <w:r w:rsidR="004E47ED">
        <w:rPr>
          <w:sz w:val="24"/>
        </w:rPr>
        <w:t xml:space="preserve">the Commission published </w:t>
      </w:r>
      <w:r w:rsidR="009A53CF">
        <w:rPr>
          <w:sz w:val="24"/>
        </w:rPr>
        <w:t xml:space="preserve">a 60-day notice </w:t>
      </w:r>
      <w:r w:rsidR="004E47ED">
        <w:rPr>
          <w:sz w:val="24"/>
        </w:rPr>
        <w:t>i</w:t>
      </w:r>
      <w:r w:rsidR="009A53CF">
        <w:rPr>
          <w:sz w:val="24"/>
        </w:rPr>
        <w:t>n the Federal Register (</w:t>
      </w:r>
      <w:r w:rsidR="002970F5">
        <w:rPr>
          <w:sz w:val="24"/>
        </w:rPr>
        <w:t>86 FR 13899</w:t>
      </w:r>
      <w:r w:rsidR="00577AB4">
        <w:rPr>
          <w:sz w:val="24"/>
        </w:rPr>
        <w:t>)</w:t>
      </w:r>
      <w:r w:rsidR="009A53CF">
        <w:rPr>
          <w:sz w:val="24"/>
        </w:rPr>
        <w:t xml:space="preserve"> to request comments from the public.  </w:t>
      </w:r>
      <w:bookmarkStart w:name="_GoBack" w:id="0"/>
      <w:bookmarkEnd w:id="0"/>
      <w:r w:rsidR="0005474F">
        <w:rPr>
          <w:sz w:val="24"/>
        </w:rPr>
        <w:t>No comment</w:t>
      </w:r>
      <w:r w:rsidR="009A53CF">
        <w:rPr>
          <w:sz w:val="24"/>
        </w:rPr>
        <w:t>s were received from the public</w:t>
      </w:r>
      <w:r w:rsidR="004E47ED">
        <w:rPr>
          <w:sz w:val="24"/>
        </w:rPr>
        <w:t xml:space="preserve"> in response to the notice</w:t>
      </w:r>
      <w:r w:rsidR="009A53CF">
        <w:rPr>
          <w:sz w:val="24"/>
        </w:rPr>
        <w:t>.</w:t>
      </w:r>
    </w:p>
    <w:p w:rsidR="00067E3E" w:rsidRDefault="00067E3E" w14:paraId="523C351F" w14:textId="77777777">
      <w:pPr>
        <w:tabs>
          <w:tab w:val="left" w:pos="-720"/>
        </w:tabs>
        <w:suppressAutoHyphens/>
        <w:rPr>
          <w:b/>
          <w:sz w:val="24"/>
        </w:rPr>
      </w:pPr>
    </w:p>
    <w:p w:rsidR="00067E3E" w:rsidRDefault="00067E3E" w14:paraId="6ACEBDB3" w14:textId="77777777">
      <w:pPr>
        <w:pStyle w:val="BodyText"/>
      </w:pPr>
      <w:r>
        <w:t xml:space="preserve">9.  </w:t>
      </w:r>
      <w:r w:rsidR="00382C33">
        <w:t xml:space="preserve"> </w:t>
      </w:r>
      <w:r>
        <w:t>The Commission will not provide any payment or gift to respondents.</w:t>
      </w:r>
    </w:p>
    <w:p w:rsidR="00067E3E" w:rsidRDefault="00067E3E" w14:paraId="18507B42" w14:textId="77777777">
      <w:pPr>
        <w:pStyle w:val="BodyText"/>
      </w:pPr>
    </w:p>
    <w:p w:rsidR="00067E3E" w:rsidRDefault="00067E3E" w14:paraId="629556EF" w14:textId="77777777">
      <w:pPr>
        <w:tabs>
          <w:tab w:val="left" w:pos="-720"/>
        </w:tabs>
        <w:suppressAutoHyphens/>
        <w:rPr>
          <w:sz w:val="24"/>
        </w:rPr>
      </w:pPr>
      <w:r>
        <w:rPr>
          <w:spacing w:val="-3"/>
          <w:sz w:val="24"/>
        </w:rPr>
        <w:t xml:space="preserve">10.  There is no need for confidentiality of information contained in the </w:t>
      </w:r>
      <w:r w:rsidR="00271935">
        <w:rPr>
          <w:spacing w:val="-3"/>
          <w:sz w:val="24"/>
        </w:rPr>
        <w:t xml:space="preserve">ISPC </w:t>
      </w:r>
      <w:r>
        <w:rPr>
          <w:spacing w:val="-3"/>
          <w:sz w:val="24"/>
        </w:rPr>
        <w:t xml:space="preserve">applications filed with the Commission.  </w:t>
      </w:r>
    </w:p>
    <w:p w:rsidR="00067E3E" w:rsidRDefault="00067E3E" w14:paraId="1635055D" w14:textId="77777777">
      <w:pPr>
        <w:tabs>
          <w:tab w:val="left" w:pos="-720"/>
        </w:tabs>
        <w:suppressAutoHyphens/>
        <w:rPr>
          <w:sz w:val="24"/>
        </w:rPr>
      </w:pPr>
    </w:p>
    <w:p w:rsidR="00067E3E" w:rsidRDefault="00067E3E" w14:paraId="0B1B81E7" w14:textId="77777777">
      <w:pPr>
        <w:tabs>
          <w:tab w:val="left" w:pos="-720"/>
        </w:tabs>
        <w:suppressAutoHyphens/>
        <w:rPr>
          <w:sz w:val="24"/>
        </w:rPr>
      </w:pPr>
      <w:r>
        <w:rPr>
          <w:sz w:val="24"/>
        </w:rPr>
        <w:t>11.  This collection of information does not contain questions of a sensitive nature.</w:t>
      </w:r>
    </w:p>
    <w:p w:rsidR="00A603DD" w:rsidRDefault="00A603DD" w14:paraId="5B876EE6" w14:textId="77777777">
      <w:pPr>
        <w:tabs>
          <w:tab w:val="left" w:pos="-720"/>
        </w:tabs>
        <w:suppressAutoHyphens/>
        <w:rPr>
          <w:sz w:val="24"/>
        </w:rPr>
      </w:pPr>
    </w:p>
    <w:p w:rsidR="00067E3E" w:rsidRDefault="00067E3E" w14:paraId="75B653E7" w14:textId="3FB00547">
      <w:pPr>
        <w:rPr>
          <w:sz w:val="24"/>
        </w:rPr>
      </w:pPr>
      <w:r>
        <w:rPr>
          <w:sz w:val="24"/>
        </w:rPr>
        <w:lastRenderedPageBreak/>
        <w:t xml:space="preserve">12.  The Commission receives </w:t>
      </w:r>
      <w:r w:rsidR="00CF6F4B">
        <w:rPr>
          <w:sz w:val="24"/>
        </w:rPr>
        <w:t xml:space="preserve">approximately </w:t>
      </w:r>
      <w:r w:rsidR="002A1BCB">
        <w:rPr>
          <w:b/>
          <w:sz w:val="24"/>
          <w:u w:color="FF0000"/>
        </w:rPr>
        <w:t>5</w:t>
      </w:r>
      <w:r w:rsidRPr="00E7277C" w:rsidR="008A2717">
        <w:rPr>
          <w:b/>
          <w:sz w:val="24"/>
        </w:rPr>
        <w:t xml:space="preserve"> </w:t>
      </w:r>
      <w:r w:rsidRPr="00E7277C" w:rsidR="00CF6F4B">
        <w:rPr>
          <w:b/>
          <w:sz w:val="24"/>
        </w:rPr>
        <w:t xml:space="preserve">ISPC </w:t>
      </w:r>
      <w:r w:rsidRPr="004F639F" w:rsidR="00CF6F4B">
        <w:rPr>
          <w:b/>
          <w:sz w:val="24"/>
        </w:rPr>
        <w:t xml:space="preserve">applications </w:t>
      </w:r>
      <w:r w:rsidRPr="004F639F">
        <w:rPr>
          <w:b/>
          <w:sz w:val="24"/>
        </w:rPr>
        <w:t>annually</w:t>
      </w:r>
      <w:r w:rsidRPr="004F639F" w:rsidR="00CF6F4B">
        <w:rPr>
          <w:b/>
          <w:sz w:val="24"/>
        </w:rPr>
        <w:t xml:space="preserve"> from international carriers</w:t>
      </w:r>
      <w:r>
        <w:rPr>
          <w:sz w:val="24"/>
        </w:rPr>
        <w:t>.</w:t>
      </w:r>
      <w:r w:rsidR="0001120A">
        <w:rPr>
          <w:rStyle w:val="FootnoteReference"/>
          <w:sz w:val="24"/>
        </w:rPr>
        <w:footnoteReference w:id="2"/>
      </w:r>
      <w:r>
        <w:rPr>
          <w:sz w:val="24"/>
        </w:rPr>
        <w:t xml:space="preserve">  Applications are completed by each applicant in approximately </w:t>
      </w:r>
      <w:r w:rsidRPr="00780816" w:rsidR="00960670">
        <w:rPr>
          <w:sz w:val="24"/>
        </w:rPr>
        <w:t xml:space="preserve">20 </w:t>
      </w:r>
      <w:r>
        <w:rPr>
          <w:sz w:val="24"/>
        </w:rPr>
        <w:t xml:space="preserve">minutes.  There are </w:t>
      </w:r>
      <w:r w:rsidR="002A1BCB">
        <w:rPr>
          <w:sz w:val="24"/>
        </w:rPr>
        <w:t xml:space="preserve">currently </w:t>
      </w:r>
      <w:r>
        <w:rPr>
          <w:sz w:val="24"/>
        </w:rPr>
        <w:t>no application fees or other costs associated with the filing of the ISPC application with the Commission.</w:t>
      </w:r>
      <w:r w:rsidR="00184EC9">
        <w:rPr>
          <w:rStyle w:val="FootnoteReference"/>
          <w:sz w:val="24"/>
        </w:rPr>
        <w:footnoteReference w:id="3"/>
      </w:r>
      <w:r>
        <w:rPr>
          <w:sz w:val="24"/>
        </w:rPr>
        <w:t xml:space="preserve">  </w:t>
      </w:r>
    </w:p>
    <w:p w:rsidR="00855BA2" w:rsidRDefault="00855BA2" w14:paraId="6EBDC9C3" w14:textId="77777777">
      <w:pPr>
        <w:rPr>
          <w:sz w:val="24"/>
        </w:rPr>
      </w:pPr>
    </w:p>
    <w:p w:rsidR="00855BA2" w:rsidP="00855BA2" w:rsidRDefault="00C9763F" w14:paraId="01F23FFF" w14:textId="3BCEB4F8">
      <w:pPr>
        <w:jc w:val="center"/>
        <w:rPr>
          <w:b/>
          <w:sz w:val="24"/>
        </w:rPr>
      </w:pPr>
      <w:r>
        <w:rPr>
          <w:sz w:val="24"/>
        </w:rPr>
        <w:t>5</w:t>
      </w:r>
      <w:r w:rsidR="00D34382">
        <w:rPr>
          <w:sz w:val="24"/>
        </w:rPr>
        <w:t xml:space="preserve"> </w:t>
      </w:r>
      <w:r w:rsidR="00855BA2">
        <w:rPr>
          <w:sz w:val="24"/>
        </w:rPr>
        <w:t xml:space="preserve">responses X </w:t>
      </w:r>
      <w:r w:rsidR="00960670">
        <w:rPr>
          <w:sz w:val="24"/>
        </w:rPr>
        <w:t xml:space="preserve">0.333 </w:t>
      </w:r>
      <w:r w:rsidR="00855BA2">
        <w:rPr>
          <w:sz w:val="24"/>
        </w:rPr>
        <w:t>(</w:t>
      </w:r>
      <w:r w:rsidR="00293F01">
        <w:rPr>
          <w:sz w:val="24"/>
        </w:rPr>
        <w:t xml:space="preserve">20 </w:t>
      </w:r>
      <w:r w:rsidR="00855BA2">
        <w:rPr>
          <w:sz w:val="24"/>
        </w:rPr>
        <w:t xml:space="preserve">minutes) = </w:t>
      </w:r>
      <w:r>
        <w:rPr>
          <w:sz w:val="24"/>
        </w:rPr>
        <w:t>1.665</w:t>
      </w:r>
      <w:r w:rsidR="00855BA2">
        <w:rPr>
          <w:sz w:val="24"/>
        </w:rPr>
        <w:t xml:space="preserve"> (rounded </w:t>
      </w:r>
      <w:r w:rsidR="00C053E7">
        <w:rPr>
          <w:sz w:val="24"/>
        </w:rPr>
        <w:t xml:space="preserve">up </w:t>
      </w:r>
      <w:r w:rsidR="00855BA2">
        <w:rPr>
          <w:sz w:val="24"/>
        </w:rPr>
        <w:t xml:space="preserve">to </w:t>
      </w:r>
      <w:r>
        <w:rPr>
          <w:b/>
          <w:sz w:val="24"/>
        </w:rPr>
        <w:t>2</w:t>
      </w:r>
      <w:r w:rsidRPr="007050C2" w:rsidR="00855BA2">
        <w:rPr>
          <w:b/>
          <w:sz w:val="24"/>
        </w:rPr>
        <w:t xml:space="preserve"> </w:t>
      </w:r>
      <w:r w:rsidRPr="00293F01" w:rsidR="00855BA2">
        <w:rPr>
          <w:bCs/>
          <w:sz w:val="24"/>
        </w:rPr>
        <w:t>hour</w:t>
      </w:r>
      <w:r>
        <w:rPr>
          <w:bCs/>
          <w:sz w:val="24"/>
        </w:rPr>
        <w:t>s</w:t>
      </w:r>
      <w:r w:rsidRPr="007050C2" w:rsidR="00855BA2">
        <w:rPr>
          <w:b/>
          <w:sz w:val="24"/>
        </w:rPr>
        <w:t>)</w:t>
      </w:r>
    </w:p>
    <w:p w:rsidR="00A603DD" w:rsidP="00855BA2" w:rsidRDefault="00A603DD" w14:paraId="458DBA61" w14:textId="77777777">
      <w:pPr>
        <w:jc w:val="center"/>
        <w:rPr>
          <w:b/>
          <w:sz w:val="24"/>
        </w:rPr>
      </w:pPr>
    </w:p>
    <w:p w:rsidR="00E533E7" w:rsidP="00A603DD" w:rsidRDefault="00A603DD" w14:paraId="3C65B6F9" w14:textId="77777777">
      <w:pPr>
        <w:rPr>
          <w:sz w:val="24"/>
        </w:rPr>
      </w:pPr>
      <w:r w:rsidRPr="00A603DD">
        <w:rPr>
          <w:sz w:val="24"/>
        </w:rPr>
        <w:t>We estimate that the loaded hourly rate for respondents’ in-house staff to complete the information collection requirements contained in this collection is $</w:t>
      </w:r>
      <w:r w:rsidR="003F2A59">
        <w:rPr>
          <w:sz w:val="24"/>
        </w:rPr>
        <w:t>6</w:t>
      </w:r>
      <w:r w:rsidRPr="00A603DD">
        <w:rPr>
          <w:sz w:val="24"/>
        </w:rPr>
        <w:t xml:space="preserve">0 per hour.  Accordingly, </w:t>
      </w:r>
    </w:p>
    <w:p w:rsidRPr="003F2A59" w:rsidR="00A603DD" w:rsidP="00A603DD" w:rsidRDefault="004E4A1E" w14:paraId="6934038A" w14:textId="49AF9956">
      <w:pPr>
        <w:rPr>
          <w:sz w:val="24"/>
        </w:rPr>
      </w:pPr>
      <w:r>
        <w:rPr>
          <w:sz w:val="24"/>
        </w:rPr>
        <w:t>2</w:t>
      </w:r>
      <w:r w:rsidRPr="00A603DD" w:rsidR="00A603DD">
        <w:rPr>
          <w:sz w:val="24"/>
        </w:rPr>
        <w:t xml:space="preserve"> hour</w:t>
      </w:r>
      <w:r>
        <w:rPr>
          <w:sz w:val="24"/>
        </w:rPr>
        <w:t>s</w:t>
      </w:r>
      <w:r w:rsidRPr="00A603DD" w:rsidR="00A603DD">
        <w:rPr>
          <w:sz w:val="24"/>
        </w:rPr>
        <w:t xml:space="preserve"> per year x $</w:t>
      </w:r>
      <w:r w:rsidR="003F2A59">
        <w:rPr>
          <w:sz w:val="24"/>
        </w:rPr>
        <w:t>6</w:t>
      </w:r>
      <w:r w:rsidRPr="00A603DD" w:rsidR="00A603DD">
        <w:rPr>
          <w:sz w:val="24"/>
        </w:rPr>
        <w:t>0 per hour</w:t>
      </w:r>
      <w:r w:rsidR="00A603DD">
        <w:rPr>
          <w:b/>
          <w:sz w:val="24"/>
        </w:rPr>
        <w:t xml:space="preserve"> = </w:t>
      </w:r>
      <w:r w:rsidRPr="003F2A59" w:rsidR="00A603DD">
        <w:rPr>
          <w:sz w:val="24"/>
        </w:rPr>
        <w:t>$</w:t>
      </w:r>
      <w:r>
        <w:rPr>
          <w:sz w:val="24"/>
        </w:rPr>
        <w:t>120</w:t>
      </w:r>
      <w:r w:rsidRPr="003F2A59" w:rsidR="00A603DD">
        <w:rPr>
          <w:sz w:val="24"/>
        </w:rPr>
        <w:t xml:space="preserve"> (In-house cost)</w:t>
      </w:r>
    </w:p>
    <w:p w:rsidR="00067E3E" w:rsidRDefault="00067E3E" w14:paraId="0B78AFFC" w14:textId="77777777">
      <w:pPr>
        <w:tabs>
          <w:tab w:val="left" w:pos="-720"/>
        </w:tabs>
        <w:suppressAutoHyphens/>
        <w:rPr>
          <w:sz w:val="24"/>
        </w:rPr>
      </w:pPr>
    </w:p>
    <w:p w:rsidR="00067E3E" w:rsidRDefault="00067E3E" w14:paraId="30040AC6" w14:textId="074C1EF0">
      <w:pPr>
        <w:tabs>
          <w:tab w:val="left" w:pos="-720"/>
        </w:tabs>
        <w:suppressAutoHyphens/>
        <w:rPr>
          <w:sz w:val="24"/>
        </w:rPr>
      </w:pPr>
      <w:r>
        <w:rPr>
          <w:sz w:val="24"/>
        </w:rPr>
        <w:t xml:space="preserve">13.  </w:t>
      </w:r>
      <w:r w:rsidR="00B26746">
        <w:rPr>
          <w:sz w:val="24"/>
        </w:rPr>
        <w:t xml:space="preserve">There </w:t>
      </w:r>
      <w:r w:rsidR="00917963">
        <w:rPr>
          <w:sz w:val="24"/>
        </w:rPr>
        <w:t xml:space="preserve">are </w:t>
      </w:r>
      <w:r w:rsidR="00B26746">
        <w:rPr>
          <w:sz w:val="24"/>
        </w:rPr>
        <w:t>no total annual cost burden</w:t>
      </w:r>
      <w:r w:rsidR="00D550D6">
        <w:rPr>
          <w:sz w:val="24"/>
        </w:rPr>
        <w:t>s</w:t>
      </w:r>
      <w:r w:rsidR="00B26746">
        <w:rPr>
          <w:sz w:val="24"/>
        </w:rPr>
        <w:t xml:space="preserve"> </w:t>
      </w:r>
      <w:r w:rsidR="00D550D6">
        <w:rPr>
          <w:sz w:val="24"/>
        </w:rPr>
        <w:t xml:space="preserve">for </w:t>
      </w:r>
      <w:r w:rsidR="00B26746">
        <w:rPr>
          <w:sz w:val="24"/>
        </w:rPr>
        <w:t xml:space="preserve">respondents or recordkeepers </w:t>
      </w:r>
      <w:r w:rsidR="00D550D6">
        <w:rPr>
          <w:sz w:val="24"/>
        </w:rPr>
        <w:t xml:space="preserve">that </w:t>
      </w:r>
      <w:r w:rsidR="00B26746">
        <w:rPr>
          <w:sz w:val="24"/>
        </w:rPr>
        <w:t>result from the collection of information.</w:t>
      </w:r>
    </w:p>
    <w:p w:rsidR="00382C33" w:rsidRDefault="00382C33" w14:paraId="261E188F" w14:textId="77777777">
      <w:pPr>
        <w:tabs>
          <w:tab w:val="left" w:pos="-720"/>
        </w:tabs>
        <w:suppressAutoHyphens/>
        <w:rPr>
          <w:b/>
          <w:sz w:val="24"/>
        </w:rPr>
      </w:pPr>
    </w:p>
    <w:p w:rsidR="00067E3E" w:rsidP="008A2717" w:rsidRDefault="00067E3E" w14:paraId="6BA0FC7D" w14:textId="687CC091">
      <w:pPr>
        <w:pStyle w:val="EndnoteText"/>
        <w:tabs>
          <w:tab w:val="left" w:pos="-720"/>
        </w:tabs>
        <w:suppressAutoHyphens/>
      </w:pPr>
      <w:r>
        <w:t xml:space="preserve">14.  </w:t>
      </w:r>
      <w:r w:rsidR="008A2717">
        <w:t xml:space="preserve">After the ISPC forms are filed with the Commission via IBFS, they are reviewed and processed by a GS-13/Step </w:t>
      </w:r>
      <w:r w:rsidR="00917963">
        <w:t>5</w:t>
      </w:r>
      <w:r w:rsidR="008A2717">
        <w:t xml:space="preserve"> employee at the rate of </w:t>
      </w:r>
      <w:r w:rsidR="00184EC9">
        <w:t>$</w:t>
      </w:r>
      <w:r w:rsidR="008A2717">
        <w:t>5</w:t>
      </w:r>
      <w:r w:rsidR="00184EC9">
        <w:t>6</w:t>
      </w:r>
      <w:r w:rsidR="005122D7">
        <w:t>.</w:t>
      </w:r>
      <w:r w:rsidR="00184EC9">
        <w:t>31</w:t>
      </w:r>
      <w:r w:rsidR="008A2717">
        <w:t xml:space="preserve"> per hour.  The employee spends an average of 4 hours per year reviewing and processing ISPC applications to assign ISPCs to international carriers.  The rate of $</w:t>
      </w:r>
      <w:r w:rsidR="00B238EA">
        <w:t>56.31</w:t>
      </w:r>
      <w:r w:rsidR="008A2717">
        <w:t xml:space="preserve"> X 2</w:t>
      </w:r>
      <w:r w:rsidR="00B238EA">
        <w:t>0</w:t>
      </w:r>
      <w:r w:rsidR="008A2717">
        <w:t xml:space="preserve"> hours (4 hours per application X </w:t>
      </w:r>
      <w:r w:rsidR="00B238EA">
        <w:t>5</w:t>
      </w:r>
      <w:r w:rsidR="008A2717">
        <w:t xml:space="preserve"> applications per year) = </w:t>
      </w:r>
      <w:r w:rsidR="005122D7">
        <w:t>$</w:t>
      </w:r>
      <w:r w:rsidR="00B238EA">
        <w:t>1</w:t>
      </w:r>
      <w:r w:rsidR="00184EC9">
        <w:t>,</w:t>
      </w:r>
      <w:r w:rsidR="00B238EA">
        <w:t>12</w:t>
      </w:r>
      <w:r w:rsidR="005122D7">
        <w:t>6.20</w:t>
      </w:r>
      <w:r w:rsidR="00E7277C">
        <w:t xml:space="preserve">.  </w:t>
      </w:r>
      <w:r w:rsidRPr="00E7277C" w:rsidR="00E7277C">
        <w:rPr>
          <w:b/>
        </w:rPr>
        <w:t>Therefore, the cost to the Federal Government is $</w:t>
      </w:r>
      <w:r w:rsidR="00B238EA">
        <w:rPr>
          <w:b/>
        </w:rPr>
        <w:t>1</w:t>
      </w:r>
      <w:r w:rsidR="00184EC9">
        <w:rPr>
          <w:b/>
        </w:rPr>
        <w:t>,</w:t>
      </w:r>
      <w:r w:rsidR="00B238EA">
        <w:rPr>
          <w:b/>
        </w:rPr>
        <w:t>126</w:t>
      </w:r>
      <w:r w:rsidRPr="00E7277C" w:rsidR="00E7277C">
        <w:rPr>
          <w:b/>
        </w:rPr>
        <w:t>.20</w:t>
      </w:r>
      <w:r w:rsidR="00E7277C">
        <w:t>.</w:t>
      </w:r>
    </w:p>
    <w:p w:rsidR="00067E3E" w:rsidRDefault="00067E3E" w14:paraId="1A033FBF" w14:textId="77777777">
      <w:pPr>
        <w:tabs>
          <w:tab w:val="left" w:pos="-720"/>
        </w:tabs>
        <w:suppressAutoHyphens/>
        <w:rPr>
          <w:sz w:val="24"/>
        </w:rPr>
      </w:pPr>
    </w:p>
    <w:p w:rsidR="001D0EFE" w:rsidP="001D0EFE" w:rsidRDefault="00067E3E" w14:paraId="63068520" w14:textId="4A2E6475">
      <w:pPr>
        <w:suppressAutoHyphens/>
        <w:rPr>
          <w:bCs/>
          <w:iCs/>
          <w:spacing w:val="-3"/>
          <w:sz w:val="24"/>
        </w:rPr>
      </w:pPr>
      <w:r>
        <w:rPr>
          <w:sz w:val="24"/>
        </w:rPr>
        <w:t xml:space="preserve">15.   </w:t>
      </w:r>
      <w:r w:rsidR="00E7277C">
        <w:rPr>
          <w:sz w:val="24"/>
        </w:rPr>
        <w:t>There are no program changes to this information collection.  The</w:t>
      </w:r>
      <w:r w:rsidR="001D0EFE">
        <w:rPr>
          <w:bCs/>
          <w:iCs/>
          <w:spacing w:val="-3"/>
          <w:sz w:val="24"/>
        </w:rPr>
        <w:t xml:space="preserve"> information collection was </w:t>
      </w:r>
      <w:r w:rsidR="00E7277C">
        <w:rPr>
          <w:bCs/>
          <w:iCs/>
          <w:spacing w:val="-3"/>
          <w:sz w:val="24"/>
        </w:rPr>
        <w:t xml:space="preserve">adjusted </w:t>
      </w:r>
      <w:r w:rsidR="001D0EFE">
        <w:rPr>
          <w:bCs/>
          <w:iCs/>
          <w:spacing w:val="-3"/>
          <w:sz w:val="24"/>
        </w:rPr>
        <w:t xml:space="preserve">to </w:t>
      </w:r>
      <w:r w:rsidR="0025790F">
        <w:rPr>
          <w:bCs/>
          <w:iCs/>
          <w:spacing w:val="-3"/>
          <w:sz w:val="24"/>
        </w:rPr>
        <w:t>reflect a</w:t>
      </w:r>
      <w:r w:rsidR="00B238EA">
        <w:rPr>
          <w:bCs/>
          <w:iCs/>
          <w:spacing w:val="-3"/>
          <w:sz w:val="24"/>
        </w:rPr>
        <w:t>n</w:t>
      </w:r>
      <w:r w:rsidR="0025790F">
        <w:rPr>
          <w:bCs/>
          <w:iCs/>
          <w:spacing w:val="-3"/>
          <w:sz w:val="24"/>
        </w:rPr>
        <w:t xml:space="preserve"> </w:t>
      </w:r>
      <w:r w:rsidR="00B238EA">
        <w:rPr>
          <w:bCs/>
          <w:iCs/>
          <w:spacing w:val="-3"/>
          <w:sz w:val="24"/>
        </w:rPr>
        <w:t xml:space="preserve">increase </w:t>
      </w:r>
      <w:r w:rsidR="00E7277C">
        <w:rPr>
          <w:bCs/>
          <w:iCs/>
          <w:spacing w:val="-3"/>
          <w:sz w:val="24"/>
        </w:rPr>
        <w:t>(adjustment)</w:t>
      </w:r>
      <w:r w:rsidR="0025790F">
        <w:rPr>
          <w:bCs/>
          <w:iCs/>
          <w:spacing w:val="-3"/>
          <w:sz w:val="24"/>
        </w:rPr>
        <w:t xml:space="preserve"> in the number of annual respondents and responses from </w:t>
      </w:r>
      <w:r w:rsidR="00B238EA">
        <w:rPr>
          <w:bCs/>
          <w:iCs/>
          <w:spacing w:val="-3"/>
          <w:sz w:val="24"/>
        </w:rPr>
        <w:t>3 to 5</w:t>
      </w:r>
      <w:r w:rsidR="0025790F">
        <w:rPr>
          <w:bCs/>
          <w:iCs/>
          <w:spacing w:val="-3"/>
          <w:sz w:val="24"/>
        </w:rPr>
        <w:t xml:space="preserve"> (</w:t>
      </w:r>
      <w:r w:rsidR="00B238EA">
        <w:rPr>
          <w:bCs/>
          <w:iCs/>
          <w:spacing w:val="-3"/>
          <w:sz w:val="24"/>
        </w:rPr>
        <w:t>+2</w:t>
      </w:r>
      <w:r w:rsidR="0025790F">
        <w:rPr>
          <w:bCs/>
          <w:iCs/>
          <w:spacing w:val="-3"/>
          <w:sz w:val="24"/>
        </w:rPr>
        <w:t>)</w:t>
      </w:r>
      <w:r w:rsidR="00E7277C">
        <w:rPr>
          <w:bCs/>
          <w:iCs/>
          <w:spacing w:val="-3"/>
          <w:sz w:val="24"/>
        </w:rPr>
        <w:t xml:space="preserve"> and a</w:t>
      </w:r>
      <w:r w:rsidR="00B238EA">
        <w:rPr>
          <w:bCs/>
          <w:iCs/>
          <w:spacing w:val="-3"/>
          <w:sz w:val="24"/>
        </w:rPr>
        <w:t xml:space="preserve">n increase </w:t>
      </w:r>
      <w:r w:rsidR="00E7277C">
        <w:rPr>
          <w:bCs/>
          <w:iCs/>
          <w:spacing w:val="-3"/>
          <w:sz w:val="24"/>
        </w:rPr>
        <w:t xml:space="preserve">(adjustment) to the annual burden hours from </w:t>
      </w:r>
      <w:r w:rsidR="00B238EA">
        <w:rPr>
          <w:bCs/>
          <w:iCs/>
          <w:spacing w:val="-3"/>
          <w:sz w:val="24"/>
        </w:rPr>
        <w:t>1</w:t>
      </w:r>
      <w:r w:rsidR="00E7277C">
        <w:rPr>
          <w:bCs/>
          <w:iCs/>
          <w:spacing w:val="-3"/>
          <w:sz w:val="24"/>
        </w:rPr>
        <w:t xml:space="preserve"> to </w:t>
      </w:r>
      <w:r w:rsidR="00B238EA">
        <w:rPr>
          <w:bCs/>
          <w:iCs/>
          <w:spacing w:val="-3"/>
          <w:sz w:val="24"/>
        </w:rPr>
        <w:t>2</w:t>
      </w:r>
      <w:r w:rsidR="00E7277C">
        <w:rPr>
          <w:bCs/>
          <w:iCs/>
          <w:spacing w:val="-3"/>
          <w:sz w:val="24"/>
        </w:rPr>
        <w:t xml:space="preserve"> hour</w:t>
      </w:r>
      <w:r w:rsidR="00B238EA">
        <w:rPr>
          <w:bCs/>
          <w:iCs/>
          <w:spacing w:val="-3"/>
          <w:sz w:val="24"/>
        </w:rPr>
        <w:t>s</w:t>
      </w:r>
      <w:r w:rsidR="00E7277C">
        <w:rPr>
          <w:bCs/>
          <w:iCs/>
          <w:spacing w:val="-3"/>
          <w:sz w:val="24"/>
        </w:rPr>
        <w:t xml:space="preserve"> (</w:t>
      </w:r>
      <w:r w:rsidR="00B238EA">
        <w:rPr>
          <w:bCs/>
          <w:iCs/>
          <w:spacing w:val="-3"/>
          <w:sz w:val="24"/>
        </w:rPr>
        <w:t>+1</w:t>
      </w:r>
      <w:r w:rsidR="00E7277C">
        <w:rPr>
          <w:bCs/>
          <w:iCs/>
          <w:spacing w:val="-3"/>
          <w:sz w:val="24"/>
        </w:rPr>
        <w:t xml:space="preserve"> hour)</w:t>
      </w:r>
      <w:r w:rsidR="001D0EFE">
        <w:rPr>
          <w:bCs/>
          <w:iCs/>
          <w:spacing w:val="-3"/>
          <w:sz w:val="24"/>
        </w:rPr>
        <w:t>.</w:t>
      </w:r>
    </w:p>
    <w:p w:rsidR="005B7B32" w:rsidRDefault="005B7B32" w14:paraId="728E015D" w14:textId="77777777">
      <w:pPr>
        <w:tabs>
          <w:tab w:val="left" w:pos="-720"/>
        </w:tabs>
        <w:suppressAutoHyphens/>
        <w:rPr>
          <w:b/>
          <w:sz w:val="24"/>
        </w:rPr>
      </w:pPr>
    </w:p>
    <w:p w:rsidR="00067E3E" w:rsidRDefault="00067E3E" w14:paraId="4CD73828" w14:textId="77777777">
      <w:pPr>
        <w:tabs>
          <w:tab w:val="left" w:pos="-720"/>
        </w:tabs>
        <w:suppressAutoHyphens/>
        <w:rPr>
          <w:sz w:val="24"/>
        </w:rPr>
      </w:pPr>
      <w:r>
        <w:rPr>
          <w:sz w:val="24"/>
        </w:rPr>
        <w:t xml:space="preserve">16.  </w:t>
      </w:r>
      <w:r w:rsidR="0001072A">
        <w:rPr>
          <w:sz w:val="24"/>
        </w:rPr>
        <w:t xml:space="preserve"> </w:t>
      </w:r>
      <w:r>
        <w:rPr>
          <w:sz w:val="24"/>
        </w:rPr>
        <w:t xml:space="preserve">The results of this collection of information </w:t>
      </w:r>
      <w:r w:rsidR="00213FFB">
        <w:rPr>
          <w:sz w:val="24"/>
        </w:rPr>
        <w:t xml:space="preserve">will not </w:t>
      </w:r>
      <w:r>
        <w:rPr>
          <w:sz w:val="24"/>
        </w:rPr>
        <w:t>be published for statistical use.</w:t>
      </w:r>
    </w:p>
    <w:p w:rsidR="00067E3E" w:rsidRDefault="00067E3E" w14:paraId="77923B9B" w14:textId="77777777">
      <w:pPr>
        <w:tabs>
          <w:tab w:val="left" w:pos="-720"/>
        </w:tabs>
        <w:suppressAutoHyphens/>
        <w:rPr>
          <w:sz w:val="24"/>
        </w:rPr>
      </w:pPr>
      <w:r>
        <w:rPr>
          <w:sz w:val="24"/>
        </w:rPr>
        <w:t xml:space="preserve"> </w:t>
      </w:r>
    </w:p>
    <w:p w:rsidR="00067E3E" w:rsidRDefault="00067E3E" w14:paraId="4005AAC9" w14:textId="77777777">
      <w:pPr>
        <w:tabs>
          <w:tab w:val="left" w:pos="-720"/>
        </w:tabs>
        <w:suppressAutoHyphens/>
        <w:rPr>
          <w:sz w:val="24"/>
        </w:rPr>
      </w:pPr>
      <w:r>
        <w:rPr>
          <w:sz w:val="24"/>
        </w:rPr>
        <w:t xml:space="preserve">17.  </w:t>
      </w:r>
      <w:r w:rsidR="0001072A">
        <w:rPr>
          <w:sz w:val="24"/>
        </w:rPr>
        <w:t xml:space="preserve"> </w:t>
      </w:r>
      <w:r>
        <w:rPr>
          <w:sz w:val="24"/>
        </w:rPr>
        <w:t xml:space="preserve">We do not seek approval to not display the expiration date for OMB approval of the information collection. </w:t>
      </w:r>
    </w:p>
    <w:p w:rsidR="00067E3E" w:rsidRDefault="00067E3E" w14:paraId="3475B610" w14:textId="77777777">
      <w:pPr>
        <w:tabs>
          <w:tab w:val="left" w:pos="-720"/>
        </w:tabs>
        <w:suppressAutoHyphens/>
        <w:rPr>
          <w:sz w:val="24"/>
        </w:rPr>
      </w:pPr>
    </w:p>
    <w:p w:rsidR="00067E3E" w:rsidRDefault="00067E3E" w14:paraId="22D663DF" w14:textId="77777777">
      <w:pPr>
        <w:tabs>
          <w:tab w:val="left" w:pos="-720"/>
        </w:tabs>
        <w:suppressAutoHyphens/>
        <w:rPr>
          <w:sz w:val="24"/>
        </w:rPr>
      </w:pPr>
      <w:r>
        <w:rPr>
          <w:sz w:val="24"/>
        </w:rPr>
        <w:t xml:space="preserve">18.  There are no exceptions to the </w:t>
      </w:r>
      <w:r w:rsidR="00697802">
        <w:rPr>
          <w:sz w:val="24"/>
        </w:rPr>
        <w:t>C</w:t>
      </w:r>
      <w:r>
        <w:rPr>
          <w:sz w:val="24"/>
        </w:rPr>
        <w:t xml:space="preserve">ertification </w:t>
      </w:r>
      <w:r w:rsidR="00697802">
        <w:rPr>
          <w:sz w:val="24"/>
        </w:rPr>
        <w:t>S</w:t>
      </w:r>
      <w:r>
        <w:rPr>
          <w:sz w:val="24"/>
        </w:rPr>
        <w:t>tatement.</w:t>
      </w:r>
    </w:p>
    <w:p w:rsidR="00067E3E" w:rsidRDefault="00067E3E" w14:paraId="15C2369C" w14:textId="77777777">
      <w:pPr>
        <w:pStyle w:val="EndnoteText"/>
        <w:tabs>
          <w:tab w:val="center" w:pos="4680"/>
        </w:tabs>
        <w:suppressAutoHyphens/>
      </w:pPr>
      <w:r>
        <w:tab/>
      </w:r>
    </w:p>
    <w:p w:rsidR="00067E3E" w:rsidRDefault="00067E3E" w14:paraId="56B5B4EB" w14:textId="77777777">
      <w:pPr>
        <w:tabs>
          <w:tab w:val="left" w:pos="-720"/>
        </w:tabs>
        <w:suppressAutoHyphens/>
        <w:rPr>
          <w:sz w:val="24"/>
        </w:rPr>
      </w:pPr>
      <w:r>
        <w:rPr>
          <w:b/>
          <w:sz w:val="24"/>
          <w:u w:val="single"/>
        </w:rPr>
        <w:t>Part B.  Collections of Information Employing Statistical Methods</w:t>
      </w:r>
      <w:r>
        <w:rPr>
          <w:b/>
          <w:sz w:val="24"/>
        </w:rPr>
        <w:t>.</w:t>
      </w:r>
    </w:p>
    <w:p w:rsidR="00067E3E" w:rsidRDefault="00067E3E" w14:paraId="13EA88B2" w14:textId="77777777">
      <w:pPr>
        <w:tabs>
          <w:tab w:val="left" w:pos="-720"/>
        </w:tabs>
        <w:suppressAutoHyphens/>
        <w:rPr>
          <w:sz w:val="24"/>
        </w:rPr>
      </w:pPr>
    </w:p>
    <w:p w:rsidR="00067E3E" w:rsidRDefault="00067E3E" w14:paraId="278AC8AB" w14:textId="77777777">
      <w:pPr>
        <w:tabs>
          <w:tab w:val="left" w:pos="-720"/>
        </w:tabs>
        <w:suppressAutoHyphens/>
        <w:rPr>
          <w:sz w:val="24"/>
        </w:rPr>
      </w:pPr>
      <w:r>
        <w:rPr>
          <w:sz w:val="24"/>
        </w:rPr>
        <w:t>This information collection does not anticipate the use of statistical methods.</w:t>
      </w:r>
    </w:p>
    <w:sectPr w:rsidR="00067E3E">
      <w:headerReference w:type="default" r:id="rId8"/>
      <w:footerReference w:type="default" r:id="rId9"/>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AA169" w14:textId="77777777" w:rsidR="00C30AA7" w:rsidRDefault="00C30AA7">
      <w:pPr>
        <w:spacing w:line="20" w:lineRule="exact"/>
        <w:rPr>
          <w:sz w:val="24"/>
        </w:rPr>
      </w:pPr>
    </w:p>
  </w:endnote>
  <w:endnote w:type="continuationSeparator" w:id="0">
    <w:p w14:paraId="796A97AA" w14:textId="77777777" w:rsidR="00C30AA7" w:rsidRDefault="00C30AA7">
      <w:r>
        <w:rPr>
          <w:sz w:val="24"/>
        </w:rPr>
        <w:t xml:space="preserve"> </w:t>
      </w:r>
    </w:p>
  </w:endnote>
  <w:endnote w:type="continuationNotice" w:id="1">
    <w:p w14:paraId="59B27CB4" w14:textId="77777777" w:rsidR="00C30AA7" w:rsidRDefault="00C30AA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780B5" w14:textId="77777777" w:rsidR="00067E3E" w:rsidRPr="007A78FF" w:rsidRDefault="00067E3E">
    <w:pPr>
      <w:spacing w:before="428" w:line="100" w:lineRule="exact"/>
      <w:jc w:val="center"/>
      <w:rPr>
        <w:sz w:val="24"/>
        <w:szCs w:val="24"/>
      </w:rPr>
    </w:pPr>
    <w:r w:rsidRPr="007A78FF">
      <w:rPr>
        <w:rStyle w:val="PageNumber"/>
        <w:sz w:val="24"/>
        <w:szCs w:val="24"/>
      </w:rPr>
      <w:fldChar w:fldCharType="begin"/>
    </w:r>
    <w:r w:rsidRPr="007A78FF">
      <w:rPr>
        <w:rStyle w:val="PageNumber"/>
        <w:sz w:val="24"/>
        <w:szCs w:val="24"/>
      </w:rPr>
      <w:instrText xml:space="preserve"> PAGE </w:instrText>
    </w:r>
    <w:r w:rsidRPr="007A78FF">
      <w:rPr>
        <w:rStyle w:val="PageNumber"/>
        <w:sz w:val="24"/>
        <w:szCs w:val="24"/>
      </w:rPr>
      <w:fldChar w:fldCharType="separate"/>
    </w:r>
    <w:r w:rsidR="00816977">
      <w:rPr>
        <w:rStyle w:val="PageNumber"/>
        <w:noProof/>
        <w:sz w:val="24"/>
        <w:szCs w:val="24"/>
      </w:rPr>
      <w:t>1</w:t>
    </w:r>
    <w:r w:rsidRPr="007A78FF">
      <w:rPr>
        <w:rStyle w:val="PageNumber"/>
        <w:sz w:val="24"/>
        <w:szCs w:val="24"/>
      </w:rPr>
      <w:fldChar w:fldCharType="end"/>
    </w:r>
  </w:p>
  <w:p w14:paraId="12715C00" w14:textId="77777777" w:rsidR="00067E3E" w:rsidRDefault="00067E3E">
    <w:pPr>
      <w:tabs>
        <w:tab w:val="left" w:pos="-720"/>
      </w:tabs>
      <w:suppressAutoHyphens/>
      <w:rPr>
        <w:rFonts w:ascii="Courier" w:hAnsi="Courier"/>
        <w:sz w:val="24"/>
      </w:rPr>
    </w:pPr>
  </w:p>
  <w:p w14:paraId="21E337FB" w14:textId="01D56FB0" w:rsidR="00067E3E" w:rsidRDefault="008B44AB">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14:anchorId="37D41A9E" wp14:editId="3F74E080">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F93424" w14:textId="77777777" w:rsidR="00067E3E" w:rsidRDefault="00067E3E">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rect w14:anchorId="37D41A9E"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" o:allowincell="f" filled="f" stroked="f" strokeweight="0">
              <v:textbox inset="0,0,0,0">
                <w:txbxContent>
                  <w:p w14:paraId="61F93424" w14:textId="77777777" w:rsidR="00067E3E" w:rsidRDefault="00067E3E">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FBB34" w14:textId="77777777" w:rsidR="00C30AA7" w:rsidRDefault="00C30AA7">
      <w:r>
        <w:rPr>
          <w:sz w:val="24"/>
        </w:rPr>
        <w:separator/>
      </w:r>
    </w:p>
  </w:footnote>
  <w:footnote w:type="continuationSeparator" w:id="0">
    <w:p w14:paraId="34BC9ADB" w14:textId="77777777" w:rsidR="00C30AA7" w:rsidRDefault="00C30AA7">
      <w:r>
        <w:continuationSeparator/>
      </w:r>
    </w:p>
  </w:footnote>
  <w:footnote w:type="continuationNotice" w:id="1">
    <w:p w14:paraId="4D214C22" w14:textId="77777777" w:rsidR="00C30AA7" w:rsidRDefault="00C30AA7"/>
  </w:footnote>
  <w:footnote w:id="2">
    <w:p w14:paraId="7DF455D6" w14:textId="0C5E2191" w:rsidR="0001120A" w:rsidRPr="0001120A" w:rsidRDefault="0001120A" w:rsidP="00AD5EAA">
      <w:pPr>
        <w:pStyle w:val="FootnoteText"/>
        <w:spacing w:after="120"/>
        <w:rPr>
          <w:sz w:val="20"/>
          <w:szCs w:val="20"/>
        </w:rPr>
      </w:pPr>
      <w:r w:rsidRPr="0001120A">
        <w:rPr>
          <w:rStyle w:val="FootnoteReference"/>
          <w:sz w:val="20"/>
          <w:szCs w:val="20"/>
        </w:rPr>
        <w:footnoteRef/>
      </w:r>
      <w:r w:rsidRPr="0001120A">
        <w:rPr>
          <w:sz w:val="20"/>
          <w:szCs w:val="20"/>
        </w:rPr>
        <w:t xml:space="preserve"> This collection of information continues to need OMB approval because they make up the majority of their universe of respondents.</w:t>
      </w:r>
    </w:p>
  </w:footnote>
  <w:footnote w:id="3">
    <w:p w14:paraId="377921F3" w14:textId="5622B1E8" w:rsidR="00184EC9" w:rsidRDefault="00184EC9" w:rsidP="00AD5EAA">
      <w:pPr>
        <w:pStyle w:val="FootnoteText"/>
        <w:spacing w:after="120"/>
      </w:pPr>
      <w:r>
        <w:rPr>
          <w:rStyle w:val="FootnoteReference"/>
        </w:rPr>
        <w:footnoteRef/>
      </w:r>
      <w:r>
        <w:t xml:space="preserve"> </w:t>
      </w:r>
      <w:r w:rsidRPr="00AD5EAA">
        <w:rPr>
          <w:sz w:val="20"/>
          <w:szCs w:val="20"/>
        </w:rPr>
        <w:t xml:space="preserve">The Commission </w:t>
      </w:r>
      <w:r w:rsidR="00EB1320">
        <w:rPr>
          <w:sz w:val="20"/>
          <w:szCs w:val="20"/>
        </w:rPr>
        <w:t xml:space="preserve">has </w:t>
      </w:r>
      <w:r w:rsidRPr="00AD5EAA">
        <w:rPr>
          <w:sz w:val="20"/>
          <w:szCs w:val="20"/>
        </w:rPr>
        <w:t xml:space="preserve">proposed </w:t>
      </w:r>
      <w:r w:rsidR="00EB1320">
        <w:rPr>
          <w:sz w:val="20"/>
          <w:szCs w:val="20"/>
        </w:rPr>
        <w:t xml:space="preserve">adopting rules requiring </w:t>
      </w:r>
      <w:r w:rsidRPr="00AD5EAA">
        <w:rPr>
          <w:sz w:val="20"/>
          <w:szCs w:val="20"/>
        </w:rPr>
        <w:t>fees for ISPC applications in a Notice of Proposed Rulemaking released on August 26, 2020</w:t>
      </w:r>
      <w:r w:rsidR="009A20E0">
        <w:rPr>
          <w:sz w:val="20"/>
          <w:szCs w:val="20"/>
        </w:rPr>
        <w:t xml:space="preserve">.  </w:t>
      </w:r>
      <w:r>
        <w:rPr>
          <w:i/>
          <w:iCs/>
          <w:sz w:val="20"/>
          <w:szCs w:val="20"/>
        </w:rPr>
        <w:t xml:space="preserve">See </w:t>
      </w:r>
      <w:r w:rsidRPr="00AD5EAA">
        <w:rPr>
          <w:sz w:val="20"/>
          <w:szCs w:val="20"/>
        </w:rPr>
        <w:t xml:space="preserve">85 FR 65566-01.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CC8A9" w14:textId="77777777" w:rsidR="00067E3E" w:rsidRDefault="00C109C6" w:rsidP="00C12357">
    <w:pPr>
      <w:pStyle w:val="Header"/>
      <w:jc w:val="right"/>
      <w:rPr>
        <w:b/>
        <w:sz w:val="24"/>
      </w:rPr>
    </w:pPr>
    <w:r>
      <w:rPr>
        <w:b/>
        <w:sz w:val="24"/>
      </w:rPr>
      <w:t xml:space="preserve">OMB Control No. </w:t>
    </w:r>
    <w:r w:rsidR="007050C2">
      <w:rPr>
        <w:b/>
        <w:sz w:val="24"/>
      </w:rPr>
      <w:t>3060-1028</w:t>
    </w:r>
  </w:p>
  <w:p w14:paraId="6E8AD814" w14:textId="77777777" w:rsidR="00176599" w:rsidRDefault="00176599" w:rsidP="00C12357">
    <w:pPr>
      <w:pStyle w:val="Header"/>
      <w:jc w:val="right"/>
      <w:rPr>
        <w:b/>
        <w:sz w:val="24"/>
      </w:rPr>
    </w:pPr>
    <w:r>
      <w:rPr>
        <w:b/>
        <w:sz w:val="24"/>
      </w:rPr>
      <w:t>International Signaling Point Code (ISPC)</w:t>
    </w:r>
  </w:p>
  <w:p w14:paraId="446B0707" w14:textId="7CAD2DC8" w:rsidR="00C12357" w:rsidRDefault="00C4438A" w:rsidP="00C12357">
    <w:pPr>
      <w:pStyle w:val="Header"/>
      <w:jc w:val="right"/>
      <w:rPr>
        <w:b/>
        <w:sz w:val="24"/>
      </w:rPr>
    </w:pPr>
    <w:r>
      <w:rPr>
        <w:b/>
        <w:sz w:val="24"/>
      </w:rPr>
      <w:t>M</w:t>
    </w:r>
    <w:r w:rsidR="004E4A1E">
      <w:rPr>
        <w:b/>
        <w:sz w:val="24"/>
      </w:rPr>
      <w:t>ay</w:t>
    </w:r>
    <w:r w:rsidR="00C12357">
      <w:rPr>
        <w:b/>
        <w:sz w:val="24"/>
      </w:rPr>
      <w:t xml:space="preserve"> 20</w:t>
    </w:r>
    <w:r>
      <w:rPr>
        <w:b/>
        <w:sz w:val="24"/>
      </w:rPr>
      <w:t>21</w:t>
    </w:r>
  </w:p>
  <w:p w14:paraId="7C08F5F8" w14:textId="77777777" w:rsidR="00C12357" w:rsidRDefault="00C12357" w:rsidP="00C12357">
    <w:pPr>
      <w:pStyle w:val="Header"/>
      <w:jc w:val="righ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56CF3"/>
    <w:multiLevelType w:val="hybridMultilevel"/>
    <w:tmpl w:val="9ED83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4B401BAC"/>
    <w:multiLevelType w:val="multilevel"/>
    <w:tmpl w:val="0148787C"/>
    <w:lvl w:ilvl="0">
      <w:start w:val="7"/>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4BA651DE"/>
    <w:multiLevelType w:val="singleLevel"/>
    <w:tmpl w:val="E6BC4EEE"/>
    <w:lvl w:ilvl="0">
      <w:start w:val="1"/>
      <w:numFmt w:val="lowerLetter"/>
      <w:lvlText w:val="(%1)"/>
      <w:lvlJc w:val="left"/>
      <w:pPr>
        <w:tabs>
          <w:tab w:val="num" w:pos="360"/>
        </w:tabs>
        <w:ind w:left="360" w:hanging="360"/>
      </w:pPr>
      <w:rPr>
        <w:rFonts w:hint="default"/>
        <w:b/>
      </w:rPr>
    </w:lvl>
  </w:abstractNum>
  <w:abstractNum w:abstractNumId="4" w15:restartNumberingAfterBreak="0">
    <w:nsid w:val="6B2C5639"/>
    <w:multiLevelType w:val="singleLevel"/>
    <w:tmpl w:val="35B4C97C"/>
    <w:lvl w:ilvl="0">
      <w:start w:val="1"/>
      <w:numFmt w:val="decimal"/>
      <w:lvlText w:val="(%1)"/>
      <w:lvlJc w:val="left"/>
      <w:pPr>
        <w:tabs>
          <w:tab w:val="num" w:pos="720"/>
        </w:tabs>
        <w:ind w:left="720" w:hanging="72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EA"/>
    <w:rsid w:val="00002D39"/>
    <w:rsid w:val="0001072A"/>
    <w:rsid w:val="0001120A"/>
    <w:rsid w:val="00013BEC"/>
    <w:rsid w:val="00016DED"/>
    <w:rsid w:val="0002447C"/>
    <w:rsid w:val="0002612C"/>
    <w:rsid w:val="00035F6B"/>
    <w:rsid w:val="0004419F"/>
    <w:rsid w:val="0005474F"/>
    <w:rsid w:val="00056051"/>
    <w:rsid w:val="00063DD5"/>
    <w:rsid w:val="000669C1"/>
    <w:rsid w:val="00067E3E"/>
    <w:rsid w:val="00071C16"/>
    <w:rsid w:val="00076C88"/>
    <w:rsid w:val="00085BB3"/>
    <w:rsid w:val="00091636"/>
    <w:rsid w:val="000A06B5"/>
    <w:rsid w:val="000C5A81"/>
    <w:rsid w:val="000C7EDD"/>
    <w:rsid w:val="000D1C99"/>
    <w:rsid w:val="000D6E7C"/>
    <w:rsid w:val="000E361F"/>
    <w:rsid w:val="00106001"/>
    <w:rsid w:val="001106A0"/>
    <w:rsid w:val="00151227"/>
    <w:rsid w:val="001523C4"/>
    <w:rsid w:val="00154F7A"/>
    <w:rsid w:val="00160DE5"/>
    <w:rsid w:val="00176599"/>
    <w:rsid w:val="00184EC9"/>
    <w:rsid w:val="001A429F"/>
    <w:rsid w:val="001B3318"/>
    <w:rsid w:val="001C1B49"/>
    <w:rsid w:val="001C54BA"/>
    <w:rsid w:val="001D0EFE"/>
    <w:rsid w:val="001D25EB"/>
    <w:rsid w:val="001E5919"/>
    <w:rsid w:val="00213FFB"/>
    <w:rsid w:val="00225240"/>
    <w:rsid w:val="00226326"/>
    <w:rsid w:val="002514D0"/>
    <w:rsid w:val="0025373C"/>
    <w:rsid w:val="0025462B"/>
    <w:rsid w:val="0025790F"/>
    <w:rsid w:val="0026324A"/>
    <w:rsid w:val="00271935"/>
    <w:rsid w:val="00282777"/>
    <w:rsid w:val="00293F01"/>
    <w:rsid w:val="00295D23"/>
    <w:rsid w:val="002970F5"/>
    <w:rsid w:val="002A1BCB"/>
    <w:rsid w:val="002D679A"/>
    <w:rsid w:val="002F044F"/>
    <w:rsid w:val="002F7649"/>
    <w:rsid w:val="00300493"/>
    <w:rsid w:val="00312786"/>
    <w:rsid w:val="00320FA5"/>
    <w:rsid w:val="00324181"/>
    <w:rsid w:val="00331F50"/>
    <w:rsid w:val="00334EF4"/>
    <w:rsid w:val="00335F80"/>
    <w:rsid w:val="00364CCE"/>
    <w:rsid w:val="00373937"/>
    <w:rsid w:val="00382C33"/>
    <w:rsid w:val="00386422"/>
    <w:rsid w:val="003A03D9"/>
    <w:rsid w:val="003A162E"/>
    <w:rsid w:val="003A2F7E"/>
    <w:rsid w:val="003A3403"/>
    <w:rsid w:val="003C14A4"/>
    <w:rsid w:val="003F154F"/>
    <w:rsid w:val="003F2A59"/>
    <w:rsid w:val="004104EA"/>
    <w:rsid w:val="00414945"/>
    <w:rsid w:val="00422BA1"/>
    <w:rsid w:val="00425FBB"/>
    <w:rsid w:val="00426F72"/>
    <w:rsid w:val="00431F45"/>
    <w:rsid w:val="004548CD"/>
    <w:rsid w:val="00455B6F"/>
    <w:rsid w:val="004602DE"/>
    <w:rsid w:val="00472D23"/>
    <w:rsid w:val="00476633"/>
    <w:rsid w:val="004951CB"/>
    <w:rsid w:val="004A0B84"/>
    <w:rsid w:val="004B5A3E"/>
    <w:rsid w:val="004C76A7"/>
    <w:rsid w:val="004D4506"/>
    <w:rsid w:val="004D65AE"/>
    <w:rsid w:val="004D7037"/>
    <w:rsid w:val="004E47ED"/>
    <w:rsid w:val="004E4A1E"/>
    <w:rsid w:val="004F639F"/>
    <w:rsid w:val="00506F18"/>
    <w:rsid w:val="005122D7"/>
    <w:rsid w:val="00523D16"/>
    <w:rsid w:val="0053308A"/>
    <w:rsid w:val="00536CC4"/>
    <w:rsid w:val="00536E6C"/>
    <w:rsid w:val="00541C29"/>
    <w:rsid w:val="005441BE"/>
    <w:rsid w:val="005538FC"/>
    <w:rsid w:val="005706DC"/>
    <w:rsid w:val="005713D7"/>
    <w:rsid w:val="00571AE7"/>
    <w:rsid w:val="00577AB4"/>
    <w:rsid w:val="005A4481"/>
    <w:rsid w:val="005B157D"/>
    <w:rsid w:val="005B4D02"/>
    <w:rsid w:val="005B7B32"/>
    <w:rsid w:val="005B7E97"/>
    <w:rsid w:val="005F120C"/>
    <w:rsid w:val="00623F0C"/>
    <w:rsid w:val="006314E2"/>
    <w:rsid w:val="00647A78"/>
    <w:rsid w:val="00676C40"/>
    <w:rsid w:val="00695346"/>
    <w:rsid w:val="0069765F"/>
    <w:rsid w:val="00697802"/>
    <w:rsid w:val="006A746A"/>
    <w:rsid w:val="006B61BB"/>
    <w:rsid w:val="006E2376"/>
    <w:rsid w:val="006E58D0"/>
    <w:rsid w:val="007019B2"/>
    <w:rsid w:val="007050C2"/>
    <w:rsid w:val="00717B5B"/>
    <w:rsid w:val="00720AB6"/>
    <w:rsid w:val="00720BDA"/>
    <w:rsid w:val="00735610"/>
    <w:rsid w:val="007373A8"/>
    <w:rsid w:val="00743FFD"/>
    <w:rsid w:val="00761E9A"/>
    <w:rsid w:val="007649BE"/>
    <w:rsid w:val="0077604D"/>
    <w:rsid w:val="00780816"/>
    <w:rsid w:val="00795B3E"/>
    <w:rsid w:val="007A1CBF"/>
    <w:rsid w:val="007A78FF"/>
    <w:rsid w:val="007B7FD0"/>
    <w:rsid w:val="007E6E35"/>
    <w:rsid w:val="008058E9"/>
    <w:rsid w:val="00807709"/>
    <w:rsid w:val="00810E5F"/>
    <w:rsid w:val="00816977"/>
    <w:rsid w:val="00827E3E"/>
    <w:rsid w:val="00855BA2"/>
    <w:rsid w:val="0085741C"/>
    <w:rsid w:val="00861CEA"/>
    <w:rsid w:val="00875571"/>
    <w:rsid w:val="00892D23"/>
    <w:rsid w:val="00894575"/>
    <w:rsid w:val="008A2717"/>
    <w:rsid w:val="008B28D8"/>
    <w:rsid w:val="008B44AB"/>
    <w:rsid w:val="008B6388"/>
    <w:rsid w:val="008C1B63"/>
    <w:rsid w:val="008D40E1"/>
    <w:rsid w:val="008D5F21"/>
    <w:rsid w:val="008F52F0"/>
    <w:rsid w:val="0091056C"/>
    <w:rsid w:val="00917963"/>
    <w:rsid w:val="00927BD1"/>
    <w:rsid w:val="00932BEC"/>
    <w:rsid w:val="009554AF"/>
    <w:rsid w:val="009605CB"/>
    <w:rsid w:val="00960670"/>
    <w:rsid w:val="009613B9"/>
    <w:rsid w:val="00975D50"/>
    <w:rsid w:val="00987561"/>
    <w:rsid w:val="009919DF"/>
    <w:rsid w:val="009A20E0"/>
    <w:rsid w:val="009A53CF"/>
    <w:rsid w:val="009C293E"/>
    <w:rsid w:val="009D0D59"/>
    <w:rsid w:val="009D1A91"/>
    <w:rsid w:val="00A01CE2"/>
    <w:rsid w:val="00A03CDA"/>
    <w:rsid w:val="00A43B3D"/>
    <w:rsid w:val="00A43DB7"/>
    <w:rsid w:val="00A53886"/>
    <w:rsid w:val="00A603DD"/>
    <w:rsid w:val="00A66317"/>
    <w:rsid w:val="00AA2545"/>
    <w:rsid w:val="00AA40F5"/>
    <w:rsid w:val="00AC151A"/>
    <w:rsid w:val="00AC1AB9"/>
    <w:rsid w:val="00AC62C3"/>
    <w:rsid w:val="00AD5EAA"/>
    <w:rsid w:val="00B02097"/>
    <w:rsid w:val="00B2077D"/>
    <w:rsid w:val="00B238EA"/>
    <w:rsid w:val="00B26746"/>
    <w:rsid w:val="00B331BB"/>
    <w:rsid w:val="00B4614D"/>
    <w:rsid w:val="00B67E09"/>
    <w:rsid w:val="00B81666"/>
    <w:rsid w:val="00B9172C"/>
    <w:rsid w:val="00BA6115"/>
    <w:rsid w:val="00BD7544"/>
    <w:rsid w:val="00BD7D82"/>
    <w:rsid w:val="00BE0B13"/>
    <w:rsid w:val="00BE479D"/>
    <w:rsid w:val="00C0230A"/>
    <w:rsid w:val="00C053E7"/>
    <w:rsid w:val="00C109C6"/>
    <w:rsid w:val="00C12357"/>
    <w:rsid w:val="00C2415C"/>
    <w:rsid w:val="00C2585E"/>
    <w:rsid w:val="00C30AA7"/>
    <w:rsid w:val="00C416F1"/>
    <w:rsid w:val="00C4438A"/>
    <w:rsid w:val="00C52371"/>
    <w:rsid w:val="00C63506"/>
    <w:rsid w:val="00C75E84"/>
    <w:rsid w:val="00C80B3F"/>
    <w:rsid w:val="00C819FC"/>
    <w:rsid w:val="00C855AD"/>
    <w:rsid w:val="00C876E1"/>
    <w:rsid w:val="00C9763F"/>
    <w:rsid w:val="00CA33E7"/>
    <w:rsid w:val="00CD7DCC"/>
    <w:rsid w:val="00CE5798"/>
    <w:rsid w:val="00CF22B4"/>
    <w:rsid w:val="00CF6F4B"/>
    <w:rsid w:val="00D21817"/>
    <w:rsid w:val="00D34382"/>
    <w:rsid w:val="00D44CDD"/>
    <w:rsid w:val="00D550D6"/>
    <w:rsid w:val="00D635E0"/>
    <w:rsid w:val="00DC1289"/>
    <w:rsid w:val="00DC40B1"/>
    <w:rsid w:val="00DC44E5"/>
    <w:rsid w:val="00DC6C89"/>
    <w:rsid w:val="00DE05F5"/>
    <w:rsid w:val="00DE1C13"/>
    <w:rsid w:val="00DF1FDB"/>
    <w:rsid w:val="00E0647B"/>
    <w:rsid w:val="00E111E7"/>
    <w:rsid w:val="00E21496"/>
    <w:rsid w:val="00E244F7"/>
    <w:rsid w:val="00E248A9"/>
    <w:rsid w:val="00E255BB"/>
    <w:rsid w:val="00E30922"/>
    <w:rsid w:val="00E533E7"/>
    <w:rsid w:val="00E60B9E"/>
    <w:rsid w:val="00E7277C"/>
    <w:rsid w:val="00E94317"/>
    <w:rsid w:val="00EA50F9"/>
    <w:rsid w:val="00EA7064"/>
    <w:rsid w:val="00EB1320"/>
    <w:rsid w:val="00EB1CDF"/>
    <w:rsid w:val="00EB208A"/>
    <w:rsid w:val="00EB2DCF"/>
    <w:rsid w:val="00EB5822"/>
    <w:rsid w:val="00EB6E62"/>
    <w:rsid w:val="00ED06E0"/>
    <w:rsid w:val="00ED2A2B"/>
    <w:rsid w:val="00ED47DE"/>
    <w:rsid w:val="00EE0CB8"/>
    <w:rsid w:val="00EE2711"/>
    <w:rsid w:val="00EF2638"/>
    <w:rsid w:val="00EF2860"/>
    <w:rsid w:val="00EF2C8E"/>
    <w:rsid w:val="00F00A60"/>
    <w:rsid w:val="00F02401"/>
    <w:rsid w:val="00F14E5B"/>
    <w:rsid w:val="00F20D30"/>
    <w:rsid w:val="00F34BFB"/>
    <w:rsid w:val="00F416D7"/>
    <w:rsid w:val="00F46BBF"/>
    <w:rsid w:val="00F543D4"/>
    <w:rsid w:val="00F67E33"/>
    <w:rsid w:val="00F71271"/>
    <w:rsid w:val="00F74CC1"/>
    <w:rsid w:val="00F874B6"/>
    <w:rsid w:val="00F97B9A"/>
    <w:rsid w:val="00FA7731"/>
    <w:rsid w:val="00FC0287"/>
    <w:rsid w:val="00FF1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6145"/>
    <o:shapelayout v:ext="edit">
      <o:idmap v:ext="edit" data="1"/>
    </o:shapelayout>
  </w:shapeDefaults>
  <w:decimalSymbol w:val="."/>
  <w:listSeparator w:val=","/>
  <w14:docId w14:val="5CB12791"/>
  <w15:docId w15:val="{A96BAB64-D918-40D6-96CE-A4803B30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left" w:pos="-720"/>
      </w:tabs>
      <w:suppressAutoHyphens/>
      <w:outlineLvl w:val="0"/>
    </w:pPr>
    <w:rPr>
      <w:sz w:val="24"/>
      <w:szCs w:val="24"/>
      <w:u w:val="single"/>
    </w:rPr>
  </w:style>
  <w:style w:type="paragraph" w:styleId="Heading2">
    <w:name w:val="heading 2"/>
    <w:basedOn w:val="Normal"/>
    <w:next w:val="Normal"/>
    <w:qFormat/>
    <w:pPr>
      <w:keepNext/>
      <w:tabs>
        <w:tab w:val="center" w:pos="4680"/>
      </w:tabs>
      <w:suppressAutoHyphens/>
      <w:jc w:val="center"/>
      <w:outlineLvl w:val="1"/>
    </w:pPr>
    <w:rPr>
      <w:sz w:val="24"/>
      <w:szCs w:val="24"/>
    </w:rPr>
  </w:style>
  <w:style w:type="paragraph" w:styleId="Heading3">
    <w:name w:val="heading 3"/>
    <w:basedOn w:val="Normal"/>
    <w:next w:val="Normal"/>
    <w:qFormat/>
    <w:pPr>
      <w:keepNext/>
      <w:suppressAutoHyphens/>
      <w:jc w:val="center"/>
      <w:outlineLvl w:val="2"/>
    </w:pPr>
    <w:rPr>
      <w:b/>
      <w:bCs/>
      <w:sz w:val="24"/>
      <w:szCs w:val="24"/>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szCs w:val="24"/>
    </w:rPr>
  </w:style>
  <w:style w:type="paragraph" w:styleId="BodyText2">
    <w:name w:val="Body Text 2"/>
    <w:basedOn w:val="Normal"/>
    <w:pPr>
      <w:tabs>
        <w:tab w:val="left" w:pos="-720"/>
      </w:tabs>
      <w:suppressAutoHyphens/>
    </w:pPr>
    <w:rPr>
      <w:b/>
      <w:bCs/>
      <w:sz w:val="24"/>
      <w:szCs w:val="24"/>
    </w:rPr>
  </w:style>
  <w:style w:type="paragraph" w:customStyle="1" w:styleId="ParaNum">
    <w:name w:val="ParaNum"/>
    <w:basedOn w:val="Normal"/>
    <w:pPr>
      <w:numPr>
        <w:numId w:val="3"/>
      </w:numPr>
      <w:tabs>
        <w:tab w:val="clear" w:pos="1080"/>
        <w:tab w:val="left" w:pos="1440"/>
      </w:tabs>
      <w:spacing w:after="220"/>
      <w:jc w:val="both"/>
    </w:pPr>
    <w:rPr>
      <w:snapToGrid/>
      <w:sz w:val="22"/>
      <w:szCs w:val="22"/>
    </w:rPr>
  </w:style>
  <w:style w:type="paragraph" w:styleId="BalloonText">
    <w:name w:val="Balloon Text"/>
    <w:basedOn w:val="Normal"/>
    <w:semiHidden/>
    <w:rsid w:val="00960670"/>
    <w:rPr>
      <w:rFonts w:ascii="Tahoma" w:hAnsi="Tahoma" w:cs="Tahoma"/>
      <w:sz w:val="16"/>
      <w:szCs w:val="16"/>
    </w:rPr>
  </w:style>
  <w:style w:type="character" w:styleId="CommentReference">
    <w:name w:val="annotation reference"/>
    <w:rsid w:val="00271935"/>
    <w:rPr>
      <w:sz w:val="16"/>
      <w:szCs w:val="16"/>
    </w:rPr>
  </w:style>
  <w:style w:type="paragraph" w:styleId="CommentText">
    <w:name w:val="annotation text"/>
    <w:basedOn w:val="Normal"/>
    <w:link w:val="CommentTextChar"/>
    <w:rsid w:val="00271935"/>
  </w:style>
  <w:style w:type="character" w:customStyle="1" w:styleId="CommentTextChar">
    <w:name w:val="Comment Text Char"/>
    <w:link w:val="CommentText"/>
    <w:rsid w:val="00271935"/>
    <w:rPr>
      <w:snapToGrid w:val="0"/>
    </w:rPr>
  </w:style>
  <w:style w:type="paragraph" w:styleId="CommentSubject">
    <w:name w:val="annotation subject"/>
    <w:basedOn w:val="CommentText"/>
    <w:next w:val="CommentText"/>
    <w:link w:val="CommentSubjectChar"/>
    <w:rsid w:val="00271935"/>
    <w:rPr>
      <w:b/>
      <w:bCs/>
    </w:rPr>
  </w:style>
  <w:style w:type="character" w:customStyle="1" w:styleId="CommentSubjectChar">
    <w:name w:val="Comment Subject Char"/>
    <w:link w:val="CommentSubject"/>
    <w:rsid w:val="00271935"/>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09CD8-E2D7-453A-8A2D-F60E5B64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1019</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subject/>
  <dc:creator>PREITZEL</dc:creator>
  <cp:keywords/>
  <cp:lastModifiedBy>Cathy Williams</cp:lastModifiedBy>
  <cp:revision>3</cp:revision>
  <cp:lastPrinted>2008-03-31T17:03:00Z</cp:lastPrinted>
  <dcterms:created xsi:type="dcterms:W3CDTF">2021-03-04T21:51:00Z</dcterms:created>
  <dcterms:modified xsi:type="dcterms:W3CDTF">2021-05-12T12:21:00Z</dcterms:modified>
</cp:coreProperties>
</file>