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Hlk533688198" w:id="0"/>
    <w:p w:rsidR="00446763" w:rsidP="00446763" w:rsidRDefault="00446763" w14:paraId="49639F09" w14:textId="77777777">
      <w:pPr>
        <w:jc w:val="center"/>
        <w:rPr>
          <w:rFonts w:ascii="Arial" w:hAnsi="Arial" w:cs="Arial"/>
          <w:b/>
          <w:bCs/>
          <w:color w:val="3B85BD"/>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41E4C">
        <w:rPr>
          <w:rFonts w:ascii="Times New Roman" w:hAnsi="Times New Roman" w:cs="Times New Roman"/>
          <w:noProof/>
          <w:sz w:val="20"/>
          <w:szCs w:val="20"/>
        </w:rPr>
        <w:object w:dxaOrig="1440" w:dyaOrig="1440" w14:anchorId="5F2C1E2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18.05pt;margin-top:.05pt;width:68.6pt;height:67.85pt;z-index:251658240;mso-wrap-distance-left:4.5pt;mso-wrap-distance-top:4.5pt;mso-wrap-distance-right:4.5pt;mso-wrap-distance-bottom:4.5pt;mso-position-horizontal-relative:margin;mso-position-vertical-relative:margin" o:allowincell="f" type="#_x0000_t75">
            <v:imagedata o:title="" r:id="rId7"/>
            <w10:wrap type="square" side="largest" anchorx="margin" anchory="margin"/>
          </v:shape>
          <o:OLEObject Type="Embed" ProgID="Unknown" ShapeID="_x0000_s1026" DrawAspect="Content" ObjectID="_1683025390" r:id="rId8">
            <o:FieldCodes>\s \* MERGEFORMAT</o:FieldCodes>
          </o:OLEObject>
        </w:object>
      </w:r>
    </w:p>
    <w:p w:rsidR="00446763" w:rsidP="00446763" w:rsidRDefault="00446763" w14:paraId="0DD8F42A" w14:textId="77777777">
      <w:pPr>
        <w:ind w:right="720"/>
        <w:jc w:val="center"/>
        <w:rPr>
          <w:rFonts w:ascii="Arial" w:hAnsi="Arial" w:cs="Arial"/>
          <w:color w:val="3061C3"/>
          <w:sz w:val="24"/>
          <w:szCs w:val="24"/>
        </w:rPr>
      </w:pPr>
      <w:r>
        <w:rPr>
          <w:rFonts w:ascii="Arial" w:hAnsi="Arial" w:cs="Arial"/>
          <w:b/>
          <w:bCs/>
          <w:color w:val="3061C3"/>
          <w:sz w:val="24"/>
          <w:szCs w:val="24"/>
        </w:rPr>
        <w:t>UNITED STATES ENVIRONMENTAL PROTECTION AGENCY</w:t>
      </w:r>
      <w:r>
        <w:rPr>
          <w:rFonts w:ascii="Arial" w:hAnsi="Arial" w:cs="Arial"/>
          <w:color w:val="3061C3"/>
          <w:sz w:val="24"/>
          <w:szCs w:val="24"/>
        </w:rPr>
        <w:t xml:space="preserve">                                                        </w:t>
      </w:r>
    </w:p>
    <w:p w:rsidR="00446763" w:rsidP="00446763" w:rsidRDefault="00446763" w14:paraId="571BA535" w14:textId="77777777">
      <w:pPr>
        <w:ind w:right="720"/>
        <w:jc w:val="center"/>
        <w:rPr>
          <w:color w:val="3061C3"/>
          <w:sz w:val="24"/>
          <w:szCs w:val="24"/>
        </w:rPr>
      </w:pPr>
      <w:smartTag w:uri="urn:schemas-microsoft-com:office:smarttags" w:element="place">
        <w:smartTag w:uri="urn:schemas-microsoft-com:office:smarttags" w:element="City">
          <w:r>
            <w:rPr>
              <w:rFonts w:ascii="Arial" w:hAnsi="Arial" w:cs="Arial"/>
              <w:color w:val="3061C3"/>
            </w:rPr>
            <w:t>WASHINGTON</w:t>
          </w:r>
        </w:smartTag>
        <w:r>
          <w:rPr>
            <w:rFonts w:ascii="Arial" w:hAnsi="Arial" w:cs="Arial"/>
            <w:color w:val="3061C3"/>
          </w:rPr>
          <w:t xml:space="preserve">, </w:t>
        </w:r>
        <w:smartTag w:uri="urn:schemas-microsoft-com:office:smarttags" w:element="State">
          <w:r>
            <w:rPr>
              <w:rFonts w:ascii="Arial" w:hAnsi="Arial" w:cs="Arial"/>
              <w:color w:val="3061C3"/>
            </w:rPr>
            <w:t>D.C.</w:t>
          </w:r>
        </w:smartTag>
        <w:r>
          <w:rPr>
            <w:rFonts w:ascii="Arial" w:hAnsi="Arial" w:cs="Arial"/>
            <w:color w:val="3061C3"/>
          </w:rPr>
          <w:t xml:space="preserve"> </w:t>
        </w:r>
        <w:smartTag w:uri="urn:schemas-microsoft-com:office:smarttags" w:element="PostalCode">
          <w:r>
            <w:rPr>
              <w:rFonts w:ascii="Arial" w:hAnsi="Arial" w:cs="Arial"/>
              <w:color w:val="3061C3"/>
            </w:rPr>
            <w:t>20460</w:t>
          </w:r>
        </w:smartTag>
      </w:smartTag>
      <w:r>
        <w:rPr>
          <w:rFonts w:ascii="Arial" w:hAnsi="Arial" w:cs="Arial"/>
          <w:color w:val="3061C3"/>
          <w:sz w:val="24"/>
          <w:szCs w:val="24"/>
        </w:rPr>
        <w:t xml:space="preserve">                   </w:t>
      </w:r>
      <w:r>
        <w:rPr>
          <w:rFonts w:ascii="Arial" w:hAnsi="Arial" w:cs="Arial"/>
          <w:b/>
          <w:bCs/>
          <w:color w:val="3061C3"/>
          <w:sz w:val="24"/>
          <w:szCs w:val="24"/>
        </w:rPr>
        <w:t xml:space="preserve">                                                                     </w:t>
      </w:r>
    </w:p>
    <w:p w:rsidR="00446763" w:rsidP="00446763" w:rsidRDefault="00446763" w14:paraId="3A504CB7" w14:textId="77777777">
      <w:pPr>
        <w:ind w:left="5760" w:firstLine="720"/>
        <w:rPr>
          <w:rFonts w:ascii="Arial" w:hAnsi="Arial" w:cs="Arial"/>
          <w:color w:val="3061C3"/>
          <w:sz w:val="17"/>
          <w:szCs w:val="17"/>
        </w:rPr>
      </w:pPr>
    </w:p>
    <w:p w:rsidR="00446763" w:rsidP="00446763" w:rsidRDefault="00446763" w14:paraId="377CFE84" w14:textId="77777777">
      <w:pPr>
        <w:ind w:left="5760" w:firstLine="720"/>
        <w:rPr>
          <w:rFonts w:ascii="Arial" w:hAnsi="Arial" w:cs="Arial"/>
          <w:color w:val="3061C3"/>
          <w:sz w:val="17"/>
          <w:szCs w:val="17"/>
        </w:rPr>
      </w:pPr>
    </w:p>
    <w:p w:rsidR="00446763" w:rsidP="00446763" w:rsidRDefault="00446763" w14:paraId="7A6D2CE8" w14:textId="359BDD13">
      <w:pPr>
        <w:ind w:left="5760" w:firstLine="720"/>
        <w:rPr>
          <w:rFonts w:ascii="Arial" w:hAnsi="Arial" w:cs="Arial"/>
          <w:color w:val="3061C3"/>
          <w:sz w:val="17"/>
          <w:szCs w:val="17"/>
        </w:rPr>
      </w:pPr>
      <w:r>
        <w:rPr>
          <w:rFonts w:ascii="Arial" w:hAnsi="Arial" w:cs="Arial"/>
          <w:color w:val="3061C3"/>
          <w:sz w:val="17"/>
          <w:szCs w:val="17"/>
        </w:rPr>
        <w:t xml:space="preserve">       OFFICE OF MISSION SUPPORT </w:t>
      </w:r>
    </w:p>
    <w:bookmarkEnd w:id="0"/>
    <w:p w:rsidR="00446763" w:rsidP="00A15531" w:rsidRDefault="00446763" w14:paraId="11C18928" w14:textId="77777777">
      <w:pPr>
        <w:pStyle w:val="Default"/>
        <w:rPr>
          <w:b/>
          <w:bCs/>
          <w:u w:val="single"/>
        </w:rPr>
      </w:pPr>
    </w:p>
    <w:p w:rsidR="00446763" w:rsidP="00A15531" w:rsidRDefault="00446763" w14:paraId="42D30896" w14:textId="77777777">
      <w:pPr>
        <w:pStyle w:val="Default"/>
        <w:rPr>
          <w:b/>
          <w:bCs/>
          <w:u w:val="single"/>
        </w:rPr>
      </w:pPr>
    </w:p>
    <w:p w:rsidRPr="00B42DFF" w:rsidR="00C401A7" w:rsidP="00A15531" w:rsidRDefault="00A15531" w14:paraId="68B6588E" w14:textId="48F842FC">
      <w:pPr>
        <w:pStyle w:val="Default"/>
        <w:rPr>
          <w:b/>
          <w:bCs/>
          <w:u w:val="single"/>
        </w:rPr>
      </w:pPr>
      <w:r w:rsidRPr="00B42DFF">
        <w:rPr>
          <w:b/>
          <w:bCs/>
          <w:u w:val="single"/>
        </w:rPr>
        <w:t xml:space="preserve">MEMORANDUM </w:t>
      </w:r>
    </w:p>
    <w:p w:rsidRPr="00B42DFF" w:rsidR="00C401A7" w:rsidP="00A15531" w:rsidRDefault="00C401A7" w14:paraId="06C41E34" w14:textId="57E33CAF">
      <w:pPr>
        <w:pStyle w:val="Default"/>
      </w:pPr>
    </w:p>
    <w:p w:rsidRPr="00B42DFF" w:rsidR="00C401A7" w:rsidP="00C401A7" w:rsidRDefault="00C401A7" w14:paraId="439BF8BD" w14:textId="5FB02724">
      <w:pPr>
        <w:pStyle w:val="Default"/>
        <w:ind w:left="1440" w:hanging="1440"/>
      </w:pPr>
      <w:r w:rsidRPr="00B42DFF">
        <w:rPr>
          <w:b/>
          <w:bCs/>
        </w:rPr>
        <w:t>S</w:t>
      </w:r>
      <w:r w:rsidRPr="00B42DFF" w:rsidR="00B42DFF">
        <w:rPr>
          <w:b/>
          <w:bCs/>
        </w:rPr>
        <w:t>UBJECT:</w:t>
      </w:r>
      <w:r w:rsidRPr="00B42DFF">
        <w:tab/>
      </w:r>
      <w:r w:rsidR="005A2755">
        <w:t xml:space="preserve">EPA Workforce Questionnaire on </w:t>
      </w:r>
      <w:r w:rsidR="00651F6C">
        <w:t>Returning to the Workplace</w:t>
      </w:r>
      <w:r w:rsidRPr="00B42DFF">
        <w:t xml:space="preserve"> (OMB Control Number 2030-NEW; EPA ICR Number </w:t>
      </w:r>
      <w:r w:rsidR="00217028">
        <w:t>2</w:t>
      </w:r>
      <w:r w:rsidR="005A2755">
        <w:t>689</w:t>
      </w:r>
      <w:r w:rsidR="00217028">
        <w:t>.01</w:t>
      </w:r>
      <w:r w:rsidRPr="00B42DFF">
        <w:t>)</w:t>
      </w:r>
    </w:p>
    <w:p w:rsidRPr="00B42DFF" w:rsidR="00C401A7" w:rsidP="00A15531" w:rsidRDefault="00C401A7" w14:paraId="5A360825" w14:textId="77777777">
      <w:pPr>
        <w:pStyle w:val="Default"/>
      </w:pPr>
    </w:p>
    <w:p w:rsidR="00C401A7" w:rsidP="00A15531" w:rsidRDefault="00C401A7" w14:paraId="02B9353C" w14:textId="03DA7FE0">
      <w:pPr>
        <w:pStyle w:val="Default"/>
      </w:pPr>
      <w:r w:rsidRPr="00B42DFF">
        <w:rPr>
          <w:b/>
          <w:bCs/>
        </w:rPr>
        <w:t>FROM:</w:t>
      </w:r>
      <w:r w:rsidRPr="00B42DFF">
        <w:tab/>
      </w:r>
      <w:r w:rsidR="00651F6C">
        <w:t>Krysti Wells, Director</w:t>
      </w:r>
    </w:p>
    <w:p w:rsidRPr="00B42DFF" w:rsidR="00651F6C" w:rsidP="00A15531" w:rsidRDefault="00651F6C" w14:paraId="2F6CD18D" w14:textId="006C4EA3">
      <w:pPr>
        <w:pStyle w:val="Default"/>
      </w:pPr>
      <w:r>
        <w:tab/>
      </w:r>
      <w:r>
        <w:tab/>
        <w:t>Office of Customer Advocacy, Policy and Portfolio Management</w:t>
      </w:r>
    </w:p>
    <w:p w:rsidR="00C401A7" w:rsidP="00A15531" w:rsidRDefault="00C401A7" w14:paraId="3224E2B4" w14:textId="4F30A7F0">
      <w:pPr>
        <w:pStyle w:val="Default"/>
      </w:pPr>
    </w:p>
    <w:p w:rsidR="00B42DFF" w:rsidP="00A15531" w:rsidRDefault="00C401A7" w14:paraId="75445C6A" w14:textId="55CBF1B6">
      <w:pPr>
        <w:pStyle w:val="Default"/>
      </w:pPr>
      <w:r w:rsidRPr="00B42DFF">
        <w:rPr>
          <w:b/>
          <w:bCs/>
        </w:rPr>
        <w:t>THRU:</w:t>
      </w:r>
      <w:r w:rsidRPr="00B42DFF">
        <w:tab/>
        <w:t>Courtney Kerwin</w:t>
      </w:r>
    </w:p>
    <w:p w:rsidRPr="00B42DFF" w:rsidR="00C401A7" w:rsidP="00B42DFF" w:rsidRDefault="00C401A7" w14:paraId="315317D1" w14:textId="62424606">
      <w:pPr>
        <w:pStyle w:val="Default"/>
        <w:ind w:left="720" w:firstLine="720"/>
      </w:pPr>
      <w:r w:rsidRPr="00B42DFF">
        <w:t>Director</w:t>
      </w:r>
      <w:r w:rsidR="00B42DFF">
        <w:t xml:space="preserve"> for </w:t>
      </w:r>
      <w:r w:rsidRPr="00B42DFF">
        <w:t>Regulatory Support Division</w:t>
      </w:r>
    </w:p>
    <w:p w:rsidRPr="00B42DFF" w:rsidR="00C401A7" w:rsidP="00A15531" w:rsidRDefault="00C401A7" w14:paraId="3074BD08" w14:textId="159DDC2E">
      <w:pPr>
        <w:pStyle w:val="Default"/>
      </w:pPr>
      <w:r w:rsidRPr="00B42DFF">
        <w:tab/>
      </w:r>
      <w:r w:rsidRPr="00B42DFF">
        <w:tab/>
        <w:t>Office of Enterprise Information Programs</w:t>
      </w:r>
    </w:p>
    <w:p w:rsidRPr="00B42DFF" w:rsidR="00C401A7" w:rsidP="00A15531" w:rsidRDefault="00C401A7" w14:paraId="16F22047" w14:textId="77777777">
      <w:pPr>
        <w:pStyle w:val="Default"/>
        <w:rPr>
          <w:b/>
          <w:bCs/>
        </w:rPr>
      </w:pPr>
    </w:p>
    <w:p w:rsidRPr="00B42DFF" w:rsidR="00C401A7" w:rsidP="00A15531" w:rsidRDefault="00C401A7" w14:paraId="222D4A63" w14:textId="163C00A9">
      <w:pPr>
        <w:pStyle w:val="Default"/>
      </w:pPr>
      <w:r w:rsidRPr="00B42DFF">
        <w:rPr>
          <w:b/>
          <w:bCs/>
        </w:rPr>
        <w:t>TO:</w:t>
      </w:r>
      <w:r w:rsidRPr="00B42DFF">
        <w:rPr>
          <w:b/>
          <w:bCs/>
        </w:rPr>
        <w:tab/>
      </w:r>
      <w:r w:rsidRPr="00B42DFF">
        <w:tab/>
        <w:t>Danielle Jones, OMB Desk Officer</w:t>
      </w:r>
    </w:p>
    <w:p w:rsidRPr="00B42DFF" w:rsidR="00C401A7" w:rsidP="00C401A7" w:rsidRDefault="00C401A7" w14:paraId="4711459E" w14:textId="1567949B">
      <w:pPr>
        <w:pStyle w:val="Default"/>
        <w:ind w:left="720" w:firstLine="720"/>
      </w:pPr>
      <w:r w:rsidRPr="00B42DFF">
        <w:t xml:space="preserve">Office of Information </w:t>
      </w:r>
      <w:r w:rsidR="00B42DFF">
        <w:t>and</w:t>
      </w:r>
      <w:r w:rsidRPr="00B42DFF">
        <w:t xml:space="preserve"> Regulatory Affairs</w:t>
      </w:r>
    </w:p>
    <w:p w:rsidRPr="00B42DFF" w:rsidR="00C401A7" w:rsidP="00C401A7" w:rsidRDefault="00C401A7" w14:paraId="4AEF7692" w14:textId="77777777">
      <w:pPr>
        <w:pStyle w:val="Default"/>
        <w:ind w:left="1440"/>
      </w:pPr>
      <w:r w:rsidRPr="00B42DFF">
        <w:t>Office of Management and Budget</w:t>
      </w:r>
    </w:p>
    <w:p w:rsidR="00C401A7" w:rsidP="00C401A7" w:rsidRDefault="00C401A7" w14:paraId="776AD110" w14:textId="16B000A5">
      <w:pPr>
        <w:pStyle w:val="Default"/>
        <w:rPr>
          <w:sz w:val="23"/>
          <w:szCs w:val="23"/>
        </w:rPr>
      </w:pPr>
    </w:p>
    <w:p w:rsidR="00C401A7" w:rsidP="00C401A7" w:rsidRDefault="00C401A7" w14:paraId="79158671" w14:textId="3D8A1888">
      <w:pPr>
        <w:pStyle w:val="Default"/>
      </w:pPr>
      <w:bookmarkStart w:name="_Hlk57640547" w:id="1"/>
      <w:r>
        <w:rPr>
          <w:sz w:val="23"/>
          <w:szCs w:val="23"/>
        </w:rPr>
        <w:t>Pursuant to section 3507(j) of the Paperwork Reduction Act (PRA) (44 U.S.C. 3501 et seq.), as implemented in the Office of Management and Budget (OMB) regulations at 5 CFR</w:t>
      </w:r>
      <w:r w:rsidR="00710C80">
        <w:rPr>
          <w:sz w:val="23"/>
          <w:szCs w:val="23"/>
        </w:rPr>
        <w:t xml:space="preserve"> </w:t>
      </w:r>
      <w:r w:rsidR="00710C80">
        <w:t>§1320.13</w:t>
      </w:r>
      <w:r w:rsidRPr="00710C80" w:rsidR="00710C80">
        <w:t xml:space="preserve">, the </w:t>
      </w:r>
      <w:r w:rsidR="00710C80">
        <w:t>Environmental Protection Agency (EPA)</w:t>
      </w:r>
      <w:r w:rsidRPr="00710C80" w:rsidR="00710C80">
        <w:t xml:space="preserve"> is hereby requesting emergency processing of a</w:t>
      </w:r>
      <w:r w:rsidR="00E879E8">
        <w:t>n</w:t>
      </w:r>
      <w:r w:rsidRPr="00710C80" w:rsidR="00710C80">
        <w:t xml:space="preserve"> information </w:t>
      </w:r>
      <w:r w:rsidR="00710C80">
        <w:t xml:space="preserve">collection </w:t>
      </w:r>
      <w:r w:rsidRPr="00710C80" w:rsidR="00710C80">
        <w:t xml:space="preserve">necessary </w:t>
      </w:r>
      <w:r w:rsidR="007547D6">
        <w:t xml:space="preserve">to </w:t>
      </w:r>
      <w:r w:rsidR="00C258ED">
        <w:t xml:space="preserve">comply with the President’s Executive Order (EO) on </w:t>
      </w:r>
      <w:hyperlink w:history="1" r:id="rId9">
        <w:r w:rsidRPr="00C258ED" w:rsidR="00C258ED">
          <w:rPr>
            <w:rStyle w:val="Hyperlink"/>
          </w:rPr>
          <w:t>Protecting the Federal Workforce and Requiring Mask-Wearing</w:t>
        </w:r>
      </w:hyperlink>
      <w:r w:rsidR="00C258ED">
        <w:t xml:space="preserve">, </w:t>
      </w:r>
      <w:r w:rsidR="00067BB8">
        <w:t xml:space="preserve">the </w:t>
      </w:r>
      <w:hyperlink w:history="1" r:id="rId10">
        <w:r w:rsidRPr="00067BB8" w:rsidR="00067BB8">
          <w:rPr>
            <w:rStyle w:val="Hyperlink"/>
          </w:rPr>
          <w:t>National Strategy for the COVID-19 Response and Pandemic Preparedness</w:t>
        </w:r>
      </w:hyperlink>
      <w:r w:rsidR="00067BB8">
        <w:t xml:space="preserve">, </w:t>
      </w:r>
      <w:r w:rsidR="00241C5D">
        <w:t xml:space="preserve">and Office of Management and Budget Memorandum </w:t>
      </w:r>
      <w:hyperlink w:history="1" r:id="rId11">
        <w:r w:rsidRPr="00241C5D" w:rsidR="00241C5D">
          <w:rPr>
            <w:rStyle w:val="Hyperlink"/>
          </w:rPr>
          <w:t>M-21-15, COVID-19 Safe Federal Workplace: Agency Model Safety Principles</w:t>
        </w:r>
      </w:hyperlink>
      <w:r w:rsidR="00241C5D">
        <w:t xml:space="preserve">. EPA is seeking to collect </w:t>
      </w:r>
      <w:r w:rsidR="007547D6">
        <w:t xml:space="preserve">information from </w:t>
      </w:r>
      <w:r w:rsidRPr="00334B37" w:rsidR="00A771AE">
        <w:t xml:space="preserve">EPA employees, contractors and grantee recipients </w:t>
      </w:r>
      <w:r w:rsidR="007547D6">
        <w:t>as to what EPA’s post-reentry human resource policies and work environment should look like; how EPA can improve workplace safety, satisfaction and efficiency in the future; and what flexibilities are appropriate for the future of EPA’s work.</w:t>
      </w:r>
    </w:p>
    <w:bookmarkEnd w:id="1"/>
    <w:p w:rsidR="00434C7D" w:rsidP="00C401A7" w:rsidRDefault="00434C7D" w14:paraId="7FD29805" w14:textId="4D1EE7AF">
      <w:pPr>
        <w:pStyle w:val="Default"/>
      </w:pPr>
    </w:p>
    <w:p w:rsidR="00434C7D" w:rsidP="00C401A7" w:rsidRDefault="00434C7D" w14:paraId="35AB05C2" w14:textId="3D7273D0">
      <w:pPr>
        <w:pStyle w:val="Default"/>
      </w:pPr>
      <w:r>
        <w:t xml:space="preserve">Following the normal clearance procedures for approval of this information collection during the COVID-19 pandemic response will delay </w:t>
      </w:r>
      <w:r w:rsidR="007547D6">
        <w:t xml:space="preserve">input the Agency has been asked to provide the Office of Management and Budget (OMB) to inform the development of post-COVID policies and help inform EPA’s future work environment. </w:t>
      </w:r>
      <w:r w:rsidR="0021498D">
        <w:t>EPA certifies the requirements of 5 CFR 1320.13(a) are met and it is vital for this collection to be implemented immediately because the information is necessary to protect EPA’s workforce during this pandemic and the delay caused by following normal clearance procedures would not allow us to consider this information in our designing EPA's return to the workplace polices.</w:t>
      </w:r>
    </w:p>
    <w:p w:rsidR="00710C80" w:rsidP="00C401A7" w:rsidRDefault="00710C80" w14:paraId="06D4A574" w14:textId="26DBF71C">
      <w:pPr>
        <w:pStyle w:val="Default"/>
      </w:pPr>
    </w:p>
    <w:p w:rsidRPr="0021498D" w:rsidR="00710C80" w:rsidP="00C401A7" w:rsidRDefault="00451F1D" w14:paraId="5FA3A7D7" w14:textId="5196E5CF">
      <w:pPr>
        <w:pStyle w:val="Default"/>
        <w:rPr>
          <w:b/>
          <w:bCs/>
          <w:sz w:val="23"/>
          <w:szCs w:val="23"/>
        </w:rPr>
      </w:pPr>
      <w:r w:rsidRPr="0021498D">
        <w:rPr>
          <w:b/>
          <w:bCs/>
          <w:sz w:val="23"/>
          <w:szCs w:val="23"/>
        </w:rPr>
        <w:t>Information Collection is Essential to the Mission of the Agency</w:t>
      </w:r>
    </w:p>
    <w:p w:rsidRPr="0021498D" w:rsidR="00AE1021" w:rsidP="00C401A7" w:rsidRDefault="00AE1021" w14:paraId="24FB1390" w14:textId="4F2A3B3A">
      <w:pPr>
        <w:pStyle w:val="Default"/>
        <w:rPr>
          <w:b/>
          <w:bCs/>
          <w:sz w:val="23"/>
          <w:szCs w:val="23"/>
        </w:rPr>
      </w:pPr>
    </w:p>
    <w:p w:rsidRPr="0021498D" w:rsidR="007A770F" w:rsidP="00AE1021" w:rsidRDefault="00B12991" w14:paraId="71883396" w14:textId="71782D91">
      <w:pPr>
        <w:pStyle w:val="Default"/>
        <w:rPr>
          <w:sz w:val="23"/>
          <w:szCs w:val="23"/>
        </w:rPr>
      </w:pPr>
      <w:r w:rsidRPr="0021498D">
        <w:rPr>
          <w:sz w:val="23"/>
          <w:szCs w:val="23"/>
        </w:rPr>
        <w:t xml:space="preserve">EPA is collecting input from the EPA workforce, including Federal employees, as wells as </w:t>
      </w:r>
      <w:proofErr w:type="spellStart"/>
      <w:r w:rsidRPr="0021498D">
        <w:rPr>
          <w:sz w:val="23"/>
          <w:szCs w:val="23"/>
        </w:rPr>
        <w:t>detailees</w:t>
      </w:r>
      <w:proofErr w:type="spellEnd"/>
      <w:r w:rsidRPr="0021498D">
        <w:rPr>
          <w:sz w:val="23"/>
          <w:szCs w:val="23"/>
        </w:rPr>
        <w:t xml:space="preserve">, interns, volunteers, contractors, grantees, and fellows.  The purpose of the input is to understand the EPA workforce’s workplace concerns and to inform what flexibilities will be needed as we transition from </w:t>
      </w:r>
      <w:r w:rsidRPr="0021498D">
        <w:rPr>
          <w:sz w:val="23"/>
          <w:szCs w:val="23"/>
        </w:rPr>
        <w:lastRenderedPageBreak/>
        <w:t xml:space="preserve">temporary pandemic-related workplace flexibilities.  We are also collecting information on what changes EPA may need to make to our pre-pandemic policies (e.g. telework and work schedules) incorporating what we have learned from our time away from the workplace during the pandemic. </w:t>
      </w:r>
    </w:p>
    <w:p w:rsidRPr="0021498D" w:rsidR="0021498D" w:rsidP="00AE1021" w:rsidRDefault="0021498D" w14:paraId="02BD07E6" w14:textId="77777777">
      <w:pPr>
        <w:pStyle w:val="Default"/>
        <w:rPr>
          <w:b/>
          <w:bCs/>
          <w:sz w:val="23"/>
          <w:szCs w:val="23"/>
        </w:rPr>
      </w:pPr>
    </w:p>
    <w:p w:rsidR="00AE1021" w:rsidP="00AE1021" w:rsidRDefault="00AE1021" w14:paraId="34F58123" w14:textId="77777777">
      <w:pPr>
        <w:pStyle w:val="Default"/>
        <w:rPr>
          <w:b/>
          <w:bCs/>
          <w:sz w:val="23"/>
          <w:szCs w:val="23"/>
        </w:rPr>
      </w:pPr>
      <w:r w:rsidRPr="0021498D">
        <w:rPr>
          <w:b/>
          <w:bCs/>
          <w:sz w:val="23"/>
          <w:szCs w:val="23"/>
        </w:rPr>
        <w:t>In</w:t>
      </w:r>
      <w:r w:rsidRPr="00E879E8">
        <w:rPr>
          <w:b/>
          <w:bCs/>
          <w:sz w:val="23"/>
          <w:szCs w:val="23"/>
        </w:rPr>
        <w:t>formation Collection Activities Involved in this Emergency Request</w:t>
      </w:r>
    </w:p>
    <w:p w:rsidR="00AE1021" w:rsidP="00AE1021" w:rsidRDefault="00AE1021" w14:paraId="4967F7A7" w14:textId="77777777">
      <w:pPr>
        <w:pStyle w:val="Default"/>
        <w:rPr>
          <w:b/>
          <w:bCs/>
          <w:sz w:val="23"/>
          <w:szCs w:val="23"/>
        </w:rPr>
      </w:pPr>
    </w:p>
    <w:p w:rsidR="00AE1021" w:rsidP="00AE1021" w:rsidRDefault="00AE1021" w14:paraId="349496A3" w14:textId="6EE54B0A">
      <w:pPr>
        <w:pStyle w:val="Default"/>
        <w:rPr>
          <w:sz w:val="23"/>
          <w:szCs w:val="23"/>
        </w:rPr>
      </w:pPr>
      <w:bookmarkStart w:name="_Hlk57640621" w:id="2"/>
      <w:r>
        <w:rPr>
          <w:sz w:val="23"/>
          <w:szCs w:val="23"/>
        </w:rPr>
        <w:t>EPA</w:t>
      </w:r>
      <w:r w:rsidRPr="00AE1021">
        <w:rPr>
          <w:sz w:val="23"/>
          <w:szCs w:val="23"/>
        </w:rPr>
        <w:t xml:space="preserve"> requests emergency approval to collect the necessary information from </w:t>
      </w:r>
      <w:proofErr w:type="spellStart"/>
      <w:r w:rsidRPr="00AE1021">
        <w:rPr>
          <w:sz w:val="23"/>
          <w:szCs w:val="23"/>
        </w:rPr>
        <w:t>detailees</w:t>
      </w:r>
      <w:proofErr w:type="spellEnd"/>
      <w:r w:rsidRPr="00AE1021">
        <w:rPr>
          <w:sz w:val="23"/>
          <w:szCs w:val="23"/>
        </w:rPr>
        <w:t xml:space="preserve">, interns, volunteers, </w:t>
      </w:r>
      <w:r w:rsidR="000E276C">
        <w:rPr>
          <w:sz w:val="23"/>
          <w:szCs w:val="23"/>
        </w:rPr>
        <w:t>grantee</w:t>
      </w:r>
      <w:r w:rsidR="004E5261">
        <w:rPr>
          <w:sz w:val="23"/>
          <w:szCs w:val="23"/>
        </w:rPr>
        <w:t xml:space="preserve"> recipients</w:t>
      </w:r>
      <w:r w:rsidR="00B12991">
        <w:rPr>
          <w:sz w:val="23"/>
          <w:szCs w:val="23"/>
        </w:rPr>
        <w:t>, fellows</w:t>
      </w:r>
      <w:r w:rsidR="004E5261">
        <w:rPr>
          <w:sz w:val="23"/>
          <w:szCs w:val="23"/>
        </w:rPr>
        <w:t xml:space="preserve"> </w:t>
      </w:r>
      <w:r w:rsidRPr="00AE1021">
        <w:rPr>
          <w:sz w:val="23"/>
          <w:szCs w:val="23"/>
        </w:rPr>
        <w:t xml:space="preserve">and contractors </w:t>
      </w:r>
      <w:r w:rsidR="00FC2D7D">
        <w:rPr>
          <w:sz w:val="23"/>
          <w:szCs w:val="23"/>
        </w:rPr>
        <w:t xml:space="preserve">who </w:t>
      </w:r>
      <w:r w:rsidR="004E5261">
        <w:rPr>
          <w:sz w:val="23"/>
          <w:szCs w:val="23"/>
        </w:rPr>
        <w:t>perform work</w:t>
      </w:r>
      <w:r w:rsidR="00FC2D7D">
        <w:rPr>
          <w:sz w:val="23"/>
          <w:szCs w:val="23"/>
        </w:rPr>
        <w:t xml:space="preserve"> </w:t>
      </w:r>
      <w:r w:rsidR="00F77088">
        <w:rPr>
          <w:sz w:val="23"/>
          <w:szCs w:val="23"/>
        </w:rPr>
        <w:t xml:space="preserve">for </w:t>
      </w:r>
      <w:r w:rsidR="004E5261">
        <w:rPr>
          <w:sz w:val="23"/>
          <w:szCs w:val="23"/>
        </w:rPr>
        <w:t xml:space="preserve">EPA </w:t>
      </w:r>
      <w:r w:rsidRPr="00AE1021">
        <w:rPr>
          <w:sz w:val="23"/>
          <w:szCs w:val="23"/>
        </w:rPr>
        <w:t xml:space="preserve">to implement effective </w:t>
      </w:r>
      <w:r w:rsidR="002B2633">
        <w:rPr>
          <w:sz w:val="23"/>
          <w:szCs w:val="23"/>
        </w:rPr>
        <w:t xml:space="preserve">post-pandemic </w:t>
      </w:r>
      <w:r w:rsidR="00460EDB">
        <w:rPr>
          <w:sz w:val="23"/>
          <w:szCs w:val="23"/>
        </w:rPr>
        <w:t>policies, including</w:t>
      </w:r>
      <w:r w:rsidR="00F77088">
        <w:rPr>
          <w:sz w:val="23"/>
          <w:szCs w:val="23"/>
        </w:rPr>
        <w:t xml:space="preserve"> matters concerning telework, work schedules, leave, travel, information technology, and facilities</w:t>
      </w:r>
      <w:r w:rsidR="007E721A">
        <w:rPr>
          <w:sz w:val="23"/>
          <w:szCs w:val="23"/>
        </w:rPr>
        <w:t>.</w:t>
      </w:r>
    </w:p>
    <w:bookmarkEnd w:id="2"/>
    <w:p w:rsidR="0021498D" w:rsidP="00C401A7" w:rsidRDefault="0021498D" w14:paraId="3E4A8840" w14:textId="78A0B315">
      <w:pPr>
        <w:pStyle w:val="Default"/>
        <w:rPr>
          <w:b/>
          <w:bCs/>
          <w:sz w:val="23"/>
          <w:szCs w:val="23"/>
        </w:rPr>
      </w:pPr>
    </w:p>
    <w:p w:rsidR="00451F1D" w:rsidP="00C401A7" w:rsidRDefault="00451F1D" w14:paraId="0BA66B55" w14:textId="60615062">
      <w:pPr>
        <w:pStyle w:val="Default"/>
        <w:rPr>
          <w:b/>
          <w:bCs/>
          <w:sz w:val="23"/>
          <w:szCs w:val="23"/>
        </w:rPr>
      </w:pPr>
      <w:r w:rsidRPr="00E879E8">
        <w:rPr>
          <w:b/>
          <w:bCs/>
          <w:sz w:val="23"/>
          <w:szCs w:val="23"/>
        </w:rPr>
        <w:t>EPA Cannot Reasonably Comply with the Normal Clearance Procedures</w:t>
      </w:r>
    </w:p>
    <w:p w:rsidR="00434C7D" w:rsidP="00C401A7" w:rsidRDefault="00434C7D" w14:paraId="10559699" w14:textId="3E7F1AA3">
      <w:pPr>
        <w:pStyle w:val="Default"/>
        <w:rPr>
          <w:b/>
          <w:bCs/>
          <w:sz w:val="23"/>
          <w:szCs w:val="23"/>
        </w:rPr>
      </w:pPr>
    </w:p>
    <w:p w:rsidR="00434C7D" w:rsidP="00C401A7" w:rsidRDefault="00434C7D" w14:paraId="2D2DBBC1" w14:textId="51F50DB1">
      <w:pPr>
        <w:pStyle w:val="Default"/>
        <w:rPr>
          <w:sz w:val="23"/>
          <w:szCs w:val="23"/>
        </w:rPr>
      </w:pPr>
      <w:r>
        <w:rPr>
          <w:sz w:val="23"/>
          <w:szCs w:val="23"/>
        </w:rPr>
        <w:t>EPA cannot reasonably comply with the normal clearance procedures because</w:t>
      </w:r>
      <w:r w:rsidR="00225230">
        <w:rPr>
          <w:sz w:val="23"/>
          <w:szCs w:val="23"/>
        </w:rPr>
        <w:t>: (1)</w:t>
      </w:r>
      <w:r>
        <w:rPr>
          <w:sz w:val="23"/>
          <w:szCs w:val="23"/>
        </w:rPr>
        <w:t xml:space="preserve"> an unanticipated event has occurred</w:t>
      </w:r>
      <w:r w:rsidR="00225230">
        <w:rPr>
          <w:sz w:val="23"/>
          <w:szCs w:val="23"/>
        </w:rPr>
        <w:t>; and (2)</w:t>
      </w:r>
      <w:r>
        <w:rPr>
          <w:sz w:val="23"/>
          <w:szCs w:val="23"/>
        </w:rPr>
        <w:t xml:space="preserve"> public harm is reasonably likely to result if normal clearance procedures are followed.</w:t>
      </w:r>
    </w:p>
    <w:p w:rsidR="00434C7D" w:rsidP="00C401A7" w:rsidRDefault="00434C7D" w14:paraId="3EFD3FE0" w14:textId="14884C32">
      <w:pPr>
        <w:pStyle w:val="Default"/>
        <w:rPr>
          <w:sz w:val="23"/>
          <w:szCs w:val="23"/>
        </w:rPr>
      </w:pPr>
    </w:p>
    <w:p w:rsidR="00225230" w:rsidP="00AE1021" w:rsidRDefault="00AE1021" w14:paraId="04FFA271" w14:textId="199197D8">
      <w:pPr>
        <w:pStyle w:val="Default"/>
        <w:rPr>
          <w:sz w:val="23"/>
          <w:szCs w:val="23"/>
        </w:rPr>
      </w:pPr>
      <w:r w:rsidRPr="00A8057C">
        <w:rPr>
          <w:sz w:val="23"/>
          <w:szCs w:val="23"/>
        </w:rPr>
        <w:t xml:space="preserve">In order to reconstitute its </w:t>
      </w:r>
      <w:r w:rsidR="007A770F">
        <w:rPr>
          <w:sz w:val="23"/>
          <w:szCs w:val="23"/>
        </w:rPr>
        <w:t xml:space="preserve">onsite </w:t>
      </w:r>
      <w:r w:rsidRPr="00A8057C">
        <w:rPr>
          <w:sz w:val="23"/>
          <w:szCs w:val="23"/>
        </w:rPr>
        <w:t xml:space="preserve">workforce of federal employees, contractors, volunteers, grantees, and interns, EPA must be </w:t>
      </w:r>
      <w:r w:rsidRPr="00A8057C" w:rsidR="00225230">
        <w:rPr>
          <w:sz w:val="23"/>
          <w:szCs w:val="23"/>
        </w:rPr>
        <w:t xml:space="preserve">aware of </w:t>
      </w:r>
      <w:r w:rsidR="007A770F">
        <w:rPr>
          <w:sz w:val="23"/>
          <w:szCs w:val="23"/>
        </w:rPr>
        <w:t>flexibilities and accommodations needed for EPA’s workforce to safely return to the workplace</w:t>
      </w:r>
      <w:r w:rsidRPr="00A8057C" w:rsidR="00225230">
        <w:rPr>
          <w:sz w:val="23"/>
          <w:szCs w:val="23"/>
        </w:rPr>
        <w:t xml:space="preserve">. </w:t>
      </w:r>
      <w:r w:rsidRPr="00A8057C">
        <w:rPr>
          <w:sz w:val="23"/>
          <w:szCs w:val="23"/>
        </w:rPr>
        <w:t>I</w:t>
      </w:r>
      <w:r w:rsidRPr="00A8057C" w:rsidR="00225230">
        <w:rPr>
          <w:sz w:val="23"/>
          <w:szCs w:val="23"/>
        </w:rPr>
        <w:t>t would be impracticable and contrary to the health</w:t>
      </w:r>
      <w:r w:rsidRPr="00A8057C">
        <w:rPr>
          <w:sz w:val="23"/>
          <w:szCs w:val="23"/>
        </w:rPr>
        <w:t xml:space="preserve"> </w:t>
      </w:r>
      <w:r w:rsidR="007A770F">
        <w:rPr>
          <w:sz w:val="23"/>
          <w:szCs w:val="23"/>
        </w:rPr>
        <w:t xml:space="preserve">of EPA’s workforce </w:t>
      </w:r>
      <w:r w:rsidRPr="00A8057C" w:rsidR="00225230">
        <w:rPr>
          <w:sz w:val="23"/>
          <w:szCs w:val="23"/>
        </w:rPr>
        <w:t xml:space="preserve">to delay implementing this </w:t>
      </w:r>
      <w:r w:rsidRPr="00A8057C">
        <w:rPr>
          <w:sz w:val="23"/>
          <w:szCs w:val="23"/>
        </w:rPr>
        <w:t xml:space="preserve">collection of </w:t>
      </w:r>
      <w:r w:rsidRPr="00A8057C" w:rsidR="00225230">
        <w:rPr>
          <w:sz w:val="23"/>
          <w:szCs w:val="23"/>
        </w:rPr>
        <w:t xml:space="preserve">information collection until after </w:t>
      </w:r>
      <w:r w:rsidRPr="00A8057C">
        <w:rPr>
          <w:sz w:val="23"/>
          <w:szCs w:val="23"/>
        </w:rPr>
        <w:t>EPA</w:t>
      </w:r>
      <w:r w:rsidRPr="00A8057C" w:rsidR="00225230">
        <w:rPr>
          <w:sz w:val="23"/>
          <w:szCs w:val="23"/>
        </w:rPr>
        <w:t xml:space="preserve"> has completed the normal PRA </w:t>
      </w:r>
      <w:r w:rsidRPr="00A8057C">
        <w:rPr>
          <w:sz w:val="23"/>
          <w:szCs w:val="23"/>
        </w:rPr>
        <w:t>clearance procedures</w:t>
      </w:r>
      <w:r w:rsidRPr="00A8057C" w:rsidR="00225230">
        <w:rPr>
          <w:sz w:val="23"/>
          <w:szCs w:val="23"/>
        </w:rPr>
        <w:t>.</w:t>
      </w:r>
    </w:p>
    <w:p w:rsidR="00451F1D" w:rsidP="00C401A7" w:rsidRDefault="00451F1D" w14:paraId="1655E6C7" w14:textId="788321A1">
      <w:pPr>
        <w:pStyle w:val="Default"/>
        <w:rPr>
          <w:sz w:val="23"/>
          <w:szCs w:val="23"/>
        </w:rPr>
      </w:pPr>
    </w:p>
    <w:p w:rsidR="00451F1D" w:rsidP="00C401A7" w:rsidRDefault="00451F1D" w14:paraId="59AE0650" w14:textId="422F5BC2">
      <w:pPr>
        <w:pStyle w:val="Default"/>
        <w:rPr>
          <w:b/>
          <w:bCs/>
          <w:sz w:val="23"/>
          <w:szCs w:val="23"/>
        </w:rPr>
      </w:pPr>
      <w:r w:rsidRPr="00E879E8">
        <w:rPr>
          <w:b/>
          <w:bCs/>
          <w:sz w:val="23"/>
          <w:szCs w:val="23"/>
        </w:rPr>
        <w:t xml:space="preserve">Agency Has Taken All Practicable Steps </w:t>
      </w:r>
      <w:r w:rsidR="00E879E8">
        <w:rPr>
          <w:b/>
          <w:bCs/>
          <w:sz w:val="23"/>
          <w:szCs w:val="23"/>
        </w:rPr>
        <w:t>t</w:t>
      </w:r>
      <w:r w:rsidRPr="00E879E8">
        <w:rPr>
          <w:b/>
          <w:bCs/>
          <w:sz w:val="23"/>
          <w:szCs w:val="23"/>
        </w:rPr>
        <w:t>o Consult with Affected Parties in Order to Minimize Burden</w:t>
      </w:r>
    </w:p>
    <w:p w:rsidR="00710C80" w:rsidP="00A15531" w:rsidRDefault="00710C80" w14:paraId="1663CE11" w14:textId="7D320819">
      <w:pPr>
        <w:pStyle w:val="Default"/>
        <w:rPr>
          <w:b/>
          <w:bCs/>
          <w:sz w:val="23"/>
          <w:szCs w:val="23"/>
        </w:rPr>
      </w:pPr>
    </w:p>
    <w:p w:rsidRPr="004D1B46" w:rsidR="000A05B3" w:rsidP="00A15531" w:rsidRDefault="004D1B46" w14:paraId="036D92FC" w14:textId="61AFB7BB">
      <w:pPr>
        <w:pStyle w:val="Default"/>
        <w:rPr>
          <w:sz w:val="23"/>
          <w:szCs w:val="23"/>
        </w:rPr>
      </w:pPr>
      <w:r>
        <w:rPr>
          <w:sz w:val="23"/>
          <w:szCs w:val="23"/>
        </w:rPr>
        <w:t>To formulate the data elements to be collected</w:t>
      </w:r>
      <w:r w:rsidR="00460EDB">
        <w:rPr>
          <w:sz w:val="23"/>
          <w:szCs w:val="23"/>
        </w:rPr>
        <w:t>,</w:t>
      </w:r>
      <w:r>
        <w:rPr>
          <w:sz w:val="23"/>
          <w:szCs w:val="23"/>
        </w:rPr>
        <w:t xml:space="preserve"> EPA consulted </w:t>
      </w:r>
      <w:r w:rsidR="00F77088">
        <w:rPr>
          <w:sz w:val="23"/>
          <w:szCs w:val="23"/>
        </w:rPr>
        <w:t xml:space="preserve">the Office of Management and Budget and Office of Personnel Management, as well as specialists from EPA’s human resources, customer experience, information technology and information management groups.  </w:t>
      </w:r>
    </w:p>
    <w:p w:rsidR="00710C80" w:rsidP="00A15531" w:rsidRDefault="00710C80" w14:paraId="27432770" w14:textId="77777777">
      <w:pPr>
        <w:pStyle w:val="Default"/>
        <w:rPr>
          <w:b/>
          <w:bCs/>
          <w:sz w:val="23"/>
          <w:szCs w:val="23"/>
        </w:rPr>
      </w:pPr>
    </w:p>
    <w:p w:rsidRPr="00E879E8" w:rsidR="00710C80" w:rsidP="00A15531" w:rsidRDefault="00451F1D" w14:paraId="59B7F9C2" w14:textId="5ED88E19">
      <w:pPr>
        <w:pStyle w:val="Default"/>
        <w:rPr>
          <w:b/>
          <w:bCs/>
          <w:sz w:val="23"/>
          <w:szCs w:val="23"/>
        </w:rPr>
      </w:pPr>
      <w:r w:rsidRPr="00E879E8">
        <w:rPr>
          <w:b/>
          <w:bCs/>
          <w:sz w:val="23"/>
          <w:szCs w:val="23"/>
        </w:rPr>
        <w:t>Requested Time Period for OMB Action</w:t>
      </w:r>
    </w:p>
    <w:p w:rsidR="00710C80" w:rsidP="00A15531" w:rsidRDefault="00710C80" w14:paraId="414F27CF" w14:textId="3B54372F">
      <w:pPr>
        <w:pStyle w:val="Default"/>
        <w:rPr>
          <w:b/>
          <w:bCs/>
          <w:sz w:val="23"/>
          <w:szCs w:val="23"/>
        </w:rPr>
      </w:pPr>
    </w:p>
    <w:p w:rsidR="00E879E8" w:rsidP="00A15531" w:rsidRDefault="00434C7D" w14:paraId="180DBF8B" w14:textId="2D2875C0">
      <w:pPr>
        <w:pStyle w:val="Default"/>
      </w:pPr>
      <w:r>
        <w:t xml:space="preserve">EPA requests that OMB take action on this </w:t>
      </w:r>
      <w:r w:rsidRPr="00223525">
        <w:t xml:space="preserve">request </w:t>
      </w:r>
      <w:r w:rsidRPr="00223525" w:rsidR="00A8057C">
        <w:t xml:space="preserve">by </w:t>
      </w:r>
      <w:r w:rsidRPr="00223525" w:rsidR="00A2322F">
        <w:t xml:space="preserve">May </w:t>
      </w:r>
      <w:r w:rsidRPr="00223525" w:rsidR="00F77088">
        <w:t>21</w:t>
      </w:r>
      <w:r w:rsidRPr="00223525" w:rsidR="00A2322F">
        <w:t>, 2021.</w:t>
      </w:r>
    </w:p>
    <w:p w:rsidR="00434C7D" w:rsidP="00A15531" w:rsidRDefault="00434C7D" w14:paraId="1A4B08AC" w14:textId="77777777">
      <w:pPr>
        <w:pStyle w:val="Default"/>
      </w:pPr>
    </w:p>
    <w:p w:rsidR="00CF0448" w:rsidP="00A8057C" w:rsidRDefault="00E879E8" w14:paraId="3F27C841" w14:textId="7B647A76">
      <w:pPr>
        <w:pStyle w:val="Default"/>
      </w:pPr>
      <w:r>
        <w:t xml:space="preserve">Thank you for your assistance in processing this request. Should any questions arise, please contact </w:t>
      </w:r>
      <w:r w:rsidR="00434C7D">
        <w:t>me</w:t>
      </w:r>
      <w:r>
        <w:t xml:space="preserve"> at 202</w:t>
      </w:r>
      <w:r w:rsidR="00F77088">
        <w:t xml:space="preserve">-564-6295 </w:t>
      </w:r>
      <w:r w:rsidR="00434C7D">
        <w:t>or Courtney Kerwin at 202-566-1669</w:t>
      </w:r>
      <w:r>
        <w:t>.</w:t>
      </w:r>
    </w:p>
    <w:p w:rsidR="00CF0448" w:rsidRDefault="00CF0448" w14:paraId="191B7B31" w14:textId="77777777">
      <w:pPr>
        <w:rPr>
          <w:rFonts w:ascii="Times New Roman" w:hAnsi="Times New Roman" w:cs="Times New Roman"/>
          <w:color w:val="000000"/>
          <w:sz w:val="24"/>
          <w:szCs w:val="24"/>
        </w:rPr>
      </w:pPr>
      <w:r>
        <w:br w:type="page"/>
      </w:r>
    </w:p>
    <w:p w:rsidR="00951E9F" w:rsidP="00A8057C" w:rsidRDefault="00CF0448" w14:paraId="6565EE93" w14:textId="451D1A9D">
      <w:pPr>
        <w:pStyle w:val="Default"/>
        <w:rPr>
          <w:b/>
          <w:bCs/>
          <w:sz w:val="23"/>
          <w:szCs w:val="23"/>
        </w:rPr>
      </w:pPr>
      <w:r w:rsidRPr="004E5261">
        <w:rPr>
          <w:b/>
          <w:bCs/>
          <w:sz w:val="23"/>
          <w:szCs w:val="23"/>
        </w:rPr>
        <w:lastRenderedPageBreak/>
        <w:t>ATTACHMENT 1: Estimated</w:t>
      </w:r>
      <w:r>
        <w:rPr>
          <w:b/>
          <w:bCs/>
          <w:sz w:val="23"/>
          <w:szCs w:val="23"/>
        </w:rPr>
        <w:t xml:space="preserve"> Burden and Costs for This Information Collection Activity</w:t>
      </w:r>
    </w:p>
    <w:p w:rsidR="000A05B3" w:rsidP="00A8057C" w:rsidRDefault="000A05B3" w14:paraId="0892C551" w14:textId="77777777">
      <w:pPr>
        <w:pStyle w:val="Default"/>
        <w:rPr>
          <w:b/>
          <w:bCs/>
          <w:sz w:val="23"/>
          <w:szCs w:val="23"/>
        </w:rPr>
      </w:pPr>
    </w:p>
    <w:p w:rsidR="00CF0448" w:rsidP="00A8057C" w:rsidRDefault="00CF0448" w14:paraId="08AAB924" w14:textId="188D5739">
      <w:pPr>
        <w:pStyle w:val="Default"/>
        <w:rPr>
          <w:b/>
          <w:bCs/>
          <w:sz w:val="23"/>
          <w:szCs w:val="23"/>
        </w:rPr>
      </w:pPr>
    </w:p>
    <w:tbl>
      <w:tblPr>
        <w:tblStyle w:val="TableGrid"/>
        <w:tblW w:w="0" w:type="auto"/>
        <w:tblLook w:val="04A0" w:firstRow="1" w:lastRow="0" w:firstColumn="1" w:lastColumn="0" w:noHBand="0" w:noVBand="1"/>
      </w:tblPr>
      <w:tblGrid>
        <w:gridCol w:w="1469"/>
        <w:gridCol w:w="1380"/>
        <w:gridCol w:w="1294"/>
        <w:gridCol w:w="1285"/>
        <w:gridCol w:w="1265"/>
      </w:tblGrid>
      <w:tr w:rsidRPr="007E721A" w:rsidR="00A2322F" w:rsidTr="1ADC07CF" w14:paraId="36C30E26" w14:textId="77777777">
        <w:tc>
          <w:tcPr>
            <w:tcW w:w="1469" w:type="dxa"/>
          </w:tcPr>
          <w:p w:rsidRPr="007E721A" w:rsidR="00A2322F" w:rsidP="00A8057C" w:rsidRDefault="00A2322F" w14:paraId="3E43E7C1" w14:textId="28C5A7F0">
            <w:pPr>
              <w:pStyle w:val="Default"/>
              <w:rPr>
                <w:b/>
                <w:bCs/>
                <w:sz w:val="23"/>
                <w:szCs w:val="23"/>
              </w:rPr>
            </w:pPr>
            <w:r w:rsidRPr="007E721A">
              <w:rPr>
                <w:b/>
                <w:bCs/>
                <w:sz w:val="23"/>
                <w:szCs w:val="23"/>
              </w:rPr>
              <w:t>Number of Respondents</w:t>
            </w:r>
          </w:p>
        </w:tc>
        <w:tc>
          <w:tcPr>
            <w:tcW w:w="1380" w:type="dxa"/>
          </w:tcPr>
          <w:p w:rsidRPr="007E721A" w:rsidR="00A2322F" w:rsidP="00A8057C" w:rsidRDefault="00A2322F" w14:paraId="4E1EB18D" w14:textId="051B6FA7">
            <w:pPr>
              <w:pStyle w:val="Default"/>
              <w:rPr>
                <w:b/>
                <w:bCs/>
                <w:sz w:val="23"/>
                <w:szCs w:val="23"/>
              </w:rPr>
            </w:pPr>
            <w:r w:rsidRPr="007E721A">
              <w:rPr>
                <w:b/>
                <w:bCs/>
                <w:sz w:val="23"/>
                <w:szCs w:val="23"/>
              </w:rPr>
              <w:t>Number of Responses per Respondent</w:t>
            </w:r>
          </w:p>
        </w:tc>
        <w:tc>
          <w:tcPr>
            <w:tcW w:w="1294" w:type="dxa"/>
          </w:tcPr>
          <w:p w:rsidRPr="007E721A" w:rsidR="00A2322F" w:rsidP="00A8057C" w:rsidRDefault="00A2322F" w14:paraId="0A8E5148" w14:textId="65CC83A7">
            <w:pPr>
              <w:pStyle w:val="Default"/>
              <w:rPr>
                <w:b/>
                <w:bCs/>
                <w:sz w:val="23"/>
                <w:szCs w:val="23"/>
              </w:rPr>
            </w:pPr>
            <w:r w:rsidRPr="007E721A">
              <w:rPr>
                <w:b/>
                <w:bCs/>
                <w:sz w:val="23"/>
                <w:szCs w:val="23"/>
              </w:rPr>
              <w:t>Number of Responses (Total)</w:t>
            </w:r>
          </w:p>
        </w:tc>
        <w:tc>
          <w:tcPr>
            <w:tcW w:w="1285" w:type="dxa"/>
          </w:tcPr>
          <w:p w:rsidRPr="007E721A" w:rsidR="00A2322F" w:rsidP="00A8057C" w:rsidRDefault="00A2322F" w14:paraId="10D0EF95" w14:textId="1D39A8C1">
            <w:pPr>
              <w:pStyle w:val="Default"/>
              <w:rPr>
                <w:b/>
                <w:bCs/>
                <w:sz w:val="23"/>
                <w:szCs w:val="23"/>
              </w:rPr>
            </w:pPr>
            <w:r w:rsidRPr="007E721A">
              <w:rPr>
                <w:b/>
                <w:bCs/>
                <w:sz w:val="23"/>
                <w:szCs w:val="23"/>
              </w:rPr>
              <w:t>Average Burden per Response (hours)</w:t>
            </w:r>
          </w:p>
        </w:tc>
        <w:tc>
          <w:tcPr>
            <w:tcW w:w="1265" w:type="dxa"/>
          </w:tcPr>
          <w:p w:rsidRPr="007E721A" w:rsidR="00A2322F" w:rsidP="00A8057C" w:rsidRDefault="00A2322F" w14:paraId="3A83D1FD" w14:textId="5B501728">
            <w:pPr>
              <w:pStyle w:val="Default"/>
              <w:rPr>
                <w:b/>
                <w:bCs/>
                <w:sz w:val="23"/>
                <w:szCs w:val="23"/>
              </w:rPr>
            </w:pPr>
            <w:r w:rsidRPr="007E721A">
              <w:rPr>
                <w:b/>
                <w:bCs/>
                <w:sz w:val="23"/>
                <w:szCs w:val="23"/>
              </w:rPr>
              <w:t>Total Annual Burden (hours)</w:t>
            </w:r>
          </w:p>
        </w:tc>
      </w:tr>
      <w:tr w:rsidRPr="00E5759E" w:rsidR="00A2322F" w:rsidTr="1ADC07CF" w14:paraId="313A412C" w14:textId="77777777">
        <w:tc>
          <w:tcPr>
            <w:tcW w:w="1469" w:type="dxa"/>
          </w:tcPr>
          <w:p w:rsidRPr="00E5759E" w:rsidR="00A2322F" w:rsidP="00CF0448" w:rsidRDefault="2BAF4238" w14:paraId="24EDF031" w14:textId="16C37CB5">
            <w:pPr>
              <w:pStyle w:val="Default"/>
              <w:jc w:val="center"/>
              <w:rPr>
                <w:b/>
                <w:bCs/>
                <w:sz w:val="23"/>
                <w:szCs w:val="23"/>
              </w:rPr>
            </w:pPr>
            <w:r w:rsidRPr="00E5759E">
              <w:rPr>
                <w:b/>
                <w:bCs/>
                <w:sz w:val="23"/>
                <w:szCs w:val="23"/>
              </w:rPr>
              <w:t>18,000</w:t>
            </w:r>
          </w:p>
        </w:tc>
        <w:tc>
          <w:tcPr>
            <w:tcW w:w="1380" w:type="dxa"/>
          </w:tcPr>
          <w:p w:rsidRPr="00E5759E" w:rsidR="00A2322F" w:rsidP="00CF0448" w:rsidRDefault="00F77088" w14:paraId="57245FC4" w14:textId="6493DD0E">
            <w:pPr>
              <w:pStyle w:val="Default"/>
              <w:jc w:val="center"/>
              <w:rPr>
                <w:b/>
                <w:bCs/>
                <w:sz w:val="23"/>
                <w:szCs w:val="23"/>
              </w:rPr>
            </w:pPr>
            <w:r w:rsidRPr="00E5759E">
              <w:rPr>
                <w:b/>
                <w:bCs/>
                <w:sz w:val="23"/>
                <w:szCs w:val="23"/>
              </w:rPr>
              <w:t>1</w:t>
            </w:r>
          </w:p>
        </w:tc>
        <w:tc>
          <w:tcPr>
            <w:tcW w:w="1294" w:type="dxa"/>
          </w:tcPr>
          <w:p w:rsidRPr="00E5759E" w:rsidR="00A2322F" w:rsidRDefault="556B6286" w14:paraId="297AC57C" w14:textId="2FC8625F">
            <w:pPr>
              <w:pStyle w:val="Default"/>
              <w:jc w:val="center"/>
              <w:rPr>
                <w:rFonts w:eastAsia="Calibri"/>
                <w:b/>
                <w:bCs/>
                <w:color w:val="000000" w:themeColor="text1"/>
              </w:rPr>
            </w:pPr>
            <w:r w:rsidRPr="00E5759E">
              <w:rPr>
                <w:b/>
                <w:bCs/>
                <w:sz w:val="23"/>
                <w:szCs w:val="23"/>
              </w:rPr>
              <w:t>18,000</w:t>
            </w:r>
          </w:p>
        </w:tc>
        <w:tc>
          <w:tcPr>
            <w:tcW w:w="1285" w:type="dxa"/>
          </w:tcPr>
          <w:p w:rsidRPr="00E5759E" w:rsidR="00A2322F" w:rsidP="00CF0448" w:rsidRDefault="037E5E6E" w14:paraId="65F6F35F" w14:textId="357299E0">
            <w:pPr>
              <w:pStyle w:val="Default"/>
              <w:jc w:val="center"/>
              <w:rPr>
                <w:b/>
                <w:bCs/>
                <w:sz w:val="23"/>
                <w:szCs w:val="23"/>
              </w:rPr>
            </w:pPr>
            <w:r w:rsidRPr="00E5759E">
              <w:rPr>
                <w:b/>
                <w:bCs/>
                <w:sz w:val="23"/>
                <w:szCs w:val="23"/>
              </w:rPr>
              <w:t>0</w:t>
            </w:r>
            <w:r w:rsidRPr="00E5759E" w:rsidR="00F77088">
              <w:rPr>
                <w:b/>
                <w:bCs/>
                <w:sz w:val="23"/>
                <w:szCs w:val="23"/>
              </w:rPr>
              <w:t>.</w:t>
            </w:r>
            <w:r w:rsidRPr="00E5759E" w:rsidR="4178C6B6">
              <w:rPr>
                <w:b/>
                <w:bCs/>
                <w:sz w:val="23"/>
                <w:szCs w:val="23"/>
              </w:rPr>
              <w:t>2</w:t>
            </w:r>
            <w:r w:rsidRPr="00E5759E" w:rsidR="00F77088">
              <w:rPr>
                <w:b/>
                <w:bCs/>
                <w:sz w:val="23"/>
                <w:szCs w:val="23"/>
              </w:rPr>
              <w:t>5</w:t>
            </w:r>
          </w:p>
        </w:tc>
        <w:tc>
          <w:tcPr>
            <w:tcW w:w="1265" w:type="dxa"/>
          </w:tcPr>
          <w:p w:rsidRPr="00E5759E" w:rsidR="00A2322F" w:rsidP="00CF0448" w:rsidRDefault="5E12ADED" w14:paraId="4DE36EBC" w14:textId="13B55E58">
            <w:pPr>
              <w:pStyle w:val="Default"/>
              <w:jc w:val="center"/>
              <w:rPr>
                <w:b/>
                <w:bCs/>
                <w:sz w:val="23"/>
                <w:szCs w:val="23"/>
              </w:rPr>
            </w:pPr>
            <w:r w:rsidRPr="00E5759E">
              <w:rPr>
                <w:b/>
                <w:bCs/>
                <w:sz w:val="23"/>
                <w:szCs w:val="23"/>
              </w:rPr>
              <w:t>4,500</w:t>
            </w:r>
          </w:p>
        </w:tc>
      </w:tr>
    </w:tbl>
    <w:p w:rsidRPr="00E5759E" w:rsidR="00CF0448" w:rsidP="00A8057C" w:rsidRDefault="00CF0448" w14:paraId="0157E194" w14:textId="1DAC703E">
      <w:pPr>
        <w:pStyle w:val="Default"/>
        <w:rPr>
          <w:b/>
          <w:bCs/>
          <w:sz w:val="23"/>
          <w:szCs w:val="23"/>
        </w:rPr>
      </w:pPr>
    </w:p>
    <w:p w:rsidRPr="00E5759E" w:rsidR="00A2322F" w:rsidP="00A8057C" w:rsidRDefault="000A05B3" w14:paraId="5E3D618A" w14:textId="77777777">
      <w:pPr>
        <w:pStyle w:val="Default"/>
        <w:rPr>
          <w:b/>
          <w:bCs/>
          <w:sz w:val="23"/>
          <w:szCs w:val="23"/>
        </w:rPr>
      </w:pPr>
      <w:r w:rsidRPr="00E5759E">
        <w:rPr>
          <w:b/>
          <w:bCs/>
          <w:sz w:val="23"/>
          <w:szCs w:val="23"/>
        </w:rPr>
        <w:tab/>
      </w:r>
    </w:p>
    <w:p w:rsidRPr="00E5759E" w:rsidR="000A05B3" w:rsidP="00A8057C" w:rsidRDefault="000A05B3" w14:paraId="7470DA5C" w14:textId="39F23D40">
      <w:pPr>
        <w:pStyle w:val="Default"/>
        <w:rPr>
          <w:sz w:val="23"/>
          <w:szCs w:val="23"/>
        </w:rPr>
      </w:pPr>
      <w:r w:rsidRPr="00E5759E">
        <w:rPr>
          <w:b/>
          <w:bCs/>
          <w:sz w:val="23"/>
          <w:szCs w:val="23"/>
        </w:rPr>
        <w:t>Capital/O&amp;M Costs:</w:t>
      </w:r>
      <w:r w:rsidRPr="00E5759E">
        <w:rPr>
          <w:b/>
          <w:bCs/>
          <w:sz w:val="23"/>
          <w:szCs w:val="23"/>
        </w:rPr>
        <w:tab/>
      </w:r>
      <w:r w:rsidRPr="00E5759E" w:rsidR="00A2322F">
        <w:rPr>
          <w:sz w:val="23"/>
          <w:szCs w:val="23"/>
        </w:rPr>
        <w:t>There are no capital or O&amp;M costs incurred by the respondents</w:t>
      </w:r>
      <w:r w:rsidRPr="00E5759E" w:rsidR="00F77088">
        <w:rPr>
          <w:sz w:val="23"/>
          <w:szCs w:val="23"/>
        </w:rPr>
        <w:t>.</w:t>
      </w:r>
    </w:p>
    <w:p w:rsidRPr="00E5759E" w:rsidR="000A05B3" w:rsidP="00A8057C" w:rsidRDefault="000A05B3" w14:paraId="6ACBBECF" w14:textId="25640842">
      <w:pPr>
        <w:pStyle w:val="Default"/>
        <w:rPr>
          <w:b/>
          <w:bCs/>
          <w:sz w:val="23"/>
          <w:szCs w:val="23"/>
        </w:rPr>
      </w:pPr>
    </w:p>
    <w:p w:rsidRPr="00E5759E" w:rsidR="00460EDB" w:rsidP="00A8057C" w:rsidRDefault="00460EDB" w14:paraId="09155649" w14:textId="77777777">
      <w:pPr>
        <w:pStyle w:val="Default"/>
        <w:rPr>
          <w:b/>
          <w:bCs/>
          <w:sz w:val="23"/>
          <w:szCs w:val="23"/>
        </w:rPr>
      </w:pPr>
    </w:p>
    <w:p w:rsidRPr="00E5759E" w:rsidR="000A05B3" w:rsidP="00A8057C" w:rsidRDefault="000A05B3" w14:paraId="099D859A" w14:textId="3A026624">
      <w:pPr>
        <w:pStyle w:val="Default"/>
        <w:rPr>
          <w:b/>
          <w:bCs/>
          <w:sz w:val="23"/>
          <w:szCs w:val="23"/>
        </w:rPr>
      </w:pPr>
      <w:r w:rsidRPr="00E5759E">
        <w:rPr>
          <w:b/>
          <w:bCs/>
          <w:sz w:val="23"/>
          <w:szCs w:val="23"/>
        </w:rPr>
        <w:t>ATTACHMENT 2: Information Collection Instrument</w:t>
      </w:r>
    </w:p>
    <w:p w:rsidRPr="00E5759E" w:rsidR="004E5261" w:rsidP="00A8057C" w:rsidRDefault="004E5261" w14:paraId="2A264CAB" w14:textId="46F67850">
      <w:pPr>
        <w:pStyle w:val="Default"/>
        <w:rPr>
          <w:b/>
          <w:bCs/>
          <w:sz w:val="23"/>
          <w:szCs w:val="23"/>
        </w:rPr>
      </w:pPr>
    </w:p>
    <w:p w:rsidR="004E5261" w:rsidP="00A8057C" w:rsidRDefault="004E5261" w14:paraId="3F6C247D" w14:textId="5857AE20">
      <w:pPr>
        <w:pStyle w:val="Default"/>
        <w:rPr>
          <w:b/>
          <w:bCs/>
          <w:sz w:val="23"/>
          <w:szCs w:val="23"/>
        </w:rPr>
      </w:pPr>
    </w:p>
    <w:p w:rsidR="004E5261" w:rsidP="00A8057C" w:rsidRDefault="004E5261" w14:paraId="584BE913" w14:textId="36BFDE76">
      <w:pPr>
        <w:pStyle w:val="Default"/>
        <w:rPr>
          <w:b/>
          <w:bCs/>
          <w:sz w:val="23"/>
          <w:szCs w:val="23"/>
        </w:rPr>
      </w:pPr>
    </w:p>
    <w:p w:rsidR="00C7013C" w:rsidP="00A8057C" w:rsidRDefault="00C7013C" w14:paraId="40D1D27A" w14:textId="79C630BA">
      <w:pPr>
        <w:pStyle w:val="Default"/>
        <w:rPr>
          <w:b/>
          <w:bCs/>
          <w:sz w:val="23"/>
          <w:szCs w:val="23"/>
        </w:rPr>
      </w:pPr>
    </w:p>
    <w:p w:rsidRPr="00A8057C" w:rsidR="00C7013C" w:rsidP="00A8057C" w:rsidRDefault="00C7013C" w14:paraId="087347D1" w14:textId="434843EF">
      <w:pPr>
        <w:pStyle w:val="Default"/>
        <w:rPr>
          <w:b/>
          <w:bCs/>
          <w:sz w:val="23"/>
          <w:szCs w:val="23"/>
        </w:rPr>
      </w:pPr>
    </w:p>
    <w:sectPr w:rsidRPr="00A8057C" w:rsidR="00C7013C" w:rsidSect="00446763">
      <w:headerReference w:type="even" r:id="rId12"/>
      <w:headerReference w:type="default" r:id="rId13"/>
      <w:pgSz w:w="12240" w:h="163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5C00A" w14:textId="77777777" w:rsidR="00541E4C" w:rsidRDefault="00541E4C">
      <w:pPr>
        <w:spacing w:after="0" w:line="240" w:lineRule="auto"/>
      </w:pPr>
      <w:r>
        <w:separator/>
      </w:r>
    </w:p>
  </w:endnote>
  <w:endnote w:type="continuationSeparator" w:id="0">
    <w:p w14:paraId="19D2B7A6" w14:textId="77777777" w:rsidR="00541E4C" w:rsidRDefault="00541E4C">
      <w:pPr>
        <w:spacing w:after="0" w:line="240" w:lineRule="auto"/>
      </w:pPr>
      <w:r>
        <w:continuationSeparator/>
      </w:r>
    </w:p>
  </w:endnote>
  <w:endnote w:type="continuationNotice" w:id="1">
    <w:p w14:paraId="6FC4D712" w14:textId="77777777" w:rsidR="00541E4C" w:rsidRDefault="00541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446CE" w14:textId="77777777" w:rsidR="00541E4C" w:rsidRDefault="00541E4C">
      <w:pPr>
        <w:spacing w:after="0" w:line="240" w:lineRule="auto"/>
      </w:pPr>
      <w:r>
        <w:separator/>
      </w:r>
    </w:p>
  </w:footnote>
  <w:footnote w:type="continuationSeparator" w:id="0">
    <w:p w14:paraId="7FB68529" w14:textId="77777777" w:rsidR="00541E4C" w:rsidRDefault="00541E4C">
      <w:pPr>
        <w:spacing w:after="0" w:line="240" w:lineRule="auto"/>
      </w:pPr>
      <w:r>
        <w:continuationSeparator/>
      </w:r>
    </w:p>
  </w:footnote>
  <w:footnote w:type="continuationNotice" w:id="1">
    <w:p w14:paraId="0A3BEC3F" w14:textId="77777777" w:rsidR="00541E4C" w:rsidRDefault="00541E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0BB77" w14:textId="77777777" w:rsidR="00951E9F" w:rsidRDefault="00594EA6" w:rsidP="00951E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048F63" w14:textId="77777777" w:rsidR="00951E9F" w:rsidRDefault="00951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CE06F" w14:textId="77777777" w:rsidR="00951E9F" w:rsidRDefault="00951E9F">
    <w:pPr>
      <w:pStyle w:val="Header"/>
    </w:pPr>
  </w:p>
  <w:p w14:paraId="272AFA36" w14:textId="77777777" w:rsidR="00951E9F" w:rsidRDefault="00951E9F" w:rsidP="00951E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A3E13"/>
    <w:multiLevelType w:val="hybridMultilevel"/>
    <w:tmpl w:val="921E291C"/>
    <w:lvl w:ilvl="0" w:tplc="F9445B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30205"/>
    <w:multiLevelType w:val="hybridMultilevel"/>
    <w:tmpl w:val="CE120540"/>
    <w:lvl w:ilvl="0" w:tplc="BE0C5DE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03030"/>
    <w:multiLevelType w:val="hybridMultilevel"/>
    <w:tmpl w:val="82240F42"/>
    <w:lvl w:ilvl="0" w:tplc="D2BC06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83AAD"/>
    <w:multiLevelType w:val="hybridMultilevel"/>
    <w:tmpl w:val="4ECAF3C6"/>
    <w:lvl w:ilvl="0" w:tplc="F512602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31"/>
    <w:rsid w:val="0002767E"/>
    <w:rsid w:val="00067BB8"/>
    <w:rsid w:val="000A05B3"/>
    <w:rsid w:val="000E276C"/>
    <w:rsid w:val="00143956"/>
    <w:rsid w:val="00176996"/>
    <w:rsid w:val="001D1D65"/>
    <w:rsid w:val="0021498D"/>
    <w:rsid w:val="00217028"/>
    <w:rsid w:val="00223525"/>
    <w:rsid w:val="00225230"/>
    <w:rsid w:val="0024104C"/>
    <w:rsid w:val="00241C5D"/>
    <w:rsid w:val="00281300"/>
    <w:rsid w:val="002A42C6"/>
    <w:rsid w:val="002B2633"/>
    <w:rsid w:val="00334B37"/>
    <w:rsid w:val="00386251"/>
    <w:rsid w:val="003B1F77"/>
    <w:rsid w:val="00427714"/>
    <w:rsid w:val="00434C7D"/>
    <w:rsid w:val="00446763"/>
    <w:rsid w:val="00451F1D"/>
    <w:rsid w:val="00460EDB"/>
    <w:rsid w:val="004D1B46"/>
    <w:rsid w:val="004E5261"/>
    <w:rsid w:val="00541E4C"/>
    <w:rsid w:val="00594EA6"/>
    <w:rsid w:val="005A2755"/>
    <w:rsid w:val="00603AED"/>
    <w:rsid w:val="00616978"/>
    <w:rsid w:val="00651F6C"/>
    <w:rsid w:val="00657866"/>
    <w:rsid w:val="006B2EA6"/>
    <w:rsid w:val="00710C80"/>
    <w:rsid w:val="007547D6"/>
    <w:rsid w:val="007A770F"/>
    <w:rsid w:val="007E3067"/>
    <w:rsid w:val="007E721A"/>
    <w:rsid w:val="0083551B"/>
    <w:rsid w:val="00951E9F"/>
    <w:rsid w:val="00A15531"/>
    <w:rsid w:val="00A2322F"/>
    <w:rsid w:val="00A63988"/>
    <w:rsid w:val="00A771AE"/>
    <w:rsid w:val="00A8057C"/>
    <w:rsid w:val="00AE1021"/>
    <w:rsid w:val="00B12991"/>
    <w:rsid w:val="00B42DFF"/>
    <w:rsid w:val="00B63A89"/>
    <w:rsid w:val="00B95A96"/>
    <w:rsid w:val="00C075C3"/>
    <w:rsid w:val="00C258ED"/>
    <w:rsid w:val="00C401A7"/>
    <w:rsid w:val="00C7013C"/>
    <w:rsid w:val="00C75938"/>
    <w:rsid w:val="00CD71CC"/>
    <w:rsid w:val="00CF0448"/>
    <w:rsid w:val="00D009F5"/>
    <w:rsid w:val="00D44170"/>
    <w:rsid w:val="00D5302C"/>
    <w:rsid w:val="00E5759E"/>
    <w:rsid w:val="00E879E8"/>
    <w:rsid w:val="00EF6BE7"/>
    <w:rsid w:val="00F77088"/>
    <w:rsid w:val="00F86D30"/>
    <w:rsid w:val="00FC2D7D"/>
    <w:rsid w:val="037E5E6E"/>
    <w:rsid w:val="04A3918E"/>
    <w:rsid w:val="053F718A"/>
    <w:rsid w:val="06414F95"/>
    <w:rsid w:val="1106199E"/>
    <w:rsid w:val="1538C153"/>
    <w:rsid w:val="15AF65F1"/>
    <w:rsid w:val="19BA4B3B"/>
    <w:rsid w:val="1ADC07CF"/>
    <w:rsid w:val="24C08BF1"/>
    <w:rsid w:val="2BAF4238"/>
    <w:rsid w:val="35B00536"/>
    <w:rsid w:val="38F7B2DA"/>
    <w:rsid w:val="4178C6B6"/>
    <w:rsid w:val="47CA83DB"/>
    <w:rsid w:val="4DEC2234"/>
    <w:rsid w:val="511DC411"/>
    <w:rsid w:val="556B6286"/>
    <w:rsid w:val="5E12ADED"/>
    <w:rsid w:val="60CAC6E4"/>
    <w:rsid w:val="6C6E1D88"/>
    <w:rsid w:val="736C8C8B"/>
    <w:rsid w:val="7E4BB1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4:docId w14:val="7B7DE308"/>
  <w15:chartTrackingRefBased/>
  <w15:docId w15:val="{8A68A9D7-9D21-42E6-8AEB-1B6F12A4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553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51F1D"/>
    <w:rPr>
      <w:sz w:val="16"/>
      <w:szCs w:val="16"/>
    </w:rPr>
  </w:style>
  <w:style w:type="paragraph" w:styleId="CommentText">
    <w:name w:val="annotation text"/>
    <w:basedOn w:val="Normal"/>
    <w:link w:val="CommentTextChar"/>
    <w:uiPriority w:val="99"/>
    <w:semiHidden/>
    <w:unhideWhenUsed/>
    <w:rsid w:val="00451F1D"/>
    <w:pPr>
      <w:spacing w:line="240" w:lineRule="auto"/>
    </w:pPr>
    <w:rPr>
      <w:sz w:val="20"/>
      <w:szCs w:val="20"/>
    </w:rPr>
  </w:style>
  <w:style w:type="character" w:customStyle="1" w:styleId="CommentTextChar">
    <w:name w:val="Comment Text Char"/>
    <w:basedOn w:val="DefaultParagraphFont"/>
    <w:link w:val="CommentText"/>
    <w:uiPriority w:val="99"/>
    <w:semiHidden/>
    <w:rsid w:val="00451F1D"/>
    <w:rPr>
      <w:sz w:val="20"/>
      <w:szCs w:val="20"/>
    </w:rPr>
  </w:style>
  <w:style w:type="paragraph" w:styleId="CommentSubject">
    <w:name w:val="annotation subject"/>
    <w:basedOn w:val="CommentText"/>
    <w:next w:val="CommentText"/>
    <w:link w:val="CommentSubjectChar"/>
    <w:uiPriority w:val="99"/>
    <w:semiHidden/>
    <w:unhideWhenUsed/>
    <w:rsid w:val="00451F1D"/>
    <w:rPr>
      <w:b/>
      <w:bCs/>
    </w:rPr>
  </w:style>
  <w:style w:type="character" w:customStyle="1" w:styleId="CommentSubjectChar">
    <w:name w:val="Comment Subject Char"/>
    <w:basedOn w:val="CommentTextChar"/>
    <w:link w:val="CommentSubject"/>
    <w:uiPriority w:val="99"/>
    <w:semiHidden/>
    <w:rsid w:val="00451F1D"/>
    <w:rPr>
      <w:b/>
      <w:bCs/>
      <w:sz w:val="20"/>
      <w:szCs w:val="20"/>
    </w:rPr>
  </w:style>
  <w:style w:type="paragraph" w:styleId="BalloonText">
    <w:name w:val="Balloon Text"/>
    <w:basedOn w:val="Normal"/>
    <w:link w:val="BalloonTextChar"/>
    <w:uiPriority w:val="99"/>
    <w:semiHidden/>
    <w:unhideWhenUsed/>
    <w:rsid w:val="00451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F1D"/>
    <w:rPr>
      <w:rFonts w:ascii="Segoe UI" w:hAnsi="Segoe UI" w:cs="Segoe UI"/>
      <w:sz w:val="18"/>
      <w:szCs w:val="18"/>
    </w:rPr>
  </w:style>
  <w:style w:type="table" w:styleId="TableGrid">
    <w:name w:val="Table Grid"/>
    <w:basedOn w:val="TableNormal"/>
    <w:uiPriority w:val="39"/>
    <w:rsid w:val="00CF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46763"/>
    <w:pPr>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46763"/>
    <w:rPr>
      <w:rFonts w:ascii="Times New Roman" w:eastAsia="Times New Roman" w:hAnsi="Times New Roman" w:cs="Times New Roman"/>
      <w:sz w:val="20"/>
      <w:szCs w:val="20"/>
    </w:rPr>
  </w:style>
  <w:style w:type="character" w:styleId="PageNumber">
    <w:name w:val="page number"/>
    <w:basedOn w:val="DefaultParagraphFont"/>
    <w:rsid w:val="00446763"/>
  </w:style>
  <w:style w:type="character" w:styleId="Hyperlink">
    <w:name w:val="Hyperlink"/>
    <w:basedOn w:val="DefaultParagraphFont"/>
    <w:uiPriority w:val="99"/>
    <w:unhideWhenUsed/>
    <w:rsid w:val="00C258ED"/>
    <w:rPr>
      <w:color w:val="0563C1" w:themeColor="hyperlink"/>
      <w:u w:val="single"/>
    </w:rPr>
  </w:style>
  <w:style w:type="character" w:styleId="UnresolvedMention">
    <w:name w:val="Unresolved Mention"/>
    <w:basedOn w:val="DefaultParagraphFont"/>
    <w:uiPriority w:val="99"/>
    <w:unhideWhenUsed/>
    <w:rsid w:val="00C258ED"/>
    <w:rPr>
      <w:color w:val="605E5C"/>
      <w:shd w:val="clear" w:color="auto" w:fill="E1DFDD"/>
    </w:rPr>
  </w:style>
  <w:style w:type="character" w:styleId="FollowedHyperlink">
    <w:name w:val="FollowedHyperlink"/>
    <w:basedOn w:val="DefaultParagraphFont"/>
    <w:uiPriority w:val="99"/>
    <w:semiHidden/>
    <w:unhideWhenUsed/>
    <w:rsid w:val="00651F6C"/>
    <w:rPr>
      <w:color w:val="954F72" w:themeColor="followedHyperlink"/>
      <w:u w:val="single"/>
    </w:rPr>
  </w:style>
  <w:style w:type="character" w:styleId="Mention">
    <w:name w:val="Mention"/>
    <w:basedOn w:val="DefaultParagraphFont"/>
    <w:uiPriority w:val="99"/>
    <w:unhideWhenUsed/>
    <w:rsid w:val="00603AED"/>
    <w:rPr>
      <w:color w:val="2B579A"/>
      <w:shd w:val="clear" w:color="auto" w:fill="E1DFDD"/>
    </w:rPr>
  </w:style>
  <w:style w:type="paragraph" w:styleId="Footer">
    <w:name w:val="footer"/>
    <w:basedOn w:val="Normal"/>
    <w:link w:val="FooterChar"/>
    <w:uiPriority w:val="99"/>
    <w:semiHidden/>
    <w:unhideWhenUsed/>
    <w:rsid w:val="006169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6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21" Type="http://schemas.microsoft.com/office/2019/05/relationships/documenttasks" Target="documenttasks/documenttasks1.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itehouse.gov/wp-content/uploads/2021/01/M-21-15.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hitehouse.gov/wp-content/uploads/2021/01/National-Strategy-for-the-COVID-19-Response-and-Pandemic-Preparedness.pdf" TargetMode="External"/><Relationship Id="rId4" Type="http://schemas.openxmlformats.org/officeDocument/2006/relationships/webSettings" Target="webSettings.xml"/><Relationship Id="rId9" Type="http://schemas.openxmlformats.org/officeDocument/2006/relationships/hyperlink" Target="https://www.whitehouse.gov/briefing-room/presidential-actions/2021/01/20/executive-order-protecting-the-federal-workforce-and-requiring-mask-wearing/" TargetMode="Externa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B4AD0ED-FC11-4BF3-A635-ACBA6103A651}">
    <t:Anchor>
      <t:Comment id="2040527507"/>
    </t:Anchor>
    <t:History>
      <t:Event id="{9B235357-B675-439C-8A13-E9D9EE796EF8}" time="2021-05-20T15:24:41Z">
        <t:Attribution userId="S::noga.vaughn@epa.gov::40fe19a2-70a0-4e6f-b6a2-bc0033c47183" userProvider="AD" userName="Noga, Vaughn"/>
        <t:Anchor>
          <t:Comment id="2040527507"/>
        </t:Anchor>
        <t:Create/>
      </t:Event>
      <t:Event id="{11861441-73CA-4331-9465-CE19A2A1676B}" time="2021-05-20T15:24:41Z">
        <t:Attribution userId="S::noga.vaughn@epa.gov::40fe19a2-70a0-4e6f-b6a2-bc0033c47183" userProvider="AD" userName="Noga, Vaughn"/>
        <t:Anchor>
          <t:Comment id="2040527507"/>
        </t:Anchor>
        <t:Assign userId="S::Kerwin.Courtney@epa.gov::e1eb4b69-4ad6-4d6e-9aba-d64dc6f7608a" userProvider="AD" userName="Kerwin, Courtney"/>
      </t:Event>
      <t:Event id="{314FDDE2-C476-47A3-A1DB-5519B6C6A2A1}" time="2021-05-20T15:24:41Z">
        <t:Attribution userId="S::noga.vaughn@epa.gov::40fe19a2-70a0-4e6f-b6a2-bc0033c47183" userProvider="AD" userName="Noga, Vaughn"/>
        <t:Anchor>
          <t:Comment id="2040527507"/>
        </t:Anchor>
        <t:SetTitle title="@Kerwin, Courtney What is the likelihood that this will be approved by tomorr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4757</Characters>
  <Application>Microsoft Office Word</Application>
  <DocSecurity>0</DocSecurity>
  <Lines>39</Lines>
  <Paragraphs>11</Paragraphs>
  <ScaleCrop>false</ScaleCrop>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Kerwin, Courtney</dc:creator>
  <cp:keywords/>
  <dc:description/>
  <cp:lastModifiedBy>Kerwin, Courtney</cp:lastModifiedBy>
  <cp:revision>14</cp:revision>
  <dcterms:created xsi:type="dcterms:W3CDTF">2021-05-20T15:12:00Z</dcterms:created>
  <dcterms:modified xsi:type="dcterms:W3CDTF">2021-05-20T18:17:00Z</dcterms:modified>
</cp:coreProperties>
</file>