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7C697011">
      <w:pPr>
        <w:jc w:val="center"/>
      </w:pPr>
      <w:r w:rsidRPr="00980E58">
        <w:t xml:space="preserve">[Docket No. </w:t>
      </w:r>
      <w:r w:rsidRPr="00980E58" w:rsidR="00613169">
        <w:t>IC</w:t>
      </w:r>
      <w:r w:rsidR="00FB078F">
        <w:t>21</w:t>
      </w:r>
      <w:r w:rsidRPr="00980E58" w:rsidR="00613169">
        <w:t>-</w:t>
      </w:r>
      <w:r w:rsidR="00C56745">
        <w:t>12</w:t>
      </w:r>
      <w:r w:rsidRPr="00980E58" w:rsidR="00613169">
        <w:t>-000</w:t>
      </w:r>
      <w:r w:rsidRPr="00980E58">
        <w:t>]</w:t>
      </w:r>
    </w:p>
    <w:p w:rsidR="00A2604E" w:rsidP="00A2604E" w:rsidRDefault="00A2604E" w14:paraId="4D16FE54" w14:textId="77777777"/>
    <w:p w:rsidR="00A2604E" w:rsidP="00A2604E" w:rsidRDefault="00A2604E" w14:paraId="0627AE31" w14:textId="149721E4">
      <w:pPr>
        <w:jc w:val="center"/>
      </w:pPr>
      <w:r>
        <w:t>COMMISSION INFORMATION COLLECTION ACTIVITIES (FERC-</w:t>
      </w:r>
      <w:r w:rsidR="00491543">
        <w:t>725</w:t>
      </w:r>
      <w:r w:rsidR="00E9084E">
        <w:t>X</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6D4289" w:rsidRDefault="006D4289" w14:paraId="692D2676" w14:textId="3C49EDFE">
      <w:pPr>
        <w:jc w:val="center"/>
      </w:pPr>
      <w:r w:rsidRPr="006D4289">
        <w:t>(March 24, 2021)</w:t>
      </w:r>
    </w:p>
    <w:p w:rsidRPr="006D4289" w:rsidR="006D4289" w:rsidP="006D4289" w:rsidRDefault="006D4289" w14:paraId="7B3C0282"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Notice of information collection and request for comments.</w:t>
      </w:r>
    </w:p>
    <w:p w:rsidR="00A2604E" w:rsidP="00A2604E" w:rsidRDefault="00A2604E" w14:paraId="59F663B1" w14:textId="5E2A7945">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Pr="00CC5692" w:rsidR="00CC5692">
        <w:t>FERC 725</w:t>
      </w:r>
      <w:r w:rsidR="00E9084E">
        <w:t>X</w:t>
      </w:r>
      <w:r w:rsidRPr="00CC5692" w:rsidR="00CC5692">
        <w:t xml:space="preserve"> </w:t>
      </w:r>
      <w:r w:rsidR="00CC5692">
        <w:t>(</w:t>
      </w:r>
      <w:bookmarkStart w:name="_Hlk67468969" w:id="0"/>
      <w:r w:rsidR="00E9084E">
        <w:t>Mandatory Reliability Standards: Voltage and Reactive (VAR) Standards</w:t>
      </w:r>
      <w:bookmarkEnd w:id="0"/>
      <w:r w:rsidR="00CC5692">
        <w:t>).</w:t>
      </w:r>
    </w:p>
    <w:p w:rsidRPr="00524164" w:rsidR="00A2604E" w:rsidP="00A2604E" w:rsidRDefault="00A2604E" w14:paraId="5C5B574A" w14:textId="65E67373">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1E7B43BB">
      <w:pPr>
        <w:spacing w:line="480" w:lineRule="auto"/>
      </w:pPr>
      <w:r w:rsidRPr="00524164">
        <w:rPr>
          <w:b/>
        </w:rPr>
        <w:t>ADDRESSES:</w:t>
      </w:r>
      <w:r w:rsidRPr="00524164">
        <w:t xml:space="preserve">  </w:t>
      </w:r>
      <w:bookmarkStart w:name="OLE_LINK1" w:id="1"/>
      <w:r w:rsidRPr="0042765E" w:rsidR="0042765E">
        <w:t>You may submit copies of your comments (identified by Docket No. IC21-</w:t>
      </w:r>
      <w:r w:rsidR="00805A6E">
        <w:t>12</w:t>
      </w:r>
      <w:r w:rsidRPr="0042765E" w:rsidR="0042765E">
        <w:t>-000)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77777777">
      <w:pPr>
        <w:numPr>
          <w:ilvl w:val="0"/>
          <w:numId w:val="6"/>
        </w:numPr>
        <w:spacing w:line="480" w:lineRule="auto"/>
      </w:pPr>
      <w:r w:rsidRPr="0042765E">
        <w:t>For those unable to file electronically, comments may be filed by USPS mail or by hand (including courier) delivery.</w:t>
      </w:r>
    </w:p>
    <w:p w:rsidRPr="0042765E" w:rsidR="0042765E" w:rsidP="0042765E" w:rsidRDefault="0042765E" w14:paraId="610867AE" w14:textId="77777777">
      <w:pPr>
        <w:numPr>
          <w:ilvl w:val="0"/>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42765E" w:rsidRDefault="0042765E" w14:paraId="1A7E64A4" w14:textId="2C0CED65">
      <w:pPr>
        <w:pStyle w:val="ListParagraph"/>
        <w:numPr>
          <w:ilvl w:val="0"/>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1"/>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853ABC" w:rsidR="00A2604E" w:rsidP="00C1124F" w:rsidRDefault="00A2604E" w14:paraId="0971C935" w14:textId="77777777">
      <w:pPr>
        <w:tabs>
          <w:tab w:val="left" w:pos="7880"/>
        </w:tabs>
        <w:spacing w:line="480" w:lineRule="auto"/>
      </w:pPr>
      <w:r>
        <w:t xml:space="preserve"> </w:t>
      </w:r>
      <w:r w:rsidRPr="001C3703">
        <w:rPr>
          <w:b/>
        </w:rPr>
        <w:t>SUPPLEMENTARY INFORMATION:</w:t>
      </w:r>
      <w:r>
        <w:t xml:space="preserve">  </w:t>
      </w:r>
    </w:p>
    <w:p w:rsidR="00B01B16" w:rsidP="00B01B16" w:rsidRDefault="00B01B16" w14:paraId="67B8DA34" w14:textId="3308E068">
      <w:pPr>
        <w:spacing w:line="480" w:lineRule="auto"/>
      </w:pPr>
      <w:r>
        <w:rPr>
          <w:i/>
        </w:rPr>
        <w:t xml:space="preserve">Title: </w:t>
      </w:r>
      <w:r w:rsidRPr="00C45F17" w:rsidR="00C45F17">
        <w:t>FERC 725</w:t>
      </w:r>
      <w:r w:rsidR="00C56745">
        <w:t>X</w:t>
      </w:r>
      <w:r w:rsidRPr="00C45F17" w:rsidR="00C45F17">
        <w:t xml:space="preserve">, </w:t>
      </w:r>
      <w:r w:rsidRPr="00805A6E" w:rsidR="00805A6E">
        <w:t xml:space="preserve">Mandatory Reliability Standards: Voltage and Reactive (VAR) </w:t>
      </w:r>
      <w:proofErr w:type="spellStart"/>
      <w:r w:rsidRPr="00805A6E" w:rsidR="00805A6E">
        <w:t>Standards</w:t>
      </w:r>
      <w:r>
        <w:rPr>
          <w:i/>
        </w:rPr>
        <w:t>OMB</w:t>
      </w:r>
      <w:proofErr w:type="spellEnd"/>
      <w:r>
        <w:rPr>
          <w:i/>
        </w:rPr>
        <w:t xml:space="preserve"> Control No.:</w:t>
      </w:r>
      <w:r w:rsidRPr="00F50EDA">
        <w:t xml:space="preserve"> </w:t>
      </w:r>
      <w:r w:rsidR="00C45F17">
        <w:t>1902-02</w:t>
      </w:r>
      <w:r w:rsidR="00E9084E">
        <w:t>78</w:t>
      </w:r>
    </w:p>
    <w:p w:rsidRPr="00B5364C" w:rsidR="00B01B16" w:rsidP="00B01B16" w:rsidRDefault="00B01B16" w14:paraId="3997E69D" w14:textId="1CEBED52">
      <w:pPr>
        <w:spacing w:line="480" w:lineRule="auto"/>
      </w:pPr>
      <w:r>
        <w:rPr>
          <w:i/>
        </w:rPr>
        <w:t>Type of Request:</w:t>
      </w:r>
      <w:r>
        <w:t xml:space="preserve"> Three-year extension of the FERC-</w:t>
      </w:r>
      <w:r w:rsidR="00C45F17">
        <w:t>725</w:t>
      </w:r>
      <w:r w:rsidR="00E9084E">
        <w:t>X</w:t>
      </w:r>
      <w:r>
        <w:t xml:space="preserve"> information collection requirements with no changes to the current reporting requirements. </w:t>
      </w:r>
    </w:p>
    <w:p w:rsidRPr="00C56745" w:rsidR="00E9084E" w:rsidP="00C56745" w:rsidRDefault="00C45F17" w14:paraId="5A7B10AD" w14:textId="1B6CE4AB">
      <w:pPr>
        <w:pStyle w:val="Default"/>
        <w:spacing w:line="480" w:lineRule="auto"/>
        <w:rPr>
          <w:sz w:val="26"/>
          <w:szCs w:val="26"/>
        </w:rPr>
      </w:pPr>
      <w:r>
        <w:rPr>
          <w:i/>
        </w:rPr>
        <w:t>Abstract</w:t>
      </w:r>
      <w:r w:rsidRPr="00C56745">
        <w:rPr>
          <w:i/>
          <w:sz w:val="26"/>
          <w:szCs w:val="26"/>
        </w:rPr>
        <w:t>:</w:t>
      </w:r>
      <w:r w:rsidR="00A75AAA">
        <w:rPr>
          <w:i/>
          <w:sz w:val="26"/>
          <w:szCs w:val="26"/>
        </w:rPr>
        <w:t xml:space="preserve"> </w:t>
      </w:r>
      <w:r w:rsidRPr="00C56745">
        <w:rPr>
          <w:i/>
          <w:sz w:val="26"/>
          <w:szCs w:val="26"/>
        </w:rPr>
        <w:t xml:space="preserve"> </w:t>
      </w:r>
      <w:r w:rsidRPr="00C56745" w:rsidR="00E9084E">
        <w:rPr>
          <w:sz w:val="26"/>
          <w:szCs w:val="26"/>
        </w:rPr>
        <w:t>Pursuant to Section 215 of the Federal Power Act (FPA)</w:t>
      </w:r>
      <w:r w:rsidR="00C2133B">
        <w:rPr>
          <w:rStyle w:val="FootnoteReference"/>
        </w:rPr>
        <w:footnoteReference w:id="2"/>
      </w:r>
      <w:r w:rsidRPr="00C56745" w:rsidR="00E9084E">
        <w:rPr>
          <w:sz w:val="26"/>
          <w:szCs w:val="26"/>
        </w:rPr>
        <w:t xml:space="preserve">, </w:t>
      </w:r>
      <w:r w:rsidR="00805A6E">
        <w:rPr>
          <w:sz w:val="26"/>
          <w:szCs w:val="26"/>
        </w:rPr>
        <w:t>North American Electric Reliability Corporation (</w:t>
      </w:r>
      <w:r w:rsidRPr="00C56745" w:rsidR="00E9084E">
        <w:rPr>
          <w:sz w:val="26"/>
          <w:szCs w:val="26"/>
        </w:rPr>
        <w:t>NERC</w:t>
      </w:r>
      <w:r w:rsidR="00805A6E">
        <w:rPr>
          <w:sz w:val="26"/>
          <w:szCs w:val="26"/>
        </w:rPr>
        <w:t>)</w:t>
      </w:r>
      <w:r w:rsidRPr="00C56745" w:rsidR="00E9084E">
        <w:rPr>
          <w:sz w:val="26"/>
          <w:szCs w:val="26"/>
        </w:rPr>
        <w:t xml:space="preserve"> established the Voltage and Reactive (“VAR”) </w:t>
      </w:r>
      <w:r w:rsidRPr="00C56745" w:rsidR="00E9084E">
        <w:rPr>
          <w:sz w:val="26"/>
          <w:szCs w:val="26"/>
        </w:rPr>
        <w:lastRenderedPageBreak/>
        <w:t>group of Reliability Standards, which consists of two continent-wide Reliability Standards, VAR-001-</w:t>
      </w:r>
      <w:r w:rsidRPr="00C56745" w:rsidR="000B5C78">
        <w:rPr>
          <w:sz w:val="26"/>
          <w:szCs w:val="26"/>
        </w:rPr>
        <w:t>5</w:t>
      </w:r>
      <w:r w:rsidRPr="00C56745" w:rsidR="00E9084E">
        <w:rPr>
          <w:sz w:val="26"/>
          <w:szCs w:val="26"/>
        </w:rPr>
        <w:t xml:space="preserve"> and VAR-002-</w:t>
      </w:r>
      <w:r w:rsidRPr="00C56745" w:rsidR="000B5C78">
        <w:rPr>
          <w:sz w:val="26"/>
          <w:szCs w:val="26"/>
        </w:rPr>
        <w:t>4.1</w:t>
      </w:r>
      <w:r w:rsidRPr="00C56745" w:rsidR="00E9084E">
        <w:rPr>
          <w:sz w:val="26"/>
          <w:szCs w:val="26"/>
        </w:rPr>
        <w:t xml:space="preserve">.  </w:t>
      </w:r>
      <w:r w:rsidRPr="00350241" w:rsidR="00350241">
        <w:rPr>
          <w:sz w:val="26"/>
          <w:szCs w:val="26"/>
        </w:rPr>
        <w:t xml:space="preserve">NERC conducts periodic reviews of Reliability Standards in accordance with Section 317 of the NERC Rules of Procedure and Section 13 of the NERC Standard Processes Manual. In accordance with these authorities and the NERC </w:t>
      </w:r>
      <w:r w:rsidRPr="00350241" w:rsidR="00350241">
        <w:rPr>
          <w:i/>
          <w:iCs/>
          <w:sz w:val="26"/>
          <w:szCs w:val="26"/>
        </w:rPr>
        <w:t>Reliability Standards Development Plan: 2017-2019</w:t>
      </w:r>
      <w:r w:rsidRPr="00350241" w:rsidR="00350241">
        <w:rPr>
          <w:sz w:val="26"/>
          <w:szCs w:val="26"/>
        </w:rPr>
        <w:t>,</w:t>
      </w:r>
      <w:r w:rsidR="00F80821">
        <w:rPr>
          <w:sz w:val="26"/>
          <w:szCs w:val="26"/>
        </w:rPr>
        <w:t xml:space="preserve"> N</w:t>
      </w:r>
      <w:r w:rsidRPr="00350241" w:rsidR="00350241">
        <w:rPr>
          <w:sz w:val="26"/>
          <w:szCs w:val="26"/>
        </w:rPr>
        <w:t>ERC recently completed Project 2016-EPR-02 Enhanced Periodic Review of Voltage and Reactive Reliability Standards. This project conducted a periodic review of mandatory and enforceable Reliability Standards VAR-001-4.1 (Voltage and Reactive Control)</w:t>
      </w:r>
      <w:r w:rsidR="00350241">
        <w:rPr>
          <w:rStyle w:val="FootnoteReference"/>
        </w:rPr>
        <w:footnoteReference w:id="3"/>
      </w:r>
      <w:r w:rsidRPr="00350241" w:rsidR="00350241">
        <w:rPr>
          <w:sz w:val="26"/>
          <w:szCs w:val="26"/>
        </w:rPr>
        <w:t xml:space="preserve"> and VAR-002-4 (Generator Operation for Maintaining Network Schedules).</w:t>
      </w:r>
      <w:r w:rsidR="00350241">
        <w:rPr>
          <w:rStyle w:val="FootnoteReference"/>
        </w:rPr>
        <w:footnoteReference w:id="4"/>
      </w:r>
      <w:r w:rsidRPr="00350241" w:rsidR="00350241">
        <w:rPr>
          <w:sz w:val="26"/>
          <w:szCs w:val="26"/>
        </w:rPr>
        <w:t xml:space="preserve"> </w:t>
      </w:r>
      <w:r w:rsidRPr="00C56745" w:rsidR="00E9084E">
        <w:rPr>
          <w:sz w:val="26"/>
          <w:szCs w:val="26"/>
        </w:rPr>
        <w:t xml:space="preserve">These two standards were designed to maintain voltage stability on the Bulk-Power System, protect transmission, generation, distribution, and customer equipment, and support the reliable operation of the Bulk-Power System.  Voltage stability is the ability of a power system to maintain acceptable voltage levels throughout the system under normal operating conditions and following a disturbance.  Failure to maintain acceptable voltage levels (i.e., voltage levels become too high or too low) may cause violations of System Operating Limits (“SOLs”) and Interconnection Reliability Operating Limits (“IROLs”), </w:t>
      </w:r>
      <w:r w:rsidRPr="00C56745" w:rsidR="00E9084E">
        <w:rPr>
          <w:sz w:val="26"/>
          <w:szCs w:val="26"/>
        </w:rPr>
        <w:lastRenderedPageBreak/>
        <w:t>result in damage to Bulk-Power System equipment, and thereby threaten the reliable operation of the Bulk-Power System.</w:t>
      </w:r>
    </w:p>
    <w:p w:rsidR="00E9084E" w:rsidP="00E9084E" w:rsidRDefault="00E9084E" w14:paraId="3E3BAB84" w14:textId="31F87877">
      <w:pPr>
        <w:autoSpaceDE w:val="0"/>
        <w:autoSpaceDN w:val="0"/>
        <w:adjustRightInd w:val="0"/>
        <w:spacing w:line="480" w:lineRule="auto"/>
        <w:rPr>
          <w:rFonts w:eastAsia="Calibri"/>
          <w:color w:val="000000"/>
          <w:szCs w:val="26"/>
        </w:rPr>
      </w:pPr>
      <w:r w:rsidRPr="00E9084E">
        <w:rPr>
          <w:rFonts w:eastAsia="Calibri"/>
          <w:b/>
          <w:color w:val="000000"/>
          <w:szCs w:val="26"/>
        </w:rPr>
        <w:t>Reliability Standard VAR-001-</w:t>
      </w:r>
      <w:r w:rsidR="000B5C78">
        <w:rPr>
          <w:rFonts w:eastAsia="Calibri"/>
          <w:b/>
          <w:color w:val="000000"/>
          <w:szCs w:val="26"/>
        </w:rPr>
        <w:t>5</w:t>
      </w:r>
      <w:r w:rsidRPr="00E9084E">
        <w:rPr>
          <w:rFonts w:eastAsia="Calibri"/>
          <w:color w:val="000000"/>
          <w:szCs w:val="26"/>
        </w:rPr>
        <w:t xml:space="preserve"> </w:t>
      </w:r>
    </w:p>
    <w:p w:rsidRPr="00E9084E" w:rsidR="00C85F57" w:rsidP="00E9084E" w:rsidRDefault="00C85F57" w14:paraId="0EBAED94" w14:textId="1CDC43F0">
      <w:pPr>
        <w:autoSpaceDE w:val="0"/>
        <w:autoSpaceDN w:val="0"/>
        <w:adjustRightInd w:val="0"/>
        <w:spacing w:line="480" w:lineRule="auto"/>
        <w:rPr>
          <w:rFonts w:eastAsia="Calibri"/>
          <w:color w:val="000000"/>
          <w:szCs w:val="26"/>
        </w:rPr>
      </w:pPr>
      <w:r>
        <w:rPr>
          <w:rFonts w:eastAsia="Calibri"/>
          <w:color w:val="000000"/>
          <w:szCs w:val="26"/>
        </w:rPr>
        <w:t xml:space="preserve">This Reliability Standard requires </w:t>
      </w:r>
      <w:r w:rsidR="00704CE6">
        <w:rPr>
          <w:rFonts w:eastAsia="Calibri"/>
          <w:color w:val="000000"/>
          <w:szCs w:val="26"/>
        </w:rPr>
        <w:t>T</w:t>
      </w:r>
      <w:r>
        <w:rPr>
          <w:rFonts w:eastAsia="Calibri"/>
          <w:color w:val="000000"/>
          <w:szCs w:val="26"/>
        </w:rPr>
        <w:t xml:space="preserve">ransmission </w:t>
      </w:r>
      <w:r w:rsidR="00704CE6">
        <w:rPr>
          <w:rFonts w:eastAsia="Calibri"/>
          <w:color w:val="000000"/>
          <w:szCs w:val="26"/>
        </w:rPr>
        <w:t>O</w:t>
      </w:r>
      <w:r>
        <w:rPr>
          <w:rFonts w:eastAsia="Calibri"/>
          <w:color w:val="000000"/>
          <w:szCs w:val="26"/>
        </w:rPr>
        <w:t>perators to:</w:t>
      </w:r>
    </w:p>
    <w:p w:rsidRPr="00E9084E" w:rsidR="00E9084E" w:rsidP="00E9084E" w:rsidRDefault="00E9084E" w14:paraId="122FCBA9"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 xml:space="preserve">Specify a system-wide voltage schedule (which is either a range or a target value with an associated tolerance band) as part of its plan to operate within SOLs and IROLs, and to provide the voltage schedule to its Reliability Coordinator and adjacent Transmission Operators upon request (Requirement R1); </w:t>
      </w:r>
    </w:p>
    <w:p w:rsidRPr="00E9084E" w:rsidR="00E9084E" w:rsidP="00E9084E" w:rsidRDefault="00E9084E" w14:paraId="4EA4CAAA"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Schedule sufficient reactive resources to regulate voltage levels (Requirement R2);</w:t>
      </w:r>
    </w:p>
    <w:p w:rsidRPr="00E9084E" w:rsidR="00E9084E" w:rsidP="00E9084E" w:rsidRDefault="00E9084E" w14:paraId="22FFC569"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Operate or direct the operation of devices to regulate transmission voltage and reactive flows (Requirement R3);</w:t>
      </w:r>
    </w:p>
    <w:p w:rsidRPr="00E9084E" w:rsidR="00E9084E" w:rsidP="00E9084E" w:rsidRDefault="00E9084E" w14:paraId="494504F7" w14:textId="72CF7486">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Develop a set of criteria to exempt generators from certain requirements under Reliability Standard VAR-002-</w:t>
      </w:r>
      <w:r w:rsidR="000B5C78">
        <w:rPr>
          <w:rFonts w:eastAsia="Calibri"/>
          <w:color w:val="000000"/>
          <w:szCs w:val="26"/>
        </w:rPr>
        <w:t>4.1</w:t>
      </w:r>
      <w:r w:rsidRPr="00E9084E">
        <w:rPr>
          <w:rFonts w:eastAsia="Calibri"/>
          <w:color w:val="000000"/>
          <w:szCs w:val="26"/>
        </w:rPr>
        <w:t xml:space="preserve"> related to voltage or Reactive Power schedules, automatic voltage regulations, and notification (Requirement R4);</w:t>
      </w:r>
    </w:p>
    <w:p w:rsidRPr="00E9084E" w:rsidR="00E9084E" w:rsidP="00E9084E" w:rsidRDefault="00E9084E" w14:paraId="77DC5DEE"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Specify a voltage or Reactive Power schedule (which is either a range or a target value with an associated tolerance band) for generators at either the high or low voltage side of the generator step-up transformer, provide the schedule to the associated Generator Operator, direct the Generator Operator to comply with that schedule in automatic voltage control mode, provide the Generator Operator the notification requirements for deviating from the schedule, and, if requested, provide the Generator Operator the criteria used to develop the schedule (Requirement R5); and</w:t>
      </w:r>
    </w:p>
    <w:p w:rsidRPr="00C56745" w:rsidR="00E9084E" w:rsidP="00E9084E" w:rsidRDefault="00E9084E" w14:paraId="6359A28A" w14:textId="4215B2BB">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lastRenderedPageBreak/>
        <w:t xml:space="preserve">Communicate step-up transformer tap changes, the time frame for completion, and the justification for these changes to Generator Owners (Requirement R6). </w:t>
      </w:r>
    </w:p>
    <w:p w:rsidR="00E9084E" w:rsidP="00E9084E" w:rsidRDefault="00E9084E" w14:paraId="00BD74C8" w14:textId="34AFD3D0">
      <w:pPr>
        <w:autoSpaceDE w:val="0"/>
        <w:autoSpaceDN w:val="0"/>
        <w:adjustRightInd w:val="0"/>
        <w:spacing w:line="480" w:lineRule="auto"/>
        <w:rPr>
          <w:rFonts w:eastAsia="Calibri"/>
        </w:rPr>
      </w:pPr>
      <w:r w:rsidRPr="00E9084E">
        <w:rPr>
          <w:rFonts w:eastAsia="Calibri"/>
          <w:b/>
          <w:color w:val="000000"/>
          <w:szCs w:val="26"/>
        </w:rPr>
        <w:t>Reliability Standard VAR-002-</w:t>
      </w:r>
      <w:r w:rsidR="000B5C78">
        <w:rPr>
          <w:rFonts w:eastAsia="Calibri"/>
          <w:b/>
          <w:color w:val="000000"/>
          <w:szCs w:val="26"/>
        </w:rPr>
        <w:t>4.1</w:t>
      </w:r>
    </w:p>
    <w:p w:rsidR="005630EC" w:rsidP="00E9084E" w:rsidRDefault="00F663D3" w14:paraId="3E93D15A" w14:textId="77777777">
      <w:pPr>
        <w:autoSpaceDE w:val="0"/>
        <w:autoSpaceDN w:val="0"/>
        <w:adjustRightInd w:val="0"/>
        <w:spacing w:line="480" w:lineRule="auto"/>
        <w:rPr>
          <w:rFonts w:eastAsia="Calibri"/>
        </w:rPr>
      </w:pPr>
      <w:r>
        <w:rPr>
          <w:rFonts w:eastAsia="Calibri"/>
        </w:rPr>
        <w:t xml:space="preserve">This </w:t>
      </w:r>
      <w:r w:rsidR="005630EC">
        <w:rPr>
          <w:rFonts w:eastAsia="Calibri"/>
        </w:rPr>
        <w:t xml:space="preserve">Reliability Standard includes an </w:t>
      </w:r>
      <w:r>
        <w:rPr>
          <w:rFonts w:eastAsia="Calibri"/>
        </w:rPr>
        <w:t xml:space="preserve">information collection activity </w:t>
      </w:r>
      <w:r w:rsidR="003C68D8">
        <w:rPr>
          <w:rFonts w:eastAsia="Calibri"/>
        </w:rPr>
        <w:t xml:space="preserve">for “Requirement R1” and a separate </w:t>
      </w:r>
      <w:r w:rsidR="005630EC">
        <w:rPr>
          <w:rFonts w:eastAsia="Calibri"/>
        </w:rPr>
        <w:t>information collection activity</w:t>
      </w:r>
      <w:r w:rsidR="003C68D8">
        <w:rPr>
          <w:rFonts w:eastAsia="Calibri"/>
        </w:rPr>
        <w:t xml:space="preserve"> for “Requirements R2 through R6.”</w:t>
      </w:r>
      <w:r w:rsidR="005630EC">
        <w:rPr>
          <w:rFonts w:eastAsia="Calibri"/>
        </w:rPr>
        <w:t xml:space="preserve">  </w:t>
      </w:r>
    </w:p>
    <w:p w:rsidRPr="00F80821" w:rsidR="00F663D3" w:rsidP="00E9084E" w:rsidRDefault="005630EC" w14:paraId="01B12B22" w14:textId="47D34C7B">
      <w:pPr>
        <w:autoSpaceDE w:val="0"/>
        <w:autoSpaceDN w:val="0"/>
        <w:adjustRightInd w:val="0"/>
        <w:spacing w:line="480" w:lineRule="auto"/>
        <w:rPr>
          <w:rFonts w:eastAsia="Calibri"/>
        </w:rPr>
      </w:pPr>
      <w:r>
        <w:rPr>
          <w:rFonts w:eastAsia="Calibri"/>
        </w:rPr>
        <w:t>This Reliability Standard requires Generator Operators to:</w:t>
      </w:r>
    </w:p>
    <w:p w:rsidRPr="00E9084E" w:rsidR="00E9084E" w:rsidP="00E9084E" w:rsidRDefault="00E9084E" w14:paraId="7F35DEAA" w14:textId="5DF01393">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Operate each of its generators connected to the interconnected transmission system in automatic voltage control mode or in a different control mode as instructed by the Transmission Operator, unless the Generator Operator (1) is exempted pursuant to the criteria developed under VAR-001-</w:t>
      </w:r>
      <w:r w:rsidR="000B5C78">
        <w:rPr>
          <w:rFonts w:eastAsia="Calibri"/>
          <w:color w:val="000000"/>
          <w:szCs w:val="26"/>
        </w:rPr>
        <w:t>5</w:t>
      </w:r>
      <w:r w:rsidRPr="00E9084E">
        <w:rPr>
          <w:rFonts w:eastAsia="Calibri"/>
          <w:color w:val="000000"/>
          <w:szCs w:val="26"/>
        </w:rPr>
        <w:t>, Requirement R4, or (2) makes certain notifications to the Transmission Operator specifying the reasons it cannot so operate (Requirement R1);</w:t>
      </w:r>
    </w:p>
    <w:p w:rsidRPr="00E9084E" w:rsidR="00E9084E" w:rsidP="00E9084E" w:rsidRDefault="00E9084E" w14:paraId="50AC20EF" w14:textId="151D3064">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Maintain the Transmission Operator’s generator voltage or Reactive Power schedule, unless the Generator Operator (1) is exempted pursuant to the criteria developed under VAR-001-</w:t>
      </w:r>
      <w:r w:rsidR="000B5C78">
        <w:rPr>
          <w:rFonts w:eastAsia="Calibri"/>
          <w:color w:val="000000"/>
          <w:szCs w:val="26"/>
        </w:rPr>
        <w:t>5</w:t>
      </w:r>
      <w:r w:rsidRPr="00E9084E">
        <w:rPr>
          <w:rFonts w:eastAsia="Calibri"/>
          <w:color w:val="000000"/>
          <w:szCs w:val="26"/>
        </w:rPr>
        <w:t>, Requirement R4, or (2) complies with the notification requirements for deviations as established by the Transmission Owner pursuant to VAR-001-</w:t>
      </w:r>
      <w:r w:rsidR="000B5C78">
        <w:rPr>
          <w:rFonts w:eastAsia="Calibri"/>
          <w:color w:val="000000"/>
          <w:szCs w:val="26"/>
        </w:rPr>
        <w:t>5</w:t>
      </w:r>
      <w:r w:rsidRPr="00E9084E">
        <w:rPr>
          <w:rFonts w:eastAsia="Calibri"/>
          <w:color w:val="000000"/>
          <w:szCs w:val="26"/>
        </w:rPr>
        <w:t>, Requirement R5 (Requirement R2);</w:t>
      </w:r>
    </w:p>
    <w:p w:rsidRPr="00E9084E" w:rsidR="00E9084E" w:rsidP="00E9084E" w:rsidRDefault="00E9084E" w14:paraId="76785BE5"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Notify the Transmission Operator of a change in status of its voltage controlling device within 30 minutes, unless the status is restored within that time period (Requirement R3); and</w:t>
      </w:r>
    </w:p>
    <w:p w:rsidRPr="00E9084E" w:rsidR="00E9084E" w:rsidP="00E9084E" w:rsidRDefault="00E9084E" w14:paraId="026A4FB0" w14:textId="5C94A07B">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lastRenderedPageBreak/>
        <w:t>Notify the Transmission Operator of a change in reactive capability due to factors other than those described in VAR-002-</w:t>
      </w:r>
      <w:r w:rsidR="000B5C78">
        <w:rPr>
          <w:rFonts w:eastAsia="Calibri"/>
          <w:color w:val="000000"/>
          <w:szCs w:val="26"/>
        </w:rPr>
        <w:t>4.1</w:t>
      </w:r>
      <w:r w:rsidRPr="00E9084E">
        <w:rPr>
          <w:rFonts w:eastAsia="Calibri"/>
          <w:color w:val="000000"/>
          <w:szCs w:val="26"/>
        </w:rPr>
        <w:t>, Requirement R3 within 30 minutes unless the capability has been restored during that time period (Requirement R4).</w:t>
      </w:r>
    </w:p>
    <w:p w:rsidRPr="00E9084E" w:rsidR="00E9084E" w:rsidP="00E9084E" w:rsidRDefault="00E9084E" w14:paraId="437FD134"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Provide information on its step-up transformers and auxiliary transformers within 30 days of a request from the Transmission Operator or Transmission Planner (Requirement R5); and</w:t>
      </w:r>
    </w:p>
    <w:p w:rsidRPr="00E9084E" w:rsidR="00E9084E" w:rsidP="00E9084E" w:rsidRDefault="00E9084E" w14:paraId="19898F90"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Comply with the Transmission Operator’s step-up transformer tap change directives unless compliance would violate safety, an equipment rating, or applicable laws, rules or regulations (Requirement R6).</w:t>
      </w:r>
    </w:p>
    <w:p w:rsidR="00E9084E" w:rsidP="00E9084E" w:rsidRDefault="00E9084E" w14:paraId="17FBE396" w14:textId="77777777">
      <w:pPr>
        <w:spacing w:line="480" w:lineRule="auto"/>
      </w:pPr>
      <w:r>
        <w:rPr>
          <w:i/>
          <w:szCs w:val="26"/>
        </w:rPr>
        <w:t xml:space="preserve">Type of Respondents: </w:t>
      </w:r>
      <w:r>
        <w:rPr>
          <w:szCs w:val="26"/>
        </w:rPr>
        <w:t>Generator owners and transmission operators.</w:t>
      </w:r>
      <w:r>
        <w:t xml:space="preserve"> </w:t>
      </w:r>
    </w:p>
    <w:p w:rsidR="00CF0F40" w:rsidP="00C45F17" w:rsidRDefault="00E9084E" w14:paraId="3EF24EFD" w14:textId="70CD2789">
      <w:pPr>
        <w:spacing w:line="480" w:lineRule="auto"/>
      </w:pPr>
      <w:r>
        <w:rPr>
          <w:i/>
        </w:rPr>
        <w:t>Estimate of Annual Burden</w:t>
      </w:r>
      <w:r>
        <w:rPr>
          <w:rStyle w:val="FootnoteReference"/>
          <w:i/>
        </w:rPr>
        <w:footnoteReference w:id="5"/>
      </w:r>
      <w:r>
        <w:rPr>
          <w:i/>
        </w:rPr>
        <w:t xml:space="preserve">: </w:t>
      </w:r>
      <w:r>
        <w:t>The Commission estimates the annual public reporting burden for the information collection as:</w:t>
      </w: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27"/>
        <w:gridCol w:w="1463"/>
        <w:gridCol w:w="1463"/>
        <w:gridCol w:w="1378"/>
        <w:gridCol w:w="1280"/>
        <w:gridCol w:w="1466"/>
        <w:gridCol w:w="1228"/>
      </w:tblGrid>
      <w:tr w:rsidRPr="00CF0F40" w:rsidR="00CF0F40" w:rsidTr="00CF0F40" w14:paraId="6809F811"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CF0F40" w:rsidR="00CF0F40" w:rsidP="00CF0F40" w:rsidRDefault="00CF0F40" w14:paraId="4DAFB044" w14:textId="77777777">
            <w:pPr>
              <w:jc w:val="center"/>
              <w:rPr>
                <w:rFonts w:eastAsia="Calibri"/>
                <w:b/>
                <w:sz w:val="20"/>
                <w:szCs w:val="20"/>
              </w:rPr>
            </w:pPr>
            <w:r w:rsidRPr="00CF0F40">
              <w:rPr>
                <w:rFonts w:eastAsia="Calibri"/>
                <w:b/>
                <w:sz w:val="20"/>
                <w:szCs w:val="20"/>
              </w:rPr>
              <w:t>FERC-725X, Mandatory Reliability Standards: Voltage and Reactive (VAR) Standards</w:t>
            </w:r>
          </w:p>
        </w:tc>
      </w:tr>
      <w:tr w:rsidRPr="00CF0F40" w:rsidR="00CF0F40" w:rsidTr="00CF0F40" w14:paraId="3269CE7E"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D9D9D9"/>
          </w:tcPr>
          <w:p w:rsidRPr="00CF0F40" w:rsidR="00CF0F40" w:rsidP="00CF0F40" w:rsidRDefault="00CF0F40" w14:paraId="617E9C6F" w14:textId="77777777">
            <w:pPr>
              <w:jc w:val="center"/>
              <w:rPr>
                <w:rFonts w:eastAsia="Calibri"/>
                <w:b/>
                <w:sz w:val="20"/>
                <w:szCs w:val="20"/>
              </w:rPr>
            </w:pP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F0F40" w:rsidR="00CF0F40" w:rsidP="00CF0F40" w:rsidRDefault="00CF0F40" w14:paraId="51443C9E" w14:textId="77777777">
            <w:pPr>
              <w:jc w:val="center"/>
              <w:rPr>
                <w:rFonts w:eastAsia="Calibri"/>
                <w:b/>
                <w:sz w:val="20"/>
                <w:szCs w:val="20"/>
              </w:rPr>
            </w:pPr>
            <w:r w:rsidRPr="00CF0F40">
              <w:rPr>
                <w:rFonts w:eastAsia="Calibri"/>
                <w:b/>
                <w:sz w:val="20"/>
                <w:szCs w:val="20"/>
              </w:rPr>
              <w:t>Number of Respondents</w:t>
            </w:r>
            <w:r w:rsidRPr="00CF0F40">
              <w:rPr>
                <w:rFonts w:eastAsia="Calibri"/>
                <w:b/>
                <w:szCs w:val="26"/>
                <w:vertAlign w:val="superscript"/>
              </w:rPr>
              <w:footnoteReference w:id="6"/>
            </w:r>
            <w:r w:rsidRPr="00CF0F40">
              <w:rPr>
                <w:rFonts w:eastAsia="Calibri"/>
                <w:b/>
                <w:sz w:val="20"/>
                <w:szCs w:val="20"/>
              </w:rPr>
              <w:br/>
              <w:t>(1)</w:t>
            </w: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F0F40" w:rsidR="00CF0F40" w:rsidP="00CF0F40" w:rsidRDefault="00CF0F40" w14:paraId="41D661A0" w14:textId="77777777">
            <w:pPr>
              <w:jc w:val="center"/>
              <w:rPr>
                <w:rFonts w:eastAsia="Calibri"/>
                <w:b/>
                <w:sz w:val="20"/>
                <w:szCs w:val="20"/>
              </w:rPr>
            </w:pPr>
            <w:r w:rsidRPr="00CF0F40">
              <w:rPr>
                <w:rFonts w:eastAsia="Calibri"/>
                <w:b/>
                <w:sz w:val="20"/>
                <w:szCs w:val="20"/>
              </w:rPr>
              <w:t>Annual Number of Responses per Respondent</w:t>
            </w:r>
          </w:p>
          <w:p w:rsidRPr="00CF0F40" w:rsidR="00CF0F40" w:rsidP="00CF0F40" w:rsidRDefault="00CF0F40" w14:paraId="586C0400" w14:textId="77777777">
            <w:pPr>
              <w:jc w:val="center"/>
              <w:rPr>
                <w:rFonts w:eastAsia="Calibri"/>
                <w:b/>
                <w:sz w:val="20"/>
                <w:szCs w:val="20"/>
              </w:rPr>
            </w:pPr>
            <w:r w:rsidRPr="00CF0F40">
              <w:rPr>
                <w:rFonts w:eastAsia="Calibri"/>
                <w:b/>
                <w:sz w:val="20"/>
                <w:szCs w:val="20"/>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F0F40" w:rsidR="00CF0F40" w:rsidP="00CF0F40" w:rsidRDefault="00CF0F40" w14:paraId="42E25BC7" w14:textId="77777777">
            <w:pPr>
              <w:jc w:val="center"/>
              <w:rPr>
                <w:rFonts w:eastAsia="Calibri"/>
                <w:b/>
                <w:sz w:val="20"/>
                <w:szCs w:val="20"/>
              </w:rPr>
            </w:pPr>
            <w:r w:rsidRPr="00CF0F40">
              <w:rPr>
                <w:rFonts w:eastAsia="Calibri"/>
                <w:b/>
                <w:sz w:val="20"/>
                <w:szCs w:val="20"/>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F0F40" w:rsidR="00CF0F40" w:rsidP="00CF0F40" w:rsidRDefault="00CF0F40" w14:paraId="00E7AABA" w14:textId="77777777">
            <w:pPr>
              <w:jc w:val="center"/>
              <w:rPr>
                <w:rFonts w:eastAsia="Calibri"/>
                <w:b/>
                <w:sz w:val="20"/>
                <w:szCs w:val="20"/>
              </w:rPr>
            </w:pPr>
            <w:r w:rsidRPr="00CF0F40">
              <w:rPr>
                <w:rFonts w:eastAsia="Calibri"/>
                <w:b/>
                <w:sz w:val="20"/>
                <w:szCs w:val="20"/>
              </w:rPr>
              <w:t>Average Burden &amp; Cost Per Response</w:t>
            </w:r>
            <w:r w:rsidRPr="00CF0F40">
              <w:rPr>
                <w:rFonts w:eastAsia="Calibri"/>
                <w:b/>
                <w:szCs w:val="26"/>
                <w:vertAlign w:val="superscript"/>
              </w:rPr>
              <w:footnoteReference w:id="7"/>
            </w:r>
          </w:p>
          <w:p w:rsidRPr="00CF0F40" w:rsidR="00CF0F40" w:rsidP="00CF0F40" w:rsidRDefault="00CF0F40" w14:paraId="528D5558" w14:textId="77777777">
            <w:pPr>
              <w:jc w:val="center"/>
              <w:rPr>
                <w:rFonts w:eastAsia="Calibri"/>
                <w:b/>
                <w:sz w:val="20"/>
                <w:szCs w:val="20"/>
              </w:rPr>
            </w:pPr>
            <w:r w:rsidRPr="00CF0F40">
              <w:rPr>
                <w:rFonts w:eastAsia="Calibri"/>
                <w:b/>
                <w:sz w:val="20"/>
                <w:szCs w:val="20"/>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F0F40" w:rsidR="00CF0F40" w:rsidP="00CF0F40" w:rsidRDefault="00CF0F40" w14:paraId="130FFE85" w14:textId="77777777">
            <w:pPr>
              <w:jc w:val="center"/>
              <w:rPr>
                <w:rFonts w:eastAsia="Calibri"/>
                <w:b/>
                <w:sz w:val="20"/>
                <w:szCs w:val="20"/>
              </w:rPr>
            </w:pPr>
            <w:r w:rsidRPr="00CF0F40">
              <w:rPr>
                <w:rFonts w:eastAsia="Calibri"/>
                <w:b/>
                <w:sz w:val="20"/>
                <w:szCs w:val="20"/>
              </w:rPr>
              <w:t>Total Annual Burden Hours &amp; Total Annual Cost</w:t>
            </w:r>
          </w:p>
          <w:p w:rsidRPr="00CF0F40" w:rsidR="00CF0F40" w:rsidP="00CF0F40" w:rsidRDefault="00CF0F40" w14:paraId="67A3E252" w14:textId="77777777">
            <w:pPr>
              <w:jc w:val="center"/>
              <w:rPr>
                <w:rFonts w:eastAsia="Calibri"/>
                <w:b/>
                <w:sz w:val="20"/>
                <w:szCs w:val="20"/>
              </w:rPr>
            </w:pPr>
            <w:r w:rsidRPr="00CF0F40">
              <w:rPr>
                <w:rFonts w:eastAsia="Calibri"/>
                <w:b/>
                <w:sz w:val="20"/>
                <w:szCs w:val="20"/>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F0F40" w:rsidR="00CF0F40" w:rsidP="00CF0F40" w:rsidRDefault="00CF0F40" w14:paraId="152E51DD" w14:textId="77777777">
            <w:pPr>
              <w:jc w:val="center"/>
              <w:rPr>
                <w:rFonts w:eastAsia="Calibri"/>
                <w:b/>
                <w:sz w:val="20"/>
                <w:szCs w:val="20"/>
              </w:rPr>
            </w:pPr>
            <w:r w:rsidRPr="00CF0F40">
              <w:rPr>
                <w:rFonts w:eastAsia="Calibri"/>
                <w:b/>
                <w:sz w:val="20"/>
                <w:szCs w:val="20"/>
              </w:rPr>
              <w:t>Cost per Respondent</w:t>
            </w:r>
          </w:p>
          <w:p w:rsidRPr="00CF0F40" w:rsidR="00CF0F40" w:rsidP="00CF0F40" w:rsidRDefault="00CF0F40" w14:paraId="2D07383E" w14:textId="77777777">
            <w:pPr>
              <w:jc w:val="center"/>
              <w:rPr>
                <w:rFonts w:eastAsia="Calibri"/>
                <w:b/>
                <w:sz w:val="20"/>
                <w:szCs w:val="20"/>
              </w:rPr>
            </w:pPr>
            <w:r w:rsidRPr="00CF0F40">
              <w:rPr>
                <w:rFonts w:eastAsia="Calibri"/>
                <w:b/>
                <w:sz w:val="20"/>
                <w:szCs w:val="20"/>
              </w:rPr>
              <w:t xml:space="preserve"> ($)</w:t>
            </w:r>
          </w:p>
          <w:p w:rsidRPr="00CF0F40" w:rsidR="00CF0F40" w:rsidP="00CF0F40" w:rsidRDefault="00CF0F40" w14:paraId="09057BC4" w14:textId="77777777">
            <w:pPr>
              <w:jc w:val="center"/>
              <w:rPr>
                <w:rFonts w:eastAsia="Calibri"/>
                <w:b/>
                <w:sz w:val="20"/>
                <w:szCs w:val="20"/>
              </w:rPr>
            </w:pPr>
            <w:r w:rsidRPr="00CF0F40">
              <w:rPr>
                <w:rFonts w:eastAsia="Calibri"/>
                <w:b/>
                <w:sz w:val="20"/>
                <w:szCs w:val="20"/>
              </w:rPr>
              <w:t>(5)÷(1)</w:t>
            </w:r>
          </w:p>
        </w:tc>
      </w:tr>
      <w:tr w:rsidRPr="00CF0F40" w:rsidR="00CF0F40" w:rsidTr="00CF0F40" w14:paraId="272088E2"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20238BC5" w14:textId="6FE1212A">
            <w:pPr>
              <w:rPr>
                <w:rFonts w:eastAsia="Calibri"/>
                <w:sz w:val="20"/>
                <w:szCs w:val="20"/>
              </w:rPr>
            </w:pPr>
            <w:r w:rsidRPr="00CF0F40">
              <w:rPr>
                <w:rFonts w:eastAsia="Calibri"/>
                <w:sz w:val="20"/>
                <w:szCs w:val="20"/>
              </w:rPr>
              <w:t>VAR-001-</w:t>
            </w:r>
            <w:r w:rsidR="000B5C78">
              <w:rPr>
                <w:rFonts w:eastAsia="Calibri"/>
                <w:sz w:val="20"/>
                <w:szCs w:val="20"/>
              </w:rPr>
              <w:t>5</w:t>
            </w:r>
          </w:p>
          <w:p w:rsidRPr="00CF0F40" w:rsidR="00CF0F40" w:rsidP="00CF0F40" w:rsidRDefault="00CF0F40" w14:paraId="0EB5CFCC" w14:textId="77777777">
            <w:pPr>
              <w:rPr>
                <w:rFonts w:eastAsia="Calibri"/>
                <w:sz w:val="20"/>
                <w:szCs w:val="20"/>
              </w:rPr>
            </w:pPr>
            <w:r w:rsidRPr="00CF0F40">
              <w:rPr>
                <w:rFonts w:eastAsia="Calibri"/>
                <w:sz w:val="20"/>
                <w:szCs w:val="20"/>
              </w:rPr>
              <w:t>(Requirements R1-R6)</w:t>
            </w:r>
          </w:p>
        </w:tc>
        <w:tc>
          <w:tcPr>
            <w:tcW w:w="746" w:type="pct"/>
            <w:tcBorders>
              <w:top w:val="single" w:color="auto" w:sz="4" w:space="0"/>
              <w:left w:val="single" w:color="auto" w:sz="4" w:space="0"/>
              <w:bottom w:val="single" w:color="auto" w:sz="4" w:space="0"/>
              <w:right w:val="single" w:color="auto" w:sz="4" w:space="0"/>
            </w:tcBorders>
          </w:tcPr>
          <w:p w:rsidRPr="00CF0F40" w:rsidR="00CF0F40" w:rsidP="00CF0F40" w:rsidRDefault="00C02547" w14:paraId="6FF186AB" w14:textId="56B7D0F6">
            <w:pPr>
              <w:jc w:val="right"/>
              <w:rPr>
                <w:rFonts w:eastAsia="Calibri"/>
                <w:sz w:val="20"/>
                <w:szCs w:val="20"/>
              </w:rPr>
            </w:pPr>
            <w:r>
              <w:rPr>
                <w:rFonts w:eastAsia="Calibri"/>
                <w:sz w:val="20"/>
                <w:szCs w:val="20"/>
              </w:rPr>
              <w:t>167</w:t>
            </w:r>
            <w:r w:rsidRPr="00CF0F40">
              <w:rPr>
                <w:rFonts w:eastAsia="Calibri"/>
                <w:sz w:val="20"/>
                <w:szCs w:val="20"/>
              </w:rPr>
              <w:t xml:space="preserve"> </w:t>
            </w:r>
            <w:r w:rsidRPr="00CF0F40" w:rsidR="00CF0F40">
              <w:rPr>
                <w:rFonts w:eastAsia="Calibri"/>
                <w:sz w:val="20"/>
                <w:szCs w:val="20"/>
              </w:rPr>
              <w:t>(TOP)</w:t>
            </w:r>
          </w:p>
          <w:p w:rsidRPr="00CF0F40" w:rsidR="00CF0F40" w:rsidP="00CF0F40" w:rsidRDefault="00CF0F40" w14:paraId="1FC84BDA" w14:textId="77777777">
            <w:pPr>
              <w:jc w:val="right"/>
              <w:rPr>
                <w:rFonts w:eastAsia="Calibri"/>
                <w:sz w:val="20"/>
                <w:szCs w:val="20"/>
              </w:rPr>
            </w:pPr>
          </w:p>
        </w:tc>
        <w:tc>
          <w:tcPr>
            <w:tcW w:w="746"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6212BC3D" w14:textId="77777777">
            <w:pPr>
              <w:jc w:val="right"/>
              <w:rPr>
                <w:rFonts w:eastAsia="Calibri"/>
                <w:sz w:val="20"/>
                <w:szCs w:val="20"/>
              </w:rPr>
            </w:pPr>
            <w:r w:rsidRPr="00CF0F40">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02547" w14:paraId="03CC6C65" w14:textId="64D843FC">
            <w:pPr>
              <w:jc w:val="right"/>
              <w:rPr>
                <w:rFonts w:eastAsia="Calibri"/>
                <w:sz w:val="20"/>
                <w:szCs w:val="20"/>
              </w:rPr>
            </w:pPr>
            <w:r w:rsidRPr="00CF0F40">
              <w:rPr>
                <w:rFonts w:eastAsia="Calibri"/>
                <w:sz w:val="20"/>
                <w:szCs w:val="20"/>
              </w:rPr>
              <w:t>1</w:t>
            </w:r>
            <w:r>
              <w:rPr>
                <w:rFonts w:eastAsia="Calibri"/>
                <w:sz w:val="20"/>
                <w:szCs w:val="20"/>
              </w:rPr>
              <w:t>67</w:t>
            </w:r>
          </w:p>
        </w:tc>
        <w:tc>
          <w:tcPr>
            <w:tcW w:w="654"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5467184F" w14:textId="77777777">
            <w:pPr>
              <w:jc w:val="right"/>
              <w:rPr>
                <w:rFonts w:eastAsia="Calibri"/>
                <w:sz w:val="20"/>
                <w:szCs w:val="20"/>
              </w:rPr>
            </w:pPr>
            <w:r w:rsidRPr="00CF0F40">
              <w:rPr>
                <w:rFonts w:eastAsia="Calibri"/>
                <w:sz w:val="20"/>
                <w:szCs w:val="20"/>
              </w:rPr>
              <w:t>160 hrs.;</w:t>
            </w:r>
          </w:p>
          <w:p w:rsidRPr="00CF0F40" w:rsidR="00CF0F40" w:rsidP="00CF0F40" w:rsidRDefault="00CF0F40" w14:paraId="121C82B1" w14:textId="585D94F3">
            <w:pPr>
              <w:jc w:val="right"/>
              <w:rPr>
                <w:rFonts w:eastAsia="Calibri"/>
                <w:sz w:val="20"/>
                <w:szCs w:val="20"/>
              </w:rPr>
            </w:pPr>
            <w:r w:rsidRPr="00CF0F40">
              <w:rPr>
                <w:rFonts w:eastAsia="Calibri"/>
                <w:sz w:val="20"/>
                <w:szCs w:val="20"/>
              </w:rPr>
              <w:t>$1</w:t>
            </w:r>
            <w:r w:rsidR="004E683E">
              <w:rPr>
                <w:rFonts w:eastAsia="Calibri"/>
                <w:sz w:val="20"/>
                <w:szCs w:val="20"/>
              </w:rPr>
              <w:t>1,</w:t>
            </w:r>
            <w:r w:rsidR="00C2133B">
              <w:rPr>
                <w:rFonts w:eastAsia="Calibri"/>
                <w:sz w:val="20"/>
                <w:szCs w:val="20"/>
              </w:rPr>
              <w:t>721.73</w:t>
            </w:r>
          </w:p>
        </w:tc>
        <w:tc>
          <w:tcPr>
            <w:tcW w:w="657" w:type="pct"/>
            <w:tcBorders>
              <w:top w:val="single" w:color="auto" w:sz="4" w:space="0"/>
              <w:left w:val="single" w:color="auto" w:sz="4" w:space="0"/>
              <w:bottom w:val="single" w:color="auto" w:sz="4" w:space="0"/>
              <w:right w:val="single" w:color="auto" w:sz="4" w:space="0"/>
            </w:tcBorders>
            <w:hideMark/>
          </w:tcPr>
          <w:p w:rsidRPr="00CF0F40" w:rsidR="00CF0F40" w:rsidP="00CF0F40" w:rsidRDefault="00A75AAA" w14:paraId="6ACE7AAB" w14:textId="57B50A7D">
            <w:pPr>
              <w:jc w:val="right"/>
              <w:rPr>
                <w:rFonts w:eastAsia="Calibri"/>
                <w:sz w:val="20"/>
                <w:szCs w:val="20"/>
              </w:rPr>
            </w:pPr>
            <w:r>
              <w:rPr>
                <w:rFonts w:eastAsia="Calibri"/>
                <w:sz w:val="20"/>
                <w:szCs w:val="20"/>
              </w:rPr>
              <w:t>26,887</w:t>
            </w:r>
            <w:r w:rsidRPr="00CF0F40" w:rsidR="00CF0F40">
              <w:rPr>
                <w:rFonts w:eastAsia="Calibri"/>
                <w:sz w:val="20"/>
                <w:szCs w:val="20"/>
              </w:rPr>
              <w:t xml:space="preserve"> hrs.;</w:t>
            </w:r>
          </w:p>
          <w:p w:rsidRPr="00CF0F40" w:rsidR="00CF0F40" w:rsidP="00CF0F40" w:rsidRDefault="00CF0F40" w14:paraId="0E44DF12" w14:textId="19280592">
            <w:pPr>
              <w:jc w:val="right"/>
              <w:rPr>
                <w:rFonts w:eastAsia="Calibri"/>
                <w:sz w:val="20"/>
                <w:szCs w:val="20"/>
              </w:rPr>
            </w:pPr>
            <w:r w:rsidRPr="00CF0F40">
              <w:rPr>
                <w:rFonts w:eastAsia="Calibri"/>
                <w:sz w:val="20"/>
                <w:szCs w:val="20"/>
              </w:rPr>
              <w:t>$</w:t>
            </w:r>
            <w:r w:rsidR="00373A2E">
              <w:rPr>
                <w:rFonts w:eastAsia="Calibri"/>
                <w:sz w:val="20"/>
                <w:szCs w:val="20"/>
              </w:rPr>
              <w:t>1,8</w:t>
            </w:r>
            <w:r w:rsidR="00C2133B">
              <w:rPr>
                <w:rFonts w:eastAsia="Calibri"/>
                <w:sz w:val="20"/>
                <w:szCs w:val="20"/>
              </w:rPr>
              <w:t>87,198.53</w:t>
            </w:r>
            <w:r w:rsidRPr="00CF0F40">
              <w:rPr>
                <w:rFonts w:eastAsia="Calibri"/>
                <w:sz w:val="20"/>
                <w:szCs w:val="20"/>
              </w:rPr>
              <w:t xml:space="preserve"> </w:t>
            </w:r>
          </w:p>
        </w:tc>
        <w:tc>
          <w:tcPr>
            <w:tcW w:w="616"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032E6D37" w14:textId="2F6A7CF8">
            <w:pPr>
              <w:jc w:val="right"/>
              <w:rPr>
                <w:rFonts w:eastAsia="Calibri"/>
                <w:sz w:val="20"/>
                <w:szCs w:val="20"/>
              </w:rPr>
            </w:pPr>
            <w:r w:rsidRPr="00CF0F40">
              <w:rPr>
                <w:rFonts w:eastAsia="Calibri"/>
                <w:sz w:val="20"/>
                <w:szCs w:val="20"/>
              </w:rPr>
              <w:t>$1</w:t>
            </w:r>
            <w:r w:rsidR="004E683E">
              <w:rPr>
                <w:rFonts w:eastAsia="Calibri"/>
                <w:sz w:val="20"/>
                <w:szCs w:val="20"/>
              </w:rPr>
              <w:t>1,</w:t>
            </w:r>
            <w:r w:rsidR="00C2133B">
              <w:rPr>
                <w:rFonts w:eastAsia="Calibri"/>
                <w:sz w:val="20"/>
                <w:szCs w:val="20"/>
              </w:rPr>
              <w:t>721.73</w:t>
            </w:r>
          </w:p>
        </w:tc>
      </w:tr>
      <w:tr w:rsidRPr="00CF0F40" w:rsidR="00CF0F40" w:rsidTr="00CF0F40" w14:paraId="552A1FF4"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26301EE5" w14:textId="77777777">
            <w:pPr>
              <w:rPr>
                <w:rFonts w:eastAsia="Calibri"/>
                <w:sz w:val="20"/>
                <w:szCs w:val="20"/>
              </w:rPr>
            </w:pPr>
            <w:r w:rsidRPr="00CF0F40">
              <w:rPr>
                <w:rFonts w:eastAsia="Calibri"/>
                <w:sz w:val="20"/>
                <w:szCs w:val="20"/>
              </w:rPr>
              <w:t>VAR-002-4.1</w:t>
            </w:r>
          </w:p>
          <w:p w:rsidRPr="00CF0F40" w:rsidR="00CF0F40" w:rsidP="00CF0F40" w:rsidRDefault="00CF0F40" w14:paraId="1F1E0B0A" w14:textId="77777777">
            <w:pPr>
              <w:rPr>
                <w:rFonts w:eastAsia="Calibri"/>
                <w:sz w:val="20"/>
                <w:szCs w:val="20"/>
              </w:rPr>
            </w:pPr>
            <w:r w:rsidRPr="00CF0F40">
              <w:rPr>
                <w:rFonts w:eastAsia="Calibri"/>
                <w:sz w:val="20"/>
                <w:szCs w:val="20"/>
              </w:rPr>
              <w:t>(Requirement R1)</w:t>
            </w:r>
          </w:p>
        </w:tc>
        <w:tc>
          <w:tcPr>
            <w:tcW w:w="746"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02547" w14:paraId="5E9A3BEC" w14:textId="23568B5A">
            <w:pPr>
              <w:jc w:val="right"/>
              <w:rPr>
                <w:rFonts w:eastAsia="Calibri"/>
                <w:sz w:val="20"/>
                <w:szCs w:val="20"/>
              </w:rPr>
            </w:pPr>
            <w:r>
              <w:rPr>
                <w:rFonts w:eastAsia="Calibri"/>
                <w:sz w:val="20"/>
                <w:szCs w:val="20"/>
              </w:rPr>
              <w:t>937</w:t>
            </w:r>
            <w:r w:rsidRPr="00CF0F40">
              <w:rPr>
                <w:rFonts w:eastAsia="Calibri"/>
                <w:sz w:val="20"/>
                <w:szCs w:val="20"/>
              </w:rPr>
              <w:t xml:space="preserve"> </w:t>
            </w:r>
            <w:r w:rsidRPr="00CF0F40" w:rsidR="00CF0F40">
              <w:rPr>
                <w:rFonts w:eastAsia="Calibri"/>
                <w:sz w:val="20"/>
                <w:szCs w:val="20"/>
              </w:rPr>
              <w:t>(GOP)</w:t>
            </w:r>
          </w:p>
        </w:tc>
        <w:tc>
          <w:tcPr>
            <w:tcW w:w="746"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5DF9BCE7" w14:textId="77777777">
            <w:pPr>
              <w:jc w:val="right"/>
              <w:rPr>
                <w:rFonts w:eastAsia="Calibri"/>
                <w:sz w:val="20"/>
                <w:szCs w:val="20"/>
              </w:rPr>
            </w:pPr>
            <w:r w:rsidRPr="00CF0F40">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02547" w14:paraId="50D0C089" w14:textId="4A2CC559">
            <w:pPr>
              <w:jc w:val="right"/>
              <w:rPr>
                <w:rFonts w:eastAsia="Calibri"/>
                <w:sz w:val="20"/>
                <w:szCs w:val="20"/>
              </w:rPr>
            </w:pPr>
            <w:r w:rsidRPr="00CF0F40">
              <w:rPr>
                <w:rFonts w:eastAsia="Calibri"/>
                <w:sz w:val="20"/>
                <w:szCs w:val="20"/>
              </w:rPr>
              <w:t>9</w:t>
            </w:r>
            <w:r>
              <w:rPr>
                <w:rFonts w:eastAsia="Calibri"/>
                <w:sz w:val="20"/>
                <w:szCs w:val="20"/>
              </w:rPr>
              <w:t>37</w:t>
            </w:r>
          </w:p>
        </w:tc>
        <w:tc>
          <w:tcPr>
            <w:tcW w:w="654"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737720B5" w14:textId="77777777">
            <w:pPr>
              <w:jc w:val="right"/>
              <w:rPr>
                <w:rFonts w:eastAsia="Calibri"/>
                <w:sz w:val="20"/>
                <w:szCs w:val="20"/>
              </w:rPr>
            </w:pPr>
            <w:r w:rsidRPr="00CF0F40">
              <w:rPr>
                <w:rFonts w:eastAsia="Calibri"/>
                <w:sz w:val="20"/>
                <w:szCs w:val="20"/>
              </w:rPr>
              <w:t>80 hrs.;</w:t>
            </w:r>
          </w:p>
          <w:p w:rsidRPr="00CF0F40" w:rsidR="00CF0F40" w:rsidP="00CF0F40" w:rsidRDefault="00CF0F40" w14:paraId="3C2EB0E5" w14:textId="07572F63">
            <w:pPr>
              <w:jc w:val="right"/>
              <w:rPr>
                <w:rFonts w:eastAsia="Calibri"/>
                <w:sz w:val="20"/>
                <w:szCs w:val="20"/>
              </w:rPr>
            </w:pPr>
            <w:r w:rsidRPr="00CF0F40">
              <w:rPr>
                <w:rFonts w:eastAsia="Calibri"/>
                <w:sz w:val="20"/>
                <w:szCs w:val="20"/>
              </w:rPr>
              <w:t>$5,</w:t>
            </w:r>
            <w:r w:rsidR="004E683E">
              <w:rPr>
                <w:rFonts w:eastAsia="Calibri"/>
                <w:sz w:val="20"/>
                <w:szCs w:val="20"/>
              </w:rPr>
              <w:t>615.20</w:t>
            </w:r>
          </w:p>
        </w:tc>
        <w:tc>
          <w:tcPr>
            <w:tcW w:w="657"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664525D1" w14:textId="329BD660">
            <w:pPr>
              <w:jc w:val="right"/>
              <w:rPr>
                <w:rFonts w:eastAsia="Calibri"/>
                <w:sz w:val="20"/>
                <w:szCs w:val="20"/>
              </w:rPr>
            </w:pPr>
            <w:r w:rsidRPr="00CF0F40">
              <w:rPr>
                <w:rFonts w:eastAsia="Calibri"/>
                <w:sz w:val="20"/>
                <w:szCs w:val="20"/>
              </w:rPr>
              <w:t>7</w:t>
            </w:r>
            <w:r w:rsidR="00373A2E">
              <w:rPr>
                <w:rFonts w:eastAsia="Calibri"/>
                <w:sz w:val="20"/>
                <w:szCs w:val="20"/>
              </w:rPr>
              <w:t>4,960</w:t>
            </w:r>
            <w:r w:rsidRPr="00CF0F40">
              <w:rPr>
                <w:rFonts w:eastAsia="Calibri"/>
                <w:sz w:val="20"/>
                <w:szCs w:val="20"/>
              </w:rPr>
              <w:t xml:space="preserve"> hrs.;</w:t>
            </w:r>
          </w:p>
          <w:p w:rsidRPr="00CF0F40" w:rsidR="00CF0F40" w:rsidP="00CF0F40" w:rsidRDefault="00CF0F40" w14:paraId="05C8C0F6" w14:textId="1F7C020F">
            <w:pPr>
              <w:jc w:val="right"/>
              <w:rPr>
                <w:rFonts w:eastAsia="Calibri"/>
                <w:sz w:val="20"/>
                <w:szCs w:val="20"/>
              </w:rPr>
            </w:pPr>
            <w:r w:rsidRPr="00CF0F40">
              <w:rPr>
                <w:rFonts w:eastAsia="Calibri"/>
                <w:sz w:val="20"/>
                <w:szCs w:val="20"/>
              </w:rPr>
              <w:t>$5,</w:t>
            </w:r>
            <w:r w:rsidR="00373A2E">
              <w:rPr>
                <w:rFonts w:eastAsia="Calibri"/>
                <w:sz w:val="20"/>
                <w:szCs w:val="20"/>
              </w:rPr>
              <w:t>261,442.4</w:t>
            </w:r>
          </w:p>
        </w:tc>
        <w:tc>
          <w:tcPr>
            <w:tcW w:w="616"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019F3E6A" w14:textId="3BF0859E">
            <w:pPr>
              <w:jc w:val="right"/>
              <w:rPr>
                <w:rFonts w:eastAsia="Calibri"/>
                <w:sz w:val="20"/>
                <w:szCs w:val="20"/>
              </w:rPr>
            </w:pPr>
            <w:r w:rsidRPr="00CF0F40">
              <w:rPr>
                <w:rFonts w:eastAsia="Calibri"/>
                <w:sz w:val="20"/>
                <w:szCs w:val="20"/>
              </w:rPr>
              <w:t>$5,</w:t>
            </w:r>
            <w:r w:rsidR="004E683E">
              <w:rPr>
                <w:rFonts w:eastAsia="Calibri"/>
                <w:sz w:val="20"/>
                <w:szCs w:val="20"/>
              </w:rPr>
              <w:t>615.20</w:t>
            </w:r>
          </w:p>
        </w:tc>
      </w:tr>
      <w:tr w:rsidRPr="00CF0F40" w:rsidR="00CF0F40" w:rsidTr="00CF0F40" w14:paraId="39F16948"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4C18BD5D" w14:textId="77777777">
            <w:pPr>
              <w:rPr>
                <w:rFonts w:eastAsia="Calibri"/>
                <w:sz w:val="20"/>
                <w:szCs w:val="20"/>
              </w:rPr>
            </w:pPr>
            <w:r w:rsidRPr="00CF0F40">
              <w:rPr>
                <w:rFonts w:eastAsia="Calibri"/>
                <w:sz w:val="20"/>
                <w:szCs w:val="20"/>
              </w:rPr>
              <w:lastRenderedPageBreak/>
              <w:t>VAR-002-4.1</w:t>
            </w:r>
          </w:p>
          <w:p w:rsidRPr="00CF0F40" w:rsidR="00CF0F40" w:rsidP="00CF0F40" w:rsidRDefault="00CF0F40" w14:paraId="6C258966" w14:textId="77777777">
            <w:pPr>
              <w:rPr>
                <w:rFonts w:eastAsia="Calibri"/>
                <w:sz w:val="20"/>
                <w:szCs w:val="20"/>
              </w:rPr>
            </w:pPr>
            <w:r w:rsidRPr="00CF0F40">
              <w:rPr>
                <w:rFonts w:eastAsia="Calibri"/>
                <w:sz w:val="20"/>
                <w:szCs w:val="20"/>
              </w:rPr>
              <w:t>(Requirements R2-R6)</w:t>
            </w:r>
          </w:p>
        </w:tc>
        <w:tc>
          <w:tcPr>
            <w:tcW w:w="746"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02547" w14:paraId="77150E7B" w14:textId="7367C37A">
            <w:pPr>
              <w:jc w:val="right"/>
              <w:rPr>
                <w:rFonts w:eastAsia="Calibri"/>
                <w:sz w:val="20"/>
                <w:szCs w:val="20"/>
              </w:rPr>
            </w:pPr>
            <w:r>
              <w:rPr>
                <w:rFonts w:eastAsia="Calibri"/>
                <w:sz w:val="20"/>
                <w:szCs w:val="20"/>
              </w:rPr>
              <w:t>937</w:t>
            </w:r>
            <w:r w:rsidRPr="00CF0F40">
              <w:rPr>
                <w:rFonts w:eastAsia="Calibri"/>
                <w:sz w:val="20"/>
                <w:szCs w:val="20"/>
              </w:rPr>
              <w:t xml:space="preserve"> </w:t>
            </w:r>
            <w:r w:rsidRPr="00CF0F40" w:rsidR="00CF0F40">
              <w:rPr>
                <w:rFonts w:eastAsia="Calibri"/>
                <w:sz w:val="20"/>
                <w:szCs w:val="20"/>
              </w:rPr>
              <w:t>(GOP)</w:t>
            </w:r>
          </w:p>
        </w:tc>
        <w:tc>
          <w:tcPr>
            <w:tcW w:w="746"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7DD96B68" w14:textId="77777777">
            <w:pPr>
              <w:jc w:val="right"/>
              <w:rPr>
                <w:rFonts w:eastAsia="Calibri"/>
                <w:sz w:val="20"/>
                <w:szCs w:val="20"/>
              </w:rPr>
            </w:pPr>
            <w:r w:rsidRPr="00CF0F40">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02547" w14:paraId="18FA762F" w14:textId="6EC30AD7">
            <w:pPr>
              <w:jc w:val="right"/>
              <w:rPr>
                <w:rFonts w:eastAsia="Calibri"/>
                <w:sz w:val="20"/>
                <w:szCs w:val="20"/>
              </w:rPr>
            </w:pPr>
            <w:r w:rsidRPr="00CF0F40">
              <w:rPr>
                <w:rFonts w:eastAsia="Calibri"/>
                <w:sz w:val="20"/>
                <w:szCs w:val="20"/>
              </w:rPr>
              <w:t>9</w:t>
            </w:r>
            <w:r>
              <w:rPr>
                <w:rFonts w:eastAsia="Calibri"/>
                <w:sz w:val="20"/>
                <w:szCs w:val="20"/>
              </w:rPr>
              <w:t>37</w:t>
            </w:r>
          </w:p>
        </w:tc>
        <w:tc>
          <w:tcPr>
            <w:tcW w:w="654" w:type="pct"/>
            <w:tcBorders>
              <w:top w:val="single" w:color="auto" w:sz="4" w:space="0"/>
              <w:left w:val="single" w:color="auto" w:sz="4" w:space="0"/>
              <w:bottom w:val="single" w:color="auto" w:sz="4" w:space="0"/>
              <w:right w:val="single" w:color="auto" w:sz="4" w:space="0"/>
            </w:tcBorders>
          </w:tcPr>
          <w:p w:rsidRPr="00CF0F40" w:rsidR="00CF0F40" w:rsidP="00CF0F40" w:rsidRDefault="00CF0F40" w14:paraId="5B94B739" w14:textId="77777777">
            <w:pPr>
              <w:jc w:val="right"/>
              <w:rPr>
                <w:rFonts w:eastAsia="Calibri"/>
                <w:sz w:val="20"/>
                <w:szCs w:val="20"/>
              </w:rPr>
            </w:pPr>
            <w:r w:rsidRPr="00CF0F40">
              <w:rPr>
                <w:rFonts w:eastAsia="Calibri"/>
                <w:sz w:val="20"/>
                <w:szCs w:val="20"/>
              </w:rPr>
              <w:t>120 hrs.;</w:t>
            </w:r>
          </w:p>
          <w:p w:rsidRPr="00CF0F40" w:rsidR="00CF0F40" w:rsidP="00CF0F40" w:rsidRDefault="00CF0F40" w14:paraId="7345F0DA" w14:textId="64D7BB53">
            <w:pPr>
              <w:jc w:val="right"/>
              <w:rPr>
                <w:rFonts w:eastAsia="Calibri"/>
                <w:sz w:val="20"/>
                <w:szCs w:val="20"/>
              </w:rPr>
            </w:pPr>
            <w:r w:rsidRPr="00CF0F40">
              <w:rPr>
                <w:rFonts w:eastAsia="Calibri"/>
                <w:sz w:val="20"/>
                <w:szCs w:val="20"/>
              </w:rPr>
              <w:t>$8,</w:t>
            </w:r>
            <w:r w:rsidR="004E683E">
              <w:rPr>
                <w:rFonts w:eastAsia="Calibri"/>
                <w:sz w:val="20"/>
                <w:szCs w:val="20"/>
              </w:rPr>
              <w:t>422.80</w:t>
            </w:r>
          </w:p>
          <w:p w:rsidRPr="00CF0F40" w:rsidR="00CF0F40" w:rsidP="00CF0F40" w:rsidRDefault="00CF0F40" w14:paraId="5D35D1A8" w14:textId="77777777">
            <w:pPr>
              <w:jc w:val="right"/>
              <w:rPr>
                <w:rFonts w:eastAsia="Calibri"/>
                <w:sz w:val="20"/>
                <w:szCs w:val="20"/>
              </w:rPr>
            </w:pPr>
          </w:p>
        </w:tc>
        <w:tc>
          <w:tcPr>
            <w:tcW w:w="657" w:type="pct"/>
            <w:tcBorders>
              <w:top w:val="single" w:color="auto" w:sz="4" w:space="0"/>
              <w:left w:val="single" w:color="auto" w:sz="4" w:space="0"/>
              <w:bottom w:val="single" w:color="auto" w:sz="4" w:space="0"/>
              <w:right w:val="single" w:color="auto" w:sz="4" w:space="0"/>
            </w:tcBorders>
            <w:hideMark/>
          </w:tcPr>
          <w:p w:rsidRPr="00CF0F40" w:rsidR="00CF0F40" w:rsidP="00CF0F40" w:rsidRDefault="00373A2E" w14:paraId="74B8FA9C" w14:textId="4B83CD1F">
            <w:pPr>
              <w:jc w:val="right"/>
              <w:rPr>
                <w:rFonts w:eastAsia="Calibri"/>
                <w:sz w:val="20"/>
                <w:szCs w:val="20"/>
              </w:rPr>
            </w:pPr>
            <w:r>
              <w:rPr>
                <w:rFonts w:eastAsia="Calibri"/>
                <w:sz w:val="20"/>
                <w:szCs w:val="20"/>
              </w:rPr>
              <w:t>112,440</w:t>
            </w:r>
            <w:r w:rsidRPr="00CF0F40" w:rsidR="00CF0F40">
              <w:rPr>
                <w:rFonts w:eastAsia="Calibri"/>
                <w:sz w:val="20"/>
                <w:szCs w:val="20"/>
              </w:rPr>
              <w:t xml:space="preserve"> hrs.;</w:t>
            </w:r>
          </w:p>
          <w:p w:rsidRPr="00CF0F40" w:rsidR="00CF0F40" w:rsidP="00CF0F40" w:rsidRDefault="00CF0F40" w14:paraId="7773380B" w14:textId="1A60F136">
            <w:pPr>
              <w:jc w:val="right"/>
              <w:rPr>
                <w:rFonts w:eastAsia="Calibri"/>
                <w:sz w:val="20"/>
                <w:szCs w:val="20"/>
              </w:rPr>
            </w:pPr>
            <w:r w:rsidRPr="00CF0F40">
              <w:rPr>
                <w:rFonts w:eastAsia="Calibri"/>
                <w:sz w:val="20"/>
                <w:szCs w:val="20"/>
              </w:rPr>
              <w:t>$7,</w:t>
            </w:r>
            <w:r w:rsidR="00373A2E">
              <w:rPr>
                <w:rFonts w:eastAsia="Calibri"/>
                <w:sz w:val="20"/>
                <w:szCs w:val="20"/>
              </w:rPr>
              <w:t>892,163.6</w:t>
            </w:r>
          </w:p>
        </w:tc>
        <w:tc>
          <w:tcPr>
            <w:tcW w:w="616"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1A39E420" w14:textId="25F04B6A">
            <w:pPr>
              <w:jc w:val="right"/>
              <w:rPr>
                <w:rFonts w:eastAsia="Calibri"/>
                <w:sz w:val="20"/>
                <w:szCs w:val="20"/>
              </w:rPr>
            </w:pPr>
            <w:r w:rsidRPr="00CF0F40">
              <w:rPr>
                <w:rFonts w:eastAsia="Calibri"/>
                <w:sz w:val="20"/>
                <w:szCs w:val="20"/>
              </w:rPr>
              <w:t>$8,</w:t>
            </w:r>
            <w:r w:rsidR="004E683E">
              <w:rPr>
                <w:rFonts w:eastAsia="Calibri"/>
                <w:sz w:val="20"/>
                <w:szCs w:val="20"/>
              </w:rPr>
              <w:t>422.80</w:t>
            </w:r>
          </w:p>
        </w:tc>
      </w:tr>
      <w:tr w:rsidRPr="00CF0F40" w:rsidR="00CF0F40" w:rsidTr="00CF0F40" w14:paraId="2CACD03D" w14:textId="77777777">
        <w:trPr>
          <w:cantSplit/>
          <w:trHeight w:val="485"/>
        </w:trPr>
        <w:tc>
          <w:tcPr>
            <w:tcW w:w="878"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7D60B7D5" w14:textId="77777777">
            <w:pPr>
              <w:rPr>
                <w:rFonts w:eastAsia="Calibri"/>
                <w:b/>
                <w:sz w:val="20"/>
                <w:szCs w:val="20"/>
              </w:rPr>
            </w:pPr>
            <w:r w:rsidRPr="00CF0F40">
              <w:rPr>
                <w:rFonts w:eastAsia="Calibri"/>
                <w:b/>
                <w:sz w:val="20"/>
                <w:szCs w:val="20"/>
              </w:rPr>
              <w:t>TOTAL</w:t>
            </w:r>
          </w:p>
        </w:tc>
        <w:tc>
          <w:tcPr>
            <w:tcW w:w="1492" w:type="pct"/>
            <w:gridSpan w:val="2"/>
            <w:tcBorders>
              <w:top w:val="single" w:color="auto" w:sz="4" w:space="0"/>
              <w:left w:val="single" w:color="auto" w:sz="4" w:space="0"/>
              <w:bottom w:val="single" w:color="auto" w:sz="4" w:space="0"/>
              <w:right w:val="single" w:color="auto" w:sz="4" w:space="0"/>
            </w:tcBorders>
            <w:shd w:val="clear" w:color="auto" w:fill="D9D9D9"/>
          </w:tcPr>
          <w:p w:rsidRPr="00CF0F40" w:rsidR="00CF0F40" w:rsidP="00CF0F40" w:rsidRDefault="00CF0F40" w14:paraId="02796DEE" w14:textId="77777777">
            <w:pPr>
              <w:jc w:val="right"/>
              <w:rPr>
                <w:rFonts w:eastAsia="Calibri"/>
                <w:sz w:val="20"/>
                <w:szCs w:val="20"/>
              </w:rPr>
            </w:pPr>
          </w:p>
        </w:tc>
        <w:tc>
          <w:tcPr>
            <w:tcW w:w="703" w:type="pct"/>
            <w:tcBorders>
              <w:top w:val="single" w:color="auto" w:sz="4" w:space="0"/>
              <w:left w:val="single" w:color="auto" w:sz="4" w:space="0"/>
              <w:bottom w:val="single" w:color="auto" w:sz="4" w:space="0"/>
              <w:right w:val="single" w:color="auto" w:sz="4" w:space="0"/>
            </w:tcBorders>
            <w:hideMark/>
          </w:tcPr>
          <w:p w:rsidRPr="00CF0F40" w:rsidR="00CF0F40" w:rsidP="00CF0F40" w:rsidRDefault="00CF0F40" w14:paraId="077AE735" w14:textId="14125B05">
            <w:pPr>
              <w:jc w:val="right"/>
              <w:rPr>
                <w:rFonts w:eastAsia="Calibri"/>
                <w:b/>
                <w:sz w:val="20"/>
                <w:szCs w:val="20"/>
              </w:rPr>
            </w:pPr>
            <w:r w:rsidRPr="00CF0F40">
              <w:rPr>
                <w:rFonts w:eastAsia="Calibri"/>
                <w:b/>
                <w:sz w:val="20"/>
                <w:szCs w:val="20"/>
              </w:rPr>
              <w:t>2,</w:t>
            </w:r>
            <w:r w:rsidRPr="00CF0F40" w:rsidR="00EF4F97">
              <w:rPr>
                <w:rFonts w:eastAsia="Calibri"/>
                <w:b/>
                <w:sz w:val="20"/>
                <w:szCs w:val="20"/>
              </w:rPr>
              <w:t>0</w:t>
            </w:r>
            <w:r w:rsidR="00EF4F97">
              <w:rPr>
                <w:rFonts w:eastAsia="Calibri"/>
                <w:b/>
                <w:sz w:val="20"/>
                <w:szCs w:val="20"/>
              </w:rPr>
              <w:t>41</w:t>
            </w:r>
          </w:p>
        </w:tc>
        <w:tc>
          <w:tcPr>
            <w:tcW w:w="654" w:type="pct"/>
            <w:tcBorders>
              <w:top w:val="single" w:color="auto" w:sz="4" w:space="0"/>
              <w:left w:val="single" w:color="auto" w:sz="4" w:space="0"/>
              <w:bottom w:val="single" w:color="auto" w:sz="4" w:space="0"/>
              <w:right w:val="single" w:color="auto" w:sz="4" w:space="0"/>
            </w:tcBorders>
            <w:shd w:val="clear" w:color="auto" w:fill="D9D9D9"/>
          </w:tcPr>
          <w:p w:rsidRPr="00CF0F40" w:rsidR="00CF0F40" w:rsidP="00CF0F40" w:rsidRDefault="00CF0F40" w14:paraId="11048206" w14:textId="77777777">
            <w:pPr>
              <w:jc w:val="right"/>
              <w:rPr>
                <w:rFonts w:eastAsia="Calibri"/>
                <w:sz w:val="20"/>
                <w:szCs w:val="20"/>
              </w:rPr>
            </w:pPr>
          </w:p>
        </w:tc>
        <w:tc>
          <w:tcPr>
            <w:tcW w:w="657" w:type="pct"/>
            <w:tcBorders>
              <w:top w:val="single" w:color="auto" w:sz="4" w:space="0"/>
              <w:left w:val="single" w:color="auto" w:sz="4" w:space="0"/>
              <w:bottom w:val="single" w:color="auto" w:sz="4" w:space="0"/>
              <w:right w:val="single" w:color="auto" w:sz="4" w:space="0"/>
            </w:tcBorders>
            <w:hideMark/>
          </w:tcPr>
          <w:p w:rsidRPr="00CF0F40" w:rsidR="00CF0F40" w:rsidP="00CF0F40" w:rsidRDefault="00F15359" w14:paraId="74FCD943" w14:textId="21E79175">
            <w:pPr>
              <w:jc w:val="right"/>
              <w:rPr>
                <w:rFonts w:eastAsia="Calibri"/>
                <w:b/>
                <w:sz w:val="20"/>
                <w:szCs w:val="20"/>
              </w:rPr>
            </w:pPr>
            <w:r w:rsidRPr="00CF0F40">
              <w:rPr>
                <w:rFonts w:eastAsia="Calibri"/>
                <w:b/>
                <w:sz w:val="20"/>
                <w:szCs w:val="20"/>
              </w:rPr>
              <w:t>21</w:t>
            </w:r>
            <w:r>
              <w:rPr>
                <w:rFonts w:eastAsia="Calibri"/>
                <w:b/>
                <w:sz w:val="20"/>
                <w:szCs w:val="20"/>
              </w:rPr>
              <w:t>4</w:t>
            </w:r>
            <w:r w:rsidRPr="00CF0F40" w:rsidR="00CF0F40">
              <w:rPr>
                <w:rFonts w:eastAsia="Calibri"/>
                <w:b/>
                <w:sz w:val="20"/>
                <w:szCs w:val="20"/>
              </w:rPr>
              <w:t>,</w:t>
            </w:r>
            <w:r>
              <w:rPr>
                <w:rFonts w:eastAsia="Calibri"/>
                <w:b/>
                <w:sz w:val="20"/>
                <w:szCs w:val="20"/>
              </w:rPr>
              <w:t>287</w:t>
            </w:r>
            <w:r w:rsidRPr="00CF0F40">
              <w:rPr>
                <w:rFonts w:eastAsia="Calibri"/>
                <w:b/>
                <w:sz w:val="20"/>
                <w:szCs w:val="20"/>
              </w:rPr>
              <w:t xml:space="preserve"> </w:t>
            </w:r>
            <w:r w:rsidRPr="00CF0F40" w:rsidR="00CF0F40">
              <w:rPr>
                <w:rFonts w:eastAsia="Calibri"/>
                <w:b/>
                <w:sz w:val="20"/>
                <w:szCs w:val="20"/>
              </w:rPr>
              <w:t>hrs.;</w:t>
            </w:r>
          </w:p>
          <w:p w:rsidRPr="00CF0F40" w:rsidR="00CF0F40" w:rsidP="00CF0F40" w:rsidRDefault="00CF0F40" w14:paraId="2327E008" w14:textId="7584673B">
            <w:pPr>
              <w:jc w:val="right"/>
              <w:rPr>
                <w:rFonts w:eastAsia="Calibri"/>
                <w:b/>
                <w:sz w:val="20"/>
                <w:szCs w:val="20"/>
              </w:rPr>
            </w:pPr>
            <w:r w:rsidRPr="00CF0F40">
              <w:rPr>
                <w:rFonts w:eastAsia="Calibri"/>
                <w:b/>
                <w:sz w:val="20"/>
                <w:szCs w:val="20"/>
              </w:rPr>
              <w:t>$</w:t>
            </w:r>
            <w:r w:rsidRPr="00CF0F40" w:rsidR="0024309C">
              <w:rPr>
                <w:rFonts w:eastAsia="Calibri"/>
                <w:b/>
                <w:sz w:val="20"/>
                <w:szCs w:val="20"/>
              </w:rPr>
              <w:t>1</w:t>
            </w:r>
            <w:r w:rsidR="0024309C">
              <w:rPr>
                <w:rFonts w:eastAsia="Calibri"/>
                <w:b/>
                <w:sz w:val="20"/>
                <w:szCs w:val="20"/>
              </w:rPr>
              <w:t>5</w:t>
            </w:r>
            <w:r w:rsidRPr="00CF0F40">
              <w:rPr>
                <w:rFonts w:eastAsia="Calibri"/>
                <w:b/>
                <w:sz w:val="20"/>
                <w:szCs w:val="20"/>
              </w:rPr>
              <w:t>,</w:t>
            </w:r>
            <w:r w:rsidR="0024309C">
              <w:rPr>
                <w:rFonts w:eastAsia="Calibri"/>
                <w:b/>
                <w:sz w:val="20"/>
                <w:szCs w:val="20"/>
              </w:rPr>
              <w:t>0</w:t>
            </w:r>
            <w:r w:rsidR="00DE06FB">
              <w:rPr>
                <w:rFonts w:eastAsia="Calibri"/>
                <w:b/>
                <w:sz w:val="20"/>
                <w:szCs w:val="20"/>
              </w:rPr>
              <w:t>4</w:t>
            </w:r>
            <w:r w:rsidR="000814C5">
              <w:rPr>
                <w:rFonts w:eastAsia="Calibri"/>
                <w:b/>
                <w:sz w:val="20"/>
                <w:szCs w:val="20"/>
              </w:rPr>
              <w:t>0,804.53</w:t>
            </w:r>
          </w:p>
        </w:tc>
        <w:tc>
          <w:tcPr>
            <w:tcW w:w="616" w:type="pct"/>
            <w:tcBorders>
              <w:top w:val="single" w:color="auto" w:sz="4" w:space="0"/>
              <w:left w:val="single" w:color="auto" w:sz="4" w:space="0"/>
              <w:bottom w:val="single" w:color="auto" w:sz="4" w:space="0"/>
              <w:right w:val="single" w:color="auto" w:sz="4" w:space="0"/>
            </w:tcBorders>
            <w:shd w:val="clear" w:color="auto" w:fill="D9D9D9"/>
          </w:tcPr>
          <w:p w:rsidRPr="00CF0F40" w:rsidR="00CF0F40" w:rsidP="00CF0F40" w:rsidRDefault="00CF0F40" w14:paraId="4BCA585D" w14:textId="77777777">
            <w:pPr>
              <w:jc w:val="right"/>
              <w:rPr>
                <w:rFonts w:eastAsia="Calibri"/>
                <w:b/>
                <w:sz w:val="20"/>
                <w:szCs w:val="20"/>
              </w:rPr>
            </w:pPr>
          </w:p>
        </w:tc>
      </w:tr>
    </w:tbl>
    <w:p w:rsidR="00156BBB" w:rsidP="00B01B16" w:rsidRDefault="00156BBB" w14:paraId="566D76CC" w14:textId="77777777">
      <w:pPr>
        <w:spacing w:line="480" w:lineRule="auto"/>
      </w:pPr>
    </w:p>
    <w:p w:rsidR="00881405" w:rsidP="00AE1F12" w:rsidRDefault="00AE1F12" w14:paraId="40735770"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DCD36" w14:textId="77777777" w:rsidR="00845FD8" w:rsidRDefault="00845FD8" w:rsidP="00B01B16">
      <w:r>
        <w:separator/>
      </w:r>
    </w:p>
  </w:endnote>
  <w:endnote w:type="continuationSeparator" w:id="0">
    <w:p w14:paraId="42CAC17C" w14:textId="77777777" w:rsidR="00845FD8" w:rsidRDefault="00845FD8" w:rsidP="00B01B16">
      <w:r>
        <w:continuationSeparator/>
      </w:r>
    </w:p>
  </w:endnote>
  <w:endnote w:type="continuationNotice" w:id="1">
    <w:p w14:paraId="3D9717ED" w14:textId="77777777" w:rsidR="00845FD8" w:rsidRDefault="00845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B6C1" w14:textId="77777777" w:rsidR="006D4289" w:rsidRDefault="006D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50C1F" w14:textId="77777777" w:rsidR="006D4289" w:rsidRDefault="006D4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D65A" w14:textId="77777777" w:rsidR="006D4289" w:rsidRDefault="006D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2C10D" w14:textId="77777777" w:rsidR="00845FD8" w:rsidRDefault="00845FD8" w:rsidP="00B01B16">
      <w:r>
        <w:separator/>
      </w:r>
    </w:p>
  </w:footnote>
  <w:footnote w:type="continuationSeparator" w:id="0">
    <w:p w14:paraId="1767AEAE" w14:textId="77777777" w:rsidR="00845FD8" w:rsidRDefault="00845FD8" w:rsidP="00B01B16">
      <w:r>
        <w:continuationSeparator/>
      </w:r>
    </w:p>
  </w:footnote>
  <w:footnote w:type="continuationNotice" w:id="1">
    <w:p w14:paraId="7B27D372" w14:textId="77777777" w:rsidR="00845FD8" w:rsidRDefault="00845FD8"/>
  </w:footnote>
  <w:footnote w:id="2">
    <w:p w14:paraId="72CF8686" w14:textId="1ACD6606" w:rsidR="00C2133B" w:rsidRDefault="00C2133B">
      <w:pPr>
        <w:pStyle w:val="FootnoteText"/>
      </w:pPr>
      <w:r w:rsidRPr="00F80821">
        <w:rPr>
          <w:rStyle w:val="FootnoteReference"/>
          <w:sz w:val="20"/>
          <w:szCs w:val="20"/>
        </w:rPr>
        <w:footnoteRef/>
      </w:r>
      <w:r>
        <w:t xml:space="preserve"> </w:t>
      </w:r>
      <w:r w:rsidR="002C1E46">
        <w:rPr>
          <w:sz w:val="20"/>
        </w:rPr>
        <w:t xml:space="preserve">16 U.S.C. § 824o (2012). </w:t>
      </w:r>
      <w:r w:rsidR="002C1E46">
        <w:t xml:space="preserve"> </w:t>
      </w:r>
    </w:p>
  </w:footnote>
  <w:footnote w:id="3">
    <w:p w14:paraId="2F9F33C9" w14:textId="4C5D378D" w:rsidR="00350241" w:rsidRPr="00686FE0" w:rsidRDefault="00350241">
      <w:pPr>
        <w:pStyle w:val="FootnoteText"/>
        <w:rPr>
          <w:sz w:val="26"/>
          <w:szCs w:val="26"/>
        </w:rPr>
      </w:pPr>
      <w:r w:rsidRPr="00686FE0">
        <w:rPr>
          <w:rStyle w:val="FootnoteReference"/>
        </w:rPr>
        <w:footnoteRef/>
      </w:r>
      <w:r w:rsidRPr="00686FE0">
        <w:rPr>
          <w:sz w:val="26"/>
          <w:szCs w:val="26"/>
        </w:rPr>
        <w:t xml:space="preserve"> </w:t>
      </w:r>
      <w:r w:rsidR="00202560" w:rsidRPr="00686FE0">
        <w:rPr>
          <w:sz w:val="26"/>
          <w:szCs w:val="26"/>
        </w:rPr>
        <w:t>The Commission approved Reliability Standard VAR-001-4 (Voltage and Reactive Control) on August 1, 2014.</w:t>
      </w:r>
      <w:r w:rsidR="00202560" w:rsidRPr="00686FE0">
        <w:rPr>
          <w:i/>
          <w:iCs/>
          <w:sz w:val="26"/>
          <w:szCs w:val="26"/>
        </w:rPr>
        <w:t xml:space="preserve">See North American Electric Reliability Corp., </w:t>
      </w:r>
      <w:r w:rsidR="00202560" w:rsidRPr="00686FE0">
        <w:rPr>
          <w:sz w:val="26"/>
          <w:szCs w:val="26"/>
        </w:rPr>
        <w:t xml:space="preserve">Docket No. RD14-11-000 (Aug. 1, 2014) (delegated letter order). The Commission approved errata version VAR-001-4.1 on November 13, 2015. </w:t>
      </w:r>
      <w:r w:rsidR="00202560" w:rsidRPr="00686FE0">
        <w:rPr>
          <w:i/>
          <w:iCs/>
          <w:sz w:val="26"/>
          <w:szCs w:val="26"/>
        </w:rPr>
        <w:t>See North American Electric Reliability Corp.</w:t>
      </w:r>
      <w:r w:rsidR="00202560" w:rsidRPr="00686FE0">
        <w:rPr>
          <w:sz w:val="26"/>
          <w:szCs w:val="26"/>
        </w:rPr>
        <w:t xml:space="preserve">, Docket No. RD15-6-000 (Nov. 13, 2015) (delegated letter order).  </w:t>
      </w:r>
    </w:p>
  </w:footnote>
  <w:footnote w:id="4">
    <w:p w14:paraId="4A28335D" w14:textId="70EE4DC6" w:rsidR="00350241" w:rsidRDefault="00350241">
      <w:pPr>
        <w:pStyle w:val="FootnoteText"/>
      </w:pPr>
      <w:bookmarkStart w:id="2" w:name="_GoBack"/>
      <w:r w:rsidRPr="00686FE0">
        <w:rPr>
          <w:rStyle w:val="FootnoteReference"/>
        </w:rPr>
        <w:footnoteRef/>
      </w:r>
      <w:bookmarkEnd w:id="2"/>
      <w:r w:rsidRPr="00686FE0">
        <w:rPr>
          <w:sz w:val="26"/>
          <w:szCs w:val="26"/>
        </w:rPr>
        <w:t xml:space="preserve"> </w:t>
      </w:r>
      <w:r w:rsidR="000A2D8B" w:rsidRPr="00686FE0">
        <w:rPr>
          <w:sz w:val="26"/>
          <w:szCs w:val="26"/>
        </w:rPr>
        <w:t xml:space="preserve">The Commission approved Reliability Standard VAR-002-4, which clarified the applicability of the VAR-002 standard to dispersed generation resources, on May 29, 2015. </w:t>
      </w:r>
      <w:r w:rsidR="000A2D8B" w:rsidRPr="00686FE0">
        <w:rPr>
          <w:i/>
          <w:iCs/>
          <w:sz w:val="26"/>
          <w:szCs w:val="26"/>
        </w:rPr>
        <w:t>See North American Electric Reliability Corp</w:t>
      </w:r>
      <w:r w:rsidR="000A2D8B" w:rsidRPr="00686FE0">
        <w:rPr>
          <w:sz w:val="26"/>
          <w:szCs w:val="26"/>
        </w:rPr>
        <w:t>, 151 FERC ¶ 61,186 (May 29, 2015).</w:t>
      </w:r>
    </w:p>
  </w:footnote>
  <w:footnote w:id="5">
    <w:p w14:paraId="5959A060" w14:textId="77777777" w:rsidR="00E9084E" w:rsidRPr="00686FE0" w:rsidRDefault="00E9084E" w:rsidP="00E9084E">
      <w:pPr>
        <w:pStyle w:val="FootnoteText"/>
        <w:rPr>
          <w:sz w:val="26"/>
          <w:szCs w:val="26"/>
        </w:rPr>
      </w:pPr>
      <w:r w:rsidRPr="00686FE0">
        <w:rPr>
          <w:rStyle w:val="FootnoteReference"/>
        </w:rPr>
        <w:footnoteRef/>
      </w:r>
      <w:r w:rsidRPr="00686FE0">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6">
    <w:p w14:paraId="7CBD6F93" w14:textId="08B181CF" w:rsidR="00CF0F40" w:rsidRPr="00686FE0" w:rsidRDefault="00CF0F40" w:rsidP="00CF0F40">
      <w:pPr>
        <w:pStyle w:val="FootnoteText"/>
        <w:rPr>
          <w:sz w:val="26"/>
          <w:szCs w:val="26"/>
        </w:rPr>
      </w:pPr>
      <w:r w:rsidRPr="00686FE0">
        <w:rPr>
          <w:rStyle w:val="FootnoteReference"/>
        </w:rPr>
        <w:footnoteRef/>
      </w:r>
      <w:r w:rsidRPr="00686FE0">
        <w:rPr>
          <w:sz w:val="26"/>
          <w:szCs w:val="26"/>
        </w:rPr>
        <w:t xml:space="preserve"> TOP = transmission operator; GOP = generator operators.</w:t>
      </w:r>
      <w:r w:rsidR="003F0FE7" w:rsidRPr="00686FE0">
        <w:rPr>
          <w:sz w:val="26"/>
          <w:szCs w:val="26"/>
        </w:rPr>
        <w:t xml:space="preserve"> Respondent counts based of the NERC Compliance Registry numbers February 5, 2021.</w:t>
      </w:r>
    </w:p>
  </w:footnote>
  <w:footnote w:id="7">
    <w:p w14:paraId="0A6E5C2F" w14:textId="0E97A548" w:rsidR="00CF0F40" w:rsidRDefault="00CF0F40" w:rsidP="00CF0F40">
      <w:pPr>
        <w:pStyle w:val="FootnoteText"/>
      </w:pPr>
      <w:r w:rsidRPr="00686FE0">
        <w:rPr>
          <w:rStyle w:val="FootnoteReference"/>
        </w:rPr>
        <w:footnoteRef/>
      </w:r>
      <w:r w:rsidRPr="00686FE0">
        <w:rPr>
          <w:sz w:val="26"/>
          <w:szCs w:val="26"/>
        </w:rPr>
        <w:t xml:space="preserve"> The estimate for hourly cost is $</w:t>
      </w:r>
      <w:r w:rsidR="00184A26" w:rsidRPr="00686FE0">
        <w:rPr>
          <w:sz w:val="26"/>
          <w:szCs w:val="26"/>
        </w:rPr>
        <w:t>70</w:t>
      </w:r>
      <w:r w:rsidRPr="00686FE0">
        <w:rPr>
          <w:sz w:val="26"/>
          <w:szCs w:val="26"/>
        </w:rPr>
        <w:t>.</w:t>
      </w:r>
      <w:r w:rsidR="00184A26" w:rsidRPr="00686FE0">
        <w:rPr>
          <w:sz w:val="26"/>
          <w:szCs w:val="26"/>
        </w:rPr>
        <w:t>19</w:t>
      </w:r>
      <w:r w:rsidRPr="00686FE0">
        <w:rPr>
          <w:sz w:val="26"/>
          <w:szCs w:val="26"/>
        </w:rPr>
        <w:t xml:space="preserve">/hour.  This figure is the average salary plus benefits for an electrical engineer (Occupation Code: 17-2071) from the Bureau of Labor Statistics at </w:t>
      </w:r>
      <w:hyperlink r:id="rId1" w:history="1">
        <w:r w:rsidRPr="00686FE0">
          <w:rPr>
            <w:rStyle w:val="Hyperlink"/>
            <w:sz w:val="26"/>
            <w:szCs w:val="26"/>
          </w:rPr>
          <w:t>https://www.bls.gov/oes/current/naics2_22.htm</w:t>
        </w:r>
      </w:hyperlink>
      <w:r w:rsidRPr="00686FE0">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3B0B" w14:textId="77777777" w:rsidR="006D4289" w:rsidRDefault="006D4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E522C" w14:textId="45887129" w:rsidR="006D4289" w:rsidRDefault="006D4289">
    <w:pPr>
      <w:pStyle w:val="Header"/>
    </w:pPr>
    <w:r>
      <w:t xml:space="preserve">Docket No. </w:t>
    </w:r>
    <w:r w:rsidRPr="00805A6E">
      <w:t>IC21-</w:t>
    </w:r>
    <w:r w:rsidRPr="00F80821">
      <w:t>12</w:t>
    </w:r>
    <w:r w:rsidRPr="00805A6E">
      <w:t>-000</w:t>
    </w:r>
    <w:r>
      <w:tab/>
    </w:r>
    <w:r>
      <w:tab/>
    </w:r>
    <w:sdt>
      <w:sdtPr>
        <w:id w:val="-3894142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E155F8B" w14:textId="37524670" w:rsidR="00184B43" w:rsidRPr="006D4289" w:rsidRDefault="00184B43" w:rsidP="006D4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440C" w14:textId="77777777" w:rsidR="006D4289" w:rsidRDefault="006D4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59B6"/>
    <w:rsid w:val="00062427"/>
    <w:rsid w:val="000814C5"/>
    <w:rsid w:val="0008692A"/>
    <w:rsid w:val="000A0250"/>
    <w:rsid w:val="000A2D8B"/>
    <w:rsid w:val="000A7E68"/>
    <w:rsid w:val="000B5C78"/>
    <w:rsid w:val="000D318C"/>
    <w:rsid w:val="000E2568"/>
    <w:rsid w:val="00116326"/>
    <w:rsid w:val="0015445B"/>
    <w:rsid w:val="00156BBB"/>
    <w:rsid w:val="001600DF"/>
    <w:rsid w:val="00171725"/>
    <w:rsid w:val="00181BF7"/>
    <w:rsid w:val="00184A26"/>
    <w:rsid w:val="00184B43"/>
    <w:rsid w:val="0019402A"/>
    <w:rsid w:val="001A6645"/>
    <w:rsid w:val="001A6AD6"/>
    <w:rsid w:val="001B78B8"/>
    <w:rsid w:val="001C7064"/>
    <w:rsid w:val="00202560"/>
    <w:rsid w:val="00202E41"/>
    <w:rsid w:val="0024309C"/>
    <w:rsid w:val="00253F98"/>
    <w:rsid w:val="00257CC2"/>
    <w:rsid w:val="002C1E46"/>
    <w:rsid w:val="002C3579"/>
    <w:rsid w:val="002E06A0"/>
    <w:rsid w:val="002E6DAA"/>
    <w:rsid w:val="002F4401"/>
    <w:rsid w:val="00311D90"/>
    <w:rsid w:val="00314219"/>
    <w:rsid w:val="003149BC"/>
    <w:rsid w:val="003353F5"/>
    <w:rsid w:val="00336AD9"/>
    <w:rsid w:val="00350241"/>
    <w:rsid w:val="003673EC"/>
    <w:rsid w:val="00373A2E"/>
    <w:rsid w:val="00376525"/>
    <w:rsid w:val="00397ABE"/>
    <w:rsid w:val="003B5B0B"/>
    <w:rsid w:val="003C08DE"/>
    <w:rsid w:val="003C3E7A"/>
    <w:rsid w:val="003C68D8"/>
    <w:rsid w:val="003D28D2"/>
    <w:rsid w:val="003E1657"/>
    <w:rsid w:val="003E44AD"/>
    <w:rsid w:val="003F0FE7"/>
    <w:rsid w:val="003F2E32"/>
    <w:rsid w:val="00411B62"/>
    <w:rsid w:val="0042765E"/>
    <w:rsid w:val="00443282"/>
    <w:rsid w:val="004628F2"/>
    <w:rsid w:val="00491543"/>
    <w:rsid w:val="004B3A1C"/>
    <w:rsid w:val="004C70C8"/>
    <w:rsid w:val="004E683E"/>
    <w:rsid w:val="00524164"/>
    <w:rsid w:val="005401E0"/>
    <w:rsid w:val="00544424"/>
    <w:rsid w:val="0054746C"/>
    <w:rsid w:val="005630EC"/>
    <w:rsid w:val="00565B5E"/>
    <w:rsid w:val="00566B5F"/>
    <w:rsid w:val="00587D1F"/>
    <w:rsid w:val="005A2F24"/>
    <w:rsid w:val="005B4DA4"/>
    <w:rsid w:val="005C77BE"/>
    <w:rsid w:val="005D238D"/>
    <w:rsid w:val="005E45C6"/>
    <w:rsid w:val="006128A5"/>
    <w:rsid w:val="00613169"/>
    <w:rsid w:val="00637F43"/>
    <w:rsid w:val="00644A1B"/>
    <w:rsid w:val="006536D8"/>
    <w:rsid w:val="00654399"/>
    <w:rsid w:val="00654BA4"/>
    <w:rsid w:val="0066195A"/>
    <w:rsid w:val="00664931"/>
    <w:rsid w:val="006841A7"/>
    <w:rsid w:val="00686FE0"/>
    <w:rsid w:val="00693721"/>
    <w:rsid w:val="006941D2"/>
    <w:rsid w:val="00694C22"/>
    <w:rsid w:val="006963BC"/>
    <w:rsid w:val="006970F4"/>
    <w:rsid w:val="006A2E15"/>
    <w:rsid w:val="006D4289"/>
    <w:rsid w:val="006E7CBB"/>
    <w:rsid w:val="006F749E"/>
    <w:rsid w:val="00704CE6"/>
    <w:rsid w:val="007263B9"/>
    <w:rsid w:val="00733B84"/>
    <w:rsid w:val="0075009F"/>
    <w:rsid w:val="00781E6A"/>
    <w:rsid w:val="007E3706"/>
    <w:rsid w:val="007F4CD3"/>
    <w:rsid w:val="008018DB"/>
    <w:rsid w:val="00803CA2"/>
    <w:rsid w:val="00805A6E"/>
    <w:rsid w:val="00807CAC"/>
    <w:rsid w:val="008115BF"/>
    <w:rsid w:val="00816942"/>
    <w:rsid w:val="00824D81"/>
    <w:rsid w:val="00845FD8"/>
    <w:rsid w:val="00853ABC"/>
    <w:rsid w:val="00881405"/>
    <w:rsid w:val="0089069F"/>
    <w:rsid w:val="00895DA2"/>
    <w:rsid w:val="00897359"/>
    <w:rsid w:val="008A7371"/>
    <w:rsid w:val="008D25B7"/>
    <w:rsid w:val="008D5479"/>
    <w:rsid w:val="008E0DF5"/>
    <w:rsid w:val="008E1790"/>
    <w:rsid w:val="008E3273"/>
    <w:rsid w:val="008F0C45"/>
    <w:rsid w:val="00904B00"/>
    <w:rsid w:val="00940C0F"/>
    <w:rsid w:val="00951DC3"/>
    <w:rsid w:val="0095548F"/>
    <w:rsid w:val="009744C8"/>
    <w:rsid w:val="00974530"/>
    <w:rsid w:val="00980E58"/>
    <w:rsid w:val="009815BD"/>
    <w:rsid w:val="00981886"/>
    <w:rsid w:val="00990102"/>
    <w:rsid w:val="00990FEC"/>
    <w:rsid w:val="00992257"/>
    <w:rsid w:val="009A1B08"/>
    <w:rsid w:val="009C18D6"/>
    <w:rsid w:val="009C3CB9"/>
    <w:rsid w:val="009C4A13"/>
    <w:rsid w:val="009F7DE3"/>
    <w:rsid w:val="00A07154"/>
    <w:rsid w:val="00A11868"/>
    <w:rsid w:val="00A1386C"/>
    <w:rsid w:val="00A2604E"/>
    <w:rsid w:val="00A32860"/>
    <w:rsid w:val="00A664DF"/>
    <w:rsid w:val="00A71219"/>
    <w:rsid w:val="00A713D0"/>
    <w:rsid w:val="00A75AAA"/>
    <w:rsid w:val="00A82A29"/>
    <w:rsid w:val="00AA516A"/>
    <w:rsid w:val="00AA5B0E"/>
    <w:rsid w:val="00AC0504"/>
    <w:rsid w:val="00AC664F"/>
    <w:rsid w:val="00AC750B"/>
    <w:rsid w:val="00AE1F12"/>
    <w:rsid w:val="00AE24CC"/>
    <w:rsid w:val="00AE4155"/>
    <w:rsid w:val="00AE4B7C"/>
    <w:rsid w:val="00AE66F6"/>
    <w:rsid w:val="00AF349B"/>
    <w:rsid w:val="00B01B16"/>
    <w:rsid w:val="00B24588"/>
    <w:rsid w:val="00B447D7"/>
    <w:rsid w:val="00B653CA"/>
    <w:rsid w:val="00B76A1F"/>
    <w:rsid w:val="00B82F8C"/>
    <w:rsid w:val="00B95477"/>
    <w:rsid w:val="00BA1D81"/>
    <w:rsid w:val="00BD0046"/>
    <w:rsid w:val="00BD74AE"/>
    <w:rsid w:val="00BE3FE7"/>
    <w:rsid w:val="00BF2D74"/>
    <w:rsid w:val="00BF4CC8"/>
    <w:rsid w:val="00BF75B6"/>
    <w:rsid w:val="00C02547"/>
    <w:rsid w:val="00C1124F"/>
    <w:rsid w:val="00C1686C"/>
    <w:rsid w:val="00C2133B"/>
    <w:rsid w:val="00C37BFF"/>
    <w:rsid w:val="00C45F17"/>
    <w:rsid w:val="00C51458"/>
    <w:rsid w:val="00C53580"/>
    <w:rsid w:val="00C55838"/>
    <w:rsid w:val="00C56745"/>
    <w:rsid w:val="00C70729"/>
    <w:rsid w:val="00C77EF7"/>
    <w:rsid w:val="00C820F1"/>
    <w:rsid w:val="00C85A38"/>
    <w:rsid w:val="00C85F57"/>
    <w:rsid w:val="00C91512"/>
    <w:rsid w:val="00C94A53"/>
    <w:rsid w:val="00CA2DE2"/>
    <w:rsid w:val="00CA3A85"/>
    <w:rsid w:val="00CA6636"/>
    <w:rsid w:val="00CA6D76"/>
    <w:rsid w:val="00CB51CC"/>
    <w:rsid w:val="00CC1A72"/>
    <w:rsid w:val="00CC5692"/>
    <w:rsid w:val="00CD56E5"/>
    <w:rsid w:val="00CE0C1B"/>
    <w:rsid w:val="00CF0C67"/>
    <w:rsid w:val="00CF0F40"/>
    <w:rsid w:val="00CF4753"/>
    <w:rsid w:val="00D0083B"/>
    <w:rsid w:val="00D172D8"/>
    <w:rsid w:val="00D35B2D"/>
    <w:rsid w:val="00D44183"/>
    <w:rsid w:val="00D5276C"/>
    <w:rsid w:val="00D6384D"/>
    <w:rsid w:val="00D653F3"/>
    <w:rsid w:val="00D872BC"/>
    <w:rsid w:val="00DA529F"/>
    <w:rsid w:val="00DB5AAE"/>
    <w:rsid w:val="00DB6882"/>
    <w:rsid w:val="00DC5017"/>
    <w:rsid w:val="00DC5129"/>
    <w:rsid w:val="00DD7F1B"/>
    <w:rsid w:val="00DE06FB"/>
    <w:rsid w:val="00DF609A"/>
    <w:rsid w:val="00E12A7A"/>
    <w:rsid w:val="00E41DB9"/>
    <w:rsid w:val="00E730C3"/>
    <w:rsid w:val="00E762BB"/>
    <w:rsid w:val="00E8661B"/>
    <w:rsid w:val="00E9084E"/>
    <w:rsid w:val="00E957C6"/>
    <w:rsid w:val="00E962E6"/>
    <w:rsid w:val="00EA689F"/>
    <w:rsid w:val="00EF33BE"/>
    <w:rsid w:val="00EF4F97"/>
    <w:rsid w:val="00F12983"/>
    <w:rsid w:val="00F15359"/>
    <w:rsid w:val="00F245A2"/>
    <w:rsid w:val="00F309CB"/>
    <w:rsid w:val="00F44A0E"/>
    <w:rsid w:val="00F663D3"/>
    <w:rsid w:val="00F80821"/>
    <w:rsid w:val="00FB078F"/>
    <w:rsid w:val="00FC02F5"/>
    <w:rsid w:val="00FC3F00"/>
    <w:rsid w:val="00FD2880"/>
    <w:rsid w:val="00FD6E3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C2133B"/>
    <w:rPr>
      <w:sz w:val="20"/>
      <w:szCs w:val="20"/>
    </w:rPr>
  </w:style>
  <w:style w:type="character" w:customStyle="1" w:styleId="EndnoteTextChar">
    <w:name w:val="Endnote Text Char"/>
    <w:basedOn w:val="DefaultParagraphFont"/>
    <w:link w:val="EndnoteText"/>
    <w:uiPriority w:val="99"/>
    <w:semiHidden/>
    <w:rsid w:val="00C2133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213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F0BA9-1B12-4B6F-8D0A-F1570AACA7EB}">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01FE316-2FEE-4C7F-AC45-0EF8935CF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47033-F2DA-46D6-8D8C-415445EC21B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42</ap:TotalTime>
  <ap:Pages>7</ap:Pages>
  <ap:Words>1357</ap:Words>
  <ap:Characters>7739</ap:Characters>
  <ap:Application>Microsoft Office Word</ap:Application>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9078</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2021-03-24T15:25:00.0000000Z</dcterms:created>
  <dcterms:modified xsi:type="dcterms:W3CDTF">2021-03-24T17:15:00.0000000Z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