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76FF" w:rsidRDefault="00D276FF" w14:paraId="5403EB68" w14:textId="77777777"/>
    <w:p w:rsidR="00D276FF" w:rsidRDefault="00D276FF" w14:paraId="356AD48A" w14:textId="77777777"/>
    <w:p w:rsidR="00D276FF" w:rsidRDefault="00D276FF" w14:paraId="5E689137" w14:textId="77777777">
      <w:pPr>
        <w:jc w:val="center"/>
        <w:rPr>
          <w:b/>
        </w:rPr>
      </w:pPr>
      <w:r>
        <w:rPr>
          <w:b/>
        </w:rPr>
        <w:t>SUPPORTING STATEMENT</w:t>
      </w:r>
    </w:p>
    <w:p w:rsidR="00D276FF" w:rsidRDefault="00D276FF" w14:paraId="6C97D813" w14:textId="77777777">
      <w:pPr>
        <w:jc w:val="center"/>
        <w:rPr>
          <w:b/>
        </w:rPr>
      </w:pPr>
    </w:p>
    <w:p w:rsidR="00D276FF" w:rsidRDefault="00D276FF" w14:paraId="18493CBA" w14:textId="77777777">
      <w:pPr>
        <w:jc w:val="center"/>
        <w:rPr>
          <w:b/>
        </w:rPr>
      </w:pPr>
      <w:r>
        <w:rPr>
          <w:b/>
        </w:rPr>
        <w:t>UNITED STATES MINT</w:t>
      </w:r>
    </w:p>
    <w:p w:rsidR="004F1388" w:rsidRDefault="004F1388" w14:paraId="4CAB6DBB" w14:textId="77777777">
      <w:pPr>
        <w:jc w:val="center"/>
        <w:rPr>
          <w:b/>
        </w:rPr>
      </w:pPr>
      <w:r>
        <w:rPr>
          <w:b/>
        </w:rPr>
        <w:t>MUTILATED COIN REDEMPTION PROGRA</w:t>
      </w:r>
      <w:r w:rsidR="00FA2F5C">
        <w:rPr>
          <w:b/>
        </w:rPr>
        <w:t>M INSTRUCTIONS</w:t>
      </w:r>
      <w:r>
        <w:rPr>
          <w:b/>
        </w:rPr>
        <w:t xml:space="preserve"> </w:t>
      </w:r>
      <w:r w:rsidR="00FA2F5C">
        <w:rPr>
          <w:b/>
        </w:rPr>
        <w:t xml:space="preserve">and </w:t>
      </w:r>
      <w:r>
        <w:rPr>
          <w:b/>
        </w:rPr>
        <w:t>APPLICATION FORM</w:t>
      </w:r>
    </w:p>
    <w:p w:rsidR="00D276FF" w:rsidRDefault="004F1388" w14:paraId="679D87AE" w14:textId="77777777">
      <w:pPr>
        <w:jc w:val="center"/>
        <w:rPr>
          <w:b/>
        </w:rPr>
      </w:pPr>
      <w:r>
        <w:rPr>
          <w:b/>
        </w:rPr>
        <w:t>NEW OMB INFORMATION COLLECTION</w:t>
      </w:r>
    </w:p>
    <w:p w:rsidR="004F1388" w:rsidRDefault="004F1388" w14:paraId="216B1BDE" w14:textId="77777777">
      <w:pPr>
        <w:jc w:val="center"/>
        <w:rPr>
          <w:b/>
        </w:rPr>
      </w:pPr>
    </w:p>
    <w:p w:rsidR="00D276FF" w:rsidRDefault="00FA2F5C" w14:paraId="2518DE94" w14:textId="77777777">
      <w:pPr>
        <w:jc w:val="center"/>
        <w:rPr>
          <w:b/>
        </w:rPr>
      </w:pPr>
      <w:r>
        <w:rPr>
          <w:b/>
        </w:rPr>
        <w:t xml:space="preserve">Mint OMB #: </w:t>
      </w:r>
      <w:r w:rsidR="00DB1ED5">
        <w:rPr>
          <w:b/>
        </w:rPr>
        <w:t>1525-</w:t>
      </w:r>
      <w:r w:rsidR="004E7267">
        <w:rPr>
          <w:b/>
        </w:rPr>
        <w:t>NEW</w:t>
      </w:r>
    </w:p>
    <w:p w:rsidR="00D276FF" w:rsidRDefault="00D276FF" w14:paraId="461F9FD1" w14:textId="77777777">
      <w:pPr>
        <w:jc w:val="center"/>
        <w:rPr>
          <w:b/>
        </w:rPr>
      </w:pPr>
    </w:p>
    <w:p w:rsidR="00D276FF" w:rsidRDefault="00D276FF" w14:paraId="4642FCC7" w14:textId="77777777">
      <w:r>
        <w:rPr>
          <w:b/>
        </w:rPr>
        <w:t>A.</w:t>
      </w:r>
      <w:r>
        <w:rPr>
          <w:b/>
        </w:rPr>
        <w:tab/>
        <w:t>JUSTIFICATION</w:t>
      </w:r>
    </w:p>
    <w:p w:rsidR="00D276FF" w:rsidRDefault="00D276FF" w14:paraId="12E82EB2" w14:textId="77777777"/>
    <w:p w:rsidR="00D276FF" w:rsidRDefault="00D276FF" w14:paraId="70541251" w14:textId="77777777">
      <w:pPr>
        <w:rPr>
          <w:u w:val="single"/>
        </w:rPr>
      </w:pPr>
      <w:r>
        <w:t>A1.</w:t>
      </w:r>
      <w:r>
        <w:tab/>
      </w:r>
      <w:r>
        <w:rPr>
          <w:u w:val="single"/>
        </w:rPr>
        <w:t>CIRCUMSTANCES NECESSITATING COLLECTION OF INFORMATION</w:t>
      </w:r>
    </w:p>
    <w:p w:rsidR="00D276FF" w:rsidRDefault="00D276FF" w14:paraId="644F9B58" w14:textId="77777777">
      <w:pPr>
        <w:ind w:left="1080" w:hanging="720"/>
      </w:pPr>
    </w:p>
    <w:p w:rsidR="00D44A44" w:rsidP="00EB0D60" w:rsidRDefault="00D276FF" w14:paraId="5D076ACA" w14:textId="77777777">
      <w:pPr>
        <w:ind w:left="720"/>
      </w:pPr>
      <w:r>
        <w:t>This is a request for a</w:t>
      </w:r>
      <w:r w:rsidR="004F1388">
        <w:t xml:space="preserve"> new information collection for a </w:t>
      </w:r>
      <w:proofErr w:type="gramStart"/>
      <w:r>
        <w:t>three year</w:t>
      </w:r>
      <w:proofErr w:type="gramEnd"/>
      <w:r>
        <w:t xml:space="preserve"> clearance </w:t>
      </w:r>
      <w:r w:rsidR="004F1388">
        <w:t>for the United States Mint (U</w:t>
      </w:r>
      <w:r w:rsidR="00772BD1">
        <w:t>.</w:t>
      </w:r>
      <w:r w:rsidR="004F1388">
        <w:t>S</w:t>
      </w:r>
      <w:r w:rsidR="00772BD1">
        <w:t>.</w:t>
      </w:r>
      <w:r w:rsidR="004F1388">
        <w:t xml:space="preserve"> Mint)</w:t>
      </w:r>
      <w:r w:rsidR="008E29DD">
        <w:t xml:space="preserve">, Mint Form </w:t>
      </w:r>
      <w:r w:rsidRPr="00230C29" w:rsidR="008E29DD">
        <w:rPr>
          <w:i/>
        </w:rPr>
        <w:t xml:space="preserve">MF </w:t>
      </w:r>
      <w:r w:rsidRPr="00230C29" w:rsidR="00E2259F">
        <w:rPr>
          <w:i/>
        </w:rPr>
        <w:t>6006, U</w:t>
      </w:r>
      <w:r w:rsidRPr="00230C29" w:rsidR="008E29DD">
        <w:rPr>
          <w:i/>
        </w:rPr>
        <w:t xml:space="preserve">nited States </w:t>
      </w:r>
      <w:r w:rsidRPr="00230C29" w:rsidR="00E2259F">
        <w:rPr>
          <w:i/>
        </w:rPr>
        <w:t>Mint</w:t>
      </w:r>
      <w:r w:rsidRPr="00230C29" w:rsidR="004F1388">
        <w:rPr>
          <w:i/>
        </w:rPr>
        <w:t xml:space="preserve"> Mutilated Coin Redemption</w:t>
      </w:r>
      <w:r w:rsidRPr="00230C29" w:rsidR="00FA2F5C">
        <w:rPr>
          <w:i/>
        </w:rPr>
        <w:t xml:space="preserve"> Program</w:t>
      </w:r>
      <w:r w:rsidRPr="00230C29" w:rsidR="004F1388">
        <w:rPr>
          <w:i/>
        </w:rPr>
        <w:t xml:space="preserve"> </w:t>
      </w:r>
      <w:r w:rsidRPr="00230C29" w:rsidR="00FA2F5C">
        <w:rPr>
          <w:i/>
        </w:rPr>
        <w:t xml:space="preserve">Instructions and </w:t>
      </w:r>
      <w:r w:rsidRPr="00230C29" w:rsidR="004F1388">
        <w:rPr>
          <w:i/>
        </w:rPr>
        <w:t>Application Form</w:t>
      </w:r>
      <w:r w:rsidR="00E2259F">
        <w:t>.  The purpose of</w:t>
      </w:r>
      <w:r w:rsidR="00A42C8F">
        <w:t xml:space="preserve"> the U</w:t>
      </w:r>
      <w:r w:rsidR="00772BD1">
        <w:t>.</w:t>
      </w:r>
      <w:r w:rsidR="00A42C8F">
        <w:t>S</w:t>
      </w:r>
      <w:r w:rsidR="00772BD1">
        <w:t>.</w:t>
      </w:r>
      <w:r w:rsidR="00A42C8F">
        <w:t xml:space="preserve"> Mint Mutilated Coin Redemption Program </w:t>
      </w:r>
      <w:r w:rsidR="00DA6986">
        <w:t xml:space="preserve">Instructions and Application Form </w:t>
      </w:r>
      <w:r w:rsidR="00A42C8F">
        <w:t xml:space="preserve">is to establish </w:t>
      </w:r>
      <w:r w:rsidR="00D44A44">
        <w:t xml:space="preserve">instructions and </w:t>
      </w:r>
      <w:r w:rsidR="00A42C8F">
        <w:t>guideline</w:t>
      </w:r>
      <w:r w:rsidR="00573F5F">
        <w:t>s that outline the mutilated coin submission process including participant (individual</w:t>
      </w:r>
      <w:r w:rsidR="00FA2F5C">
        <w:t>s</w:t>
      </w:r>
      <w:r w:rsidR="00573F5F">
        <w:t xml:space="preserve"> and companies) application form</w:t>
      </w:r>
      <w:r w:rsidR="00FA2F5C">
        <w:t>s</w:t>
      </w:r>
      <w:r w:rsidR="00D44A44">
        <w:t>, certification and</w:t>
      </w:r>
      <w:r w:rsidR="00573F5F">
        <w:t xml:space="preserve"> authentication of mutilated US coinage and submission of S</w:t>
      </w:r>
      <w:r w:rsidR="002B7D3A">
        <w:t xml:space="preserve">tandard </w:t>
      </w:r>
      <w:r w:rsidR="00573F5F">
        <w:t>F</w:t>
      </w:r>
      <w:r w:rsidR="00230C29">
        <w:t xml:space="preserve">orm </w:t>
      </w:r>
      <w:r w:rsidRPr="00230C29" w:rsidR="00230C29">
        <w:rPr>
          <w:i/>
        </w:rPr>
        <w:t>SF</w:t>
      </w:r>
      <w:r w:rsidRPr="00230C29" w:rsidR="002B7D3A">
        <w:rPr>
          <w:i/>
        </w:rPr>
        <w:t xml:space="preserve"> 3881</w:t>
      </w:r>
      <w:r w:rsidRPr="00230C29" w:rsidR="00D44A44">
        <w:rPr>
          <w:i/>
        </w:rPr>
        <w:t>, ACH Vendor/Miscellaneous Payment Enrollment</w:t>
      </w:r>
      <w:r w:rsidR="00573F5F">
        <w:t xml:space="preserve"> </w:t>
      </w:r>
      <w:r w:rsidR="00D44A44">
        <w:t>for</w:t>
      </w:r>
      <w:r w:rsidR="00362AB1">
        <w:t xml:space="preserve"> processing electronic transfer </w:t>
      </w:r>
      <w:r w:rsidR="002B7D3A">
        <w:t xml:space="preserve">of </w:t>
      </w:r>
      <w:r w:rsidR="00362AB1">
        <w:t>funds for</w:t>
      </w:r>
      <w:r w:rsidR="00D44A44">
        <w:t xml:space="preserve"> payment</w:t>
      </w:r>
      <w:r w:rsidR="00362AB1">
        <w:t>s</w:t>
      </w:r>
      <w:r w:rsidR="00D44A44">
        <w:t>.</w:t>
      </w:r>
      <w:r>
        <w:t xml:space="preserve"> This clearance will allow the </w:t>
      </w:r>
      <w:r w:rsidR="00CA2CEA">
        <w:t>U</w:t>
      </w:r>
      <w:r w:rsidR="00772BD1">
        <w:t>.</w:t>
      </w:r>
      <w:r w:rsidR="00CA2CEA">
        <w:t>S</w:t>
      </w:r>
      <w:r w:rsidR="00772BD1">
        <w:t>.</w:t>
      </w:r>
      <w:r w:rsidR="00CA2CEA">
        <w:t xml:space="preserve"> Mint </w:t>
      </w:r>
      <w:r>
        <w:t xml:space="preserve">to comply </w:t>
      </w:r>
      <w:r w:rsidR="00D44A44">
        <w:t xml:space="preserve">with specific requirements of the Mutilated Coin Redemption Program </w:t>
      </w:r>
      <w:r w:rsidR="00362AB1">
        <w:t>under the authority of 31 U.S.C. § 5120</w:t>
      </w:r>
      <w:r w:rsidR="00FA2F5C">
        <w:t xml:space="preserve">, </w:t>
      </w:r>
      <w:r w:rsidRPr="00230C29" w:rsidR="00230C29">
        <w:rPr>
          <w:i/>
        </w:rPr>
        <w:t>Obsolete, Mutilated, and Worn Coins and C</w:t>
      </w:r>
      <w:r w:rsidRPr="00230C29" w:rsidR="00FA2F5C">
        <w:rPr>
          <w:i/>
        </w:rPr>
        <w:t>urrency</w:t>
      </w:r>
      <w:r w:rsidR="00FA2F5C">
        <w:t>,</w:t>
      </w:r>
      <w:r w:rsidR="00362AB1">
        <w:t xml:space="preserve"> which allow individuals and companies to exchange bent and/or partial coins for reimbursement</w:t>
      </w:r>
      <w:r w:rsidR="00230C29">
        <w:t xml:space="preserve">. Department of </w:t>
      </w:r>
      <w:r w:rsidR="00211AD8">
        <w:t xml:space="preserve">the </w:t>
      </w:r>
      <w:r w:rsidR="00D44A44">
        <w:t xml:space="preserve">Treasury regulations appearing in 31 C.F.R. part </w:t>
      </w:r>
      <w:r w:rsidR="00C45852">
        <w:t>100</w:t>
      </w:r>
      <w:r w:rsidR="00D44A44">
        <w:t xml:space="preserve"> subpart C</w:t>
      </w:r>
      <w:r w:rsidR="004F255E">
        <w:t xml:space="preserve">, </w:t>
      </w:r>
      <w:r w:rsidRPr="00230C29" w:rsidR="004F255E">
        <w:rPr>
          <w:i/>
        </w:rPr>
        <w:t>Request for Examination of Coin for Possible Redemption</w:t>
      </w:r>
      <w:r w:rsidR="00D44A44">
        <w:t>.  Subpart C regulations supporting the program include:</w:t>
      </w:r>
    </w:p>
    <w:p w:rsidR="00D44A44" w:rsidP="00EB0D60" w:rsidRDefault="00D44A44" w14:paraId="0098AFD6" w14:textId="77777777">
      <w:pPr>
        <w:ind w:left="720"/>
      </w:pPr>
    </w:p>
    <w:p w:rsidR="00D44A44" w:rsidP="009E350D" w:rsidRDefault="00D44A44" w14:paraId="7C9E6028" w14:textId="77777777">
      <w:pPr>
        <w:numPr>
          <w:ilvl w:val="0"/>
          <w:numId w:val="7"/>
        </w:numPr>
      </w:pPr>
      <w:r>
        <w:t>§100.10 Request for Examination of Uncurrent Coin for Possible Redemption</w:t>
      </w:r>
    </w:p>
    <w:p w:rsidR="00D44A44" w:rsidP="009E350D" w:rsidRDefault="00D44A44" w14:paraId="62DBE04E" w14:textId="77777777">
      <w:pPr>
        <w:numPr>
          <w:ilvl w:val="0"/>
          <w:numId w:val="7"/>
        </w:numPr>
      </w:pPr>
      <w:r>
        <w:t>§100.11 Request for Examination of Bent or Partial Coin for Possible Redemption</w:t>
      </w:r>
    </w:p>
    <w:p w:rsidR="001209E4" w:rsidP="009E350D" w:rsidRDefault="00D44A44" w14:paraId="28390CCB" w14:textId="77777777">
      <w:pPr>
        <w:numPr>
          <w:ilvl w:val="0"/>
          <w:numId w:val="7"/>
        </w:numPr>
      </w:pPr>
      <w:r>
        <w:t>§100.12 Exchange of Fused or Mixed Coin</w:t>
      </w:r>
    </w:p>
    <w:p w:rsidR="001209E4" w:rsidP="009E350D" w:rsidRDefault="001209E4" w14:paraId="2FAC9646" w14:textId="77777777">
      <w:pPr>
        <w:numPr>
          <w:ilvl w:val="0"/>
          <w:numId w:val="7"/>
        </w:numPr>
      </w:pPr>
      <w:r>
        <w:t>§100.13 Notices</w:t>
      </w:r>
    </w:p>
    <w:p w:rsidR="00772BD1" w:rsidRDefault="00772BD1" w14:paraId="0B0DBCB2" w14:textId="77777777">
      <w:pPr>
        <w:ind w:left="720"/>
      </w:pPr>
    </w:p>
    <w:p w:rsidR="009318A7" w:rsidP="00772BD1" w:rsidRDefault="00FD6762" w14:paraId="290CB429" w14:textId="77777777">
      <w:pPr>
        <w:ind w:left="720"/>
      </w:pPr>
      <w:r>
        <w:t>The U.S. Mint produces circulating coins for use by the public.  As a public service,</w:t>
      </w:r>
      <w:r w:rsidR="00D276FF">
        <w:t xml:space="preserve"> </w:t>
      </w:r>
      <w:r>
        <w:t xml:space="preserve">for over a century </w:t>
      </w:r>
      <w:r w:rsidR="00D276FF">
        <w:t>the</w:t>
      </w:r>
      <w:r w:rsidR="008A48B9">
        <w:t xml:space="preserve"> U</w:t>
      </w:r>
      <w:r w:rsidR="00772BD1">
        <w:t>.</w:t>
      </w:r>
      <w:r w:rsidR="008A48B9">
        <w:t>S</w:t>
      </w:r>
      <w:r w:rsidR="00772BD1">
        <w:t>.</w:t>
      </w:r>
      <w:r w:rsidR="00D276FF">
        <w:t xml:space="preserve"> Mint</w:t>
      </w:r>
      <w:r w:rsidR="008A48B9">
        <w:t xml:space="preserve"> </w:t>
      </w:r>
      <w:r>
        <w:t xml:space="preserve">has </w:t>
      </w:r>
      <w:r w:rsidR="008A48B9">
        <w:t>administer</w:t>
      </w:r>
      <w:r>
        <w:t>ed</w:t>
      </w:r>
      <w:r w:rsidR="008A48B9">
        <w:t xml:space="preserve"> a program that </w:t>
      </w:r>
      <w:r>
        <w:t>permits</w:t>
      </w:r>
      <w:r w:rsidR="008A48B9">
        <w:t xml:space="preserve"> individuals and </w:t>
      </w:r>
      <w:r w:rsidR="001209E4">
        <w:t>companies</w:t>
      </w:r>
      <w:r w:rsidR="008A48B9">
        <w:t xml:space="preserve"> </w:t>
      </w:r>
      <w:r>
        <w:t>to</w:t>
      </w:r>
      <w:r w:rsidR="008A48B9">
        <w:t xml:space="preserve"> rede</w:t>
      </w:r>
      <w:r>
        <w:t>em</w:t>
      </w:r>
      <w:r w:rsidR="008A48B9">
        <w:t xml:space="preserve"> mutilated U</w:t>
      </w:r>
      <w:r w:rsidR="00772BD1">
        <w:t>.</w:t>
      </w:r>
      <w:r w:rsidR="008A48B9">
        <w:t>S</w:t>
      </w:r>
      <w:r w:rsidR="00772BD1">
        <w:t>.</w:t>
      </w:r>
      <w:r w:rsidR="008A48B9">
        <w:t xml:space="preserve"> Mint coinage</w:t>
      </w:r>
      <w:r w:rsidR="00772BD1">
        <w:t xml:space="preserve">. </w:t>
      </w:r>
      <w:r w:rsidR="001209E4">
        <w:t xml:space="preserve"> </w:t>
      </w:r>
      <w:r w:rsidR="00772BD1">
        <w:t xml:space="preserve">The United States Mint Coin Redemption Program </w:t>
      </w:r>
      <w:r w:rsidR="00FA2F5C">
        <w:t xml:space="preserve">Instructions and </w:t>
      </w:r>
      <w:r w:rsidR="00772BD1">
        <w:t>Application Form</w:t>
      </w:r>
      <w:r w:rsidR="0094578D">
        <w:t>,</w:t>
      </w:r>
      <w:r w:rsidR="00772BD1">
        <w:t xml:space="preserve"> M</w:t>
      </w:r>
      <w:r w:rsidR="00C56179">
        <w:t>int</w:t>
      </w:r>
      <w:r w:rsidR="00772BD1">
        <w:t xml:space="preserve"> Form</w:t>
      </w:r>
      <w:r w:rsidR="00C56179">
        <w:t>, MF</w:t>
      </w:r>
      <w:r w:rsidR="00772BD1">
        <w:t xml:space="preserve"> </w:t>
      </w:r>
      <w:r w:rsidR="001209E4">
        <w:t>6006</w:t>
      </w:r>
      <w:r w:rsidR="00772BD1">
        <w:t xml:space="preserve"> and </w:t>
      </w:r>
      <w:r w:rsidR="009318A7">
        <w:t xml:space="preserve">SF </w:t>
      </w:r>
      <w:r w:rsidR="00AE7B87">
        <w:t>3881, ACH Vendor/Miscellaneous Payment Enrollment</w:t>
      </w:r>
      <w:r w:rsidR="00772BD1">
        <w:t xml:space="preserve"> supports performance of customer ser</w:t>
      </w:r>
      <w:r w:rsidR="0094578D">
        <w:t xml:space="preserve">vice by providing a program to redeem </w:t>
      </w:r>
      <w:r w:rsidR="00772BD1">
        <w:lastRenderedPageBreak/>
        <w:t xml:space="preserve">mutilated U.S. </w:t>
      </w:r>
      <w:r w:rsidR="0094578D">
        <w:t xml:space="preserve">Mint </w:t>
      </w:r>
      <w:r w:rsidR="00772BD1">
        <w:t xml:space="preserve">coins per established guidelines and regulations </w:t>
      </w:r>
      <w:r w:rsidR="0094578D">
        <w:t>outlined in  the U.S. Mutilated Coin Redemption Program</w:t>
      </w:r>
      <w:r w:rsidR="00C56179">
        <w:t>.</w:t>
      </w:r>
      <w:r w:rsidR="008A48B9">
        <w:t xml:space="preserve">  </w:t>
      </w:r>
    </w:p>
    <w:p w:rsidR="009318A7" w:rsidRDefault="009318A7" w14:paraId="676844E9" w14:textId="77777777">
      <w:pPr>
        <w:ind w:left="720" w:hanging="720"/>
      </w:pPr>
    </w:p>
    <w:p w:rsidR="00D276FF" w:rsidRDefault="009318A7" w14:paraId="26288B71" w14:textId="77777777">
      <w:pPr>
        <w:ind w:left="720" w:hanging="720"/>
      </w:pPr>
      <w:r>
        <w:tab/>
      </w:r>
      <w:r w:rsidR="00AE7B87">
        <w:t>The U</w:t>
      </w:r>
      <w:r w:rsidR="00772BD1">
        <w:t>.</w:t>
      </w:r>
      <w:r w:rsidR="00AE7B87">
        <w:t>S</w:t>
      </w:r>
      <w:r w:rsidR="00772BD1">
        <w:t>.</w:t>
      </w:r>
      <w:r w:rsidR="00AE7B87">
        <w:t xml:space="preserve"> Mint</w:t>
      </w:r>
      <w:r w:rsidR="008A48B9">
        <w:t xml:space="preserve"> </w:t>
      </w:r>
      <w:r w:rsidR="00AE7B87">
        <w:t>is s</w:t>
      </w:r>
      <w:r w:rsidR="008A48B9">
        <w:t xml:space="preserve">eeking a </w:t>
      </w:r>
      <w:r w:rsidR="00C45852">
        <w:t>three-year</w:t>
      </w:r>
      <w:r w:rsidR="008A48B9">
        <w:t xml:space="preserve"> clear</w:t>
      </w:r>
      <w:r>
        <w:t xml:space="preserve">ance </w:t>
      </w:r>
      <w:r w:rsidR="00FA2F5C">
        <w:t xml:space="preserve">as filed in the Federal Register </w:t>
      </w:r>
      <w:r>
        <w:t>that will provide</w:t>
      </w:r>
      <w:r w:rsidR="008A48B9">
        <w:t xml:space="preserve"> time for monitoring the performance</w:t>
      </w:r>
      <w:r w:rsidR="00FD6762">
        <w:t xml:space="preserve"> of the form</w:t>
      </w:r>
      <w:r w:rsidR="002B42E5">
        <w:t xml:space="preserve"> and identify</w:t>
      </w:r>
      <w:r w:rsidR="00F91E3D">
        <w:t>ing</w:t>
      </w:r>
      <w:r w:rsidR="002B42E5">
        <w:t xml:space="preserve"> </w:t>
      </w:r>
      <w:r w:rsidR="00FD6762">
        <w:t xml:space="preserve">any </w:t>
      </w:r>
      <w:r w:rsidR="002B42E5">
        <w:t>improvement</w:t>
      </w:r>
      <w:r w:rsidR="00FD6762">
        <w:t>s</w:t>
      </w:r>
      <w:r w:rsidR="002B42E5">
        <w:t xml:space="preserve"> necessary for </w:t>
      </w:r>
      <w:r w:rsidR="00FD6762">
        <w:t xml:space="preserve">the </w:t>
      </w:r>
      <w:r w:rsidR="002B42E5">
        <w:t>efficient and effective administration</w:t>
      </w:r>
      <w:r w:rsidR="008A48B9">
        <w:t xml:space="preserve"> of the U</w:t>
      </w:r>
      <w:r w:rsidR="00772BD1">
        <w:t>.</w:t>
      </w:r>
      <w:r w:rsidR="008A48B9">
        <w:t>S</w:t>
      </w:r>
      <w:r w:rsidR="00772BD1">
        <w:t>.</w:t>
      </w:r>
      <w:r w:rsidR="008A48B9">
        <w:t xml:space="preserve"> Mint Mutilated Coin </w:t>
      </w:r>
      <w:r w:rsidR="002B42E5">
        <w:t>Redemption Program</w:t>
      </w:r>
      <w:r w:rsidR="00FA2F5C">
        <w:t>.</w:t>
      </w:r>
      <w:r w:rsidR="00D276FF">
        <w:t xml:space="preserve"> </w:t>
      </w:r>
    </w:p>
    <w:p w:rsidR="00D276FF" w:rsidRDefault="00D276FF" w14:paraId="7C7A3DFF" w14:textId="77777777">
      <w:pPr>
        <w:ind w:left="1080" w:hanging="720"/>
      </w:pPr>
    </w:p>
    <w:p w:rsidR="00D276FF" w:rsidRDefault="00D276FF" w14:paraId="78A95891" w14:textId="77777777">
      <w:pPr>
        <w:ind w:left="720" w:hanging="720"/>
      </w:pPr>
      <w:r>
        <w:tab/>
        <w:t>This clearance covers data collection efforts by the</w:t>
      </w:r>
      <w:r w:rsidR="002B42E5">
        <w:t xml:space="preserve"> </w:t>
      </w:r>
      <w:r w:rsidR="00FD6762">
        <w:t xml:space="preserve">United States Mint at Philadelphia and the Mint’s </w:t>
      </w:r>
      <w:r w:rsidR="002B42E5">
        <w:t xml:space="preserve">Manufacturing </w:t>
      </w:r>
      <w:r w:rsidR="00FD6762">
        <w:t xml:space="preserve">and Finance </w:t>
      </w:r>
      <w:r w:rsidR="002B42E5">
        <w:t>Directorate</w:t>
      </w:r>
      <w:r w:rsidR="00FD6762">
        <w:t>s</w:t>
      </w:r>
      <w:r w:rsidR="002B42E5">
        <w:t xml:space="preserve"> in Washington DC</w:t>
      </w:r>
      <w:r w:rsidR="00274A11">
        <w:t xml:space="preserve">. This information collection will </w:t>
      </w:r>
      <w:proofErr w:type="gramStart"/>
      <w:r w:rsidR="00274A11">
        <w:t>provide:</w:t>
      </w:r>
      <w:r w:rsidR="002B42E5">
        <w:t>.</w:t>
      </w:r>
      <w:proofErr w:type="gramEnd"/>
      <w:r>
        <w:t xml:space="preserve"> </w:t>
      </w:r>
    </w:p>
    <w:p w:rsidR="005A21DC" w:rsidRDefault="005A21DC" w14:paraId="13B7B97A" w14:textId="77777777">
      <w:pPr>
        <w:ind w:left="720" w:hanging="720"/>
      </w:pPr>
    </w:p>
    <w:p w:rsidR="00D276FF" w:rsidP="004B50D3" w:rsidRDefault="00D276FF" w14:paraId="0A53281C" w14:textId="77777777">
      <w:pPr>
        <w:numPr>
          <w:ilvl w:val="0"/>
          <w:numId w:val="4"/>
        </w:numPr>
        <w:tabs>
          <w:tab w:val="left" w:pos="1080"/>
        </w:tabs>
      </w:pPr>
      <w:r>
        <w:t xml:space="preserve">Consistency with </w:t>
      </w:r>
      <w:r w:rsidR="00684B75">
        <w:t>U</w:t>
      </w:r>
      <w:r w:rsidR="00772BD1">
        <w:t>.</w:t>
      </w:r>
      <w:r w:rsidR="00684B75">
        <w:t>S</w:t>
      </w:r>
      <w:r w:rsidR="00772BD1">
        <w:t>.</w:t>
      </w:r>
      <w:r w:rsidR="00684B75">
        <w:t xml:space="preserve"> </w:t>
      </w:r>
      <w:r>
        <w:t>Mint mission and strategic objectives</w:t>
      </w:r>
      <w:r w:rsidR="00684B75">
        <w:t xml:space="preserve"> for providing exceptional customer </w:t>
      </w:r>
      <w:proofErr w:type="gramStart"/>
      <w:r w:rsidR="00684B75">
        <w:t>service</w:t>
      </w:r>
      <w:r w:rsidR="00641151">
        <w:t>;</w:t>
      </w:r>
      <w:proofErr w:type="gramEnd"/>
    </w:p>
    <w:p w:rsidR="00D276FF" w:rsidP="004B50D3" w:rsidRDefault="00D276FF" w14:paraId="333662C9" w14:textId="77777777"/>
    <w:p w:rsidR="00D276FF" w:rsidP="004B50D3" w:rsidRDefault="00641151" w14:paraId="48787DBB" w14:textId="77777777">
      <w:pPr>
        <w:numPr>
          <w:ilvl w:val="0"/>
          <w:numId w:val="4"/>
        </w:numPr>
      </w:pPr>
      <w:r>
        <w:t>Alignment</w:t>
      </w:r>
      <w:r w:rsidR="00D276FF">
        <w:t xml:space="preserve"> within </w:t>
      </w:r>
      <w:r w:rsidR="002F66E8">
        <w:t xml:space="preserve">the U.S. </w:t>
      </w:r>
      <w:r w:rsidR="00D276FF">
        <w:t xml:space="preserve">Mint’s Strategic Plan and/or U.S. Mint annual business </w:t>
      </w:r>
      <w:proofErr w:type="gramStart"/>
      <w:r w:rsidR="00D276FF">
        <w:t>plans</w:t>
      </w:r>
      <w:r w:rsidR="00442A17">
        <w:t>;</w:t>
      </w:r>
      <w:proofErr w:type="gramEnd"/>
    </w:p>
    <w:p w:rsidR="00D276FF" w:rsidP="004B50D3" w:rsidRDefault="00D276FF" w14:paraId="517C3810" w14:textId="77777777">
      <w:pPr>
        <w:ind w:left="1440" w:hanging="360"/>
      </w:pPr>
    </w:p>
    <w:p w:rsidR="00D276FF" w:rsidP="004B50D3" w:rsidRDefault="00D276FF" w14:paraId="257FA271" w14:textId="77777777">
      <w:pPr>
        <w:numPr>
          <w:ilvl w:val="0"/>
          <w:numId w:val="4"/>
        </w:numPr>
      </w:pPr>
      <w:r>
        <w:t xml:space="preserve">Minimized burden on the </w:t>
      </w:r>
      <w:proofErr w:type="gramStart"/>
      <w:r>
        <w:t>respondent</w:t>
      </w:r>
      <w:r w:rsidR="00641151">
        <w:t>;</w:t>
      </w:r>
      <w:proofErr w:type="gramEnd"/>
    </w:p>
    <w:p w:rsidR="00D276FF" w:rsidP="004B50D3" w:rsidRDefault="00D276FF" w14:paraId="2C87A0B8" w14:textId="77777777">
      <w:pPr>
        <w:ind w:left="1440" w:hanging="360"/>
      </w:pPr>
    </w:p>
    <w:p w:rsidR="00D276FF" w:rsidP="004B50D3" w:rsidRDefault="00D276FF" w14:paraId="6A2D7A40" w14:textId="77777777">
      <w:pPr>
        <w:numPr>
          <w:ilvl w:val="0"/>
          <w:numId w:val="4"/>
        </w:numPr>
      </w:pPr>
      <w:r>
        <w:t xml:space="preserve">Confidentiality of individual </w:t>
      </w:r>
      <w:proofErr w:type="gramStart"/>
      <w:r>
        <w:t>responses</w:t>
      </w:r>
      <w:r w:rsidR="00641151">
        <w:t>;</w:t>
      </w:r>
      <w:proofErr w:type="gramEnd"/>
    </w:p>
    <w:p w:rsidR="00D276FF" w:rsidP="004B50D3" w:rsidRDefault="00D276FF" w14:paraId="6DB7C70F" w14:textId="77777777">
      <w:pPr>
        <w:ind w:left="1440" w:hanging="360"/>
      </w:pPr>
    </w:p>
    <w:p w:rsidR="00D276FF" w:rsidP="004B50D3" w:rsidRDefault="00D276FF" w14:paraId="3E5C742C" w14:textId="77777777">
      <w:pPr>
        <w:numPr>
          <w:ilvl w:val="0"/>
          <w:numId w:val="4"/>
        </w:numPr>
      </w:pPr>
      <w:r>
        <w:t>Consistency with applicable law and regulation</w:t>
      </w:r>
      <w:r w:rsidR="00641151">
        <w:t>; and</w:t>
      </w:r>
    </w:p>
    <w:p w:rsidR="00D276FF" w:rsidP="004B50D3" w:rsidRDefault="00D276FF" w14:paraId="7BE1A136" w14:textId="77777777">
      <w:pPr>
        <w:ind w:left="720"/>
      </w:pPr>
    </w:p>
    <w:p w:rsidR="00D276FF" w:rsidP="004B50D3" w:rsidRDefault="00641151" w14:paraId="19F27DAB" w14:textId="77777777">
      <w:pPr>
        <w:numPr>
          <w:ilvl w:val="0"/>
          <w:numId w:val="4"/>
        </w:numPr>
      </w:pPr>
      <w:r>
        <w:t>Voluntary</w:t>
      </w:r>
      <w:r w:rsidR="00D276FF">
        <w:t xml:space="preserve"> data collection</w:t>
      </w:r>
      <w:r>
        <w:t>.</w:t>
      </w:r>
    </w:p>
    <w:p w:rsidR="00D276FF" w:rsidRDefault="00D276FF" w14:paraId="06CBD614" w14:textId="77777777"/>
    <w:p w:rsidR="00D276FF" w:rsidRDefault="00D276FF" w14:paraId="54E05F48" w14:textId="77777777">
      <w:r>
        <w:t>A2.</w:t>
      </w:r>
      <w:r>
        <w:tab/>
      </w:r>
      <w:r>
        <w:rPr>
          <w:u w:val="single"/>
        </w:rPr>
        <w:t>USE OF DATA</w:t>
      </w:r>
    </w:p>
    <w:p w:rsidR="00D276FF" w:rsidRDefault="00D276FF" w14:paraId="3EB438D4" w14:textId="77777777"/>
    <w:p w:rsidR="00D276FF" w:rsidP="004B50D3" w:rsidRDefault="00D81EA7" w14:paraId="22F4F788" w14:textId="77777777">
      <w:pPr>
        <w:ind w:left="720"/>
      </w:pPr>
      <w:r>
        <w:t xml:space="preserve">Individuals and businesses seeking to </w:t>
      </w:r>
      <w:r w:rsidRPr="00116858">
        <w:t xml:space="preserve">exchange bent and partial coins </w:t>
      </w:r>
      <w:r>
        <w:t>for reimbursement will</w:t>
      </w:r>
      <w:r w:rsidR="00684B75">
        <w:t xml:space="preserve"> complet</w:t>
      </w:r>
      <w:r>
        <w:t>e</w:t>
      </w:r>
      <w:r w:rsidR="00684B75">
        <w:t xml:space="preserve"> and submi</w:t>
      </w:r>
      <w:r>
        <w:t>t</w:t>
      </w:r>
      <w:r w:rsidR="00684B75">
        <w:t xml:space="preserve"> U</w:t>
      </w:r>
      <w:r w:rsidR="00772BD1">
        <w:t>.</w:t>
      </w:r>
      <w:r w:rsidR="00684B75">
        <w:t>S</w:t>
      </w:r>
      <w:r w:rsidR="00772BD1">
        <w:t>.</w:t>
      </w:r>
      <w:r w:rsidR="00C56179">
        <w:t xml:space="preserve"> Mint f</w:t>
      </w:r>
      <w:r w:rsidR="00684B75">
        <w:t>orm</w:t>
      </w:r>
      <w:r w:rsidR="00C56179">
        <w:t xml:space="preserve"> MF</w:t>
      </w:r>
      <w:r w:rsidR="00684B75">
        <w:t xml:space="preserve"> 6006, Mutilated Coin Redemption Program </w:t>
      </w:r>
      <w:r w:rsidR="00FA2F5C">
        <w:t xml:space="preserve">Instructions and </w:t>
      </w:r>
      <w:r w:rsidR="00684B75">
        <w:t>Application Form and SF Form</w:t>
      </w:r>
      <w:r w:rsidR="00AE7B87">
        <w:t xml:space="preserve"> </w:t>
      </w:r>
      <w:r w:rsidRPr="00AE7B87" w:rsidR="00AE7B87">
        <w:t>3881, ACH Vendor/Miscellaneous Payment Enrollment</w:t>
      </w:r>
      <w:r w:rsidR="002F66E8">
        <w:t>,</w:t>
      </w:r>
      <w:r w:rsidR="00772BD1">
        <w:t xml:space="preserve"> to </w:t>
      </w:r>
      <w:r w:rsidR="00F91E3D">
        <w:t xml:space="preserve">apply to </w:t>
      </w:r>
      <w:r w:rsidR="004E2713">
        <w:t xml:space="preserve">redeem </w:t>
      </w:r>
      <w:r w:rsidR="00684B75">
        <w:t>mutilated U</w:t>
      </w:r>
      <w:r w:rsidR="00772BD1">
        <w:t>.</w:t>
      </w:r>
      <w:r w:rsidR="00684B75">
        <w:t>S</w:t>
      </w:r>
      <w:r w:rsidR="00772BD1">
        <w:t>.</w:t>
      </w:r>
      <w:r w:rsidR="00684B75">
        <w:t xml:space="preserve"> Mint coinage</w:t>
      </w:r>
      <w:r w:rsidR="004E2713">
        <w:t>.</w:t>
      </w:r>
      <w:r w:rsidR="00D276FF">
        <w:t xml:space="preserve">  The information will be used to</w:t>
      </w:r>
      <w:r w:rsidR="004B50D3">
        <w:t xml:space="preserve"> r</w:t>
      </w:r>
      <w:r w:rsidR="004E2713">
        <w:t>eview</w:t>
      </w:r>
      <w:r w:rsidR="00F91E3D">
        <w:t xml:space="preserve"> and</w:t>
      </w:r>
      <w:r w:rsidR="004E2713">
        <w:t xml:space="preserve"> </w:t>
      </w:r>
      <w:r w:rsidR="00AE7B87">
        <w:t>approve or rejec</w:t>
      </w:r>
      <w:r w:rsidR="00FA2F5C">
        <w:t>t submissions for redeeming</w:t>
      </w:r>
      <w:r w:rsidR="00D363D2">
        <w:t xml:space="preserve"> U</w:t>
      </w:r>
      <w:r w:rsidR="00772BD1">
        <w:t>.</w:t>
      </w:r>
      <w:r w:rsidR="00D363D2">
        <w:t>S</w:t>
      </w:r>
      <w:r w:rsidR="00772BD1">
        <w:t>. Mint mutilated coin</w:t>
      </w:r>
      <w:r w:rsidR="009E350D">
        <w:t>s</w:t>
      </w:r>
      <w:r w:rsidR="0094578D">
        <w:t xml:space="preserve"> per the guidelines and regulations for </w:t>
      </w:r>
      <w:r w:rsidR="00FA2F5C">
        <w:t xml:space="preserve">the </w:t>
      </w:r>
      <w:r w:rsidR="0094578D">
        <w:t xml:space="preserve">United States Mint Mutilated Coin Redemption Program. </w:t>
      </w:r>
    </w:p>
    <w:p w:rsidR="00D276FF" w:rsidRDefault="00D276FF" w14:paraId="2AC8E011" w14:textId="77777777">
      <w:pPr>
        <w:ind w:left="720" w:hanging="1440"/>
      </w:pPr>
    </w:p>
    <w:p w:rsidR="00D276FF" w:rsidP="00F07DDA" w:rsidRDefault="00D276FF" w14:paraId="7748C6D6" w14:textId="77777777">
      <w:pPr>
        <w:ind w:left="720" w:hanging="720"/>
      </w:pPr>
      <w:r>
        <w:t>A3.</w:t>
      </w:r>
      <w:r>
        <w:tab/>
      </w:r>
      <w:r>
        <w:rPr>
          <w:u w:val="single"/>
        </w:rPr>
        <w:t>USE OF INFORMATION TECHNOLOGY TO REDUCE BURDEN</w:t>
      </w:r>
    </w:p>
    <w:p w:rsidR="00D276FF" w:rsidRDefault="00D276FF" w14:paraId="3E00F7B4" w14:textId="77777777"/>
    <w:p w:rsidR="00FA2F5C" w:rsidP="00D159FA" w:rsidRDefault="00F07DDA" w14:paraId="462B86E3" w14:textId="77777777">
      <w:pPr>
        <w:ind w:left="720"/>
      </w:pPr>
      <w:r>
        <w:t xml:space="preserve">U.S. Mint </w:t>
      </w:r>
      <w:r w:rsidR="00C56179">
        <w:t>form MF</w:t>
      </w:r>
      <w:r>
        <w:t xml:space="preserve"> 6006</w:t>
      </w:r>
      <w:r w:rsidR="00D159FA">
        <w:t xml:space="preserve"> is a fillable form for comp</w:t>
      </w:r>
      <w:r w:rsidR="0094578D">
        <w:t>letion, printing</w:t>
      </w:r>
      <w:r w:rsidR="002F66E8">
        <w:t>,</w:t>
      </w:r>
      <w:r w:rsidR="0094578D">
        <w:t xml:space="preserve"> and submission with </w:t>
      </w:r>
      <w:r w:rsidR="00D159FA">
        <w:t>SF Form 3881</w:t>
      </w:r>
      <w:r w:rsidR="00FD6762">
        <w:t>,</w:t>
      </w:r>
      <w:r w:rsidR="00D159FA">
        <w:t xml:space="preserve"> ACH Vendor/Miscellaneous Payment Enrollment form</w:t>
      </w:r>
      <w:r w:rsidR="00FD6762">
        <w:t xml:space="preserve">.  The forms </w:t>
      </w:r>
      <w:r w:rsidR="00B9105F">
        <w:t>will be</w:t>
      </w:r>
      <w:r w:rsidR="00FD6762">
        <w:t xml:space="preserve"> </w:t>
      </w:r>
      <w:r w:rsidR="00D159FA">
        <w:t xml:space="preserve">available at </w:t>
      </w:r>
      <w:hyperlink w:history="1" r:id="rId8">
        <w:r w:rsidRPr="00A91E54" w:rsidR="00FA2F5C">
          <w:rPr>
            <w:rStyle w:val="Hyperlink"/>
          </w:rPr>
          <w:t>https://www.usmint.gov/news/consumer-alerts/mutilated-coin-program</w:t>
        </w:r>
      </w:hyperlink>
      <w:r w:rsidR="00FA2F5C">
        <w:t>.</w:t>
      </w:r>
    </w:p>
    <w:p w:rsidR="00D159FA" w:rsidP="00D159FA" w:rsidRDefault="00D159FA" w14:paraId="0EE28BC8" w14:textId="77777777">
      <w:pPr>
        <w:ind w:left="720"/>
      </w:pPr>
    </w:p>
    <w:p w:rsidR="005A21DC" w:rsidRDefault="005A21DC" w14:paraId="24193EEA" w14:textId="77777777"/>
    <w:p w:rsidR="00FA2F5C" w:rsidRDefault="00FA2F5C" w14:paraId="778F66E1" w14:textId="77777777"/>
    <w:p w:rsidR="00FA2F5C" w:rsidRDefault="00FA2F5C" w14:paraId="536AB7B4" w14:textId="77777777"/>
    <w:p w:rsidR="00D276FF" w:rsidRDefault="00D276FF" w14:paraId="401658DF" w14:textId="77777777">
      <w:r>
        <w:lastRenderedPageBreak/>
        <w:t>A4.</w:t>
      </w:r>
      <w:r>
        <w:tab/>
      </w:r>
      <w:r>
        <w:rPr>
          <w:u w:val="single"/>
        </w:rPr>
        <w:t>EFFORTS TO IDENTIFY DUPLICATION</w:t>
      </w:r>
    </w:p>
    <w:p w:rsidR="00D276FF" w:rsidRDefault="00D276FF" w14:paraId="345C2CBE" w14:textId="77777777"/>
    <w:p w:rsidR="00D276FF" w:rsidRDefault="009318A7" w14:paraId="4F2D44AC" w14:textId="77777777">
      <w:pPr>
        <w:ind w:left="720"/>
      </w:pPr>
      <w:r>
        <w:t>U</w:t>
      </w:r>
      <w:r w:rsidR="00F07DDA">
        <w:t>.</w:t>
      </w:r>
      <w:r>
        <w:t>S</w:t>
      </w:r>
      <w:r w:rsidR="00F07DDA">
        <w:t>.</w:t>
      </w:r>
      <w:r>
        <w:t xml:space="preserve"> Mint </w:t>
      </w:r>
      <w:r w:rsidR="00D276FF">
        <w:t>internal review</w:t>
      </w:r>
      <w:r w:rsidR="00F07DDA">
        <w:t>,</w:t>
      </w:r>
      <w:r w:rsidR="00D276FF">
        <w:t xml:space="preserve"> approval</w:t>
      </w:r>
      <w:r w:rsidR="00F07DDA">
        <w:t xml:space="preserve">, and </w:t>
      </w:r>
      <w:r w:rsidR="00EB123C">
        <w:t>rejection</w:t>
      </w:r>
      <w:r w:rsidR="00D276FF">
        <w:t xml:space="preserve"> process ensures that duplication of data gathering within the </w:t>
      </w:r>
      <w:r w:rsidR="00A018C8">
        <w:t>U</w:t>
      </w:r>
      <w:r w:rsidR="00F07DDA">
        <w:t>.</w:t>
      </w:r>
      <w:r w:rsidR="00A018C8">
        <w:t>S</w:t>
      </w:r>
      <w:r w:rsidR="00F07DDA">
        <w:t>.</w:t>
      </w:r>
      <w:r w:rsidR="00A018C8">
        <w:t xml:space="preserve"> </w:t>
      </w:r>
      <w:r w:rsidR="00D276FF">
        <w:t>Mint</w:t>
      </w:r>
      <w:r w:rsidR="00F07DDA">
        <w:t xml:space="preserve"> process</w:t>
      </w:r>
      <w:r w:rsidR="00D276FF">
        <w:t xml:space="preserve"> is eliminated.</w:t>
      </w:r>
    </w:p>
    <w:p w:rsidR="00D276FF" w:rsidRDefault="00D276FF" w14:paraId="16B0578C" w14:textId="77777777">
      <w:pPr>
        <w:ind w:left="720"/>
      </w:pPr>
    </w:p>
    <w:p w:rsidR="00D276FF" w:rsidRDefault="00D276FF" w14:paraId="061B6044" w14:textId="77777777">
      <w:pPr>
        <w:ind w:left="720" w:hanging="720"/>
      </w:pPr>
      <w:r>
        <w:t>A5.</w:t>
      </w:r>
      <w:r>
        <w:tab/>
      </w:r>
      <w:r>
        <w:rPr>
          <w:u w:val="single"/>
        </w:rPr>
        <w:t>METHODS TO MINIMIZE BURDEN ON SMALL BUSINESSES OR OTHER SMALL ENTITIES</w:t>
      </w:r>
    </w:p>
    <w:p w:rsidR="00D276FF" w:rsidRDefault="00D276FF" w14:paraId="6348D257" w14:textId="77777777">
      <w:pPr>
        <w:ind w:left="720" w:hanging="720"/>
      </w:pPr>
    </w:p>
    <w:p w:rsidR="00D276FF" w:rsidRDefault="00D276FF" w14:paraId="7BBA31F0" w14:textId="77777777">
      <w:pPr>
        <w:ind w:left="720" w:hanging="720"/>
      </w:pPr>
      <w:r>
        <w:tab/>
      </w:r>
      <w:r w:rsidR="002249B2">
        <w:t>T</w:t>
      </w:r>
      <w:r w:rsidR="00274A11">
        <w:t xml:space="preserve">his information collection will not have a significant impact on small businesses or </w:t>
      </w:r>
      <w:r w:rsidR="00641151">
        <w:t xml:space="preserve">small </w:t>
      </w:r>
      <w:r w:rsidR="00274A11">
        <w:t>entities.</w:t>
      </w:r>
    </w:p>
    <w:p w:rsidR="00D276FF" w:rsidRDefault="00D276FF" w14:paraId="311AB854" w14:textId="77777777"/>
    <w:p w:rsidR="00D276FF" w:rsidRDefault="00D276FF" w14:paraId="691E36F8" w14:textId="77777777">
      <w:pPr>
        <w:ind w:left="720" w:hanging="720"/>
        <w:rPr>
          <w:u w:val="single"/>
        </w:rPr>
      </w:pPr>
      <w:r>
        <w:t>A6.</w:t>
      </w:r>
      <w:r>
        <w:tab/>
      </w:r>
      <w:r>
        <w:rPr>
          <w:u w:val="single"/>
        </w:rPr>
        <w:t>CONSEQUENCES OF LESS FREQUENT COLLECTION ON FEDERAL PROGRAMS OR POLICY ACTIVITIES</w:t>
      </w:r>
    </w:p>
    <w:p w:rsidR="00B91CDA" w:rsidP="00B91CDA" w:rsidRDefault="00B91CDA" w14:paraId="472FBABC" w14:textId="77777777"/>
    <w:p w:rsidR="00D276FF" w:rsidP="00B14ED8" w:rsidRDefault="00206C44" w14:paraId="0D1B94B1" w14:textId="77777777">
      <w:pPr>
        <w:ind w:left="720"/>
      </w:pPr>
      <w:r>
        <w:t>Without the ability to collect the required information for the U.S. Mint Mutilated Coin Redemption Pr</w:t>
      </w:r>
      <w:r w:rsidR="00F923D5">
        <w:t>ogram</w:t>
      </w:r>
      <w:r w:rsidR="000D3C4C">
        <w:t>, the U.S. Mint</w:t>
      </w:r>
      <w:r w:rsidR="00F923D5">
        <w:t xml:space="preserve"> would have insufficient information to redeem mutilated coins submitted for reimbursement.</w:t>
      </w:r>
    </w:p>
    <w:p w:rsidR="00F923D5" w:rsidP="00B14ED8" w:rsidRDefault="00F923D5" w14:paraId="76240E55" w14:textId="77777777">
      <w:pPr>
        <w:ind w:left="720"/>
      </w:pPr>
    </w:p>
    <w:p w:rsidR="00D276FF" w:rsidRDefault="00D276FF" w14:paraId="6046D062" w14:textId="77777777">
      <w:r>
        <w:t>A7.</w:t>
      </w:r>
      <w:r>
        <w:tab/>
      </w:r>
      <w:r>
        <w:rPr>
          <w:u w:val="single"/>
        </w:rPr>
        <w:t>SPECIAL CIRCUMSTANCES REQUIRING DATA COLLECTION TO BE</w:t>
      </w:r>
      <w:r>
        <w:t xml:space="preserve"> </w:t>
      </w:r>
      <w:r>
        <w:tab/>
      </w:r>
      <w:r>
        <w:rPr>
          <w:u w:val="single"/>
        </w:rPr>
        <w:t>INCONSISTENT WITH GUIDELINES IN 5 C</w:t>
      </w:r>
      <w:r w:rsidR="002F66E8">
        <w:rPr>
          <w:u w:val="single"/>
        </w:rPr>
        <w:t>.</w:t>
      </w:r>
      <w:r>
        <w:rPr>
          <w:u w:val="single"/>
        </w:rPr>
        <w:t>F</w:t>
      </w:r>
      <w:r w:rsidR="002F66E8">
        <w:rPr>
          <w:u w:val="single"/>
        </w:rPr>
        <w:t>.</w:t>
      </w:r>
      <w:r>
        <w:rPr>
          <w:u w:val="single"/>
        </w:rPr>
        <w:t>R</w:t>
      </w:r>
      <w:r w:rsidR="002F66E8">
        <w:rPr>
          <w:u w:val="single"/>
        </w:rPr>
        <w:t>.</w:t>
      </w:r>
      <w:r>
        <w:rPr>
          <w:u w:val="single"/>
        </w:rPr>
        <w:t xml:space="preserve"> </w:t>
      </w:r>
      <w:r w:rsidR="002F66E8">
        <w:t xml:space="preserve">§ </w:t>
      </w:r>
      <w:r>
        <w:rPr>
          <w:u w:val="single"/>
        </w:rPr>
        <w:t>1320.6</w:t>
      </w:r>
    </w:p>
    <w:p w:rsidR="00D276FF" w:rsidRDefault="00D276FF" w14:paraId="17B52309" w14:textId="77777777"/>
    <w:p w:rsidR="00D276FF" w:rsidRDefault="00D276FF" w14:paraId="1B0DC52C" w14:textId="77777777">
      <w:r>
        <w:tab/>
        <w:t xml:space="preserve">No special circumstances require the collection to be conducted in a manner </w:t>
      </w:r>
      <w:r>
        <w:tab/>
        <w:t>inconsistent with</w:t>
      </w:r>
      <w:r w:rsidR="00990AF2">
        <w:t xml:space="preserve"> the guidelines in 5 C</w:t>
      </w:r>
      <w:r w:rsidR="00BF4332">
        <w:t>.</w:t>
      </w:r>
      <w:r w:rsidR="00990AF2">
        <w:t>F</w:t>
      </w:r>
      <w:r w:rsidR="00BF4332">
        <w:t>.</w:t>
      </w:r>
      <w:r w:rsidR="00990AF2">
        <w:t>R</w:t>
      </w:r>
      <w:r w:rsidR="00BF4332">
        <w:t>. §</w:t>
      </w:r>
      <w:r w:rsidR="00990AF2">
        <w:t xml:space="preserve"> 1320.6, </w:t>
      </w:r>
      <w:r w:rsidR="00990AF2">
        <w:rPr>
          <w:lang w:val="en"/>
        </w:rPr>
        <w:t>Public P</w:t>
      </w:r>
      <w:r w:rsidRPr="00990AF2" w:rsidR="00990AF2">
        <w:rPr>
          <w:lang w:val="en"/>
        </w:rPr>
        <w:t>rotection</w:t>
      </w:r>
      <w:r w:rsidR="00990AF2">
        <w:rPr>
          <w:lang w:val="en"/>
        </w:rPr>
        <w:t>.</w:t>
      </w:r>
    </w:p>
    <w:p w:rsidR="00D276FF" w:rsidRDefault="00D276FF" w14:paraId="7A51E599" w14:textId="77777777"/>
    <w:p w:rsidR="00D276FF" w:rsidRDefault="00D276FF" w14:paraId="32E21CC3" w14:textId="77777777">
      <w:pPr>
        <w:rPr>
          <w:u w:val="single"/>
        </w:rPr>
      </w:pPr>
      <w:r>
        <w:t>A8.</w:t>
      </w:r>
      <w:r>
        <w:tab/>
      </w:r>
      <w:r>
        <w:rPr>
          <w:u w:val="single"/>
        </w:rPr>
        <w:t>CONSULTATION WITH INDIVIDUALS OUTSIDE OF THE AGENCY ON</w:t>
      </w:r>
      <w:r>
        <w:t xml:space="preserve"> </w:t>
      </w:r>
      <w:r>
        <w:tab/>
      </w:r>
      <w:r>
        <w:rPr>
          <w:u w:val="single"/>
        </w:rPr>
        <w:t>AVAILABILITY OF DATA, FREQUENCY OF COLLECTION, CLARITY OF</w:t>
      </w:r>
      <w:r>
        <w:t xml:space="preserve"> </w:t>
      </w:r>
      <w:r>
        <w:tab/>
      </w:r>
      <w:r>
        <w:rPr>
          <w:u w:val="single"/>
        </w:rPr>
        <w:t>INSTRUCTIONS AND FORMS, AND DATA ELEMENTS</w:t>
      </w:r>
    </w:p>
    <w:p w:rsidR="00D276FF" w:rsidRDefault="00D276FF" w14:paraId="27763A2F" w14:textId="77777777"/>
    <w:p w:rsidR="00D276FF" w:rsidP="00362AB1" w:rsidRDefault="00D276FF" w14:paraId="7DA2F2A4" w14:textId="77777777">
      <w:pPr>
        <w:ind w:left="720"/>
      </w:pPr>
      <w:r>
        <w:t xml:space="preserve">The </w:t>
      </w:r>
      <w:r w:rsidR="009318A7">
        <w:t xml:space="preserve">U.S. </w:t>
      </w:r>
      <w:r>
        <w:t>Mint collaborates with</w:t>
      </w:r>
      <w:r w:rsidR="009318A7">
        <w:t xml:space="preserve"> the Bureau of </w:t>
      </w:r>
      <w:r w:rsidR="007E5AF1">
        <w:t xml:space="preserve">the </w:t>
      </w:r>
      <w:r w:rsidR="009318A7">
        <w:t>Fiscal Service for the processing of payments for approved submissions for re</w:t>
      </w:r>
      <w:r w:rsidR="00362AB1">
        <w:t xml:space="preserve">imbursement based on weight equivalent </w:t>
      </w:r>
      <w:r w:rsidR="00362292">
        <w:t xml:space="preserve">value </w:t>
      </w:r>
      <w:r w:rsidR="00362AB1">
        <w:t>of the denomination</w:t>
      </w:r>
      <w:r w:rsidR="000E3A66">
        <w:t>s</w:t>
      </w:r>
      <w:r w:rsidR="00362AB1">
        <w:t xml:space="preserve"> submitted as mutilated coins.</w:t>
      </w:r>
      <w:r>
        <w:t xml:space="preserve"> </w:t>
      </w:r>
    </w:p>
    <w:p w:rsidR="00D276FF" w:rsidRDefault="00D276FF" w14:paraId="6F43680C" w14:textId="77777777"/>
    <w:p w:rsidR="00D276FF" w:rsidRDefault="00D276FF" w14:paraId="07FB98E9" w14:textId="77777777">
      <w:r>
        <w:t>A9.</w:t>
      </w:r>
      <w:r>
        <w:tab/>
      </w:r>
      <w:r>
        <w:rPr>
          <w:u w:val="single"/>
        </w:rPr>
        <w:t>EXPLANATION OF DECISION TO PROVIDE PAYMENT OR GIFT TO</w:t>
      </w:r>
      <w:r>
        <w:t xml:space="preserve"> </w:t>
      </w:r>
      <w:r>
        <w:tab/>
      </w:r>
      <w:r>
        <w:rPr>
          <w:u w:val="single"/>
        </w:rPr>
        <w:t>RESPONDENTS</w:t>
      </w:r>
    </w:p>
    <w:p w:rsidR="00D276FF" w:rsidRDefault="00D276FF" w14:paraId="5A25E28F" w14:textId="77777777"/>
    <w:p w:rsidR="00D276FF" w:rsidP="00362AB1" w:rsidRDefault="00DA6986" w14:paraId="7A715F76" w14:textId="77777777">
      <w:pPr>
        <w:ind w:left="720"/>
      </w:pPr>
      <w:r>
        <w:t>Decision to provide payment is based on compliance with</w:t>
      </w:r>
      <w:r w:rsidR="00641151">
        <w:t xml:space="preserve"> statutory and</w:t>
      </w:r>
      <w:r>
        <w:t xml:space="preserve"> regulatory requirements, including</w:t>
      </w:r>
      <w:r w:rsidR="00641151">
        <w:t xml:space="preserve"> 31 U.S.C. § 5120 and</w:t>
      </w:r>
      <w:r>
        <w:t xml:space="preserve"> 31 C.F.R. part 100 subpart C.  </w:t>
      </w:r>
    </w:p>
    <w:p w:rsidR="00D276FF" w:rsidRDefault="00EA3B5C" w14:paraId="6A683810" w14:textId="77777777">
      <w:r>
        <w:br w:type="page"/>
      </w:r>
    </w:p>
    <w:p w:rsidR="00D276FF" w:rsidRDefault="00D276FF" w14:paraId="3B3BA3F1" w14:textId="77777777">
      <w:r>
        <w:t>A10.</w:t>
      </w:r>
      <w:r>
        <w:tab/>
      </w:r>
      <w:r>
        <w:rPr>
          <w:u w:val="single"/>
        </w:rPr>
        <w:t>ASSURANCE OF CONFIDENTIALITY OF RESPONSES</w:t>
      </w:r>
    </w:p>
    <w:p w:rsidR="00C56179" w:rsidRDefault="00F07DDA" w14:paraId="7A0D1E21" w14:textId="77777777">
      <w:r>
        <w:tab/>
      </w:r>
    </w:p>
    <w:p w:rsidR="00514443" w:rsidP="00C56179" w:rsidRDefault="00F07DDA" w14:paraId="6449C010" w14:textId="77777777">
      <w:pPr>
        <w:ind w:firstLine="720"/>
      </w:pPr>
      <w:r>
        <w:t xml:space="preserve">All information is maintained in </w:t>
      </w:r>
      <w:r w:rsidR="00362292">
        <w:t xml:space="preserve">a </w:t>
      </w:r>
      <w:r>
        <w:t>secure environment</w:t>
      </w:r>
      <w:r w:rsidR="00C56179">
        <w:t>.</w:t>
      </w:r>
      <w:r>
        <w:t xml:space="preserve"> </w:t>
      </w:r>
      <w:r w:rsidR="00514443">
        <w:t xml:space="preserve">  </w:t>
      </w:r>
    </w:p>
    <w:p w:rsidR="00D276FF" w:rsidRDefault="00D276FF" w14:paraId="7C5A0B30" w14:textId="77777777"/>
    <w:p w:rsidR="00D276FF" w:rsidRDefault="00D276FF" w14:paraId="256C276D" w14:textId="77777777">
      <w:r>
        <w:t>A11.</w:t>
      </w:r>
      <w:r>
        <w:tab/>
      </w:r>
      <w:r>
        <w:rPr>
          <w:u w:val="single"/>
        </w:rPr>
        <w:t>JUSTIFICATION OF SENSITIVE QUESTIONS</w:t>
      </w:r>
    </w:p>
    <w:p w:rsidR="00D276FF" w:rsidRDefault="00D276FF" w14:paraId="41314528" w14:textId="77777777"/>
    <w:p w:rsidR="00D276FF" w:rsidP="00D159FA" w:rsidRDefault="004E2713" w14:paraId="1A36F117" w14:textId="77777777">
      <w:pPr>
        <w:ind w:left="720"/>
      </w:pPr>
      <w:proofErr w:type="gramStart"/>
      <w:r>
        <w:t>Personally</w:t>
      </w:r>
      <w:proofErr w:type="gramEnd"/>
      <w:r>
        <w:t xml:space="preserve"> identifiable information </w:t>
      </w:r>
      <w:r w:rsidR="00F923D5">
        <w:t xml:space="preserve">(PII) </w:t>
      </w:r>
      <w:r w:rsidR="000D3C4C">
        <w:t xml:space="preserve">is </w:t>
      </w:r>
      <w:r>
        <w:t xml:space="preserve">needed to </w:t>
      </w:r>
      <w:r w:rsidR="00F91E3D">
        <w:t>evaluate application</w:t>
      </w:r>
      <w:r w:rsidR="000D3C4C">
        <w:t>s</w:t>
      </w:r>
      <w:r w:rsidR="00F91E3D">
        <w:t xml:space="preserve"> and </w:t>
      </w:r>
      <w:r>
        <w:t xml:space="preserve">issue reimbursement </w:t>
      </w:r>
      <w:r w:rsidR="00C56179">
        <w:t xml:space="preserve">payment </w:t>
      </w:r>
      <w:r w:rsidR="00F07DDA">
        <w:t>to requesters seeking reimbursement based on the weight equivalent of the value of the denomination</w:t>
      </w:r>
      <w:r w:rsidR="00362292">
        <w:t>s</w:t>
      </w:r>
      <w:r w:rsidR="00F07DDA">
        <w:t xml:space="preserve"> submitted as </w:t>
      </w:r>
      <w:r>
        <w:t>mutilated U</w:t>
      </w:r>
      <w:r w:rsidR="00F07DDA">
        <w:t>.</w:t>
      </w:r>
      <w:r>
        <w:t>S</w:t>
      </w:r>
      <w:r w:rsidR="00F07DDA">
        <w:t>.</w:t>
      </w:r>
      <w:r>
        <w:t xml:space="preserve"> Mint</w:t>
      </w:r>
      <w:r w:rsidR="00F07DDA">
        <w:t xml:space="preserve"> coins.</w:t>
      </w:r>
      <w:r w:rsidR="00F923D5">
        <w:t xml:space="preserve">  </w:t>
      </w:r>
      <w:r w:rsidRPr="00335DC4" w:rsidR="000D3C4C">
        <w:t>P</w:t>
      </w:r>
      <w:r w:rsidRPr="00335DC4" w:rsidR="00F923D5">
        <w:t xml:space="preserve">rivacy implications </w:t>
      </w:r>
      <w:r w:rsidRPr="00335DC4" w:rsidR="000D3C4C">
        <w:t xml:space="preserve">are </w:t>
      </w:r>
      <w:r w:rsidRPr="00335DC4" w:rsidR="00F923D5">
        <w:t>being addressed through the development of privacy documents</w:t>
      </w:r>
      <w:r w:rsidRPr="00335DC4" w:rsidR="00335DC4">
        <w:t>, such as a P</w:t>
      </w:r>
      <w:r w:rsidR="0072163F">
        <w:t>rivacy and Civil Liberties Impact Assessment and System of Records Notice</w:t>
      </w:r>
      <w:r w:rsidRPr="00335DC4" w:rsidR="00335DC4">
        <w:t>,</w:t>
      </w:r>
      <w:r w:rsidR="00CE2612">
        <w:t xml:space="preserve"> which are</w:t>
      </w:r>
      <w:r w:rsidRPr="00335DC4" w:rsidR="00F923D5">
        <w:t xml:space="preserve"> currently in progress.</w:t>
      </w:r>
    </w:p>
    <w:p w:rsidR="00D276FF" w:rsidRDefault="00D276FF" w14:paraId="48CBC5DD" w14:textId="77777777"/>
    <w:p w:rsidR="00D276FF" w:rsidRDefault="00D276FF" w14:paraId="4C728634" w14:textId="77777777">
      <w:r>
        <w:t>A12.</w:t>
      </w:r>
      <w:r>
        <w:tab/>
      </w:r>
      <w:r>
        <w:rPr>
          <w:u w:val="single"/>
        </w:rPr>
        <w:t>ESTIMATED BURDEN OF INFORMATION COLLECTION</w:t>
      </w:r>
    </w:p>
    <w:p w:rsidR="00D276FF" w:rsidRDefault="00D276FF" w14:paraId="60934757" w14:textId="77777777"/>
    <w:p w:rsidR="00D276FF" w:rsidRDefault="00D276FF" w14:paraId="0D24B544" w14:textId="77777777">
      <w:pPr>
        <w:ind w:left="720"/>
      </w:pPr>
      <w:r>
        <w:t xml:space="preserve">The estimated </w:t>
      </w:r>
      <w:r w:rsidR="0091442D">
        <w:t xml:space="preserve">annual </w:t>
      </w:r>
      <w:r>
        <w:t>number of</w:t>
      </w:r>
      <w:r w:rsidR="00514443">
        <w:t xml:space="preserve"> respondents is </w:t>
      </w:r>
      <w:r w:rsidR="00FA2F5C">
        <w:t>200</w:t>
      </w:r>
      <w:r w:rsidR="00514443">
        <w:t xml:space="preserve"> and estimated </w:t>
      </w:r>
      <w:r>
        <w:t>annual</w:t>
      </w:r>
      <w:r w:rsidR="00F07DDA">
        <w:t xml:space="preserve"> </w:t>
      </w:r>
      <w:r>
        <w:t xml:space="preserve">burden hours is </w:t>
      </w:r>
      <w:r w:rsidR="00514443">
        <w:t>200</w:t>
      </w:r>
      <w:r w:rsidR="00A53982">
        <w:t xml:space="preserve">. </w:t>
      </w:r>
      <w:r>
        <w:t xml:space="preserve">  </w:t>
      </w:r>
    </w:p>
    <w:p w:rsidR="002249B2" w:rsidRDefault="002249B2" w14:paraId="544AB151" w14:textId="77777777">
      <w:pPr>
        <w:ind w:left="720"/>
      </w:pPr>
    </w:p>
    <w:tbl>
      <w:tblPr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63"/>
        <w:gridCol w:w="1459"/>
        <w:gridCol w:w="1351"/>
        <w:gridCol w:w="1303"/>
        <w:gridCol w:w="1248"/>
        <w:gridCol w:w="1412"/>
      </w:tblGrid>
      <w:tr w:rsidR="00F563FC" w:rsidTr="00B91CDA" w14:paraId="41F459CC" w14:textId="77777777">
        <w:tc>
          <w:tcPr>
            <w:tcW w:w="1476" w:type="dxa"/>
            <w:shd w:val="clear" w:color="auto" w:fill="auto"/>
            <w:vAlign w:val="center"/>
          </w:tcPr>
          <w:p w:rsidR="00F563FC" w:rsidP="00B91CDA" w:rsidRDefault="00F563FC" w14:paraId="5081526E" w14:textId="77777777">
            <w:pPr>
              <w:jc w:val="center"/>
            </w:pPr>
            <w:r>
              <w:t>Collection Instrument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563FC" w:rsidP="00B91CDA" w:rsidRDefault="00F563FC" w14:paraId="0C443648" w14:textId="77777777">
            <w:pPr>
              <w:jc w:val="center"/>
            </w:pPr>
            <w:r>
              <w:t>Number of Respondents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563FC" w:rsidP="00B91CDA" w:rsidRDefault="00F563FC" w14:paraId="2FE32659" w14:textId="77777777">
            <w:pPr>
              <w:jc w:val="center"/>
            </w:pPr>
            <w:r>
              <w:t>Number of Responses per year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563FC" w:rsidP="00B91CDA" w:rsidRDefault="00F563FC" w14:paraId="3842F508" w14:textId="77777777">
            <w:pPr>
              <w:jc w:val="center"/>
            </w:pPr>
            <w:r>
              <w:t>Average Burden per Response (in hours)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563FC" w:rsidP="00B91CDA" w:rsidRDefault="00F563FC" w14:paraId="7BBEFF6E" w14:textId="77777777">
            <w:pPr>
              <w:jc w:val="center"/>
            </w:pPr>
            <w:r>
              <w:t>Average Hourly Wage Rate</w:t>
            </w:r>
            <w:r w:rsidR="00BD57D8">
              <w:rPr>
                <w:rStyle w:val="FootnoteReference"/>
              </w:rPr>
              <w:footnoteReference w:id="1"/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563FC" w:rsidP="00B91CDA" w:rsidRDefault="00F563FC" w14:paraId="695A22C2" w14:textId="77777777">
            <w:pPr>
              <w:jc w:val="center"/>
            </w:pPr>
            <w:r>
              <w:t>Total Annual Respondent Cost</w:t>
            </w:r>
          </w:p>
        </w:tc>
      </w:tr>
      <w:tr w:rsidR="00F563FC" w:rsidTr="00B91CDA" w14:paraId="21510F47" w14:textId="77777777">
        <w:tc>
          <w:tcPr>
            <w:tcW w:w="1476" w:type="dxa"/>
            <w:shd w:val="clear" w:color="auto" w:fill="auto"/>
            <w:vAlign w:val="center"/>
          </w:tcPr>
          <w:p w:rsidR="00F563FC" w:rsidP="00B91CDA" w:rsidRDefault="00F563FC" w14:paraId="5625C179" w14:textId="77777777">
            <w:pPr>
              <w:jc w:val="center"/>
            </w:pPr>
            <w:r>
              <w:t>MF 6006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563FC" w:rsidP="00B91CDA" w:rsidRDefault="00F563FC" w14:paraId="017C1B0C" w14:textId="77777777">
            <w:pPr>
              <w:jc w:val="center"/>
            </w:pPr>
            <w:r>
              <w:t>200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563FC" w:rsidP="00B91CDA" w:rsidRDefault="00F563FC" w14:paraId="112657E8" w14:textId="77777777">
            <w:pPr>
              <w:jc w:val="center"/>
            </w:pPr>
            <w:r>
              <w:t>1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563FC" w:rsidP="00B91CDA" w:rsidRDefault="00F563FC" w14:paraId="070709C5" w14:textId="77777777">
            <w:pPr>
              <w:jc w:val="center"/>
            </w:pPr>
            <w:r>
              <w:t>200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563FC" w:rsidP="00B91CDA" w:rsidRDefault="00BD57D8" w14:paraId="340E892C" w14:textId="77777777">
            <w:pPr>
              <w:jc w:val="center"/>
            </w:pPr>
            <w:r>
              <w:t>$</w:t>
            </w:r>
            <w:r w:rsidR="001F4CB3">
              <w:t>37.03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563FC" w:rsidP="00B91CDA" w:rsidRDefault="00BD57D8" w14:paraId="2CB11A77" w14:textId="77777777">
            <w:pPr>
              <w:jc w:val="center"/>
            </w:pPr>
            <w:r>
              <w:t>$</w:t>
            </w:r>
            <w:r w:rsidR="001F4CB3">
              <w:t>7,406</w:t>
            </w:r>
          </w:p>
        </w:tc>
      </w:tr>
      <w:tr w:rsidR="00F563FC" w:rsidTr="003F7FF5" w14:paraId="2371190A" w14:textId="77777777">
        <w:tc>
          <w:tcPr>
            <w:tcW w:w="1476" w:type="dxa"/>
            <w:shd w:val="clear" w:color="auto" w:fill="auto"/>
            <w:vAlign w:val="center"/>
          </w:tcPr>
          <w:p w:rsidRPr="007858FE" w:rsidR="00F563FC" w:rsidP="00B91CDA" w:rsidRDefault="00F563FC" w14:paraId="3DC3CFED" w14:textId="77777777">
            <w:pPr>
              <w:jc w:val="center"/>
              <w:rPr>
                <w:b/>
                <w:bCs/>
              </w:rPr>
            </w:pPr>
            <w:r w:rsidRPr="007858FE">
              <w:rPr>
                <w:b/>
                <w:bCs/>
              </w:rPr>
              <w:t>Total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Pr="007858FE" w:rsidR="00F563FC" w:rsidP="00B91CDA" w:rsidRDefault="00F563FC" w14:paraId="1C0C90FA" w14:textId="77777777">
            <w:pPr>
              <w:jc w:val="center"/>
              <w:rPr>
                <w:b/>
                <w:bCs/>
              </w:rPr>
            </w:pPr>
            <w:r w:rsidRPr="007858FE">
              <w:rPr>
                <w:b/>
                <w:bCs/>
              </w:rPr>
              <w:t>200</w:t>
            </w:r>
          </w:p>
        </w:tc>
        <w:tc>
          <w:tcPr>
            <w:tcW w:w="1476" w:type="dxa"/>
            <w:shd w:val="clear" w:color="auto" w:fill="BFBFBF"/>
            <w:vAlign w:val="center"/>
          </w:tcPr>
          <w:p w:rsidRPr="007858FE" w:rsidR="00F563FC" w:rsidP="00B91CDA" w:rsidRDefault="00F563FC" w14:paraId="292288C2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Pr="007858FE" w:rsidR="00F563FC" w:rsidP="00B91CDA" w:rsidRDefault="00F563FC" w14:paraId="2CE54E53" w14:textId="77777777">
            <w:pPr>
              <w:jc w:val="center"/>
              <w:rPr>
                <w:b/>
                <w:bCs/>
              </w:rPr>
            </w:pPr>
            <w:r w:rsidRPr="007858FE">
              <w:rPr>
                <w:b/>
                <w:bCs/>
              </w:rPr>
              <w:t>200</w:t>
            </w:r>
          </w:p>
        </w:tc>
        <w:tc>
          <w:tcPr>
            <w:tcW w:w="1476" w:type="dxa"/>
            <w:shd w:val="clear" w:color="auto" w:fill="BFBFBF"/>
            <w:vAlign w:val="center"/>
          </w:tcPr>
          <w:p w:rsidRPr="007858FE" w:rsidR="00F563FC" w:rsidP="00B91CDA" w:rsidRDefault="00F563FC" w14:paraId="73FA8371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Pr="007858FE" w:rsidR="00F563FC" w:rsidP="00B91CDA" w:rsidRDefault="001F4CB3" w14:paraId="6C917637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$7,406</w:t>
            </w:r>
          </w:p>
        </w:tc>
      </w:tr>
    </w:tbl>
    <w:p w:rsidR="002249B2" w:rsidRDefault="002249B2" w14:paraId="44DA4E41" w14:textId="77777777">
      <w:pPr>
        <w:ind w:left="720"/>
      </w:pPr>
    </w:p>
    <w:p w:rsidR="00D276FF" w:rsidP="00514443" w:rsidRDefault="00D276FF" w14:paraId="05F8E13E" w14:textId="77777777"/>
    <w:p w:rsidR="00D276FF" w:rsidRDefault="00D276FF" w14:paraId="37E5C1E5" w14:textId="77777777">
      <w:r>
        <w:t>A13.</w:t>
      </w:r>
      <w:r>
        <w:tab/>
      </w:r>
      <w:r>
        <w:rPr>
          <w:u w:val="single"/>
        </w:rPr>
        <w:t>ESTIMATED TOTAL ANNUAL COST BURDEN TO RESPONDENTS</w:t>
      </w:r>
    </w:p>
    <w:p w:rsidR="00D276FF" w:rsidRDefault="00D276FF" w14:paraId="044C34C7" w14:textId="77777777"/>
    <w:p w:rsidR="006465AD" w:rsidP="00362AB1" w:rsidRDefault="006465AD" w14:paraId="7A916DD0" w14:textId="77777777">
      <w:pPr>
        <w:ind w:left="720"/>
      </w:pPr>
      <w:r>
        <w:t>There are no start-up or annualized costs to respondents for this information collection.  Respondents may mail completed forms to the U.S. Mint. Therefore, we estimate that respondents would incur $1.10 per response for the postage.  The total respondent postage costs for this information collection would be $220.00 (200 x $1.10 = $220.00)</w:t>
      </w:r>
      <w:r w:rsidR="00B91CDA">
        <w:t>.</w:t>
      </w:r>
    </w:p>
    <w:p w:rsidR="006465AD" w:rsidP="00362AB1" w:rsidRDefault="006465AD" w14:paraId="382EB541" w14:textId="77777777">
      <w:pPr>
        <w:ind w:left="720"/>
      </w:pPr>
    </w:p>
    <w:p w:rsidR="00D276FF" w:rsidRDefault="00D276FF" w14:paraId="72EC5FA5" w14:textId="77777777"/>
    <w:p w:rsidR="00D276FF" w:rsidRDefault="00D276FF" w14:paraId="711E1F65" w14:textId="77777777">
      <w:r>
        <w:t>A14.</w:t>
      </w:r>
      <w:r>
        <w:tab/>
      </w:r>
      <w:r>
        <w:rPr>
          <w:u w:val="single"/>
        </w:rPr>
        <w:t>ESTIMATED ANNUALIZED COST TO THE FEDERAL GOVERNMENT</w:t>
      </w:r>
    </w:p>
    <w:p w:rsidR="00D276FF" w:rsidP="00B91CDA" w:rsidRDefault="00D276FF" w14:paraId="2BA7599B" w14:textId="77777777">
      <w:pPr>
        <w:ind w:left="720"/>
      </w:pPr>
    </w:p>
    <w:p w:rsidR="002E7FB1" w:rsidP="00B91CDA" w:rsidRDefault="002E7FB1" w14:paraId="4E256926" w14:textId="77777777">
      <w:pPr>
        <w:ind w:left="720"/>
      </w:pPr>
      <w:r w:rsidRPr="0025604D">
        <w:lastRenderedPageBreak/>
        <w:t>There will be no annualized capital/start-up costs for the government to receive this information.</w:t>
      </w:r>
      <w:r>
        <w:t xml:space="preserve">  The below table reflects the estimated time for a GS-13, Step 1 to review the information collected. </w:t>
      </w:r>
    </w:p>
    <w:tbl>
      <w:tblPr>
        <w:tblpPr w:leftFromText="180" w:rightFromText="180" w:vertAnchor="text" w:horzAnchor="page" w:tblpX="2133" w:tblpY="278"/>
        <w:tblW w:w="9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1620"/>
        <w:gridCol w:w="1170"/>
        <w:gridCol w:w="1170"/>
        <w:gridCol w:w="1440"/>
        <w:gridCol w:w="1710"/>
        <w:tblGridChange w:id="0">
          <w:tblGrid>
            <w:gridCol w:w="2430"/>
            <w:gridCol w:w="1620"/>
            <w:gridCol w:w="1170"/>
            <w:gridCol w:w="1170"/>
            <w:gridCol w:w="1440"/>
            <w:gridCol w:w="1710"/>
          </w:tblGrid>
        </w:tblGridChange>
      </w:tblGrid>
      <w:tr w:rsidRPr="0090747A" w:rsidR="00B91CDA" w:rsidTr="00B91CDA" w14:paraId="16AB95CF" w14:textId="77777777">
        <w:tc>
          <w:tcPr>
            <w:tcW w:w="2430" w:type="dxa"/>
            <w:vAlign w:val="center"/>
          </w:tcPr>
          <w:p w:rsidRPr="00AE3F4E" w:rsidR="00B91CDA" w:rsidP="00B91CDA" w:rsidRDefault="00B91CDA" w14:paraId="0C3FA87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</w:pPr>
            <w:r w:rsidRPr="00AE3F4E">
              <w:t>Collection Instrument</w:t>
            </w:r>
          </w:p>
        </w:tc>
        <w:tc>
          <w:tcPr>
            <w:tcW w:w="1620" w:type="dxa"/>
            <w:vAlign w:val="center"/>
          </w:tcPr>
          <w:p w:rsidRPr="00AE3F4E" w:rsidR="00B91CDA" w:rsidP="00B91CDA" w:rsidRDefault="00B91CDA" w14:paraId="012F29B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  <w:rPr>
                <w:bCs/>
              </w:rPr>
            </w:pPr>
            <w:r w:rsidRPr="00AE3F4E">
              <w:rPr>
                <w:bCs/>
              </w:rPr>
              <w:t>Number of Responses</w:t>
            </w:r>
          </w:p>
        </w:tc>
        <w:tc>
          <w:tcPr>
            <w:tcW w:w="1170" w:type="dxa"/>
            <w:vAlign w:val="center"/>
          </w:tcPr>
          <w:p w:rsidRPr="00AE3F4E" w:rsidR="00B91CDA" w:rsidP="00B91CDA" w:rsidRDefault="00B91CDA" w14:paraId="095FF95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  <w:rPr>
                <w:bCs/>
              </w:rPr>
            </w:pPr>
            <w:r w:rsidRPr="00AE3F4E">
              <w:rPr>
                <w:bCs/>
              </w:rPr>
              <w:t>Average Review Time per Response (in hours)</w:t>
            </w:r>
          </w:p>
        </w:tc>
        <w:tc>
          <w:tcPr>
            <w:tcW w:w="1170" w:type="dxa"/>
            <w:vAlign w:val="center"/>
          </w:tcPr>
          <w:p w:rsidRPr="00AE3F4E" w:rsidR="00B91CDA" w:rsidP="00B91CDA" w:rsidRDefault="00B91CDA" w14:paraId="41ED70B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  <w:rPr>
                <w:bCs/>
              </w:rPr>
            </w:pPr>
            <w:r w:rsidRPr="00AE3F4E">
              <w:rPr>
                <w:bCs/>
              </w:rPr>
              <w:t>Total Time to Review (in hours)</w:t>
            </w:r>
          </w:p>
        </w:tc>
        <w:tc>
          <w:tcPr>
            <w:tcW w:w="1440" w:type="dxa"/>
            <w:vAlign w:val="center"/>
          </w:tcPr>
          <w:p w:rsidRPr="006E19D3" w:rsidR="00B91CDA" w:rsidP="00B91CDA" w:rsidRDefault="00B91CDA" w14:paraId="4D0A40A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  <w:rPr>
                <w:bCs/>
              </w:rPr>
            </w:pPr>
            <w:r w:rsidRPr="00AE3F4E">
              <w:rPr>
                <w:bCs/>
              </w:rPr>
              <w:t xml:space="preserve">Average </w:t>
            </w:r>
            <w:r w:rsidRPr="00942AEE">
              <w:rPr>
                <w:bCs/>
              </w:rPr>
              <w:t xml:space="preserve">Hourly Wage </w:t>
            </w:r>
            <w:r w:rsidRPr="006E19D3">
              <w:rPr>
                <w:bCs/>
              </w:rPr>
              <w:t>Rate</w:t>
            </w:r>
            <w:r>
              <w:rPr>
                <w:rStyle w:val="FootnoteReference"/>
                <w:bCs/>
              </w:rPr>
              <w:footnoteReference w:id="2"/>
            </w:r>
          </w:p>
        </w:tc>
        <w:tc>
          <w:tcPr>
            <w:tcW w:w="1710" w:type="dxa"/>
            <w:vAlign w:val="center"/>
          </w:tcPr>
          <w:p w:rsidRPr="006E19D3" w:rsidR="00B91CDA" w:rsidP="00B91CDA" w:rsidRDefault="00B91CDA" w14:paraId="1D60691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  <w:rPr>
                <w:bCs/>
              </w:rPr>
            </w:pPr>
            <w:r w:rsidRPr="006E19D3">
              <w:rPr>
                <w:bCs/>
              </w:rPr>
              <w:t>Total Annual Government Cost</w:t>
            </w:r>
          </w:p>
        </w:tc>
      </w:tr>
      <w:tr w:rsidRPr="0090747A" w:rsidR="00B91CDA" w:rsidTr="00B91CDA" w14:paraId="73007F8C" w14:textId="77777777">
        <w:tc>
          <w:tcPr>
            <w:tcW w:w="2430" w:type="dxa"/>
            <w:vAlign w:val="center"/>
          </w:tcPr>
          <w:p w:rsidRPr="00AE3F4E" w:rsidR="00B91CDA" w:rsidP="00B91CDA" w:rsidRDefault="00B91CDA" w14:paraId="4F9ED78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</w:pPr>
            <w:r w:rsidRPr="00AE3F4E">
              <w:t>Mutilated Coin Redemption Program Form</w:t>
            </w:r>
          </w:p>
        </w:tc>
        <w:tc>
          <w:tcPr>
            <w:tcW w:w="1620" w:type="dxa"/>
            <w:vAlign w:val="center"/>
          </w:tcPr>
          <w:p w:rsidRPr="00AE3F4E" w:rsidR="00B91CDA" w:rsidP="00B91CDA" w:rsidRDefault="00B91CDA" w14:paraId="1BBE374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  <w:rPr>
                <w:bCs/>
              </w:rPr>
            </w:pPr>
            <w:r w:rsidRPr="00AE3F4E">
              <w:rPr>
                <w:bCs/>
              </w:rPr>
              <w:t>200</w:t>
            </w:r>
          </w:p>
        </w:tc>
        <w:tc>
          <w:tcPr>
            <w:tcW w:w="1170" w:type="dxa"/>
            <w:vAlign w:val="center"/>
          </w:tcPr>
          <w:p w:rsidRPr="00AE3F4E" w:rsidR="00B91CDA" w:rsidP="00B91CDA" w:rsidRDefault="00B91CDA" w14:paraId="6B5B2FE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  <w:rPr>
                <w:bCs/>
              </w:rPr>
            </w:pPr>
            <w:r w:rsidRPr="00AE3F4E">
              <w:rPr>
                <w:bCs/>
              </w:rPr>
              <w:t>0.25 hours (15 minutes)</w:t>
            </w:r>
          </w:p>
        </w:tc>
        <w:tc>
          <w:tcPr>
            <w:tcW w:w="1170" w:type="dxa"/>
            <w:vAlign w:val="center"/>
          </w:tcPr>
          <w:p w:rsidRPr="00AE3F4E" w:rsidR="00B91CDA" w:rsidP="00B91CDA" w:rsidRDefault="00B91CDA" w14:paraId="24488E1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  <w:rPr>
                <w:bCs/>
              </w:rPr>
            </w:pPr>
            <w:r w:rsidRPr="00AE3F4E">
              <w:rPr>
                <w:bCs/>
              </w:rPr>
              <w:t>50</w:t>
            </w:r>
          </w:p>
        </w:tc>
        <w:tc>
          <w:tcPr>
            <w:tcW w:w="1440" w:type="dxa"/>
            <w:vAlign w:val="center"/>
          </w:tcPr>
          <w:p w:rsidRPr="00AE3F4E" w:rsidR="00B91CDA" w:rsidP="00B91CDA" w:rsidRDefault="00B91CDA" w14:paraId="0E803A5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  <w:rPr>
                <w:bCs/>
              </w:rPr>
            </w:pPr>
            <w:r w:rsidRPr="00AE3F4E">
              <w:t>$71.54</w:t>
            </w:r>
          </w:p>
        </w:tc>
        <w:tc>
          <w:tcPr>
            <w:tcW w:w="1710" w:type="dxa"/>
            <w:vAlign w:val="center"/>
          </w:tcPr>
          <w:p w:rsidRPr="00AE3F4E" w:rsidR="00B91CDA" w:rsidP="00B91CDA" w:rsidRDefault="00B91CDA" w14:paraId="6849D1B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$3,577.00</w:t>
            </w:r>
          </w:p>
        </w:tc>
      </w:tr>
      <w:tr w:rsidRPr="0090747A" w:rsidR="00B91CDA" w:rsidTr="00B91CDA" w14:paraId="7423EDBE" w14:textId="77777777">
        <w:tc>
          <w:tcPr>
            <w:tcW w:w="2430" w:type="dxa"/>
            <w:vAlign w:val="center"/>
          </w:tcPr>
          <w:p w:rsidRPr="00AE3F4E" w:rsidR="00B91CDA" w:rsidP="00B91CDA" w:rsidRDefault="00B91CDA" w14:paraId="752A250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  <w:rPr>
                <w:b/>
              </w:rPr>
            </w:pPr>
            <w:r w:rsidRPr="00AE3F4E">
              <w:rPr>
                <w:b/>
              </w:rPr>
              <w:t>TOTAL</w:t>
            </w:r>
          </w:p>
        </w:tc>
        <w:tc>
          <w:tcPr>
            <w:tcW w:w="1620" w:type="dxa"/>
            <w:vAlign w:val="center"/>
          </w:tcPr>
          <w:p w:rsidRPr="00AE3F4E" w:rsidR="00B91CDA" w:rsidP="00B91CDA" w:rsidRDefault="00B91CDA" w14:paraId="6CDB717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  <w:rPr>
                <w:b/>
              </w:rPr>
            </w:pPr>
            <w:r w:rsidRPr="00AE3F4E">
              <w:rPr>
                <w:b/>
              </w:rPr>
              <w:t>200</w:t>
            </w:r>
          </w:p>
        </w:tc>
        <w:tc>
          <w:tcPr>
            <w:tcW w:w="1170" w:type="dxa"/>
            <w:shd w:val="clear" w:color="auto" w:fill="BFBFBF"/>
            <w:vAlign w:val="center"/>
          </w:tcPr>
          <w:p w:rsidRPr="00AE3F4E" w:rsidR="00B91CDA" w:rsidP="00B91CDA" w:rsidRDefault="00B91CDA" w14:paraId="399C6F5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170" w:type="dxa"/>
            <w:vAlign w:val="center"/>
          </w:tcPr>
          <w:p w:rsidRPr="00AE3F4E" w:rsidR="00B91CDA" w:rsidP="00B91CDA" w:rsidRDefault="00B91CDA" w14:paraId="416854B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440" w:type="dxa"/>
            <w:shd w:val="clear" w:color="auto" w:fill="BFBFBF"/>
            <w:vAlign w:val="center"/>
          </w:tcPr>
          <w:p w:rsidRPr="00AE3F4E" w:rsidR="00B91CDA" w:rsidP="00B91CDA" w:rsidRDefault="00B91CDA" w14:paraId="5A86D0D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710" w:type="dxa"/>
            <w:vAlign w:val="center"/>
          </w:tcPr>
          <w:p w:rsidRPr="00AE3F4E" w:rsidR="00B91CDA" w:rsidP="00B91CDA" w:rsidRDefault="00B91CDA" w14:paraId="0106923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$3,577.00</w:t>
            </w:r>
          </w:p>
        </w:tc>
      </w:tr>
    </w:tbl>
    <w:p w:rsidR="00AE3F4E" w:rsidP="009639C7" w:rsidRDefault="00AE3F4E" w14:paraId="216480D9" w14:textId="77777777"/>
    <w:p w:rsidR="00AE3F4E" w:rsidP="009639C7" w:rsidRDefault="00AE3F4E" w14:paraId="27AFB65D" w14:textId="77777777"/>
    <w:p w:rsidR="00D276FF" w:rsidRDefault="00D276FF" w14:paraId="1AF3C3BC" w14:textId="77777777">
      <w:r>
        <w:t>A15.</w:t>
      </w:r>
      <w:r>
        <w:tab/>
      </w:r>
      <w:r>
        <w:rPr>
          <w:u w:val="single"/>
        </w:rPr>
        <w:t>REASONS FOR CHANGE IN BURDEN</w:t>
      </w:r>
    </w:p>
    <w:p w:rsidR="00D276FF" w:rsidRDefault="00D276FF" w14:paraId="14A8D4BF" w14:textId="77777777"/>
    <w:p w:rsidR="00D276FF" w:rsidRDefault="00D276FF" w14:paraId="2BF667DF" w14:textId="77777777">
      <w:r>
        <w:tab/>
        <w:t>This is a</w:t>
      </w:r>
      <w:r w:rsidR="00504369">
        <w:t xml:space="preserve"> new information collection</w:t>
      </w:r>
      <w:r w:rsidR="00D159FA">
        <w:t xml:space="preserve">.  </w:t>
      </w:r>
    </w:p>
    <w:p w:rsidR="00D159FA" w:rsidRDefault="00D159FA" w14:paraId="26FBB09A" w14:textId="77777777"/>
    <w:p w:rsidR="00D276FF" w:rsidRDefault="00D276FF" w14:paraId="20B2CE93" w14:textId="77777777">
      <w:r>
        <w:t>A16.</w:t>
      </w:r>
      <w:r>
        <w:tab/>
      </w:r>
      <w:r>
        <w:rPr>
          <w:u w:val="single"/>
        </w:rPr>
        <w:t xml:space="preserve">PLANS FOR TABULATION, STATISTICAL </w:t>
      </w:r>
      <w:proofErr w:type="gramStart"/>
      <w:r>
        <w:rPr>
          <w:u w:val="single"/>
        </w:rPr>
        <w:t>AN</w:t>
      </w:r>
      <w:r w:rsidR="002F66E8">
        <w:rPr>
          <w:u w:val="single"/>
        </w:rPr>
        <w:t>A</w:t>
      </w:r>
      <w:r>
        <w:rPr>
          <w:u w:val="single"/>
        </w:rPr>
        <w:t>LYSIS</w:t>
      </w:r>
      <w:proofErr w:type="gramEnd"/>
      <w:r>
        <w:rPr>
          <w:u w:val="single"/>
        </w:rPr>
        <w:t xml:space="preserve"> AND </w:t>
      </w:r>
      <w:r>
        <w:tab/>
      </w:r>
      <w:r>
        <w:rPr>
          <w:u w:val="single"/>
        </w:rPr>
        <w:t>PUBLICATION</w:t>
      </w:r>
    </w:p>
    <w:p w:rsidR="00D276FF" w:rsidRDefault="00D276FF" w14:paraId="06ABB3F3" w14:textId="77777777"/>
    <w:p w:rsidR="00D276FF" w:rsidRDefault="00D276FF" w14:paraId="04231CE4" w14:textId="77777777">
      <w:r>
        <w:tab/>
        <w:t>Information from data collection</w:t>
      </w:r>
      <w:r w:rsidR="00D159FA">
        <w:t>s</w:t>
      </w:r>
      <w:r>
        <w:t xml:space="preserve"> will not be published for statistical purposes.</w:t>
      </w:r>
    </w:p>
    <w:p w:rsidR="00D276FF" w:rsidRDefault="00D276FF" w14:paraId="5217FF5D" w14:textId="77777777"/>
    <w:p w:rsidR="00D276FF" w:rsidRDefault="00D276FF" w14:paraId="7DAC76E3" w14:textId="77777777">
      <w:r>
        <w:t>A17.</w:t>
      </w:r>
      <w:r>
        <w:tab/>
      </w:r>
      <w:r>
        <w:rPr>
          <w:u w:val="single"/>
        </w:rPr>
        <w:t>REASONS WHY DISPLAYING THE OMB EXPIRATION DATE IS</w:t>
      </w:r>
      <w:r>
        <w:t xml:space="preserve"> </w:t>
      </w:r>
      <w:r>
        <w:tab/>
      </w:r>
      <w:r>
        <w:rPr>
          <w:u w:val="single"/>
        </w:rPr>
        <w:t>INAPPROPRIATE</w:t>
      </w:r>
    </w:p>
    <w:p w:rsidR="00D276FF" w:rsidRDefault="00D276FF" w14:paraId="5C59D614" w14:textId="77777777"/>
    <w:p w:rsidR="00D276FF" w:rsidP="00362AB1" w:rsidRDefault="00504369" w14:paraId="7D76A197" w14:textId="77777777">
      <w:pPr>
        <w:ind w:left="720"/>
      </w:pPr>
      <w:r>
        <w:t>The OMB expiration date will be displayed on the U</w:t>
      </w:r>
      <w:r w:rsidR="00C56179">
        <w:t>.</w:t>
      </w:r>
      <w:r>
        <w:t>S</w:t>
      </w:r>
      <w:r w:rsidR="00C56179">
        <w:t>.</w:t>
      </w:r>
      <w:r>
        <w:t xml:space="preserve"> Mint Coin Redemption Program </w:t>
      </w:r>
      <w:r w:rsidR="00525F44">
        <w:t xml:space="preserve">Instruction and </w:t>
      </w:r>
      <w:r>
        <w:t>Application Form.</w:t>
      </w:r>
    </w:p>
    <w:p w:rsidR="00D276FF" w:rsidRDefault="00D276FF" w14:paraId="4B222660" w14:textId="77777777"/>
    <w:p w:rsidR="00D276FF" w:rsidRDefault="00D276FF" w14:paraId="782708EA" w14:textId="77777777">
      <w:r>
        <w:t>A18.</w:t>
      </w:r>
      <w:r>
        <w:tab/>
      </w:r>
      <w:r>
        <w:rPr>
          <w:u w:val="single"/>
        </w:rPr>
        <w:t>EXCEPTIONS TO THE CERTIFICATION STATEMENT ON OMB</w:t>
      </w:r>
      <w:r>
        <w:t xml:space="preserve"> </w:t>
      </w:r>
    </w:p>
    <w:p w:rsidR="00D276FF" w:rsidRDefault="00D276FF" w14:paraId="0C8DE342" w14:textId="77777777">
      <w:pPr>
        <w:rPr>
          <w:u w:val="single"/>
        </w:rPr>
      </w:pPr>
      <w:r>
        <w:tab/>
      </w:r>
      <w:r>
        <w:rPr>
          <w:u w:val="single"/>
        </w:rPr>
        <w:t>FORM 83-I</w:t>
      </w:r>
    </w:p>
    <w:p w:rsidR="00D276FF" w:rsidRDefault="00D276FF" w14:paraId="3A542455" w14:textId="77777777"/>
    <w:p w:rsidR="00D276FF" w:rsidRDefault="00D276FF" w14:paraId="4902A40D" w14:textId="77777777">
      <w:r>
        <w:tab/>
        <w:t>Not applicable.  There are no exceptions for certifications.</w:t>
      </w:r>
    </w:p>
    <w:p w:rsidR="00D276FF" w:rsidP="00C855D0" w:rsidRDefault="00D276FF" w14:paraId="055C5208" w14:textId="77777777"/>
    <w:sectPr w:rsidR="00D276FF" w:rsidSect="00D7279D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15D4F" w14:textId="77777777" w:rsidR="00FD5C6E" w:rsidRDefault="00FD5C6E">
      <w:r>
        <w:separator/>
      </w:r>
    </w:p>
  </w:endnote>
  <w:endnote w:type="continuationSeparator" w:id="0">
    <w:p w14:paraId="2193F42D" w14:textId="77777777" w:rsidR="00FD5C6E" w:rsidRDefault="00FD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19839" w14:textId="77777777" w:rsidR="0022369D" w:rsidRDefault="002236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198D30" w14:textId="77777777" w:rsidR="0022369D" w:rsidRDefault="002236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50736" w14:textId="77777777" w:rsidR="0022369D" w:rsidRDefault="002236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7B26">
      <w:rPr>
        <w:rStyle w:val="PageNumber"/>
        <w:noProof/>
      </w:rPr>
      <w:t>- 2 -</w:t>
    </w:r>
    <w:r>
      <w:rPr>
        <w:rStyle w:val="PageNumber"/>
      </w:rPr>
      <w:fldChar w:fldCharType="end"/>
    </w:r>
  </w:p>
  <w:p w14:paraId="764270C4" w14:textId="77777777" w:rsidR="0022369D" w:rsidRDefault="00223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19312" w14:textId="77777777" w:rsidR="00FD5C6E" w:rsidRDefault="00FD5C6E">
      <w:r>
        <w:separator/>
      </w:r>
    </w:p>
  </w:footnote>
  <w:footnote w:type="continuationSeparator" w:id="0">
    <w:p w14:paraId="5374BABD" w14:textId="77777777" w:rsidR="00FD5C6E" w:rsidRDefault="00FD5C6E">
      <w:r>
        <w:continuationSeparator/>
      </w:r>
    </w:p>
  </w:footnote>
  <w:footnote w:id="1">
    <w:p w14:paraId="24A8F212" w14:textId="77777777" w:rsidR="00BD57D8" w:rsidRDefault="00BD57D8" w:rsidP="00BD57D8">
      <w:pPr>
        <w:pStyle w:val="FootnoteText"/>
      </w:pPr>
      <w:r>
        <w:rPr>
          <w:rStyle w:val="FootnoteReference"/>
        </w:rPr>
        <w:footnoteRef/>
      </w:r>
      <w:r>
        <w:t xml:space="preserve"> It is expected that </w:t>
      </w:r>
      <w:r w:rsidR="00300221">
        <w:t xml:space="preserve">respondents to this collection </w:t>
      </w:r>
      <w:r w:rsidR="00907ABA">
        <w:t xml:space="preserve">could be from any occupation.  </w:t>
      </w:r>
      <w:r>
        <w:t xml:space="preserve">The </w:t>
      </w:r>
      <w:r w:rsidR="00907ABA">
        <w:t xml:space="preserve">2019 </w:t>
      </w:r>
      <w:r>
        <w:t xml:space="preserve">average wage rate </w:t>
      </w:r>
      <w:r w:rsidR="00907ABA">
        <w:t>for all occupations</w:t>
      </w:r>
      <w:r>
        <w:t xml:space="preserve"> is $</w:t>
      </w:r>
      <w:r w:rsidR="00A60BB8">
        <w:t>25.72</w:t>
      </w:r>
      <w:r w:rsidR="00907ABA">
        <w:t>.  This is sourced from the Bureau of Labor Statistics website:</w:t>
      </w:r>
      <w:r>
        <w:t xml:space="preserve">  </w:t>
      </w:r>
      <w:hyperlink r:id="rId1" w:history="1">
        <w:r w:rsidRPr="00751A4F">
          <w:rPr>
            <w:rStyle w:val="Hyperlink"/>
          </w:rPr>
          <w:t>https://www.bls.</w:t>
        </w:r>
        <w:r w:rsidRPr="00751A4F">
          <w:rPr>
            <w:rStyle w:val="Hyperlink"/>
          </w:rPr>
          <w:t>g</w:t>
        </w:r>
        <w:r w:rsidRPr="00751A4F">
          <w:rPr>
            <w:rStyle w:val="Hyperlink"/>
          </w:rPr>
          <w:t>ov/oes</w:t>
        </w:r>
        <w:r w:rsidRPr="00751A4F">
          <w:rPr>
            <w:rStyle w:val="Hyperlink"/>
          </w:rPr>
          <w:t>/</w:t>
        </w:r>
        <w:r w:rsidRPr="00751A4F">
          <w:rPr>
            <w:rStyle w:val="Hyperlink"/>
          </w:rPr>
          <w:t>current/oes_nat.htm</w:t>
        </w:r>
      </w:hyperlink>
      <w:r>
        <w:t xml:space="preserve">   A benefit multiplier of 1.44 is used to calculate a fully-loaded wage rate of $</w:t>
      </w:r>
      <w:r w:rsidR="00A60BB8">
        <w:t>37.03</w:t>
      </w:r>
      <w:r w:rsidR="00907ABA">
        <w:t xml:space="preserve"> </w:t>
      </w:r>
      <w:r>
        <w:t>($</w:t>
      </w:r>
      <w:r w:rsidR="00A60BB8">
        <w:t>25.72</w:t>
      </w:r>
      <w:r w:rsidR="00907ABA">
        <w:t xml:space="preserve"> </w:t>
      </w:r>
      <w:r>
        <w:t>x</w:t>
      </w:r>
      <w:r w:rsidR="00907ABA">
        <w:t xml:space="preserve"> </w:t>
      </w:r>
      <w:r>
        <w:t>1.44=</w:t>
      </w:r>
      <w:r w:rsidR="00907ABA">
        <w:t xml:space="preserve"> $</w:t>
      </w:r>
      <w:r w:rsidR="00A60BB8">
        <w:t>37.03</w:t>
      </w:r>
      <w:r>
        <w:t>)</w:t>
      </w:r>
    </w:p>
    <w:p w14:paraId="005B734F" w14:textId="77777777" w:rsidR="00BD57D8" w:rsidRDefault="00BD57D8" w:rsidP="00BD57D8">
      <w:pPr>
        <w:pStyle w:val="FootnoteText"/>
      </w:pPr>
    </w:p>
    <w:p w14:paraId="4F635E36" w14:textId="77777777" w:rsidR="00BD57D8" w:rsidRDefault="00BD57D8">
      <w:pPr>
        <w:pStyle w:val="FootnoteText"/>
      </w:pPr>
      <w:r>
        <w:t xml:space="preserve">Using the BLS Employer Costs for Employee Compensation – March 2020 report </w:t>
      </w:r>
      <w:hyperlink r:id="rId2" w:history="1">
        <w:r w:rsidRPr="00751A4F">
          <w:rPr>
            <w:rStyle w:val="Hyperlink"/>
          </w:rPr>
          <w:t>https://www.bls.gov/news.release/pdf/ecec.pdf</w:t>
        </w:r>
      </w:hyperlink>
      <w:r>
        <w:t>, a benefit multiplier of 1.44 was calculated by taking the private industry worker 50</w:t>
      </w:r>
      <w:r w:rsidRPr="00816F79">
        <w:rPr>
          <w:vertAlign w:val="superscript"/>
        </w:rPr>
        <w:t>th</w:t>
      </w:r>
      <w:r>
        <w:t xml:space="preserve"> (median) wage percentile total compensation rate divided by the wages and salaries rate.  $26/$18.05=1.44  </w:t>
      </w:r>
    </w:p>
  </w:footnote>
  <w:footnote w:id="2">
    <w:p w14:paraId="32222685" w14:textId="77777777" w:rsidR="00B91CDA" w:rsidRDefault="00B91CDA" w:rsidP="00B91CDA">
      <w:pPr>
        <w:pStyle w:val="FootnoteText"/>
      </w:pPr>
      <w:r>
        <w:rPr>
          <w:rStyle w:val="FootnoteReference"/>
        </w:rPr>
        <w:footnoteRef/>
      </w:r>
      <w:r>
        <w:t xml:space="preserve"> The 2021 wage rate for a GS-13, Step 1 is $49.68.  This is sourced from the Office of Personnel Management (OPM) website:  </w:t>
      </w:r>
      <w:hyperlink r:id="rId3" w:history="1">
        <w:r w:rsidRPr="000C4BB6">
          <w:rPr>
            <w:rStyle w:val="Hyperlink"/>
          </w:rPr>
          <w:t>https://www.opm.gov/policy-data-oversight/pay-leave/salaries-wages/salary-tables/pdf/2021/DCB_h.pdf</w:t>
        </w:r>
      </w:hyperlink>
    </w:p>
    <w:p w14:paraId="632C8991" w14:textId="77777777" w:rsidR="00B91CDA" w:rsidRDefault="00B91CDA" w:rsidP="00B91CDA">
      <w:pPr>
        <w:pStyle w:val="FootnoteText"/>
      </w:pPr>
      <w:r>
        <w:t>A benefit multiplier of 1.44 is used to calculate a fully-loaded wage rate of $71.54 ($49.68 x 1.44= $71.54)</w:t>
      </w:r>
    </w:p>
    <w:p w14:paraId="3EA663EE" w14:textId="77777777" w:rsidR="00B91CDA" w:rsidRDefault="00B91CDA" w:rsidP="00B91CDA">
      <w:pPr>
        <w:pStyle w:val="FootnoteText"/>
      </w:pPr>
    </w:p>
    <w:p w14:paraId="10547CA7" w14:textId="77777777" w:rsidR="00B91CDA" w:rsidRDefault="00B91CDA" w:rsidP="00B91CDA">
      <w:pPr>
        <w:pStyle w:val="FootnoteText"/>
      </w:pPr>
      <w:r>
        <w:t xml:space="preserve">Using the BLS Employer Costs for Employee Compensation – March 2020 report </w:t>
      </w:r>
      <w:hyperlink r:id="rId4" w:history="1">
        <w:r w:rsidRPr="00751A4F">
          <w:rPr>
            <w:rStyle w:val="Hyperlink"/>
          </w:rPr>
          <w:t>https://www.bls.gov/news.release/pdf/ecec.pdf</w:t>
        </w:r>
      </w:hyperlink>
      <w:r>
        <w:t>, a benefit multiplier of 1.44 was calculated by taking the private industry worker 50</w:t>
      </w:r>
      <w:r w:rsidRPr="00816F79">
        <w:rPr>
          <w:vertAlign w:val="superscript"/>
        </w:rPr>
        <w:t>th</w:t>
      </w:r>
      <w:r>
        <w:t xml:space="preserve"> (median) wage percentile total compensation rate divided by the wages and salaries rate.  $26/$18.05=1.44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44F38"/>
    <w:multiLevelType w:val="hybridMultilevel"/>
    <w:tmpl w:val="D79C0E84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1FF77A70"/>
    <w:multiLevelType w:val="hybridMultilevel"/>
    <w:tmpl w:val="4B8217CE"/>
    <w:lvl w:ilvl="0" w:tplc="4866C3B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E72EA0"/>
    <w:multiLevelType w:val="hybridMultilevel"/>
    <w:tmpl w:val="CBE6BA22"/>
    <w:lvl w:ilvl="0" w:tplc="54584E96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B77F80"/>
    <w:multiLevelType w:val="hybridMultilevel"/>
    <w:tmpl w:val="7BEECD02"/>
    <w:lvl w:ilvl="0" w:tplc="7C6EEB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33238"/>
    <w:multiLevelType w:val="hybridMultilevel"/>
    <w:tmpl w:val="F7D07E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0A14BB"/>
    <w:multiLevelType w:val="hybridMultilevel"/>
    <w:tmpl w:val="18DAC4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5B091B"/>
    <w:multiLevelType w:val="hybridMultilevel"/>
    <w:tmpl w:val="47F039C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B05B58"/>
    <w:multiLevelType w:val="hybridMultilevel"/>
    <w:tmpl w:val="4D82C94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B0A90"/>
    <w:multiLevelType w:val="hybridMultilevel"/>
    <w:tmpl w:val="C344B976"/>
    <w:lvl w:ilvl="0" w:tplc="A328A1B2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2CB2"/>
    <w:rsid w:val="000065FD"/>
    <w:rsid w:val="00020C78"/>
    <w:rsid w:val="000233FC"/>
    <w:rsid w:val="000D3C4C"/>
    <w:rsid w:val="000E3A66"/>
    <w:rsid w:val="00116055"/>
    <w:rsid w:val="001209E4"/>
    <w:rsid w:val="00141687"/>
    <w:rsid w:val="001958AF"/>
    <w:rsid w:val="001B214A"/>
    <w:rsid w:val="001B3380"/>
    <w:rsid w:val="001C5A3E"/>
    <w:rsid w:val="001F4CB3"/>
    <w:rsid w:val="00206C44"/>
    <w:rsid w:val="00211AD8"/>
    <w:rsid w:val="0022369D"/>
    <w:rsid w:val="002249B2"/>
    <w:rsid w:val="00230C29"/>
    <w:rsid w:val="00234C1D"/>
    <w:rsid w:val="00242FD5"/>
    <w:rsid w:val="00274A11"/>
    <w:rsid w:val="002B105E"/>
    <w:rsid w:val="002B42E5"/>
    <w:rsid w:val="002B7D3A"/>
    <w:rsid w:val="002E443F"/>
    <w:rsid w:val="002E7FB1"/>
    <w:rsid w:val="002F66E8"/>
    <w:rsid w:val="00300221"/>
    <w:rsid w:val="00314825"/>
    <w:rsid w:val="003219B1"/>
    <w:rsid w:val="00330199"/>
    <w:rsid w:val="003352B0"/>
    <w:rsid w:val="00335DC4"/>
    <w:rsid w:val="0034255E"/>
    <w:rsid w:val="00345C16"/>
    <w:rsid w:val="00362292"/>
    <w:rsid w:val="00362AB1"/>
    <w:rsid w:val="003768F0"/>
    <w:rsid w:val="003A48B6"/>
    <w:rsid w:val="003B77F8"/>
    <w:rsid w:val="003E7384"/>
    <w:rsid w:val="003F7FF5"/>
    <w:rsid w:val="0040131E"/>
    <w:rsid w:val="00406780"/>
    <w:rsid w:val="00424BF9"/>
    <w:rsid w:val="00442A17"/>
    <w:rsid w:val="00447B30"/>
    <w:rsid w:val="00476ABA"/>
    <w:rsid w:val="00477F1F"/>
    <w:rsid w:val="004B50D3"/>
    <w:rsid w:val="004D1B2A"/>
    <w:rsid w:val="004E2713"/>
    <w:rsid w:val="004E7267"/>
    <w:rsid w:val="004F1388"/>
    <w:rsid w:val="004F255E"/>
    <w:rsid w:val="00504369"/>
    <w:rsid w:val="00514443"/>
    <w:rsid w:val="00525F44"/>
    <w:rsid w:val="00573F5F"/>
    <w:rsid w:val="0058404D"/>
    <w:rsid w:val="005955C6"/>
    <w:rsid w:val="005A21DC"/>
    <w:rsid w:val="005A5EEE"/>
    <w:rsid w:val="005B541A"/>
    <w:rsid w:val="005D49A5"/>
    <w:rsid w:val="005E6D9B"/>
    <w:rsid w:val="00641151"/>
    <w:rsid w:val="006465AD"/>
    <w:rsid w:val="00676E20"/>
    <w:rsid w:val="00684B75"/>
    <w:rsid w:val="00685450"/>
    <w:rsid w:val="006B60E5"/>
    <w:rsid w:val="006C7C05"/>
    <w:rsid w:val="006E19D3"/>
    <w:rsid w:val="00700B1F"/>
    <w:rsid w:val="0072163F"/>
    <w:rsid w:val="00756BE5"/>
    <w:rsid w:val="00772BD1"/>
    <w:rsid w:val="007735D9"/>
    <w:rsid w:val="00773F0B"/>
    <w:rsid w:val="007858FE"/>
    <w:rsid w:val="00793E9A"/>
    <w:rsid w:val="007A02E3"/>
    <w:rsid w:val="007B5650"/>
    <w:rsid w:val="007E5AF1"/>
    <w:rsid w:val="00813708"/>
    <w:rsid w:val="0082472D"/>
    <w:rsid w:val="008410B4"/>
    <w:rsid w:val="008A15FA"/>
    <w:rsid w:val="008A48B9"/>
    <w:rsid w:val="008C206D"/>
    <w:rsid w:val="008E29DD"/>
    <w:rsid w:val="00907ABA"/>
    <w:rsid w:val="0091442D"/>
    <w:rsid w:val="00924657"/>
    <w:rsid w:val="009318A7"/>
    <w:rsid w:val="00934A9B"/>
    <w:rsid w:val="00942AEE"/>
    <w:rsid w:val="0094578D"/>
    <w:rsid w:val="009639C7"/>
    <w:rsid w:val="009804CB"/>
    <w:rsid w:val="00990AF2"/>
    <w:rsid w:val="00990E8A"/>
    <w:rsid w:val="009B418C"/>
    <w:rsid w:val="009C066A"/>
    <w:rsid w:val="009C11DC"/>
    <w:rsid w:val="009E350D"/>
    <w:rsid w:val="009F22D7"/>
    <w:rsid w:val="00A018C8"/>
    <w:rsid w:val="00A2741F"/>
    <w:rsid w:val="00A32A8C"/>
    <w:rsid w:val="00A42C8F"/>
    <w:rsid w:val="00A53982"/>
    <w:rsid w:val="00A60BB8"/>
    <w:rsid w:val="00A658B0"/>
    <w:rsid w:val="00A84473"/>
    <w:rsid w:val="00A86536"/>
    <w:rsid w:val="00AA5D1E"/>
    <w:rsid w:val="00AE3F4E"/>
    <w:rsid w:val="00AE7B87"/>
    <w:rsid w:val="00B14ED8"/>
    <w:rsid w:val="00B36F65"/>
    <w:rsid w:val="00B50E9D"/>
    <w:rsid w:val="00B81263"/>
    <w:rsid w:val="00B9105F"/>
    <w:rsid w:val="00B91CDA"/>
    <w:rsid w:val="00BD57D8"/>
    <w:rsid w:val="00BE2CB2"/>
    <w:rsid w:val="00BF4332"/>
    <w:rsid w:val="00C03493"/>
    <w:rsid w:val="00C11678"/>
    <w:rsid w:val="00C369CD"/>
    <w:rsid w:val="00C45852"/>
    <w:rsid w:val="00C56179"/>
    <w:rsid w:val="00C702F0"/>
    <w:rsid w:val="00C855D0"/>
    <w:rsid w:val="00CA2CEA"/>
    <w:rsid w:val="00CA732B"/>
    <w:rsid w:val="00CD37E0"/>
    <w:rsid w:val="00CD7B26"/>
    <w:rsid w:val="00CE2612"/>
    <w:rsid w:val="00D012DE"/>
    <w:rsid w:val="00D159FA"/>
    <w:rsid w:val="00D276FF"/>
    <w:rsid w:val="00D363D2"/>
    <w:rsid w:val="00D44A44"/>
    <w:rsid w:val="00D44ED8"/>
    <w:rsid w:val="00D4791D"/>
    <w:rsid w:val="00D6134B"/>
    <w:rsid w:val="00D7279D"/>
    <w:rsid w:val="00D81EA7"/>
    <w:rsid w:val="00D83BEF"/>
    <w:rsid w:val="00DA31CE"/>
    <w:rsid w:val="00DA6986"/>
    <w:rsid w:val="00DB1ED5"/>
    <w:rsid w:val="00DB7756"/>
    <w:rsid w:val="00E2259F"/>
    <w:rsid w:val="00EA3B5C"/>
    <w:rsid w:val="00EB0D60"/>
    <w:rsid w:val="00EB123C"/>
    <w:rsid w:val="00EB29C0"/>
    <w:rsid w:val="00EC7AFD"/>
    <w:rsid w:val="00F0612A"/>
    <w:rsid w:val="00F07DDA"/>
    <w:rsid w:val="00F11050"/>
    <w:rsid w:val="00F2349B"/>
    <w:rsid w:val="00F512E1"/>
    <w:rsid w:val="00F563FC"/>
    <w:rsid w:val="00F822AC"/>
    <w:rsid w:val="00F91E3D"/>
    <w:rsid w:val="00F923D5"/>
    <w:rsid w:val="00FA2F5C"/>
    <w:rsid w:val="00FA3E5D"/>
    <w:rsid w:val="00FB1D8B"/>
    <w:rsid w:val="00FB5F6D"/>
    <w:rsid w:val="00FC4972"/>
    <w:rsid w:val="00FD5C6E"/>
    <w:rsid w:val="00FD6762"/>
    <w:rsid w:val="00FE042B"/>
    <w:rsid w:val="00FF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FC6FC2"/>
  <w15:chartTrackingRefBased/>
  <w15:docId w15:val="{8609CC87-E6EC-4528-BA30-03F70356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B418C"/>
    <w:rPr>
      <w:rFonts w:ascii="Tahoma" w:hAnsi="Tahoma" w:cs="Tahoma"/>
      <w:sz w:val="16"/>
      <w:szCs w:val="16"/>
    </w:rPr>
  </w:style>
  <w:style w:type="character" w:styleId="Hyperlink">
    <w:name w:val="Hyperlink"/>
    <w:rsid w:val="0094578D"/>
    <w:rPr>
      <w:color w:val="0563C1"/>
      <w:u w:val="single"/>
    </w:rPr>
  </w:style>
  <w:style w:type="character" w:styleId="CommentReference">
    <w:name w:val="annotation reference"/>
    <w:rsid w:val="00C561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61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6179"/>
  </w:style>
  <w:style w:type="paragraph" w:styleId="CommentSubject">
    <w:name w:val="annotation subject"/>
    <w:basedOn w:val="CommentText"/>
    <w:next w:val="CommentText"/>
    <w:link w:val="CommentSubjectChar"/>
    <w:rsid w:val="00C56179"/>
    <w:rPr>
      <w:b/>
      <w:bCs/>
    </w:rPr>
  </w:style>
  <w:style w:type="character" w:customStyle="1" w:styleId="CommentSubjectChar">
    <w:name w:val="Comment Subject Char"/>
    <w:link w:val="CommentSubject"/>
    <w:rsid w:val="00C56179"/>
    <w:rPr>
      <w:b/>
      <w:bCs/>
    </w:rPr>
  </w:style>
  <w:style w:type="table" w:styleId="TableGrid">
    <w:name w:val="Table Grid"/>
    <w:basedOn w:val="TableNormal"/>
    <w:rsid w:val="00F56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D57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D57D8"/>
  </w:style>
  <w:style w:type="character" w:styleId="FootnoteReference">
    <w:name w:val="footnote reference"/>
    <w:rsid w:val="00BD57D8"/>
    <w:rPr>
      <w:vertAlign w:val="superscript"/>
    </w:rPr>
  </w:style>
  <w:style w:type="character" w:styleId="FollowedHyperlink">
    <w:name w:val="FollowedHyperlink"/>
    <w:rsid w:val="00907ABA"/>
    <w:rPr>
      <w:color w:val="954F72"/>
      <w:u w:val="single"/>
    </w:rPr>
  </w:style>
  <w:style w:type="table" w:customStyle="1" w:styleId="TableGrid11">
    <w:name w:val="Table Grid11"/>
    <w:basedOn w:val="TableNormal"/>
    <w:next w:val="TableGrid"/>
    <w:uiPriority w:val="39"/>
    <w:rsid w:val="009639C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963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8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mint.gov/news/consumer-alerts/mutilated-coin-progr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pm.gov/policy-data-oversight/pay-leave/salaries-wages/salary-tables/pdf/2021/DCB_h.pdf" TargetMode="External"/><Relationship Id="rId2" Type="http://schemas.openxmlformats.org/officeDocument/2006/relationships/hyperlink" Target="https://www.bls.gov/news.release/pdf/ecec.pdf" TargetMode="External"/><Relationship Id="rId1" Type="http://schemas.openxmlformats.org/officeDocument/2006/relationships/hyperlink" Target="https://www.bls.gov/oes/current/oes_nat.htm" TargetMode="External"/><Relationship Id="rId4" Type="http://schemas.openxmlformats.org/officeDocument/2006/relationships/hyperlink" Target="https://www.bls.gov/news.release/pdf/ece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E39D5-2E44-4F5D-9673-ECDB8C2AB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20, 2004</vt:lpstr>
    </vt:vector>
  </TitlesOfParts>
  <Company>US Mint</Company>
  <LinksUpToDate>false</LinksUpToDate>
  <CharactersWithSpaces>8025</CharactersWithSpaces>
  <SharedDoc>false</SharedDoc>
  <HLinks>
    <vt:vector size="30" baseType="variant">
      <vt:variant>
        <vt:i4>6881317</vt:i4>
      </vt:variant>
      <vt:variant>
        <vt:i4>0</vt:i4>
      </vt:variant>
      <vt:variant>
        <vt:i4>0</vt:i4>
      </vt:variant>
      <vt:variant>
        <vt:i4>5</vt:i4>
      </vt:variant>
      <vt:variant>
        <vt:lpwstr>https://www.usmint.gov/news/consumer-alerts/mutilated-coin-program</vt:lpwstr>
      </vt:variant>
      <vt:variant>
        <vt:lpwstr/>
      </vt:variant>
      <vt:variant>
        <vt:i4>1703952</vt:i4>
      </vt:variant>
      <vt:variant>
        <vt:i4>9</vt:i4>
      </vt:variant>
      <vt:variant>
        <vt:i4>0</vt:i4>
      </vt:variant>
      <vt:variant>
        <vt:i4>5</vt:i4>
      </vt:variant>
      <vt:variant>
        <vt:lpwstr>https://www.bls.gov/news.release/pdf/ecec.pdf</vt:lpwstr>
      </vt:variant>
      <vt:variant>
        <vt:lpwstr/>
      </vt:variant>
      <vt:variant>
        <vt:i4>4587637</vt:i4>
      </vt:variant>
      <vt:variant>
        <vt:i4>6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https://www.opm.gov/policy-data-oversight/pay-leave/salaries-wages/salary-tables/pdf/2021/DCB_h.pdf</vt:lpwstr>
      </vt:variant>
      <vt:variant>
        <vt:lpwstr/>
      </vt:variant>
      <vt:variant>
        <vt:i4>1703952</vt:i4>
      </vt:variant>
      <vt:variant>
        <vt:i4>3</vt:i4>
      </vt:variant>
      <vt:variant>
        <vt:i4>0</vt:i4>
      </vt:variant>
      <vt:variant>
        <vt:i4>5</vt:i4>
      </vt:variant>
      <vt:variant>
        <vt:lpwstr>https://www.bls.gov/news.release/pdf/ecec.pdf</vt:lpwstr>
      </vt:variant>
      <vt:variant>
        <vt:lpwstr/>
      </vt:variant>
      <vt:variant>
        <vt:i4>4653106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20, 2004</dc:title>
  <dc:subject/>
  <dc:creator>MMAdmin</dc:creator>
  <cp:keywords/>
  <dc:description/>
  <cp:lastModifiedBy>Stasko, Molly</cp:lastModifiedBy>
  <cp:revision>2</cp:revision>
  <cp:lastPrinted>2020-08-31T16:09:00Z</cp:lastPrinted>
  <dcterms:created xsi:type="dcterms:W3CDTF">2021-05-07T14:12:00Z</dcterms:created>
  <dcterms:modified xsi:type="dcterms:W3CDTF">2021-05-07T14:12:00Z</dcterms:modified>
</cp:coreProperties>
</file>