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AA5506" w:rsidRDefault="00AA5506">
      <w:pPr>
        <w:rPr>
          <w:b/>
        </w:rPr>
      </w:pPr>
    </w:p>
    <w:p w:rsidR="005E714A" w:rsidRDefault="00B4345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FC80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F91E93" w:rsidR="00F23943">
        <w:t>Feedback Survey</w:t>
      </w:r>
      <w:r w:rsidRPr="00F91E93" w:rsidR="00B819F7">
        <w:t xml:space="preserve"> for </w:t>
      </w:r>
      <w:r w:rsidRPr="00F91E93" w:rsidR="00F52993">
        <w:t>capacity building, grantee,</w:t>
      </w:r>
      <w:r w:rsidRPr="00F91E93" w:rsidR="00F23943">
        <w:t xml:space="preserve"> training, online sessions hosted by the</w:t>
      </w:r>
      <w:r w:rsidRPr="00F91E93" w:rsidR="00F94313">
        <w:t xml:space="preserve"> Family and Youth Services Bureau</w:t>
      </w:r>
      <w:r w:rsidRPr="00F91E93" w:rsidR="00F23943">
        <w:t>.</w:t>
      </w:r>
      <w:r w:rsidR="00F23943">
        <w:rPr>
          <w:color w:val="202020"/>
          <w:shd w:val="clear" w:color="auto" w:fill="FAF8F5"/>
        </w:rPr>
        <w:t xml:space="preserve"> </w:t>
      </w:r>
    </w:p>
    <w:p w:rsidR="003D292D" w:rsidP="00F23943" w:rsidRDefault="003D292D">
      <w:pPr>
        <w:rPr>
          <w:b/>
        </w:rPr>
      </w:pPr>
    </w:p>
    <w:p w:rsidR="00C8488C" w:rsidP="00F23943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F94313">
        <w:t xml:space="preserve">This customer satisfaction </w:t>
      </w:r>
      <w:r w:rsidR="00DA30D5">
        <w:t xml:space="preserve">survey will collect data on the Family and Youth Services Bureau (FYSB) </w:t>
      </w:r>
      <w:r w:rsidR="00F10DE1">
        <w:t xml:space="preserve">capacity building </w:t>
      </w:r>
      <w:r w:rsidR="00DA30D5">
        <w:t xml:space="preserve">activities, such as webinars or </w:t>
      </w:r>
      <w:r w:rsidR="00F23943">
        <w:t xml:space="preserve">online </w:t>
      </w:r>
      <w:r w:rsidR="00DA30D5">
        <w:t>training.</w:t>
      </w:r>
      <w:r w:rsidR="003A6A44">
        <w:t xml:space="preserve"> </w:t>
      </w:r>
      <w:r w:rsidR="00F94313">
        <w:t>The</w:t>
      </w:r>
      <w:r w:rsidR="004C44F2">
        <w:t xml:space="preserve"> survey will serve to inform the effectiveness </w:t>
      </w:r>
      <w:r w:rsidR="00F10DE1">
        <w:t>of these</w:t>
      </w:r>
      <w:r w:rsidR="003A6A44">
        <w:t xml:space="preserve"> efforts</w:t>
      </w:r>
      <w:r w:rsidR="00F10DE1">
        <w:t xml:space="preserve">. </w:t>
      </w:r>
    </w:p>
    <w:p w:rsidR="007D76E5" w:rsidP="00434E33" w:rsidRDefault="007D76E5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7D76E5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4C44F2">
        <w:t xml:space="preserve">Respondents are FYSB </w:t>
      </w:r>
      <w:r w:rsidR="003A6A44">
        <w:t xml:space="preserve">stakeholders who </w:t>
      </w:r>
      <w:r w:rsidR="004C44F2">
        <w:t xml:space="preserve">participate in </w:t>
      </w:r>
      <w:r w:rsidR="003A6A44">
        <w:t xml:space="preserve">FYSB </w:t>
      </w:r>
      <w:r w:rsidR="00F52993">
        <w:t xml:space="preserve">capacity building efforts (i.e., </w:t>
      </w:r>
      <w:r w:rsidR="00F23943">
        <w:t>we</w:t>
      </w:r>
      <w:r w:rsidR="00F52993">
        <w:t xml:space="preserve">binars, online training, </w:t>
      </w:r>
      <w:r w:rsidR="00AA5506">
        <w:t>and discussions</w:t>
      </w:r>
      <w:r w:rsidR="003D292D">
        <w:t>)</w:t>
      </w:r>
      <w:r w:rsidR="00F23943">
        <w:t xml:space="preserve">. 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Pr="004C44F2" w:rsidR="007300C9">
        <w:rPr>
          <w:b/>
          <w:bCs/>
          <w:sz w:val="24"/>
        </w:rPr>
        <w:t xml:space="preserve">X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4C44F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DA30D5">
      <w:r>
        <w:t>Name</w:t>
      </w:r>
      <w:r w:rsidR="00F91E93">
        <w:t xml:space="preserve">: </w:t>
      </w:r>
      <w:r w:rsidRPr="00F91E93" w:rsidR="007300C9">
        <w:rPr>
          <w:u w:val="single"/>
        </w:rPr>
        <w:t>Ana Cody</w:t>
      </w:r>
      <w:r w:rsidRPr="00F91E93" w:rsidR="002508F1">
        <w:rPr>
          <w:u w:val="single"/>
        </w:rPr>
        <w:t>, FYSB Human Trafficking Specialist</w:t>
      </w:r>
      <w:r w:rsidR="009C13B9">
        <w:t>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300C9">
        <w:t>X</w:t>
      </w:r>
      <w:r w:rsidR="009239AA">
        <w:t xml:space="preserve"> 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7300C9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C330D" w:rsidP="00C86E91" w:rsidRDefault="005C330D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250"/>
        <w:gridCol w:w="2250"/>
        <w:gridCol w:w="1363"/>
      </w:tblGrid>
      <w:tr w:rsidR="00EF2095" w:rsidTr="00F91E93">
        <w:trPr>
          <w:trHeight w:val="274"/>
        </w:trPr>
        <w:tc>
          <w:tcPr>
            <w:tcW w:w="379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F91E93">
        <w:trPr>
          <w:trHeight w:val="917"/>
        </w:trPr>
        <w:tc>
          <w:tcPr>
            <w:tcW w:w="3798" w:type="dxa"/>
            <w:vAlign w:val="center"/>
          </w:tcPr>
          <w:p w:rsidR="007300C9" w:rsidP="00F91E93" w:rsidRDefault="007300C9">
            <w:r>
              <w:t>FYSB</w:t>
            </w:r>
            <w:r w:rsidR="00143775">
              <w:t xml:space="preserve"> stakeholders/</w:t>
            </w:r>
            <w:r w:rsidR="00F91E93">
              <w:t xml:space="preserve">capacity building activity </w:t>
            </w:r>
            <w:r w:rsidR="00143775">
              <w:t>participants</w:t>
            </w:r>
          </w:p>
        </w:tc>
        <w:tc>
          <w:tcPr>
            <w:tcW w:w="2250" w:type="dxa"/>
            <w:vAlign w:val="center"/>
          </w:tcPr>
          <w:p w:rsidR="007300C9" w:rsidP="00F91E93" w:rsidRDefault="003A6A44">
            <w:pPr>
              <w:jc w:val="center"/>
            </w:pPr>
            <w:r>
              <w:t>500</w:t>
            </w:r>
          </w:p>
        </w:tc>
        <w:tc>
          <w:tcPr>
            <w:tcW w:w="2250" w:type="dxa"/>
            <w:vAlign w:val="center"/>
          </w:tcPr>
          <w:p w:rsidR="007300C9" w:rsidP="00F91E93" w:rsidRDefault="00A604AA">
            <w:pPr>
              <w:jc w:val="center"/>
            </w:pPr>
            <w:r>
              <w:t>1</w:t>
            </w:r>
            <w:r w:rsidR="002508F1">
              <w:t xml:space="preserve">0  </w:t>
            </w:r>
            <w:r w:rsidR="007300C9">
              <w:t>minutes</w:t>
            </w:r>
          </w:p>
        </w:tc>
        <w:tc>
          <w:tcPr>
            <w:tcW w:w="1363" w:type="dxa"/>
            <w:vAlign w:val="center"/>
          </w:tcPr>
          <w:p w:rsidR="007300C9" w:rsidP="00F91E93" w:rsidRDefault="00143775">
            <w:pPr>
              <w:jc w:val="center"/>
            </w:pPr>
            <w:r>
              <w:t>83 hours</w:t>
            </w:r>
          </w:p>
        </w:tc>
      </w:tr>
      <w:tr w:rsidR="00EF2095" w:rsidTr="00F91E93">
        <w:trPr>
          <w:trHeight w:val="289"/>
        </w:trPr>
        <w:tc>
          <w:tcPr>
            <w:tcW w:w="379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  <w:vAlign w:val="center"/>
          </w:tcPr>
          <w:p w:rsidRPr="0001027E" w:rsidR="00A604AA" w:rsidP="00F91E93" w:rsidRDefault="003A6A44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2250" w:type="dxa"/>
            <w:vAlign w:val="center"/>
          </w:tcPr>
          <w:p w:rsidRPr="00A604AA" w:rsidR="006832D9" w:rsidP="00F91E93" w:rsidRDefault="00A604AA">
            <w:pPr>
              <w:jc w:val="center"/>
              <w:rPr>
                <w:b/>
              </w:rPr>
            </w:pPr>
            <w:r w:rsidRPr="00A604AA">
              <w:rPr>
                <w:b/>
              </w:rPr>
              <w:t>1</w:t>
            </w:r>
            <w:r w:rsidR="002508F1">
              <w:rPr>
                <w:b/>
              </w:rPr>
              <w:t xml:space="preserve">0 </w:t>
            </w:r>
            <w:r w:rsidRPr="00A604AA">
              <w:rPr>
                <w:b/>
              </w:rPr>
              <w:t xml:space="preserve"> minutes</w:t>
            </w:r>
          </w:p>
        </w:tc>
        <w:tc>
          <w:tcPr>
            <w:tcW w:w="1363" w:type="dxa"/>
            <w:vAlign w:val="center"/>
          </w:tcPr>
          <w:p w:rsidRPr="0001027E" w:rsidR="006832D9" w:rsidP="00F91E93" w:rsidRDefault="00143775">
            <w:pPr>
              <w:jc w:val="center"/>
              <w:rPr>
                <w:b/>
              </w:rPr>
            </w:pPr>
            <w:r>
              <w:rPr>
                <w:b/>
              </w:rPr>
              <w:t xml:space="preserve">83 </w:t>
            </w:r>
            <w:r w:rsidR="00F94313">
              <w:rPr>
                <w:b/>
              </w:rPr>
              <w:t>hours</w:t>
            </w:r>
          </w:p>
        </w:tc>
      </w:tr>
    </w:tbl>
    <w:p w:rsidR="00F3170F" w:rsidP="00F3170F" w:rsidRDefault="00F3170F"/>
    <w:p w:rsidRPr="007300C9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7300C9">
        <w:t xml:space="preserve"> to the Federal government is</w:t>
      </w:r>
      <w:r w:rsidR="00DA30D5">
        <w:rPr>
          <w:b/>
        </w:rPr>
        <w:t xml:space="preserve"> $400</w:t>
      </w:r>
      <w:r w:rsidR="002508F1">
        <w:rPr>
          <w:b/>
        </w:rPr>
        <w:t xml:space="preserve"> (i.e. development of survey, administering survey, and analyzing information) </w:t>
      </w:r>
      <w:r w:rsidRPr="007300C9" w:rsidR="00C86E91">
        <w:rPr>
          <w:b/>
        </w:rPr>
        <w:t>__________</w:t>
      </w:r>
    </w:p>
    <w:p w:rsidR="00ED6492" w:rsidRDefault="00ED6492">
      <w:pPr>
        <w:rPr>
          <w:b/>
          <w:bCs/>
          <w:u w:val="single"/>
        </w:rPr>
      </w:pPr>
    </w:p>
    <w:p w:rsidR="007300C9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300C9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3A6A44">
        <w:t>X</w:t>
      </w:r>
      <w:r>
        <w:t>] Yes</w:t>
      </w:r>
      <w:r>
        <w:tab/>
        <w:t>[  No</w:t>
      </w:r>
    </w:p>
    <w:p w:rsidR="002508F1" w:rsidP="002508F1" w:rsidRDefault="002508F1">
      <w:pPr>
        <w:pStyle w:val="ListParagraph"/>
      </w:pP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2508F1" w:rsidRDefault="00A403BB">
      <w:pPr>
        <w:pStyle w:val="ListParagraph"/>
        <w:ind w:left="0"/>
      </w:pPr>
    </w:p>
    <w:p w:rsidR="002508F1" w:rsidP="002508F1" w:rsidRDefault="002508F1">
      <w:pPr>
        <w:pStyle w:val="ListParagraph"/>
        <w:ind w:left="0"/>
      </w:pPr>
      <w:r>
        <w:t xml:space="preserve">The responders are FYSB </w:t>
      </w:r>
      <w:r w:rsidR="003A6A44">
        <w:t>stakeholders (i.e., grantees, federal staff, youth serving organizations, d</w:t>
      </w:r>
      <w:r w:rsidR="00DA30D5">
        <w:t xml:space="preserve">omestic violence organizations) who participated in FYSB </w:t>
      </w:r>
      <w:r w:rsidR="00C26DC3">
        <w:t xml:space="preserve">webinars, online training, </w:t>
      </w:r>
      <w:r w:rsidR="005C330D">
        <w:t>and online</w:t>
      </w:r>
      <w:r w:rsidR="00C26DC3">
        <w:t xml:space="preserve"> sessions). </w:t>
      </w:r>
      <w:r w:rsidR="00DA30D5">
        <w:t xml:space="preserve"> </w:t>
      </w: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2508F1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91E93" w:rsidP="001B0AAA" w:rsidRDefault="00F91E93">
      <w:pPr>
        <w:ind w:left="720"/>
      </w:pPr>
      <w:bookmarkStart w:name="_GoBack" w:id="0"/>
      <w:bookmarkEnd w:id="0"/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508F1">
        <w:t>x</w:t>
      </w:r>
      <w:r>
        <w:t xml:space="preserve"> 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E58A7" w:rsidP="00F24CFC" w:rsidRDefault="004E58A7">
      <w:pPr>
        <w:pStyle w:val="Heading2"/>
        <w:tabs>
          <w:tab w:val="left" w:pos="900"/>
        </w:tabs>
        <w:ind w:right="-180"/>
        <w:rPr>
          <w:sz w:val="28"/>
        </w:rPr>
      </w:pPr>
    </w:p>
    <w:p w:rsidR="00F91E93" w:rsidP="00F91E93" w:rsidRDefault="00F91E93"/>
    <w:p w:rsidR="00F91E93" w:rsidP="00F91E93" w:rsidRDefault="00F91E93"/>
    <w:p w:rsidR="00F91E93" w:rsidP="00F91E93" w:rsidRDefault="00F91E93"/>
    <w:p w:rsidR="00F91E93" w:rsidP="00F91E93" w:rsidRDefault="00F91E93"/>
    <w:p w:rsidR="00F91E93" w:rsidP="00F91E93" w:rsidRDefault="00F91E93"/>
    <w:p w:rsidR="00F91E93" w:rsidP="00F91E93" w:rsidRDefault="00F91E93"/>
    <w:p w:rsidR="00F91E93" w:rsidP="00F91E93" w:rsidRDefault="00F91E93"/>
    <w:p w:rsidRPr="00F91E93" w:rsidR="00F91E93" w:rsidP="00F91E93" w:rsidRDefault="00F91E93"/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B4345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5F31C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lastRenderedPageBreak/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4B775F" w:rsidR="005E714A" w:rsidP="004B775F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4B775F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34" w:rsidRDefault="00D12F34">
      <w:r>
        <w:separator/>
      </w:r>
    </w:p>
  </w:endnote>
  <w:endnote w:type="continuationSeparator" w:id="0">
    <w:p w:rsidR="00D12F34" w:rsidRDefault="00D1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4345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34" w:rsidRDefault="00D12F34">
      <w:r>
        <w:separator/>
      </w:r>
    </w:p>
  </w:footnote>
  <w:footnote w:type="continuationSeparator" w:id="0">
    <w:p w:rsidR="00D12F34" w:rsidRDefault="00D1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2B37"/>
    <w:rsid w:val="000B2838"/>
    <w:rsid w:val="000D44CA"/>
    <w:rsid w:val="000E200B"/>
    <w:rsid w:val="000F68BE"/>
    <w:rsid w:val="00143775"/>
    <w:rsid w:val="001727D5"/>
    <w:rsid w:val="001742C0"/>
    <w:rsid w:val="001927A4"/>
    <w:rsid w:val="00194AC6"/>
    <w:rsid w:val="001A23B0"/>
    <w:rsid w:val="001A25CC"/>
    <w:rsid w:val="001B0AAA"/>
    <w:rsid w:val="001B3091"/>
    <w:rsid w:val="001C39F7"/>
    <w:rsid w:val="00237B48"/>
    <w:rsid w:val="0024521E"/>
    <w:rsid w:val="002508F1"/>
    <w:rsid w:val="00263C3D"/>
    <w:rsid w:val="00274D0B"/>
    <w:rsid w:val="002B052D"/>
    <w:rsid w:val="002B34CD"/>
    <w:rsid w:val="002B3C95"/>
    <w:rsid w:val="002D0B92"/>
    <w:rsid w:val="002F2845"/>
    <w:rsid w:val="002F7146"/>
    <w:rsid w:val="00320AC6"/>
    <w:rsid w:val="003A6A44"/>
    <w:rsid w:val="003D137A"/>
    <w:rsid w:val="003D292D"/>
    <w:rsid w:val="003D5BBE"/>
    <w:rsid w:val="003E3C61"/>
    <w:rsid w:val="003F1C5B"/>
    <w:rsid w:val="00434E33"/>
    <w:rsid w:val="00441434"/>
    <w:rsid w:val="0045264C"/>
    <w:rsid w:val="004876EC"/>
    <w:rsid w:val="004B775F"/>
    <w:rsid w:val="004C44F2"/>
    <w:rsid w:val="004D6E14"/>
    <w:rsid w:val="004E58A7"/>
    <w:rsid w:val="005009B0"/>
    <w:rsid w:val="005A1006"/>
    <w:rsid w:val="005C330D"/>
    <w:rsid w:val="005E714A"/>
    <w:rsid w:val="005F693D"/>
    <w:rsid w:val="006140A0"/>
    <w:rsid w:val="00636621"/>
    <w:rsid w:val="00642B49"/>
    <w:rsid w:val="00677A2F"/>
    <w:rsid w:val="006832D9"/>
    <w:rsid w:val="00691AE3"/>
    <w:rsid w:val="0069403B"/>
    <w:rsid w:val="006C2390"/>
    <w:rsid w:val="006F3DDE"/>
    <w:rsid w:val="00704678"/>
    <w:rsid w:val="007300C9"/>
    <w:rsid w:val="007425E7"/>
    <w:rsid w:val="00780F1F"/>
    <w:rsid w:val="007C3660"/>
    <w:rsid w:val="007D76E5"/>
    <w:rsid w:val="007F7080"/>
    <w:rsid w:val="00802607"/>
    <w:rsid w:val="008101A5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62D41"/>
    <w:rsid w:val="009C13B9"/>
    <w:rsid w:val="009D01A2"/>
    <w:rsid w:val="009F5923"/>
    <w:rsid w:val="00A04B7E"/>
    <w:rsid w:val="00A23563"/>
    <w:rsid w:val="00A403BB"/>
    <w:rsid w:val="00A604AA"/>
    <w:rsid w:val="00A674DF"/>
    <w:rsid w:val="00A83AA6"/>
    <w:rsid w:val="00A934D6"/>
    <w:rsid w:val="00AA5506"/>
    <w:rsid w:val="00AE1809"/>
    <w:rsid w:val="00B43453"/>
    <w:rsid w:val="00B70797"/>
    <w:rsid w:val="00B80D76"/>
    <w:rsid w:val="00B819F7"/>
    <w:rsid w:val="00BA2105"/>
    <w:rsid w:val="00BA7E06"/>
    <w:rsid w:val="00BB43B5"/>
    <w:rsid w:val="00BB6219"/>
    <w:rsid w:val="00BD290F"/>
    <w:rsid w:val="00C14CC4"/>
    <w:rsid w:val="00C26DC3"/>
    <w:rsid w:val="00C33C52"/>
    <w:rsid w:val="00C40D8B"/>
    <w:rsid w:val="00C44D3F"/>
    <w:rsid w:val="00C8407A"/>
    <w:rsid w:val="00C8488C"/>
    <w:rsid w:val="00C86E91"/>
    <w:rsid w:val="00CA2650"/>
    <w:rsid w:val="00CB1078"/>
    <w:rsid w:val="00CC6FAF"/>
    <w:rsid w:val="00CF6542"/>
    <w:rsid w:val="00D12F34"/>
    <w:rsid w:val="00D24698"/>
    <w:rsid w:val="00D6383F"/>
    <w:rsid w:val="00DA30D5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C249D"/>
    <w:rsid w:val="00ED6492"/>
    <w:rsid w:val="00EF2095"/>
    <w:rsid w:val="00F06866"/>
    <w:rsid w:val="00F10DE1"/>
    <w:rsid w:val="00F15956"/>
    <w:rsid w:val="00F16B38"/>
    <w:rsid w:val="00F23943"/>
    <w:rsid w:val="00F24CFC"/>
    <w:rsid w:val="00F3170F"/>
    <w:rsid w:val="00F52993"/>
    <w:rsid w:val="00F91E93"/>
    <w:rsid w:val="00F94313"/>
    <w:rsid w:val="00F976B0"/>
    <w:rsid w:val="00FA5B72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66AB2B5"/>
  <w15:chartTrackingRefBased/>
  <w15:docId w15:val="{B61EFF78-2C5E-4961-9005-70A01F80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2</cp:revision>
  <cp:lastPrinted>2019-02-12T18:58:00Z</cp:lastPrinted>
  <dcterms:created xsi:type="dcterms:W3CDTF">2020-02-07T17:21:00Z</dcterms:created>
  <dcterms:modified xsi:type="dcterms:W3CDTF">2020-02-07T17:21:00Z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