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A29" w:rsidP="00537F12" w14:paraId="57F80E7D" w14:textId="77777777">
      <w:pPr>
        <w:jc w:val="center"/>
        <w:rPr>
          <w:rFonts w:ascii="Times New Roman" w:hAnsi="Times New Roman"/>
          <w:b/>
        </w:rPr>
      </w:pPr>
      <w:r>
        <w:rPr>
          <w:rFonts w:ascii="Times New Roman" w:hAnsi="Times New Roman"/>
          <w:b/>
        </w:rPr>
        <w:t xml:space="preserve">Supporting Statement for </w:t>
      </w:r>
    </w:p>
    <w:p w:rsidR="00891A29" w:rsidP="00537F12" w14:paraId="6F4AB470" w14:textId="6250A87A">
      <w:pPr>
        <w:jc w:val="center"/>
        <w:rPr>
          <w:rFonts w:ascii="Times New Roman" w:hAnsi="Times New Roman"/>
          <w:b/>
        </w:rPr>
      </w:pPr>
      <w:r>
        <w:rPr>
          <w:rFonts w:ascii="Times New Roman" w:hAnsi="Times New Roman"/>
          <w:b/>
        </w:rPr>
        <w:t xml:space="preserve">Continuation of Supplemental Security Income </w:t>
      </w:r>
      <w:r w:rsidR="007C06F3">
        <w:rPr>
          <w:rFonts w:ascii="Times New Roman" w:hAnsi="Times New Roman"/>
          <w:b/>
        </w:rPr>
        <w:t>Payment</w:t>
      </w:r>
      <w:r w:rsidR="00537F12">
        <w:rPr>
          <w:rFonts w:ascii="Times New Roman" w:hAnsi="Times New Roman"/>
          <w:b/>
        </w:rPr>
        <w:t xml:space="preserve">s for the Temporarily </w:t>
      </w:r>
    </w:p>
    <w:p w:rsidR="00537F12" w:rsidP="00537F12" w14:paraId="2DA9423B" w14:textId="00D4659C">
      <w:pPr>
        <w:jc w:val="center"/>
        <w:rPr>
          <w:rFonts w:ascii="Times New Roman" w:hAnsi="Times New Roman"/>
          <w:b/>
        </w:rPr>
      </w:pPr>
      <w:r>
        <w:rPr>
          <w:rFonts w:ascii="Times New Roman" w:hAnsi="Times New Roman"/>
          <w:b/>
        </w:rPr>
        <w:t>Institutionalized – Certification of Period and Need to Maintain Home</w:t>
      </w:r>
    </w:p>
    <w:p w:rsidR="007B44EB" w:rsidP="00537F12" w14:paraId="515EAC65" w14:textId="77777777">
      <w:pPr>
        <w:jc w:val="center"/>
        <w:rPr>
          <w:rFonts w:ascii="Times New Roman" w:hAnsi="Times New Roman"/>
          <w:b/>
        </w:rPr>
      </w:pPr>
      <w:r>
        <w:rPr>
          <w:rFonts w:ascii="Times New Roman" w:hAnsi="Times New Roman"/>
          <w:b/>
        </w:rPr>
        <w:t>20</w:t>
      </w:r>
      <w:r w:rsidR="00DC233B">
        <w:rPr>
          <w:rFonts w:ascii="Times New Roman" w:hAnsi="Times New Roman"/>
          <w:b/>
        </w:rPr>
        <w:t xml:space="preserve"> CFR </w:t>
      </w:r>
      <w:r>
        <w:rPr>
          <w:rFonts w:ascii="Times New Roman" w:hAnsi="Times New Roman"/>
          <w:b/>
        </w:rPr>
        <w:t>416.212</w:t>
      </w:r>
      <w:r w:rsidR="00DC233B">
        <w:rPr>
          <w:rFonts w:ascii="Times New Roman" w:hAnsi="Times New Roman"/>
          <w:b/>
        </w:rPr>
        <w:t>(b)(</w:t>
      </w:r>
      <w:r w:rsidR="006A4AE4">
        <w:rPr>
          <w:rFonts w:ascii="Times New Roman" w:hAnsi="Times New Roman"/>
          <w:b/>
        </w:rPr>
        <w:t>1</w:t>
      </w:r>
      <w:r w:rsidR="00DC233B">
        <w:rPr>
          <w:rFonts w:ascii="Times New Roman" w:hAnsi="Times New Roman"/>
          <w:b/>
        </w:rPr>
        <w:t>)</w:t>
      </w:r>
    </w:p>
    <w:p w:rsidR="0007074A" w:rsidP="00537F12" w14:paraId="38088C2A" w14:textId="77777777">
      <w:pPr>
        <w:jc w:val="center"/>
        <w:rPr>
          <w:rFonts w:ascii="Times New Roman" w:hAnsi="Times New Roman"/>
        </w:rPr>
      </w:pPr>
      <w:r>
        <w:rPr>
          <w:rFonts w:ascii="Times New Roman" w:hAnsi="Times New Roman"/>
          <w:b/>
        </w:rPr>
        <w:t>OMB No. 0960-0516</w:t>
      </w:r>
    </w:p>
    <w:p w:rsidR="0007074A" w:rsidP="00537F12" w14:paraId="3AF5E932" w14:textId="77777777">
      <w:pPr>
        <w:rPr>
          <w:rFonts w:ascii="Times New Roman" w:hAnsi="Times New Roman"/>
        </w:rPr>
      </w:pPr>
    </w:p>
    <w:p w:rsidR="0007074A" w:rsidRPr="007B44EB" w:rsidP="003C3A37" w14:paraId="06FFF703" w14:textId="77777777">
      <w:pPr>
        <w:ind w:left="720" w:hanging="540"/>
        <w:rPr>
          <w:rFonts w:ascii="Times New Roman" w:hAnsi="Times New Roman"/>
          <w:b/>
        </w:rPr>
      </w:pPr>
      <w:r w:rsidRPr="007B44EB">
        <w:rPr>
          <w:rFonts w:ascii="Times New Roman" w:hAnsi="Times New Roman"/>
          <w:b/>
        </w:rPr>
        <w:t>A.</w:t>
      </w:r>
      <w:r w:rsidRPr="007B44EB">
        <w:rPr>
          <w:rFonts w:ascii="Times New Roman" w:hAnsi="Times New Roman"/>
          <w:b/>
        </w:rPr>
        <w:tab/>
      </w:r>
      <w:r w:rsidRPr="007B44EB">
        <w:rPr>
          <w:rFonts w:ascii="Times New Roman" w:hAnsi="Times New Roman"/>
          <w:b/>
          <w:u w:val="single"/>
        </w:rPr>
        <w:t>Justification</w:t>
      </w:r>
    </w:p>
    <w:p w:rsidR="0007074A" w14:paraId="24B3EB62" w14:textId="77777777">
      <w:pPr>
        <w:rPr>
          <w:rFonts w:ascii="Times New Roman" w:hAnsi="Times New Roman"/>
        </w:rPr>
      </w:pPr>
    </w:p>
    <w:p w:rsidR="007C06F3" w:rsidRPr="007C06F3" w:rsidP="003C3A37" w14:paraId="2559D868" w14:textId="77777777">
      <w:pPr>
        <w:numPr>
          <w:ilvl w:val="0"/>
          <w:numId w:val="13"/>
        </w:numPr>
        <w:tabs>
          <w:tab w:val="clear" w:pos="864"/>
          <w:tab w:val="num" w:pos="1440"/>
        </w:tabs>
        <w:ind w:left="1440" w:hanging="720"/>
        <w:rPr>
          <w:rFonts w:ascii="Times New Roman" w:hAnsi="Times New Roman"/>
          <w:bCs/>
        </w:rPr>
      </w:pPr>
      <w:r w:rsidRPr="0098043F">
        <w:rPr>
          <w:rFonts w:ascii="Times New Roman" w:hAnsi="Times New Roman"/>
          <w:b/>
          <w:bCs/>
        </w:rPr>
        <w:t>Introduction/Authoring Laws and Regulations</w:t>
      </w:r>
    </w:p>
    <w:p w:rsidR="00D2406B" w:rsidP="003C3A37" w14:paraId="02CFE467" w14:textId="47E56B0F">
      <w:pPr>
        <w:tabs>
          <w:tab w:val="num" w:pos="1440"/>
        </w:tabs>
        <w:ind w:left="1440"/>
        <w:rPr>
          <w:rFonts w:ascii="Times New Roman" w:hAnsi="Times New Roman"/>
          <w:bCs/>
        </w:rPr>
      </w:pPr>
      <w:r w:rsidRPr="007B44EB">
        <w:rPr>
          <w:rFonts w:ascii="Times New Roman" w:hAnsi="Times New Roman"/>
          <w:bCs/>
        </w:rPr>
        <w:t>When Supplemental Security Income (SSI) recipients</w:t>
      </w:r>
      <w:r w:rsidR="00857F1C">
        <w:rPr>
          <w:rFonts w:ascii="Times New Roman" w:hAnsi="Times New Roman"/>
          <w:bCs/>
        </w:rPr>
        <w:t>:</w:t>
      </w:r>
      <w:r w:rsidR="00213545">
        <w:rPr>
          <w:rFonts w:ascii="Times New Roman" w:hAnsi="Times New Roman"/>
          <w:bCs/>
        </w:rPr>
        <w:t xml:space="preserve">  </w:t>
      </w:r>
      <w:r w:rsidR="007C06F3">
        <w:rPr>
          <w:rFonts w:ascii="Times New Roman" w:hAnsi="Times New Roman"/>
          <w:bCs/>
        </w:rPr>
        <w:t>(</w:t>
      </w:r>
      <w:r w:rsidRPr="007B44EB">
        <w:rPr>
          <w:rFonts w:ascii="Times New Roman" w:hAnsi="Times New Roman"/>
          <w:bCs/>
        </w:rPr>
        <w:t>1) enter a public institution</w:t>
      </w:r>
      <w:r w:rsidR="00857F1C">
        <w:rPr>
          <w:rFonts w:ascii="Times New Roman" w:hAnsi="Times New Roman"/>
          <w:bCs/>
        </w:rPr>
        <w:t>;</w:t>
      </w:r>
      <w:r w:rsidRPr="007B44EB">
        <w:rPr>
          <w:rFonts w:ascii="Times New Roman" w:hAnsi="Times New Roman"/>
          <w:bCs/>
        </w:rPr>
        <w:t xml:space="preserve"> or </w:t>
      </w:r>
      <w:r w:rsidR="007C06F3">
        <w:rPr>
          <w:rFonts w:ascii="Times New Roman" w:hAnsi="Times New Roman"/>
          <w:bCs/>
        </w:rPr>
        <w:t>(2) </w:t>
      </w:r>
      <w:r w:rsidRPr="007B44EB">
        <w:rPr>
          <w:rFonts w:ascii="Times New Roman" w:hAnsi="Times New Roman"/>
          <w:bCs/>
        </w:rPr>
        <w:t>enter a private medical treatment facility wi</w:t>
      </w:r>
      <w:r w:rsidR="0098043F">
        <w:rPr>
          <w:rFonts w:ascii="Times New Roman" w:hAnsi="Times New Roman"/>
          <w:bCs/>
        </w:rPr>
        <w:t>th Medicaid paying more than 50 percent</w:t>
      </w:r>
      <w:r w:rsidRPr="007B44EB">
        <w:rPr>
          <w:rFonts w:ascii="Times New Roman" w:hAnsi="Times New Roman"/>
          <w:bCs/>
        </w:rPr>
        <w:t xml:space="preserve"> of expenses, </w:t>
      </w:r>
      <w:r w:rsidR="007C06F3">
        <w:rPr>
          <w:rFonts w:ascii="Times New Roman" w:hAnsi="Times New Roman"/>
          <w:bCs/>
        </w:rPr>
        <w:t xml:space="preserve">the Social Security Administration (SSA) reduces </w:t>
      </w:r>
      <w:r w:rsidRPr="007B44EB">
        <w:rPr>
          <w:rFonts w:ascii="Times New Roman" w:hAnsi="Times New Roman"/>
          <w:bCs/>
        </w:rPr>
        <w:t>their SSI payments to a nominal sum.  However, if this</w:t>
      </w:r>
      <w:r w:rsidR="00857F1C">
        <w:rPr>
          <w:rFonts w:ascii="Times New Roman" w:hAnsi="Times New Roman"/>
          <w:bCs/>
        </w:rPr>
        <w:t xml:space="preserve"> </w:t>
      </w:r>
      <w:r w:rsidRPr="007B44EB">
        <w:rPr>
          <w:rFonts w:ascii="Times New Roman" w:hAnsi="Times New Roman"/>
          <w:bCs/>
        </w:rPr>
        <w:t xml:space="preserve">institutionalization is temporary (defined as a maximum of 3 months), </w:t>
      </w:r>
      <w:r w:rsidR="007C06F3">
        <w:rPr>
          <w:rFonts w:ascii="Times New Roman" w:hAnsi="Times New Roman"/>
          <w:bCs/>
        </w:rPr>
        <w:t xml:space="preserve">SSA may waive the reduction.  Per sections </w:t>
      </w:r>
      <w:r w:rsidR="007C06F3">
        <w:rPr>
          <w:rFonts w:ascii="Times New Roman" w:hAnsi="Times New Roman"/>
          <w:bCs/>
          <w:i/>
        </w:rPr>
        <w:t>1611(e</w:t>
      </w:r>
      <w:r w:rsidR="00565B47">
        <w:rPr>
          <w:rFonts w:ascii="Times New Roman" w:hAnsi="Times New Roman"/>
          <w:bCs/>
          <w:i/>
        </w:rPr>
        <w:t>)(</w:t>
      </w:r>
      <w:r w:rsidR="007C06F3">
        <w:rPr>
          <w:rFonts w:ascii="Times New Roman" w:hAnsi="Times New Roman"/>
          <w:bCs/>
          <w:i/>
        </w:rPr>
        <w:t>1</w:t>
      </w:r>
      <w:r w:rsidR="00565B47">
        <w:rPr>
          <w:rFonts w:ascii="Times New Roman" w:hAnsi="Times New Roman"/>
          <w:bCs/>
          <w:i/>
        </w:rPr>
        <w:t>)(</w:t>
      </w:r>
      <w:r w:rsidR="007C06F3">
        <w:rPr>
          <w:rFonts w:ascii="Times New Roman" w:hAnsi="Times New Roman"/>
          <w:bCs/>
          <w:i/>
        </w:rPr>
        <w:t>G)-(H)</w:t>
      </w:r>
      <w:r w:rsidR="007C06F3">
        <w:rPr>
          <w:rFonts w:ascii="Times New Roman" w:hAnsi="Times New Roman"/>
          <w:bCs/>
        </w:rPr>
        <w:t xml:space="preserve"> of the </w:t>
      </w:r>
      <w:r w:rsidRPr="007C06F3" w:rsidR="007C06F3">
        <w:rPr>
          <w:rFonts w:ascii="Times New Roman" w:hAnsi="Times New Roman"/>
          <w:bCs/>
          <w:i/>
        </w:rPr>
        <w:t>Social Security Act</w:t>
      </w:r>
      <w:r w:rsidR="00E50830">
        <w:rPr>
          <w:rFonts w:ascii="Times New Roman" w:hAnsi="Times New Roman"/>
          <w:bCs/>
          <w:i/>
        </w:rPr>
        <w:t xml:space="preserve"> (Act)</w:t>
      </w:r>
      <w:r w:rsidR="007C06F3">
        <w:rPr>
          <w:rFonts w:ascii="Times New Roman" w:hAnsi="Times New Roman"/>
          <w:bCs/>
        </w:rPr>
        <w:t xml:space="preserve"> and </w:t>
      </w:r>
      <w:r w:rsidR="00857F1C">
        <w:rPr>
          <w:rFonts w:ascii="Times New Roman" w:hAnsi="Times New Roman"/>
          <w:bCs/>
        </w:rPr>
        <w:t>S</w:t>
      </w:r>
      <w:r w:rsidR="007C06F3">
        <w:rPr>
          <w:rFonts w:ascii="Times New Roman" w:hAnsi="Times New Roman"/>
          <w:bCs/>
        </w:rPr>
        <w:t xml:space="preserve">ection </w:t>
      </w:r>
      <w:r w:rsidRPr="0098043F" w:rsidR="007C06F3">
        <w:rPr>
          <w:rFonts w:ascii="Times New Roman" w:hAnsi="Times New Roman"/>
          <w:bCs/>
          <w:i/>
        </w:rPr>
        <w:t>20</w:t>
      </w:r>
      <w:r w:rsidR="007C06F3">
        <w:rPr>
          <w:rFonts w:ascii="Times New Roman" w:hAnsi="Times New Roman"/>
          <w:bCs/>
        </w:rPr>
        <w:t xml:space="preserve"> </w:t>
      </w:r>
      <w:r w:rsidRPr="0098043F" w:rsidR="007C06F3">
        <w:rPr>
          <w:rFonts w:ascii="Times New Roman" w:hAnsi="Times New Roman"/>
          <w:bCs/>
          <w:i/>
        </w:rPr>
        <w:t>CFR 416.212(b</w:t>
      </w:r>
      <w:r w:rsidRPr="0098043F" w:rsidR="00565B47">
        <w:rPr>
          <w:rFonts w:ascii="Times New Roman" w:hAnsi="Times New Roman"/>
          <w:bCs/>
          <w:i/>
        </w:rPr>
        <w:t>)(</w:t>
      </w:r>
      <w:r w:rsidRPr="0098043F" w:rsidR="007C06F3">
        <w:rPr>
          <w:rFonts w:ascii="Times New Roman" w:hAnsi="Times New Roman"/>
          <w:bCs/>
          <w:i/>
        </w:rPr>
        <w:t>1)</w:t>
      </w:r>
      <w:r w:rsidR="007C06F3">
        <w:rPr>
          <w:rFonts w:ascii="Times New Roman" w:hAnsi="Times New Roman"/>
          <w:bCs/>
        </w:rPr>
        <w:t xml:space="preserve"> of the </w:t>
      </w:r>
      <w:r w:rsidRPr="007C06F3" w:rsidR="007C06F3">
        <w:rPr>
          <w:rFonts w:ascii="Times New Roman" w:hAnsi="Times New Roman"/>
          <w:bCs/>
          <w:i/>
        </w:rPr>
        <w:t>Code of Federal Regulations</w:t>
      </w:r>
      <w:r w:rsidRPr="007C06F3" w:rsidR="007C06F3">
        <w:rPr>
          <w:rFonts w:ascii="Times New Roman" w:hAnsi="Times New Roman"/>
          <w:bCs/>
        </w:rPr>
        <w:t>, b</w:t>
      </w:r>
      <w:r w:rsidRPr="007C06F3" w:rsidR="0098043F">
        <w:rPr>
          <w:rFonts w:ascii="Times New Roman" w:hAnsi="Times New Roman"/>
          <w:bCs/>
        </w:rPr>
        <w:t>efor</w:t>
      </w:r>
      <w:r w:rsidRPr="007C06F3" w:rsidR="006F7642">
        <w:rPr>
          <w:rFonts w:ascii="Times New Roman" w:hAnsi="Times New Roman"/>
          <w:bCs/>
        </w:rPr>
        <w:t>e SSA can waive the SSI payment</w:t>
      </w:r>
      <w:r w:rsidRPr="007C06F3">
        <w:rPr>
          <w:rFonts w:ascii="Times New Roman" w:hAnsi="Times New Roman"/>
          <w:bCs/>
        </w:rPr>
        <w:t xml:space="preserve"> reduction, the agency must receive the following</w:t>
      </w:r>
      <w:r w:rsidRPr="007B44EB">
        <w:rPr>
          <w:rFonts w:ascii="Times New Roman" w:hAnsi="Times New Roman"/>
          <w:bCs/>
        </w:rPr>
        <w:t xml:space="preserve"> documentation: </w:t>
      </w:r>
      <w:r w:rsidR="00857F1C">
        <w:rPr>
          <w:rFonts w:ascii="Times New Roman" w:hAnsi="Times New Roman"/>
          <w:bCs/>
        </w:rPr>
        <w:t xml:space="preserve"> </w:t>
      </w:r>
      <w:r w:rsidR="007C06F3">
        <w:rPr>
          <w:rFonts w:ascii="Times New Roman" w:hAnsi="Times New Roman"/>
          <w:bCs/>
        </w:rPr>
        <w:t>(</w:t>
      </w:r>
      <w:r w:rsidRPr="007B44EB">
        <w:rPr>
          <w:rFonts w:ascii="Times New Roman" w:hAnsi="Times New Roman"/>
          <w:bCs/>
        </w:rPr>
        <w:t xml:space="preserve">1) </w:t>
      </w:r>
      <w:r w:rsidR="00B1243D">
        <w:rPr>
          <w:rFonts w:ascii="Times New Roman" w:hAnsi="Times New Roman"/>
          <w:bCs/>
        </w:rPr>
        <w:t xml:space="preserve">a </w:t>
      </w:r>
      <w:r w:rsidRPr="007B44EB">
        <w:rPr>
          <w:rFonts w:ascii="Times New Roman" w:hAnsi="Times New Roman"/>
          <w:bCs/>
        </w:rPr>
        <w:t>physician’s ce</w:t>
      </w:r>
      <w:r w:rsidR="0098043F">
        <w:rPr>
          <w:rFonts w:ascii="Times New Roman" w:hAnsi="Times New Roman"/>
          <w:bCs/>
        </w:rPr>
        <w:t>rtification that the SSI recipient</w:t>
      </w:r>
      <w:r w:rsidRPr="007B44EB">
        <w:rPr>
          <w:rFonts w:ascii="Times New Roman" w:hAnsi="Times New Roman"/>
          <w:bCs/>
        </w:rPr>
        <w:t xml:space="preserve"> will only be institutionalized for a maximum of</w:t>
      </w:r>
      <w:r w:rsidR="0098043F">
        <w:rPr>
          <w:rFonts w:ascii="Times New Roman" w:hAnsi="Times New Roman"/>
          <w:bCs/>
        </w:rPr>
        <w:t xml:space="preserve"> three</w:t>
      </w:r>
      <w:r w:rsidRPr="007B44EB">
        <w:rPr>
          <w:rFonts w:ascii="Times New Roman" w:hAnsi="Times New Roman"/>
          <w:bCs/>
        </w:rPr>
        <w:t xml:space="preserve"> months</w:t>
      </w:r>
      <w:r w:rsidR="0098043F">
        <w:rPr>
          <w:rFonts w:ascii="Times New Roman" w:hAnsi="Times New Roman"/>
          <w:bCs/>
        </w:rPr>
        <w:t>;</w:t>
      </w:r>
      <w:r w:rsidRPr="007B44EB">
        <w:rPr>
          <w:rFonts w:ascii="Times New Roman" w:hAnsi="Times New Roman"/>
          <w:bCs/>
        </w:rPr>
        <w:t xml:space="preserve"> and </w:t>
      </w:r>
      <w:r w:rsidR="007C06F3">
        <w:rPr>
          <w:rFonts w:ascii="Times New Roman" w:hAnsi="Times New Roman"/>
          <w:bCs/>
        </w:rPr>
        <w:t>(</w:t>
      </w:r>
      <w:r w:rsidRPr="007B44EB">
        <w:rPr>
          <w:rFonts w:ascii="Times New Roman" w:hAnsi="Times New Roman"/>
          <w:bCs/>
        </w:rPr>
        <w:t>2)</w:t>
      </w:r>
      <w:r w:rsidR="00E50830">
        <w:rPr>
          <w:rFonts w:ascii="Times New Roman" w:hAnsi="Times New Roman"/>
          <w:bCs/>
        </w:rPr>
        <w:t> </w:t>
      </w:r>
      <w:r w:rsidR="00775670">
        <w:rPr>
          <w:rFonts w:ascii="Times New Roman" w:hAnsi="Times New Roman"/>
          <w:bCs/>
        </w:rPr>
        <w:t>c</w:t>
      </w:r>
      <w:r w:rsidRPr="007B44EB" w:rsidR="00565B47">
        <w:rPr>
          <w:rFonts w:ascii="Times New Roman" w:hAnsi="Times New Roman"/>
          <w:bCs/>
        </w:rPr>
        <w:t>ertification</w:t>
      </w:r>
      <w:r w:rsidR="0098043F">
        <w:rPr>
          <w:rFonts w:ascii="Times New Roman" w:hAnsi="Times New Roman"/>
          <w:bCs/>
        </w:rPr>
        <w:t xml:space="preserve"> from the recipient</w:t>
      </w:r>
      <w:r w:rsidR="00151490">
        <w:rPr>
          <w:rFonts w:ascii="Times New Roman" w:hAnsi="Times New Roman"/>
          <w:bCs/>
        </w:rPr>
        <w:t xml:space="preserve"> or the recipient’s </w:t>
      </w:r>
      <w:r w:rsidR="00857F1C">
        <w:rPr>
          <w:rFonts w:ascii="Times New Roman" w:hAnsi="Times New Roman"/>
          <w:bCs/>
        </w:rPr>
        <w:t>r</w:t>
      </w:r>
      <w:r w:rsidR="00151490">
        <w:rPr>
          <w:rFonts w:ascii="Times New Roman" w:hAnsi="Times New Roman"/>
          <w:bCs/>
        </w:rPr>
        <w:t xml:space="preserve">epresentative </w:t>
      </w:r>
      <w:r w:rsidR="00857F1C">
        <w:rPr>
          <w:rFonts w:ascii="Times New Roman" w:hAnsi="Times New Roman"/>
          <w:bCs/>
        </w:rPr>
        <w:t>p</w:t>
      </w:r>
      <w:r w:rsidR="00151490">
        <w:rPr>
          <w:rFonts w:ascii="Times New Roman" w:hAnsi="Times New Roman"/>
          <w:bCs/>
        </w:rPr>
        <w:t xml:space="preserve">ayee </w:t>
      </w:r>
      <w:r w:rsidRPr="007C06F3" w:rsidR="007C06F3">
        <w:rPr>
          <w:rFonts w:ascii="Times New Roman" w:hAnsi="Times New Roman" w:cs="Times New Roman"/>
          <w:lang w:eastAsia="en-US"/>
        </w:rPr>
        <w:t>confirming the recipient needs SSI payments to maintain the living</w:t>
      </w:r>
      <w:r w:rsidRPr="007C06F3" w:rsidR="007C06F3">
        <w:rPr>
          <w:rFonts w:ascii="Times New Roman" w:hAnsi="Times New Roman" w:cs="Times New Roman"/>
          <w:bCs/>
        </w:rPr>
        <w:t xml:space="preserve"> </w:t>
      </w:r>
      <w:r w:rsidRPr="007C06F3" w:rsidR="007C06F3">
        <w:rPr>
          <w:rFonts w:ascii="Times New Roman" w:hAnsi="Times New Roman" w:cs="Times New Roman"/>
          <w:lang w:eastAsia="en-US"/>
        </w:rPr>
        <w:t>arrangements to which the individual</w:t>
      </w:r>
      <w:r w:rsidRPr="007C06F3" w:rsidR="007C06F3">
        <w:rPr>
          <w:rFonts w:ascii="Times New Roman" w:hAnsi="Times New Roman" w:cs="Times New Roman"/>
          <w:bCs/>
        </w:rPr>
        <w:t xml:space="preserve"> </w:t>
      </w:r>
      <w:r w:rsidRPr="007C06F3" w:rsidR="007C06F3">
        <w:rPr>
          <w:rFonts w:ascii="Times New Roman" w:hAnsi="Times New Roman" w:cs="Times New Roman"/>
          <w:lang w:eastAsia="en-US"/>
        </w:rPr>
        <w:t>will return post-institutionalization</w:t>
      </w:r>
      <w:r w:rsidRPr="007C06F3">
        <w:rPr>
          <w:rFonts w:ascii="Times New Roman" w:hAnsi="Times New Roman" w:cs="Times New Roman"/>
          <w:bCs/>
        </w:rPr>
        <w:t>.</w:t>
      </w:r>
    </w:p>
    <w:p w:rsidR="007B44EB" w:rsidP="003C3A37" w14:paraId="7C79F5FE" w14:textId="77777777">
      <w:pPr>
        <w:tabs>
          <w:tab w:val="num" w:pos="1440"/>
        </w:tabs>
        <w:ind w:left="1440"/>
        <w:rPr>
          <w:rFonts w:ascii="Times New Roman" w:hAnsi="Times New Roman"/>
        </w:rPr>
      </w:pPr>
      <w:r>
        <w:rPr>
          <w:rFonts w:ascii="Times New Roman" w:hAnsi="Times New Roman"/>
        </w:rPr>
        <w:tab/>
      </w:r>
    </w:p>
    <w:p w:rsidR="00661762" w:rsidP="003C3A37" w14:paraId="6DDF026A" w14:textId="77777777">
      <w:pPr>
        <w:numPr>
          <w:ilvl w:val="0"/>
          <w:numId w:val="10"/>
        </w:numPr>
        <w:tabs>
          <w:tab w:val="clear" w:pos="864"/>
          <w:tab w:val="num" w:pos="1440"/>
        </w:tabs>
        <w:ind w:left="1440" w:hanging="720"/>
        <w:rPr>
          <w:rFonts w:ascii="Times New Roman" w:hAnsi="Times New Roman"/>
        </w:rPr>
      </w:pPr>
      <w:r w:rsidRPr="0098043F">
        <w:rPr>
          <w:rFonts w:ascii="Times New Roman" w:hAnsi="Times New Roman"/>
          <w:b/>
        </w:rPr>
        <w:t>Description of Collection</w:t>
      </w:r>
    </w:p>
    <w:p w:rsidR="00CB67AA" w:rsidP="003C3A37" w14:paraId="1F6C9811" w14:textId="49186548">
      <w:pPr>
        <w:tabs>
          <w:tab w:val="num" w:pos="1440"/>
        </w:tabs>
        <w:ind w:left="1440"/>
        <w:rPr>
          <w:rFonts w:ascii="Times New Roman" w:hAnsi="Times New Roman"/>
        </w:rPr>
      </w:pPr>
      <w:r>
        <w:rPr>
          <w:rFonts w:ascii="Times New Roman" w:hAnsi="Times New Roman"/>
        </w:rPr>
        <w:t xml:space="preserve">SSA collects this information to determine if institutionalized SSI recipients will only be in the institution or medical facility for three months maximum, and if they still need SSI payments. </w:t>
      </w:r>
      <w:r w:rsidR="00287544">
        <w:rPr>
          <w:rFonts w:ascii="Times New Roman" w:hAnsi="Times New Roman"/>
        </w:rPr>
        <w:t xml:space="preserve"> </w:t>
      </w:r>
      <w:r>
        <w:rPr>
          <w:rFonts w:ascii="Times New Roman" w:hAnsi="Times New Roman"/>
        </w:rPr>
        <w:t xml:space="preserve">As stated above, the information collection helps establish both that the beneficiary is likely to be only institutionalized for a maximum of three months and that the beneficiary needs SSI payments to maintain </w:t>
      </w:r>
      <w:r w:rsidRPr="007C06F3">
        <w:rPr>
          <w:rFonts w:ascii="Times New Roman" w:hAnsi="Times New Roman" w:cs="Times New Roman"/>
          <w:lang w:eastAsia="en-US"/>
        </w:rPr>
        <w:t>the living</w:t>
      </w:r>
      <w:r w:rsidRPr="007C06F3">
        <w:rPr>
          <w:rFonts w:ascii="Times New Roman" w:hAnsi="Times New Roman" w:cs="Times New Roman"/>
          <w:bCs/>
        </w:rPr>
        <w:t xml:space="preserve"> </w:t>
      </w:r>
      <w:r w:rsidRPr="007C06F3">
        <w:rPr>
          <w:rFonts w:ascii="Times New Roman" w:hAnsi="Times New Roman" w:cs="Times New Roman"/>
          <w:lang w:eastAsia="en-US"/>
        </w:rPr>
        <w:t>arrangements to which the individual</w:t>
      </w:r>
      <w:r w:rsidRPr="007C06F3">
        <w:rPr>
          <w:rFonts w:ascii="Times New Roman" w:hAnsi="Times New Roman" w:cs="Times New Roman"/>
          <w:bCs/>
        </w:rPr>
        <w:t xml:space="preserve"> </w:t>
      </w:r>
      <w:r w:rsidRPr="007C06F3">
        <w:rPr>
          <w:rFonts w:ascii="Times New Roman" w:hAnsi="Times New Roman" w:cs="Times New Roman"/>
          <w:lang w:eastAsia="en-US"/>
        </w:rPr>
        <w:t>will return post</w:t>
      </w:r>
      <w:r w:rsidR="00287544">
        <w:rPr>
          <w:rFonts w:ascii="Times New Roman" w:hAnsi="Times New Roman" w:cs="Times New Roman"/>
          <w:lang w:eastAsia="en-US"/>
        </w:rPr>
        <w:noBreakHyphen/>
      </w:r>
      <w:r w:rsidRPr="007C06F3">
        <w:rPr>
          <w:rFonts w:ascii="Times New Roman" w:hAnsi="Times New Roman" w:cs="Times New Roman"/>
          <w:lang w:eastAsia="en-US"/>
        </w:rPr>
        <w:t>institutionalization</w:t>
      </w:r>
      <w:r w:rsidR="00775670">
        <w:rPr>
          <w:rFonts w:ascii="Times New Roman" w:hAnsi="Times New Roman"/>
        </w:rPr>
        <w:t>.</w:t>
      </w:r>
    </w:p>
    <w:p w:rsidR="005F1CCF" w:rsidP="003C3A37" w14:paraId="038CEABA" w14:textId="501597D1">
      <w:pPr>
        <w:tabs>
          <w:tab w:val="num" w:pos="1440"/>
        </w:tabs>
        <w:ind w:left="1440"/>
        <w:rPr>
          <w:rFonts w:ascii="Times New Roman" w:hAnsi="Times New Roman"/>
        </w:rPr>
      </w:pPr>
    </w:p>
    <w:p w:rsidR="005F1CCF" w:rsidP="003C3A37" w14:paraId="676E1A3E" w14:textId="3DB6E174">
      <w:pPr>
        <w:tabs>
          <w:tab w:val="num" w:pos="1440"/>
        </w:tabs>
        <w:ind w:left="1440"/>
        <w:rPr>
          <w:rFonts w:ascii="Times New Roman" w:hAnsi="Times New Roman"/>
          <w:bCs/>
        </w:rPr>
      </w:pPr>
      <w:r>
        <w:rPr>
          <w:rFonts w:ascii="Times New Roman" w:hAnsi="Times New Roman"/>
          <w:bCs/>
        </w:rPr>
        <w:t xml:space="preserve">Historically, respondents have </w:t>
      </w:r>
      <w:r w:rsidRPr="003D4F38">
        <w:rPr>
          <w:rFonts w:ascii="Times New Roman" w:hAnsi="Times New Roman"/>
          <w:bCs/>
        </w:rPr>
        <w:t>contact</w:t>
      </w:r>
      <w:r>
        <w:rPr>
          <w:rFonts w:ascii="Times New Roman" w:hAnsi="Times New Roman"/>
          <w:bCs/>
        </w:rPr>
        <w:t>ed</w:t>
      </w:r>
      <w:r w:rsidRPr="003D4F38">
        <w:rPr>
          <w:rFonts w:ascii="Times New Roman" w:hAnsi="Times New Roman"/>
          <w:bCs/>
        </w:rPr>
        <w:t xml:space="preserve"> us via the phone</w:t>
      </w:r>
      <w:r>
        <w:rPr>
          <w:rFonts w:ascii="Times New Roman" w:hAnsi="Times New Roman"/>
          <w:bCs/>
        </w:rPr>
        <w:t xml:space="preserve"> to initiate this information collection, as is further discussed below.</w:t>
      </w:r>
      <w:r w:rsidR="00287544">
        <w:rPr>
          <w:rFonts w:ascii="Times New Roman" w:hAnsi="Times New Roman"/>
          <w:bCs/>
        </w:rPr>
        <w:t xml:space="preserve"> </w:t>
      </w:r>
      <w:r>
        <w:rPr>
          <w:rFonts w:ascii="Times New Roman" w:hAnsi="Times New Roman"/>
          <w:bCs/>
        </w:rPr>
        <w:t xml:space="preserve"> Moving forward,</w:t>
      </w:r>
      <w:r w:rsidRPr="003D4F38">
        <w:rPr>
          <w:rFonts w:ascii="Times New Roman" w:hAnsi="Times New Roman"/>
          <w:bCs/>
        </w:rPr>
        <w:t xml:space="preserve"> the recipient, the representative payee, the recipient family, or the case worker at the hospital will</w:t>
      </w:r>
      <w:r>
        <w:rPr>
          <w:rFonts w:ascii="Times New Roman" w:hAnsi="Times New Roman"/>
          <w:bCs/>
        </w:rPr>
        <w:t xml:space="preserve"> also have the option of submitting</w:t>
      </w:r>
      <w:r w:rsidRPr="003D4F38">
        <w:rPr>
          <w:rFonts w:ascii="Times New Roman" w:hAnsi="Times New Roman"/>
          <w:bCs/>
        </w:rPr>
        <w:t xml:space="preserve"> the SSA-186.</w:t>
      </w:r>
      <w:r>
        <w:rPr>
          <w:rFonts w:ascii="Times New Roman" w:hAnsi="Times New Roman"/>
          <w:bCs/>
        </w:rPr>
        <w:t xml:space="preserve"> </w:t>
      </w:r>
      <w:r w:rsidR="00287544">
        <w:rPr>
          <w:rFonts w:ascii="Times New Roman" w:hAnsi="Times New Roman"/>
          <w:bCs/>
        </w:rPr>
        <w:t xml:space="preserve"> </w:t>
      </w:r>
      <w:r>
        <w:rPr>
          <w:rFonts w:ascii="Times New Roman" w:hAnsi="Times New Roman"/>
          <w:bCs/>
        </w:rPr>
        <w:t>T</w:t>
      </w:r>
      <w:r w:rsidRPr="003D4F38">
        <w:rPr>
          <w:rFonts w:ascii="Times New Roman" w:hAnsi="Times New Roman"/>
          <w:bCs/>
        </w:rPr>
        <w:t xml:space="preserve">he SSA-186 </w:t>
      </w:r>
      <w:r>
        <w:rPr>
          <w:rFonts w:ascii="Times New Roman" w:hAnsi="Times New Roman"/>
          <w:bCs/>
        </w:rPr>
        <w:t xml:space="preserve">offers the convenience of </w:t>
      </w:r>
      <w:r w:rsidRPr="003D4F38">
        <w:rPr>
          <w:rFonts w:ascii="Times New Roman" w:hAnsi="Times New Roman"/>
          <w:bCs/>
        </w:rPr>
        <w:t>notifying SSA and requesting a need for benefits and obtaining the physician certification on one document.</w:t>
      </w:r>
      <w:r w:rsidR="00287544">
        <w:rPr>
          <w:rFonts w:ascii="Times New Roman" w:hAnsi="Times New Roman"/>
          <w:bCs/>
        </w:rPr>
        <w:t xml:space="preserve"> </w:t>
      </w:r>
      <w:r>
        <w:rPr>
          <w:rFonts w:ascii="Times New Roman" w:hAnsi="Times New Roman"/>
          <w:bCs/>
        </w:rPr>
        <w:t xml:space="preserve"> However, r</w:t>
      </w:r>
      <w:r w:rsidRPr="003D4F38">
        <w:rPr>
          <w:rFonts w:ascii="Times New Roman" w:hAnsi="Times New Roman"/>
          <w:bCs/>
        </w:rPr>
        <w:t xml:space="preserve">ecipients will </w:t>
      </w:r>
      <w:r>
        <w:rPr>
          <w:rFonts w:ascii="Times New Roman" w:hAnsi="Times New Roman"/>
          <w:bCs/>
        </w:rPr>
        <w:t xml:space="preserve">also </w:t>
      </w:r>
      <w:r w:rsidRPr="003D4F38">
        <w:rPr>
          <w:rFonts w:ascii="Times New Roman" w:hAnsi="Times New Roman"/>
          <w:bCs/>
        </w:rPr>
        <w:t xml:space="preserve">continue to have the option of notifying SSA and submitting a handwritten letter regarding “need” </w:t>
      </w:r>
      <w:r>
        <w:rPr>
          <w:rFonts w:ascii="Times New Roman" w:hAnsi="Times New Roman"/>
          <w:bCs/>
        </w:rPr>
        <w:t>if the recipient does not wish to complete the form.</w:t>
      </w:r>
    </w:p>
    <w:p w:rsidR="005F1CCF" w:rsidP="003C3A37" w14:paraId="7764FA83" w14:textId="77EB7A9C">
      <w:pPr>
        <w:tabs>
          <w:tab w:val="num" w:pos="1440"/>
        </w:tabs>
        <w:ind w:left="1440"/>
        <w:rPr>
          <w:rFonts w:ascii="Times New Roman" w:hAnsi="Times New Roman"/>
          <w:bCs/>
        </w:rPr>
      </w:pPr>
    </w:p>
    <w:p w:rsidR="005F1CCF" w:rsidP="003C3A37" w14:paraId="1FCB98CD" w14:textId="2BF3E6B3">
      <w:pPr>
        <w:tabs>
          <w:tab w:val="num" w:pos="1440"/>
        </w:tabs>
        <w:ind w:left="1440"/>
        <w:rPr>
          <w:rFonts w:ascii="Times New Roman" w:hAnsi="Times New Roman"/>
          <w:bCs/>
        </w:rPr>
      </w:pPr>
      <w:r>
        <w:rPr>
          <w:rFonts w:ascii="Times New Roman" w:hAnsi="Times New Roman"/>
          <w:bCs/>
        </w:rPr>
        <w:t>Respondents typically know to complete this form as an extension of their awareness of the requirements related to reporting living arrangements; r</w:t>
      </w:r>
      <w:r w:rsidRPr="003D4F38">
        <w:rPr>
          <w:rFonts w:ascii="Times New Roman" w:hAnsi="Times New Roman"/>
          <w:bCs/>
        </w:rPr>
        <w:t xml:space="preserve">ecipients are informed in-person </w:t>
      </w:r>
      <w:r>
        <w:rPr>
          <w:rFonts w:ascii="Times New Roman" w:hAnsi="Times New Roman"/>
          <w:bCs/>
        </w:rPr>
        <w:t>and</w:t>
      </w:r>
      <w:r w:rsidRPr="003D4F38">
        <w:rPr>
          <w:rFonts w:ascii="Times New Roman" w:hAnsi="Times New Roman"/>
          <w:bCs/>
        </w:rPr>
        <w:t xml:space="preserve"> in writing during their initial claim, redeterminations, and when updates are made to their case file that they are responsible for reporting any changes to their living arrangement to SSA. </w:t>
      </w:r>
      <w:r w:rsidR="00287544">
        <w:rPr>
          <w:rFonts w:ascii="Times New Roman" w:hAnsi="Times New Roman"/>
          <w:bCs/>
        </w:rPr>
        <w:t xml:space="preserve"> </w:t>
      </w:r>
      <w:r>
        <w:rPr>
          <w:rFonts w:ascii="Times New Roman" w:hAnsi="Times New Roman"/>
          <w:bCs/>
        </w:rPr>
        <w:t xml:space="preserve">When a recipient does </w:t>
      </w:r>
      <w:r>
        <w:rPr>
          <w:rFonts w:ascii="Times New Roman" w:hAnsi="Times New Roman"/>
          <w:bCs/>
        </w:rPr>
        <w:t>report a change in living arrangements, such as in a circumstance when they are temporarily institutionalized</w:t>
      </w:r>
      <w:r w:rsidRPr="003D4F38">
        <w:rPr>
          <w:rFonts w:ascii="Times New Roman" w:hAnsi="Times New Roman"/>
          <w:bCs/>
        </w:rPr>
        <w:t>,</w:t>
      </w:r>
      <w:r>
        <w:rPr>
          <w:rFonts w:ascii="Times New Roman" w:hAnsi="Times New Roman"/>
          <w:bCs/>
        </w:rPr>
        <w:t xml:space="preserve"> the SSA</w:t>
      </w:r>
      <w:r w:rsidRPr="003D4F38">
        <w:rPr>
          <w:rFonts w:ascii="Times New Roman" w:hAnsi="Times New Roman"/>
          <w:bCs/>
        </w:rPr>
        <w:t xml:space="preserve"> technician</w:t>
      </w:r>
      <w:r>
        <w:rPr>
          <w:rFonts w:ascii="Times New Roman" w:hAnsi="Times New Roman"/>
          <w:bCs/>
        </w:rPr>
        <w:t xml:space="preserve"> </w:t>
      </w:r>
      <w:r w:rsidRPr="003D4F38">
        <w:rPr>
          <w:rFonts w:ascii="Times New Roman" w:hAnsi="Times New Roman"/>
          <w:bCs/>
        </w:rPr>
        <w:t>assess</w:t>
      </w:r>
      <w:r>
        <w:rPr>
          <w:rFonts w:ascii="Times New Roman" w:hAnsi="Times New Roman"/>
          <w:bCs/>
        </w:rPr>
        <w:t>es</w:t>
      </w:r>
      <w:r w:rsidRPr="003D4F38">
        <w:rPr>
          <w:rFonts w:ascii="Times New Roman" w:hAnsi="Times New Roman"/>
          <w:bCs/>
        </w:rPr>
        <w:t xml:space="preserve"> the information being provided to determine if temporary institutionalization (TI) benefits apply or other applicable services</w:t>
      </w:r>
      <w:r>
        <w:rPr>
          <w:rFonts w:ascii="Times New Roman" w:hAnsi="Times New Roman"/>
          <w:bCs/>
        </w:rPr>
        <w:t>.</w:t>
      </w:r>
    </w:p>
    <w:p w:rsidR="005F1CCF" w:rsidP="003C3A37" w14:paraId="3D5045C4" w14:textId="4B91446C">
      <w:pPr>
        <w:tabs>
          <w:tab w:val="num" w:pos="1440"/>
        </w:tabs>
        <w:ind w:left="1440"/>
        <w:rPr>
          <w:rFonts w:ascii="Times New Roman" w:hAnsi="Times New Roman"/>
          <w:bCs/>
        </w:rPr>
      </w:pPr>
    </w:p>
    <w:p w:rsidR="005F1CCF" w:rsidP="003C3A37" w14:paraId="1EFAC35F" w14:textId="2672AA77">
      <w:pPr>
        <w:tabs>
          <w:tab w:val="num" w:pos="1440"/>
        </w:tabs>
        <w:ind w:left="1440"/>
        <w:rPr>
          <w:rFonts w:ascii="Times New Roman" w:hAnsi="Times New Roman"/>
          <w:bCs/>
        </w:rPr>
      </w:pPr>
      <w:r>
        <w:rPr>
          <w:rFonts w:ascii="Times New Roman" w:hAnsi="Times New Roman"/>
          <w:bCs/>
        </w:rPr>
        <w:t>T</w:t>
      </w:r>
      <w:r w:rsidRPr="003D4F38">
        <w:rPr>
          <w:rFonts w:ascii="Times New Roman" w:hAnsi="Times New Roman"/>
          <w:bCs/>
        </w:rPr>
        <w:t>he TI benefit policy is a long-standing policy</w:t>
      </w:r>
      <w:r>
        <w:rPr>
          <w:rFonts w:ascii="Times New Roman" w:hAnsi="Times New Roman"/>
          <w:bCs/>
        </w:rPr>
        <w:t>, and to facilitate beneficiaries’ better understanding of the policy we maintain</w:t>
      </w:r>
      <w:r w:rsidRPr="003D4F38">
        <w:rPr>
          <w:rFonts w:ascii="Times New Roman" w:hAnsi="Times New Roman"/>
          <w:bCs/>
        </w:rPr>
        <w:t xml:space="preserve"> publications and outreach to the public, hospitals, and institutions.  Again, recipients are also told during their initial claim and redeterminations in person and in writing to report any changes to their living arrangements.  </w:t>
      </w:r>
      <w:r>
        <w:rPr>
          <w:rFonts w:ascii="Times New Roman" w:hAnsi="Times New Roman"/>
          <w:bCs/>
        </w:rPr>
        <w:t xml:space="preserve">Additionally, the SSA-186 </w:t>
      </w:r>
      <w:r w:rsidRPr="003D4F38">
        <w:rPr>
          <w:rFonts w:ascii="Times New Roman" w:hAnsi="Times New Roman"/>
          <w:bCs/>
        </w:rPr>
        <w:t xml:space="preserve">was created </w:t>
      </w:r>
      <w:r>
        <w:rPr>
          <w:rFonts w:ascii="Times New Roman" w:hAnsi="Times New Roman"/>
          <w:bCs/>
        </w:rPr>
        <w:t>to further streamline the information collection; by collecting the doctor’s and beneficiary’s certifications on a single, simplified form, SSA believes this will reduce time and confusion associated with complying with this information collection.</w:t>
      </w:r>
    </w:p>
    <w:p w:rsidR="005F1CCF" w:rsidP="003C3A37" w14:paraId="18026ADA" w14:textId="2FC9FBF2">
      <w:pPr>
        <w:tabs>
          <w:tab w:val="num" w:pos="1440"/>
        </w:tabs>
        <w:ind w:left="1440"/>
        <w:rPr>
          <w:rFonts w:ascii="Times New Roman" w:hAnsi="Times New Roman"/>
          <w:bCs/>
        </w:rPr>
      </w:pPr>
    </w:p>
    <w:p w:rsidR="005F1CCF" w:rsidP="003C3A37" w14:paraId="72D34914" w14:textId="5A0D1532">
      <w:pPr>
        <w:tabs>
          <w:tab w:val="num" w:pos="1440"/>
        </w:tabs>
        <w:ind w:left="1440"/>
        <w:rPr>
          <w:rFonts w:ascii="Times New Roman" w:hAnsi="Times New Roman"/>
        </w:rPr>
      </w:pPr>
      <w:r>
        <w:rPr>
          <w:rFonts w:ascii="Times New Roman" w:hAnsi="Times New Roman"/>
          <w:bCs/>
        </w:rPr>
        <w:t xml:space="preserve">Furthermore, as required by </w:t>
      </w:r>
      <w:r w:rsidRPr="00287544">
        <w:rPr>
          <w:rFonts w:ascii="Times New Roman" w:hAnsi="Times New Roman"/>
          <w:bCs/>
          <w:i/>
          <w:iCs/>
        </w:rPr>
        <w:t>1611(e)(1)(J)</w:t>
      </w:r>
      <w:r w:rsidRPr="00D125B3">
        <w:rPr>
          <w:rFonts w:ascii="Times New Roman" w:hAnsi="Times New Roman"/>
          <w:bCs/>
        </w:rPr>
        <w:t xml:space="preserve"> </w:t>
      </w:r>
      <w:r>
        <w:rPr>
          <w:rFonts w:ascii="Times New Roman" w:hAnsi="Times New Roman"/>
          <w:bCs/>
        </w:rPr>
        <w:t>of the</w:t>
      </w:r>
      <w:r w:rsidRPr="00287544">
        <w:rPr>
          <w:rFonts w:ascii="Times New Roman" w:hAnsi="Times New Roman"/>
          <w:bCs/>
          <w:i/>
          <w:iCs/>
        </w:rPr>
        <w:t xml:space="preserve"> Act</w:t>
      </w:r>
      <w:r>
        <w:rPr>
          <w:rFonts w:ascii="Times New Roman" w:hAnsi="Times New Roman"/>
          <w:bCs/>
        </w:rPr>
        <w:t xml:space="preserve">, </w:t>
      </w:r>
      <w:r w:rsidRPr="003D4F38">
        <w:rPr>
          <w:rFonts w:ascii="Times New Roman" w:hAnsi="Times New Roman"/>
          <w:bCs/>
        </w:rPr>
        <w:t>SSA is notified when a recipient is hospitalized</w:t>
      </w:r>
      <w:r>
        <w:rPr>
          <w:rFonts w:ascii="Times New Roman" w:hAnsi="Times New Roman"/>
          <w:bCs/>
        </w:rPr>
        <w:t xml:space="preserve"> through data-matching and sharing agreements</w:t>
      </w:r>
      <w:r w:rsidR="00287544">
        <w:rPr>
          <w:rFonts w:ascii="Times New Roman" w:hAnsi="Times New Roman"/>
          <w:bCs/>
        </w:rPr>
        <w:t>; s</w:t>
      </w:r>
      <w:r>
        <w:rPr>
          <w:rFonts w:ascii="Times New Roman" w:hAnsi="Times New Roman"/>
          <w:bCs/>
        </w:rPr>
        <w:t xml:space="preserve">pecifically, </w:t>
      </w:r>
      <w:r w:rsidRPr="003D4F38">
        <w:rPr>
          <w:rFonts w:ascii="Times New Roman" w:hAnsi="Times New Roman"/>
          <w:bCs/>
        </w:rPr>
        <w:t xml:space="preserve">Field Office staff receive </w:t>
      </w:r>
      <w:r>
        <w:rPr>
          <w:rFonts w:ascii="Times New Roman" w:hAnsi="Times New Roman"/>
          <w:bCs/>
        </w:rPr>
        <w:t xml:space="preserve">monthly </w:t>
      </w:r>
      <w:r w:rsidRPr="003D4F38">
        <w:rPr>
          <w:rFonts w:ascii="Times New Roman" w:hAnsi="Times New Roman"/>
          <w:bCs/>
        </w:rPr>
        <w:t>D8 alerts</w:t>
      </w:r>
      <w:r>
        <w:rPr>
          <w:rFonts w:ascii="Times New Roman" w:hAnsi="Times New Roman"/>
          <w:bCs/>
        </w:rPr>
        <w:t xml:space="preserve"> through the </w:t>
      </w:r>
      <w:r w:rsidRPr="00E505A1">
        <w:rPr>
          <w:rFonts w:ascii="Times New Roman" w:hAnsi="Times New Roman"/>
          <w:bCs/>
        </w:rPr>
        <w:t>Title XIX Facility Match</w:t>
      </w:r>
      <w:r>
        <w:rPr>
          <w:rFonts w:ascii="Times New Roman" w:hAnsi="Times New Roman"/>
          <w:bCs/>
        </w:rPr>
        <w:t xml:space="preserve"> which are sent directly to the beneficiaries’ </w:t>
      </w:r>
      <w:r w:rsidRPr="00E505A1">
        <w:rPr>
          <w:rFonts w:ascii="Times New Roman" w:hAnsi="Times New Roman"/>
          <w:bCs/>
        </w:rPr>
        <w:t>Modernized Supplemental Security Income Claims System (MSSICS)</w:t>
      </w:r>
      <w:r>
        <w:rPr>
          <w:rFonts w:ascii="Times New Roman" w:hAnsi="Times New Roman"/>
          <w:bCs/>
        </w:rPr>
        <w:t xml:space="preserve"> file for further development</w:t>
      </w:r>
      <w:r w:rsidRPr="003D4F38">
        <w:rPr>
          <w:rFonts w:ascii="Times New Roman" w:hAnsi="Times New Roman"/>
          <w:bCs/>
        </w:rPr>
        <w:t>.  Upon receipt</w:t>
      </w:r>
      <w:r>
        <w:rPr>
          <w:rFonts w:ascii="Times New Roman" w:hAnsi="Times New Roman"/>
          <w:bCs/>
        </w:rPr>
        <w:t xml:space="preserve"> of the alert, </w:t>
      </w:r>
      <w:r w:rsidRPr="003D4F38">
        <w:rPr>
          <w:rFonts w:ascii="Times New Roman" w:hAnsi="Times New Roman"/>
          <w:bCs/>
        </w:rPr>
        <w:t>technicians reach out to the recipient, representative payee, or hospital staff to determine the recipient’s situation.  If temporary benefits apply, technicians move forward with assisting the recipient in obtaining the necessary information.  In addition, most hospitals or institutions have social workers or case workers to assist recipients in completing the necessary steps to receive TI benefits</w:t>
      </w:r>
      <w:r>
        <w:rPr>
          <w:rFonts w:ascii="Times New Roman" w:hAnsi="Times New Roman"/>
          <w:bCs/>
        </w:rPr>
        <w:t>.</w:t>
      </w:r>
    </w:p>
    <w:p w:rsidR="00CB67AA" w:rsidP="003C3A37" w14:paraId="24128BE2" w14:textId="25E491BB">
      <w:pPr>
        <w:tabs>
          <w:tab w:val="num" w:pos="1440"/>
        </w:tabs>
        <w:ind w:left="1440"/>
        <w:rPr>
          <w:rFonts w:ascii="Times New Roman" w:hAnsi="Times New Roman"/>
        </w:rPr>
      </w:pPr>
    </w:p>
    <w:p w:rsidR="003E70AA" w:rsidP="003C3A37" w14:paraId="4CB76AE8" w14:textId="7618D237">
      <w:pPr>
        <w:tabs>
          <w:tab w:val="num" w:pos="1440"/>
        </w:tabs>
        <w:ind w:left="1440"/>
        <w:rPr>
          <w:rFonts w:ascii="Times New Roman" w:hAnsi="Times New Roman"/>
        </w:rPr>
      </w:pPr>
      <w:r w:rsidRPr="003D4F38">
        <w:rPr>
          <w:rFonts w:ascii="Times New Roman" w:hAnsi="Times New Roman"/>
        </w:rPr>
        <w:t>TI rules require that the recipient contact SSA prior to discharge to be eligible to apply for TI benefits</w:t>
      </w:r>
      <w:r>
        <w:rPr>
          <w:rFonts w:ascii="Times New Roman" w:hAnsi="Times New Roman"/>
        </w:rPr>
        <w:t xml:space="preserve"> and t</w:t>
      </w:r>
      <w:r w:rsidRPr="003D4F38">
        <w:rPr>
          <w:rFonts w:ascii="Times New Roman" w:hAnsi="Times New Roman"/>
        </w:rPr>
        <w:t>here is no recourse</w:t>
      </w:r>
      <w:r>
        <w:rPr>
          <w:rFonts w:ascii="Times New Roman" w:hAnsi="Times New Roman"/>
        </w:rPr>
        <w:t xml:space="preserve"> for retroactively applying for TI benefits after discharge</w:t>
      </w:r>
      <w:r w:rsidRPr="003D4F38">
        <w:rPr>
          <w:rFonts w:ascii="Times New Roman" w:hAnsi="Times New Roman"/>
        </w:rPr>
        <w:t xml:space="preserve">.  </w:t>
      </w:r>
      <w:r>
        <w:rPr>
          <w:rFonts w:ascii="Times New Roman" w:hAnsi="Times New Roman"/>
        </w:rPr>
        <w:t>As documented by the above paragraphs, SSA believes that along with the educational and outreach activities the form may assist in increasing the number of TI recipients.</w:t>
      </w:r>
    </w:p>
    <w:p w:rsidR="005F1CCF" w:rsidP="003C3A37" w14:paraId="31459166" w14:textId="54E7D4FD">
      <w:pPr>
        <w:tabs>
          <w:tab w:val="num" w:pos="1440"/>
        </w:tabs>
        <w:ind w:left="1440"/>
        <w:rPr>
          <w:rFonts w:ascii="Times New Roman" w:hAnsi="Times New Roman"/>
        </w:rPr>
      </w:pPr>
    </w:p>
    <w:p w:rsidR="005F1CCF" w:rsidRPr="005F1CCF" w:rsidP="003C3A37" w14:paraId="5CE2CD11" w14:textId="295DD6E0">
      <w:pPr>
        <w:tabs>
          <w:tab w:val="num" w:pos="1440"/>
        </w:tabs>
        <w:ind w:left="1440"/>
        <w:rPr>
          <w:rFonts w:ascii="Times New Roman" w:hAnsi="Times New Roman"/>
        </w:rPr>
      </w:pPr>
      <w:r w:rsidRPr="00FE3D19">
        <w:rPr>
          <w:rFonts w:ascii="Times New Roman" w:hAnsi="Times New Roman" w:cs="Times New Roman"/>
          <w:noProof/>
        </w:rPr>
        <w:t>In 2020, on average</w:t>
      </w:r>
      <w:r w:rsidR="00FE3D19">
        <w:rPr>
          <w:rFonts w:ascii="Times New Roman" w:hAnsi="Times New Roman" w:cs="Times New Roman"/>
          <w:noProof/>
        </w:rPr>
        <w:t>,</w:t>
      </w:r>
      <w:r w:rsidRPr="00FE3D19">
        <w:rPr>
          <w:rFonts w:ascii="Times New Roman" w:hAnsi="Times New Roman" w:cs="Times New Roman"/>
          <w:noProof/>
        </w:rPr>
        <w:t xml:space="preserve"> 266 recipients received TI benefits per month</w:t>
      </w:r>
      <w:r w:rsidRPr="00FE3D19" w:rsidR="00D066DD">
        <w:rPr>
          <w:rFonts w:ascii="Times New Roman" w:hAnsi="Times New Roman" w:cs="Times New Roman"/>
          <w:noProof/>
        </w:rPr>
        <w:t>.  In addtion during that year,</w:t>
      </w:r>
      <w:r w:rsidRPr="00FE3D19">
        <w:rPr>
          <w:rFonts w:ascii="Times New Roman" w:hAnsi="Times New Roman"/>
        </w:rPr>
        <w:t xml:space="preserve"> SSA </w:t>
      </w:r>
      <w:r w:rsidRPr="005F1CCF">
        <w:rPr>
          <w:rFonts w:ascii="Times New Roman" w:hAnsi="Times New Roman"/>
        </w:rPr>
        <w:t xml:space="preserve">estimates that 64,246 recipients did not qualify for TI benefits. </w:t>
      </w:r>
      <w:r w:rsidR="00D066DD">
        <w:rPr>
          <w:rFonts w:ascii="Times New Roman" w:hAnsi="Times New Roman"/>
        </w:rPr>
        <w:t xml:space="preserve"> </w:t>
      </w:r>
      <w:r w:rsidRPr="005F1CCF">
        <w:rPr>
          <w:rFonts w:ascii="Times New Roman" w:hAnsi="Times New Roman"/>
        </w:rPr>
        <w:t xml:space="preserve">This number includes overpaid and not overpaid cases. </w:t>
      </w:r>
      <w:r w:rsidR="00D066DD">
        <w:rPr>
          <w:rFonts w:ascii="Times New Roman" w:hAnsi="Times New Roman"/>
        </w:rPr>
        <w:t xml:space="preserve"> </w:t>
      </w:r>
      <w:r w:rsidRPr="005F1CCF">
        <w:rPr>
          <w:rFonts w:ascii="Times New Roman" w:hAnsi="Times New Roman"/>
        </w:rPr>
        <w:t>For instance, of that number, 31,488</w:t>
      </w:r>
      <w:r>
        <w:rPr>
          <w:rStyle w:val="FootnoteReference"/>
          <w:rFonts w:ascii="Times New Roman" w:hAnsi="Times New Roman"/>
        </w:rPr>
        <w:footnoteReference w:id="2"/>
      </w:r>
      <w:r w:rsidRPr="005F1CCF">
        <w:rPr>
          <w:rFonts w:ascii="Times New Roman" w:hAnsi="Times New Roman"/>
        </w:rPr>
        <w:t xml:space="preserve"> were overpaid because it was determined they failed to report their institutionalization </w:t>
      </w:r>
      <w:r w:rsidRPr="005F1CCF" w:rsidR="00FE3D19">
        <w:rPr>
          <w:rFonts w:ascii="Times New Roman" w:hAnsi="Times New Roman"/>
        </w:rPr>
        <w:t>timely or</w:t>
      </w:r>
      <w:r w:rsidRPr="005F1CCF">
        <w:rPr>
          <w:rFonts w:ascii="Times New Roman" w:hAnsi="Times New Roman"/>
        </w:rPr>
        <w:t xml:space="preserve"> failed to meet the requirements for TI eligibility such as not having home expenses that needed to be maintained; their physician expected the recipient to remain in the institution for more than 90 days; or the physician certification was not submitted timely.  The remaining roughly 32,758 are individuals who were not overpaid as a result of being denied TI benefits. </w:t>
      </w:r>
      <w:r w:rsidR="00D066DD">
        <w:rPr>
          <w:rFonts w:ascii="Times New Roman" w:hAnsi="Times New Roman"/>
        </w:rPr>
        <w:t xml:space="preserve"> </w:t>
      </w:r>
      <w:r w:rsidRPr="005F1CCF">
        <w:rPr>
          <w:rFonts w:ascii="Times New Roman" w:hAnsi="Times New Roman"/>
        </w:rPr>
        <w:t xml:space="preserve">This is due to them filing on-time but not qualifying for TI benefits, in a non-pay status at the time of applying for TI benefits, or the recipient was in an initial claim status, and when they filed for TI benefits the recipient was in an </w:t>
      </w:r>
      <w:r w:rsidRPr="005F1CCF">
        <w:rPr>
          <w:rFonts w:ascii="Times New Roman" w:hAnsi="Times New Roman"/>
        </w:rPr>
        <w:t>institution.  In this case, we were able to adjudicate the case without an overpayment being applied.</w:t>
      </w:r>
    </w:p>
    <w:p w:rsidR="005F1CCF" w:rsidRPr="005F1CCF" w:rsidP="003C3A37" w14:paraId="608A83AA" w14:textId="3CE9EA26">
      <w:pPr>
        <w:tabs>
          <w:tab w:val="num" w:pos="1440"/>
        </w:tabs>
        <w:ind w:left="1440"/>
        <w:rPr>
          <w:rFonts w:ascii="Times New Roman" w:hAnsi="Times New Roman"/>
        </w:rPr>
      </w:pPr>
    </w:p>
    <w:p w:rsidR="005F1CCF" w:rsidP="003C3A37" w14:paraId="74C88207" w14:textId="11B2EAF4">
      <w:pPr>
        <w:tabs>
          <w:tab w:val="num" w:pos="1440"/>
        </w:tabs>
        <w:ind w:left="1440"/>
        <w:rPr>
          <w:rFonts w:ascii="Times New Roman" w:hAnsi="Times New Roman"/>
        </w:rPr>
      </w:pPr>
      <w:r w:rsidRPr="005F1CCF">
        <w:rPr>
          <w:rFonts w:ascii="Times New Roman" w:hAnsi="Times New Roman"/>
        </w:rPr>
        <w:t xml:space="preserve">$38,953,506.68, which is the sum total of $17,639,566.44 in overpayments that were incurred during the first month of institutionalization, $12,419,028.97 among individuals who were institutionalized a second month, and $8,894,911.27 who were institutionalized for the third month. </w:t>
      </w:r>
      <w:r w:rsidR="00D066DD">
        <w:rPr>
          <w:rFonts w:ascii="Times New Roman" w:hAnsi="Times New Roman"/>
        </w:rPr>
        <w:t xml:space="preserve"> </w:t>
      </w:r>
      <w:r w:rsidRPr="005F1CCF">
        <w:rPr>
          <w:rFonts w:ascii="Times New Roman" w:hAnsi="Times New Roman"/>
        </w:rPr>
        <w:t xml:space="preserve">The number of overpaid individuals declines throughout the calendar year because either the individual leaves the institution or SSA learns about their institutionalization (as discussed previously) and initiates steps to prevent the overpayment from occurring (either by reducing benefits or by supporting the beneficiary with applying for TI benefits). </w:t>
      </w:r>
      <w:r w:rsidR="00D066DD">
        <w:rPr>
          <w:rFonts w:ascii="Times New Roman" w:hAnsi="Times New Roman"/>
        </w:rPr>
        <w:t xml:space="preserve"> </w:t>
      </w:r>
      <w:r w:rsidRPr="005F1CCF">
        <w:rPr>
          <w:rFonts w:ascii="Times New Roman" w:hAnsi="Times New Roman"/>
        </w:rPr>
        <w:t>There is the potential to save $38.9 million in estimated overpayments, if the beneficiary had requested TI benefits and submitted the requisite documentation prior to being discharged from the institution, the overpayment would not have occurred.</w:t>
      </w:r>
    </w:p>
    <w:p w:rsidR="005F1CCF" w:rsidP="003C3A37" w14:paraId="6B8D9A6F" w14:textId="326A95CD">
      <w:pPr>
        <w:tabs>
          <w:tab w:val="num" w:pos="1440"/>
        </w:tabs>
        <w:ind w:left="1440"/>
        <w:rPr>
          <w:rFonts w:ascii="Times New Roman" w:hAnsi="Times New Roman"/>
        </w:rPr>
      </w:pPr>
    </w:p>
    <w:p w:rsidR="005F1CCF" w:rsidP="003C3A37" w14:paraId="3E01AE84" w14:textId="22450ADE">
      <w:pPr>
        <w:tabs>
          <w:tab w:val="num" w:pos="1440"/>
        </w:tabs>
        <w:ind w:left="1440"/>
        <w:rPr>
          <w:rFonts w:ascii="Times New Roman" w:hAnsi="Times New Roman"/>
        </w:rPr>
      </w:pPr>
      <w:r>
        <w:rPr>
          <w:rFonts w:ascii="Times New Roman" w:hAnsi="Times New Roman"/>
        </w:rPr>
        <w:t>As noted previously, in situations when a respondent chooses to conduct this information collection without the use of the SSA-186 form, SSA continues to accept a certification or copy of a certification signed by the recipient’s physician, attesting to the period of confinement, coupled with a signed statement or a verbal confirmation from the recipient, or from the representative payee, acting on behalf of the recipient, about the need to maintain a home (the form asks the same questions that are on the SSI Claims System screens that would otherwise be orally read to the respondent).</w:t>
      </w:r>
    </w:p>
    <w:p w:rsidR="005F1CCF" w:rsidP="003C3A37" w14:paraId="4DBEB34D" w14:textId="27F163D8">
      <w:pPr>
        <w:tabs>
          <w:tab w:val="num" w:pos="1440"/>
        </w:tabs>
        <w:ind w:left="1440"/>
        <w:rPr>
          <w:rFonts w:ascii="Times New Roman" w:hAnsi="Times New Roman"/>
        </w:rPr>
      </w:pPr>
    </w:p>
    <w:p w:rsidR="005F1CCF" w:rsidP="003C3A37" w14:paraId="72902B42" w14:textId="2BEE2098">
      <w:pPr>
        <w:tabs>
          <w:tab w:val="num" w:pos="1440"/>
        </w:tabs>
        <w:ind w:left="1440"/>
        <w:rPr>
          <w:rFonts w:ascii="Times New Roman" w:hAnsi="Times New Roman"/>
        </w:rPr>
      </w:pPr>
      <w:r>
        <w:rPr>
          <w:rFonts w:ascii="Times New Roman" w:hAnsi="Times New Roman"/>
        </w:rPr>
        <w:t>The respondents are medical providers, and SSI recipients or their representative payees.</w:t>
      </w:r>
    </w:p>
    <w:p w:rsidR="003E70AA" w:rsidP="003C3A37" w14:paraId="46474BC1" w14:textId="77777777">
      <w:pPr>
        <w:tabs>
          <w:tab w:val="num" w:pos="1440"/>
        </w:tabs>
        <w:ind w:left="1440"/>
        <w:rPr>
          <w:rFonts w:ascii="Times New Roman" w:hAnsi="Times New Roman"/>
        </w:rPr>
      </w:pPr>
    </w:p>
    <w:p w:rsidR="0073594C" w:rsidRPr="0073594C" w:rsidP="003C3A37" w14:paraId="768D306B" w14:textId="77777777">
      <w:pPr>
        <w:numPr>
          <w:ilvl w:val="0"/>
          <w:numId w:val="10"/>
        </w:numPr>
        <w:tabs>
          <w:tab w:val="clear" w:pos="864"/>
          <w:tab w:val="num" w:pos="1440"/>
        </w:tabs>
        <w:ind w:left="1440" w:hanging="720"/>
        <w:rPr>
          <w:rFonts w:ascii="Times New Roman" w:hAnsi="Times New Roman"/>
        </w:rPr>
      </w:pPr>
      <w:r w:rsidRPr="0098043F">
        <w:rPr>
          <w:rFonts w:ascii="Times New Roman" w:hAnsi="Times New Roman"/>
          <w:b/>
        </w:rPr>
        <w:t>Use of Information Technology</w:t>
      </w:r>
    </w:p>
    <w:p w:rsidR="003E70AA" w:rsidP="003C3A37" w14:paraId="1F08A9A9" w14:textId="17EC6032">
      <w:pPr>
        <w:tabs>
          <w:tab w:val="num" w:pos="1440"/>
        </w:tabs>
        <w:ind w:left="1440"/>
        <w:rPr>
          <w:rFonts w:ascii="Times New Roman" w:hAnsi="Times New Roman"/>
        </w:rPr>
      </w:pPr>
      <w:r w:rsidRPr="00192261">
        <w:rPr>
          <w:rFonts w:ascii="Times New Roman" w:hAnsi="Times New Roman"/>
        </w:rPr>
        <w:t xml:space="preserve">SSA created a </w:t>
      </w:r>
      <w:r>
        <w:rPr>
          <w:rFonts w:ascii="Times New Roman" w:hAnsi="Times New Roman"/>
        </w:rPr>
        <w:t>f</w:t>
      </w:r>
      <w:r w:rsidRPr="00192261">
        <w:rPr>
          <w:rFonts w:ascii="Times New Roman" w:hAnsi="Times New Roman"/>
        </w:rPr>
        <w:t>illable PDF</w:t>
      </w:r>
      <w:r>
        <w:rPr>
          <w:rFonts w:ascii="Times New Roman" w:hAnsi="Times New Roman"/>
        </w:rPr>
        <w:t xml:space="preserve"> form, the SSA-186, as an alternative to the SSI Claims System screens respondents’ responses have historically been recorded into during a phone interview. </w:t>
      </w:r>
      <w:r w:rsidR="00D066DD">
        <w:rPr>
          <w:rFonts w:ascii="Times New Roman" w:hAnsi="Times New Roman"/>
        </w:rPr>
        <w:t xml:space="preserve"> </w:t>
      </w:r>
      <w:r>
        <w:rPr>
          <w:rFonts w:ascii="Times New Roman" w:hAnsi="Times New Roman"/>
        </w:rPr>
        <w:t>However, this form does not allow for electronic signature, and as a result respondents must print, sign, and either mail, fax, or hand-deliver to a Field Office the form back to SSA</w:t>
      </w:r>
      <w:r w:rsidR="00192261">
        <w:rPr>
          <w:rFonts w:ascii="Times New Roman" w:hAnsi="Times New Roman"/>
        </w:rPr>
        <w:t>.</w:t>
      </w:r>
    </w:p>
    <w:p w:rsidR="003E70AA" w:rsidP="003E70AA" w14:paraId="7B92E0B5" w14:textId="77777777">
      <w:pPr>
        <w:tabs>
          <w:tab w:val="num" w:pos="2160"/>
        </w:tabs>
        <w:ind w:left="2160"/>
        <w:rPr>
          <w:rFonts w:ascii="Times New Roman" w:hAnsi="Times New Roman"/>
        </w:rPr>
      </w:pPr>
    </w:p>
    <w:p w:rsidR="003E70AA" w:rsidP="00174B27" w14:paraId="525D7B99" w14:textId="43410E2B">
      <w:pPr>
        <w:tabs>
          <w:tab w:val="num" w:pos="1440"/>
        </w:tabs>
        <w:ind w:left="1440"/>
        <w:rPr>
          <w:rFonts w:ascii="Times New Roman" w:eastAsia="Calibri" w:hAnsi="Times New Roman" w:cs="Times New Roman"/>
          <w:snapToGrid w:val="0"/>
          <w:color w:val="000000"/>
          <w:lang w:eastAsia="en-US"/>
        </w:rPr>
      </w:pPr>
      <w:r>
        <w:rPr>
          <w:rFonts w:ascii="Times New Roman" w:hAnsi="Times New Roman"/>
        </w:rPr>
        <w:t>Respondents who elect not to complete the SSA-186 must transmit the supporting certifications via mail, fax, or hand-delivery to a Field Office</w:t>
      </w:r>
      <w:r w:rsidRPr="003E70AA">
        <w:rPr>
          <w:rFonts w:ascii="Times New Roman" w:eastAsia="Calibri" w:hAnsi="Times New Roman" w:cs="Times New Roman"/>
          <w:snapToGrid w:val="0"/>
          <w:color w:val="000000"/>
          <w:lang w:eastAsia="en-US"/>
        </w:rPr>
        <w:t>.</w:t>
      </w:r>
    </w:p>
    <w:p w:rsidR="005F1CCF" w:rsidP="00174B27" w14:paraId="31C95699" w14:textId="140BF04B">
      <w:pPr>
        <w:tabs>
          <w:tab w:val="num" w:pos="1440"/>
        </w:tabs>
        <w:ind w:left="1440"/>
        <w:rPr>
          <w:rFonts w:ascii="Times New Roman" w:eastAsia="Calibri" w:hAnsi="Times New Roman" w:cs="Times New Roman"/>
          <w:snapToGrid w:val="0"/>
          <w:color w:val="000000"/>
          <w:lang w:eastAsia="en-US"/>
        </w:rPr>
      </w:pPr>
    </w:p>
    <w:p w:rsidR="005F1CCF" w:rsidP="00174B27" w14:paraId="290E3661" w14:textId="5DD46399">
      <w:pPr>
        <w:tabs>
          <w:tab w:val="num" w:pos="1440"/>
        </w:tabs>
        <w:ind w:left="1440"/>
        <w:rPr>
          <w:rFonts w:ascii="Times New Roman" w:hAnsi="Times New Roman"/>
        </w:rPr>
      </w:pPr>
      <w:r>
        <w:rPr>
          <w:rFonts w:ascii="Times New Roman" w:hAnsi="Times New Roman"/>
        </w:rPr>
        <w:t xml:space="preserve">SSA then scans and includes the </w:t>
      </w:r>
      <w:r w:rsidR="00D066DD">
        <w:rPr>
          <w:rFonts w:ascii="Times New Roman" w:hAnsi="Times New Roman"/>
        </w:rPr>
        <w:t>form,</w:t>
      </w:r>
      <w:r>
        <w:rPr>
          <w:rFonts w:ascii="Times New Roman" w:hAnsi="Times New Roman"/>
        </w:rPr>
        <w:t xml:space="preserve"> or the documents provided by the recipient</w:t>
      </w:r>
      <w:r w:rsidR="00D066DD">
        <w:rPr>
          <w:rFonts w:ascii="Times New Roman" w:hAnsi="Times New Roman"/>
        </w:rPr>
        <w:t>,</w:t>
      </w:r>
      <w:r>
        <w:rPr>
          <w:rFonts w:ascii="Times New Roman" w:hAnsi="Times New Roman"/>
        </w:rPr>
        <w:t xml:space="preserve"> in the SSI recipient’s electronic folder (entered via the in-office SSI Claims System Intranet screens).  </w:t>
      </w:r>
      <w:r w:rsidRPr="00192261">
        <w:rPr>
          <w:rFonts w:ascii="Times New Roman" w:hAnsi="Times New Roman"/>
        </w:rPr>
        <w:t>This collection does not currently have a fully public-facing Internet version, as we prioritized other information collections for full electronic conversions</w:t>
      </w:r>
      <w:r>
        <w:rPr>
          <w:rFonts w:ascii="Times New Roman" w:hAnsi="Times New Roman"/>
        </w:rPr>
        <w:t>.</w:t>
      </w:r>
    </w:p>
    <w:p w:rsidR="005F1CCF" w:rsidP="00174B27" w14:paraId="51AC5214" w14:textId="5AD5BC0E">
      <w:pPr>
        <w:tabs>
          <w:tab w:val="num" w:pos="1440"/>
        </w:tabs>
        <w:ind w:left="1440"/>
        <w:rPr>
          <w:rFonts w:ascii="Times New Roman" w:hAnsi="Times New Roman"/>
        </w:rPr>
      </w:pPr>
    </w:p>
    <w:p w:rsidR="005F1CCF" w:rsidRPr="003E70AA" w:rsidP="00174B27" w14:paraId="549C496A" w14:textId="1F49669C">
      <w:pPr>
        <w:tabs>
          <w:tab w:val="num" w:pos="1440"/>
        </w:tabs>
        <w:ind w:left="1440"/>
        <w:rPr>
          <w:rFonts w:ascii="Times New Roman" w:eastAsia="Calibri" w:hAnsi="Times New Roman" w:cs="Times New Roman"/>
          <w:snapToGrid w:val="0"/>
          <w:color w:val="000000"/>
          <w:lang w:eastAsia="en-US"/>
        </w:rPr>
      </w:pPr>
      <w:r w:rsidRPr="00AC66AD">
        <w:rPr>
          <w:rFonts w:ascii="Times New Roman" w:hAnsi="Times New Roman"/>
        </w:rPr>
        <w:t xml:space="preserve">Per the risk assessment our OGC conducted on this form, we are not able to make the signature line on the form fillable at this time.  However, we hope to convert </w:t>
      </w:r>
      <w:r w:rsidRPr="00AC66AD">
        <w:rPr>
          <w:rFonts w:ascii="Times New Roman" w:hAnsi="Times New Roman"/>
        </w:rPr>
        <w:t>this IC to a submittable PDF</w:t>
      </w:r>
      <w:r>
        <w:rPr>
          <w:rFonts w:ascii="Times New Roman" w:hAnsi="Times New Roman"/>
        </w:rPr>
        <w:t xml:space="preserve"> within the next 3-6 years</w:t>
      </w:r>
      <w:r w:rsidRPr="00AC66AD">
        <w:rPr>
          <w:rFonts w:ascii="Times New Roman" w:hAnsi="Times New Roman"/>
        </w:rPr>
        <w:t xml:space="preserve"> </w:t>
      </w:r>
      <w:r>
        <w:rPr>
          <w:rFonts w:ascii="Times New Roman" w:hAnsi="Times New Roman"/>
        </w:rPr>
        <w:t>to</w:t>
      </w:r>
      <w:r w:rsidRPr="00AC66AD">
        <w:rPr>
          <w:rFonts w:ascii="Times New Roman" w:hAnsi="Times New Roman"/>
        </w:rPr>
        <w:t xml:space="preserve"> allow the public to utilize eSignature technology and to submit the form to us via the Internet</w:t>
      </w:r>
      <w:r>
        <w:rPr>
          <w:rFonts w:ascii="Times New Roman" w:hAnsi="Times New Roman"/>
        </w:rPr>
        <w:t xml:space="preserve"> in the future</w:t>
      </w:r>
      <w:r w:rsidRPr="00AC66AD">
        <w:rPr>
          <w:rFonts w:ascii="Times New Roman" w:hAnsi="Times New Roman"/>
        </w:rPr>
        <w:t>.  Unfortunately, we are not able to schedule this one for submittable PDF conversion, yet, but when we do so, we will submit a Change Request to OMB for approval prior to implementation</w:t>
      </w:r>
      <w:r>
        <w:rPr>
          <w:rFonts w:ascii="Times New Roman" w:hAnsi="Times New Roman"/>
        </w:rPr>
        <w:t>.</w:t>
      </w:r>
    </w:p>
    <w:p w:rsidR="00792D20" w:rsidP="00174B27" w14:paraId="6525A0AF" w14:textId="73F03EAB">
      <w:pPr>
        <w:tabs>
          <w:tab w:val="num" w:pos="1440"/>
        </w:tabs>
        <w:ind w:left="1440"/>
        <w:rPr>
          <w:rFonts w:ascii="Times New Roman" w:hAnsi="Times New Roman"/>
        </w:rPr>
      </w:pPr>
    </w:p>
    <w:p w:rsidR="0073594C" w:rsidRPr="0073594C" w:rsidP="00174B27" w14:paraId="6F923489" w14:textId="77777777">
      <w:pPr>
        <w:numPr>
          <w:ilvl w:val="0"/>
          <w:numId w:val="10"/>
        </w:numPr>
        <w:tabs>
          <w:tab w:val="clear" w:pos="864"/>
          <w:tab w:val="num" w:pos="1440"/>
        </w:tabs>
        <w:ind w:left="1440" w:hanging="720"/>
        <w:rPr>
          <w:rFonts w:ascii="Times New Roman" w:hAnsi="Times New Roman"/>
        </w:rPr>
      </w:pPr>
      <w:r w:rsidRPr="0098043F">
        <w:rPr>
          <w:rFonts w:ascii="Times New Roman" w:hAnsi="Times New Roman"/>
          <w:b/>
        </w:rPr>
        <w:t>Why We Cannot Use Duplicate Information</w:t>
      </w:r>
    </w:p>
    <w:p w:rsidR="00325960" w:rsidP="00174B27" w14:paraId="56F6593D" w14:textId="77777777">
      <w:pPr>
        <w:tabs>
          <w:tab w:val="num" w:pos="1440"/>
        </w:tabs>
        <w:ind w:left="1440"/>
        <w:rPr>
          <w:rFonts w:ascii="Times New Roman" w:hAnsi="Times New Roman"/>
        </w:rPr>
      </w:pPr>
      <w:r>
        <w:rPr>
          <w:rFonts w:ascii="Times New Roman" w:hAnsi="Times New Roman"/>
        </w:rPr>
        <w:t xml:space="preserve">The nature of the information </w:t>
      </w:r>
      <w:r w:rsidR="00565B47">
        <w:rPr>
          <w:rFonts w:ascii="Times New Roman" w:hAnsi="Times New Roman"/>
        </w:rPr>
        <w:t>we collect</w:t>
      </w:r>
      <w:r>
        <w:rPr>
          <w:rFonts w:ascii="Times New Roman" w:hAnsi="Times New Roman"/>
        </w:rPr>
        <w:t xml:space="preserve"> and the manner in which we collect it preclude</w:t>
      </w:r>
      <w:r w:rsidR="008F1D9A">
        <w:rPr>
          <w:rFonts w:ascii="Times New Roman" w:hAnsi="Times New Roman"/>
        </w:rPr>
        <w:t>s</w:t>
      </w:r>
      <w:r>
        <w:rPr>
          <w:rFonts w:ascii="Times New Roman" w:hAnsi="Times New Roman"/>
        </w:rPr>
        <w:t xml:space="preserve"> duplication.  SSA does not use another collection instrument to obtain similar data.  </w:t>
      </w:r>
    </w:p>
    <w:p w:rsidR="00325960" w:rsidP="003C3A37" w14:paraId="43CA6189" w14:textId="77777777">
      <w:pPr>
        <w:tabs>
          <w:tab w:val="num" w:pos="1440"/>
        </w:tabs>
        <w:ind w:left="1440"/>
        <w:rPr>
          <w:rFonts w:ascii="Times New Roman" w:hAnsi="Times New Roman"/>
        </w:rPr>
      </w:pPr>
    </w:p>
    <w:p w:rsidR="0073594C" w:rsidRPr="0073594C" w:rsidP="003C3A37" w14:paraId="460C9F95"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Minimizing Burden on Small Respondents</w:t>
      </w:r>
    </w:p>
    <w:p w:rsidR="00325960" w:rsidP="003C3A37" w14:paraId="6D52F6A9" w14:textId="77777777">
      <w:pPr>
        <w:tabs>
          <w:tab w:val="num" w:pos="1440"/>
        </w:tabs>
        <w:ind w:left="1440"/>
        <w:rPr>
          <w:rFonts w:ascii="Times New Roman" w:hAnsi="Times New Roman"/>
        </w:rPr>
      </w:pPr>
      <w:r>
        <w:rPr>
          <w:rFonts w:ascii="Times New Roman" w:hAnsi="Times New Roman"/>
        </w:rPr>
        <w:t xml:space="preserve">This collection does not </w:t>
      </w:r>
      <w:r>
        <w:rPr>
          <w:rFonts w:ascii="Times New Roman" w:hAnsi="Times New Roman"/>
        </w:rPr>
        <w:t>significantly affect small business or other small entities.</w:t>
      </w:r>
    </w:p>
    <w:p w:rsidR="00325960" w:rsidP="003C3A37" w14:paraId="22CDA1F0" w14:textId="77777777">
      <w:pPr>
        <w:tabs>
          <w:tab w:val="num" w:pos="1440"/>
        </w:tabs>
        <w:ind w:left="1440"/>
        <w:rPr>
          <w:rFonts w:ascii="Times New Roman" w:hAnsi="Times New Roman"/>
        </w:rPr>
      </w:pPr>
    </w:p>
    <w:p w:rsidR="0073594C" w:rsidRPr="0073594C" w:rsidP="003C3A37" w14:paraId="45CA476F"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Consequence of Not Collecting Information or Collecting it Less Frequently</w:t>
      </w:r>
    </w:p>
    <w:p w:rsidR="00325960" w:rsidP="003C3A37" w14:paraId="7C233F98" w14:textId="1F49B2CA">
      <w:pPr>
        <w:tabs>
          <w:tab w:val="num" w:pos="1440"/>
        </w:tabs>
        <w:ind w:left="1440"/>
        <w:rPr>
          <w:rFonts w:ascii="Times New Roman" w:hAnsi="Times New Roman"/>
        </w:rPr>
      </w:pPr>
      <w:r>
        <w:rPr>
          <w:rFonts w:ascii="Times New Roman" w:hAnsi="Times New Roman"/>
        </w:rPr>
        <w:t xml:space="preserve">If SSA did not collect this information, we would have no means of confirming if institutionalized SSI recipient’s payments should continue.  In addition, this would not only be a violation of </w:t>
      </w:r>
      <w:r>
        <w:rPr>
          <w:rFonts w:ascii="Times New Roman" w:hAnsi="Times New Roman"/>
          <w:bCs/>
        </w:rPr>
        <w:t xml:space="preserve">Sections </w:t>
      </w:r>
      <w:r>
        <w:rPr>
          <w:rFonts w:ascii="Times New Roman" w:hAnsi="Times New Roman"/>
          <w:bCs/>
          <w:i/>
        </w:rPr>
        <w:t>1611(e)(1)(G)-(H)</w:t>
      </w:r>
      <w:r>
        <w:rPr>
          <w:rFonts w:ascii="Times New Roman" w:hAnsi="Times New Roman"/>
          <w:bCs/>
        </w:rPr>
        <w:t xml:space="preserve"> of the </w:t>
      </w:r>
      <w:r w:rsidRPr="007C06F3">
        <w:rPr>
          <w:rFonts w:ascii="Times New Roman" w:hAnsi="Times New Roman"/>
          <w:bCs/>
          <w:i/>
        </w:rPr>
        <w:t>Act</w:t>
      </w:r>
      <w:r>
        <w:rPr>
          <w:rFonts w:ascii="Times New Roman" w:hAnsi="Times New Roman"/>
          <w:bCs/>
        </w:rPr>
        <w:t xml:space="preserve"> and Section </w:t>
      </w:r>
      <w:r w:rsidRPr="0098043F">
        <w:rPr>
          <w:rFonts w:ascii="Times New Roman" w:hAnsi="Times New Roman"/>
          <w:bCs/>
          <w:i/>
        </w:rPr>
        <w:t>20</w:t>
      </w:r>
      <w:r>
        <w:rPr>
          <w:rFonts w:ascii="Times New Roman" w:hAnsi="Times New Roman"/>
          <w:bCs/>
        </w:rPr>
        <w:t xml:space="preserve"> </w:t>
      </w:r>
      <w:r w:rsidRPr="0098043F">
        <w:rPr>
          <w:rFonts w:ascii="Times New Roman" w:hAnsi="Times New Roman"/>
          <w:bCs/>
          <w:i/>
        </w:rPr>
        <w:t>CFR 416.212(b)(1)</w:t>
      </w:r>
      <w:r>
        <w:rPr>
          <w:rFonts w:ascii="Times New Roman" w:hAnsi="Times New Roman"/>
          <w:bCs/>
        </w:rPr>
        <w:t xml:space="preserve"> of the </w:t>
      </w:r>
      <w:r w:rsidRPr="007C06F3">
        <w:rPr>
          <w:rFonts w:ascii="Times New Roman" w:hAnsi="Times New Roman"/>
          <w:bCs/>
          <w:i/>
        </w:rPr>
        <w:t>Code of Federal Regulations</w:t>
      </w:r>
      <w:r>
        <w:rPr>
          <w:rFonts w:ascii="Times New Roman" w:hAnsi="Times New Roman"/>
        </w:rPr>
        <w:t xml:space="preserve">, but it can also lead to recipient’s unfair receipt or unfair denial of SSI payments.  </w:t>
      </w:r>
      <w:r w:rsidRPr="00E50830">
        <w:rPr>
          <w:rFonts w:ascii="Times New Roman" w:hAnsi="Times New Roman"/>
        </w:rPr>
        <w:t xml:space="preserve">Since SSA </w:t>
      </w:r>
      <w:r>
        <w:rPr>
          <w:rFonts w:ascii="Times New Roman" w:hAnsi="Times New Roman"/>
        </w:rPr>
        <w:t xml:space="preserve">only </w:t>
      </w:r>
      <w:r w:rsidRPr="00E50830">
        <w:rPr>
          <w:rFonts w:ascii="Times New Roman" w:hAnsi="Times New Roman"/>
        </w:rPr>
        <w:t>requests this information on an as needed basis, we cannot collect it less frequently.  There are no technical or legal obstacles to burden reduction</w:t>
      </w:r>
      <w:r>
        <w:rPr>
          <w:rFonts w:ascii="Times New Roman" w:hAnsi="Times New Roman"/>
        </w:rPr>
        <w:t>.</w:t>
      </w:r>
    </w:p>
    <w:p w:rsidR="00325960" w:rsidP="003C3A37" w14:paraId="6F4B94FD" w14:textId="77777777">
      <w:pPr>
        <w:tabs>
          <w:tab w:val="num" w:pos="1440"/>
        </w:tabs>
        <w:ind w:left="1440"/>
        <w:rPr>
          <w:rFonts w:ascii="Times New Roman" w:hAnsi="Times New Roman"/>
        </w:rPr>
      </w:pPr>
    </w:p>
    <w:p w:rsidR="0073594C" w:rsidRPr="0073594C" w:rsidP="003C3A37" w14:paraId="419FA7F8"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Special Circumstances</w:t>
      </w:r>
    </w:p>
    <w:p w:rsidR="00325960" w:rsidP="003C3A37" w14:paraId="24FBAAE3" w14:textId="77777777">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Pr="0073594C">
        <w:rPr>
          <w:rFonts w:ascii="Times New Roman" w:hAnsi="Times New Roman"/>
          <w:i/>
        </w:rPr>
        <w:t>5 CFR 1320.5</w:t>
      </w:r>
      <w:r>
        <w:rPr>
          <w:rFonts w:ascii="Times New Roman" w:hAnsi="Times New Roman"/>
        </w:rPr>
        <w:t>.</w:t>
      </w:r>
    </w:p>
    <w:p w:rsidR="00325960" w:rsidP="003C3A37" w14:paraId="65D79F7A" w14:textId="77777777">
      <w:pPr>
        <w:tabs>
          <w:tab w:val="num" w:pos="1440"/>
        </w:tabs>
        <w:ind w:left="1440"/>
        <w:rPr>
          <w:rFonts w:ascii="Times New Roman" w:hAnsi="Times New Roman"/>
        </w:rPr>
      </w:pPr>
    </w:p>
    <w:p w:rsidR="0073594C" w:rsidP="003C3A37" w14:paraId="1C0E036F" w14:textId="77777777">
      <w:pPr>
        <w:numPr>
          <w:ilvl w:val="0"/>
          <w:numId w:val="10"/>
        </w:numPr>
        <w:tabs>
          <w:tab w:val="clear" w:pos="864"/>
          <w:tab w:val="num" w:pos="1440"/>
        </w:tabs>
        <w:ind w:left="1440" w:hanging="720"/>
        <w:rPr>
          <w:rFonts w:ascii="Times New Roman" w:hAnsi="Times New Roman"/>
        </w:rPr>
      </w:pPr>
      <w:r w:rsidRPr="00835F68">
        <w:rPr>
          <w:rFonts w:ascii="Times New Roman" w:hAnsi="Times New Roman"/>
          <w:b/>
        </w:rPr>
        <w:t>Solicitation of Public Comment and Other Consultations with the Public</w:t>
      </w:r>
      <w:r w:rsidRPr="00835F68">
        <w:rPr>
          <w:rFonts w:ascii="Times New Roman" w:hAnsi="Times New Roman"/>
        </w:rPr>
        <w:t xml:space="preserve"> </w:t>
      </w:r>
    </w:p>
    <w:p w:rsidR="00454B23" w:rsidP="003C3A37" w14:paraId="60A67351" w14:textId="38BE675E">
      <w:pPr>
        <w:pStyle w:val="ListParagraph"/>
        <w:tabs>
          <w:tab w:val="num" w:pos="1440"/>
        </w:tabs>
        <w:ind w:left="1440"/>
        <w:rPr>
          <w:rFonts w:ascii="Times New Roman" w:hAnsi="Times New Roman"/>
        </w:rPr>
      </w:pPr>
      <w:r w:rsidRPr="00040A40">
        <w:rPr>
          <w:rFonts w:ascii="Times New Roman" w:hAnsi="Times New Roman" w:cs="Times New Roman"/>
          <w:noProof/>
          <w:lang w:bidi="en-US"/>
        </w:rPr>
        <w:t xml:space="preserve">The 60-day advance Federal Register Notice published on </w:t>
      </w:r>
      <w:r>
        <w:rPr>
          <w:rFonts w:ascii="Times New Roman" w:hAnsi="Times New Roman" w:cs="Times New Roman"/>
          <w:noProof/>
          <w:lang w:bidi="en-US"/>
        </w:rPr>
        <w:t>June 23</w:t>
      </w:r>
      <w:r w:rsidRPr="00040A40">
        <w:rPr>
          <w:rFonts w:ascii="Times New Roman" w:hAnsi="Times New Roman" w:cs="Times New Roman"/>
          <w:noProof/>
          <w:lang w:bidi="en-US"/>
        </w:rPr>
        <w:t>, 2021 at 86 FR </w:t>
      </w:r>
      <w:r>
        <w:rPr>
          <w:rFonts w:ascii="Times New Roman" w:hAnsi="Times New Roman" w:cs="Times New Roman"/>
          <w:noProof/>
          <w:lang w:bidi="en-US"/>
        </w:rPr>
        <w:t>33007</w:t>
      </w:r>
      <w:r w:rsidRPr="00040A40">
        <w:rPr>
          <w:rFonts w:ascii="Times New Roman" w:hAnsi="Times New Roman" w:cs="Times New Roman"/>
          <w:noProof/>
          <w:lang w:bidi="en-US"/>
        </w:rPr>
        <w:t xml:space="preserve">, and we received no public comments.  The 30-day FRN published on </w:t>
      </w:r>
      <w:r w:rsidR="002119C5">
        <w:rPr>
          <w:rFonts w:ascii="Times New Roman" w:hAnsi="Times New Roman" w:cs="Times New Roman"/>
          <w:noProof/>
          <w:lang w:bidi="en-US"/>
        </w:rPr>
        <w:t>September 29</w:t>
      </w:r>
      <w:r w:rsidRPr="00040A40">
        <w:rPr>
          <w:rFonts w:ascii="Times New Roman" w:hAnsi="Times New Roman" w:cs="Times New Roman"/>
          <w:noProof/>
          <w:lang w:bidi="en-US"/>
        </w:rPr>
        <w:t xml:space="preserve">, 2021 at 86 FR </w:t>
      </w:r>
      <w:r w:rsidR="002119C5">
        <w:rPr>
          <w:rFonts w:ascii="Times New Roman" w:hAnsi="Times New Roman" w:cs="Times New Roman"/>
          <w:noProof/>
          <w:lang w:bidi="en-US"/>
        </w:rPr>
        <w:t>54007</w:t>
      </w:r>
      <w:r w:rsidRPr="00040A40">
        <w:rPr>
          <w:rFonts w:ascii="Times New Roman" w:hAnsi="Times New Roman" w:cs="Times New Roman"/>
          <w:noProof/>
          <w:lang w:bidi="en-US"/>
        </w:rPr>
        <w:t>.  If we receive any comments in response to this Notice, we will forward them to OMB</w:t>
      </w:r>
      <w:r>
        <w:rPr>
          <w:rFonts w:ascii="Times New Roman" w:hAnsi="Times New Roman" w:cs="Times New Roman"/>
          <w:noProof/>
          <w:lang w:bidi="en-US"/>
        </w:rPr>
        <w:t>.</w:t>
      </w:r>
    </w:p>
    <w:p w:rsidR="000236EB" w:rsidP="003C3A37" w14:paraId="6C099078" w14:textId="036F7878">
      <w:pPr>
        <w:pStyle w:val="ListParagraph"/>
        <w:tabs>
          <w:tab w:val="num" w:pos="1440"/>
        </w:tabs>
        <w:ind w:left="1440"/>
        <w:rPr>
          <w:rFonts w:ascii="Times New Roman" w:hAnsi="Times New Roman"/>
        </w:rPr>
      </w:pPr>
    </w:p>
    <w:p w:rsidR="000236EB" w:rsidRPr="005A2697" w:rsidP="003C3A37" w14:paraId="666D5501" w14:textId="582406D5">
      <w:pPr>
        <w:pStyle w:val="ListParagraph"/>
        <w:tabs>
          <w:tab w:val="num" w:pos="1440"/>
        </w:tabs>
        <w:ind w:left="1440"/>
        <w:rPr>
          <w:rFonts w:ascii="Times New Roman" w:hAnsi="Times New Roman" w:cs="Times New Roman"/>
        </w:rPr>
      </w:pPr>
      <w:r>
        <w:rPr>
          <w:rFonts w:ascii="Times New Roman" w:hAnsi="Times New Roman"/>
        </w:rPr>
        <w:t xml:space="preserve">The SSA Advocates Workgroup informed SSA that many of their customers had a hard time creating the documents needed to qualify for </w:t>
      </w:r>
      <w:r w:rsidR="00CC0748">
        <w:rPr>
          <w:rFonts w:ascii="Times New Roman" w:hAnsi="Times New Roman"/>
        </w:rPr>
        <w:t xml:space="preserve">Temporary Institutionalization Benefits.  Therefore, SSA created </w:t>
      </w:r>
      <w:r w:rsidR="00040A40">
        <w:rPr>
          <w:rFonts w:ascii="Times New Roman" w:hAnsi="Times New Roman"/>
        </w:rPr>
        <w:t xml:space="preserve">the SSA-186 </w:t>
      </w:r>
      <w:r w:rsidR="00CC0748">
        <w:rPr>
          <w:rFonts w:ascii="Times New Roman" w:hAnsi="Times New Roman"/>
        </w:rPr>
        <w:t xml:space="preserve">that can be used by recipients, </w:t>
      </w:r>
      <w:r w:rsidR="00040A40">
        <w:rPr>
          <w:rFonts w:ascii="Times New Roman" w:hAnsi="Times New Roman"/>
        </w:rPr>
        <w:t>re</w:t>
      </w:r>
      <w:r w:rsidR="00CC0748">
        <w:rPr>
          <w:rFonts w:ascii="Times New Roman" w:hAnsi="Times New Roman"/>
        </w:rPr>
        <w:t xml:space="preserve">presentative </w:t>
      </w:r>
      <w:r w:rsidR="00040A40">
        <w:rPr>
          <w:rFonts w:ascii="Times New Roman" w:hAnsi="Times New Roman"/>
        </w:rPr>
        <w:t>p</w:t>
      </w:r>
      <w:r w:rsidR="00CC0748">
        <w:rPr>
          <w:rFonts w:ascii="Times New Roman" w:hAnsi="Times New Roman"/>
        </w:rPr>
        <w:t>ayees, and institutions to obtain the statement of need and the physician’s certification on one document.</w:t>
      </w:r>
    </w:p>
    <w:p w:rsidR="00325960" w:rsidP="003C3A37" w14:paraId="6CA2DAE4" w14:textId="77777777">
      <w:pPr>
        <w:tabs>
          <w:tab w:val="num" w:pos="1440"/>
        </w:tabs>
        <w:ind w:left="1440"/>
        <w:rPr>
          <w:rFonts w:ascii="Times New Roman" w:hAnsi="Times New Roman"/>
        </w:rPr>
      </w:pPr>
    </w:p>
    <w:p w:rsidR="0073594C" w:rsidRPr="0073594C" w:rsidP="003C3A37" w14:paraId="3EB44F52"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Payment of Gifts to Respondents</w:t>
      </w:r>
    </w:p>
    <w:p w:rsidR="00325960" w:rsidP="003C3A37" w14:paraId="76C2CE29" w14:textId="5817126F">
      <w:pPr>
        <w:tabs>
          <w:tab w:val="num" w:pos="1440"/>
        </w:tabs>
        <w:ind w:left="1440"/>
        <w:rPr>
          <w:rFonts w:ascii="Times New Roman" w:hAnsi="Times New Roman"/>
        </w:rPr>
      </w:pPr>
      <w:r>
        <w:rPr>
          <w:rFonts w:ascii="Times New Roman" w:hAnsi="Times New Roman"/>
        </w:rPr>
        <w:t xml:space="preserve">SSA </w:t>
      </w:r>
      <w:r w:rsidR="006D0B74">
        <w:rPr>
          <w:rFonts w:ascii="Times New Roman" w:hAnsi="Times New Roman"/>
        </w:rPr>
        <w:t xml:space="preserve">does not </w:t>
      </w:r>
      <w:r>
        <w:rPr>
          <w:rFonts w:ascii="Times New Roman" w:hAnsi="Times New Roman"/>
        </w:rPr>
        <w:t xml:space="preserve">provide payments or gifts to the respondents.  </w:t>
      </w:r>
    </w:p>
    <w:p w:rsidR="00040A40" w:rsidP="003C3A37" w14:paraId="353D7B6F" w14:textId="77777777">
      <w:pPr>
        <w:tabs>
          <w:tab w:val="num" w:pos="1440"/>
        </w:tabs>
        <w:ind w:left="1440"/>
        <w:rPr>
          <w:rFonts w:ascii="Times New Roman" w:hAnsi="Times New Roman"/>
        </w:rPr>
      </w:pPr>
    </w:p>
    <w:p w:rsidR="0073594C" w:rsidRPr="0073594C" w:rsidP="003C3A37" w14:paraId="2A6BF7A7"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Assurances of Confidentiality</w:t>
      </w:r>
    </w:p>
    <w:p w:rsidR="00325960" w:rsidP="00D066DD" w14:paraId="61010167" w14:textId="37FDDA38">
      <w:pPr>
        <w:tabs>
          <w:tab w:val="num" w:pos="1440"/>
        </w:tabs>
        <w:ind w:left="1440"/>
        <w:rPr>
          <w:rFonts w:ascii="Times New Roman" w:hAnsi="Times New Roman"/>
        </w:rPr>
      </w:pPr>
      <w:r w:rsidRPr="00301DF0">
        <w:rPr>
          <w:rFonts w:ascii="Times New Roman" w:hAnsi="Times New Roman" w:cs="Times New Roman"/>
          <w:snapToGrid w:val="0"/>
          <w:lang w:eastAsia="en-US"/>
        </w:rPr>
        <w:t xml:space="preserve">SSA protects and holds confidential the information it collects in accordance with </w:t>
      </w:r>
      <w:r w:rsidRPr="00301DF0">
        <w:rPr>
          <w:rFonts w:ascii="Times New Roman" w:hAnsi="Times New Roman" w:cs="Times New Roman"/>
          <w:i/>
          <w:snapToGrid w:val="0"/>
          <w:lang w:eastAsia="en-US"/>
        </w:rPr>
        <w:t>42 U.S.C. 1306, 20 CFR 401</w:t>
      </w:r>
      <w:r w:rsidRPr="00301DF0">
        <w:rPr>
          <w:rFonts w:ascii="Times New Roman" w:hAnsi="Times New Roman" w:cs="Times New Roman"/>
          <w:snapToGrid w:val="0"/>
          <w:lang w:eastAsia="en-US"/>
        </w:rPr>
        <w:t xml:space="preserve"> and </w:t>
      </w:r>
      <w:r w:rsidRPr="00301DF0">
        <w:rPr>
          <w:rFonts w:ascii="Times New Roman" w:hAnsi="Times New Roman" w:cs="Times New Roman"/>
          <w:i/>
          <w:snapToGrid w:val="0"/>
          <w:lang w:eastAsia="en-US"/>
        </w:rPr>
        <w:t>402, 5 U.S.C. 552</w:t>
      </w:r>
      <w:r w:rsidRPr="00301DF0">
        <w:rPr>
          <w:rFonts w:ascii="Times New Roman" w:hAnsi="Times New Roman" w:cs="Times New Roman"/>
          <w:snapToGrid w:val="0"/>
          <w:lang w:eastAsia="en-US"/>
        </w:rPr>
        <w:t xml:space="preserve"> (Freedom of Information Act), </w:t>
      </w:r>
      <w:r w:rsidRPr="00301DF0">
        <w:rPr>
          <w:rFonts w:ascii="Times New Roman" w:hAnsi="Times New Roman" w:cs="Times New Roman"/>
          <w:i/>
          <w:snapToGrid w:val="0"/>
          <w:lang w:eastAsia="en-US"/>
        </w:rPr>
        <w:t>5 U.S.C. 552a</w:t>
      </w:r>
      <w:r w:rsidRPr="00301DF0">
        <w:rPr>
          <w:rFonts w:ascii="Times New Roman" w:hAnsi="Times New Roman" w:cs="Times New Roman"/>
          <w:snapToGrid w:val="0"/>
          <w:lang w:eastAsia="en-US"/>
        </w:rPr>
        <w:t xml:space="preserve"> (Privacy Act of 1974), and OMB Circular No. A-130</w:t>
      </w:r>
      <w:r>
        <w:rPr>
          <w:rFonts w:ascii="Times New Roman" w:hAnsi="Times New Roman"/>
        </w:rPr>
        <w:t xml:space="preserve">.  </w:t>
      </w:r>
    </w:p>
    <w:p w:rsidR="0073594C" w:rsidRPr="0073594C" w:rsidP="003C3A37" w14:paraId="7E9FABA6"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Justification for Sensitive Questions</w:t>
      </w:r>
    </w:p>
    <w:p w:rsidR="005A2697" w:rsidP="003C3A37" w14:paraId="6D3AB44A" w14:textId="6441CA6F">
      <w:pPr>
        <w:tabs>
          <w:tab w:val="num" w:pos="1440"/>
        </w:tabs>
        <w:ind w:left="1440"/>
        <w:rPr>
          <w:rFonts w:ascii="Times New Roman" w:hAnsi="Times New Roman"/>
        </w:rPr>
      </w:pPr>
      <w:r w:rsidRPr="00301DF0">
        <w:rPr>
          <w:rFonts w:ascii="Times New Roman" w:hAnsi="Times New Roman" w:cs="Times New Roman"/>
          <w:snapToGrid w:val="0"/>
          <w:lang w:eastAsia="en-US"/>
        </w:rPr>
        <w:t>The information collection does not contain any questions of a sensitive nature</w:t>
      </w:r>
      <w:r w:rsidR="00325960">
        <w:rPr>
          <w:rFonts w:ascii="Times New Roman" w:hAnsi="Times New Roman"/>
        </w:rPr>
        <w:t xml:space="preserve">.  </w:t>
      </w:r>
    </w:p>
    <w:p w:rsidR="005A2697" w:rsidP="00325960" w14:paraId="00237EB0" w14:textId="77777777">
      <w:pPr>
        <w:rPr>
          <w:rFonts w:ascii="Times New Roman" w:hAnsi="Times New Roman"/>
        </w:rPr>
      </w:pPr>
    </w:p>
    <w:p w:rsidR="00300D2F" w:rsidRPr="005F1CCF" w:rsidP="003C3A37" w14:paraId="6CBFC687" w14:textId="15DD7535">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 xml:space="preserve">Estimates of Public Reporting </w:t>
      </w:r>
      <w:r w:rsidRPr="005A2697">
        <w:rPr>
          <w:rFonts w:ascii="Times New Roman" w:hAnsi="Times New Roman"/>
          <w:b/>
        </w:rPr>
        <w:t>Bur</w:t>
      </w:r>
      <w:r w:rsidRPr="005A2697" w:rsidR="000F41C4">
        <w:rPr>
          <w:rFonts w:ascii="Times New Roman" w:hAnsi="Times New Roman"/>
          <w:b/>
        </w:rPr>
        <w:t>den</w:t>
      </w:r>
      <w:r w:rsidRPr="005A2697" w:rsidR="000F41C4">
        <w:rPr>
          <w:rFonts w:ascii="Times New Roman" w:hAnsi="Times New Roman"/>
          <w:b/>
        </w:rPr>
        <w:br/>
      </w:r>
      <w:r w:rsidRPr="00DE7C3F" w:rsidR="00DE7C3F">
        <w:rPr>
          <w:rFonts w:ascii="Times New Roman" w:hAnsi="Times New Roman" w:cs="Times New Roman"/>
          <w:lang w:eastAsia="en-US" w:bidi="en-US"/>
        </w:rPr>
        <w:t>Please see the burden chart below:</w:t>
      </w:r>
    </w:p>
    <w:p w:rsidR="005F1CCF" w:rsidP="005F1CCF" w14:paraId="6BE62880" w14:textId="77ACA3D1">
      <w:pPr>
        <w:rPr>
          <w:rFonts w:ascii="Times New Roman" w:hAnsi="Times New Roman"/>
        </w:rPr>
      </w:pPr>
    </w:p>
    <w:tbl>
      <w:tblPr>
        <w:tblStyle w:val="TableGrid"/>
        <w:tblW w:w="11430" w:type="dxa"/>
        <w:tblInd w:w="-1085" w:type="dxa"/>
        <w:tblLook w:val="04A0"/>
      </w:tblPr>
      <w:tblGrid>
        <w:gridCol w:w="1523"/>
        <w:gridCol w:w="1523"/>
        <w:gridCol w:w="1310"/>
        <w:gridCol w:w="1190"/>
        <w:gridCol w:w="1256"/>
        <w:gridCol w:w="1389"/>
        <w:gridCol w:w="1362"/>
        <w:gridCol w:w="1877"/>
      </w:tblGrid>
      <w:tr w14:paraId="16ADE5D8" w14:textId="77777777" w:rsidTr="005F1CCF">
        <w:tblPrEx>
          <w:tblW w:w="11430" w:type="dxa"/>
          <w:tblInd w:w="-1085" w:type="dxa"/>
          <w:tblLook w:val="04A0"/>
        </w:tblPrEx>
        <w:tc>
          <w:tcPr>
            <w:tcW w:w="1523" w:type="dxa"/>
          </w:tcPr>
          <w:p w:rsidR="005F1CCF" w:rsidP="005F1CCF" w14:paraId="40DD7239" w14:textId="5ECB661B">
            <w:pPr>
              <w:rPr>
                <w:rFonts w:ascii="Times New Roman" w:hAnsi="Times New Roman"/>
              </w:rPr>
            </w:pPr>
            <w:r w:rsidRPr="00340CDD">
              <w:rPr>
                <w:rFonts w:ascii="Times New Roman" w:eastAsia="Calibri" w:hAnsi="Times New Roman" w:cs="Times New Roman"/>
                <w:b/>
                <w:lang w:eastAsia="en-US"/>
              </w:rPr>
              <w:t>Modality of Completion</w:t>
            </w:r>
          </w:p>
        </w:tc>
        <w:tc>
          <w:tcPr>
            <w:tcW w:w="1523" w:type="dxa"/>
          </w:tcPr>
          <w:p w:rsidR="005F1CCF" w:rsidP="005F1CCF" w14:paraId="0A73DA2A" w14:textId="3C191345">
            <w:pPr>
              <w:rPr>
                <w:rFonts w:ascii="Times New Roman" w:hAnsi="Times New Roman"/>
              </w:rPr>
            </w:pPr>
            <w:r w:rsidRPr="00340CDD">
              <w:rPr>
                <w:rFonts w:ascii="Times New Roman" w:eastAsia="Calibri" w:hAnsi="Times New Roman" w:cs="Times New Roman"/>
                <w:b/>
                <w:lang w:eastAsia="en-US"/>
              </w:rPr>
              <w:t>Number of Respondents</w:t>
            </w:r>
          </w:p>
        </w:tc>
        <w:tc>
          <w:tcPr>
            <w:tcW w:w="1310" w:type="dxa"/>
          </w:tcPr>
          <w:p w:rsidR="005F1CCF" w:rsidP="005F1CCF" w14:paraId="19852E7D" w14:textId="29050267">
            <w:pPr>
              <w:rPr>
                <w:rFonts w:ascii="Times New Roman" w:hAnsi="Times New Roman"/>
              </w:rPr>
            </w:pPr>
            <w:r w:rsidRPr="00340CDD">
              <w:rPr>
                <w:rFonts w:ascii="Times New Roman" w:eastAsia="Calibri" w:hAnsi="Times New Roman" w:cs="Times New Roman"/>
                <w:b/>
                <w:lang w:eastAsia="en-US"/>
              </w:rPr>
              <w:t>Frequency of Response</w:t>
            </w:r>
          </w:p>
        </w:tc>
        <w:tc>
          <w:tcPr>
            <w:tcW w:w="1190" w:type="dxa"/>
          </w:tcPr>
          <w:p w:rsidR="005F1CCF" w:rsidP="005F1CCF" w14:paraId="255531DA" w14:textId="4039F612">
            <w:pPr>
              <w:rPr>
                <w:rFonts w:ascii="Times New Roman" w:hAnsi="Times New Roman"/>
              </w:rPr>
            </w:pPr>
            <w:r w:rsidRPr="00340CDD">
              <w:rPr>
                <w:rFonts w:ascii="Times New Roman" w:eastAsia="Calibri" w:hAnsi="Times New Roman" w:cs="Times New Roman"/>
                <w:b/>
                <w:lang w:eastAsia="en-US"/>
              </w:rPr>
              <w:t>Average Burden Per Response (minutes)</w:t>
            </w:r>
          </w:p>
        </w:tc>
        <w:tc>
          <w:tcPr>
            <w:tcW w:w="1256" w:type="dxa"/>
          </w:tcPr>
          <w:p w:rsidR="005F1CCF" w:rsidP="005F1CCF" w14:paraId="506633C3" w14:textId="0AA1E36A">
            <w:pPr>
              <w:rPr>
                <w:rFonts w:ascii="Times New Roman" w:hAnsi="Times New Roman"/>
              </w:rPr>
            </w:pPr>
            <w:r w:rsidRPr="00340CDD">
              <w:rPr>
                <w:rFonts w:ascii="Times New Roman" w:eastAsia="Calibri" w:hAnsi="Times New Roman" w:cs="Times New Roman"/>
                <w:b/>
                <w:lang w:eastAsia="en-US"/>
              </w:rPr>
              <w:t>Estimated Total Annual Burden (hours)</w:t>
            </w:r>
          </w:p>
        </w:tc>
        <w:tc>
          <w:tcPr>
            <w:tcW w:w="1389" w:type="dxa"/>
          </w:tcPr>
          <w:p w:rsidR="005F1CCF" w:rsidP="005F1CCF" w14:paraId="7BDCA930" w14:textId="7F9E08EF">
            <w:pPr>
              <w:rPr>
                <w:rFonts w:ascii="Times New Roman" w:hAnsi="Times New Roman"/>
              </w:rPr>
            </w:pPr>
            <w:r w:rsidRPr="00340CDD">
              <w:rPr>
                <w:rFonts w:ascii="Times New Roman" w:eastAsia="SimSun" w:hAnsi="Times New Roman" w:cs="Times New Roman"/>
                <w:b/>
                <w:lang w:eastAsia="ar-SA"/>
              </w:rPr>
              <w:t>Average Theoretical Hourly Cost Amount (dollars)*</w:t>
            </w:r>
          </w:p>
        </w:tc>
        <w:tc>
          <w:tcPr>
            <w:tcW w:w="1362" w:type="dxa"/>
          </w:tcPr>
          <w:p w:rsidR="005F1CCF" w:rsidRPr="00340CDD" w:rsidP="005F1CCF" w14:paraId="6CC9B833" w14:textId="77777777">
            <w:pPr>
              <w:suppressAutoHyphens/>
              <w:autoSpaceDE w:val="0"/>
              <w:autoSpaceDN w:val="0"/>
              <w:adjustRightInd w:val="0"/>
              <w:rPr>
                <w:rFonts w:ascii="Times New Roman" w:eastAsia="Calibri" w:hAnsi="Times New Roman" w:cs="Times New Roman"/>
                <w:b/>
                <w:lang w:eastAsia="ar-SA"/>
              </w:rPr>
            </w:pPr>
            <w:r w:rsidRPr="00340CDD">
              <w:rPr>
                <w:rFonts w:ascii="Times New Roman" w:eastAsia="Calibri" w:hAnsi="Times New Roman" w:cs="Times New Roman"/>
                <w:b/>
                <w:lang w:eastAsia="ar-SA"/>
              </w:rPr>
              <w:t xml:space="preserve">Average Wait Time   for Teleservice Centers </w:t>
            </w:r>
          </w:p>
          <w:p w:rsidR="005F1CCF" w:rsidP="005F1CCF" w14:paraId="5B537F1C" w14:textId="11AC74A4">
            <w:pPr>
              <w:rPr>
                <w:rFonts w:ascii="Times New Roman" w:hAnsi="Times New Roman"/>
              </w:rPr>
            </w:pPr>
            <w:r w:rsidRPr="00340CDD">
              <w:rPr>
                <w:rFonts w:ascii="Times New Roman" w:eastAsia="Calibri" w:hAnsi="Times New Roman" w:cs="Times New Roman"/>
                <w:b/>
                <w:lang w:val="x-none" w:eastAsia="ar-SA"/>
              </w:rPr>
              <w:t>(minutes) **</w:t>
            </w:r>
          </w:p>
        </w:tc>
        <w:tc>
          <w:tcPr>
            <w:tcW w:w="1877" w:type="dxa"/>
          </w:tcPr>
          <w:p w:rsidR="005F1CCF" w:rsidRPr="00340CDD" w:rsidP="005F1CCF" w14:paraId="200371A6" w14:textId="77777777">
            <w:pPr>
              <w:suppressAutoHyphens/>
              <w:autoSpaceDE w:val="0"/>
              <w:autoSpaceDN w:val="0"/>
              <w:adjustRightInd w:val="0"/>
              <w:rPr>
                <w:rFonts w:ascii="Times New Roman" w:eastAsia="SimSun" w:hAnsi="Times New Roman" w:cs="Times New Roman"/>
                <w:b/>
                <w:lang w:eastAsia="ar-SA"/>
              </w:rPr>
            </w:pPr>
            <w:r w:rsidRPr="00340CDD">
              <w:rPr>
                <w:rFonts w:ascii="Times New Roman" w:eastAsia="SimSun" w:hAnsi="Times New Roman" w:cs="Times New Roman"/>
                <w:b/>
                <w:lang w:eastAsia="ar-SA"/>
              </w:rPr>
              <w:t>Total Annual Opportunity Cost</w:t>
            </w:r>
          </w:p>
          <w:p w:rsidR="005F1CCF" w:rsidP="005F1CCF" w14:paraId="2D404BEF" w14:textId="3F2BBE61">
            <w:pPr>
              <w:rPr>
                <w:rFonts w:ascii="Times New Roman" w:hAnsi="Times New Roman"/>
              </w:rPr>
            </w:pPr>
            <w:r w:rsidRPr="00340CDD">
              <w:rPr>
                <w:rFonts w:ascii="Times New Roman" w:eastAsia="SimSun" w:hAnsi="Times New Roman" w:cs="Times New Roman"/>
                <w:b/>
                <w:lang w:eastAsia="ar-SA"/>
              </w:rPr>
              <w:t>(dollars) ***</w:t>
            </w:r>
          </w:p>
        </w:tc>
      </w:tr>
      <w:tr w14:paraId="02CAA071" w14:textId="77777777" w:rsidTr="005F1CCF">
        <w:tblPrEx>
          <w:tblW w:w="11430" w:type="dxa"/>
          <w:tblInd w:w="-1085" w:type="dxa"/>
          <w:tblLook w:val="04A0"/>
        </w:tblPrEx>
        <w:tc>
          <w:tcPr>
            <w:tcW w:w="1523" w:type="dxa"/>
          </w:tcPr>
          <w:p w:rsidR="005F1CCF" w:rsidP="005F1CCF" w14:paraId="28575707" w14:textId="557A7836">
            <w:pPr>
              <w:rPr>
                <w:rFonts w:ascii="Times New Roman" w:hAnsi="Times New Roman"/>
              </w:rPr>
            </w:pPr>
            <w:r w:rsidRPr="00DE7C3F">
              <w:rPr>
                <w:rFonts w:ascii="Times New Roman" w:eastAsia="SimSun" w:hAnsi="Times New Roman" w:cs="Times New Roman"/>
              </w:rPr>
              <w:t>Statement from other Respondents</w:t>
            </w:r>
          </w:p>
        </w:tc>
        <w:tc>
          <w:tcPr>
            <w:tcW w:w="1523" w:type="dxa"/>
          </w:tcPr>
          <w:p w:rsidR="005F1CCF" w:rsidP="005F1CCF" w14:paraId="39B26CED" w14:textId="56629B37">
            <w:pPr>
              <w:jc w:val="right"/>
              <w:rPr>
                <w:rFonts w:ascii="Times New Roman" w:hAnsi="Times New Roman"/>
              </w:rPr>
            </w:pPr>
            <w:r w:rsidRPr="00DE7C3F">
              <w:rPr>
                <w:rFonts w:ascii="Times New Roman" w:eastAsia="SimSun" w:hAnsi="Times New Roman" w:cs="Times New Roman"/>
              </w:rPr>
              <w:t>26,793</w:t>
            </w:r>
          </w:p>
        </w:tc>
        <w:tc>
          <w:tcPr>
            <w:tcW w:w="1310" w:type="dxa"/>
          </w:tcPr>
          <w:p w:rsidR="005F1CCF" w:rsidP="005F1CCF" w14:paraId="0D09A195" w14:textId="1FE96087">
            <w:pPr>
              <w:jc w:val="right"/>
              <w:rPr>
                <w:rFonts w:ascii="Times New Roman" w:hAnsi="Times New Roman"/>
              </w:rPr>
            </w:pPr>
            <w:r w:rsidRPr="00DE7C3F">
              <w:rPr>
                <w:rFonts w:ascii="Times New Roman" w:eastAsia="SimSun" w:hAnsi="Times New Roman" w:cs="Times New Roman"/>
              </w:rPr>
              <w:t>1</w:t>
            </w:r>
          </w:p>
        </w:tc>
        <w:tc>
          <w:tcPr>
            <w:tcW w:w="1190" w:type="dxa"/>
          </w:tcPr>
          <w:p w:rsidR="005F1CCF" w:rsidP="005F1CCF" w14:paraId="458890AB" w14:textId="1088724E">
            <w:pPr>
              <w:jc w:val="right"/>
              <w:rPr>
                <w:rFonts w:ascii="Times New Roman" w:hAnsi="Times New Roman"/>
              </w:rPr>
            </w:pPr>
            <w:r>
              <w:rPr>
                <w:rFonts w:ascii="Times New Roman" w:eastAsia="SimSun" w:hAnsi="Times New Roman" w:cs="Times New Roman"/>
              </w:rPr>
              <w:t>15</w:t>
            </w:r>
          </w:p>
        </w:tc>
        <w:tc>
          <w:tcPr>
            <w:tcW w:w="1256" w:type="dxa"/>
          </w:tcPr>
          <w:p w:rsidR="005F1CCF" w:rsidP="005F1CCF" w14:paraId="2322CB29" w14:textId="4CE9FEF0">
            <w:pPr>
              <w:jc w:val="right"/>
              <w:rPr>
                <w:rFonts w:ascii="Times New Roman" w:hAnsi="Times New Roman"/>
              </w:rPr>
            </w:pPr>
            <w:r>
              <w:rPr>
                <w:rFonts w:ascii="Times New Roman" w:eastAsia="SimSun" w:hAnsi="Times New Roman" w:cs="Times New Roman"/>
              </w:rPr>
              <w:t>6,698</w:t>
            </w:r>
          </w:p>
        </w:tc>
        <w:tc>
          <w:tcPr>
            <w:tcW w:w="1389" w:type="dxa"/>
          </w:tcPr>
          <w:p w:rsidR="005F1CCF" w:rsidP="005F1CCF" w14:paraId="08D8B1F9" w14:textId="501BFCAB">
            <w:pPr>
              <w:jc w:val="right"/>
              <w:rPr>
                <w:rFonts w:ascii="Times New Roman" w:hAnsi="Times New Roman"/>
              </w:rPr>
            </w:pPr>
            <w:r w:rsidRPr="00DE7C3F">
              <w:rPr>
                <w:rFonts w:ascii="Times New Roman" w:eastAsia="Calibri" w:hAnsi="Times New Roman" w:cs="Times New Roman"/>
                <w:lang w:eastAsia="ar-SA"/>
              </w:rPr>
              <w:t>$</w:t>
            </w:r>
            <w:r>
              <w:rPr>
                <w:rFonts w:ascii="Times New Roman" w:eastAsia="Calibri" w:hAnsi="Times New Roman" w:cs="Times New Roman"/>
                <w:lang w:eastAsia="ar-SA"/>
              </w:rPr>
              <w:t>12.81</w:t>
            </w:r>
            <w:r w:rsidRPr="00DE7C3F">
              <w:rPr>
                <w:rFonts w:ascii="Times New Roman" w:eastAsia="Calibri" w:hAnsi="Times New Roman" w:cs="Times New Roman"/>
                <w:lang w:eastAsia="ar-SA"/>
              </w:rPr>
              <w:t>*</w:t>
            </w:r>
          </w:p>
        </w:tc>
        <w:tc>
          <w:tcPr>
            <w:tcW w:w="1362" w:type="dxa"/>
          </w:tcPr>
          <w:p w:rsidR="005F1CCF" w:rsidP="005F1CCF" w14:paraId="7C305B45" w14:textId="5CB91325">
            <w:pPr>
              <w:jc w:val="right"/>
              <w:rPr>
                <w:rFonts w:ascii="Times New Roman" w:hAnsi="Times New Roman"/>
              </w:rPr>
            </w:pPr>
            <w:r>
              <w:rPr>
                <w:rFonts w:ascii="Times New Roman" w:eastAsia="Calibri" w:hAnsi="Times New Roman" w:cs="Times New Roman"/>
                <w:lang w:eastAsia="en-US"/>
              </w:rPr>
              <w:t>19</w:t>
            </w:r>
            <w:r w:rsidRPr="00340CDD">
              <w:rPr>
                <w:rFonts w:ascii="Times New Roman" w:eastAsia="Calibri" w:hAnsi="Times New Roman" w:cs="Times New Roman"/>
                <w:lang w:eastAsia="en-US"/>
              </w:rPr>
              <w:t>**</w:t>
            </w:r>
          </w:p>
        </w:tc>
        <w:tc>
          <w:tcPr>
            <w:tcW w:w="1877" w:type="dxa"/>
          </w:tcPr>
          <w:p w:rsidR="005F1CCF" w:rsidP="005F1CCF" w14:paraId="662A60A6" w14:textId="43206947">
            <w:pPr>
              <w:jc w:val="right"/>
              <w:rPr>
                <w:rFonts w:ascii="Times New Roman" w:hAnsi="Times New Roman"/>
              </w:rPr>
            </w:pPr>
            <w:r w:rsidRPr="00340CDD">
              <w:rPr>
                <w:rFonts w:ascii="Times New Roman" w:eastAsia="Calibri" w:hAnsi="Times New Roman" w:cs="Times New Roman"/>
                <w:lang w:eastAsia="en-US"/>
              </w:rPr>
              <w:t>$</w:t>
            </w:r>
            <w:r>
              <w:rPr>
                <w:rFonts w:ascii="Times New Roman" w:eastAsia="Calibri" w:hAnsi="Times New Roman" w:cs="Times New Roman"/>
                <w:lang w:eastAsia="en-US"/>
              </w:rPr>
              <w:t>194,481</w:t>
            </w:r>
            <w:r w:rsidRPr="00340CDD">
              <w:rPr>
                <w:rFonts w:ascii="Times New Roman" w:eastAsia="Calibri" w:hAnsi="Times New Roman" w:cs="Times New Roman"/>
                <w:lang w:eastAsia="en-US"/>
              </w:rPr>
              <w:t>***</w:t>
            </w:r>
          </w:p>
        </w:tc>
      </w:tr>
      <w:tr w14:paraId="3036684D" w14:textId="77777777" w:rsidTr="005F1CCF">
        <w:tblPrEx>
          <w:tblW w:w="11430" w:type="dxa"/>
          <w:tblInd w:w="-1085" w:type="dxa"/>
          <w:tblLook w:val="04A0"/>
        </w:tblPrEx>
        <w:tc>
          <w:tcPr>
            <w:tcW w:w="1523" w:type="dxa"/>
          </w:tcPr>
          <w:p w:rsidR="005F1CCF" w:rsidP="005F1CCF" w14:paraId="3279C440" w14:textId="134F80F2">
            <w:pPr>
              <w:rPr>
                <w:rFonts w:ascii="Times New Roman" w:hAnsi="Times New Roman"/>
              </w:rPr>
            </w:pPr>
            <w:r w:rsidRPr="00DE7C3F">
              <w:rPr>
                <w:rFonts w:ascii="Times New Roman" w:eastAsia="SimSun" w:hAnsi="Times New Roman" w:cs="Times New Roman"/>
              </w:rPr>
              <w:t>Physician’s Certifications</w:t>
            </w:r>
          </w:p>
        </w:tc>
        <w:tc>
          <w:tcPr>
            <w:tcW w:w="1523" w:type="dxa"/>
          </w:tcPr>
          <w:p w:rsidR="005F1CCF" w:rsidP="005F1CCF" w14:paraId="046AA3BF" w14:textId="6C127930">
            <w:pPr>
              <w:jc w:val="right"/>
              <w:rPr>
                <w:rFonts w:ascii="Times New Roman" w:hAnsi="Times New Roman"/>
              </w:rPr>
            </w:pPr>
            <w:r w:rsidRPr="00DE7C3F">
              <w:rPr>
                <w:rFonts w:ascii="Times New Roman" w:eastAsia="SimSun" w:hAnsi="Times New Roman" w:cs="Times New Roman"/>
              </w:rPr>
              <w:t xml:space="preserve">26,793  </w:t>
            </w:r>
          </w:p>
        </w:tc>
        <w:tc>
          <w:tcPr>
            <w:tcW w:w="1310" w:type="dxa"/>
          </w:tcPr>
          <w:p w:rsidR="005F1CCF" w:rsidP="005F1CCF" w14:paraId="0A188E5D" w14:textId="1BC005E6">
            <w:pPr>
              <w:jc w:val="right"/>
              <w:rPr>
                <w:rFonts w:ascii="Times New Roman" w:hAnsi="Times New Roman"/>
              </w:rPr>
            </w:pPr>
            <w:r w:rsidRPr="00DE7C3F">
              <w:rPr>
                <w:rFonts w:ascii="Times New Roman" w:eastAsia="SimSun" w:hAnsi="Times New Roman" w:cs="Times New Roman"/>
              </w:rPr>
              <w:t>1</w:t>
            </w:r>
          </w:p>
        </w:tc>
        <w:tc>
          <w:tcPr>
            <w:tcW w:w="1190" w:type="dxa"/>
          </w:tcPr>
          <w:p w:rsidR="005F1CCF" w:rsidP="005F1CCF" w14:paraId="6B1A2D32" w14:textId="583CBC28">
            <w:pPr>
              <w:jc w:val="right"/>
              <w:rPr>
                <w:rFonts w:ascii="Times New Roman" w:hAnsi="Times New Roman"/>
              </w:rPr>
            </w:pPr>
            <w:r>
              <w:rPr>
                <w:rFonts w:ascii="Times New Roman" w:eastAsia="SimSun" w:hAnsi="Times New Roman" w:cs="Times New Roman"/>
              </w:rPr>
              <w:t>15</w:t>
            </w:r>
          </w:p>
        </w:tc>
        <w:tc>
          <w:tcPr>
            <w:tcW w:w="1256" w:type="dxa"/>
          </w:tcPr>
          <w:p w:rsidR="005F1CCF" w:rsidP="005F1CCF" w14:paraId="6644C5D5" w14:textId="4C38E805">
            <w:pPr>
              <w:jc w:val="right"/>
              <w:rPr>
                <w:rFonts w:ascii="Times New Roman" w:hAnsi="Times New Roman"/>
              </w:rPr>
            </w:pPr>
            <w:r>
              <w:rPr>
                <w:rFonts w:ascii="Times New Roman" w:eastAsia="SimSun" w:hAnsi="Times New Roman" w:cs="Times New Roman"/>
              </w:rPr>
              <w:t>6,698</w:t>
            </w:r>
            <w:r w:rsidRPr="00DE7C3F">
              <w:rPr>
                <w:rFonts w:ascii="Times New Roman" w:eastAsia="SimSun" w:hAnsi="Times New Roman" w:cs="Times New Roman"/>
              </w:rPr>
              <w:t xml:space="preserve"> </w:t>
            </w:r>
          </w:p>
        </w:tc>
        <w:tc>
          <w:tcPr>
            <w:tcW w:w="1389" w:type="dxa"/>
          </w:tcPr>
          <w:p w:rsidR="005F1CCF" w:rsidP="005F1CCF" w14:paraId="77666128" w14:textId="155A6C37">
            <w:pPr>
              <w:jc w:val="right"/>
              <w:rPr>
                <w:rFonts w:ascii="Times New Roman" w:hAnsi="Times New Roman"/>
              </w:rPr>
            </w:pPr>
            <w:r w:rsidRPr="00DE7C3F">
              <w:rPr>
                <w:rFonts w:ascii="Times New Roman" w:eastAsia="Calibri" w:hAnsi="Times New Roman" w:cs="Times New Roman"/>
                <w:lang w:eastAsia="ar-SA"/>
              </w:rPr>
              <w:t>$</w:t>
            </w:r>
            <w:r>
              <w:rPr>
                <w:rFonts w:ascii="Times New Roman" w:eastAsia="Calibri" w:hAnsi="Times New Roman" w:cs="Times New Roman"/>
                <w:lang w:eastAsia="ar-SA"/>
              </w:rPr>
              <w:t>46.52</w:t>
            </w:r>
            <w:r w:rsidRPr="00DE7C3F">
              <w:rPr>
                <w:rFonts w:ascii="Times New Roman" w:eastAsia="Calibri" w:hAnsi="Times New Roman" w:cs="Times New Roman"/>
                <w:lang w:eastAsia="ar-SA"/>
              </w:rPr>
              <w:t>*</w:t>
            </w:r>
          </w:p>
        </w:tc>
        <w:tc>
          <w:tcPr>
            <w:tcW w:w="1362" w:type="dxa"/>
          </w:tcPr>
          <w:p w:rsidR="005F1CCF" w:rsidP="005F1CCF" w14:paraId="2DAA2123" w14:textId="5448D2BE">
            <w:pPr>
              <w:jc w:val="right"/>
              <w:rPr>
                <w:rFonts w:ascii="Times New Roman" w:hAnsi="Times New Roman"/>
              </w:rPr>
            </w:pPr>
            <w:r w:rsidRPr="00340CDD">
              <w:rPr>
                <w:rFonts w:ascii="Times New Roman" w:eastAsia="Calibri" w:hAnsi="Times New Roman" w:cs="Times New Roman"/>
                <w:lang w:eastAsia="en-US"/>
              </w:rPr>
              <w:t>0**</w:t>
            </w:r>
          </w:p>
        </w:tc>
        <w:tc>
          <w:tcPr>
            <w:tcW w:w="1877" w:type="dxa"/>
          </w:tcPr>
          <w:p w:rsidR="005F1CCF" w:rsidP="005F1CCF" w14:paraId="72C5FAE0" w14:textId="12344F7B">
            <w:pPr>
              <w:jc w:val="right"/>
              <w:rPr>
                <w:rFonts w:ascii="Times New Roman" w:hAnsi="Times New Roman"/>
              </w:rPr>
            </w:pPr>
            <w:r w:rsidRPr="00340CDD">
              <w:rPr>
                <w:rFonts w:ascii="Times New Roman" w:eastAsia="Calibri" w:hAnsi="Times New Roman" w:cs="Times New Roman"/>
                <w:lang w:eastAsia="en-US"/>
              </w:rPr>
              <w:t>$</w:t>
            </w:r>
            <w:r>
              <w:rPr>
                <w:rFonts w:ascii="Times New Roman" w:eastAsia="Calibri" w:hAnsi="Times New Roman" w:cs="Times New Roman"/>
                <w:lang w:eastAsia="en-US"/>
              </w:rPr>
              <w:t>311,591</w:t>
            </w:r>
            <w:r w:rsidRPr="00340CDD">
              <w:rPr>
                <w:rFonts w:ascii="Times New Roman" w:eastAsia="Calibri" w:hAnsi="Times New Roman" w:cs="Times New Roman"/>
                <w:lang w:eastAsia="en-US"/>
              </w:rPr>
              <w:t>***</w:t>
            </w:r>
          </w:p>
        </w:tc>
      </w:tr>
      <w:tr w14:paraId="7C49D24D" w14:textId="77777777" w:rsidTr="005F1CCF">
        <w:tblPrEx>
          <w:tblW w:w="11430" w:type="dxa"/>
          <w:tblInd w:w="-1085" w:type="dxa"/>
          <w:tblLook w:val="04A0"/>
        </w:tblPrEx>
        <w:tc>
          <w:tcPr>
            <w:tcW w:w="1523" w:type="dxa"/>
          </w:tcPr>
          <w:p w:rsidR="005F1CCF" w:rsidRPr="00DE7C3F" w:rsidP="005F1CCF" w14:paraId="20190EE8" w14:textId="38E31A64">
            <w:pPr>
              <w:rPr>
                <w:rFonts w:ascii="Times New Roman" w:eastAsia="SimSun" w:hAnsi="Times New Roman" w:cs="Times New Roman"/>
              </w:rPr>
            </w:pPr>
            <w:r w:rsidRPr="00DE7C3F">
              <w:rPr>
                <w:rFonts w:ascii="Times New Roman" w:eastAsia="SimSun" w:hAnsi="Times New Roman" w:cs="Times New Roman"/>
                <w:b/>
                <w:bCs/>
                <w:lang w:eastAsia="ar-SA"/>
              </w:rPr>
              <w:t>Totals</w:t>
            </w:r>
          </w:p>
        </w:tc>
        <w:tc>
          <w:tcPr>
            <w:tcW w:w="1523" w:type="dxa"/>
          </w:tcPr>
          <w:p w:rsidR="005F1CCF" w:rsidRPr="00DE7C3F" w:rsidP="005F1CCF" w14:paraId="7C5D8FA0" w14:textId="7B7834AF">
            <w:pPr>
              <w:jc w:val="right"/>
              <w:rPr>
                <w:rFonts w:ascii="Times New Roman" w:eastAsia="SimSun" w:hAnsi="Times New Roman" w:cs="Times New Roman"/>
              </w:rPr>
            </w:pPr>
            <w:r w:rsidRPr="00DE7C3F">
              <w:rPr>
                <w:rFonts w:ascii="Times New Roman" w:eastAsia="SimSun" w:hAnsi="Times New Roman" w:cs="Times New Roman"/>
                <w:b/>
                <w:bCs/>
              </w:rPr>
              <w:t>53,586</w:t>
            </w:r>
          </w:p>
        </w:tc>
        <w:tc>
          <w:tcPr>
            <w:tcW w:w="1310" w:type="dxa"/>
          </w:tcPr>
          <w:p w:rsidR="005F1CCF" w:rsidRPr="00DE7C3F" w:rsidP="005F1CCF" w14:paraId="2C5BF9EB" w14:textId="77777777">
            <w:pPr>
              <w:jc w:val="right"/>
              <w:rPr>
                <w:rFonts w:ascii="Times New Roman" w:eastAsia="SimSun" w:hAnsi="Times New Roman" w:cs="Times New Roman"/>
              </w:rPr>
            </w:pPr>
          </w:p>
        </w:tc>
        <w:tc>
          <w:tcPr>
            <w:tcW w:w="1190" w:type="dxa"/>
          </w:tcPr>
          <w:p w:rsidR="005F1CCF" w:rsidRPr="00DE7C3F" w:rsidP="005F1CCF" w14:paraId="5F8F6B89" w14:textId="77777777">
            <w:pPr>
              <w:jc w:val="right"/>
              <w:rPr>
                <w:rFonts w:ascii="Times New Roman" w:eastAsia="SimSun" w:hAnsi="Times New Roman" w:cs="Times New Roman"/>
              </w:rPr>
            </w:pPr>
          </w:p>
        </w:tc>
        <w:tc>
          <w:tcPr>
            <w:tcW w:w="1256" w:type="dxa"/>
          </w:tcPr>
          <w:p w:rsidR="005F1CCF" w:rsidRPr="00DE7C3F" w:rsidP="005F1CCF" w14:paraId="1C1D4555" w14:textId="2BB09070">
            <w:pPr>
              <w:jc w:val="right"/>
              <w:rPr>
                <w:rFonts w:ascii="Times New Roman" w:eastAsia="SimSun" w:hAnsi="Times New Roman" w:cs="Times New Roman"/>
              </w:rPr>
            </w:pPr>
            <w:r>
              <w:rPr>
                <w:rFonts w:ascii="Times New Roman" w:eastAsia="SimSun" w:hAnsi="Times New Roman" w:cs="Times New Roman"/>
                <w:b/>
                <w:bCs/>
              </w:rPr>
              <w:t>13,396</w:t>
            </w:r>
          </w:p>
        </w:tc>
        <w:tc>
          <w:tcPr>
            <w:tcW w:w="1389" w:type="dxa"/>
          </w:tcPr>
          <w:p w:rsidR="005F1CCF" w:rsidRPr="00DE7C3F" w:rsidP="005F1CCF" w14:paraId="29F98A33" w14:textId="77777777">
            <w:pPr>
              <w:jc w:val="right"/>
              <w:rPr>
                <w:rFonts w:ascii="Times New Roman" w:eastAsia="Calibri" w:hAnsi="Times New Roman" w:cs="Times New Roman"/>
                <w:lang w:eastAsia="ar-SA"/>
              </w:rPr>
            </w:pPr>
          </w:p>
        </w:tc>
        <w:tc>
          <w:tcPr>
            <w:tcW w:w="1362" w:type="dxa"/>
          </w:tcPr>
          <w:p w:rsidR="005F1CCF" w:rsidRPr="00340CDD" w:rsidP="005F1CCF" w14:paraId="65378278" w14:textId="77777777">
            <w:pPr>
              <w:jc w:val="right"/>
              <w:rPr>
                <w:rFonts w:ascii="Times New Roman" w:eastAsia="Calibri" w:hAnsi="Times New Roman" w:cs="Times New Roman"/>
                <w:lang w:eastAsia="en-US"/>
              </w:rPr>
            </w:pPr>
          </w:p>
        </w:tc>
        <w:tc>
          <w:tcPr>
            <w:tcW w:w="1877" w:type="dxa"/>
          </w:tcPr>
          <w:p w:rsidR="005F1CCF" w:rsidRPr="00340CDD" w:rsidP="005F1CCF" w14:paraId="1D951B6C" w14:textId="02618C99">
            <w:pPr>
              <w:jc w:val="right"/>
              <w:rPr>
                <w:rFonts w:ascii="Times New Roman" w:eastAsia="Calibri" w:hAnsi="Times New Roman" w:cs="Times New Roman"/>
                <w:lang w:eastAsia="en-US"/>
              </w:rPr>
            </w:pPr>
            <w:r w:rsidRPr="00340CDD">
              <w:rPr>
                <w:rFonts w:ascii="Times New Roman" w:eastAsia="Calibri" w:hAnsi="Times New Roman" w:cs="Times New Roman"/>
                <w:b/>
                <w:bCs/>
                <w:lang w:eastAsia="en-US"/>
              </w:rPr>
              <w:t>$</w:t>
            </w:r>
            <w:r w:rsidR="008E70F3">
              <w:rPr>
                <w:rFonts w:ascii="Times New Roman" w:eastAsia="Calibri" w:hAnsi="Times New Roman" w:cs="Times New Roman"/>
                <w:b/>
                <w:bCs/>
                <w:lang w:eastAsia="en-US"/>
              </w:rPr>
              <w:t>506,072</w:t>
            </w:r>
            <w:r w:rsidRPr="00340CDD">
              <w:rPr>
                <w:rFonts w:ascii="Times New Roman" w:eastAsia="Calibri" w:hAnsi="Times New Roman" w:cs="Times New Roman"/>
                <w:b/>
                <w:bCs/>
                <w:lang w:eastAsia="en-US"/>
              </w:rPr>
              <w:t>***</w:t>
            </w:r>
          </w:p>
        </w:tc>
      </w:tr>
    </w:tbl>
    <w:p w:rsidR="00DE7C3F" w:rsidP="00DE7C3F" w14:paraId="2435548F" w14:textId="227161A0">
      <w:pPr>
        <w:suppressAutoHyphens/>
        <w:ind w:left="1440"/>
        <w:rPr>
          <w:rFonts w:ascii="Times New Roman" w:eastAsia="Calibri" w:hAnsi="Times New Roman" w:cs="Times New Roman"/>
          <w:snapToGrid w:val="0"/>
          <w:lang w:eastAsia="ar-SA"/>
        </w:rPr>
      </w:pPr>
      <w:r w:rsidRPr="00DE7C3F">
        <w:rPr>
          <w:rFonts w:ascii="Times New Roman" w:eastAsia="Calibri" w:hAnsi="Times New Roman" w:cs="Times New Roman"/>
          <w:lang w:eastAsia="ar-SA"/>
        </w:rPr>
        <w:t xml:space="preserve">* We based </w:t>
      </w:r>
      <w:r w:rsidRPr="00DE7C3F">
        <w:rPr>
          <w:rFonts w:ascii="Times New Roman" w:eastAsia="SimSun" w:hAnsi="Times New Roman" w:cs="Times New Roman"/>
          <w:lang w:eastAsia="ar-SA"/>
        </w:rPr>
        <w:t xml:space="preserve">these figures on </w:t>
      </w:r>
      <w:r w:rsidRPr="00DE7C3F">
        <w:rPr>
          <w:rFonts w:ascii="Times New Roman" w:eastAsia="Calibri" w:hAnsi="Times New Roman" w:cs="Times New Roman"/>
          <w:lang w:eastAsia="ar-SA"/>
        </w:rPr>
        <w:t xml:space="preserve">the average DI payments based on SSA's current FY 2021 data </w:t>
      </w:r>
      <w:r w:rsidRPr="00DE7C3F">
        <w:rPr>
          <w:rFonts w:ascii="Times New Roman" w:eastAsia="Calibri" w:hAnsi="Times New Roman" w:cs="Times New Roman"/>
          <w:color w:val="2F5496"/>
          <w:lang w:eastAsia="ar-SA"/>
        </w:rPr>
        <w:t>(</w:t>
      </w:r>
      <w:hyperlink r:id="rId6" w:history="1">
        <w:r w:rsidRPr="007911CF" w:rsidR="00D066DD">
          <w:rPr>
            <w:rStyle w:val="Hyperlink"/>
            <w:rFonts w:ascii="Times New Roman" w:hAnsi="Times New Roman" w:cs="Times New Roman"/>
          </w:rPr>
          <w:t>https://www.ssa.gov/legislation/2023factsheet.pdf</w:t>
        </w:r>
      </w:hyperlink>
      <w:r w:rsidRPr="00DE7C3F">
        <w:rPr>
          <w:rFonts w:ascii="Times New Roman" w:eastAsia="Calibri" w:hAnsi="Times New Roman" w:cs="Times New Roman"/>
          <w:lang w:eastAsia="ar-SA"/>
        </w:rPr>
        <w:t xml:space="preserve">), and the average </w:t>
      </w:r>
      <w:r w:rsidRPr="00DE7C3F">
        <w:rPr>
          <w:rFonts w:ascii="Times New Roman" w:hAnsi="Times New Roman" w:cs="Times New Roman"/>
          <w:szCs w:val="22"/>
          <w:lang w:eastAsia="en-US"/>
        </w:rPr>
        <w:t>Healthcare Practitioners and Technical Occupations hourly wages</w:t>
      </w:r>
      <w:r w:rsidRPr="00DE7C3F">
        <w:rPr>
          <w:rFonts w:ascii="Times New Roman" w:eastAsia="Calibri" w:hAnsi="Times New Roman" w:cs="Times New Roman"/>
          <w:lang w:eastAsia="ar-SA"/>
        </w:rPr>
        <w:t xml:space="preserve">, </w:t>
      </w:r>
      <w:r w:rsidRPr="00DE7C3F">
        <w:rPr>
          <w:rFonts w:ascii="Times New Roman" w:eastAsia="SimSun" w:hAnsi="Times New Roman" w:cs="Times New Roman"/>
          <w:lang w:eastAsia="ar-SA"/>
        </w:rPr>
        <w:t>as reported by Bureau of Labor Statistics data</w:t>
      </w:r>
      <w:r w:rsidRPr="00DE7C3F">
        <w:rPr>
          <w:rFonts w:ascii="Times New Roman" w:eastAsia="Calibri" w:hAnsi="Times New Roman" w:cs="Times New Roman"/>
          <w:lang w:eastAsia="ar-SA"/>
        </w:rPr>
        <w:t xml:space="preserve"> </w:t>
      </w:r>
      <w:r w:rsidRPr="00DE7C3F">
        <w:rPr>
          <w:rFonts w:ascii="Times New Roman" w:hAnsi="Times New Roman" w:cs="Times New Roman"/>
          <w:szCs w:val="22"/>
          <w:lang w:eastAsia="en-US"/>
        </w:rPr>
        <w:t>(</w:t>
      </w:r>
      <w:hyperlink r:id="rId7" w:history="1">
        <w:r w:rsidRPr="00DE7C3F">
          <w:rPr>
            <w:rFonts w:ascii="Times New Roman" w:hAnsi="Times New Roman" w:cs="Times New Roman"/>
            <w:color w:val="2F5496"/>
            <w:szCs w:val="22"/>
            <w:u w:val="single"/>
            <w:lang w:eastAsia="en-US"/>
          </w:rPr>
          <w:t>https://www.bls.gov/oes/current/oes290000.htm</w:t>
        </w:r>
      </w:hyperlink>
      <w:r w:rsidRPr="00DE7C3F">
        <w:rPr>
          <w:rFonts w:ascii="Times New Roman" w:hAnsi="Times New Roman" w:cs="Times New Roman"/>
          <w:szCs w:val="22"/>
          <w:lang w:eastAsia="en-US"/>
        </w:rPr>
        <w:t>)</w:t>
      </w:r>
      <w:r w:rsidRPr="00DE7C3F">
        <w:rPr>
          <w:rFonts w:ascii="Times New Roman" w:eastAsia="Calibri" w:hAnsi="Times New Roman" w:cs="Times New Roman"/>
          <w:snapToGrid w:val="0"/>
          <w:lang w:eastAsia="ar-SA"/>
        </w:rPr>
        <w:t>.</w:t>
      </w:r>
    </w:p>
    <w:p w:rsidR="00DE7C3F" w:rsidRPr="00DE7C3F" w:rsidP="00174B27" w14:paraId="2052FBAA" w14:textId="77777777">
      <w:pPr>
        <w:suppressAutoHyphens/>
        <w:ind w:left="1440"/>
        <w:rPr>
          <w:rFonts w:ascii="Times New Roman" w:eastAsia="Calibri" w:hAnsi="Times New Roman" w:cs="Times New Roman"/>
          <w:snapToGrid w:val="0"/>
          <w:lang w:eastAsia="ar-SA"/>
        </w:rPr>
      </w:pPr>
    </w:p>
    <w:p w:rsidR="00174B27" w:rsidRPr="00174B27" w:rsidP="00174B27" w14:paraId="79E30606" w14:textId="05FBDD25">
      <w:pPr>
        <w:suppressAutoHyphens/>
        <w:ind w:left="1440"/>
        <w:rPr>
          <w:rFonts w:ascii="Times New Roman" w:eastAsia="SimSun" w:hAnsi="Times New Roman" w:cs="Times New Roman"/>
          <w:lang w:eastAsia="ar-SA"/>
        </w:rPr>
      </w:pPr>
      <w:r w:rsidRPr="00174B27">
        <w:rPr>
          <w:rFonts w:ascii="Times New Roman" w:eastAsia="SimSun" w:hAnsi="Times New Roman" w:cs="Times New Roman"/>
          <w:lang w:eastAsia="ar-SA"/>
        </w:rPr>
        <w:t xml:space="preserve">** We based this figure on </w:t>
      </w:r>
      <w:r>
        <w:rPr>
          <w:rFonts w:ascii="Times New Roman" w:eastAsia="SimSun" w:hAnsi="Times New Roman" w:cs="Times New Roman"/>
          <w:lang w:eastAsia="ar-SA"/>
        </w:rPr>
        <w:t xml:space="preserve">the </w:t>
      </w:r>
      <w:r w:rsidRPr="00174B27">
        <w:rPr>
          <w:rFonts w:ascii="Times New Roman" w:eastAsia="SimSun" w:hAnsi="Times New Roman" w:cs="Times New Roman"/>
          <w:lang w:eastAsia="ar-SA"/>
        </w:rPr>
        <w:t>averag</w:t>
      </w:r>
      <w:r>
        <w:rPr>
          <w:rFonts w:ascii="Times New Roman" w:eastAsia="SimSun" w:hAnsi="Times New Roman" w:cs="Times New Roman"/>
          <w:lang w:eastAsia="ar-SA"/>
        </w:rPr>
        <w:t>e</w:t>
      </w:r>
      <w:r w:rsidRPr="00174B27">
        <w:rPr>
          <w:rFonts w:ascii="Times New Roman" w:eastAsia="SimSun" w:hAnsi="Times New Roman" w:cs="Times New Roman"/>
          <w:lang w:eastAsia="ar-SA"/>
        </w:rPr>
        <w:t xml:space="preserve"> FY 202</w:t>
      </w:r>
      <w:r w:rsidR="008E70F3">
        <w:rPr>
          <w:rFonts w:ascii="Times New Roman" w:eastAsia="SimSun" w:hAnsi="Times New Roman" w:cs="Times New Roman"/>
          <w:lang w:eastAsia="ar-SA"/>
        </w:rPr>
        <w:t>3</w:t>
      </w:r>
      <w:r w:rsidRPr="00174B27">
        <w:rPr>
          <w:rFonts w:ascii="Times New Roman" w:eastAsia="SimSun" w:hAnsi="Times New Roman" w:cs="Times New Roman"/>
          <w:lang w:eastAsia="ar-SA"/>
        </w:rPr>
        <w:t xml:space="preserve"> wait times for teleservice centers, based on SSA’s current management information data.</w:t>
      </w:r>
    </w:p>
    <w:p w:rsidR="00174B27" w:rsidP="00174B27" w14:paraId="094E60EA" w14:textId="1EE8A349">
      <w:pPr>
        <w:widowControl w:val="0"/>
        <w:tabs>
          <w:tab w:val="left" w:pos="1350"/>
        </w:tabs>
        <w:autoSpaceDE w:val="0"/>
        <w:autoSpaceDN w:val="0"/>
        <w:adjustRightInd w:val="0"/>
        <w:ind w:left="1440"/>
        <w:contextualSpacing/>
        <w:rPr>
          <w:rFonts w:ascii="Times New Roman" w:eastAsia="Calibri" w:hAnsi="Times New Roman" w:cs="Times New Roman"/>
          <w:lang w:eastAsia="ar-SA"/>
        </w:rPr>
      </w:pPr>
    </w:p>
    <w:p w:rsidR="00DE7C3F" w:rsidRPr="00DE7C3F" w:rsidP="00174B27" w14:paraId="2CF9C712" w14:textId="695F550A">
      <w:pPr>
        <w:widowControl w:val="0"/>
        <w:tabs>
          <w:tab w:val="left" w:pos="1350"/>
        </w:tabs>
        <w:autoSpaceDE w:val="0"/>
        <w:autoSpaceDN w:val="0"/>
        <w:adjustRightInd w:val="0"/>
        <w:ind w:left="1440"/>
        <w:contextualSpacing/>
        <w:rPr>
          <w:rFonts w:ascii="Times New Roman" w:eastAsia="SimSun" w:hAnsi="Times New Roman" w:cs="Times New Roman"/>
        </w:rPr>
      </w:pPr>
      <w:r w:rsidRPr="00DE7C3F">
        <w:rPr>
          <w:rFonts w:ascii="Times New Roman" w:eastAsia="Calibri" w:hAnsi="Times New Roman" w:cs="Times New Roman"/>
          <w:lang w:eastAsia="ar-SA"/>
        </w:rPr>
        <w:t>*</w:t>
      </w:r>
      <w:r w:rsidR="00174B27">
        <w:rPr>
          <w:rFonts w:ascii="Times New Roman" w:eastAsia="Calibri" w:hAnsi="Times New Roman" w:cs="Times New Roman"/>
          <w:lang w:eastAsia="ar-SA"/>
        </w:rPr>
        <w:t>*</w:t>
      </w:r>
      <w:r w:rsidRPr="00DE7C3F">
        <w:rPr>
          <w:rFonts w:ascii="Times New Roman" w:eastAsia="Calibri" w:hAnsi="Times New Roman" w:cs="Times New Roman"/>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E7C3F">
        <w:rPr>
          <w:rFonts w:ascii="Times New Roman" w:eastAsia="Calibri" w:hAnsi="Times New Roman" w:cs="Times New Roman"/>
          <w:b/>
          <w:bCs/>
          <w:u w:val="single"/>
          <w:lang w:eastAsia="ar-SA"/>
        </w:rPr>
        <w:t>There is no actual charge to respondents to complete the application</w:t>
      </w:r>
      <w:r w:rsidRPr="00DE7C3F">
        <w:rPr>
          <w:rFonts w:ascii="Times New Roman" w:hAnsi="Times New Roman" w:cs="Times New Roman"/>
          <w:b/>
          <w:bCs/>
          <w:snapToGrid w:val="0"/>
          <w:lang w:eastAsia="en-US"/>
        </w:rPr>
        <w:t>.</w:t>
      </w:r>
    </w:p>
    <w:p w:rsidR="00DE7C3F" w:rsidRPr="00DE7C3F" w:rsidP="00DE7C3F" w14:paraId="696BC6FE" w14:textId="77777777">
      <w:pPr>
        <w:tabs>
          <w:tab w:val="left" w:pos="1440"/>
        </w:tabs>
        <w:ind w:left="1440"/>
        <w:rPr>
          <w:rFonts w:ascii="Times New Roman" w:hAnsi="Times New Roman"/>
        </w:rPr>
      </w:pPr>
    </w:p>
    <w:p w:rsidR="00325960" w:rsidP="00340CDD" w14:paraId="136E87F5" w14:textId="30BA5811">
      <w:pPr>
        <w:widowControl w:val="0"/>
        <w:ind w:left="1440"/>
        <w:contextualSpacing/>
        <w:rPr>
          <w:rFonts w:ascii="Times New Roman" w:hAnsi="Times New Roman"/>
        </w:rPr>
      </w:pPr>
      <w:r w:rsidRPr="00DE7C3F">
        <w:rPr>
          <w:rFonts w:ascii="Times New Roman" w:hAnsi="Times New Roman"/>
        </w:rPr>
        <w:t xml:space="preserve">The total burden for this ICR is </w:t>
      </w:r>
      <w:r w:rsidR="008E70F3">
        <w:rPr>
          <w:rFonts w:ascii="Times New Roman" w:eastAsia="SimSun" w:hAnsi="Times New Roman" w:cs="Times New Roman"/>
          <w:b/>
          <w:bCs/>
        </w:rPr>
        <w:t>13,396</w:t>
      </w:r>
      <w:r w:rsidRPr="00DE7C3F">
        <w:rPr>
          <w:rFonts w:ascii="Times New Roman" w:hAnsi="Times New Roman"/>
        </w:rPr>
        <w:t xml:space="preserve">burden hours (reflecting SSA management information data), which results in an associated theoretical (not actual) opportunity cost financial burden of </w:t>
      </w:r>
      <w:r w:rsidRPr="00DE7C3F">
        <w:rPr>
          <w:rFonts w:ascii="Times New Roman" w:hAnsi="Times New Roman"/>
          <w:b/>
        </w:rPr>
        <w:t>$</w:t>
      </w:r>
      <w:r w:rsidR="008E70F3">
        <w:rPr>
          <w:rFonts w:ascii="Times New Roman" w:eastAsia="Calibri" w:hAnsi="Times New Roman" w:cs="Times New Roman"/>
          <w:b/>
          <w:bCs/>
          <w:lang w:eastAsia="en-US"/>
        </w:rPr>
        <w:t>506,072</w:t>
      </w:r>
      <w:r w:rsidRPr="00DE7C3F">
        <w:rPr>
          <w:rFonts w:ascii="Times New Roman" w:hAnsi="Times New Roman"/>
        </w:rPr>
        <w:t>.  SSA does not charge respondents to complete our applications</w:t>
      </w:r>
      <w:r w:rsidRPr="00DE7C3F">
        <w:rPr>
          <w:rFonts w:ascii="Times New Roman" w:hAnsi="Times New Roman" w:cs="Times New Roman"/>
          <w:noProof/>
          <w:snapToGrid w:val="0"/>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cs="Times New Roman"/>
          <w:noProof/>
          <w:snapToGrid w:val="0"/>
        </w:rPr>
        <w:t>5</w:t>
      </w:r>
      <w:r w:rsidRPr="00DE7C3F">
        <w:rPr>
          <w:rFonts w:ascii="Times New Roman" w:hAnsi="Times New Roman" w:cs="Times New Roman"/>
          <w:noProof/>
          <w:snapToGrid w:val="0"/>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A2697" w:rsidR="002450A1">
        <w:rPr>
          <w:rFonts w:ascii="Times New Roman" w:hAnsi="Times New Roman" w:cs="Times New Roman"/>
          <w:snapToGrid w:val="0"/>
          <w:lang w:eastAsia="en-US"/>
        </w:rPr>
        <w:t>.</w:t>
      </w:r>
    </w:p>
    <w:p w:rsidR="008E70F3" w:rsidP="00D066DD" w14:paraId="37DA5CBC" w14:textId="77777777">
      <w:pPr>
        <w:rPr>
          <w:rFonts w:ascii="Times New Roman" w:hAnsi="Times New Roman"/>
        </w:rPr>
      </w:pPr>
    </w:p>
    <w:p w:rsidR="0073594C" w:rsidRPr="0073594C" w:rsidP="002C559E" w14:paraId="12626AC5"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Annual Cost to the Respondents (Other)</w:t>
      </w:r>
    </w:p>
    <w:p w:rsidR="00BC560A" w:rsidP="00D066DD" w14:paraId="6A4E7315" w14:textId="5D048B6D">
      <w:pPr>
        <w:ind w:left="1440"/>
        <w:rPr>
          <w:rFonts w:ascii="Times New Roman" w:hAnsi="Times New Roman"/>
        </w:rPr>
      </w:pPr>
      <w:r>
        <w:rPr>
          <w:rFonts w:ascii="Times New Roman" w:hAnsi="Times New Roman"/>
        </w:rPr>
        <w:t xml:space="preserve">This </w:t>
      </w:r>
      <w:r w:rsidR="0083576E">
        <w:rPr>
          <w:rFonts w:ascii="Times New Roman" w:hAnsi="Times New Roman"/>
        </w:rPr>
        <w:t>collection d</w:t>
      </w:r>
      <w:r>
        <w:rPr>
          <w:rFonts w:ascii="Times New Roman" w:hAnsi="Times New Roman"/>
        </w:rPr>
        <w:t>oes not impose a known cost burdens on the respondents.</w:t>
      </w:r>
    </w:p>
    <w:p w:rsidR="00537F12" w:rsidRPr="00537F12" w:rsidP="002C559E" w14:paraId="5EA1D201"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Annual Cost to the Federal Government</w:t>
      </w:r>
    </w:p>
    <w:p w:rsidR="000A0EFF" w:rsidP="002C559E" w14:paraId="0102675B" w14:textId="0BB5365C">
      <w:pPr>
        <w:ind w:left="1440"/>
        <w:rPr>
          <w:rFonts w:ascii="Times New Roman" w:hAnsi="Times New Roman" w:cs="Times New Roman"/>
          <w:color w:val="000000"/>
        </w:rPr>
      </w:pPr>
      <w:r w:rsidRPr="0047588F">
        <w:rPr>
          <w:rFonts w:ascii="Times New Roman" w:hAnsi="Times New Roman" w:cs="Times New Roman"/>
          <w:color w:val="000000"/>
        </w:rPr>
        <w:t xml:space="preserve">The annual cost to the Federal Government is approximately </w:t>
      </w:r>
      <w:r w:rsidRPr="008E70F3">
        <w:rPr>
          <w:rFonts w:ascii="Times New Roman" w:hAnsi="Times New Roman" w:cs="Times New Roman"/>
          <w:b/>
          <w:bCs/>
          <w:color w:val="000000"/>
        </w:rPr>
        <w:t>$</w:t>
      </w:r>
      <w:r w:rsidRPr="008E70F3" w:rsidR="00022C04">
        <w:rPr>
          <w:rFonts w:ascii="Times New Roman" w:hAnsi="Times New Roman" w:cs="Times New Roman"/>
          <w:b/>
          <w:bCs/>
          <w:color w:val="000000"/>
        </w:rPr>
        <w:t>192,721</w:t>
      </w:r>
      <w:r w:rsidR="00291433">
        <w:rPr>
          <w:rFonts w:ascii="Times New Roman" w:hAnsi="Times New Roman" w:cs="Times New Roman"/>
          <w:color w:val="000000"/>
        </w:rPr>
        <w:t>.</w:t>
      </w:r>
      <w:r w:rsidRPr="0047588F">
        <w:rPr>
          <w:rFonts w:ascii="Times New Roman" w:hAnsi="Times New Roman" w:cs="Times New Roman"/>
          <w:color w:val="000000"/>
        </w:rPr>
        <w:t xml:space="preserve">  This estimate accounts for costs from the following areas:</w:t>
      </w:r>
    </w:p>
    <w:p w:rsidR="002C559E" w:rsidP="002C559E" w14:paraId="06BC0ACB" w14:textId="77777777">
      <w:pPr>
        <w:ind w:left="1440"/>
        <w:rPr>
          <w:rFonts w:ascii="Times New Roman" w:hAnsi="Times New Roman" w:cs="Times New Roman"/>
          <w:color w:val="000000"/>
        </w:rPr>
      </w:pPr>
    </w:p>
    <w:tbl>
      <w:tblPr>
        <w:tblStyle w:val="TableGrid"/>
        <w:tblW w:w="8585" w:type="dxa"/>
        <w:tblInd w:w="864" w:type="dxa"/>
        <w:tblLook w:val="04A0"/>
      </w:tblPr>
      <w:tblGrid>
        <w:gridCol w:w="2861"/>
        <w:gridCol w:w="2862"/>
        <w:gridCol w:w="2862"/>
      </w:tblGrid>
      <w:tr w14:paraId="33ACDDE8" w14:textId="77777777" w:rsidTr="000A0EFF">
        <w:tblPrEx>
          <w:tblW w:w="8585" w:type="dxa"/>
          <w:tblInd w:w="864" w:type="dxa"/>
          <w:tblLook w:val="04A0"/>
        </w:tblPrEx>
        <w:trPr>
          <w:trHeight w:val="961"/>
        </w:trPr>
        <w:tc>
          <w:tcPr>
            <w:tcW w:w="2861" w:type="dxa"/>
          </w:tcPr>
          <w:p w:rsidR="000A0EFF" w:rsidP="000C04C7" w14:paraId="5443AC41"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2862" w:type="dxa"/>
          </w:tcPr>
          <w:p w:rsidR="000A0EFF" w:rsidP="000C04C7" w14:paraId="43341B2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2862" w:type="dxa"/>
          </w:tcPr>
          <w:p w:rsidR="000A0EFF" w:rsidP="000C04C7" w14:paraId="410338F5"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14:paraId="61727B2B" w14:textId="77777777" w:rsidTr="000A0EFF">
        <w:tblPrEx>
          <w:tblW w:w="8585" w:type="dxa"/>
          <w:tblInd w:w="864" w:type="dxa"/>
          <w:tblLook w:val="04A0"/>
        </w:tblPrEx>
        <w:trPr>
          <w:trHeight w:val="961"/>
        </w:trPr>
        <w:tc>
          <w:tcPr>
            <w:tcW w:w="2861" w:type="dxa"/>
          </w:tcPr>
          <w:p w:rsidR="000A0EFF" w:rsidP="000C04C7" w14:paraId="09C9CB07"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2862" w:type="dxa"/>
          </w:tcPr>
          <w:p w:rsidR="000A0EFF" w:rsidP="000C04C7" w14:paraId="1D7E726F"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2862" w:type="dxa"/>
          </w:tcPr>
          <w:p w:rsidR="000A0EFF" w:rsidP="00CE716D" w14:paraId="16F8CA38" w14:textId="454B5D6E">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291433">
              <w:rPr>
                <w:rFonts w:ascii="Times New Roman" w:hAnsi="Times New Roman" w:cs="Times New Roman"/>
                <w:color w:val="000000"/>
              </w:rPr>
              <w:t>0</w:t>
            </w:r>
            <w:r w:rsidR="00CE716D">
              <w:rPr>
                <w:rFonts w:ascii="Times New Roman" w:hAnsi="Times New Roman" w:cs="Times New Roman"/>
                <w:color w:val="000000"/>
              </w:rPr>
              <w:t>*</w:t>
            </w:r>
          </w:p>
        </w:tc>
      </w:tr>
      <w:tr w14:paraId="085F45A9" w14:textId="77777777" w:rsidTr="000A0EFF">
        <w:tblPrEx>
          <w:tblW w:w="8585" w:type="dxa"/>
          <w:tblInd w:w="864" w:type="dxa"/>
          <w:tblLook w:val="04A0"/>
        </w:tblPrEx>
        <w:trPr>
          <w:trHeight w:val="961"/>
        </w:trPr>
        <w:tc>
          <w:tcPr>
            <w:tcW w:w="2861" w:type="dxa"/>
          </w:tcPr>
          <w:p w:rsidR="000A0EFF" w:rsidP="000C04C7" w14:paraId="7FEBFCA1"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2862" w:type="dxa"/>
          </w:tcPr>
          <w:p w:rsidR="000A0EFF" w:rsidP="000C04C7" w14:paraId="1B47AECB"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2862" w:type="dxa"/>
          </w:tcPr>
          <w:p w:rsidR="000A0EFF" w:rsidP="00CE716D" w14:paraId="2809506E" w14:textId="00B1EFDB">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291433">
              <w:rPr>
                <w:rFonts w:ascii="Times New Roman" w:hAnsi="Times New Roman" w:cs="Times New Roman"/>
                <w:color w:val="000000"/>
              </w:rPr>
              <w:t>0</w:t>
            </w:r>
            <w:r w:rsidR="00CE716D">
              <w:rPr>
                <w:rFonts w:ascii="Times New Roman" w:hAnsi="Times New Roman" w:cs="Times New Roman"/>
                <w:color w:val="000000"/>
              </w:rPr>
              <w:t>*</w:t>
            </w:r>
          </w:p>
        </w:tc>
      </w:tr>
      <w:tr w14:paraId="6BDBF0E4" w14:textId="77777777" w:rsidTr="000A0EFF">
        <w:tblPrEx>
          <w:tblW w:w="8585" w:type="dxa"/>
          <w:tblInd w:w="864" w:type="dxa"/>
          <w:tblLook w:val="04A0"/>
        </w:tblPrEx>
        <w:trPr>
          <w:trHeight w:val="938"/>
        </w:trPr>
        <w:tc>
          <w:tcPr>
            <w:tcW w:w="2861" w:type="dxa"/>
          </w:tcPr>
          <w:p w:rsidR="000A0EFF" w:rsidP="000C04C7" w14:paraId="4A0012A0" w14:textId="77777777">
            <w:pPr>
              <w:pStyle w:val="ListParagraph"/>
              <w:ind w:left="0"/>
              <w:rPr>
                <w:rFonts w:ascii="Times New Roman" w:hAnsi="Times New Roman" w:cs="Times New Roman"/>
                <w:color w:val="000000"/>
              </w:rPr>
            </w:pPr>
            <w:r>
              <w:rPr>
                <w:rFonts w:ascii="Times New Roman" w:hAnsi="Times New Roman" w:cs="Times New Roman"/>
                <w:color w:val="000000"/>
              </w:rPr>
              <w:t>SSA Employee (e.g., field office, 800 number, DDS staff) Information Collection and Processing Time</w:t>
            </w:r>
          </w:p>
        </w:tc>
        <w:tc>
          <w:tcPr>
            <w:tcW w:w="2862" w:type="dxa"/>
          </w:tcPr>
          <w:p w:rsidR="000A0EFF" w:rsidP="000C04C7" w14:paraId="7FD760BC" w14:textId="77777777">
            <w:pPr>
              <w:pStyle w:val="ListParagraph"/>
              <w:ind w:left="0"/>
              <w:rPr>
                <w:rFonts w:ascii="Times New Roman" w:hAnsi="Times New Roman" w:cs="Times New Roman"/>
                <w:color w:val="000000"/>
              </w:rPr>
            </w:pPr>
            <w:r>
              <w:rPr>
                <w:rFonts w:ascii="Times New Roman" w:hAnsi="Times New Roman" w:cs="Times New Roman"/>
                <w:color w:val="000000"/>
              </w:rPr>
              <w:t>GS-11</w:t>
            </w:r>
            <w:r>
              <w:rPr>
                <w:rFonts w:ascii="Times New Roman" w:hAnsi="Times New Roman" w:cs="Times New Roman"/>
                <w:color w:val="000000"/>
              </w:rPr>
              <w:t xml:space="preserve"> employee x # of responses x processing time</w:t>
            </w:r>
          </w:p>
          <w:p w:rsidR="00E1478D" w:rsidP="00B6409E" w14:paraId="04A6F99F" w14:textId="2A2691DB">
            <w:pPr>
              <w:pStyle w:val="ListParagraph"/>
              <w:ind w:left="0"/>
              <w:rPr>
                <w:rFonts w:ascii="Times New Roman" w:hAnsi="Times New Roman" w:cs="Times New Roman"/>
                <w:color w:val="000000"/>
              </w:rPr>
            </w:pPr>
          </w:p>
        </w:tc>
        <w:tc>
          <w:tcPr>
            <w:tcW w:w="2862" w:type="dxa"/>
          </w:tcPr>
          <w:p w:rsidR="00291433" w:rsidP="00CE716D" w14:paraId="176A80CD"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$189,301</w:t>
            </w:r>
          </w:p>
        </w:tc>
      </w:tr>
      <w:tr w14:paraId="20291B50" w14:textId="77777777" w:rsidTr="000A0EFF">
        <w:tblPrEx>
          <w:tblW w:w="8585" w:type="dxa"/>
          <w:tblInd w:w="864" w:type="dxa"/>
          <w:tblLook w:val="04A0"/>
        </w:tblPrEx>
        <w:trPr>
          <w:trHeight w:val="1441"/>
        </w:trPr>
        <w:tc>
          <w:tcPr>
            <w:tcW w:w="2861" w:type="dxa"/>
          </w:tcPr>
          <w:p w:rsidR="000A0EFF" w:rsidP="000C04C7" w14:paraId="6FB55269"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2862" w:type="dxa"/>
          </w:tcPr>
          <w:p w:rsidR="000A0EFF" w:rsidP="000C04C7" w14:paraId="1A278274"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2862" w:type="dxa"/>
          </w:tcPr>
          <w:p w:rsidR="000A0EFF" w:rsidP="00CE716D" w14:paraId="78C45CCD" w14:textId="794900D5">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1531D7">
              <w:rPr>
                <w:rFonts w:ascii="Times New Roman" w:hAnsi="Times New Roman" w:cs="Times New Roman"/>
                <w:color w:val="000000"/>
              </w:rPr>
              <w:t>0</w:t>
            </w:r>
            <w:r w:rsidR="00CE716D">
              <w:rPr>
                <w:rFonts w:ascii="Times New Roman" w:hAnsi="Times New Roman" w:cs="Times New Roman"/>
                <w:color w:val="000000"/>
              </w:rPr>
              <w:t>*</w:t>
            </w:r>
          </w:p>
        </w:tc>
      </w:tr>
      <w:tr w14:paraId="5DDC5237" w14:textId="77777777" w:rsidTr="000A0EFF">
        <w:tblPrEx>
          <w:tblW w:w="8585" w:type="dxa"/>
          <w:tblInd w:w="864" w:type="dxa"/>
          <w:tblLook w:val="04A0"/>
        </w:tblPrEx>
        <w:trPr>
          <w:trHeight w:val="1441"/>
        </w:trPr>
        <w:tc>
          <w:tcPr>
            <w:tcW w:w="2861" w:type="dxa"/>
          </w:tcPr>
          <w:p w:rsidR="000A0EFF" w:rsidP="000C04C7" w14:paraId="640982D5" w14:textId="77777777">
            <w:pPr>
              <w:pStyle w:val="ListParagraph"/>
              <w:ind w:left="0"/>
              <w:rPr>
                <w:rFonts w:ascii="Times New Roman" w:hAnsi="Times New Roman" w:cs="Times New Roman"/>
                <w:color w:val="000000"/>
              </w:rPr>
            </w:pPr>
            <w:r>
              <w:rPr>
                <w:rFonts w:ascii="Times New Roman" w:hAnsi="Times New Roman" w:cs="Times New Roman"/>
                <w:color w:val="000000"/>
              </w:rPr>
              <w:t>Systems Development, Updating, and Maintenance</w:t>
            </w:r>
          </w:p>
        </w:tc>
        <w:tc>
          <w:tcPr>
            <w:tcW w:w="2862" w:type="dxa"/>
          </w:tcPr>
          <w:p w:rsidR="000A0EFF" w:rsidP="000C04C7" w14:paraId="5BED1D1D"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tc>
        <w:tc>
          <w:tcPr>
            <w:tcW w:w="2862" w:type="dxa"/>
          </w:tcPr>
          <w:p w:rsidR="000A0EFF" w:rsidP="00CE716D" w14:paraId="3282C56A" w14:textId="56E3DAF2">
            <w:pPr>
              <w:pStyle w:val="ListParagraph"/>
              <w:ind w:left="0"/>
              <w:jc w:val="right"/>
              <w:rPr>
                <w:rFonts w:ascii="Times New Roman" w:hAnsi="Times New Roman" w:cs="Times New Roman"/>
                <w:color w:val="000000"/>
              </w:rPr>
            </w:pPr>
            <w:r w:rsidRPr="00022C04">
              <w:rPr>
                <w:rFonts w:ascii="Times New Roman" w:hAnsi="Times New Roman" w:cs="Times New Roman"/>
                <w:color w:val="000000"/>
              </w:rPr>
              <w:t>$3,420</w:t>
            </w:r>
          </w:p>
        </w:tc>
      </w:tr>
      <w:tr w14:paraId="42C4F258" w14:textId="77777777" w:rsidTr="000A0EFF">
        <w:tblPrEx>
          <w:tblW w:w="8585" w:type="dxa"/>
          <w:tblInd w:w="864" w:type="dxa"/>
          <w:tblLook w:val="04A0"/>
        </w:tblPrEx>
        <w:trPr>
          <w:trHeight w:val="479"/>
        </w:trPr>
        <w:tc>
          <w:tcPr>
            <w:tcW w:w="2861" w:type="dxa"/>
          </w:tcPr>
          <w:p w:rsidR="000A0EFF" w:rsidP="000C04C7" w14:paraId="684AF898"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2862" w:type="dxa"/>
          </w:tcPr>
          <w:p w:rsidR="000A0EFF" w:rsidP="000C04C7" w14:paraId="1F2FDFA6"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2862" w:type="dxa"/>
          </w:tcPr>
          <w:p w:rsidR="000A0EFF" w:rsidP="00CE716D" w14:paraId="0AA3A386" w14:textId="5D8CB001">
            <w:pPr>
              <w:pStyle w:val="ListParagraph"/>
              <w:ind w:left="0"/>
              <w:jc w:val="right"/>
              <w:rPr>
                <w:rFonts w:ascii="Times New Roman" w:hAnsi="Times New Roman" w:cs="Times New Roman"/>
                <w:color w:val="000000"/>
              </w:rPr>
            </w:pPr>
            <w:r>
              <w:rPr>
                <w:rFonts w:ascii="Times New Roman" w:hAnsi="Times New Roman" w:cs="Times New Roman"/>
                <w:color w:val="000000"/>
              </w:rPr>
              <w:t>$</w:t>
            </w:r>
            <w:r w:rsidR="001531D7">
              <w:rPr>
                <w:rFonts w:ascii="Times New Roman" w:hAnsi="Times New Roman" w:cs="Times New Roman"/>
                <w:color w:val="000000"/>
              </w:rPr>
              <w:t>0</w:t>
            </w:r>
            <w:r w:rsidR="00CE716D">
              <w:rPr>
                <w:rFonts w:ascii="Times New Roman" w:hAnsi="Times New Roman" w:cs="Times New Roman"/>
                <w:color w:val="000000"/>
              </w:rPr>
              <w:t>*</w:t>
            </w:r>
          </w:p>
        </w:tc>
      </w:tr>
      <w:tr w14:paraId="6A137D39" w14:textId="77777777" w:rsidTr="000A0EFF">
        <w:tblPrEx>
          <w:tblW w:w="8585" w:type="dxa"/>
          <w:tblInd w:w="864" w:type="dxa"/>
          <w:tblLook w:val="04A0"/>
        </w:tblPrEx>
        <w:trPr>
          <w:trHeight w:val="479"/>
        </w:trPr>
        <w:tc>
          <w:tcPr>
            <w:tcW w:w="2861" w:type="dxa"/>
          </w:tcPr>
          <w:p w:rsidR="000A0EFF" w:rsidP="000C04C7" w14:paraId="11FEDC0A"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2862" w:type="dxa"/>
          </w:tcPr>
          <w:p w:rsidR="000A0EFF" w:rsidP="000C04C7" w14:paraId="794C18BD" w14:textId="77777777">
            <w:pPr>
              <w:pStyle w:val="ListParagraph"/>
              <w:ind w:left="0"/>
              <w:rPr>
                <w:rFonts w:ascii="Times New Roman" w:hAnsi="Times New Roman" w:cs="Times New Roman"/>
                <w:b/>
                <w:bCs/>
                <w:color w:val="000000"/>
              </w:rPr>
            </w:pPr>
          </w:p>
        </w:tc>
        <w:tc>
          <w:tcPr>
            <w:tcW w:w="2862" w:type="dxa"/>
          </w:tcPr>
          <w:p w:rsidR="000A0EFF" w:rsidP="00CE716D" w14:paraId="775DF1D5" w14:textId="00A53B4C">
            <w:pPr>
              <w:pStyle w:val="ListParagraph"/>
              <w:ind w:left="0"/>
              <w:jc w:val="right"/>
              <w:rPr>
                <w:rFonts w:ascii="Times New Roman" w:hAnsi="Times New Roman" w:cs="Times New Roman"/>
                <w:b/>
                <w:bCs/>
                <w:color w:val="000000"/>
              </w:rPr>
            </w:pPr>
            <w:r>
              <w:rPr>
                <w:rFonts w:ascii="Times New Roman" w:hAnsi="Times New Roman" w:cs="Times New Roman"/>
                <w:b/>
                <w:bCs/>
                <w:color w:val="000000"/>
              </w:rPr>
              <w:t>$</w:t>
            </w:r>
            <w:r w:rsidR="00022C04">
              <w:rPr>
                <w:rFonts w:ascii="Times New Roman" w:hAnsi="Times New Roman" w:cs="Times New Roman"/>
                <w:b/>
                <w:bCs/>
                <w:color w:val="000000"/>
              </w:rPr>
              <w:t>192,721</w:t>
            </w:r>
          </w:p>
        </w:tc>
      </w:tr>
    </w:tbl>
    <w:p w:rsidR="000A0EFF" w:rsidP="002C559E" w14:paraId="08B7F5DC" w14:textId="6F8CDB40">
      <w:pPr>
        <w:ind w:left="1440"/>
        <w:rPr>
          <w:rFonts w:ascii="Times New Roman" w:hAnsi="Times New Roman" w:cs="Times New Roman"/>
          <w:color w:val="000000"/>
        </w:rPr>
      </w:pPr>
      <w:r>
        <w:rPr>
          <w:rFonts w:ascii="Times New Roman" w:hAnsi="Times New Roman" w:cs="Times New Roman"/>
          <w:color w:val="000000"/>
        </w:rPr>
        <w:t>* We have inserted a $0 amount for cost factors that do not apply to this collection.</w:t>
      </w:r>
    </w:p>
    <w:p w:rsidR="002C559E" w:rsidP="002C559E" w14:paraId="09C4282E" w14:textId="77777777">
      <w:pPr>
        <w:ind w:left="1440"/>
        <w:rPr>
          <w:rFonts w:ascii="Times New Roman" w:hAnsi="Times New Roman" w:cs="Times New Roman"/>
          <w:color w:val="000000"/>
        </w:rPr>
      </w:pPr>
    </w:p>
    <w:p w:rsidR="008E70F3" w:rsidRPr="00D066DD" w:rsidP="00D066DD" w14:paraId="4258901D" w14:textId="1265CCF0">
      <w:pPr>
        <w:ind w:left="1440"/>
        <w:rPr>
          <w:rFonts w:ascii="Times New Roman" w:hAnsi="Times New Roman" w:cs="Times New Roman"/>
          <w:color w:val="000000"/>
        </w:rPr>
      </w:pPr>
      <w:r>
        <w:rPr>
          <w:rFonts w:ascii="Times New Roman" w:hAnsi="Times New Roman" w:cs="Times New Roman"/>
          <w:color w:val="000000"/>
        </w:rPr>
        <w:t>SSA is unable to break down the costs to the Federal government further than we already have. </w:t>
      </w:r>
      <w:r w:rsidR="006C5792">
        <w:rPr>
          <w:rFonts w:ascii="Times New Roman" w:hAnsi="Times New Roman" w:cs="Times New Roman"/>
          <w:color w:val="000000"/>
        </w:rPr>
        <w:t xml:space="preserve"> W</w:t>
      </w:r>
      <w:r>
        <w:rPr>
          <w:rFonts w:ascii="Times New Roman" w:hAnsi="Times New Roman" w:cs="Times New Roman"/>
          <w:color w:val="000000"/>
        </w:rPr>
        <w:t>e have calculated these costs as accurately as possible based on the information we collect for creating, updating, and maintaining these information collections.</w:t>
      </w:r>
    </w:p>
    <w:p w:rsidR="008E70F3" w:rsidP="002C559E" w14:paraId="67D32C38" w14:textId="77777777">
      <w:pPr>
        <w:ind w:left="1440"/>
        <w:rPr>
          <w:rFonts w:ascii="Times New Roman" w:hAnsi="Times New Roman"/>
        </w:rPr>
      </w:pPr>
    </w:p>
    <w:p w:rsidR="00537F12" w:rsidRPr="00537F12" w:rsidP="002C559E" w14:paraId="031E2C6D"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Program Changes or Adjustments to the Information Collection Request</w:t>
      </w:r>
    </w:p>
    <w:p w:rsidR="00BC560A" w:rsidP="002C559E" w14:paraId="379B0E84" w14:textId="79A05CD9">
      <w:pPr>
        <w:ind w:left="1440"/>
        <w:rPr>
          <w:rFonts w:ascii="Times New Roman" w:hAnsi="Times New Roman" w:cs="Times New Roman"/>
        </w:rPr>
      </w:pPr>
      <w:r w:rsidRPr="00C707B8">
        <w:rPr>
          <w:rFonts w:ascii="Times New Roman" w:hAnsi="Times New Roman" w:cs="Times New Roman"/>
        </w:rPr>
        <w:t xml:space="preserve">When we last cleared this collection in </w:t>
      </w:r>
      <w:r w:rsidRPr="00C707B8" w:rsidR="00C707B8">
        <w:rPr>
          <w:rFonts w:ascii="Times New Roman" w:hAnsi="Times New Roman" w:cs="Times New Roman"/>
        </w:rPr>
        <w:t>2018,</w:t>
      </w:r>
      <w:r w:rsidRPr="00C707B8">
        <w:rPr>
          <w:rFonts w:ascii="Times New Roman" w:hAnsi="Times New Roman" w:cs="Times New Roman"/>
        </w:rPr>
        <w:t xml:space="preserve"> </w:t>
      </w:r>
      <w:r w:rsidRPr="00C707B8" w:rsidR="00365D9E">
        <w:rPr>
          <w:rFonts w:ascii="Times New Roman" w:hAnsi="Times New Roman" w:cs="Times New Roman"/>
        </w:rPr>
        <w:t>the burden was 5</w:t>
      </w:r>
      <w:r w:rsidR="00757468">
        <w:rPr>
          <w:rFonts w:ascii="Times New Roman" w:hAnsi="Times New Roman" w:cs="Times New Roman"/>
        </w:rPr>
        <w:t>,</w:t>
      </w:r>
      <w:r w:rsidRPr="00C707B8" w:rsidR="00365D9E">
        <w:rPr>
          <w:rFonts w:ascii="Times New Roman" w:hAnsi="Times New Roman" w:cs="Times New Roman"/>
        </w:rPr>
        <w:t>000</w:t>
      </w:r>
      <w:r w:rsidRPr="00C707B8">
        <w:rPr>
          <w:rFonts w:ascii="Times New Roman" w:hAnsi="Times New Roman" w:cs="Times New Roman"/>
        </w:rPr>
        <w:t xml:space="preserve"> hours.  However, we are currently reporting a burden of </w:t>
      </w:r>
      <w:r w:rsidR="008E70F3">
        <w:rPr>
          <w:rFonts w:ascii="Times New Roman" w:hAnsi="Times New Roman" w:cs="Times New Roman"/>
        </w:rPr>
        <w:t>13,396</w:t>
      </w:r>
      <w:r w:rsidRPr="00C707B8" w:rsidR="008E70F3">
        <w:rPr>
          <w:rFonts w:ascii="Times New Roman" w:hAnsi="Times New Roman" w:cs="Times New Roman"/>
        </w:rPr>
        <w:t xml:space="preserve"> </w:t>
      </w:r>
      <w:r w:rsidRPr="00C707B8">
        <w:rPr>
          <w:rFonts w:ascii="Times New Roman" w:hAnsi="Times New Roman" w:cs="Times New Roman"/>
        </w:rPr>
        <w:t xml:space="preserve">hours. </w:t>
      </w:r>
      <w:r w:rsidR="00757468">
        <w:rPr>
          <w:rFonts w:ascii="Times New Roman" w:hAnsi="Times New Roman" w:cs="Times New Roman"/>
        </w:rPr>
        <w:t xml:space="preserve"> </w:t>
      </w:r>
      <w:r w:rsidRPr="00C707B8" w:rsidR="00365D9E">
        <w:rPr>
          <w:rFonts w:ascii="Times New Roman" w:hAnsi="Times New Roman" w:cs="Times New Roman"/>
        </w:rPr>
        <w:t>This change stems from a decrease in the number of responses from 60,000 to</w:t>
      </w:r>
      <w:r w:rsidRPr="00C707B8" w:rsidR="00C707B8">
        <w:rPr>
          <w:rFonts w:ascii="Times New Roman" w:hAnsi="Times New Roman" w:cs="Times New Roman"/>
        </w:rPr>
        <w:t xml:space="preserve"> </w:t>
      </w:r>
      <w:r w:rsidRPr="00C707B8" w:rsidR="00365D9E">
        <w:rPr>
          <w:rFonts w:ascii="Times New Roman" w:hAnsi="Times New Roman" w:cs="Times New Roman"/>
        </w:rPr>
        <w:t>53,586</w:t>
      </w:r>
      <w:r w:rsidR="008E70F3">
        <w:rPr>
          <w:rFonts w:ascii="Times New Roman" w:hAnsi="Times New Roman" w:cs="Times New Roman"/>
        </w:rPr>
        <w:t>, as well as an increase in burden time per response from 5 to 15 minutes</w:t>
      </w:r>
      <w:r w:rsidRPr="00C707B8" w:rsidR="00365D9E">
        <w:rPr>
          <w:rFonts w:ascii="Times New Roman" w:hAnsi="Times New Roman" w:cs="Times New Roman"/>
        </w:rPr>
        <w:t xml:space="preserve">. </w:t>
      </w:r>
      <w:r w:rsidR="00757468">
        <w:rPr>
          <w:rFonts w:ascii="Times New Roman" w:hAnsi="Times New Roman" w:cs="Times New Roman"/>
        </w:rPr>
        <w:t xml:space="preserve"> </w:t>
      </w:r>
      <w:r w:rsidRPr="00757468" w:rsidR="00757468">
        <w:rPr>
          <w:rFonts w:ascii="Times New Roman" w:hAnsi="Times New Roman" w:cs="Times New Roman"/>
        </w:rPr>
        <w:t xml:space="preserve">Although the number </w:t>
      </w:r>
      <w:r w:rsidRPr="00757468" w:rsidR="00757468">
        <w:rPr>
          <w:rFonts w:ascii="Times New Roman" w:hAnsi="Times New Roman" w:cs="Times New Roman"/>
        </w:rPr>
        <w:t>of responses changed, SSA did not take any actions to cause this change.  These figures represent current Management Information data</w:t>
      </w:r>
      <w:r w:rsidRPr="00C707B8">
        <w:rPr>
          <w:rFonts w:ascii="Times New Roman" w:hAnsi="Times New Roman" w:cs="Times New Roman"/>
        </w:rPr>
        <w:t>.</w:t>
      </w:r>
    </w:p>
    <w:p w:rsidR="00582D8A" w:rsidRPr="00582D8A" w:rsidP="002C559E" w14:paraId="1816FB14" w14:textId="44AAE6B0">
      <w:pPr>
        <w:ind w:left="1440"/>
        <w:rPr>
          <w:rFonts w:ascii="Times New Roman" w:hAnsi="Times New Roman" w:cs="Times New Roman"/>
        </w:rPr>
      </w:pPr>
    </w:p>
    <w:p w:rsidR="00582D8A" w:rsidRPr="00582D8A" w:rsidP="002C559E" w14:paraId="6B60BF28" w14:textId="4D1E27D8">
      <w:pPr>
        <w:ind w:left="1440"/>
        <w:rPr>
          <w:rFonts w:ascii="Times New Roman" w:hAnsi="Times New Roman" w:cs="Times New Roman"/>
        </w:rPr>
      </w:pPr>
      <w:r w:rsidRPr="00582D8A">
        <w:rPr>
          <w:rFonts w:ascii="Times New Roman" w:hAnsi="Times New Roman" w:cs="Times New Roman"/>
          <w:color w:val="000000"/>
        </w:rPr>
        <w:t xml:space="preserve">* Note: The total burden reflected in ROCIS is </w:t>
      </w:r>
      <w:r>
        <w:rPr>
          <w:rFonts w:ascii="Times New Roman" w:hAnsi="Times New Roman" w:cs="Times New Roman"/>
          <w:b/>
          <w:bCs/>
          <w:color w:val="000000"/>
        </w:rPr>
        <w:t>21,881</w:t>
      </w:r>
      <w:r>
        <w:rPr>
          <w:rFonts w:ascii="Times New Roman" w:hAnsi="Times New Roman" w:cs="Times New Roman"/>
          <w:color w:val="000000"/>
        </w:rPr>
        <w:t>,</w:t>
      </w:r>
      <w:r w:rsidRPr="00582D8A">
        <w:rPr>
          <w:rFonts w:ascii="Times New Roman" w:hAnsi="Times New Roman" w:cs="Times New Roman"/>
          <w:color w:val="000000"/>
        </w:rPr>
        <w:t xml:space="preserve"> while the burden cited in #12 of the Supporting Statement is </w:t>
      </w:r>
      <w:r>
        <w:rPr>
          <w:rFonts w:ascii="Times New Roman" w:hAnsi="Times New Roman" w:cs="Times New Roman"/>
          <w:b/>
          <w:bCs/>
          <w:color w:val="000000"/>
        </w:rPr>
        <w:t>13,396</w:t>
      </w:r>
      <w:r w:rsidRPr="00582D8A">
        <w:rPr>
          <w:rFonts w:ascii="Times New Roman" w:hAnsi="Times New Roman" w:cs="Times New Roman"/>
          <w:color w:val="000000"/>
        </w:rPr>
        <w:t xml:space="preserve">.  This discrepancy is because the ROCIS burden reflects the following components:  </w:t>
      </w:r>
      <w:r>
        <w:rPr>
          <w:rFonts w:ascii="Times New Roman" w:hAnsi="Times New Roman" w:cs="Times New Roman"/>
          <w:color w:val="000000"/>
        </w:rPr>
        <w:t>Teleservice Center</w:t>
      </w:r>
      <w:r w:rsidRPr="00582D8A">
        <w:rPr>
          <w:rFonts w:ascii="Times New Roman" w:hAnsi="Times New Roman" w:cs="Times New Roman"/>
          <w:color w:val="000000"/>
        </w:rPr>
        <w:t xml:space="preserve"> waiting time.  In contrast, the chart in #12 of the Supporting Statement reflects actual burden</w:t>
      </w:r>
      <w:r>
        <w:rPr>
          <w:rFonts w:ascii="Times New Roman" w:hAnsi="Times New Roman" w:cs="Times New Roman"/>
          <w:color w:val="000000"/>
        </w:rPr>
        <w:t>.</w:t>
      </w:r>
    </w:p>
    <w:p w:rsidR="00BC560A" w:rsidP="002C559E" w14:paraId="5288AB48" w14:textId="77777777">
      <w:pPr>
        <w:tabs>
          <w:tab w:val="left" w:pos="5256"/>
        </w:tabs>
        <w:ind w:left="1440"/>
        <w:rPr>
          <w:rFonts w:ascii="Times New Roman" w:hAnsi="Times New Roman"/>
        </w:rPr>
      </w:pPr>
      <w:r>
        <w:rPr>
          <w:rFonts w:ascii="Times New Roman" w:hAnsi="Times New Roman"/>
        </w:rPr>
        <w:tab/>
      </w:r>
    </w:p>
    <w:p w:rsidR="00537F12" w:rsidRPr="00537F12" w:rsidP="002C559E" w14:paraId="601FC504"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Plans for Publication Information Collection Results</w:t>
      </w:r>
    </w:p>
    <w:p w:rsidR="00BC560A" w:rsidP="002C559E" w14:paraId="3DD61ED1" w14:textId="77777777">
      <w:pPr>
        <w:ind w:left="1440"/>
        <w:rPr>
          <w:rFonts w:ascii="Times New Roman" w:hAnsi="Times New Roman"/>
        </w:rPr>
      </w:pPr>
      <w:r>
        <w:rPr>
          <w:rFonts w:ascii="Times New Roman" w:hAnsi="Times New Roman"/>
        </w:rPr>
        <w:t>SSA will not publish the results of this information collection.</w:t>
      </w:r>
    </w:p>
    <w:p w:rsidR="00BC560A" w:rsidP="002C559E" w14:paraId="5A691523" w14:textId="77777777">
      <w:pPr>
        <w:ind w:left="1440"/>
        <w:rPr>
          <w:rFonts w:ascii="Times New Roman" w:hAnsi="Times New Roman"/>
        </w:rPr>
      </w:pPr>
    </w:p>
    <w:p w:rsidR="00537F12" w:rsidRPr="00537F12" w:rsidP="002C559E" w14:paraId="0C5CB80F"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Displaying the OMB Approval Expiration Date</w:t>
      </w:r>
    </w:p>
    <w:p w:rsidR="00BC560A" w:rsidRPr="00925FFB" w:rsidP="002C559E" w14:paraId="5C0DD0D8" w14:textId="77777777">
      <w:pPr>
        <w:ind w:left="1440"/>
        <w:rPr>
          <w:rFonts w:ascii="Times New Roman" w:hAnsi="Times New Roman"/>
        </w:rPr>
      </w:pPr>
      <w:r w:rsidRPr="00925FFB">
        <w:rPr>
          <w:rFonts w:ascii="Times New Roman" w:hAnsi="Times New Roman"/>
        </w:rPr>
        <w:t>SSA is not requesting an exception to the requirement to display an expiration date.</w:t>
      </w:r>
    </w:p>
    <w:p w:rsidR="00925FFB" w:rsidRPr="00925FFB" w:rsidP="002C559E" w14:paraId="1911CD8E" w14:textId="77777777">
      <w:pPr>
        <w:ind w:left="1440"/>
        <w:rPr>
          <w:rFonts w:ascii="Times New Roman" w:hAnsi="Times New Roman"/>
        </w:rPr>
      </w:pPr>
    </w:p>
    <w:p w:rsidR="00537F12" w:rsidRPr="00537F12" w:rsidP="002C559E" w14:paraId="5B078751" w14:textId="77777777">
      <w:pPr>
        <w:numPr>
          <w:ilvl w:val="0"/>
          <w:numId w:val="10"/>
        </w:numPr>
        <w:tabs>
          <w:tab w:val="clear" w:pos="864"/>
          <w:tab w:val="num" w:pos="1440"/>
        </w:tabs>
        <w:ind w:left="1440" w:hanging="720"/>
        <w:rPr>
          <w:rFonts w:ascii="Times New Roman" w:hAnsi="Times New Roman"/>
        </w:rPr>
      </w:pPr>
      <w:r w:rsidRPr="00925FFB">
        <w:rPr>
          <w:rFonts w:ascii="Times New Roman" w:hAnsi="Times New Roman"/>
          <w:b/>
        </w:rPr>
        <w:t>Exceptions to Certification Statement</w:t>
      </w:r>
    </w:p>
    <w:p w:rsidR="00BC560A" w:rsidP="002C559E" w14:paraId="4ADF1A3F" w14:textId="5B2FC219">
      <w:pPr>
        <w:ind w:left="1440"/>
        <w:rPr>
          <w:rFonts w:ascii="Times New Roman" w:hAnsi="Times New Roman"/>
        </w:rPr>
      </w:pPr>
      <w:r>
        <w:rPr>
          <w:rFonts w:ascii="Times New Roman" w:hAnsi="Times New Roman"/>
        </w:rPr>
        <w:t xml:space="preserve">SSA is not requesting an exception to the certification requirements at </w:t>
      </w:r>
      <w:r w:rsidRPr="00537F12">
        <w:rPr>
          <w:rFonts w:ascii="Times New Roman" w:hAnsi="Times New Roman"/>
          <w:i/>
        </w:rPr>
        <w:t>5</w:t>
      </w:r>
      <w:r w:rsidR="00757468">
        <w:rPr>
          <w:rFonts w:ascii="Times New Roman" w:hAnsi="Times New Roman"/>
          <w:i/>
        </w:rPr>
        <w:t> </w:t>
      </w:r>
      <w:r w:rsidRPr="00537F12">
        <w:rPr>
          <w:rFonts w:ascii="Times New Roman" w:hAnsi="Times New Roman"/>
          <w:i/>
        </w:rPr>
        <w:t>CFR</w:t>
      </w:r>
      <w:r w:rsidR="00757468">
        <w:rPr>
          <w:rFonts w:ascii="Times New Roman" w:hAnsi="Times New Roman"/>
          <w:i/>
        </w:rPr>
        <w:t> </w:t>
      </w:r>
      <w:r w:rsidRPr="00537F12">
        <w:rPr>
          <w:rFonts w:ascii="Times New Roman" w:hAnsi="Times New Roman"/>
          <w:i/>
        </w:rPr>
        <w:t>1320.9</w:t>
      </w:r>
      <w:r>
        <w:rPr>
          <w:rFonts w:ascii="Times New Roman" w:hAnsi="Times New Roman"/>
        </w:rPr>
        <w:t xml:space="preserve"> and related provisions at </w:t>
      </w:r>
      <w:r w:rsidRPr="00537F12">
        <w:rPr>
          <w:rFonts w:ascii="Times New Roman" w:hAnsi="Times New Roman"/>
          <w:i/>
        </w:rPr>
        <w:t>5 CFR 1320.8(b</w:t>
      </w:r>
      <w:r w:rsidRPr="00537F12" w:rsidR="00565B47">
        <w:rPr>
          <w:rFonts w:ascii="Times New Roman" w:hAnsi="Times New Roman"/>
          <w:i/>
        </w:rPr>
        <w:t>)(</w:t>
      </w:r>
      <w:r w:rsidRPr="00537F12">
        <w:rPr>
          <w:rFonts w:ascii="Times New Roman" w:hAnsi="Times New Roman"/>
          <w:i/>
        </w:rPr>
        <w:t>3)</w:t>
      </w:r>
      <w:r>
        <w:rPr>
          <w:rFonts w:ascii="Times New Roman" w:hAnsi="Times New Roman"/>
        </w:rPr>
        <w:t>.</w:t>
      </w:r>
    </w:p>
    <w:p w:rsidR="0044226D" w:rsidP="0044226D" w14:paraId="6BFECB56" w14:textId="77777777">
      <w:pPr>
        <w:rPr>
          <w:rFonts w:ascii="Times New Roman" w:hAnsi="Times New Roman"/>
        </w:rPr>
      </w:pPr>
    </w:p>
    <w:p w:rsidR="0044226D" w:rsidP="002C559E" w14:paraId="28CB8406" w14:textId="77777777">
      <w:pPr>
        <w:numPr>
          <w:ilvl w:val="0"/>
          <w:numId w:val="14"/>
        </w:numPr>
        <w:ind w:hanging="534"/>
        <w:rPr>
          <w:rFonts w:ascii="Times New Roman" w:hAnsi="Times New Roman"/>
        </w:rPr>
      </w:pPr>
      <w:r>
        <w:rPr>
          <w:rFonts w:ascii="Times New Roman" w:hAnsi="Times New Roman"/>
          <w:b/>
          <w:u w:val="single"/>
        </w:rPr>
        <w:t>Collections of Information Employing Statistical Methods</w:t>
      </w:r>
    </w:p>
    <w:p w:rsidR="0044226D" w:rsidP="0044226D" w14:paraId="2294B5AB" w14:textId="77777777">
      <w:pPr>
        <w:ind w:left="144"/>
        <w:rPr>
          <w:rFonts w:ascii="Times New Roman" w:hAnsi="Times New Roman"/>
        </w:rPr>
      </w:pPr>
    </w:p>
    <w:p w:rsidR="0044226D" w:rsidRPr="0044226D" w:rsidP="002C559E" w14:paraId="3E0A32A5" w14:textId="77777777">
      <w:pPr>
        <w:ind w:left="1440"/>
        <w:rPr>
          <w:rFonts w:ascii="Times New Roman" w:hAnsi="Times New Roman"/>
        </w:rPr>
      </w:pPr>
      <w:r>
        <w:rPr>
          <w:rFonts w:ascii="Times New Roman" w:hAnsi="Times New Roman"/>
        </w:rPr>
        <w:t>SSA does not use statistical methods for this information collection.</w:t>
      </w:r>
    </w:p>
    <w:p w:rsidR="00BC560A" w:rsidP="00BC560A" w14:paraId="2845AF65" w14:textId="77777777">
      <w:pPr>
        <w:rPr>
          <w:rFonts w:ascii="Times New Roman" w:hAnsi="Times New Roman"/>
        </w:rPr>
      </w:pPr>
    </w:p>
    <w:sectPr w:rsidSect="00BC560A">
      <w:headerReference w:type="even" r:id="rId8"/>
      <w:headerReference w:type="default" r:id="rId9"/>
      <w:footerReference w:type="default" r:id="rId10"/>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D94" w:rsidRPr="00BC560A" w:rsidP="00BC560A" w14:paraId="5FB1F1FF" w14:textId="344FF8E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4C0A" w14:paraId="62DC20EC" w14:textId="77777777">
      <w:r>
        <w:separator/>
      </w:r>
    </w:p>
  </w:footnote>
  <w:footnote w:type="continuationSeparator" w:id="1">
    <w:p w:rsidR="001C4C0A" w14:paraId="26F54C30" w14:textId="77777777">
      <w:r>
        <w:continuationSeparator/>
      </w:r>
    </w:p>
  </w:footnote>
  <w:footnote w:id="2">
    <w:p w:rsidR="005F1CCF" w:rsidRPr="005F1CCF" w:rsidP="005F1CCF" w14:paraId="7C9F5695" w14:textId="77777777">
      <w:pPr>
        <w:pStyle w:val="FootnoteText"/>
        <w:rPr>
          <w:rFonts w:ascii="Times New Roman" w:hAnsi="Times New Roman" w:cs="Times New Roman"/>
        </w:rPr>
      </w:pPr>
      <w:r w:rsidRPr="005F1CCF">
        <w:rPr>
          <w:rStyle w:val="FootnoteReference"/>
          <w:rFonts w:ascii="Times New Roman" w:hAnsi="Times New Roman" w:cs="Times New Roman"/>
        </w:rPr>
        <w:footnoteRef/>
      </w:r>
      <w:r w:rsidRPr="005F1CCF">
        <w:rPr>
          <w:rFonts w:ascii="Times New Roman" w:hAnsi="Times New Roman" w:cs="Times New Roman"/>
        </w:rPr>
        <w:t xml:space="preserve"> The number of overpaid recipients is a representation of all the possible reasons for TI denial based on a data run completed by DCS for calendar year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D94" w:rsidP="005C0C68" w14:paraId="6B8C4B5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B1D94" w14:paraId="003426E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D94" w:rsidP="005C0C68" w14:paraId="7F8F6E3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2018"/>
    <w:multiLevelType w:val="singleLevel"/>
    <w:tmpl w:val="0409000F"/>
    <w:lvl w:ilvl="0">
      <w:start w:val="1"/>
      <w:numFmt w:val="decimal"/>
      <w:lvlText w:val="%1."/>
      <w:lvlJc w:val="left"/>
      <w:pPr>
        <w:tabs>
          <w:tab w:val="num" w:pos="360"/>
        </w:tabs>
        <w:ind w:left="360" w:hanging="360"/>
      </w:pPr>
    </w:lvl>
  </w:abstractNum>
  <w:abstractNum w:abstractNumId="1">
    <w:nsid w:val="1298054C"/>
    <w:multiLevelType w:val="singleLevel"/>
    <w:tmpl w:val="268C2210"/>
    <w:lvl w:ilvl="0">
      <w:start w:val="2"/>
      <w:numFmt w:val="upperLetter"/>
      <w:lvlText w:val="%1."/>
      <w:lvlJc w:val="left"/>
      <w:pPr>
        <w:tabs>
          <w:tab w:val="num" w:pos="576"/>
        </w:tabs>
        <w:ind w:left="576" w:hanging="576"/>
      </w:pPr>
      <w:rPr>
        <w:rFonts w:hint="default"/>
      </w:rPr>
    </w:lvl>
  </w:abstractNum>
  <w:abstractNum w:abstractNumId="2">
    <w:nsid w:val="13BD785B"/>
    <w:multiLevelType w:val="multilevel"/>
    <w:tmpl w:val="A226FE56"/>
    <w:lvl w:ilvl="0">
      <w:start w:val="2"/>
      <w:numFmt w:val="decimal"/>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596A08"/>
    <w:multiLevelType w:val="hybridMultilevel"/>
    <w:tmpl w:val="51688E44"/>
    <w:lvl w:ilvl="0">
      <w:start w:val="8"/>
      <w:numFmt w:val="bullet"/>
      <w:lvlText w:val=""/>
      <w:lvlJc w:val="left"/>
      <w:pPr>
        <w:ind w:left="1260" w:hanging="360"/>
      </w:pPr>
      <w:rPr>
        <w:rFonts w:ascii="Symbol" w:eastAsia="Times New Roman" w:hAnsi="Symbol"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3804432B"/>
    <w:multiLevelType w:val="singleLevel"/>
    <w:tmpl w:val="0409000F"/>
    <w:lvl w:ilvl="0">
      <w:start w:val="1"/>
      <w:numFmt w:val="decimal"/>
      <w:lvlText w:val="%1."/>
      <w:lvlJc w:val="left"/>
      <w:pPr>
        <w:tabs>
          <w:tab w:val="num" w:pos="360"/>
        </w:tabs>
        <w:ind w:left="360" w:hanging="360"/>
      </w:pPr>
    </w:lvl>
  </w:abstractNum>
  <w:abstractNum w:abstractNumId="5">
    <w:nsid w:val="3F40289D"/>
    <w:multiLevelType w:val="hybridMultilevel"/>
    <w:tmpl w:val="04C67F56"/>
    <w:lvl w:ilvl="0">
      <w:start w:val="2"/>
      <w:numFmt w:val="decimal"/>
      <w:lvlText w:val="%1."/>
      <w:lvlJc w:val="left"/>
      <w:pPr>
        <w:tabs>
          <w:tab w:val="num" w:pos="504"/>
        </w:tabs>
        <w:ind w:left="50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9DC4A23"/>
    <w:multiLevelType w:val="hybridMultilevel"/>
    <w:tmpl w:val="26889FD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EAF4796"/>
    <w:multiLevelType w:val="hybridMultilevel"/>
    <w:tmpl w:val="F69EBBD8"/>
    <w:lvl w:ilvl="0">
      <w:start w:val="2"/>
      <w:numFmt w:val="decimal"/>
      <w:lvlText w:val="%1."/>
      <w:lvlJc w:val="left"/>
      <w:pPr>
        <w:tabs>
          <w:tab w:val="num" w:pos="864"/>
        </w:tabs>
        <w:ind w:left="864" w:hanging="360"/>
      </w:pPr>
      <w:rPr>
        <w:rFonts w:hint="default"/>
        <w:b/>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8">
    <w:nsid w:val="4F2758EC"/>
    <w:multiLevelType w:val="hybridMultilevel"/>
    <w:tmpl w:val="C5BE9090"/>
    <w:lvl w:ilvl="0">
      <w:start w:val="1"/>
      <w:numFmt w:val="decimal"/>
      <w:lvlText w:val="%1."/>
      <w:lvlJc w:val="left"/>
      <w:pPr>
        <w:tabs>
          <w:tab w:val="num" w:pos="864"/>
        </w:tabs>
        <w:ind w:left="864" w:hanging="360"/>
      </w:pPr>
      <w:rPr>
        <w:rFonts w:hint="default"/>
        <w:b/>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9">
    <w:nsid w:val="4F814B9D"/>
    <w:multiLevelType w:val="singleLevel"/>
    <w:tmpl w:val="1CD2F1AA"/>
    <w:lvl w:ilvl="0">
      <w:start w:val="1"/>
      <w:numFmt w:val="decimal"/>
      <w:lvlText w:val="%1."/>
      <w:lvlJc w:val="left"/>
      <w:pPr>
        <w:tabs>
          <w:tab w:val="num" w:pos="720"/>
        </w:tabs>
        <w:ind w:left="720" w:hanging="576"/>
      </w:pPr>
      <w:rPr>
        <w:rFonts w:hint="default"/>
      </w:rPr>
    </w:lvl>
  </w:abstractNum>
  <w:abstractNum w:abstractNumId="10">
    <w:nsid w:val="52CF1606"/>
    <w:multiLevelType w:val="singleLevel"/>
    <w:tmpl w:val="268C2210"/>
    <w:lvl w:ilvl="0">
      <w:start w:val="2"/>
      <w:numFmt w:val="upperLetter"/>
      <w:lvlText w:val="%1."/>
      <w:lvlJc w:val="left"/>
      <w:pPr>
        <w:tabs>
          <w:tab w:val="num" w:pos="576"/>
        </w:tabs>
        <w:ind w:left="576" w:hanging="576"/>
      </w:pPr>
      <w:rPr>
        <w:rFonts w:hint="default"/>
      </w:rPr>
    </w:lvl>
  </w:abstractNum>
  <w:abstractNum w:abstractNumId="11">
    <w:nsid w:val="5E7D2F77"/>
    <w:multiLevelType w:val="hybridMultilevel"/>
    <w:tmpl w:val="B53EC0E4"/>
    <w:lvl w:ilvl="0">
      <w:start w:val="2"/>
      <w:numFmt w:val="upperLetter"/>
      <w:lvlText w:val="%1."/>
      <w:lvlJc w:val="left"/>
      <w:pPr>
        <w:tabs>
          <w:tab w:val="num" w:pos="714"/>
        </w:tabs>
        <w:ind w:left="714" w:hanging="570"/>
      </w:pPr>
      <w:rPr>
        <w:rFonts w:hint="default"/>
        <w:b/>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12">
    <w:nsid w:val="78FD628C"/>
    <w:multiLevelType w:val="singleLevel"/>
    <w:tmpl w:val="0409000F"/>
    <w:lvl w:ilvl="0">
      <w:start w:val="1"/>
      <w:numFmt w:val="decimal"/>
      <w:lvlText w:val="%1."/>
      <w:lvlJc w:val="left"/>
      <w:pPr>
        <w:tabs>
          <w:tab w:val="num" w:pos="360"/>
        </w:tabs>
        <w:ind w:left="360" w:hanging="360"/>
      </w:pPr>
    </w:lvl>
  </w:abstractNum>
  <w:abstractNum w:abstractNumId="13">
    <w:nsid w:val="7B694DD2"/>
    <w:multiLevelType w:val="hybridMultilevel"/>
    <w:tmpl w:val="688EA0D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C313C8F"/>
    <w:multiLevelType w:val="hybridMultilevel"/>
    <w:tmpl w:val="82A6835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6901535">
    <w:abstractNumId w:val="0"/>
  </w:num>
  <w:num w:numId="2" w16cid:durableId="619149736">
    <w:abstractNumId w:val="12"/>
  </w:num>
  <w:num w:numId="3" w16cid:durableId="1910918471">
    <w:abstractNumId w:val="9"/>
  </w:num>
  <w:num w:numId="4" w16cid:durableId="336081429">
    <w:abstractNumId w:val="10"/>
  </w:num>
  <w:num w:numId="5" w16cid:durableId="888758345">
    <w:abstractNumId w:val="1"/>
  </w:num>
  <w:num w:numId="6" w16cid:durableId="1879122936">
    <w:abstractNumId w:val="6"/>
  </w:num>
  <w:num w:numId="7" w16cid:durableId="925384643">
    <w:abstractNumId w:val="13"/>
  </w:num>
  <w:num w:numId="8" w16cid:durableId="1142504607">
    <w:abstractNumId w:val="14"/>
  </w:num>
  <w:num w:numId="9" w16cid:durableId="353114994">
    <w:abstractNumId w:val="4"/>
  </w:num>
  <w:num w:numId="10" w16cid:durableId="1916281710">
    <w:abstractNumId w:val="7"/>
  </w:num>
  <w:num w:numId="11" w16cid:durableId="957219736">
    <w:abstractNumId w:val="5"/>
  </w:num>
  <w:num w:numId="12" w16cid:durableId="174342123">
    <w:abstractNumId w:val="2"/>
  </w:num>
  <w:num w:numId="13" w16cid:durableId="277569121">
    <w:abstractNumId w:val="8"/>
  </w:num>
  <w:num w:numId="14" w16cid:durableId="1170759393">
    <w:abstractNumId w:val="11"/>
  </w:num>
  <w:num w:numId="15" w16cid:durableId="407962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386"/>
    <w:rsid w:val="00002317"/>
    <w:rsid w:val="000135CB"/>
    <w:rsid w:val="00014674"/>
    <w:rsid w:val="00015B2B"/>
    <w:rsid w:val="00021460"/>
    <w:rsid w:val="00022C04"/>
    <w:rsid w:val="000236EB"/>
    <w:rsid w:val="00026FBD"/>
    <w:rsid w:val="00040A40"/>
    <w:rsid w:val="00041D09"/>
    <w:rsid w:val="00057732"/>
    <w:rsid w:val="0007074A"/>
    <w:rsid w:val="000745EF"/>
    <w:rsid w:val="00083459"/>
    <w:rsid w:val="000866BA"/>
    <w:rsid w:val="000A0EFF"/>
    <w:rsid w:val="000A3253"/>
    <w:rsid w:val="000C04C7"/>
    <w:rsid w:val="000F41C4"/>
    <w:rsid w:val="000F7798"/>
    <w:rsid w:val="0012410B"/>
    <w:rsid w:val="00131E3C"/>
    <w:rsid w:val="00151490"/>
    <w:rsid w:val="001531D7"/>
    <w:rsid w:val="00154C07"/>
    <w:rsid w:val="001624F4"/>
    <w:rsid w:val="00174B27"/>
    <w:rsid w:val="00182288"/>
    <w:rsid w:val="00192261"/>
    <w:rsid w:val="0019443F"/>
    <w:rsid w:val="001B5FB2"/>
    <w:rsid w:val="001C4C0A"/>
    <w:rsid w:val="001E3925"/>
    <w:rsid w:val="001E7386"/>
    <w:rsid w:val="001E769A"/>
    <w:rsid w:val="00202AA7"/>
    <w:rsid w:val="00203367"/>
    <w:rsid w:val="00207536"/>
    <w:rsid w:val="002119C5"/>
    <w:rsid w:val="00213545"/>
    <w:rsid w:val="0023300D"/>
    <w:rsid w:val="002368A5"/>
    <w:rsid w:val="002450A1"/>
    <w:rsid w:val="00254225"/>
    <w:rsid w:val="00260FEC"/>
    <w:rsid w:val="002618B8"/>
    <w:rsid w:val="00264C39"/>
    <w:rsid w:val="00270DDF"/>
    <w:rsid w:val="00272FE3"/>
    <w:rsid w:val="0027770C"/>
    <w:rsid w:val="002848A1"/>
    <w:rsid w:val="00287544"/>
    <w:rsid w:val="00290D90"/>
    <w:rsid w:val="00291433"/>
    <w:rsid w:val="00295CE4"/>
    <w:rsid w:val="002A76E6"/>
    <w:rsid w:val="002C2CF7"/>
    <w:rsid w:val="002C559E"/>
    <w:rsid w:val="002C77B9"/>
    <w:rsid w:val="002E3CB5"/>
    <w:rsid w:val="00300D2F"/>
    <w:rsid w:val="00301DF0"/>
    <w:rsid w:val="00306032"/>
    <w:rsid w:val="00325960"/>
    <w:rsid w:val="00340CDD"/>
    <w:rsid w:val="00344FFB"/>
    <w:rsid w:val="00365D9E"/>
    <w:rsid w:val="00376D17"/>
    <w:rsid w:val="00377485"/>
    <w:rsid w:val="00381692"/>
    <w:rsid w:val="00384872"/>
    <w:rsid w:val="00391223"/>
    <w:rsid w:val="003919C4"/>
    <w:rsid w:val="003A3D06"/>
    <w:rsid w:val="003C2DA8"/>
    <w:rsid w:val="003C3A37"/>
    <w:rsid w:val="003D4F38"/>
    <w:rsid w:val="003D7795"/>
    <w:rsid w:val="003E70AA"/>
    <w:rsid w:val="00417702"/>
    <w:rsid w:val="004211D3"/>
    <w:rsid w:val="00433DC7"/>
    <w:rsid w:val="00434C58"/>
    <w:rsid w:val="0044226D"/>
    <w:rsid w:val="00454B23"/>
    <w:rsid w:val="00457B74"/>
    <w:rsid w:val="00462E21"/>
    <w:rsid w:val="0047588F"/>
    <w:rsid w:val="0047646E"/>
    <w:rsid w:val="0048006B"/>
    <w:rsid w:val="0048083A"/>
    <w:rsid w:val="004910E5"/>
    <w:rsid w:val="004E1CA0"/>
    <w:rsid w:val="004E1DBC"/>
    <w:rsid w:val="004F0BF0"/>
    <w:rsid w:val="004F3857"/>
    <w:rsid w:val="004F5208"/>
    <w:rsid w:val="005029DC"/>
    <w:rsid w:val="00524D6E"/>
    <w:rsid w:val="00537F12"/>
    <w:rsid w:val="00565B47"/>
    <w:rsid w:val="00581306"/>
    <w:rsid w:val="00582D8A"/>
    <w:rsid w:val="005870A8"/>
    <w:rsid w:val="00596329"/>
    <w:rsid w:val="00596E18"/>
    <w:rsid w:val="005A2697"/>
    <w:rsid w:val="005B18B8"/>
    <w:rsid w:val="005C0C68"/>
    <w:rsid w:val="005E0BC6"/>
    <w:rsid w:val="005F1CCF"/>
    <w:rsid w:val="00611919"/>
    <w:rsid w:val="0061753A"/>
    <w:rsid w:val="006270BB"/>
    <w:rsid w:val="00636945"/>
    <w:rsid w:val="00645AB1"/>
    <w:rsid w:val="00661762"/>
    <w:rsid w:val="0066757A"/>
    <w:rsid w:val="0068033C"/>
    <w:rsid w:val="006978C1"/>
    <w:rsid w:val="006A4AE4"/>
    <w:rsid w:val="006B0EB9"/>
    <w:rsid w:val="006C5792"/>
    <w:rsid w:val="006D0B74"/>
    <w:rsid w:val="006D7DCB"/>
    <w:rsid w:val="006E15B8"/>
    <w:rsid w:val="006F6EEC"/>
    <w:rsid w:val="006F7642"/>
    <w:rsid w:val="007053D1"/>
    <w:rsid w:val="00722238"/>
    <w:rsid w:val="00727A55"/>
    <w:rsid w:val="0073594C"/>
    <w:rsid w:val="00736FA3"/>
    <w:rsid w:val="007435D3"/>
    <w:rsid w:val="00757468"/>
    <w:rsid w:val="00771B5F"/>
    <w:rsid w:val="00775670"/>
    <w:rsid w:val="007911CF"/>
    <w:rsid w:val="00792D20"/>
    <w:rsid w:val="007A010F"/>
    <w:rsid w:val="007B44EB"/>
    <w:rsid w:val="007C06F3"/>
    <w:rsid w:val="007D5170"/>
    <w:rsid w:val="00800E9A"/>
    <w:rsid w:val="008051B7"/>
    <w:rsid w:val="0083576E"/>
    <w:rsid w:val="00835F68"/>
    <w:rsid w:val="00840BBC"/>
    <w:rsid w:val="00854342"/>
    <w:rsid w:val="00855055"/>
    <w:rsid w:val="008553F5"/>
    <w:rsid w:val="00857F1C"/>
    <w:rsid w:val="00891A29"/>
    <w:rsid w:val="00892258"/>
    <w:rsid w:val="00892DC8"/>
    <w:rsid w:val="008946C3"/>
    <w:rsid w:val="008B30B6"/>
    <w:rsid w:val="008B528A"/>
    <w:rsid w:val="008C1C5E"/>
    <w:rsid w:val="008C1F8B"/>
    <w:rsid w:val="008D36E7"/>
    <w:rsid w:val="008D38A1"/>
    <w:rsid w:val="008E70F3"/>
    <w:rsid w:val="008F1D9A"/>
    <w:rsid w:val="008F760B"/>
    <w:rsid w:val="00917C54"/>
    <w:rsid w:val="0092457C"/>
    <w:rsid w:val="00925FFB"/>
    <w:rsid w:val="00936094"/>
    <w:rsid w:val="0094231E"/>
    <w:rsid w:val="00944CFF"/>
    <w:rsid w:val="00964C2D"/>
    <w:rsid w:val="00973E82"/>
    <w:rsid w:val="0098043F"/>
    <w:rsid w:val="00985541"/>
    <w:rsid w:val="00994FCB"/>
    <w:rsid w:val="00997D18"/>
    <w:rsid w:val="009B1EFA"/>
    <w:rsid w:val="00A0191C"/>
    <w:rsid w:val="00A15896"/>
    <w:rsid w:val="00A22D92"/>
    <w:rsid w:val="00A34D64"/>
    <w:rsid w:val="00A35139"/>
    <w:rsid w:val="00A4222E"/>
    <w:rsid w:val="00A57A7C"/>
    <w:rsid w:val="00A81419"/>
    <w:rsid w:val="00AA69C0"/>
    <w:rsid w:val="00AB0599"/>
    <w:rsid w:val="00AB1D94"/>
    <w:rsid w:val="00AB64C1"/>
    <w:rsid w:val="00AB7EFA"/>
    <w:rsid w:val="00AC28FD"/>
    <w:rsid w:val="00AC66AD"/>
    <w:rsid w:val="00AD180C"/>
    <w:rsid w:val="00B04836"/>
    <w:rsid w:val="00B07F2F"/>
    <w:rsid w:val="00B1243D"/>
    <w:rsid w:val="00B144E6"/>
    <w:rsid w:val="00B222B0"/>
    <w:rsid w:val="00B2511F"/>
    <w:rsid w:val="00B6409E"/>
    <w:rsid w:val="00B724CE"/>
    <w:rsid w:val="00B82FC0"/>
    <w:rsid w:val="00BA4636"/>
    <w:rsid w:val="00BA73E9"/>
    <w:rsid w:val="00BC560A"/>
    <w:rsid w:val="00C02015"/>
    <w:rsid w:val="00C10FBA"/>
    <w:rsid w:val="00C1431D"/>
    <w:rsid w:val="00C1639D"/>
    <w:rsid w:val="00C216F1"/>
    <w:rsid w:val="00C22D1F"/>
    <w:rsid w:val="00C27990"/>
    <w:rsid w:val="00C34E00"/>
    <w:rsid w:val="00C40983"/>
    <w:rsid w:val="00C64044"/>
    <w:rsid w:val="00C707B8"/>
    <w:rsid w:val="00C761A4"/>
    <w:rsid w:val="00C9359F"/>
    <w:rsid w:val="00C973C8"/>
    <w:rsid w:val="00CB67AA"/>
    <w:rsid w:val="00CC0748"/>
    <w:rsid w:val="00CD48AC"/>
    <w:rsid w:val="00CE716D"/>
    <w:rsid w:val="00CF3651"/>
    <w:rsid w:val="00D012C9"/>
    <w:rsid w:val="00D04B41"/>
    <w:rsid w:val="00D066DD"/>
    <w:rsid w:val="00D125B3"/>
    <w:rsid w:val="00D2228A"/>
    <w:rsid w:val="00D22DF9"/>
    <w:rsid w:val="00D2406B"/>
    <w:rsid w:val="00D518C4"/>
    <w:rsid w:val="00D564D3"/>
    <w:rsid w:val="00D65C36"/>
    <w:rsid w:val="00D66CFD"/>
    <w:rsid w:val="00D7053D"/>
    <w:rsid w:val="00D73A02"/>
    <w:rsid w:val="00D85BA3"/>
    <w:rsid w:val="00D919FD"/>
    <w:rsid w:val="00D978E9"/>
    <w:rsid w:val="00DA3771"/>
    <w:rsid w:val="00DA42B7"/>
    <w:rsid w:val="00DC233B"/>
    <w:rsid w:val="00DC23A5"/>
    <w:rsid w:val="00DE673A"/>
    <w:rsid w:val="00DE7C3F"/>
    <w:rsid w:val="00E1060F"/>
    <w:rsid w:val="00E1478D"/>
    <w:rsid w:val="00E316D2"/>
    <w:rsid w:val="00E34135"/>
    <w:rsid w:val="00E45296"/>
    <w:rsid w:val="00E46DCD"/>
    <w:rsid w:val="00E47CA5"/>
    <w:rsid w:val="00E505A1"/>
    <w:rsid w:val="00E50830"/>
    <w:rsid w:val="00E63A24"/>
    <w:rsid w:val="00E67DA8"/>
    <w:rsid w:val="00E703AB"/>
    <w:rsid w:val="00E83AAF"/>
    <w:rsid w:val="00E94624"/>
    <w:rsid w:val="00F15FF3"/>
    <w:rsid w:val="00F325BB"/>
    <w:rsid w:val="00F51818"/>
    <w:rsid w:val="00F7151D"/>
    <w:rsid w:val="00F844CB"/>
    <w:rsid w:val="00F87C34"/>
    <w:rsid w:val="00FA0E99"/>
    <w:rsid w:val="00FA2E45"/>
    <w:rsid w:val="00FA403D"/>
    <w:rsid w:val="00FB167D"/>
    <w:rsid w:val="00FE3D19"/>
    <w:rsid w:val="00FF6B2B"/>
    <w:rsid w:val="00FF6FE5"/>
    <w:rsid w:val="00FF7012"/>
    <w:rsid w:val="00FF7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E568D0"/>
  <w15:docId w15:val="{6CB1B309-FC41-41CE-B0B4-325D880C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872"/>
    <w:rPr>
      <w:rFonts w:ascii="Tahoma" w:hAnsi="Tahoma" w:cs="Tahoma"/>
      <w:sz w:val="16"/>
      <w:szCs w:val="16"/>
    </w:rPr>
  </w:style>
  <w:style w:type="paragraph" w:styleId="Footer">
    <w:name w:val="footer"/>
    <w:basedOn w:val="Normal"/>
    <w:rsid w:val="00014674"/>
    <w:pPr>
      <w:tabs>
        <w:tab w:val="center" w:pos="4320"/>
        <w:tab w:val="right" w:pos="8640"/>
      </w:tabs>
    </w:pPr>
  </w:style>
  <w:style w:type="paragraph" w:styleId="ListParagraph">
    <w:name w:val="List Paragraph"/>
    <w:basedOn w:val="Normal"/>
    <w:uiPriority w:val="34"/>
    <w:qFormat/>
    <w:rsid w:val="00925FFB"/>
    <w:pPr>
      <w:ind w:left="720"/>
    </w:pPr>
  </w:style>
  <w:style w:type="character" w:styleId="CommentReference">
    <w:name w:val="annotation reference"/>
    <w:rsid w:val="00E63A24"/>
    <w:rPr>
      <w:sz w:val="16"/>
      <w:szCs w:val="16"/>
    </w:rPr>
  </w:style>
  <w:style w:type="paragraph" w:styleId="CommentText">
    <w:name w:val="annotation text"/>
    <w:basedOn w:val="Normal"/>
    <w:link w:val="CommentTextChar"/>
    <w:rsid w:val="00E63A24"/>
    <w:rPr>
      <w:sz w:val="20"/>
      <w:szCs w:val="20"/>
    </w:rPr>
  </w:style>
  <w:style w:type="character" w:customStyle="1" w:styleId="CommentTextChar">
    <w:name w:val="Comment Text Char"/>
    <w:link w:val="CommentText"/>
    <w:rsid w:val="00E63A24"/>
    <w:rPr>
      <w:rFonts w:ascii="Courier New" w:hAnsi="Courier New" w:cs="Courier New"/>
      <w:lang w:eastAsia="zh-CN"/>
    </w:rPr>
  </w:style>
  <w:style w:type="paragraph" w:styleId="CommentSubject">
    <w:name w:val="annotation subject"/>
    <w:basedOn w:val="CommentText"/>
    <w:next w:val="CommentText"/>
    <w:link w:val="CommentSubjectChar"/>
    <w:rsid w:val="00E63A24"/>
    <w:rPr>
      <w:b/>
      <w:bCs/>
    </w:rPr>
  </w:style>
  <w:style w:type="character" w:customStyle="1" w:styleId="CommentSubjectChar">
    <w:name w:val="Comment Subject Char"/>
    <w:link w:val="CommentSubject"/>
    <w:rsid w:val="00E63A24"/>
    <w:rPr>
      <w:rFonts w:ascii="Courier New" w:hAnsi="Courier New" w:cs="Courier New"/>
      <w:b/>
      <w:bCs/>
      <w:lang w:eastAsia="zh-CN"/>
    </w:rPr>
  </w:style>
  <w:style w:type="table" w:styleId="TableGrid">
    <w:name w:val="Table Grid"/>
    <w:basedOn w:val="TableNormal"/>
    <w:uiPriority w:val="39"/>
    <w:rsid w:val="0030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0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character" w:customStyle="1" w:styleId="HTMLPreformattedChar">
    <w:name w:val="HTML Preformatted Char"/>
    <w:basedOn w:val="DefaultParagraphFont"/>
    <w:link w:val="HTMLPreformatted"/>
    <w:rsid w:val="00300D2F"/>
    <w:rPr>
      <w:rFonts w:ascii="Courier New" w:eastAsia="SimSun" w:hAnsi="Courier New" w:cs="Courier New"/>
      <w:lang w:eastAsia="zh-CN"/>
    </w:rPr>
  </w:style>
  <w:style w:type="paragraph" w:styleId="Revision">
    <w:name w:val="Revision"/>
    <w:hidden/>
    <w:uiPriority w:val="99"/>
    <w:semiHidden/>
    <w:rsid w:val="00B82FC0"/>
    <w:rPr>
      <w:rFonts w:ascii="Courier New" w:hAnsi="Courier New" w:cs="Courier New"/>
      <w:sz w:val="24"/>
      <w:szCs w:val="24"/>
      <w:lang w:eastAsia="zh-CN"/>
    </w:rPr>
  </w:style>
  <w:style w:type="character" w:styleId="Hyperlink">
    <w:name w:val="Hyperlink"/>
    <w:basedOn w:val="DefaultParagraphFont"/>
    <w:uiPriority w:val="99"/>
    <w:unhideWhenUsed/>
    <w:rsid w:val="002450A1"/>
    <w:rPr>
      <w:color w:val="0000FF" w:themeColor="hyperlink"/>
      <w:u w:val="single"/>
    </w:rPr>
  </w:style>
  <w:style w:type="table" w:customStyle="1" w:styleId="TableGrid1">
    <w:name w:val="Table Grid1"/>
    <w:basedOn w:val="TableNormal"/>
    <w:next w:val="TableGrid"/>
    <w:rsid w:val="002C77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AA69C0"/>
    <w:rPr>
      <w:color w:val="800080" w:themeColor="followedHyperlink"/>
      <w:u w:val="single"/>
    </w:rPr>
  </w:style>
  <w:style w:type="paragraph" w:styleId="FootnoteText">
    <w:name w:val="footnote text"/>
    <w:basedOn w:val="Normal"/>
    <w:link w:val="FootnoteTextChar"/>
    <w:semiHidden/>
    <w:unhideWhenUsed/>
    <w:rsid w:val="005F1CCF"/>
    <w:rPr>
      <w:sz w:val="20"/>
      <w:szCs w:val="20"/>
    </w:rPr>
  </w:style>
  <w:style w:type="character" w:customStyle="1" w:styleId="FootnoteTextChar">
    <w:name w:val="Footnote Text Char"/>
    <w:basedOn w:val="DefaultParagraphFont"/>
    <w:link w:val="FootnoteText"/>
    <w:semiHidden/>
    <w:rsid w:val="005F1CCF"/>
    <w:rPr>
      <w:rFonts w:ascii="Courier New" w:hAnsi="Courier New" w:cs="Courier New"/>
      <w:lang w:eastAsia="zh-CN"/>
    </w:rPr>
  </w:style>
  <w:style w:type="character" w:styleId="FootnoteReference">
    <w:name w:val="footnote reference"/>
    <w:basedOn w:val="DefaultParagraphFont"/>
    <w:semiHidden/>
    <w:unhideWhenUsed/>
    <w:rsid w:val="005F1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sa.gov/legislation/2023factsheet.pdf" TargetMode="External" /><Relationship Id="rId7" Type="http://schemas.openxmlformats.org/officeDocument/2006/relationships/hyperlink" Target="https://www.bls.gov/oes/current/oes290000.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83710-2F95-41EE-92F1-A2993F8D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2423</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SSA</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Karen Kerwath</dc:creator>
  <cp:lastModifiedBy>Naomi Sipple</cp:lastModifiedBy>
  <cp:revision>3</cp:revision>
  <cp:lastPrinted>2009-11-24T10:03:00Z</cp:lastPrinted>
  <dcterms:created xsi:type="dcterms:W3CDTF">2023-06-13T18:48:00Z</dcterms:created>
  <dcterms:modified xsi:type="dcterms:W3CDTF">2023-06-13T19:01:00Z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-804266225</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0960-0516 Passback</vt:lpwstr>
  </property>
  <property fmtid="{D5CDD505-2E9C-101B-9397-08002B2CF9AE}" pid="6" name="_NewReviewCycle">
    <vt:lpwstr/>
  </property>
  <property fmtid="{D5CDD505-2E9C-101B-9397-08002B2CF9AE}" pid="7" name="_PreviousAdHocReviewCycleID">
    <vt:i4>-549671316</vt:i4>
  </property>
</Properties>
</file>