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5880" w:rsidP="0075163D" w:rsidRDefault="002F5880" w14:paraId="29AD1B6C" w14:textId="77777777">
      <w:pPr>
        <w:spacing w:line="360" w:lineRule="auto"/>
        <w:rPr>
          <w:color w:val="244061"/>
        </w:rPr>
      </w:pPr>
    </w:p>
    <w:p w:rsidR="002F5880" w:rsidP="0075163D" w:rsidRDefault="002F5880" w14:paraId="7101C530" w14:textId="77777777">
      <w:pPr>
        <w:spacing w:line="360" w:lineRule="auto"/>
        <w:rPr>
          <w:color w:val="244061"/>
        </w:rPr>
      </w:pPr>
    </w:p>
    <w:p w:rsidR="002F5880" w:rsidP="0075163D" w:rsidRDefault="002F5880" w14:paraId="6BF6C329" w14:textId="77777777">
      <w:pPr>
        <w:spacing w:line="360" w:lineRule="auto"/>
        <w:rPr>
          <w:color w:val="244061"/>
        </w:rPr>
      </w:pPr>
    </w:p>
    <w:p w:rsidR="002F5880" w:rsidP="0075163D" w:rsidRDefault="002F5880" w14:paraId="74A9FE7E" w14:textId="77777777">
      <w:pPr>
        <w:spacing w:line="360" w:lineRule="auto"/>
        <w:rPr>
          <w:color w:val="244061"/>
        </w:rPr>
      </w:pPr>
    </w:p>
    <w:p w:rsidR="002F5880" w:rsidP="0075163D" w:rsidRDefault="002F5880" w14:paraId="389518B1" w14:textId="77777777">
      <w:pPr>
        <w:spacing w:line="360" w:lineRule="auto"/>
        <w:rPr>
          <w:color w:val="244061"/>
        </w:rPr>
      </w:pPr>
    </w:p>
    <w:p w:rsidR="002F5880" w:rsidP="0075163D" w:rsidRDefault="002F5880" w14:paraId="4AE10DF3" w14:textId="77777777">
      <w:pPr>
        <w:spacing w:line="360" w:lineRule="auto"/>
        <w:rPr>
          <w:color w:val="244061"/>
        </w:rPr>
      </w:pPr>
    </w:p>
    <w:p w:rsidR="002F5880" w:rsidP="0075163D" w:rsidRDefault="002F5880" w14:paraId="36E10057" w14:textId="77777777">
      <w:pPr>
        <w:spacing w:line="360" w:lineRule="auto"/>
        <w:rPr>
          <w:color w:val="244061"/>
        </w:rPr>
      </w:pPr>
    </w:p>
    <w:p w:rsidR="002F5880" w:rsidP="0075163D" w:rsidRDefault="002F5880" w14:paraId="70D6D402" w14:textId="77777777">
      <w:pPr>
        <w:spacing w:line="360" w:lineRule="auto"/>
        <w:rPr>
          <w:color w:val="244061"/>
        </w:rPr>
      </w:pPr>
    </w:p>
    <w:p w:rsidR="002F5880" w:rsidP="0075163D" w:rsidRDefault="002F5880" w14:paraId="139E3323" w14:textId="3241261D">
      <w:pPr>
        <w:spacing w:line="360" w:lineRule="auto"/>
        <w:rPr>
          <w:color w:val="244061"/>
        </w:rPr>
      </w:pPr>
    </w:p>
    <w:p w:rsidR="00F41938" w:rsidP="0075163D" w:rsidRDefault="00F41938" w14:paraId="085FF909" w14:textId="77777777">
      <w:pPr>
        <w:spacing w:line="360" w:lineRule="auto"/>
        <w:rPr>
          <w:color w:val="244061"/>
        </w:rPr>
      </w:pPr>
    </w:p>
    <w:p w:rsidR="002F5880" w:rsidP="0075163D" w:rsidRDefault="002F5880" w14:paraId="371C6EA0" w14:textId="77777777">
      <w:pPr>
        <w:spacing w:line="360" w:lineRule="auto"/>
        <w:rPr>
          <w:color w:val="244061"/>
        </w:rPr>
      </w:pPr>
    </w:p>
    <w:p w:rsidRPr="00B3358C" w:rsidR="002F5880" w:rsidP="0075163D" w:rsidRDefault="002F5880" w14:paraId="58CCD0B5" w14:textId="77777777">
      <w:pPr>
        <w:spacing w:line="360" w:lineRule="auto"/>
        <w:rPr>
          <w:color w:val="000000" w:themeColor="text1"/>
        </w:rPr>
      </w:pPr>
    </w:p>
    <w:p w:rsidRPr="00B3358C" w:rsidR="002F5880" w:rsidP="0075163D" w:rsidRDefault="002F5880" w14:paraId="446F8EC3" w14:textId="77777777">
      <w:pPr>
        <w:spacing w:line="360" w:lineRule="auto"/>
        <w:rPr>
          <w:color w:val="000000" w:themeColor="text1"/>
        </w:rPr>
      </w:pPr>
    </w:p>
    <w:p w:rsidR="00DF174A" w:rsidP="0075163D" w:rsidRDefault="00DF174A" w14:paraId="73A78074" w14:textId="59BF6824">
      <w:pPr>
        <w:spacing w:line="360" w:lineRule="auto"/>
        <w:jc w:val="center"/>
        <w:rPr>
          <w:color w:val="000000" w:themeColor="text1"/>
          <w:sz w:val="40"/>
          <w:szCs w:val="40"/>
        </w:rPr>
      </w:pPr>
      <w:r>
        <w:rPr>
          <w:color w:val="000000" w:themeColor="text1"/>
          <w:sz w:val="40"/>
          <w:szCs w:val="40"/>
        </w:rPr>
        <w:t xml:space="preserve">Security </w:t>
      </w:r>
      <w:r w:rsidR="008C2D43">
        <w:rPr>
          <w:color w:val="000000" w:themeColor="text1"/>
          <w:sz w:val="40"/>
          <w:szCs w:val="40"/>
        </w:rPr>
        <w:t>P</w:t>
      </w:r>
      <w:r>
        <w:rPr>
          <w:color w:val="000000" w:themeColor="text1"/>
          <w:sz w:val="40"/>
          <w:szCs w:val="40"/>
        </w:rPr>
        <w:t xml:space="preserve">rocedures for Collecting, Storing, and Transferring Data in the Field </w:t>
      </w:r>
      <w:r w:rsidR="008C2D43">
        <w:rPr>
          <w:color w:val="000000" w:themeColor="text1"/>
          <w:sz w:val="40"/>
          <w:szCs w:val="40"/>
        </w:rPr>
        <w:t>Following</w:t>
      </w:r>
      <w:r>
        <w:rPr>
          <w:color w:val="000000" w:themeColor="text1"/>
          <w:sz w:val="40"/>
          <w:szCs w:val="40"/>
        </w:rPr>
        <w:t xml:space="preserve"> </w:t>
      </w:r>
      <w:r w:rsidR="00915CEC">
        <w:rPr>
          <w:color w:val="000000" w:themeColor="text1"/>
          <w:sz w:val="40"/>
          <w:szCs w:val="40"/>
        </w:rPr>
        <w:t xml:space="preserve">a </w:t>
      </w:r>
      <w:r>
        <w:rPr>
          <w:color w:val="000000" w:themeColor="text1"/>
          <w:sz w:val="40"/>
          <w:szCs w:val="40"/>
        </w:rPr>
        <w:t>Chemical Release</w:t>
      </w:r>
    </w:p>
    <w:p w:rsidR="00915CEC" w:rsidP="0075163D" w:rsidRDefault="00915CEC" w14:paraId="67EF0B77" w14:textId="77777777">
      <w:pPr>
        <w:pStyle w:val="Heading3"/>
        <w:shd w:val="clear" w:color="auto" w:fill="FFFFFF"/>
        <w:spacing w:line="360" w:lineRule="auto"/>
        <w:jc w:val="center"/>
        <w:rPr>
          <w:color w:val="000000" w:themeColor="text1"/>
          <w:sz w:val="28"/>
          <w:szCs w:val="28"/>
        </w:rPr>
      </w:pPr>
    </w:p>
    <w:p w:rsidRPr="006B5ABF" w:rsidR="00915CEC" w:rsidP="0075163D" w:rsidRDefault="00915CEC" w14:paraId="018EB741" w14:textId="5B18F800">
      <w:pPr>
        <w:pStyle w:val="Heading3"/>
        <w:shd w:val="clear" w:color="auto" w:fill="FFFFFF"/>
        <w:spacing w:line="360" w:lineRule="auto"/>
        <w:jc w:val="center"/>
        <w:rPr>
          <w:rFonts w:ascii="Times New Roman" w:hAnsi="Times New Roman" w:eastAsia="Times New Roman" w:cs="Times New Roman"/>
          <w:color w:val="000000" w:themeColor="text1"/>
          <w:sz w:val="36"/>
          <w:szCs w:val="36"/>
          <w:lang w:bidi="ar-SA"/>
        </w:rPr>
      </w:pPr>
      <w:r w:rsidRPr="006B5ABF">
        <w:rPr>
          <w:rFonts w:ascii="Times New Roman" w:hAnsi="Times New Roman" w:cs="Times New Roman"/>
          <w:color w:val="000000" w:themeColor="text1"/>
          <w:sz w:val="36"/>
          <w:szCs w:val="36"/>
        </w:rPr>
        <w:t>Assessment of Chemical Exposures (ACE)</w:t>
      </w:r>
      <w:r w:rsidRPr="006B5ABF">
        <w:rPr>
          <w:rFonts w:ascii="Times New Roman" w:hAnsi="Times New Roman" w:eastAsia="Times New Roman" w:cs="Times New Roman"/>
          <w:color w:val="000000" w:themeColor="text1"/>
          <w:sz w:val="36"/>
          <w:szCs w:val="36"/>
          <w:lang w:bidi="ar-SA"/>
        </w:rPr>
        <w:t xml:space="preserve"> Program</w:t>
      </w:r>
    </w:p>
    <w:p w:rsidR="008C2D43" w:rsidP="0075163D" w:rsidRDefault="008C2D43" w14:paraId="04C1875B" w14:textId="77777777">
      <w:pPr>
        <w:spacing w:line="360" w:lineRule="auto"/>
        <w:jc w:val="center"/>
        <w:rPr>
          <w:color w:val="000000" w:themeColor="text1"/>
          <w:sz w:val="40"/>
          <w:szCs w:val="40"/>
        </w:rPr>
      </w:pPr>
    </w:p>
    <w:p w:rsidRPr="00B3358C" w:rsidR="00B3358C" w:rsidP="0075163D" w:rsidRDefault="008C2D43" w14:paraId="3BB3498F" w14:textId="3A0E095D">
      <w:pPr>
        <w:spacing w:line="360" w:lineRule="auto"/>
        <w:jc w:val="center"/>
        <w:rPr>
          <w:color w:val="000000" w:themeColor="text1"/>
          <w:sz w:val="28"/>
          <w:szCs w:val="28"/>
        </w:rPr>
      </w:pPr>
      <w:r>
        <w:rPr>
          <w:color w:val="000000" w:themeColor="text1"/>
          <w:sz w:val="28"/>
          <w:szCs w:val="28"/>
        </w:rPr>
        <w:t>Internal Training Manual of Field Procedures for CDC/ATSDR Responders</w:t>
      </w:r>
    </w:p>
    <w:p w:rsidR="00484F29" w:rsidP="0075163D" w:rsidRDefault="00484F29" w14:paraId="14F370E2" w14:textId="77777777">
      <w:pPr>
        <w:spacing w:line="360" w:lineRule="auto"/>
        <w:jc w:val="center"/>
        <w:rPr>
          <w:sz w:val="28"/>
          <w:szCs w:val="28"/>
          <w:lang w:bidi="ar-SA"/>
        </w:rPr>
      </w:pPr>
    </w:p>
    <w:p w:rsidR="00737732" w:rsidP="0075163D" w:rsidRDefault="00737732" w14:paraId="4312C2BF" w14:textId="77777777">
      <w:pPr>
        <w:spacing w:line="360" w:lineRule="auto"/>
        <w:rPr>
          <w:lang w:bidi="ar-SA"/>
        </w:rPr>
      </w:pPr>
    </w:p>
    <w:p w:rsidRPr="00737732" w:rsidR="00737732" w:rsidP="0075163D" w:rsidRDefault="00737732" w14:paraId="41C5FA92" w14:textId="77777777">
      <w:pPr>
        <w:spacing w:line="360" w:lineRule="auto"/>
        <w:rPr>
          <w:lang w:bidi="ar-SA"/>
        </w:rPr>
      </w:pPr>
    </w:p>
    <w:p w:rsidRPr="00B3358C" w:rsidR="00B3358C" w:rsidP="0075163D" w:rsidRDefault="00B3358C" w14:paraId="632A7D11" w14:textId="77777777">
      <w:pPr>
        <w:spacing w:line="360" w:lineRule="auto"/>
        <w:jc w:val="center"/>
        <w:rPr>
          <w:color w:val="244061"/>
          <w:sz w:val="28"/>
          <w:szCs w:val="28"/>
        </w:rPr>
      </w:pPr>
    </w:p>
    <w:p w:rsidRPr="002F5880" w:rsidR="00B3358C" w:rsidP="0075163D" w:rsidRDefault="00B3358C" w14:paraId="700CE0B2" w14:textId="77777777">
      <w:pPr>
        <w:spacing w:line="360" w:lineRule="auto"/>
        <w:jc w:val="center"/>
        <w:rPr>
          <w:color w:val="244061"/>
          <w:sz w:val="40"/>
          <w:szCs w:val="40"/>
        </w:rPr>
      </w:pPr>
    </w:p>
    <w:p w:rsidR="002F5880" w:rsidP="0075163D" w:rsidRDefault="002F5880" w14:paraId="3914FF9B" w14:textId="77777777">
      <w:pPr>
        <w:spacing w:line="360" w:lineRule="auto"/>
        <w:rPr>
          <w:color w:val="244061"/>
          <w:sz w:val="28"/>
          <w:szCs w:val="28"/>
        </w:rPr>
      </w:pPr>
      <w:r>
        <w:rPr>
          <w:color w:val="244061"/>
        </w:rPr>
        <w:br w:type="page"/>
      </w:r>
    </w:p>
    <w:p w:rsidR="003918BB" w:rsidP="0075163D" w:rsidRDefault="00781D8C" w14:paraId="759EA95C" w14:textId="54660CE4">
      <w:pPr>
        <w:pStyle w:val="Heading1"/>
        <w:spacing w:before="61" w:line="360" w:lineRule="auto"/>
      </w:pPr>
      <w:r>
        <w:rPr>
          <w:color w:val="244061"/>
        </w:rPr>
        <w:lastRenderedPageBreak/>
        <w:t xml:space="preserve">Introduction </w:t>
      </w:r>
    </w:p>
    <w:p w:rsidR="003918BB" w:rsidP="0075163D" w:rsidRDefault="00C65023" w14:paraId="6EBDB49E" w14:textId="1DEA8D7A">
      <w:pPr>
        <w:pStyle w:val="BodyText"/>
        <w:spacing w:before="246" w:line="360" w:lineRule="auto"/>
        <w:ind w:left="120" w:right="155" w:firstLine="720"/>
      </w:pPr>
      <w:r>
        <w:t xml:space="preserve">The purpose of this manual is to introduce CDC and ATSDR responders to standard security procedures for collecting, storing, and transferring data collected as a part of the Assessment of Chemical Exposures (ACE) program. </w:t>
      </w:r>
      <w:r w:rsidR="00781D8C">
        <w:t xml:space="preserve">This set of standard operating procedures (hereafter referred to as SOP) applies to </w:t>
      </w:r>
      <w:r w:rsidR="003F4B7F">
        <w:t xml:space="preserve">CDC/ATSDR </w:t>
      </w:r>
      <w:r w:rsidR="00781D8C">
        <w:t xml:space="preserve">personnel (as defined below) who collect or use data as part of any </w:t>
      </w:r>
      <w:r w:rsidR="003F4B7F">
        <w:t>ACE</w:t>
      </w:r>
      <w:r>
        <w:t>-related</w:t>
      </w:r>
      <w:r w:rsidR="003F4B7F">
        <w:t xml:space="preserve"> </w:t>
      </w:r>
      <w:r w:rsidR="00781D8C">
        <w:t>-</w:t>
      </w:r>
      <w:r w:rsidR="003F4B7F">
        <w:t xml:space="preserve">activity </w:t>
      </w:r>
      <w:r w:rsidR="00781D8C">
        <w:t>which involves paper/hard copy records (HCR)</w:t>
      </w:r>
      <w:r w:rsidR="00FB2766">
        <w:t>, biospecimens, or electronic records</w:t>
      </w:r>
      <w:r w:rsidR="00781D8C">
        <w:t xml:space="preserve"> that contain personally identifiable information (PII). The SOP is intended to be a minimal standard for all </w:t>
      </w:r>
      <w:r w:rsidR="003F4B7F">
        <w:t>ACE</w:t>
      </w:r>
      <w:r w:rsidR="00781D8C">
        <w:t xml:space="preserve"> data collection activities involving</w:t>
      </w:r>
      <w:r w:rsidR="00FB2766">
        <w:t xml:space="preserve"> PII</w:t>
      </w:r>
      <w:r w:rsidR="00781D8C">
        <w:t xml:space="preserve">. Therefore, any </w:t>
      </w:r>
      <w:r w:rsidR="008A03B2">
        <w:t>ACE investigation</w:t>
      </w:r>
      <w:r w:rsidR="00781D8C">
        <w:t xml:space="preserve"> may adopt additional directives that are more stringent and adhere to the policies and guidelines of the agreement</w:t>
      </w:r>
      <w:r w:rsidR="008A03B2">
        <w:t xml:space="preserve">. </w:t>
      </w:r>
      <w:r w:rsidR="00781D8C">
        <w:t>These SOP are informed by the Privacy Act of 1974 (</w:t>
      </w:r>
      <w:hyperlink r:id="rId11">
        <w:r w:rsidR="00781D8C">
          <w:rPr>
            <w:color w:val="0000FF"/>
            <w:u w:val="single" w:color="0000FF"/>
          </w:rPr>
          <w:t>https://www.hhs.gov/foia/privacy/index.html</w:t>
        </w:r>
      </w:hyperlink>
      <w:r w:rsidR="00781D8C">
        <w:t>) and the Health Information and Information Portability</w:t>
      </w:r>
      <w:r w:rsidR="00953EEA">
        <w:t xml:space="preserve"> </w:t>
      </w:r>
      <w:r w:rsidR="00781D8C">
        <w:t xml:space="preserve">and Accountability Act (HIPAA; </w:t>
      </w:r>
      <w:hyperlink r:id="rId12">
        <w:r w:rsidR="00781D8C">
          <w:rPr>
            <w:color w:val="0000FF"/>
            <w:u w:val="single" w:color="0000FF"/>
          </w:rPr>
          <w:t>https://www.hhs.gov/hipaa/for-professionals/index.html.</w:t>
        </w:r>
      </w:hyperlink>
      <w:r w:rsidR="00781D8C">
        <w:t>). These SOP</w:t>
      </w:r>
      <w:r w:rsidR="00953EEA">
        <w:t xml:space="preserve"> </w:t>
      </w:r>
      <w:r w:rsidR="00781D8C">
        <w:t xml:space="preserve">do not address the retention schedule and destruction of records; for guidance on this issue please see the following CDC Records Management Policy as described in this link: </w:t>
      </w:r>
      <w:hyperlink r:id="rId13">
        <w:r w:rsidR="00781D8C">
          <w:rPr>
            <w:color w:val="0000FF"/>
            <w:u w:val="single" w:color="0000FF"/>
          </w:rPr>
          <w:t>http://intranet.cdc.gov/ocoo/strategic-business-initiatives-unit/records-management/index.html</w:t>
        </w:r>
      </w:hyperlink>
      <w:r w:rsidR="00953EEA">
        <w:rPr>
          <w:color w:val="0000FF"/>
          <w:u w:val="single" w:color="0000FF"/>
        </w:rPr>
        <w:t>.</w:t>
      </w:r>
    </w:p>
    <w:p w:rsidR="003918BB" w:rsidP="0075163D" w:rsidRDefault="00781D8C" w14:paraId="1B921797" w14:textId="77777777">
      <w:pPr>
        <w:pStyle w:val="Heading1"/>
        <w:spacing w:before="88" w:line="360" w:lineRule="auto"/>
      </w:pPr>
      <w:bookmarkStart w:name="Confidentiality" w:id="0"/>
      <w:bookmarkStart w:name="_bookmark1" w:id="1"/>
      <w:bookmarkEnd w:id="0"/>
      <w:bookmarkEnd w:id="1"/>
      <w:r>
        <w:rPr>
          <w:color w:val="365F91"/>
        </w:rPr>
        <w:t>Confidentiality</w:t>
      </w:r>
    </w:p>
    <w:p w:rsidR="003918BB" w:rsidP="0075163D" w:rsidRDefault="00781D8C" w14:paraId="62661B66" w14:textId="4E5E0E17">
      <w:pPr>
        <w:pStyle w:val="BodyText"/>
        <w:spacing w:before="207" w:line="360" w:lineRule="auto"/>
        <w:ind w:left="119" w:right="128" w:firstLine="720"/>
      </w:pPr>
      <w:r>
        <w:t xml:space="preserve">All </w:t>
      </w:r>
      <w:r w:rsidR="00FB2766">
        <w:t xml:space="preserve">PII </w:t>
      </w:r>
      <w:r>
        <w:t xml:space="preserve">for </w:t>
      </w:r>
      <w:r w:rsidR="003F4B7F">
        <w:t>ACE-related data collection</w:t>
      </w:r>
      <w:r w:rsidR="0041124F">
        <w:t>s</w:t>
      </w:r>
      <w:r w:rsidR="003F4B7F">
        <w:t xml:space="preserve"> </w:t>
      </w:r>
      <w:r>
        <w:t xml:space="preserve">containing names and other information identifying a single individual or a single institution and other data files, will be considered confidential materials and will be safeguarded to the greatest extent practicable under the Privacy Act of 1974. It is the professional and legal responsibility of each individual associated with each </w:t>
      </w:r>
      <w:r w:rsidR="0041124F">
        <w:t>investigation</w:t>
      </w:r>
      <w:r>
        <w:t xml:space="preserve"> to protect the right to confidentiality of the individuals and institutions in all </w:t>
      </w:r>
      <w:r w:rsidR="0041124F">
        <w:t>ACE investigations</w:t>
      </w:r>
      <w:r>
        <w:t>, as defined by the Privacy Act of 1974 regarding personal data that is held by the Executive Branch of the U.S. Government, and other applicable federal regulations. Further, due to the scientific sensitivity and highly important intellectual property represented by the data, all personally identifiable data are considered confidential</w:t>
      </w:r>
      <w:r w:rsidR="00B3358C">
        <w:t xml:space="preserve"> c</w:t>
      </w:r>
      <w:r>
        <w:t xml:space="preserve">ontext of this SOP (see </w:t>
      </w:r>
      <w:r w:rsidR="0041124F">
        <w:t>n</w:t>
      </w:r>
      <w:hyperlink w:history="1" r:id="rId14">
        <w:r w:rsidRPr="008C287E" w:rsidR="0041124F">
          <w:rPr>
            <w:rStyle w:val="Hyperlink"/>
          </w:rPr>
          <w:t>https://www.whitehouse.gov/sites/whitehouse.gov/files/omb/memoranda/2007/m07-16.pdf</w:t>
        </w:r>
      </w:hyperlink>
      <w:r>
        <w:t>). CDC</w:t>
      </w:r>
      <w:r w:rsidR="0041124F">
        <w:t>/ATSDR</w:t>
      </w:r>
      <w:r w:rsidR="00E70347">
        <w:t xml:space="preserve"> responders </w:t>
      </w:r>
      <w:proofErr w:type="gramStart"/>
      <w:r>
        <w:t>are required at all times</w:t>
      </w:r>
      <w:proofErr w:type="gramEnd"/>
      <w:r>
        <w:t xml:space="preserve"> to maintain and protect the study data and confidential records that may come into their presence and under their control according to these SOPs and any additional guidelines as applicable.</w:t>
      </w:r>
    </w:p>
    <w:p w:rsidR="003918BB" w:rsidP="0075163D" w:rsidRDefault="00781D8C" w14:paraId="6C457C13" w14:textId="77777777">
      <w:pPr>
        <w:pStyle w:val="Heading1"/>
        <w:spacing w:before="1" w:line="360" w:lineRule="auto"/>
      </w:pPr>
      <w:bookmarkStart w:name="Personally_Identifiable_Information_(PII" w:id="2"/>
      <w:bookmarkStart w:name="_bookmark2" w:id="3"/>
      <w:bookmarkEnd w:id="2"/>
      <w:bookmarkEnd w:id="3"/>
      <w:proofErr w:type="gramStart"/>
      <w:r>
        <w:rPr>
          <w:color w:val="365F91"/>
        </w:rPr>
        <w:t>Personally</w:t>
      </w:r>
      <w:proofErr w:type="gramEnd"/>
      <w:r>
        <w:rPr>
          <w:color w:val="365F91"/>
        </w:rPr>
        <w:t xml:space="preserve"> Identifiable Information (PII)</w:t>
      </w:r>
    </w:p>
    <w:p w:rsidR="003918BB" w:rsidP="0075163D" w:rsidRDefault="00781D8C" w14:paraId="1A90E32D" w14:textId="77777777">
      <w:pPr>
        <w:pStyle w:val="BodyText"/>
        <w:spacing w:before="206" w:line="360" w:lineRule="auto"/>
        <w:ind w:left="120" w:right="188" w:firstLine="720"/>
      </w:pPr>
      <w:r>
        <w:lastRenderedPageBreak/>
        <w:t>PII is any information that might serve to identify an individual. All precautions should be taken to protect the security of the eighteen identifying variables cited in HIPAA. The following list contains the eighteen HIPAA identifying variables:</w:t>
      </w:r>
    </w:p>
    <w:p w:rsidR="003918BB" w:rsidP="0075163D" w:rsidRDefault="00781D8C" w14:paraId="4367FD47" w14:textId="77777777">
      <w:pPr>
        <w:pStyle w:val="ListParagraph"/>
        <w:numPr>
          <w:ilvl w:val="0"/>
          <w:numId w:val="2"/>
        </w:numPr>
        <w:tabs>
          <w:tab w:val="left" w:pos="1632"/>
        </w:tabs>
        <w:spacing w:before="1" w:line="360" w:lineRule="auto"/>
        <w:rPr>
          <w:sz w:val="24"/>
        </w:rPr>
      </w:pPr>
      <w:proofErr w:type="gramStart"/>
      <w:r>
        <w:rPr>
          <w:sz w:val="24"/>
        </w:rPr>
        <w:t>Names;</w:t>
      </w:r>
      <w:proofErr w:type="gramEnd"/>
    </w:p>
    <w:p w:rsidR="003918BB" w:rsidP="0075163D" w:rsidRDefault="00781D8C" w14:paraId="66D20DB1" w14:textId="77777777">
      <w:pPr>
        <w:pStyle w:val="ListParagraph"/>
        <w:numPr>
          <w:ilvl w:val="0"/>
          <w:numId w:val="2"/>
        </w:numPr>
        <w:tabs>
          <w:tab w:val="left" w:pos="1632"/>
        </w:tabs>
        <w:spacing w:line="360" w:lineRule="auto"/>
        <w:ind w:right="109"/>
        <w:rPr>
          <w:sz w:val="24"/>
        </w:rPr>
      </w:pPr>
      <w:r>
        <w:rPr>
          <w:sz w:val="24"/>
        </w:rPr>
        <w:t>All geographic subdivisions smaller than a State; including street address, city, county, precinct, zip code, and their equivalent geocodes (except for the initial three digits of a zip code if according to the current publicly available data from the Bureau of the Census the geographic unit formed by combining all zip codes with the same three</w:t>
      </w:r>
      <w:r>
        <w:rPr>
          <w:spacing w:val="-18"/>
          <w:sz w:val="24"/>
        </w:rPr>
        <w:t xml:space="preserve"> </w:t>
      </w:r>
      <w:r>
        <w:rPr>
          <w:sz w:val="24"/>
        </w:rPr>
        <w:t>initial digits contains more than 20,000 people; and the initial three digits of a zip code for all such geographic units containing 20,000 or fewer people are changed to</w:t>
      </w:r>
      <w:r>
        <w:rPr>
          <w:spacing w:val="-5"/>
          <w:sz w:val="24"/>
        </w:rPr>
        <w:t xml:space="preserve"> </w:t>
      </w:r>
      <w:r>
        <w:rPr>
          <w:sz w:val="24"/>
        </w:rPr>
        <w:t>000);</w:t>
      </w:r>
    </w:p>
    <w:p w:rsidR="003918BB" w:rsidP="0075163D" w:rsidRDefault="00781D8C" w14:paraId="543BF3B2" w14:textId="77777777">
      <w:pPr>
        <w:pStyle w:val="ListParagraph"/>
        <w:numPr>
          <w:ilvl w:val="0"/>
          <w:numId w:val="2"/>
        </w:numPr>
        <w:tabs>
          <w:tab w:val="left" w:pos="1632"/>
        </w:tabs>
        <w:spacing w:line="360" w:lineRule="auto"/>
        <w:ind w:right="322"/>
        <w:rPr>
          <w:sz w:val="24"/>
        </w:rPr>
      </w:pPr>
      <w:r>
        <w:rPr>
          <w:sz w:val="24"/>
        </w:rPr>
        <w:t>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90 or</w:t>
      </w:r>
      <w:r>
        <w:rPr>
          <w:spacing w:val="-5"/>
          <w:sz w:val="24"/>
        </w:rPr>
        <w:t xml:space="preserve"> </w:t>
      </w:r>
      <w:r>
        <w:rPr>
          <w:sz w:val="24"/>
        </w:rPr>
        <w:t>older;</w:t>
      </w:r>
    </w:p>
    <w:p w:rsidR="003918BB" w:rsidP="0075163D" w:rsidRDefault="00781D8C" w14:paraId="08E41F06" w14:textId="77777777">
      <w:pPr>
        <w:pStyle w:val="ListParagraph"/>
        <w:numPr>
          <w:ilvl w:val="0"/>
          <w:numId w:val="2"/>
        </w:numPr>
        <w:tabs>
          <w:tab w:val="left" w:pos="1632"/>
        </w:tabs>
        <w:spacing w:line="360" w:lineRule="auto"/>
        <w:rPr>
          <w:sz w:val="24"/>
        </w:rPr>
      </w:pPr>
      <w:r>
        <w:rPr>
          <w:sz w:val="24"/>
        </w:rPr>
        <w:t>Telephone</w:t>
      </w:r>
      <w:r>
        <w:rPr>
          <w:spacing w:val="-1"/>
          <w:sz w:val="24"/>
        </w:rPr>
        <w:t xml:space="preserve"> </w:t>
      </w:r>
      <w:proofErr w:type="gramStart"/>
      <w:r>
        <w:rPr>
          <w:sz w:val="24"/>
        </w:rPr>
        <w:t>numbers;</w:t>
      </w:r>
      <w:proofErr w:type="gramEnd"/>
    </w:p>
    <w:p w:rsidR="003918BB" w:rsidP="0075163D" w:rsidRDefault="00781D8C" w14:paraId="784247ED" w14:textId="77777777">
      <w:pPr>
        <w:pStyle w:val="ListParagraph"/>
        <w:numPr>
          <w:ilvl w:val="0"/>
          <w:numId w:val="2"/>
        </w:numPr>
        <w:tabs>
          <w:tab w:val="left" w:pos="1632"/>
        </w:tabs>
        <w:spacing w:line="360" w:lineRule="auto"/>
        <w:rPr>
          <w:sz w:val="24"/>
        </w:rPr>
      </w:pPr>
      <w:r>
        <w:rPr>
          <w:sz w:val="24"/>
        </w:rPr>
        <w:t>Fax</w:t>
      </w:r>
      <w:r>
        <w:rPr>
          <w:spacing w:val="-1"/>
          <w:sz w:val="24"/>
        </w:rPr>
        <w:t xml:space="preserve"> </w:t>
      </w:r>
      <w:proofErr w:type="gramStart"/>
      <w:r>
        <w:rPr>
          <w:sz w:val="24"/>
        </w:rPr>
        <w:t>numbers;</w:t>
      </w:r>
      <w:proofErr w:type="gramEnd"/>
    </w:p>
    <w:p w:rsidR="003918BB" w:rsidP="0075163D" w:rsidRDefault="00781D8C" w14:paraId="044BFD23" w14:textId="77777777">
      <w:pPr>
        <w:pStyle w:val="ListParagraph"/>
        <w:numPr>
          <w:ilvl w:val="0"/>
          <w:numId w:val="2"/>
        </w:numPr>
        <w:tabs>
          <w:tab w:val="left" w:pos="1632"/>
        </w:tabs>
        <w:spacing w:before="1" w:line="360" w:lineRule="auto"/>
        <w:rPr>
          <w:sz w:val="24"/>
        </w:rPr>
      </w:pPr>
      <w:r>
        <w:rPr>
          <w:sz w:val="24"/>
        </w:rPr>
        <w:t>Electronic mail</w:t>
      </w:r>
      <w:r>
        <w:rPr>
          <w:spacing w:val="-2"/>
          <w:sz w:val="24"/>
        </w:rPr>
        <w:t xml:space="preserve"> </w:t>
      </w:r>
      <w:proofErr w:type="gramStart"/>
      <w:r>
        <w:rPr>
          <w:sz w:val="24"/>
        </w:rPr>
        <w:t>addresses;</w:t>
      </w:r>
      <w:proofErr w:type="gramEnd"/>
    </w:p>
    <w:p w:rsidR="00F41938" w:rsidP="0075163D" w:rsidRDefault="00781D8C" w14:paraId="17BADEF2" w14:textId="77777777">
      <w:pPr>
        <w:pStyle w:val="ListParagraph"/>
        <w:numPr>
          <w:ilvl w:val="0"/>
          <w:numId w:val="2"/>
        </w:numPr>
        <w:tabs>
          <w:tab w:val="left" w:pos="1632"/>
        </w:tabs>
        <w:spacing w:line="360" w:lineRule="auto"/>
        <w:rPr>
          <w:sz w:val="24"/>
        </w:rPr>
      </w:pPr>
      <w:r w:rsidRPr="00F41938">
        <w:rPr>
          <w:sz w:val="24"/>
        </w:rPr>
        <w:t>Social security</w:t>
      </w:r>
      <w:r w:rsidRPr="00F41938">
        <w:rPr>
          <w:spacing w:val="-6"/>
          <w:sz w:val="24"/>
        </w:rPr>
        <w:t xml:space="preserve"> </w:t>
      </w:r>
      <w:proofErr w:type="gramStart"/>
      <w:r w:rsidRPr="00F41938">
        <w:rPr>
          <w:sz w:val="24"/>
        </w:rPr>
        <w:t>numbers;</w:t>
      </w:r>
      <w:proofErr w:type="gramEnd"/>
    </w:p>
    <w:p w:rsidRPr="00F41938" w:rsidR="003918BB" w:rsidP="0075163D" w:rsidRDefault="00781D8C" w14:paraId="248A5FA0" w14:textId="08A5074E">
      <w:pPr>
        <w:pStyle w:val="ListParagraph"/>
        <w:numPr>
          <w:ilvl w:val="0"/>
          <w:numId w:val="2"/>
        </w:numPr>
        <w:tabs>
          <w:tab w:val="left" w:pos="1632"/>
        </w:tabs>
        <w:spacing w:line="360" w:lineRule="auto"/>
        <w:rPr>
          <w:sz w:val="20"/>
        </w:rPr>
      </w:pPr>
      <w:r w:rsidRPr="00F41938">
        <w:rPr>
          <w:sz w:val="24"/>
        </w:rPr>
        <w:t>Medical record</w:t>
      </w:r>
      <w:r w:rsidRPr="00F41938">
        <w:rPr>
          <w:spacing w:val="-6"/>
          <w:sz w:val="24"/>
        </w:rPr>
        <w:t xml:space="preserve"> </w:t>
      </w:r>
      <w:proofErr w:type="gramStart"/>
      <w:r w:rsidRPr="00F41938">
        <w:rPr>
          <w:sz w:val="24"/>
        </w:rPr>
        <w:t>numbers;</w:t>
      </w:r>
      <w:proofErr w:type="gramEnd"/>
      <w:r w:rsidR="00F41938">
        <w:rPr>
          <w:sz w:val="24"/>
        </w:rPr>
        <w:t xml:space="preserve"> </w:t>
      </w:r>
    </w:p>
    <w:p w:rsidR="003918BB" w:rsidP="0075163D" w:rsidRDefault="00781D8C" w14:paraId="66BC698E" w14:textId="06573C83">
      <w:pPr>
        <w:pStyle w:val="ListParagraph"/>
        <w:numPr>
          <w:ilvl w:val="0"/>
          <w:numId w:val="2"/>
        </w:numPr>
        <w:tabs>
          <w:tab w:val="left" w:pos="1632"/>
        </w:tabs>
        <w:spacing w:before="60" w:line="360" w:lineRule="auto"/>
        <w:rPr>
          <w:sz w:val="24"/>
        </w:rPr>
      </w:pPr>
      <w:bookmarkStart w:name="_bookmark3" w:id="4"/>
      <w:bookmarkEnd w:id="4"/>
      <w:r>
        <w:rPr>
          <w:sz w:val="24"/>
        </w:rPr>
        <w:t>Health plan beneficiary</w:t>
      </w:r>
      <w:r>
        <w:rPr>
          <w:spacing w:val="-5"/>
          <w:sz w:val="24"/>
        </w:rPr>
        <w:t xml:space="preserve"> </w:t>
      </w:r>
      <w:proofErr w:type="gramStart"/>
      <w:r>
        <w:rPr>
          <w:sz w:val="24"/>
        </w:rPr>
        <w:t>numbers;</w:t>
      </w:r>
      <w:proofErr w:type="gramEnd"/>
    </w:p>
    <w:p w:rsidR="003918BB" w:rsidP="0075163D" w:rsidRDefault="00781D8C" w14:paraId="25BF2886" w14:textId="751A7D52">
      <w:pPr>
        <w:pStyle w:val="ListParagraph"/>
        <w:numPr>
          <w:ilvl w:val="0"/>
          <w:numId w:val="2"/>
        </w:numPr>
        <w:tabs>
          <w:tab w:val="left" w:pos="1632"/>
        </w:tabs>
        <w:spacing w:line="360" w:lineRule="auto"/>
        <w:rPr>
          <w:sz w:val="24"/>
        </w:rPr>
      </w:pPr>
      <w:r>
        <w:rPr>
          <w:sz w:val="24"/>
        </w:rPr>
        <w:t>Account numbers of any type (bank or other institutions,</w:t>
      </w:r>
      <w:r>
        <w:rPr>
          <w:spacing w:val="-6"/>
          <w:sz w:val="24"/>
        </w:rPr>
        <w:t xml:space="preserve"> </w:t>
      </w:r>
      <w:r>
        <w:rPr>
          <w:sz w:val="24"/>
        </w:rPr>
        <w:t>etc.</w:t>
      </w:r>
      <w:proofErr w:type="gramStart"/>
      <w:r>
        <w:rPr>
          <w:sz w:val="24"/>
        </w:rPr>
        <w:t>);</w:t>
      </w:r>
      <w:proofErr w:type="gramEnd"/>
    </w:p>
    <w:p w:rsidR="003918BB" w:rsidP="0075163D" w:rsidRDefault="00781D8C" w14:paraId="740129E2" w14:textId="241FBACD">
      <w:pPr>
        <w:pStyle w:val="ListParagraph"/>
        <w:numPr>
          <w:ilvl w:val="0"/>
          <w:numId w:val="2"/>
        </w:numPr>
        <w:tabs>
          <w:tab w:val="left" w:pos="1632"/>
        </w:tabs>
        <w:spacing w:line="360" w:lineRule="auto"/>
        <w:rPr>
          <w:sz w:val="24"/>
        </w:rPr>
      </w:pPr>
      <w:r>
        <w:rPr>
          <w:sz w:val="24"/>
        </w:rPr>
        <w:t>Certificate/license</w:t>
      </w:r>
      <w:r>
        <w:rPr>
          <w:spacing w:val="-1"/>
          <w:sz w:val="24"/>
        </w:rPr>
        <w:t xml:space="preserve"> </w:t>
      </w:r>
      <w:proofErr w:type="gramStart"/>
      <w:r>
        <w:rPr>
          <w:sz w:val="24"/>
        </w:rPr>
        <w:t>numbers;</w:t>
      </w:r>
      <w:proofErr w:type="gramEnd"/>
    </w:p>
    <w:p w:rsidR="003918BB" w:rsidP="0075163D" w:rsidRDefault="00781D8C" w14:paraId="7683A19D" w14:textId="6116C31E">
      <w:pPr>
        <w:pStyle w:val="ListParagraph"/>
        <w:numPr>
          <w:ilvl w:val="0"/>
          <w:numId w:val="2"/>
        </w:numPr>
        <w:tabs>
          <w:tab w:val="left" w:pos="1632"/>
        </w:tabs>
        <w:spacing w:line="360" w:lineRule="auto"/>
        <w:rPr>
          <w:sz w:val="24"/>
        </w:rPr>
      </w:pPr>
      <w:r>
        <w:rPr>
          <w:sz w:val="24"/>
        </w:rPr>
        <w:t>Vehicle identifiers and serial numbers, including license plate</w:t>
      </w:r>
      <w:r>
        <w:rPr>
          <w:spacing w:val="-6"/>
          <w:sz w:val="24"/>
        </w:rPr>
        <w:t xml:space="preserve"> </w:t>
      </w:r>
      <w:proofErr w:type="gramStart"/>
      <w:r>
        <w:rPr>
          <w:sz w:val="24"/>
        </w:rPr>
        <w:t>numbers;</w:t>
      </w:r>
      <w:proofErr w:type="gramEnd"/>
    </w:p>
    <w:p w:rsidR="003918BB" w:rsidP="0075163D" w:rsidRDefault="00781D8C" w14:paraId="3F1C9894" w14:textId="3BA499C6">
      <w:pPr>
        <w:pStyle w:val="ListParagraph"/>
        <w:numPr>
          <w:ilvl w:val="0"/>
          <w:numId w:val="2"/>
        </w:numPr>
        <w:tabs>
          <w:tab w:val="left" w:pos="1632"/>
        </w:tabs>
        <w:spacing w:line="360" w:lineRule="auto"/>
        <w:rPr>
          <w:sz w:val="24"/>
        </w:rPr>
      </w:pPr>
      <w:r>
        <w:rPr>
          <w:sz w:val="24"/>
        </w:rPr>
        <w:t>Device identifiers and serial</w:t>
      </w:r>
      <w:r>
        <w:rPr>
          <w:spacing w:val="-1"/>
          <w:sz w:val="24"/>
        </w:rPr>
        <w:t xml:space="preserve"> </w:t>
      </w:r>
      <w:proofErr w:type="gramStart"/>
      <w:r>
        <w:rPr>
          <w:sz w:val="24"/>
        </w:rPr>
        <w:t>numbers;</w:t>
      </w:r>
      <w:proofErr w:type="gramEnd"/>
    </w:p>
    <w:p w:rsidR="003918BB" w:rsidP="0075163D" w:rsidRDefault="00781D8C" w14:paraId="3A485DDB" w14:textId="0159B5D1">
      <w:pPr>
        <w:pStyle w:val="ListParagraph"/>
        <w:numPr>
          <w:ilvl w:val="0"/>
          <w:numId w:val="2"/>
        </w:numPr>
        <w:tabs>
          <w:tab w:val="left" w:pos="1632"/>
        </w:tabs>
        <w:spacing w:line="360" w:lineRule="auto"/>
        <w:rPr>
          <w:sz w:val="24"/>
        </w:rPr>
      </w:pPr>
      <w:r>
        <w:rPr>
          <w:sz w:val="24"/>
        </w:rPr>
        <w:t>Web Universal Resource Locators</w:t>
      </w:r>
      <w:r>
        <w:rPr>
          <w:spacing w:val="-3"/>
          <w:sz w:val="24"/>
        </w:rPr>
        <w:t xml:space="preserve"> </w:t>
      </w:r>
      <w:r>
        <w:rPr>
          <w:sz w:val="24"/>
        </w:rPr>
        <w:t>(URLs</w:t>
      </w:r>
      <w:proofErr w:type="gramStart"/>
      <w:r>
        <w:rPr>
          <w:sz w:val="24"/>
        </w:rPr>
        <w:t>);</w:t>
      </w:r>
      <w:proofErr w:type="gramEnd"/>
    </w:p>
    <w:p w:rsidR="003918BB" w:rsidP="0075163D" w:rsidRDefault="00781D8C" w14:paraId="50C68A4F" w14:textId="20416941">
      <w:pPr>
        <w:pStyle w:val="ListParagraph"/>
        <w:numPr>
          <w:ilvl w:val="0"/>
          <w:numId w:val="2"/>
        </w:numPr>
        <w:tabs>
          <w:tab w:val="left" w:pos="1632"/>
        </w:tabs>
        <w:spacing w:line="360" w:lineRule="auto"/>
        <w:rPr>
          <w:sz w:val="24"/>
        </w:rPr>
      </w:pPr>
      <w:r>
        <w:rPr>
          <w:sz w:val="24"/>
        </w:rPr>
        <w:t>Internet Protocol (IP) address</w:t>
      </w:r>
      <w:r>
        <w:rPr>
          <w:spacing w:val="-1"/>
          <w:sz w:val="24"/>
        </w:rPr>
        <w:t xml:space="preserve"> </w:t>
      </w:r>
      <w:proofErr w:type="gramStart"/>
      <w:r>
        <w:rPr>
          <w:sz w:val="24"/>
        </w:rPr>
        <w:t>numbers;</w:t>
      </w:r>
      <w:proofErr w:type="gramEnd"/>
    </w:p>
    <w:p w:rsidR="003918BB" w:rsidP="0075163D" w:rsidRDefault="00781D8C" w14:paraId="14149D43" w14:textId="0C8C83E5">
      <w:pPr>
        <w:pStyle w:val="ListParagraph"/>
        <w:numPr>
          <w:ilvl w:val="0"/>
          <w:numId w:val="2"/>
        </w:numPr>
        <w:tabs>
          <w:tab w:val="left" w:pos="1632"/>
        </w:tabs>
        <w:spacing w:line="360" w:lineRule="auto"/>
        <w:rPr>
          <w:sz w:val="24"/>
        </w:rPr>
      </w:pPr>
      <w:r>
        <w:rPr>
          <w:sz w:val="24"/>
        </w:rPr>
        <w:t>Biometric identifiers, including finger and voice</w:t>
      </w:r>
      <w:r>
        <w:rPr>
          <w:spacing w:val="-4"/>
          <w:sz w:val="24"/>
        </w:rPr>
        <w:t xml:space="preserve"> </w:t>
      </w:r>
      <w:proofErr w:type="gramStart"/>
      <w:r>
        <w:rPr>
          <w:sz w:val="24"/>
        </w:rPr>
        <w:t>prints;</w:t>
      </w:r>
      <w:proofErr w:type="gramEnd"/>
    </w:p>
    <w:p w:rsidR="003918BB" w:rsidP="0075163D" w:rsidRDefault="00781D8C" w14:paraId="74DC6BD5" w14:textId="5C033CC8">
      <w:pPr>
        <w:pStyle w:val="ListParagraph"/>
        <w:numPr>
          <w:ilvl w:val="0"/>
          <w:numId w:val="2"/>
        </w:numPr>
        <w:tabs>
          <w:tab w:val="left" w:pos="1632"/>
        </w:tabs>
        <w:spacing w:line="360" w:lineRule="auto"/>
        <w:rPr>
          <w:sz w:val="24"/>
        </w:rPr>
      </w:pPr>
      <w:r>
        <w:rPr>
          <w:sz w:val="24"/>
        </w:rPr>
        <w:t>Full face photographic images and any comparable images;</w:t>
      </w:r>
      <w:r>
        <w:rPr>
          <w:spacing w:val="-4"/>
          <w:sz w:val="24"/>
        </w:rPr>
        <w:t xml:space="preserve"> </w:t>
      </w:r>
      <w:r>
        <w:rPr>
          <w:sz w:val="24"/>
        </w:rPr>
        <w:t>and</w:t>
      </w:r>
    </w:p>
    <w:p w:rsidR="003918BB" w:rsidP="0075163D" w:rsidRDefault="00781D8C" w14:paraId="743DA0B4" w14:textId="37A80CD8">
      <w:pPr>
        <w:pStyle w:val="ListParagraph"/>
        <w:numPr>
          <w:ilvl w:val="0"/>
          <w:numId w:val="2"/>
        </w:numPr>
        <w:tabs>
          <w:tab w:val="left" w:pos="1632"/>
        </w:tabs>
        <w:spacing w:line="360" w:lineRule="auto"/>
        <w:rPr>
          <w:sz w:val="24"/>
        </w:rPr>
      </w:pPr>
      <w:r>
        <w:rPr>
          <w:sz w:val="24"/>
        </w:rPr>
        <w:t>Any other unique identifying number, characteristic, or</w:t>
      </w:r>
      <w:r>
        <w:rPr>
          <w:spacing w:val="-2"/>
          <w:sz w:val="24"/>
        </w:rPr>
        <w:t xml:space="preserve"> </w:t>
      </w:r>
      <w:r>
        <w:rPr>
          <w:sz w:val="24"/>
        </w:rPr>
        <w:t>code.</w:t>
      </w:r>
    </w:p>
    <w:p w:rsidR="003918BB" w:rsidP="0075163D" w:rsidRDefault="003918BB" w14:paraId="1F6368FD" w14:textId="77777777">
      <w:pPr>
        <w:pStyle w:val="BodyText"/>
        <w:spacing w:line="360" w:lineRule="auto"/>
        <w:rPr>
          <w:sz w:val="20"/>
        </w:rPr>
      </w:pPr>
      <w:bookmarkStart w:name="Required_Safeguards_regarding_the_use_of" w:id="5"/>
      <w:bookmarkStart w:name="_bookmark4" w:id="6"/>
      <w:bookmarkEnd w:id="5"/>
      <w:bookmarkEnd w:id="6"/>
    </w:p>
    <w:p w:rsidR="003918BB" w:rsidP="0075163D" w:rsidRDefault="003918BB" w14:paraId="43BF6550" w14:textId="77777777">
      <w:pPr>
        <w:pStyle w:val="BodyText"/>
        <w:spacing w:before="5" w:line="360" w:lineRule="auto"/>
        <w:rPr>
          <w:sz w:val="20"/>
        </w:rPr>
      </w:pPr>
    </w:p>
    <w:p w:rsidR="003918BB" w:rsidP="0075163D" w:rsidRDefault="003918BB" w14:paraId="7A8BD4B6" w14:textId="77777777">
      <w:pPr>
        <w:spacing w:line="360" w:lineRule="auto"/>
        <w:jc w:val="both"/>
        <w:rPr>
          <w:rFonts w:ascii="Calibri"/>
          <w:sz w:val="20"/>
        </w:rPr>
        <w:sectPr w:rsidR="003918BB">
          <w:headerReference w:type="even" r:id="rId15"/>
          <w:headerReference w:type="default" r:id="rId16"/>
          <w:footerReference w:type="even" r:id="rId17"/>
          <w:footerReference w:type="default" r:id="rId18"/>
          <w:headerReference w:type="first" r:id="rId19"/>
          <w:footerReference w:type="first" r:id="rId20"/>
          <w:pgSz w:w="12240" w:h="15840"/>
          <w:pgMar w:top="1020" w:right="980" w:bottom="1180" w:left="960" w:header="0" w:footer="981" w:gutter="0"/>
          <w:cols w:space="720"/>
        </w:sectPr>
      </w:pPr>
      <w:bookmarkStart w:name="_bookmark6" w:id="7"/>
      <w:bookmarkEnd w:id="7"/>
    </w:p>
    <w:p w:rsidRPr="00B31F06" w:rsidR="009749E3" w:rsidP="0075163D" w:rsidRDefault="009749E3" w14:paraId="5C6EF9DB" w14:textId="7E7EDE75">
      <w:pPr>
        <w:pStyle w:val="Heading1"/>
        <w:spacing w:before="60" w:line="360" w:lineRule="auto"/>
        <w:rPr>
          <w:color w:val="007083"/>
          <w:sz w:val="24"/>
          <w:szCs w:val="24"/>
        </w:rPr>
      </w:pPr>
      <w:bookmarkStart w:name="Confidentiality_Statement_of_Understandi" w:id="8"/>
      <w:bookmarkStart w:name="_bookmark7" w:id="9"/>
      <w:bookmarkEnd w:id="8"/>
      <w:bookmarkEnd w:id="9"/>
      <w:r w:rsidRPr="00B31F06">
        <w:rPr>
          <w:color w:val="007083"/>
          <w:sz w:val="24"/>
          <w:szCs w:val="24"/>
        </w:rPr>
        <w:lastRenderedPageBreak/>
        <w:t>Data Security and Confidentiality Policies and Procedures</w:t>
      </w:r>
    </w:p>
    <w:p w:rsidRPr="00B31F06" w:rsidR="009749E3" w:rsidP="0075163D" w:rsidRDefault="009749E3" w14:paraId="64292976" w14:textId="1A28708E">
      <w:pPr>
        <w:pStyle w:val="Heading1"/>
        <w:spacing w:before="60" w:line="360" w:lineRule="auto"/>
        <w:rPr>
          <w:color w:val="007083"/>
          <w:sz w:val="24"/>
          <w:szCs w:val="24"/>
        </w:rPr>
      </w:pPr>
    </w:p>
    <w:p w:rsidRPr="00B31F06" w:rsidR="009749E3" w:rsidP="0075163D" w:rsidRDefault="009749E3" w14:paraId="38014650" w14:textId="4C9BB740">
      <w:pPr>
        <w:widowControl/>
        <w:adjustRightInd w:val="0"/>
        <w:spacing w:after="180" w:line="360" w:lineRule="auto"/>
        <w:ind w:left="120"/>
        <w:rPr>
          <w:rFonts w:eastAsiaTheme="minorHAnsi"/>
          <w:color w:val="000000"/>
          <w:sz w:val="24"/>
          <w:szCs w:val="24"/>
          <w:lang w:bidi="ar-SA"/>
        </w:rPr>
      </w:pPr>
      <w:r w:rsidRPr="00B31F06">
        <w:rPr>
          <w:rFonts w:eastAsiaTheme="minorHAnsi"/>
          <w:color w:val="007083"/>
          <w:sz w:val="24"/>
          <w:szCs w:val="24"/>
          <w:lang w:bidi="ar-SA"/>
        </w:rPr>
        <w:t>Training—CDC/ATSDR responders</w:t>
      </w:r>
      <w:r w:rsidRPr="00B31F06">
        <w:rPr>
          <w:rFonts w:eastAsiaTheme="minorHAnsi"/>
          <w:b/>
          <w:bCs/>
          <w:color w:val="007083"/>
          <w:sz w:val="24"/>
          <w:szCs w:val="24"/>
          <w:lang w:bidi="ar-SA"/>
        </w:rPr>
        <w:t xml:space="preserve"> </w:t>
      </w:r>
      <w:r w:rsidRPr="00B31F06">
        <w:rPr>
          <w:rFonts w:eastAsiaTheme="minorHAnsi"/>
          <w:color w:val="000000"/>
          <w:sz w:val="24"/>
          <w:szCs w:val="24"/>
          <w:lang w:bidi="ar-SA"/>
        </w:rPr>
        <w:t xml:space="preserve">authorized to access and use public health data are responsible for adhering to their programs’ data security and confidentiality policies and procedures and should receive ongoing training on an annual basis on the appropriate collection, storage, use, and dissemination of data as defined by these policies. </w:t>
      </w:r>
    </w:p>
    <w:p w:rsidRPr="0084305F" w:rsidR="009749E3" w:rsidP="0075163D" w:rsidRDefault="009749E3" w14:paraId="59557420" w14:textId="562C488B">
      <w:pPr>
        <w:pStyle w:val="ListParagraph"/>
        <w:widowControl/>
        <w:numPr>
          <w:ilvl w:val="0"/>
          <w:numId w:val="7"/>
        </w:numPr>
        <w:adjustRightInd w:val="0"/>
        <w:spacing w:before="620" w:line="360" w:lineRule="auto"/>
        <w:rPr>
          <w:rFonts w:eastAsiaTheme="minorHAnsi"/>
          <w:color w:val="007083"/>
          <w:sz w:val="24"/>
          <w:szCs w:val="24"/>
          <w:lang w:bidi="ar-SA"/>
        </w:rPr>
      </w:pPr>
      <w:r w:rsidRPr="0084305F">
        <w:rPr>
          <w:rFonts w:eastAsiaTheme="minorHAnsi"/>
          <w:color w:val="007083"/>
          <w:sz w:val="24"/>
          <w:szCs w:val="24"/>
          <w:lang w:bidi="ar-SA"/>
        </w:rPr>
        <w:t xml:space="preserve">PROGRAM POLICIES AND RESPONSIBILITIES </w:t>
      </w:r>
    </w:p>
    <w:p w:rsidR="00B31F06" w:rsidP="0075163D" w:rsidRDefault="00B31F06" w14:paraId="7D3B1E1B" w14:textId="77777777">
      <w:pPr>
        <w:pStyle w:val="Heading1"/>
        <w:spacing w:before="60" w:line="360" w:lineRule="auto"/>
        <w:rPr>
          <w:rFonts w:eastAsiaTheme="minorHAnsi"/>
          <w:color w:val="00928A"/>
          <w:sz w:val="24"/>
          <w:szCs w:val="24"/>
          <w:u w:val="single"/>
          <w:lang w:bidi="ar-SA"/>
        </w:rPr>
      </w:pPr>
    </w:p>
    <w:p w:rsidR="009749E3" w:rsidP="0075163D" w:rsidRDefault="00F16EEF" w14:paraId="43B711D6" w14:textId="606013F9">
      <w:pPr>
        <w:pStyle w:val="Heading1"/>
        <w:spacing w:before="60" w:line="360" w:lineRule="auto"/>
        <w:ind w:left="0"/>
        <w:rPr>
          <w:rFonts w:eastAsiaTheme="minorHAnsi"/>
          <w:color w:val="007E91"/>
          <w:sz w:val="24"/>
          <w:szCs w:val="24"/>
          <w:lang w:bidi="ar-SA"/>
        </w:rPr>
      </w:pPr>
      <w:r>
        <w:rPr>
          <w:rFonts w:eastAsiaTheme="minorHAnsi"/>
          <w:color w:val="00928A"/>
          <w:sz w:val="24"/>
          <w:szCs w:val="24"/>
          <w:u w:val="single"/>
          <w:lang w:bidi="ar-SA"/>
        </w:rPr>
        <w:t>Creating policies and procedures</w:t>
      </w:r>
      <w:r w:rsidRPr="00B31F06" w:rsidR="009749E3">
        <w:rPr>
          <w:rFonts w:eastAsiaTheme="minorHAnsi"/>
          <w:color w:val="007E91"/>
          <w:sz w:val="24"/>
          <w:szCs w:val="24"/>
          <w:lang w:bidi="ar-SA"/>
        </w:rPr>
        <w:t>.</w:t>
      </w:r>
      <w:r>
        <w:rPr>
          <w:rFonts w:eastAsiaTheme="minorHAnsi"/>
          <w:color w:val="007E91"/>
          <w:sz w:val="24"/>
          <w:szCs w:val="24"/>
          <w:lang w:bidi="ar-SA"/>
        </w:rPr>
        <w:t xml:space="preserve"> </w:t>
      </w:r>
    </w:p>
    <w:p w:rsidR="00B31F06" w:rsidP="0075163D" w:rsidRDefault="00B31F06" w14:paraId="09017605" w14:textId="26F2912B">
      <w:pPr>
        <w:pStyle w:val="Heading1"/>
        <w:numPr>
          <w:ilvl w:val="0"/>
          <w:numId w:val="8"/>
        </w:numPr>
        <w:spacing w:before="60" w:line="360" w:lineRule="auto"/>
        <w:rPr>
          <w:rFonts w:cs="Myriad Pro"/>
          <w:bCs/>
          <w:color w:val="007E91"/>
          <w:sz w:val="24"/>
          <w:szCs w:val="24"/>
        </w:rPr>
      </w:pPr>
      <w:r w:rsidRPr="00B31F06">
        <w:rPr>
          <w:rFonts w:cs="Myriad Pro"/>
          <w:bCs/>
          <w:color w:val="007E91"/>
          <w:sz w:val="24"/>
          <w:szCs w:val="24"/>
        </w:rPr>
        <w:t xml:space="preserve">Designate a person or persons to act as the overall responsible party (ORP) for the security of </w:t>
      </w:r>
      <w:r w:rsidR="00F16EEF">
        <w:rPr>
          <w:rFonts w:cs="Myriad Pro"/>
          <w:bCs/>
          <w:color w:val="007E91"/>
          <w:sz w:val="24"/>
          <w:szCs w:val="24"/>
        </w:rPr>
        <w:t>collected d</w:t>
      </w:r>
      <w:r w:rsidRPr="00B31F06">
        <w:rPr>
          <w:rFonts w:cs="Myriad Pro"/>
          <w:bCs/>
          <w:color w:val="007E91"/>
          <w:sz w:val="24"/>
          <w:szCs w:val="24"/>
        </w:rPr>
        <w:t>ata.</w:t>
      </w:r>
    </w:p>
    <w:p w:rsidRPr="00B31F06" w:rsidR="00B31F06" w:rsidP="0075163D" w:rsidRDefault="00B31F06" w14:paraId="57337DA6" w14:textId="4CE075D5">
      <w:pPr>
        <w:pStyle w:val="Heading1"/>
        <w:numPr>
          <w:ilvl w:val="0"/>
          <w:numId w:val="8"/>
        </w:numPr>
        <w:spacing w:before="60" w:line="360" w:lineRule="auto"/>
        <w:rPr>
          <w:color w:val="365F91"/>
          <w:sz w:val="24"/>
          <w:szCs w:val="24"/>
        </w:rPr>
      </w:pPr>
      <w:r w:rsidRPr="00B31F06">
        <w:rPr>
          <w:rFonts w:cs="Myriad Pro"/>
          <w:color w:val="007E91"/>
          <w:sz w:val="24"/>
          <w:szCs w:val="24"/>
        </w:rPr>
        <w:t>Ensure that data security policies define the roles and access levels of all persons with authorized access to confidential public health data and the procedures for accessing data securely.</w:t>
      </w:r>
    </w:p>
    <w:p w:rsidR="00F16EEF" w:rsidP="0075163D" w:rsidRDefault="00F16EEF" w14:paraId="388FB96A" w14:textId="7A58ABD0">
      <w:pPr>
        <w:pStyle w:val="Heading1"/>
        <w:numPr>
          <w:ilvl w:val="0"/>
          <w:numId w:val="8"/>
        </w:numPr>
        <w:spacing w:before="60" w:line="360" w:lineRule="auto"/>
        <w:rPr>
          <w:color w:val="365F91"/>
        </w:rPr>
      </w:pPr>
      <w:r w:rsidRPr="00F16EEF">
        <w:rPr>
          <w:rFonts w:cs="Myriad Pro"/>
          <w:bCs/>
          <w:color w:val="007E91"/>
          <w:sz w:val="23"/>
          <w:szCs w:val="23"/>
        </w:rPr>
        <w:t xml:space="preserve">Ensure that data security policies require ongoing reviews of evolving technologies and include a computer back-up or disaster recovery plan. </w:t>
      </w:r>
      <w:r>
        <w:rPr>
          <w:rFonts w:cs="Myriad Pro"/>
          <w:color w:val="000000"/>
          <w:sz w:val="22"/>
          <w:szCs w:val="22"/>
        </w:rPr>
        <w:t xml:space="preserve">The </w:t>
      </w:r>
      <w:r>
        <w:rPr>
          <w:rStyle w:val="A12"/>
        </w:rPr>
        <w:t>National Institute of Standards and Technology Special Publication 800-34</w:t>
      </w:r>
      <w:r>
        <w:rPr>
          <w:rFonts w:cs="Myriad Pro"/>
          <w:color w:val="000000"/>
          <w:sz w:val="22"/>
          <w:szCs w:val="22"/>
        </w:rPr>
        <w:t xml:space="preserve">, </w:t>
      </w:r>
      <w:r>
        <w:rPr>
          <w:rStyle w:val="A12"/>
        </w:rPr>
        <w:t xml:space="preserve">Contingency Planning Guide for Federal Information Systems </w:t>
      </w:r>
      <w:r>
        <w:rPr>
          <w:rFonts w:cs="Myriad Pro"/>
          <w:color w:val="000000"/>
          <w:sz w:val="22"/>
          <w:szCs w:val="22"/>
        </w:rPr>
        <w:t xml:space="preserve">contains guidance on contingency planning for IT resources and is available at: </w:t>
      </w:r>
      <w:proofErr w:type="gramStart"/>
      <w:r>
        <w:rPr>
          <w:rStyle w:val="A12"/>
        </w:rPr>
        <w:t xml:space="preserve">http://csrc.nist.gov/publications/PubsSPs.html </w:t>
      </w:r>
      <w:r>
        <w:rPr>
          <w:rFonts w:cs="Myriad Pro"/>
          <w:color w:val="000000"/>
          <w:sz w:val="22"/>
          <w:szCs w:val="22"/>
        </w:rPr>
        <w:t>.</w:t>
      </w:r>
      <w:proofErr w:type="gramEnd"/>
      <w:r>
        <w:rPr>
          <w:rFonts w:cs="Myriad Pro"/>
          <w:color w:val="000000"/>
          <w:sz w:val="22"/>
          <w:szCs w:val="22"/>
        </w:rPr>
        <w:t xml:space="preserve"> </w:t>
      </w:r>
      <w:r>
        <w:rPr>
          <w:rStyle w:val="A9"/>
        </w:rPr>
        <w:t>25</w:t>
      </w:r>
    </w:p>
    <w:p w:rsidRPr="00F16EEF" w:rsidR="00B31F06" w:rsidP="0075163D" w:rsidRDefault="00F16EEF" w14:paraId="5064A537" w14:textId="6F4B3065">
      <w:pPr>
        <w:pStyle w:val="Heading1"/>
        <w:numPr>
          <w:ilvl w:val="0"/>
          <w:numId w:val="8"/>
        </w:numPr>
        <w:spacing w:before="60" w:line="360" w:lineRule="auto"/>
        <w:rPr>
          <w:bCs/>
          <w:color w:val="365F91"/>
        </w:rPr>
      </w:pPr>
      <w:r w:rsidRPr="00F16EEF">
        <w:rPr>
          <w:bCs/>
          <w:color w:val="007E91"/>
          <w:sz w:val="23"/>
          <w:szCs w:val="23"/>
        </w:rPr>
        <w:t xml:space="preserve">Ensure that any breach of data security protocol, regardless of whether personal information was released, is reported to the </w:t>
      </w:r>
      <w:proofErr w:type="gramStart"/>
      <w:r w:rsidRPr="00F16EEF">
        <w:rPr>
          <w:bCs/>
          <w:color w:val="007E91"/>
          <w:sz w:val="23"/>
          <w:szCs w:val="23"/>
        </w:rPr>
        <w:t>ORP</w:t>
      </w:r>
      <w:proofErr w:type="gramEnd"/>
      <w:r w:rsidRPr="00F16EEF">
        <w:rPr>
          <w:bCs/>
          <w:color w:val="007E91"/>
          <w:sz w:val="23"/>
          <w:szCs w:val="23"/>
        </w:rPr>
        <w:t xml:space="preserve"> and investigated immediately. Any breach that results in the release of PII to unauthorized persons should be reported to the ORP, to CDC, and, if warranted to law enforcement agencies.</w:t>
      </w:r>
    </w:p>
    <w:p w:rsidR="00F16EEF" w:rsidP="0075163D" w:rsidRDefault="00F16EEF" w14:paraId="66FCEC17" w14:textId="0622EA75">
      <w:pPr>
        <w:pStyle w:val="Heading1"/>
        <w:numPr>
          <w:ilvl w:val="0"/>
          <w:numId w:val="8"/>
        </w:numPr>
        <w:spacing w:before="60" w:line="360" w:lineRule="auto"/>
        <w:rPr>
          <w:rFonts w:cs="Myriad Pro"/>
          <w:bCs/>
          <w:color w:val="007E91"/>
          <w:sz w:val="23"/>
          <w:szCs w:val="23"/>
        </w:rPr>
      </w:pPr>
      <w:r w:rsidRPr="00F16EEF">
        <w:rPr>
          <w:rFonts w:cs="Myriad Pro"/>
          <w:bCs/>
          <w:color w:val="007E91"/>
          <w:sz w:val="23"/>
          <w:szCs w:val="23"/>
        </w:rPr>
        <w:t>Ensure that staff members with access to</w:t>
      </w:r>
      <w:r w:rsidR="0084305F">
        <w:rPr>
          <w:rFonts w:cs="Myriad Pro"/>
          <w:bCs/>
          <w:color w:val="007E91"/>
          <w:sz w:val="23"/>
          <w:szCs w:val="23"/>
        </w:rPr>
        <w:t xml:space="preserve"> PII</w:t>
      </w:r>
      <w:r w:rsidRPr="00F16EEF">
        <w:rPr>
          <w:rFonts w:cs="Myriad Pro"/>
          <w:bCs/>
          <w:color w:val="007E91"/>
          <w:sz w:val="23"/>
          <w:szCs w:val="23"/>
        </w:rPr>
        <w:t xml:space="preserve"> attend data security and confidentiality training annually.</w:t>
      </w:r>
    </w:p>
    <w:p w:rsidR="00F16EEF" w:rsidP="0075163D" w:rsidRDefault="0084305F" w14:paraId="1BDFC0E8" w14:textId="4D4C0F1C">
      <w:pPr>
        <w:pStyle w:val="Heading1"/>
        <w:numPr>
          <w:ilvl w:val="0"/>
          <w:numId w:val="8"/>
        </w:numPr>
        <w:spacing w:before="60" w:line="360" w:lineRule="auto"/>
        <w:rPr>
          <w:rFonts w:cs="Myriad Pro"/>
          <w:bCs/>
          <w:color w:val="007E91"/>
          <w:sz w:val="23"/>
          <w:szCs w:val="23"/>
        </w:rPr>
      </w:pPr>
      <w:r w:rsidRPr="0084305F">
        <w:rPr>
          <w:rFonts w:cs="Myriad Pro"/>
          <w:bCs/>
          <w:color w:val="007E91"/>
          <w:sz w:val="23"/>
          <w:szCs w:val="23"/>
        </w:rPr>
        <w:t xml:space="preserve">Require all </w:t>
      </w:r>
      <w:r w:rsidR="0075163D">
        <w:rPr>
          <w:rFonts w:cs="Myriad Pro"/>
          <w:bCs/>
          <w:color w:val="007E91"/>
          <w:sz w:val="23"/>
          <w:szCs w:val="23"/>
        </w:rPr>
        <w:t xml:space="preserve">ACE </w:t>
      </w:r>
      <w:r>
        <w:rPr>
          <w:rFonts w:cs="Myriad Pro"/>
          <w:bCs/>
          <w:color w:val="007E91"/>
          <w:sz w:val="23"/>
          <w:szCs w:val="23"/>
        </w:rPr>
        <w:t xml:space="preserve">responders </w:t>
      </w:r>
      <w:r w:rsidRPr="0084305F">
        <w:rPr>
          <w:rFonts w:cs="Myriad Pro"/>
          <w:bCs/>
          <w:color w:val="007E91"/>
          <w:sz w:val="23"/>
          <w:szCs w:val="23"/>
        </w:rPr>
        <w:t xml:space="preserve">to sign a confidentiality agreement before being given access to identifiable </w:t>
      </w:r>
      <w:proofErr w:type="gramStart"/>
      <w:r w:rsidRPr="0084305F">
        <w:rPr>
          <w:rFonts w:cs="Myriad Pro"/>
          <w:bCs/>
          <w:color w:val="007E91"/>
          <w:sz w:val="23"/>
          <w:szCs w:val="23"/>
        </w:rPr>
        <w:t>information</w:t>
      </w:r>
      <w:r w:rsidR="0075163D">
        <w:rPr>
          <w:rFonts w:cs="Myriad Pro"/>
          <w:bCs/>
          <w:color w:val="007E91"/>
          <w:sz w:val="23"/>
          <w:szCs w:val="23"/>
        </w:rPr>
        <w:t>;</w:t>
      </w:r>
      <w:proofErr w:type="gramEnd"/>
    </w:p>
    <w:p w:rsidRPr="0084305F" w:rsidR="0084305F" w:rsidP="0075163D" w:rsidRDefault="0084305F" w14:paraId="74C2F765" w14:textId="5C317FC9">
      <w:pPr>
        <w:pStyle w:val="Heading1"/>
        <w:numPr>
          <w:ilvl w:val="0"/>
          <w:numId w:val="8"/>
        </w:numPr>
        <w:spacing w:before="60" w:line="360" w:lineRule="auto"/>
        <w:rPr>
          <w:b/>
          <w:color w:val="365F91"/>
        </w:rPr>
      </w:pPr>
      <w:r w:rsidRPr="0084305F">
        <w:rPr>
          <w:rFonts w:cs="Myriad Pro"/>
          <w:color w:val="007E91"/>
          <w:sz w:val="23"/>
          <w:szCs w:val="23"/>
        </w:rPr>
        <w:t>Ensure that all persons who have authorized access to confidential public health data take responsibility for 1) implementing the program’s data security policies and procedures, 2) protecting the security of any device in their possession on which PII are stored, and 3) reporting suspected security breaches.</w:t>
      </w:r>
    </w:p>
    <w:p w:rsidR="003918BB" w:rsidP="0075163D" w:rsidRDefault="003918BB" w14:paraId="7BD11471" w14:textId="0CCAECD1">
      <w:pPr>
        <w:pStyle w:val="BodyText"/>
        <w:spacing w:before="11" w:line="360" w:lineRule="auto"/>
        <w:rPr>
          <w:sz w:val="34"/>
        </w:rPr>
      </w:pPr>
    </w:p>
    <w:p w:rsidRPr="0084305F" w:rsidR="0084305F" w:rsidP="0075163D" w:rsidRDefault="0084305F" w14:paraId="5FEBCDD7" w14:textId="5D1818E8">
      <w:pPr>
        <w:pStyle w:val="BodyText"/>
        <w:numPr>
          <w:ilvl w:val="0"/>
          <w:numId w:val="7"/>
        </w:numPr>
        <w:spacing w:before="11" w:line="360" w:lineRule="auto"/>
        <w:rPr>
          <w:rFonts w:cs="Myriad Pro"/>
          <w:b/>
          <w:bCs/>
          <w:color w:val="007083"/>
        </w:rPr>
      </w:pPr>
      <w:r w:rsidRPr="0084305F">
        <w:rPr>
          <w:rFonts w:cs="Myriad Pro"/>
          <w:b/>
          <w:bCs/>
          <w:color w:val="007083"/>
        </w:rPr>
        <w:lastRenderedPageBreak/>
        <w:t>DATA COLLECTION AND USE</w:t>
      </w:r>
    </w:p>
    <w:p w:rsidRPr="005C16FC" w:rsidR="0084305F" w:rsidP="0075163D" w:rsidRDefault="00F41938" w14:paraId="76F0939F" w14:textId="5414262F">
      <w:pPr>
        <w:pStyle w:val="BodyText"/>
        <w:numPr>
          <w:ilvl w:val="0"/>
          <w:numId w:val="9"/>
        </w:numPr>
        <w:spacing w:before="11" w:line="360" w:lineRule="auto"/>
        <w:rPr>
          <w:sz w:val="34"/>
        </w:rPr>
      </w:pPr>
      <w:r w:rsidRPr="00F41938">
        <w:rPr>
          <w:rFonts w:cs="Myriad Pro"/>
          <w:color w:val="007E91"/>
          <w:sz w:val="23"/>
          <w:szCs w:val="23"/>
        </w:rPr>
        <w:t>Clearly specify the purpose for which the data will be collected.</w:t>
      </w:r>
    </w:p>
    <w:p w:rsidRPr="005C16FC" w:rsidR="00F41938" w:rsidP="0075163D" w:rsidRDefault="00F41938" w14:paraId="2409BCF5" w14:textId="11140280">
      <w:pPr>
        <w:pStyle w:val="BodyText"/>
        <w:numPr>
          <w:ilvl w:val="0"/>
          <w:numId w:val="9"/>
        </w:numPr>
        <w:spacing w:before="11" w:line="360" w:lineRule="auto"/>
        <w:rPr>
          <w:sz w:val="34"/>
        </w:rPr>
      </w:pPr>
      <w:r w:rsidRPr="005C16FC">
        <w:rPr>
          <w:rFonts w:cs="Myriad Pro"/>
          <w:color w:val="007E91"/>
          <w:sz w:val="23"/>
          <w:szCs w:val="23"/>
        </w:rPr>
        <w:t>Collect and use the minimum information needed to conduct specified public health activities and achieve the stated public health purpose.</w:t>
      </w:r>
    </w:p>
    <w:p w:rsidRPr="0075163D" w:rsidR="00F41938" w:rsidP="0075163D" w:rsidRDefault="00F41938" w14:paraId="47B0A8A3" w14:textId="3F2382AF">
      <w:pPr>
        <w:pStyle w:val="BodyText"/>
        <w:numPr>
          <w:ilvl w:val="0"/>
          <w:numId w:val="9"/>
        </w:numPr>
        <w:spacing w:before="11" w:line="360" w:lineRule="auto"/>
        <w:rPr>
          <w:sz w:val="34"/>
        </w:rPr>
      </w:pPr>
      <w:r w:rsidRPr="005C16FC">
        <w:rPr>
          <w:rFonts w:cs="Myriad Pro"/>
          <w:color w:val="007E91"/>
          <w:sz w:val="23"/>
          <w:szCs w:val="23"/>
        </w:rPr>
        <w:t>Collect personally identifiable data only when necessary; use nonidentifiable data whenever possible.</w:t>
      </w:r>
    </w:p>
    <w:p w:rsidRPr="0075163D" w:rsidR="008A03B2" w:rsidP="0075163D" w:rsidRDefault="008A03B2" w14:paraId="316057BE" w14:textId="79EC81A1">
      <w:pPr>
        <w:pStyle w:val="BodyText"/>
        <w:numPr>
          <w:ilvl w:val="0"/>
          <w:numId w:val="9"/>
        </w:numPr>
        <w:spacing w:before="11" w:line="360" w:lineRule="auto"/>
        <w:rPr>
          <w:sz w:val="34"/>
        </w:rPr>
      </w:pPr>
      <w:r>
        <w:rPr>
          <w:rFonts w:cs="Myriad Pro"/>
          <w:color w:val="007E91"/>
          <w:sz w:val="23"/>
          <w:szCs w:val="23"/>
        </w:rPr>
        <w:t xml:space="preserve">Use only CDC encrypted devices to </w:t>
      </w:r>
      <w:r w:rsidR="0075163D">
        <w:rPr>
          <w:rFonts w:cs="Myriad Pro"/>
          <w:color w:val="007E91"/>
          <w:sz w:val="23"/>
          <w:szCs w:val="23"/>
        </w:rPr>
        <w:t>collect</w:t>
      </w:r>
      <w:r>
        <w:rPr>
          <w:rFonts w:cs="Myriad Pro"/>
          <w:color w:val="007E91"/>
          <w:sz w:val="23"/>
          <w:szCs w:val="23"/>
        </w:rPr>
        <w:t xml:space="preserve"> data</w:t>
      </w:r>
      <w:r w:rsidR="001B1991">
        <w:rPr>
          <w:rFonts w:cs="Myriad Pro"/>
          <w:color w:val="007E91"/>
          <w:sz w:val="23"/>
          <w:szCs w:val="23"/>
        </w:rPr>
        <w:t>.</w:t>
      </w:r>
      <w:r>
        <w:rPr>
          <w:rFonts w:cs="Myriad Pro"/>
          <w:color w:val="007E91"/>
          <w:sz w:val="23"/>
          <w:szCs w:val="23"/>
        </w:rPr>
        <w:t xml:space="preserve"> </w:t>
      </w:r>
    </w:p>
    <w:p w:rsidRPr="0075163D" w:rsidR="008A03B2" w:rsidP="43EB5C37" w:rsidRDefault="008A03B2" w14:paraId="505956A1" w14:textId="79DB2691">
      <w:pPr>
        <w:pStyle w:val="BodyText"/>
        <w:numPr>
          <w:ilvl w:val="0"/>
          <w:numId w:val="9"/>
        </w:numPr>
        <w:spacing w:before="11" w:line="360" w:lineRule="auto"/>
        <w:rPr>
          <w:sz w:val="34"/>
          <w:szCs w:val="34"/>
        </w:rPr>
      </w:pPr>
      <w:r w:rsidRPr="43EB5C37">
        <w:rPr>
          <w:rFonts w:cs="Myriad Pro"/>
          <w:color w:val="007E91"/>
          <w:sz w:val="23"/>
          <w:szCs w:val="23"/>
        </w:rPr>
        <w:t xml:space="preserve">Make sure that data are transferred to one main </w:t>
      </w:r>
      <w:r w:rsidRPr="43EB5C37" w:rsidR="001B1991">
        <w:rPr>
          <w:rFonts w:cs="Myriad Pro"/>
          <w:color w:val="007E91"/>
          <w:sz w:val="23"/>
          <w:szCs w:val="23"/>
        </w:rPr>
        <w:t>device</w:t>
      </w:r>
      <w:r w:rsidRPr="43EB5C37">
        <w:rPr>
          <w:rFonts w:cs="Myriad Pro"/>
          <w:color w:val="007E91"/>
          <w:sz w:val="23"/>
          <w:szCs w:val="23"/>
        </w:rPr>
        <w:t xml:space="preserve"> either by encrypted </w:t>
      </w:r>
      <w:r w:rsidRPr="43EB5C37" w:rsidR="001B1991">
        <w:rPr>
          <w:rFonts w:cs="Myriad Pro"/>
          <w:color w:val="007E91"/>
          <w:sz w:val="23"/>
          <w:szCs w:val="23"/>
        </w:rPr>
        <w:t>media</w:t>
      </w:r>
      <w:r w:rsidRPr="43EB5C37">
        <w:rPr>
          <w:rFonts w:cs="Myriad Pro"/>
          <w:color w:val="007E91"/>
          <w:sz w:val="23"/>
          <w:szCs w:val="23"/>
        </w:rPr>
        <w:t xml:space="preserve"> </w:t>
      </w:r>
      <w:r w:rsidRPr="43EB5C37" w:rsidR="001B1991">
        <w:rPr>
          <w:rFonts w:cs="Myriad Pro"/>
          <w:color w:val="007E91"/>
          <w:sz w:val="23"/>
          <w:szCs w:val="23"/>
        </w:rPr>
        <w:t xml:space="preserve">or email </w:t>
      </w:r>
      <w:r w:rsidRPr="43EB5C37">
        <w:rPr>
          <w:rFonts w:cs="Myriad Pro"/>
          <w:color w:val="007E91"/>
          <w:sz w:val="23"/>
          <w:szCs w:val="23"/>
        </w:rPr>
        <w:t>daily, removing it f</w:t>
      </w:r>
      <w:r w:rsidRPr="43EB5C37" w:rsidR="001B1991">
        <w:rPr>
          <w:rFonts w:cs="Myriad Pro"/>
          <w:color w:val="007E91"/>
          <w:sz w:val="23"/>
          <w:szCs w:val="23"/>
        </w:rPr>
        <w:t>rom</w:t>
      </w:r>
      <w:r w:rsidRPr="43EB5C37">
        <w:rPr>
          <w:rFonts w:cs="Myriad Pro"/>
          <w:color w:val="007E91"/>
          <w:sz w:val="23"/>
          <w:szCs w:val="23"/>
        </w:rPr>
        <w:t xml:space="preserve"> the other devices.</w:t>
      </w:r>
    </w:p>
    <w:p w:rsidR="086DEFA6" w:rsidP="43EB5C37" w:rsidRDefault="086DEFA6" w14:paraId="72EDCC96" w14:textId="697031B6">
      <w:pPr>
        <w:pStyle w:val="BodyText"/>
        <w:numPr>
          <w:ilvl w:val="0"/>
          <w:numId w:val="9"/>
        </w:numPr>
        <w:spacing w:before="11" w:line="360" w:lineRule="auto"/>
        <w:rPr>
          <w:sz w:val="34"/>
          <w:szCs w:val="34"/>
        </w:rPr>
      </w:pPr>
      <w:r w:rsidRPr="43EB5C37">
        <w:rPr>
          <w:rFonts w:cs="Myriad Pro"/>
          <w:color w:val="007E91"/>
          <w:sz w:val="23"/>
          <w:szCs w:val="23"/>
        </w:rPr>
        <w:t>Upload a copy of the data to a secure CDC directory every night so that there is a copy in case the device fails.</w:t>
      </w:r>
    </w:p>
    <w:p w:rsidRPr="0075163D" w:rsidR="001B1991" w:rsidP="43EB5C37" w:rsidRDefault="008A03B2" w14:paraId="5DE4D097" w14:textId="46D0D8AA">
      <w:pPr>
        <w:pStyle w:val="BodyText"/>
        <w:numPr>
          <w:ilvl w:val="0"/>
          <w:numId w:val="9"/>
        </w:numPr>
        <w:spacing w:before="11" w:line="360" w:lineRule="auto"/>
        <w:rPr>
          <w:sz w:val="34"/>
          <w:szCs w:val="34"/>
        </w:rPr>
      </w:pPr>
      <w:r w:rsidRPr="43EB5C37">
        <w:rPr>
          <w:rFonts w:cs="Myriad Pro"/>
          <w:color w:val="007E91"/>
          <w:sz w:val="23"/>
          <w:szCs w:val="23"/>
        </w:rPr>
        <w:t>At the end of the investigation</w:t>
      </w:r>
      <w:r w:rsidRPr="43EB5C37" w:rsidR="001B1991">
        <w:rPr>
          <w:rFonts w:cs="Myriad Pro"/>
          <w:color w:val="007E91"/>
          <w:sz w:val="23"/>
          <w:szCs w:val="23"/>
        </w:rPr>
        <w:t>, before leaving the field,</w:t>
      </w:r>
      <w:r w:rsidRPr="43EB5C37">
        <w:rPr>
          <w:rFonts w:cs="Myriad Pro"/>
          <w:color w:val="007E91"/>
          <w:sz w:val="23"/>
          <w:szCs w:val="23"/>
        </w:rPr>
        <w:t xml:space="preserve"> transfer all data to the requesting health agency</w:t>
      </w:r>
      <w:r w:rsidRPr="43EB5C37" w:rsidR="001B1991">
        <w:rPr>
          <w:rFonts w:cs="Myriad Pro"/>
          <w:color w:val="007E91"/>
          <w:sz w:val="23"/>
          <w:szCs w:val="23"/>
        </w:rPr>
        <w:t xml:space="preserve"> on encrypted media or email</w:t>
      </w:r>
      <w:r w:rsidRPr="43EB5C37">
        <w:rPr>
          <w:rFonts w:cs="Myriad Pro"/>
          <w:color w:val="007E91"/>
          <w:sz w:val="23"/>
          <w:szCs w:val="23"/>
        </w:rPr>
        <w:t xml:space="preserve">. Remove </w:t>
      </w:r>
      <w:r w:rsidRPr="43EB5C37" w:rsidR="001B1991">
        <w:rPr>
          <w:rFonts w:cs="Myriad Pro"/>
          <w:color w:val="007E91"/>
          <w:sz w:val="23"/>
          <w:szCs w:val="23"/>
        </w:rPr>
        <w:t xml:space="preserve">the data </w:t>
      </w:r>
      <w:r w:rsidRPr="43EB5C37">
        <w:rPr>
          <w:rFonts w:cs="Myriad Pro"/>
          <w:color w:val="007E91"/>
          <w:sz w:val="23"/>
          <w:szCs w:val="23"/>
        </w:rPr>
        <w:t>f</w:t>
      </w:r>
      <w:r w:rsidRPr="43EB5C37" w:rsidR="001B1991">
        <w:rPr>
          <w:rFonts w:cs="Myriad Pro"/>
          <w:color w:val="007E91"/>
          <w:sz w:val="23"/>
          <w:szCs w:val="23"/>
        </w:rPr>
        <w:t>rom all devices</w:t>
      </w:r>
      <w:r w:rsidRPr="43EB5C37" w:rsidR="305E9558">
        <w:rPr>
          <w:rFonts w:cs="Myriad Pro"/>
          <w:color w:val="007E91"/>
          <w:sz w:val="23"/>
          <w:szCs w:val="23"/>
        </w:rPr>
        <w:t>/directory</w:t>
      </w:r>
      <w:r w:rsidRPr="43EB5C37" w:rsidR="001B1991">
        <w:rPr>
          <w:rFonts w:cs="Myriad Pro"/>
          <w:color w:val="007E91"/>
          <w:sz w:val="23"/>
          <w:szCs w:val="23"/>
        </w:rPr>
        <w:t xml:space="preserve">. </w:t>
      </w:r>
    </w:p>
    <w:p w:rsidRPr="005C16FC" w:rsidR="008A03B2" w:rsidP="0075163D" w:rsidRDefault="008A03B2" w14:paraId="1F59A71D" w14:textId="24B01E98">
      <w:pPr>
        <w:pStyle w:val="BodyText"/>
        <w:numPr>
          <w:ilvl w:val="0"/>
          <w:numId w:val="9"/>
        </w:numPr>
        <w:spacing w:before="11" w:line="360" w:lineRule="auto"/>
        <w:rPr>
          <w:sz w:val="34"/>
        </w:rPr>
      </w:pPr>
      <w:r>
        <w:rPr>
          <w:rFonts w:cs="Myriad Pro"/>
          <w:color w:val="007E91"/>
          <w:sz w:val="23"/>
          <w:szCs w:val="23"/>
        </w:rPr>
        <w:t xml:space="preserve">When returning to CDC/ATSDR </w:t>
      </w:r>
      <w:r w:rsidR="001B1991">
        <w:rPr>
          <w:rFonts w:cs="Myriad Pro"/>
          <w:color w:val="007E91"/>
          <w:sz w:val="23"/>
          <w:szCs w:val="23"/>
        </w:rPr>
        <w:t>put in a ticket to</w:t>
      </w:r>
      <w:r>
        <w:rPr>
          <w:rFonts w:cs="Myriad Pro"/>
          <w:color w:val="007E91"/>
          <w:sz w:val="23"/>
          <w:szCs w:val="23"/>
        </w:rPr>
        <w:t xml:space="preserve"> ITSO to have the devices reimaged to remove all traces of data.</w:t>
      </w:r>
    </w:p>
    <w:p w:rsidR="003A62DA" w:rsidP="0075163D" w:rsidRDefault="003A62DA" w14:paraId="6E09FD50" w14:textId="77777777">
      <w:pPr>
        <w:pStyle w:val="Heading1"/>
        <w:spacing w:before="60" w:line="360" w:lineRule="auto"/>
        <w:rPr>
          <w:rFonts w:eastAsiaTheme="minorHAnsi"/>
          <w:color w:val="007083"/>
          <w:sz w:val="24"/>
          <w:szCs w:val="24"/>
          <w:lang w:bidi="ar-SA"/>
        </w:rPr>
      </w:pPr>
    </w:p>
    <w:p w:rsidRPr="00B31F06" w:rsidR="0084305F" w:rsidP="0075163D" w:rsidRDefault="0084305F" w14:paraId="03062FBA" w14:textId="588B8543">
      <w:pPr>
        <w:pStyle w:val="Heading1"/>
        <w:spacing w:before="60" w:line="360" w:lineRule="auto"/>
        <w:rPr>
          <w:color w:val="365F91"/>
          <w:sz w:val="24"/>
          <w:szCs w:val="24"/>
        </w:rPr>
      </w:pPr>
      <w:r>
        <w:rPr>
          <w:rFonts w:eastAsiaTheme="minorHAnsi"/>
          <w:color w:val="007083"/>
          <w:sz w:val="24"/>
          <w:szCs w:val="24"/>
          <w:lang w:bidi="ar-SA"/>
        </w:rPr>
        <w:t>DATA-SHARING PLA</w:t>
      </w:r>
      <w:r w:rsidR="00D514F6">
        <w:rPr>
          <w:rFonts w:eastAsiaTheme="minorHAnsi"/>
          <w:color w:val="007083"/>
          <w:sz w:val="24"/>
          <w:szCs w:val="24"/>
          <w:lang w:bidi="ar-SA"/>
        </w:rPr>
        <w:t>NS</w:t>
      </w:r>
      <w:r w:rsidRPr="00B31F06">
        <w:rPr>
          <w:rFonts w:eastAsiaTheme="minorHAnsi"/>
          <w:b/>
          <w:bCs/>
          <w:color w:val="007083"/>
          <w:sz w:val="24"/>
          <w:szCs w:val="24"/>
          <w:lang w:bidi="ar-SA"/>
        </w:rPr>
        <w:t>—</w:t>
      </w:r>
      <w:r w:rsidR="001B1991">
        <w:rPr>
          <w:rFonts w:eastAsiaTheme="minorHAnsi"/>
          <w:b/>
          <w:bCs/>
          <w:color w:val="007083"/>
          <w:sz w:val="24"/>
          <w:szCs w:val="24"/>
          <w:lang w:bidi="ar-SA"/>
        </w:rPr>
        <w:t>If you are requested to complete additional analysis after leaving the field, a data sharing agreement will be necessary. Using the CDC data sharing template</w:t>
      </w:r>
      <w:r w:rsidRPr="00B31F06">
        <w:rPr>
          <w:rFonts w:eastAsiaTheme="minorHAnsi"/>
          <w:color w:val="000000"/>
          <w:sz w:val="24"/>
          <w:szCs w:val="24"/>
          <w:lang w:bidi="ar-SA"/>
        </w:rPr>
        <w:t xml:space="preserve"> as a starting point for discussions about data sharing between or among public health programs. A data-sharing plan should include:</w:t>
      </w:r>
    </w:p>
    <w:p w:rsidRPr="00B31F06" w:rsidR="0084305F" w:rsidP="0075163D" w:rsidRDefault="0084305F" w14:paraId="02CF6DA5" w14:textId="77777777">
      <w:pPr>
        <w:pStyle w:val="Default"/>
        <w:numPr>
          <w:ilvl w:val="0"/>
          <w:numId w:val="4"/>
        </w:numPr>
        <w:spacing w:after="128" w:line="360" w:lineRule="auto"/>
        <w:rPr>
          <w:rFonts w:ascii="Times New Roman" w:hAnsi="Times New Roman" w:cs="Times New Roman"/>
        </w:rPr>
      </w:pPr>
      <w:r w:rsidRPr="00B31F06">
        <w:rPr>
          <w:rFonts w:ascii="Times New Roman" w:hAnsi="Times New Roman" w:cs="Times New Roman"/>
        </w:rPr>
        <w:t xml:space="preserve">Intent and scope of data sharing </w:t>
      </w:r>
    </w:p>
    <w:p w:rsidRPr="00B31F06" w:rsidR="0084305F" w:rsidP="0075163D" w:rsidRDefault="0084305F" w14:paraId="6AAE139A" w14:textId="77777777">
      <w:pPr>
        <w:pStyle w:val="Default"/>
        <w:numPr>
          <w:ilvl w:val="0"/>
          <w:numId w:val="4"/>
        </w:numPr>
        <w:spacing w:after="128" w:line="360" w:lineRule="auto"/>
        <w:rPr>
          <w:rFonts w:ascii="Times New Roman" w:hAnsi="Times New Roman" w:cs="Times New Roman"/>
        </w:rPr>
      </w:pPr>
      <w:r w:rsidRPr="00B31F06">
        <w:rPr>
          <w:rFonts w:ascii="Times New Roman" w:hAnsi="Times New Roman" w:cs="Times New Roman"/>
        </w:rPr>
        <w:t xml:space="preserve">Potential benefits (including projected efficiencies) and risks of sharing, </w:t>
      </w:r>
      <w:proofErr w:type="gramStart"/>
      <w:r w:rsidRPr="00B31F06">
        <w:rPr>
          <w:rFonts w:ascii="Times New Roman" w:hAnsi="Times New Roman" w:cs="Times New Roman"/>
        </w:rPr>
        <w:t>benefits</w:t>
      </w:r>
      <w:proofErr w:type="gramEnd"/>
      <w:r w:rsidRPr="00B31F06">
        <w:rPr>
          <w:rFonts w:ascii="Times New Roman" w:hAnsi="Times New Roman" w:cs="Times New Roman"/>
        </w:rPr>
        <w:t xml:space="preserve"> and risks of not sharing, and methods to monitor these benefits and risks </w:t>
      </w:r>
    </w:p>
    <w:p w:rsidRPr="00B31F06" w:rsidR="0084305F" w:rsidP="0075163D" w:rsidRDefault="0084305F" w14:paraId="3332F1C9" w14:textId="77777777">
      <w:pPr>
        <w:pStyle w:val="Default"/>
        <w:numPr>
          <w:ilvl w:val="0"/>
          <w:numId w:val="4"/>
        </w:numPr>
        <w:spacing w:after="128" w:line="360" w:lineRule="auto"/>
        <w:rPr>
          <w:rFonts w:ascii="Times New Roman" w:hAnsi="Times New Roman" w:cs="Times New Roman"/>
        </w:rPr>
      </w:pPr>
      <w:r w:rsidRPr="00B31F06">
        <w:rPr>
          <w:rFonts w:ascii="Times New Roman" w:hAnsi="Times New Roman" w:cs="Times New Roman"/>
        </w:rPr>
        <w:t xml:space="preserve">Methods that will be used to share data and roles and responsibilities of staff involved </w:t>
      </w:r>
    </w:p>
    <w:p w:rsidRPr="00B31F06" w:rsidR="0084305F" w:rsidP="0075163D" w:rsidRDefault="0084305F" w14:paraId="447279A5" w14:textId="77777777">
      <w:pPr>
        <w:pStyle w:val="Default"/>
        <w:numPr>
          <w:ilvl w:val="0"/>
          <w:numId w:val="4"/>
        </w:numPr>
        <w:spacing w:after="128" w:line="360" w:lineRule="auto"/>
        <w:rPr>
          <w:rFonts w:ascii="Times New Roman" w:hAnsi="Times New Roman" w:cs="Times New Roman"/>
        </w:rPr>
      </w:pPr>
      <w:r w:rsidRPr="00B31F06">
        <w:rPr>
          <w:rFonts w:ascii="Times New Roman" w:hAnsi="Times New Roman" w:cs="Times New Roman"/>
        </w:rPr>
        <w:t xml:space="preserve">Minimum data elements needed to achieve the objective(s), including need for PII </w:t>
      </w:r>
    </w:p>
    <w:p w:rsidRPr="00B31F06" w:rsidR="0084305F" w:rsidP="0075163D" w:rsidRDefault="0084305F" w14:paraId="76B18FAC" w14:textId="77777777">
      <w:pPr>
        <w:pStyle w:val="Default"/>
        <w:numPr>
          <w:ilvl w:val="0"/>
          <w:numId w:val="4"/>
        </w:numPr>
        <w:spacing w:after="128" w:line="360" w:lineRule="auto"/>
        <w:rPr>
          <w:rFonts w:ascii="Times New Roman" w:hAnsi="Times New Roman" w:cs="Times New Roman"/>
        </w:rPr>
      </w:pPr>
      <w:r>
        <w:rPr>
          <w:rFonts w:ascii="Times New Roman" w:hAnsi="Times New Roman" w:cs="Times New Roman"/>
        </w:rPr>
        <w:t>S</w:t>
      </w:r>
      <w:r w:rsidRPr="00B31F06">
        <w:rPr>
          <w:rFonts w:ascii="Times New Roman" w:hAnsi="Times New Roman" w:cs="Times New Roman"/>
        </w:rPr>
        <w:t xml:space="preserve">teps that will be taken to ensure the confidentiality and security of shared data </w:t>
      </w:r>
    </w:p>
    <w:p w:rsidRPr="00B31F06" w:rsidR="0084305F" w:rsidP="0075163D" w:rsidRDefault="0084305F" w14:paraId="14E1A66F" w14:textId="77777777">
      <w:pPr>
        <w:pStyle w:val="Default"/>
        <w:numPr>
          <w:ilvl w:val="0"/>
          <w:numId w:val="4"/>
        </w:numPr>
        <w:spacing w:after="128" w:line="360" w:lineRule="auto"/>
        <w:rPr>
          <w:rFonts w:ascii="Times New Roman" w:hAnsi="Times New Roman" w:cs="Times New Roman"/>
        </w:rPr>
      </w:pPr>
      <w:r w:rsidRPr="00B31F06">
        <w:rPr>
          <w:rFonts w:ascii="Times New Roman" w:hAnsi="Times New Roman" w:cs="Times New Roman"/>
        </w:rPr>
        <w:t xml:space="preserve">Provisions for physical and electronic security </w:t>
      </w:r>
    </w:p>
    <w:p w:rsidRPr="00B31F06" w:rsidR="0084305F" w:rsidP="0075163D" w:rsidRDefault="0084305F" w14:paraId="2FBAA7FF" w14:textId="77777777">
      <w:pPr>
        <w:pStyle w:val="Default"/>
        <w:numPr>
          <w:ilvl w:val="0"/>
          <w:numId w:val="4"/>
        </w:numPr>
        <w:spacing w:after="128" w:line="360" w:lineRule="auto"/>
        <w:rPr>
          <w:rFonts w:ascii="Times New Roman" w:hAnsi="Times New Roman" w:cs="Times New Roman"/>
        </w:rPr>
      </w:pPr>
      <w:r w:rsidRPr="00B31F06">
        <w:rPr>
          <w:rFonts w:ascii="Times New Roman" w:hAnsi="Times New Roman" w:cs="Times New Roman"/>
        </w:rPr>
        <w:t xml:space="preserve">How shared data will be used, analyzed, published, released, and retained/destroyed </w:t>
      </w:r>
    </w:p>
    <w:p w:rsidRPr="00B31F06" w:rsidR="0084305F" w:rsidP="0075163D" w:rsidRDefault="0084305F" w14:paraId="26CBB9E7" w14:textId="77777777">
      <w:pPr>
        <w:pStyle w:val="Default"/>
        <w:numPr>
          <w:ilvl w:val="0"/>
          <w:numId w:val="4"/>
        </w:numPr>
        <w:spacing w:after="128" w:line="360" w:lineRule="auto"/>
        <w:rPr>
          <w:rFonts w:ascii="Times New Roman" w:hAnsi="Times New Roman" w:cs="Times New Roman"/>
        </w:rPr>
      </w:pPr>
      <w:r w:rsidRPr="00B31F06">
        <w:rPr>
          <w:rFonts w:ascii="Times New Roman" w:hAnsi="Times New Roman" w:cs="Times New Roman"/>
        </w:rPr>
        <w:t xml:space="preserve">Confidentiality agreements </w:t>
      </w:r>
    </w:p>
    <w:p w:rsidRPr="00B31F06" w:rsidR="0084305F" w:rsidP="0075163D" w:rsidRDefault="0084305F" w14:paraId="70A7ABB5" w14:textId="77777777">
      <w:pPr>
        <w:pStyle w:val="Default"/>
        <w:numPr>
          <w:ilvl w:val="0"/>
          <w:numId w:val="4"/>
        </w:numPr>
        <w:spacing w:line="360" w:lineRule="auto"/>
        <w:rPr>
          <w:rFonts w:ascii="Times New Roman" w:hAnsi="Times New Roman" w:cs="Times New Roman"/>
        </w:rPr>
      </w:pPr>
      <w:r w:rsidRPr="00B31F06">
        <w:rPr>
          <w:rFonts w:ascii="Times New Roman" w:hAnsi="Times New Roman" w:cs="Times New Roman"/>
        </w:rPr>
        <w:lastRenderedPageBreak/>
        <w:t>Knowledge and training requirements including annual training for staff who have access to PII and non-PII data</w:t>
      </w:r>
      <w:r>
        <w:rPr>
          <w:rFonts w:ascii="Times New Roman" w:hAnsi="Times New Roman" w:cs="Times New Roman"/>
        </w:rPr>
        <w:t>.</w:t>
      </w:r>
    </w:p>
    <w:p w:rsidR="003A62DA" w:rsidP="0075163D" w:rsidRDefault="003A62DA" w14:paraId="2E7111DF" w14:textId="77777777">
      <w:pPr>
        <w:pStyle w:val="Heading1"/>
        <w:spacing w:line="360" w:lineRule="auto"/>
        <w:rPr>
          <w:color w:val="365F91"/>
        </w:rPr>
      </w:pPr>
      <w:bookmarkStart w:name="Restrictions_on_Use_of_Information" w:id="10"/>
      <w:bookmarkStart w:name="_bookmark8" w:id="11"/>
      <w:bookmarkEnd w:id="10"/>
      <w:bookmarkEnd w:id="11"/>
    </w:p>
    <w:p w:rsidR="003918BB" w:rsidP="0075163D" w:rsidRDefault="00781D8C" w14:paraId="1F0A4098" w14:textId="1047D2DD">
      <w:pPr>
        <w:pStyle w:val="Heading1"/>
        <w:spacing w:line="360" w:lineRule="auto"/>
      </w:pPr>
      <w:r>
        <w:rPr>
          <w:color w:val="365F91"/>
        </w:rPr>
        <w:t>Restrictions on Use of Information</w:t>
      </w:r>
    </w:p>
    <w:p w:rsidR="003918BB" w:rsidP="0075163D" w:rsidRDefault="00781D8C" w14:paraId="6C254851" w14:textId="1E1832C4">
      <w:pPr>
        <w:pStyle w:val="ListParagraph"/>
        <w:numPr>
          <w:ilvl w:val="0"/>
          <w:numId w:val="1"/>
        </w:numPr>
        <w:tabs>
          <w:tab w:val="left" w:pos="1632"/>
        </w:tabs>
        <w:spacing w:before="207" w:line="360" w:lineRule="auto"/>
        <w:ind w:right="129"/>
        <w:rPr>
          <w:sz w:val="24"/>
        </w:rPr>
      </w:pPr>
      <w:r>
        <w:rPr>
          <w:sz w:val="24"/>
        </w:rPr>
        <w:t xml:space="preserve">Personal identifying information collected or retrieved by </w:t>
      </w:r>
      <w:r w:rsidR="00B31F06">
        <w:rPr>
          <w:sz w:val="24"/>
        </w:rPr>
        <w:t>CDC/</w:t>
      </w:r>
      <w:r w:rsidR="00CF3548">
        <w:rPr>
          <w:sz w:val="24"/>
        </w:rPr>
        <w:t xml:space="preserve">ATSDR </w:t>
      </w:r>
      <w:r>
        <w:rPr>
          <w:sz w:val="24"/>
        </w:rPr>
        <w:t xml:space="preserve">personnel </w:t>
      </w:r>
      <w:r w:rsidR="00CF3548">
        <w:rPr>
          <w:sz w:val="24"/>
        </w:rPr>
        <w:t>following a chemical release</w:t>
      </w:r>
      <w:r>
        <w:rPr>
          <w:sz w:val="24"/>
        </w:rPr>
        <w:t xml:space="preserve"> will be used only for the purposes of carrying out </w:t>
      </w:r>
      <w:r w:rsidR="00CF3548">
        <w:rPr>
          <w:sz w:val="24"/>
        </w:rPr>
        <w:t xml:space="preserve">program </w:t>
      </w:r>
      <w:r>
        <w:rPr>
          <w:sz w:val="24"/>
        </w:rPr>
        <w:t>activities and shall not be divulged or made known in any manner to non-</w:t>
      </w:r>
      <w:r w:rsidR="00CF3548">
        <w:rPr>
          <w:sz w:val="24"/>
        </w:rPr>
        <w:t xml:space="preserve">program </w:t>
      </w:r>
      <w:r>
        <w:rPr>
          <w:sz w:val="24"/>
        </w:rPr>
        <w:t xml:space="preserve">personnel unless prior written approval from the </w:t>
      </w:r>
      <w:r w:rsidR="00CF3548">
        <w:rPr>
          <w:sz w:val="24"/>
        </w:rPr>
        <w:t xml:space="preserve">data collection </w:t>
      </w:r>
      <w:r>
        <w:rPr>
          <w:sz w:val="24"/>
        </w:rPr>
        <w:t>participant is</w:t>
      </w:r>
      <w:r>
        <w:rPr>
          <w:spacing w:val="-9"/>
          <w:sz w:val="24"/>
        </w:rPr>
        <w:t xml:space="preserve"> </w:t>
      </w:r>
      <w:r>
        <w:rPr>
          <w:sz w:val="24"/>
        </w:rPr>
        <w:t>received.</w:t>
      </w:r>
    </w:p>
    <w:p w:rsidR="003918BB" w:rsidP="0075163D" w:rsidRDefault="00CF3548" w14:paraId="6D5431DA" w14:textId="02C06DA3">
      <w:pPr>
        <w:pStyle w:val="ListParagraph"/>
        <w:numPr>
          <w:ilvl w:val="0"/>
          <w:numId w:val="1"/>
        </w:numPr>
        <w:tabs>
          <w:tab w:val="left" w:pos="1632"/>
        </w:tabs>
        <w:spacing w:line="360" w:lineRule="auto"/>
        <w:ind w:right="682"/>
        <w:rPr>
          <w:sz w:val="24"/>
        </w:rPr>
      </w:pPr>
      <w:r>
        <w:rPr>
          <w:sz w:val="24"/>
        </w:rPr>
        <w:t xml:space="preserve">Program </w:t>
      </w:r>
      <w:r w:rsidR="00781D8C">
        <w:rPr>
          <w:sz w:val="24"/>
        </w:rPr>
        <w:t>personnel are responsible for protecting all confidential records from visual observation, from theft, and from accidental loss or misplacement</w:t>
      </w:r>
      <w:r w:rsidR="00C219DC">
        <w:rPr>
          <w:sz w:val="24"/>
        </w:rPr>
        <w:t xml:space="preserve"> as required by law</w:t>
      </w:r>
      <w:r w:rsidR="00781D8C">
        <w:rPr>
          <w:sz w:val="24"/>
        </w:rPr>
        <w:t xml:space="preserve">. </w:t>
      </w:r>
    </w:p>
    <w:p w:rsidR="003918BB" w:rsidP="0075163D" w:rsidRDefault="004B1829" w14:paraId="52095DB9" w14:textId="77777777">
      <w:pPr>
        <w:pStyle w:val="ListParagraph"/>
        <w:numPr>
          <w:ilvl w:val="0"/>
          <w:numId w:val="1"/>
        </w:numPr>
        <w:tabs>
          <w:tab w:val="left" w:pos="1632"/>
        </w:tabs>
        <w:spacing w:line="360" w:lineRule="auto"/>
        <w:rPr>
          <w:sz w:val="24"/>
        </w:rPr>
      </w:pPr>
      <w:r>
        <w:rPr>
          <w:sz w:val="24"/>
        </w:rPr>
        <w:t>A</w:t>
      </w:r>
      <w:r w:rsidR="00781D8C">
        <w:rPr>
          <w:sz w:val="24"/>
        </w:rPr>
        <w:t>ny materials containing personal identifiers that must be sent</w:t>
      </w:r>
      <w:r w:rsidR="00781D8C">
        <w:rPr>
          <w:spacing w:val="-9"/>
          <w:sz w:val="24"/>
        </w:rPr>
        <w:t xml:space="preserve"> </w:t>
      </w:r>
      <w:r w:rsidR="00781D8C">
        <w:rPr>
          <w:sz w:val="24"/>
        </w:rPr>
        <w:t>by</w:t>
      </w:r>
    </w:p>
    <w:p w:rsidR="003918BB" w:rsidP="0075163D" w:rsidRDefault="00781D8C" w14:paraId="04E174D1" w14:textId="2B3ACA8D">
      <w:pPr>
        <w:pStyle w:val="BodyText"/>
        <w:spacing w:line="360" w:lineRule="auto"/>
        <w:ind w:left="1632"/>
      </w:pPr>
      <w:r>
        <w:t>authorized p</w:t>
      </w:r>
      <w:r w:rsidR="00C219DC">
        <w:t>rogram</w:t>
      </w:r>
      <w:r>
        <w:t xml:space="preserve"> personnel </w:t>
      </w:r>
      <w:r w:rsidR="004B1829">
        <w:t xml:space="preserve">must </w:t>
      </w:r>
      <w:r>
        <w:t>be sent via first class certified-return receipt mail o</w:t>
      </w:r>
      <w:r w:rsidR="00C219DC">
        <w:t xml:space="preserve">r </w:t>
      </w:r>
      <w:r>
        <w:t>commercial carrier service in a sealed envelope stamped “CONFIDENTIAL” on the front.</w:t>
      </w:r>
    </w:p>
    <w:p w:rsidR="003918BB" w:rsidP="0075163D" w:rsidRDefault="00B31F06" w14:paraId="584B201C" w14:textId="51CD19FA">
      <w:pPr>
        <w:pStyle w:val="ListParagraph"/>
        <w:numPr>
          <w:ilvl w:val="0"/>
          <w:numId w:val="1"/>
        </w:numPr>
        <w:tabs>
          <w:tab w:val="left" w:pos="1632"/>
        </w:tabs>
        <w:spacing w:line="360" w:lineRule="auto"/>
        <w:ind w:right="114"/>
        <w:rPr>
          <w:sz w:val="24"/>
        </w:rPr>
      </w:pPr>
      <w:r>
        <w:rPr>
          <w:sz w:val="24"/>
        </w:rPr>
        <w:t>P</w:t>
      </w:r>
      <w:r w:rsidR="00C219DC">
        <w:rPr>
          <w:sz w:val="24"/>
        </w:rPr>
        <w:t>rogram</w:t>
      </w:r>
      <w:r w:rsidR="00781D8C">
        <w:rPr>
          <w:sz w:val="24"/>
        </w:rPr>
        <w:t xml:space="preserve"> personnel are not to divulge any personal identifying information about project participants to anyone other than authorized </w:t>
      </w:r>
      <w:r w:rsidR="00C219DC">
        <w:rPr>
          <w:sz w:val="24"/>
        </w:rPr>
        <w:t xml:space="preserve">program </w:t>
      </w:r>
      <w:r w:rsidR="00781D8C">
        <w:rPr>
          <w:sz w:val="24"/>
        </w:rPr>
        <w:t xml:space="preserve">personnel on a “need to know” basis appropriate to conduct official business. In general conversation outside the workplace, neither the identifying information nor specific details about the PII data collected should be discussed in any detail. Breach of confidentiality due to </w:t>
      </w:r>
      <w:r w:rsidR="00C219DC">
        <w:rPr>
          <w:sz w:val="24"/>
        </w:rPr>
        <w:t xml:space="preserve">program </w:t>
      </w:r>
      <w:r w:rsidR="00781D8C">
        <w:rPr>
          <w:sz w:val="24"/>
        </w:rPr>
        <w:t>personnel knowingly and willfully disclosing confidential information may result in removal from project activities</w:t>
      </w:r>
      <w:r w:rsidR="00C219DC">
        <w:rPr>
          <w:sz w:val="24"/>
        </w:rPr>
        <w:t xml:space="preserve"> and administrative, as well as legal, actions</w:t>
      </w:r>
      <w:r w:rsidR="00781D8C">
        <w:rPr>
          <w:sz w:val="24"/>
        </w:rPr>
        <w:t>. If a breach of confidentiality is due to unintentional, but careless, behavior and/or not following policies to maintain confidentiality of data, the behavior will result in, at a minimum, a temporary removal from accessing confidential information, and specific sanctions may apply such as Subsection 5 of the Privacy Act of 1974 (see</w:t>
      </w:r>
      <w:r w:rsidR="00781D8C">
        <w:rPr>
          <w:color w:val="0000FF"/>
          <w:sz w:val="24"/>
        </w:rPr>
        <w:t xml:space="preserve"> </w:t>
      </w:r>
      <w:hyperlink r:id="rId21">
        <w:r w:rsidR="00781D8C">
          <w:rPr>
            <w:color w:val="0000FF"/>
            <w:sz w:val="24"/>
            <w:u w:val="single" w:color="0000FF"/>
          </w:rPr>
          <w:t>https://www.justice.gov/opcl/criminal-penalties</w:t>
        </w:r>
        <w:r w:rsidR="00781D8C">
          <w:rPr>
            <w:color w:val="0000FF"/>
            <w:spacing w:val="-3"/>
            <w:sz w:val="24"/>
          </w:rPr>
          <w:t xml:space="preserve"> </w:t>
        </w:r>
      </w:hyperlink>
      <w:r w:rsidR="00781D8C">
        <w:rPr>
          <w:sz w:val="24"/>
        </w:rPr>
        <w:t>).</w:t>
      </w:r>
    </w:p>
    <w:p w:rsidR="003918BB" w:rsidP="0075163D" w:rsidRDefault="00781D8C" w14:paraId="551BB620" w14:textId="6C9E70E5">
      <w:pPr>
        <w:pStyle w:val="ListParagraph"/>
        <w:numPr>
          <w:ilvl w:val="0"/>
          <w:numId w:val="1"/>
        </w:numPr>
        <w:tabs>
          <w:tab w:val="left" w:pos="1632"/>
        </w:tabs>
        <w:spacing w:line="360" w:lineRule="auto"/>
        <w:ind w:right="221"/>
        <w:rPr>
          <w:sz w:val="24"/>
        </w:rPr>
      </w:pPr>
      <w:r>
        <w:rPr>
          <w:sz w:val="24"/>
        </w:rPr>
        <w:t xml:space="preserve">When not in use by authorized </w:t>
      </w:r>
      <w:r w:rsidR="00C219DC">
        <w:rPr>
          <w:sz w:val="24"/>
        </w:rPr>
        <w:t xml:space="preserve">program </w:t>
      </w:r>
      <w:r>
        <w:rPr>
          <w:sz w:val="24"/>
        </w:rPr>
        <w:t xml:space="preserve">personnel, all HCR containing confidential data will be stored in locked containers, locked file cabinets, or locked rooms. Access to locked storage areas will be limited to authorized </w:t>
      </w:r>
      <w:r w:rsidR="00C219DC">
        <w:rPr>
          <w:sz w:val="24"/>
        </w:rPr>
        <w:t xml:space="preserve">program </w:t>
      </w:r>
      <w:r>
        <w:rPr>
          <w:sz w:val="24"/>
        </w:rPr>
        <w:t xml:space="preserve">personnel. This procedure will also apply to all physical media containing confidential data. </w:t>
      </w:r>
      <w:r w:rsidR="00C219DC">
        <w:rPr>
          <w:sz w:val="24"/>
        </w:rPr>
        <w:t xml:space="preserve">Program </w:t>
      </w:r>
      <w:r>
        <w:rPr>
          <w:sz w:val="24"/>
        </w:rPr>
        <w:t xml:space="preserve">personnel working with any confidential materials will have access only to the materials that they </w:t>
      </w:r>
      <w:r>
        <w:rPr>
          <w:sz w:val="24"/>
        </w:rPr>
        <w:lastRenderedPageBreak/>
        <w:t>are currently processing. When confidential records are in use, they must be kept out of sight of persons not authorized to work with these</w:t>
      </w:r>
      <w:r>
        <w:rPr>
          <w:spacing w:val="-14"/>
          <w:sz w:val="24"/>
        </w:rPr>
        <w:t xml:space="preserve"> </w:t>
      </w:r>
      <w:r>
        <w:rPr>
          <w:sz w:val="24"/>
        </w:rPr>
        <w:t>records.</w:t>
      </w:r>
    </w:p>
    <w:p w:rsidR="003918BB" w:rsidP="0075163D" w:rsidRDefault="00781D8C" w14:paraId="22EBA979" w14:textId="01F83FE8">
      <w:pPr>
        <w:pStyle w:val="ListParagraph"/>
        <w:numPr>
          <w:ilvl w:val="0"/>
          <w:numId w:val="1"/>
        </w:numPr>
        <w:tabs>
          <w:tab w:val="left" w:pos="1632"/>
        </w:tabs>
        <w:spacing w:before="60" w:line="360" w:lineRule="auto"/>
        <w:ind w:right="111"/>
      </w:pPr>
      <w:r>
        <w:rPr>
          <w:sz w:val="24"/>
        </w:rPr>
        <w:t xml:space="preserve">Except as needed for operational purposes, copies (including any other hard or electronic media, e.g., photocopies or electronic scans) of confidential </w:t>
      </w:r>
      <w:r w:rsidR="004B1829">
        <w:rPr>
          <w:sz w:val="24"/>
        </w:rPr>
        <w:t>records</w:t>
      </w:r>
      <w:r>
        <w:rPr>
          <w:sz w:val="24"/>
        </w:rPr>
        <w:t xml:space="preserve"> are not to</w:t>
      </w:r>
      <w:r w:rsidRPr="00B3358C">
        <w:rPr>
          <w:spacing w:val="-19"/>
          <w:sz w:val="24"/>
        </w:rPr>
        <w:t xml:space="preserve"> </w:t>
      </w:r>
      <w:r>
        <w:rPr>
          <w:sz w:val="24"/>
        </w:rPr>
        <w:t>be</w:t>
      </w:r>
      <w:r w:rsidR="00B3358C">
        <w:rPr>
          <w:sz w:val="24"/>
        </w:rPr>
        <w:t xml:space="preserve"> </w:t>
      </w:r>
      <w:r>
        <w:t>made. If photocopies are necessary, care should be taken that all copies and originals are recovered from the copy machines and work areas. Whenever practicable, copy machines should be the type that do not retain hard drive copies of documents, or that provide the capability to delete copies from the hard drive. All confidential paper</w:t>
      </w:r>
      <w:r w:rsidRPr="00B3358C">
        <w:rPr>
          <w:spacing w:val="-22"/>
        </w:rPr>
        <w:t xml:space="preserve"> </w:t>
      </w:r>
      <w:r>
        <w:t xml:space="preserve">records will be destroyed as soon as </w:t>
      </w:r>
      <w:r w:rsidR="004B1829">
        <w:t xml:space="preserve">the field investigation </w:t>
      </w:r>
      <w:r w:rsidR="002B08C6">
        <w:t>terminated</w:t>
      </w:r>
      <w:r w:rsidR="004B1829">
        <w:t xml:space="preserve">. </w:t>
      </w:r>
      <w:r>
        <w:t>If electronic scans are necessary</w:t>
      </w:r>
      <w:r w:rsidR="002B08C6">
        <w:t>,</w:t>
      </w:r>
      <w:r>
        <w:t xml:space="preserve"> care should be taken to adhere to all electronic data security requirements (see the main website of Office of Chief Information Officer (OCIO) for more information </w:t>
      </w:r>
      <w:hyperlink r:id="rId22">
        <w:r w:rsidRPr="00B3358C">
          <w:rPr>
            <w:color w:val="0000FF"/>
            <w:u w:val="single" w:color="0000FF"/>
          </w:rPr>
          <w:t>http://intranet.cdc.gov/ocio/information-systems-security/privacy-information-</w:t>
        </w:r>
      </w:hyperlink>
    </w:p>
    <w:p w:rsidR="003918BB" w:rsidP="0075163D" w:rsidRDefault="00BD29D1" w14:paraId="45D13B08" w14:textId="77777777">
      <w:pPr>
        <w:pStyle w:val="BodyText"/>
        <w:spacing w:before="1" w:line="360" w:lineRule="auto"/>
        <w:ind w:left="1632"/>
      </w:pPr>
      <w:hyperlink r:id="rId23">
        <w:r w:rsidR="00781D8C">
          <w:rPr>
            <w:color w:val="0000FF"/>
            <w:u w:val="single" w:color="0000FF"/>
          </w:rPr>
          <w:t>security/description-requirements/index.html</w:t>
        </w:r>
      </w:hyperlink>
      <w:r w:rsidR="00781D8C">
        <w:t>)</w:t>
      </w:r>
    </w:p>
    <w:p w:rsidR="003918BB" w:rsidP="0075163D" w:rsidRDefault="00781D8C" w14:paraId="5543B027" w14:textId="77777777">
      <w:pPr>
        <w:pStyle w:val="ListParagraph"/>
        <w:numPr>
          <w:ilvl w:val="0"/>
          <w:numId w:val="1"/>
        </w:numPr>
        <w:tabs>
          <w:tab w:val="left" w:pos="1632"/>
        </w:tabs>
        <w:spacing w:before="90"/>
        <w:ind w:right="522"/>
        <w:rPr>
          <w:sz w:val="24"/>
        </w:rPr>
      </w:pPr>
      <w:proofErr w:type="gramStart"/>
      <w:r>
        <w:rPr>
          <w:sz w:val="24"/>
        </w:rPr>
        <w:t>As a general rule</w:t>
      </w:r>
      <w:proofErr w:type="gramEnd"/>
      <w:r>
        <w:rPr>
          <w:sz w:val="24"/>
        </w:rPr>
        <w:t>, unless a SECURE FAX machine is available, faxing any records containing PII should be avoided. If PII must be faxed, the following steps should</w:t>
      </w:r>
      <w:r>
        <w:rPr>
          <w:spacing w:val="-18"/>
          <w:sz w:val="24"/>
        </w:rPr>
        <w:t xml:space="preserve"> </w:t>
      </w:r>
      <w:r>
        <w:rPr>
          <w:sz w:val="24"/>
        </w:rPr>
        <w:t>be taken:</w:t>
      </w:r>
    </w:p>
    <w:p w:rsidR="003918BB" w:rsidP="0075163D" w:rsidRDefault="00781D8C" w14:paraId="20C99964" w14:textId="77777777">
      <w:pPr>
        <w:pStyle w:val="Heading2"/>
        <w:numPr>
          <w:ilvl w:val="1"/>
          <w:numId w:val="1"/>
        </w:numPr>
        <w:tabs>
          <w:tab w:val="left" w:pos="2352"/>
        </w:tabs>
        <w:jc w:val="left"/>
      </w:pPr>
      <w:r>
        <w:t>Sending</w:t>
      </w:r>
      <w:r>
        <w:rPr>
          <w:spacing w:val="-1"/>
        </w:rPr>
        <w:t xml:space="preserve"> </w:t>
      </w:r>
      <w:r>
        <w:t>fax:</w:t>
      </w:r>
    </w:p>
    <w:p w:rsidR="003918BB" w:rsidP="0075163D" w:rsidRDefault="00781D8C" w14:paraId="509CA904" w14:textId="77777777">
      <w:pPr>
        <w:pStyle w:val="ListParagraph"/>
        <w:numPr>
          <w:ilvl w:val="2"/>
          <w:numId w:val="1"/>
        </w:numPr>
        <w:tabs>
          <w:tab w:val="left" w:pos="3072"/>
        </w:tabs>
        <w:rPr>
          <w:sz w:val="24"/>
        </w:rPr>
      </w:pPr>
      <w:r>
        <w:rPr>
          <w:sz w:val="24"/>
        </w:rPr>
        <w:t>Verify recipient’s fax number prior to sending</w:t>
      </w:r>
      <w:r>
        <w:rPr>
          <w:spacing w:val="-3"/>
          <w:sz w:val="24"/>
        </w:rPr>
        <w:t xml:space="preserve"> </w:t>
      </w:r>
      <w:r>
        <w:rPr>
          <w:sz w:val="24"/>
        </w:rPr>
        <w:t>PII.</w:t>
      </w:r>
    </w:p>
    <w:p w:rsidR="003918BB" w:rsidP="0075163D" w:rsidRDefault="00781D8C" w14:paraId="7C2560A2" w14:textId="77777777">
      <w:pPr>
        <w:pStyle w:val="ListParagraph"/>
        <w:numPr>
          <w:ilvl w:val="2"/>
          <w:numId w:val="1"/>
        </w:numPr>
        <w:tabs>
          <w:tab w:val="left" w:pos="3072"/>
        </w:tabs>
        <w:rPr>
          <w:sz w:val="24"/>
        </w:rPr>
      </w:pPr>
      <w:r>
        <w:rPr>
          <w:sz w:val="24"/>
        </w:rPr>
        <w:t>Ensure someone authorized to receive the PII is there to receive the</w:t>
      </w:r>
      <w:r>
        <w:rPr>
          <w:spacing w:val="-14"/>
          <w:sz w:val="24"/>
        </w:rPr>
        <w:t xml:space="preserve"> </w:t>
      </w:r>
      <w:r>
        <w:rPr>
          <w:sz w:val="24"/>
        </w:rPr>
        <w:t>fax.</w:t>
      </w:r>
    </w:p>
    <w:p w:rsidR="003918BB" w:rsidP="0075163D" w:rsidRDefault="00781D8C" w14:paraId="3275C929" w14:textId="77777777">
      <w:pPr>
        <w:pStyle w:val="ListParagraph"/>
        <w:numPr>
          <w:ilvl w:val="2"/>
          <w:numId w:val="1"/>
        </w:numPr>
        <w:tabs>
          <w:tab w:val="left" w:pos="3072"/>
        </w:tabs>
        <w:ind w:right="282"/>
        <w:rPr>
          <w:sz w:val="24"/>
        </w:rPr>
      </w:pPr>
      <w:r>
        <w:rPr>
          <w:sz w:val="24"/>
        </w:rPr>
        <w:t>Use a fax transmittal sheet. Consider adding a Confidentiality</w:t>
      </w:r>
      <w:r>
        <w:rPr>
          <w:spacing w:val="-18"/>
          <w:sz w:val="24"/>
        </w:rPr>
        <w:t xml:space="preserve"> </w:t>
      </w:r>
      <w:r>
        <w:rPr>
          <w:sz w:val="24"/>
        </w:rPr>
        <w:t>Statement to the fax cover</w:t>
      </w:r>
      <w:r>
        <w:rPr>
          <w:spacing w:val="-1"/>
          <w:sz w:val="24"/>
        </w:rPr>
        <w:t xml:space="preserve"> </w:t>
      </w:r>
      <w:r>
        <w:rPr>
          <w:sz w:val="24"/>
        </w:rPr>
        <w:t>sheet.</w:t>
      </w:r>
    </w:p>
    <w:p w:rsidR="003918BB" w:rsidP="0075163D" w:rsidRDefault="00781D8C" w14:paraId="6BB2F605" w14:textId="77777777">
      <w:pPr>
        <w:pStyle w:val="Heading2"/>
        <w:numPr>
          <w:ilvl w:val="1"/>
          <w:numId w:val="1"/>
        </w:numPr>
        <w:tabs>
          <w:tab w:val="left" w:pos="2352"/>
        </w:tabs>
        <w:ind w:hanging="374"/>
        <w:jc w:val="left"/>
      </w:pPr>
      <w:r>
        <w:t>Receiving a</w:t>
      </w:r>
      <w:r>
        <w:rPr>
          <w:spacing w:val="-3"/>
        </w:rPr>
        <w:t xml:space="preserve"> </w:t>
      </w:r>
      <w:r>
        <w:t>fax:</w:t>
      </w:r>
    </w:p>
    <w:p w:rsidR="003918BB" w:rsidP="0075163D" w:rsidRDefault="003918BB" w14:paraId="4B950CA3" w14:textId="77777777">
      <w:pPr>
        <w:pStyle w:val="BodyText"/>
        <w:rPr>
          <w:b/>
        </w:rPr>
      </w:pPr>
    </w:p>
    <w:p w:rsidR="003918BB" w:rsidP="0075163D" w:rsidRDefault="00781D8C" w14:paraId="30129591" w14:textId="77777777">
      <w:pPr>
        <w:pStyle w:val="ListParagraph"/>
        <w:numPr>
          <w:ilvl w:val="2"/>
          <w:numId w:val="1"/>
        </w:numPr>
        <w:tabs>
          <w:tab w:val="left" w:pos="3072"/>
        </w:tabs>
        <w:rPr>
          <w:sz w:val="24"/>
        </w:rPr>
      </w:pPr>
      <w:r>
        <w:rPr>
          <w:sz w:val="24"/>
        </w:rPr>
        <w:t>Quickly retrieve transmitted</w:t>
      </w:r>
      <w:r>
        <w:rPr>
          <w:spacing w:val="-1"/>
          <w:sz w:val="24"/>
        </w:rPr>
        <w:t xml:space="preserve"> </w:t>
      </w:r>
      <w:r>
        <w:rPr>
          <w:sz w:val="24"/>
        </w:rPr>
        <w:t>faxes.</w:t>
      </w:r>
    </w:p>
    <w:p w:rsidR="003918BB" w:rsidP="0075163D" w:rsidRDefault="003918BB" w14:paraId="5400B909" w14:textId="77777777">
      <w:pPr>
        <w:pStyle w:val="BodyText"/>
      </w:pPr>
    </w:p>
    <w:p w:rsidR="003918BB" w:rsidP="0075163D" w:rsidRDefault="00781D8C" w14:paraId="3AC7748C" w14:textId="77777777">
      <w:pPr>
        <w:pStyle w:val="ListParagraph"/>
        <w:numPr>
          <w:ilvl w:val="2"/>
          <w:numId w:val="1"/>
        </w:numPr>
        <w:tabs>
          <w:tab w:val="left" w:pos="3072"/>
        </w:tabs>
        <w:rPr>
          <w:sz w:val="24"/>
        </w:rPr>
      </w:pPr>
      <w:r>
        <w:rPr>
          <w:sz w:val="24"/>
        </w:rPr>
        <w:t>Secure faxes that have not been</w:t>
      </w:r>
      <w:r>
        <w:rPr>
          <w:spacing w:val="-2"/>
          <w:sz w:val="24"/>
        </w:rPr>
        <w:t xml:space="preserve"> </w:t>
      </w:r>
      <w:r>
        <w:rPr>
          <w:sz w:val="24"/>
        </w:rPr>
        <w:t>retrieved.</w:t>
      </w:r>
    </w:p>
    <w:p w:rsidR="003918BB" w:rsidP="0075163D" w:rsidRDefault="003918BB" w14:paraId="10CEF661" w14:textId="77777777">
      <w:pPr>
        <w:pStyle w:val="BodyText"/>
      </w:pPr>
    </w:p>
    <w:p w:rsidR="003918BB" w:rsidP="0075163D" w:rsidRDefault="00781D8C" w14:paraId="6ECEA0B5" w14:textId="77777777">
      <w:pPr>
        <w:pStyle w:val="ListParagraph"/>
        <w:numPr>
          <w:ilvl w:val="2"/>
          <w:numId w:val="1"/>
        </w:numPr>
        <w:tabs>
          <w:tab w:val="left" w:pos="3072"/>
        </w:tabs>
        <w:ind w:right="592"/>
        <w:rPr>
          <w:sz w:val="24"/>
        </w:rPr>
      </w:pPr>
      <w:r>
        <w:rPr>
          <w:sz w:val="24"/>
        </w:rPr>
        <w:t>If an expected fax has not been received, follow-up to ensure that the sender has the correct fax</w:t>
      </w:r>
      <w:r>
        <w:rPr>
          <w:spacing w:val="-2"/>
          <w:sz w:val="24"/>
        </w:rPr>
        <w:t xml:space="preserve"> </w:t>
      </w:r>
      <w:r>
        <w:rPr>
          <w:sz w:val="24"/>
        </w:rPr>
        <w:t>number.</w:t>
      </w:r>
    </w:p>
    <w:p w:rsidR="00B3358C" w:rsidP="0075163D" w:rsidRDefault="00B3358C" w14:paraId="07F825CF" w14:textId="77777777">
      <w:pPr>
        <w:spacing w:line="360" w:lineRule="auto"/>
        <w:rPr>
          <w:sz w:val="24"/>
        </w:rPr>
      </w:pPr>
    </w:p>
    <w:p w:rsidR="003918BB" w:rsidP="0075163D" w:rsidRDefault="00781D8C" w14:paraId="55CF38F6" w14:textId="58622E76">
      <w:pPr>
        <w:pStyle w:val="ListParagraph"/>
        <w:numPr>
          <w:ilvl w:val="0"/>
          <w:numId w:val="1"/>
        </w:numPr>
        <w:tabs>
          <w:tab w:val="left" w:pos="1632"/>
        </w:tabs>
        <w:spacing w:line="360" w:lineRule="auto"/>
        <w:ind w:right="747"/>
        <w:rPr>
          <w:sz w:val="24"/>
        </w:rPr>
      </w:pPr>
      <w:r>
        <w:rPr>
          <w:sz w:val="24"/>
        </w:rPr>
        <w:t xml:space="preserve">Unless specifically instructed otherwise (for a particular project approved by the </w:t>
      </w:r>
      <w:r w:rsidR="00B40BEE">
        <w:rPr>
          <w:sz w:val="24"/>
        </w:rPr>
        <w:t xml:space="preserve">program’s </w:t>
      </w:r>
      <w:r>
        <w:rPr>
          <w:sz w:val="24"/>
        </w:rPr>
        <w:t xml:space="preserve">Security Steward) </w:t>
      </w:r>
      <w:r w:rsidR="00B40BEE">
        <w:rPr>
          <w:sz w:val="24"/>
        </w:rPr>
        <w:t xml:space="preserve">program </w:t>
      </w:r>
      <w:r>
        <w:rPr>
          <w:sz w:val="24"/>
        </w:rPr>
        <w:t>personnel will not be allowed to abstract, collect</w:t>
      </w:r>
      <w:r w:rsidR="00B40BEE">
        <w:rPr>
          <w:sz w:val="24"/>
        </w:rPr>
        <w:t>,</w:t>
      </w:r>
      <w:r>
        <w:rPr>
          <w:sz w:val="24"/>
        </w:rPr>
        <w:t xml:space="preserve"> or process any data from a respondent whom they know</w:t>
      </w:r>
      <w:r>
        <w:rPr>
          <w:spacing w:val="-12"/>
          <w:sz w:val="24"/>
        </w:rPr>
        <w:t xml:space="preserve"> </w:t>
      </w:r>
      <w:r>
        <w:rPr>
          <w:sz w:val="24"/>
        </w:rPr>
        <w:t>personally.</w:t>
      </w:r>
    </w:p>
    <w:p w:rsidR="003918BB" w:rsidP="00E2063E" w:rsidRDefault="003918BB" w14:paraId="09C90924" w14:textId="77777777">
      <w:pPr>
        <w:pStyle w:val="BodyText"/>
        <w:spacing w:before="11" w:line="480" w:lineRule="auto"/>
        <w:rPr>
          <w:sz w:val="34"/>
        </w:rPr>
      </w:pPr>
    </w:p>
    <w:p w:rsidR="003918BB" w:rsidP="00E2063E" w:rsidRDefault="001B1991" w14:paraId="00706068" w14:textId="499D5CC1">
      <w:pPr>
        <w:pStyle w:val="Heading1"/>
        <w:spacing w:line="480" w:lineRule="auto"/>
      </w:pPr>
      <w:bookmarkStart w:name="Hard_copy_sharing_with_Other_Study_Partn" w:id="12"/>
      <w:bookmarkStart w:name="_bookmark9" w:id="13"/>
      <w:bookmarkEnd w:id="12"/>
      <w:bookmarkEnd w:id="13"/>
      <w:r>
        <w:rPr>
          <w:color w:val="365F91"/>
        </w:rPr>
        <w:t>Data</w:t>
      </w:r>
      <w:r w:rsidR="00781D8C">
        <w:rPr>
          <w:color w:val="365F91"/>
        </w:rPr>
        <w:t xml:space="preserve"> sharing with Other Study Partners</w:t>
      </w:r>
    </w:p>
    <w:p w:rsidR="003918BB" w:rsidP="0075163D" w:rsidRDefault="00781D8C" w14:paraId="14858F37" w14:textId="155DEA78">
      <w:pPr>
        <w:pStyle w:val="TableParagraph"/>
        <w:spacing w:line="276" w:lineRule="auto"/>
      </w:pPr>
      <w:r>
        <w:t>Individually identified data on individuals or establishments (sources, diagnosticians, etc.) derived will only be shared across project sites or with non-project personnel upon specific approval of the project’s Security Steward or designee</w:t>
      </w:r>
      <w:r w:rsidR="001B1991">
        <w:t>.</w:t>
      </w:r>
      <w:r>
        <w:t xml:space="preserve"> Any use or analysis of project data must be in line with the original purpose for which the data have been collected, </w:t>
      </w:r>
      <w:r w:rsidR="001B1991">
        <w:t>which is a public health response</w:t>
      </w:r>
      <w:r w:rsidR="0075163D">
        <w:t xml:space="preserve">, </w:t>
      </w:r>
      <w:r>
        <w:t xml:space="preserve">or re-review by CDC and local IRB(s) might be necessary. The CDC </w:t>
      </w:r>
      <w:r>
        <w:lastRenderedPageBreak/>
        <w:t>Confidentiality Officer should be consulted if there are requests that present unusual circumstances or appear to be outside intended boundaries for use (such as FOIA).</w:t>
      </w:r>
    </w:p>
    <w:p w:rsidR="003918BB" w:rsidP="00E2063E" w:rsidRDefault="003918BB" w14:paraId="7812559A" w14:textId="60893993">
      <w:pPr>
        <w:pStyle w:val="BodyText"/>
        <w:spacing w:before="10" w:line="480" w:lineRule="auto"/>
        <w:rPr>
          <w:sz w:val="34"/>
        </w:rPr>
      </w:pPr>
    </w:p>
    <w:p w:rsidR="003918BB" w:rsidP="00E2063E" w:rsidRDefault="003918BB" w14:paraId="1E01534F" w14:textId="371D5179">
      <w:pPr>
        <w:pStyle w:val="BodyText"/>
        <w:spacing w:before="1" w:line="480" w:lineRule="auto"/>
        <w:ind w:left="1631"/>
      </w:pPr>
      <w:bookmarkStart w:name="Procedures_regarding_HCR_Security_on_Cam" w:id="14"/>
      <w:bookmarkStart w:name="_bookmark10" w:id="15"/>
      <w:bookmarkEnd w:id="14"/>
      <w:bookmarkEnd w:id="15"/>
    </w:p>
    <w:sectPr w:rsidR="003918BB">
      <w:footerReference w:type="default" r:id="rId24"/>
      <w:pgSz w:w="12240" w:h="15840"/>
      <w:pgMar w:top="1020" w:right="980" w:bottom="1200" w:left="96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FC114" w14:textId="77777777" w:rsidR="00B70720" w:rsidRDefault="00781D8C">
      <w:r>
        <w:separator/>
      </w:r>
    </w:p>
  </w:endnote>
  <w:endnote w:type="continuationSeparator" w:id="0">
    <w:p w14:paraId="59CFFB47" w14:textId="77777777" w:rsidR="00B70720" w:rsidRDefault="0078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41857" w14:textId="77777777" w:rsidR="001070B3" w:rsidRDefault="00107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5387184"/>
      <w:docPartObj>
        <w:docPartGallery w:val="Page Numbers (Bottom of Page)"/>
        <w:docPartUnique/>
      </w:docPartObj>
    </w:sdtPr>
    <w:sdtEndPr>
      <w:rPr>
        <w:noProof/>
      </w:rPr>
    </w:sdtEndPr>
    <w:sdtContent>
      <w:p w14:paraId="634D011B" w14:textId="04D830B1" w:rsidR="00044AB9" w:rsidRDefault="00044A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A57F28" w14:textId="0A7C72CE" w:rsidR="003918BB" w:rsidRDefault="003918B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DB553" w14:textId="77777777" w:rsidR="001070B3" w:rsidRDefault="001070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6F6B8" w14:textId="1A8F7C21" w:rsidR="003918BB" w:rsidRDefault="003918B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06564" w14:textId="77777777" w:rsidR="00B70720" w:rsidRDefault="00781D8C">
      <w:r>
        <w:separator/>
      </w:r>
    </w:p>
  </w:footnote>
  <w:footnote w:type="continuationSeparator" w:id="0">
    <w:p w14:paraId="469EDB2B" w14:textId="77777777" w:rsidR="00B70720" w:rsidRDefault="00781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720CD" w14:textId="77777777" w:rsidR="001070B3" w:rsidRDefault="00107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B541" w14:textId="2E221243" w:rsidR="001070B3" w:rsidRDefault="001070B3">
    <w:pPr>
      <w:pStyle w:val="Header"/>
    </w:pPr>
  </w:p>
  <w:p w14:paraId="6C236E67" w14:textId="264F4BFF" w:rsidR="001070B3" w:rsidRDefault="001070B3">
    <w:pPr>
      <w:pStyle w:val="Header"/>
    </w:pPr>
  </w:p>
  <w:p w14:paraId="4B2342BD" w14:textId="50ADF2CF" w:rsidR="001070B3" w:rsidRDefault="001070B3">
    <w:pPr>
      <w:pStyle w:val="Header"/>
    </w:pPr>
    <w:r>
      <w:t>Attachment 5c. ACE Internal Data Security Confidentiality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B62BF" w14:textId="77777777" w:rsidR="001070B3" w:rsidRDefault="00107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230439"/>
    <w:multiLevelType w:val="hybridMultilevel"/>
    <w:tmpl w:val="40F0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B724BB"/>
    <w:multiLevelType w:val="hybridMultilevel"/>
    <w:tmpl w:val="E29CFB0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4CFA5291"/>
    <w:multiLevelType w:val="hybridMultilevel"/>
    <w:tmpl w:val="949483C2"/>
    <w:lvl w:ilvl="0" w:tplc="3D9CED14">
      <w:start w:val="1"/>
      <w:numFmt w:val="decimal"/>
      <w:lvlText w:val="%1."/>
      <w:lvlJc w:val="left"/>
      <w:pPr>
        <w:ind w:left="1632" w:hanging="360"/>
        <w:jc w:val="left"/>
      </w:pPr>
      <w:rPr>
        <w:rFonts w:ascii="Times New Roman" w:eastAsia="Times New Roman" w:hAnsi="Times New Roman" w:cs="Times New Roman" w:hint="default"/>
        <w:spacing w:val="-2"/>
        <w:w w:val="99"/>
        <w:sz w:val="24"/>
        <w:szCs w:val="24"/>
        <w:lang w:val="en-US" w:eastAsia="en-US" w:bidi="en-US"/>
      </w:rPr>
    </w:lvl>
    <w:lvl w:ilvl="1" w:tplc="B8ECC582">
      <w:start w:val="1"/>
      <w:numFmt w:val="lowerRoman"/>
      <w:lvlText w:val="%2."/>
      <w:lvlJc w:val="left"/>
      <w:pPr>
        <w:ind w:left="2352" w:hanging="308"/>
        <w:jc w:val="right"/>
      </w:pPr>
      <w:rPr>
        <w:rFonts w:ascii="Times New Roman" w:eastAsia="Times New Roman" w:hAnsi="Times New Roman" w:cs="Times New Roman" w:hint="default"/>
        <w:spacing w:val="-1"/>
        <w:w w:val="99"/>
        <w:sz w:val="24"/>
        <w:szCs w:val="24"/>
        <w:lang w:val="en-US" w:eastAsia="en-US" w:bidi="en-US"/>
      </w:rPr>
    </w:lvl>
    <w:lvl w:ilvl="2" w:tplc="AB820B98">
      <w:start w:val="1"/>
      <w:numFmt w:val="decimal"/>
      <w:lvlText w:val="%3."/>
      <w:lvlJc w:val="left"/>
      <w:pPr>
        <w:ind w:left="3072" w:hanging="360"/>
        <w:jc w:val="left"/>
      </w:pPr>
      <w:rPr>
        <w:rFonts w:ascii="Times New Roman" w:eastAsia="Times New Roman" w:hAnsi="Times New Roman" w:cs="Times New Roman" w:hint="default"/>
        <w:spacing w:val="-2"/>
        <w:w w:val="99"/>
        <w:sz w:val="24"/>
        <w:szCs w:val="24"/>
        <w:lang w:val="en-US" w:eastAsia="en-US" w:bidi="en-US"/>
      </w:rPr>
    </w:lvl>
    <w:lvl w:ilvl="3" w:tplc="159C7C50">
      <w:numFmt w:val="bullet"/>
      <w:lvlText w:val="•"/>
      <w:lvlJc w:val="left"/>
      <w:pPr>
        <w:ind w:left="3982" w:hanging="360"/>
      </w:pPr>
      <w:rPr>
        <w:rFonts w:hint="default"/>
        <w:lang w:val="en-US" w:eastAsia="en-US" w:bidi="en-US"/>
      </w:rPr>
    </w:lvl>
    <w:lvl w:ilvl="4" w:tplc="8424D48C">
      <w:numFmt w:val="bullet"/>
      <w:lvlText w:val="•"/>
      <w:lvlJc w:val="left"/>
      <w:pPr>
        <w:ind w:left="4885" w:hanging="360"/>
      </w:pPr>
      <w:rPr>
        <w:rFonts w:hint="default"/>
        <w:lang w:val="en-US" w:eastAsia="en-US" w:bidi="en-US"/>
      </w:rPr>
    </w:lvl>
    <w:lvl w:ilvl="5" w:tplc="774C0EE0">
      <w:numFmt w:val="bullet"/>
      <w:lvlText w:val="•"/>
      <w:lvlJc w:val="left"/>
      <w:pPr>
        <w:ind w:left="5787" w:hanging="360"/>
      </w:pPr>
      <w:rPr>
        <w:rFonts w:hint="default"/>
        <w:lang w:val="en-US" w:eastAsia="en-US" w:bidi="en-US"/>
      </w:rPr>
    </w:lvl>
    <w:lvl w:ilvl="6" w:tplc="F0E40ED0">
      <w:numFmt w:val="bullet"/>
      <w:lvlText w:val="•"/>
      <w:lvlJc w:val="left"/>
      <w:pPr>
        <w:ind w:left="6690" w:hanging="360"/>
      </w:pPr>
      <w:rPr>
        <w:rFonts w:hint="default"/>
        <w:lang w:val="en-US" w:eastAsia="en-US" w:bidi="en-US"/>
      </w:rPr>
    </w:lvl>
    <w:lvl w:ilvl="7" w:tplc="B59E181A">
      <w:numFmt w:val="bullet"/>
      <w:lvlText w:val="•"/>
      <w:lvlJc w:val="left"/>
      <w:pPr>
        <w:ind w:left="7592" w:hanging="360"/>
      </w:pPr>
      <w:rPr>
        <w:rFonts w:hint="default"/>
        <w:lang w:val="en-US" w:eastAsia="en-US" w:bidi="en-US"/>
      </w:rPr>
    </w:lvl>
    <w:lvl w:ilvl="8" w:tplc="03121BBA">
      <w:numFmt w:val="bullet"/>
      <w:lvlText w:val="•"/>
      <w:lvlJc w:val="left"/>
      <w:pPr>
        <w:ind w:left="8495" w:hanging="360"/>
      </w:pPr>
      <w:rPr>
        <w:rFonts w:hint="default"/>
        <w:lang w:val="en-US" w:eastAsia="en-US" w:bidi="en-US"/>
      </w:rPr>
    </w:lvl>
  </w:abstractNum>
  <w:abstractNum w:abstractNumId="3" w15:restartNumberingAfterBreak="0">
    <w:nsid w:val="64B66714"/>
    <w:multiLevelType w:val="hybridMultilevel"/>
    <w:tmpl w:val="4C129F6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6D85644E"/>
    <w:multiLevelType w:val="hybridMultilevel"/>
    <w:tmpl w:val="2A821B2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78DE34E8"/>
    <w:multiLevelType w:val="multilevel"/>
    <w:tmpl w:val="06426244"/>
    <w:lvl w:ilvl="0">
      <w:start w:val="1"/>
      <w:numFmt w:val="decimal"/>
      <w:lvlText w:val="%1"/>
      <w:lvlJc w:val="left"/>
      <w:pPr>
        <w:ind w:left="360" w:hanging="360"/>
      </w:pPr>
      <w:rPr>
        <w:rFonts w:hint="default"/>
        <w:color w:val="00928A"/>
        <w:u w:val="single"/>
      </w:rPr>
    </w:lvl>
    <w:lvl w:ilvl="1">
      <w:start w:val="1"/>
      <w:numFmt w:val="decimal"/>
      <w:lvlText w:val="%1.%2"/>
      <w:lvlJc w:val="left"/>
      <w:pPr>
        <w:ind w:left="480" w:hanging="360"/>
      </w:pPr>
      <w:rPr>
        <w:rFonts w:hint="default"/>
        <w:color w:val="00928A"/>
        <w:u w:val="single"/>
      </w:rPr>
    </w:lvl>
    <w:lvl w:ilvl="2">
      <w:start w:val="1"/>
      <w:numFmt w:val="decimal"/>
      <w:lvlText w:val="%1.%2.%3"/>
      <w:lvlJc w:val="left"/>
      <w:pPr>
        <w:ind w:left="960" w:hanging="720"/>
      </w:pPr>
      <w:rPr>
        <w:rFonts w:hint="default"/>
        <w:color w:val="00928A"/>
        <w:u w:val="single"/>
      </w:rPr>
    </w:lvl>
    <w:lvl w:ilvl="3">
      <w:start w:val="1"/>
      <w:numFmt w:val="decimal"/>
      <w:lvlText w:val="%1.%2.%3.%4"/>
      <w:lvlJc w:val="left"/>
      <w:pPr>
        <w:ind w:left="1080" w:hanging="720"/>
      </w:pPr>
      <w:rPr>
        <w:rFonts w:hint="default"/>
        <w:color w:val="00928A"/>
        <w:u w:val="single"/>
      </w:rPr>
    </w:lvl>
    <w:lvl w:ilvl="4">
      <w:start w:val="1"/>
      <w:numFmt w:val="decimal"/>
      <w:lvlText w:val="%1.%2.%3.%4.%5"/>
      <w:lvlJc w:val="left"/>
      <w:pPr>
        <w:ind w:left="1560" w:hanging="1080"/>
      </w:pPr>
      <w:rPr>
        <w:rFonts w:hint="default"/>
        <w:color w:val="00928A"/>
        <w:u w:val="single"/>
      </w:rPr>
    </w:lvl>
    <w:lvl w:ilvl="5">
      <w:start w:val="1"/>
      <w:numFmt w:val="decimal"/>
      <w:lvlText w:val="%1.%2.%3.%4.%5.%6"/>
      <w:lvlJc w:val="left"/>
      <w:pPr>
        <w:ind w:left="1680" w:hanging="1080"/>
      </w:pPr>
      <w:rPr>
        <w:rFonts w:hint="default"/>
        <w:color w:val="00928A"/>
        <w:u w:val="single"/>
      </w:rPr>
    </w:lvl>
    <w:lvl w:ilvl="6">
      <w:start w:val="1"/>
      <w:numFmt w:val="decimal"/>
      <w:lvlText w:val="%1.%2.%3.%4.%5.%6.%7"/>
      <w:lvlJc w:val="left"/>
      <w:pPr>
        <w:ind w:left="2160" w:hanging="1440"/>
      </w:pPr>
      <w:rPr>
        <w:rFonts w:hint="default"/>
        <w:color w:val="00928A"/>
        <w:u w:val="single"/>
      </w:rPr>
    </w:lvl>
    <w:lvl w:ilvl="7">
      <w:start w:val="1"/>
      <w:numFmt w:val="decimal"/>
      <w:lvlText w:val="%1.%2.%3.%4.%5.%6.%7.%8"/>
      <w:lvlJc w:val="left"/>
      <w:pPr>
        <w:ind w:left="2280" w:hanging="1440"/>
      </w:pPr>
      <w:rPr>
        <w:rFonts w:hint="default"/>
        <w:color w:val="00928A"/>
        <w:u w:val="single"/>
      </w:rPr>
    </w:lvl>
    <w:lvl w:ilvl="8">
      <w:start w:val="1"/>
      <w:numFmt w:val="decimal"/>
      <w:lvlText w:val="%1.%2.%3.%4.%5.%6.%7.%8.%9"/>
      <w:lvlJc w:val="left"/>
      <w:pPr>
        <w:ind w:left="2760" w:hanging="1800"/>
      </w:pPr>
      <w:rPr>
        <w:rFonts w:hint="default"/>
        <w:color w:val="00928A"/>
        <w:u w:val="single"/>
      </w:rPr>
    </w:lvl>
  </w:abstractNum>
  <w:abstractNum w:abstractNumId="6" w15:restartNumberingAfterBreak="0">
    <w:nsid w:val="790B7620"/>
    <w:multiLevelType w:val="hybridMultilevel"/>
    <w:tmpl w:val="F800AFA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7BE60BF6"/>
    <w:multiLevelType w:val="hybridMultilevel"/>
    <w:tmpl w:val="90DCEE7A"/>
    <w:lvl w:ilvl="0" w:tplc="E53CDBF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15:restartNumberingAfterBreak="0">
    <w:nsid w:val="7BFB1B0B"/>
    <w:multiLevelType w:val="hybridMultilevel"/>
    <w:tmpl w:val="5F2C98B2"/>
    <w:lvl w:ilvl="0" w:tplc="EA102B48">
      <w:start w:val="1"/>
      <w:numFmt w:val="decimal"/>
      <w:lvlText w:val="%1."/>
      <w:lvlJc w:val="left"/>
      <w:pPr>
        <w:ind w:left="1632" w:hanging="360"/>
        <w:jc w:val="left"/>
      </w:pPr>
      <w:rPr>
        <w:rFonts w:ascii="Times New Roman" w:eastAsia="Times New Roman" w:hAnsi="Times New Roman" w:cs="Times New Roman" w:hint="default"/>
        <w:spacing w:val="-2"/>
        <w:w w:val="99"/>
        <w:sz w:val="24"/>
        <w:szCs w:val="24"/>
        <w:lang w:val="en-US" w:eastAsia="en-US" w:bidi="en-US"/>
      </w:rPr>
    </w:lvl>
    <w:lvl w:ilvl="1" w:tplc="F31066A8">
      <w:numFmt w:val="bullet"/>
      <w:lvlText w:val="•"/>
      <w:lvlJc w:val="left"/>
      <w:pPr>
        <w:ind w:left="2506" w:hanging="360"/>
      </w:pPr>
      <w:rPr>
        <w:rFonts w:hint="default"/>
        <w:lang w:val="en-US" w:eastAsia="en-US" w:bidi="en-US"/>
      </w:rPr>
    </w:lvl>
    <w:lvl w:ilvl="2" w:tplc="B5FACC54">
      <w:numFmt w:val="bullet"/>
      <w:lvlText w:val="•"/>
      <w:lvlJc w:val="left"/>
      <w:pPr>
        <w:ind w:left="3372" w:hanging="360"/>
      </w:pPr>
      <w:rPr>
        <w:rFonts w:hint="default"/>
        <w:lang w:val="en-US" w:eastAsia="en-US" w:bidi="en-US"/>
      </w:rPr>
    </w:lvl>
    <w:lvl w:ilvl="3" w:tplc="5D18F31E">
      <w:numFmt w:val="bullet"/>
      <w:lvlText w:val="•"/>
      <w:lvlJc w:val="left"/>
      <w:pPr>
        <w:ind w:left="4238" w:hanging="360"/>
      </w:pPr>
      <w:rPr>
        <w:rFonts w:hint="default"/>
        <w:lang w:val="en-US" w:eastAsia="en-US" w:bidi="en-US"/>
      </w:rPr>
    </w:lvl>
    <w:lvl w:ilvl="4" w:tplc="9132B982">
      <w:numFmt w:val="bullet"/>
      <w:lvlText w:val="•"/>
      <w:lvlJc w:val="left"/>
      <w:pPr>
        <w:ind w:left="5104" w:hanging="360"/>
      </w:pPr>
      <w:rPr>
        <w:rFonts w:hint="default"/>
        <w:lang w:val="en-US" w:eastAsia="en-US" w:bidi="en-US"/>
      </w:rPr>
    </w:lvl>
    <w:lvl w:ilvl="5" w:tplc="49B63B86">
      <w:numFmt w:val="bullet"/>
      <w:lvlText w:val="•"/>
      <w:lvlJc w:val="left"/>
      <w:pPr>
        <w:ind w:left="5970" w:hanging="360"/>
      </w:pPr>
      <w:rPr>
        <w:rFonts w:hint="default"/>
        <w:lang w:val="en-US" w:eastAsia="en-US" w:bidi="en-US"/>
      </w:rPr>
    </w:lvl>
    <w:lvl w:ilvl="6" w:tplc="098CC004">
      <w:numFmt w:val="bullet"/>
      <w:lvlText w:val="•"/>
      <w:lvlJc w:val="left"/>
      <w:pPr>
        <w:ind w:left="6836" w:hanging="360"/>
      </w:pPr>
      <w:rPr>
        <w:rFonts w:hint="default"/>
        <w:lang w:val="en-US" w:eastAsia="en-US" w:bidi="en-US"/>
      </w:rPr>
    </w:lvl>
    <w:lvl w:ilvl="7" w:tplc="FBB28292">
      <w:numFmt w:val="bullet"/>
      <w:lvlText w:val="•"/>
      <w:lvlJc w:val="left"/>
      <w:pPr>
        <w:ind w:left="7702" w:hanging="360"/>
      </w:pPr>
      <w:rPr>
        <w:rFonts w:hint="default"/>
        <w:lang w:val="en-US" w:eastAsia="en-US" w:bidi="en-US"/>
      </w:rPr>
    </w:lvl>
    <w:lvl w:ilvl="8" w:tplc="C2246F4C">
      <w:numFmt w:val="bullet"/>
      <w:lvlText w:val="•"/>
      <w:lvlJc w:val="left"/>
      <w:pPr>
        <w:ind w:left="8568" w:hanging="360"/>
      </w:pPr>
      <w:rPr>
        <w:rFonts w:hint="default"/>
        <w:lang w:val="en-US" w:eastAsia="en-US" w:bidi="en-US"/>
      </w:rPr>
    </w:lvl>
  </w:abstractNum>
  <w:num w:numId="1">
    <w:abstractNumId w:val="2"/>
  </w:num>
  <w:num w:numId="2">
    <w:abstractNumId w:val="8"/>
  </w:num>
  <w:num w:numId="3">
    <w:abstractNumId w:val="6"/>
  </w:num>
  <w:num w:numId="4">
    <w:abstractNumId w:val="4"/>
  </w:num>
  <w:num w:numId="5">
    <w:abstractNumId w:val="3"/>
  </w:num>
  <w:num w:numId="6">
    <w:abstractNumId w:val="5"/>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BB"/>
    <w:rsid w:val="00044AB9"/>
    <w:rsid w:val="001070B3"/>
    <w:rsid w:val="001767C0"/>
    <w:rsid w:val="00182352"/>
    <w:rsid w:val="001B1991"/>
    <w:rsid w:val="002B08C6"/>
    <w:rsid w:val="002C1095"/>
    <w:rsid w:val="002F5880"/>
    <w:rsid w:val="003918BB"/>
    <w:rsid w:val="003A62DA"/>
    <w:rsid w:val="003F4B7F"/>
    <w:rsid w:val="0041124F"/>
    <w:rsid w:val="00432683"/>
    <w:rsid w:val="00484F29"/>
    <w:rsid w:val="004B1829"/>
    <w:rsid w:val="0059371B"/>
    <w:rsid w:val="005C16FC"/>
    <w:rsid w:val="005F38EA"/>
    <w:rsid w:val="00635D06"/>
    <w:rsid w:val="006B5ABF"/>
    <w:rsid w:val="006D61FD"/>
    <w:rsid w:val="00737732"/>
    <w:rsid w:val="0075163D"/>
    <w:rsid w:val="00781D8C"/>
    <w:rsid w:val="0084305F"/>
    <w:rsid w:val="008635AC"/>
    <w:rsid w:val="008A03B2"/>
    <w:rsid w:val="008C2D43"/>
    <w:rsid w:val="00915CEC"/>
    <w:rsid w:val="00953EEA"/>
    <w:rsid w:val="009749E3"/>
    <w:rsid w:val="009B66E8"/>
    <w:rsid w:val="00B2549F"/>
    <w:rsid w:val="00B31F06"/>
    <w:rsid w:val="00B3358C"/>
    <w:rsid w:val="00B40BEE"/>
    <w:rsid w:val="00B651D4"/>
    <w:rsid w:val="00B70720"/>
    <w:rsid w:val="00B80B7B"/>
    <w:rsid w:val="00BB75C3"/>
    <w:rsid w:val="00BD710C"/>
    <w:rsid w:val="00C219DC"/>
    <w:rsid w:val="00C65023"/>
    <w:rsid w:val="00CF3548"/>
    <w:rsid w:val="00D514F6"/>
    <w:rsid w:val="00DF174A"/>
    <w:rsid w:val="00E2063E"/>
    <w:rsid w:val="00E34AE1"/>
    <w:rsid w:val="00E64C53"/>
    <w:rsid w:val="00E70347"/>
    <w:rsid w:val="00EC3687"/>
    <w:rsid w:val="00F16EEF"/>
    <w:rsid w:val="00F41938"/>
    <w:rsid w:val="00FB2766"/>
    <w:rsid w:val="086DEFA6"/>
    <w:rsid w:val="305E9558"/>
    <w:rsid w:val="411D5DB9"/>
    <w:rsid w:val="42B92E1A"/>
    <w:rsid w:val="43EB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40F97"/>
  <w15:docId w15:val="{68A512E5-0635-45D9-90B3-C86BA177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sz w:val="28"/>
      <w:szCs w:val="28"/>
    </w:rPr>
  </w:style>
  <w:style w:type="paragraph" w:styleId="Heading2">
    <w:name w:val="heading 2"/>
    <w:basedOn w:val="Normal"/>
    <w:uiPriority w:val="9"/>
    <w:unhideWhenUsed/>
    <w:qFormat/>
    <w:pPr>
      <w:ind w:left="2352" w:hanging="374"/>
      <w:outlineLvl w:val="1"/>
    </w:pPr>
    <w:rPr>
      <w:b/>
      <w:bCs/>
      <w:sz w:val="24"/>
      <w:szCs w:val="24"/>
    </w:rPr>
  </w:style>
  <w:style w:type="paragraph" w:styleId="Heading3">
    <w:name w:val="heading 3"/>
    <w:basedOn w:val="Normal"/>
    <w:next w:val="Normal"/>
    <w:link w:val="Heading3Char"/>
    <w:uiPriority w:val="9"/>
    <w:semiHidden/>
    <w:unhideWhenUsed/>
    <w:qFormat/>
    <w:rsid w:val="00B335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1D8C"/>
    <w:pPr>
      <w:tabs>
        <w:tab w:val="center" w:pos="4680"/>
        <w:tab w:val="right" w:pos="9360"/>
      </w:tabs>
    </w:pPr>
  </w:style>
  <w:style w:type="character" w:customStyle="1" w:styleId="HeaderChar">
    <w:name w:val="Header Char"/>
    <w:basedOn w:val="DefaultParagraphFont"/>
    <w:link w:val="Header"/>
    <w:uiPriority w:val="99"/>
    <w:rsid w:val="00781D8C"/>
    <w:rPr>
      <w:rFonts w:ascii="Times New Roman" w:eastAsia="Times New Roman" w:hAnsi="Times New Roman" w:cs="Times New Roman"/>
      <w:lang w:bidi="en-US"/>
    </w:rPr>
  </w:style>
  <w:style w:type="paragraph" w:styleId="Footer">
    <w:name w:val="footer"/>
    <w:basedOn w:val="Normal"/>
    <w:link w:val="FooterChar"/>
    <w:uiPriority w:val="99"/>
    <w:unhideWhenUsed/>
    <w:rsid w:val="00781D8C"/>
    <w:pPr>
      <w:tabs>
        <w:tab w:val="center" w:pos="4680"/>
        <w:tab w:val="right" w:pos="9360"/>
      </w:tabs>
    </w:pPr>
  </w:style>
  <w:style w:type="character" w:customStyle="1" w:styleId="FooterChar">
    <w:name w:val="Footer Char"/>
    <w:basedOn w:val="DefaultParagraphFont"/>
    <w:link w:val="Footer"/>
    <w:uiPriority w:val="99"/>
    <w:rsid w:val="00781D8C"/>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B335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58C"/>
    <w:rPr>
      <w:rFonts w:ascii="Segoe UI" w:eastAsia="Times New Roman" w:hAnsi="Segoe UI" w:cs="Segoe UI"/>
      <w:sz w:val="18"/>
      <w:szCs w:val="18"/>
      <w:lang w:bidi="en-US"/>
    </w:rPr>
  </w:style>
  <w:style w:type="character" w:customStyle="1" w:styleId="Heading3Char">
    <w:name w:val="Heading 3 Char"/>
    <w:basedOn w:val="DefaultParagraphFont"/>
    <w:link w:val="Heading3"/>
    <w:uiPriority w:val="9"/>
    <w:semiHidden/>
    <w:rsid w:val="00B3358C"/>
    <w:rPr>
      <w:rFonts w:asciiTheme="majorHAnsi" w:eastAsiaTheme="majorEastAsia" w:hAnsiTheme="majorHAnsi" w:cstheme="majorBidi"/>
      <w:color w:val="243F60" w:themeColor="accent1" w:themeShade="7F"/>
      <w:sz w:val="24"/>
      <w:szCs w:val="24"/>
      <w:lang w:bidi="en-US"/>
    </w:rPr>
  </w:style>
  <w:style w:type="character" w:styleId="CommentReference">
    <w:name w:val="annotation reference"/>
    <w:basedOn w:val="DefaultParagraphFont"/>
    <w:uiPriority w:val="99"/>
    <w:semiHidden/>
    <w:unhideWhenUsed/>
    <w:rsid w:val="00432683"/>
    <w:rPr>
      <w:sz w:val="16"/>
      <w:szCs w:val="16"/>
    </w:rPr>
  </w:style>
  <w:style w:type="paragraph" w:styleId="CommentText">
    <w:name w:val="annotation text"/>
    <w:basedOn w:val="Normal"/>
    <w:link w:val="CommentTextChar"/>
    <w:uiPriority w:val="99"/>
    <w:semiHidden/>
    <w:unhideWhenUsed/>
    <w:rsid w:val="00432683"/>
    <w:rPr>
      <w:sz w:val="20"/>
      <w:szCs w:val="20"/>
    </w:rPr>
  </w:style>
  <w:style w:type="character" w:customStyle="1" w:styleId="CommentTextChar">
    <w:name w:val="Comment Text Char"/>
    <w:basedOn w:val="DefaultParagraphFont"/>
    <w:link w:val="CommentText"/>
    <w:uiPriority w:val="99"/>
    <w:semiHidden/>
    <w:rsid w:val="0043268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32683"/>
    <w:rPr>
      <w:b/>
      <w:bCs/>
    </w:rPr>
  </w:style>
  <w:style w:type="character" w:customStyle="1" w:styleId="CommentSubjectChar">
    <w:name w:val="Comment Subject Char"/>
    <w:basedOn w:val="CommentTextChar"/>
    <w:link w:val="CommentSubject"/>
    <w:uiPriority w:val="99"/>
    <w:semiHidden/>
    <w:rsid w:val="00432683"/>
    <w:rPr>
      <w:rFonts w:ascii="Times New Roman" w:eastAsia="Times New Roman" w:hAnsi="Times New Roman" w:cs="Times New Roman"/>
      <w:b/>
      <w:bCs/>
      <w:sz w:val="20"/>
      <w:szCs w:val="20"/>
      <w:lang w:bidi="en-US"/>
    </w:rPr>
  </w:style>
  <w:style w:type="character" w:customStyle="1" w:styleId="A9">
    <w:name w:val="A9"/>
    <w:uiPriority w:val="99"/>
    <w:rsid w:val="00B80B7B"/>
    <w:rPr>
      <w:rFonts w:cs="Myriad Pro"/>
      <w:color w:val="000000"/>
      <w:sz w:val="12"/>
      <w:szCs w:val="12"/>
    </w:rPr>
  </w:style>
  <w:style w:type="character" w:styleId="Hyperlink">
    <w:name w:val="Hyperlink"/>
    <w:basedOn w:val="DefaultParagraphFont"/>
    <w:uiPriority w:val="99"/>
    <w:unhideWhenUsed/>
    <w:rsid w:val="0041124F"/>
    <w:rPr>
      <w:color w:val="0000FF" w:themeColor="hyperlink"/>
      <w:u w:val="single"/>
    </w:rPr>
  </w:style>
  <w:style w:type="character" w:styleId="UnresolvedMention">
    <w:name w:val="Unresolved Mention"/>
    <w:basedOn w:val="DefaultParagraphFont"/>
    <w:uiPriority w:val="99"/>
    <w:semiHidden/>
    <w:unhideWhenUsed/>
    <w:rsid w:val="0041124F"/>
    <w:rPr>
      <w:color w:val="605E5C"/>
      <w:shd w:val="clear" w:color="auto" w:fill="E1DFDD"/>
    </w:rPr>
  </w:style>
  <w:style w:type="paragraph" w:customStyle="1" w:styleId="Default">
    <w:name w:val="Default"/>
    <w:rsid w:val="009749E3"/>
    <w:pPr>
      <w:widowControl/>
      <w:adjustRightInd w:val="0"/>
    </w:pPr>
    <w:rPr>
      <w:rFonts w:ascii="Myriad Pro" w:hAnsi="Myriad Pro" w:cs="Myriad Pro"/>
      <w:color w:val="000000"/>
      <w:sz w:val="24"/>
      <w:szCs w:val="24"/>
    </w:rPr>
  </w:style>
  <w:style w:type="character" w:customStyle="1" w:styleId="A14">
    <w:name w:val="A14"/>
    <w:uiPriority w:val="99"/>
    <w:rsid w:val="009749E3"/>
    <w:rPr>
      <w:rFonts w:cs="Myriad Pro"/>
      <w:color w:val="000000"/>
    </w:rPr>
  </w:style>
  <w:style w:type="character" w:customStyle="1" w:styleId="A18">
    <w:name w:val="A18"/>
    <w:uiPriority w:val="99"/>
    <w:rsid w:val="00B31F06"/>
    <w:rPr>
      <w:rFonts w:cs="Myriad Pro"/>
      <w:b/>
      <w:bCs/>
      <w:color w:val="00928A"/>
      <w:sz w:val="23"/>
      <w:szCs w:val="23"/>
      <w:u w:val="single"/>
    </w:rPr>
  </w:style>
  <w:style w:type="character" w:customStyle="1" w:styleId="A12">
    <w:name w:val="A12"/>
    <w:uiPriority w:val="99"/>
    <w:rsid w:val="00F16EEF"/>
    <w:rPr>
      <w:rFonts w:cs="Myriad Pro"/>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4430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cdc.gov/ocoo/strategic-business-initiatives-unit/records-management/index.html"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justice.gov/opcl/criminal-penalties" TargetMode="External"/><Relationship Id="rId7" Type="http://schemas.openxmlformats.org/officeDocument/2006/relationships/settings" Target="settings.xml"/><Relationship Id="rId12" Type="http://schemas.openxmlformats.org/officeDocument/2006/relationships/hyperlink" Target="https://www.hhs.gov/hipaa/for-professionals/index.html"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foia/privacy/index.html"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intranet.cdc.gov/ocio/information-systems-security/privacy-information-security/description-requirements/index.html"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itehouse.gov/sites/whitehouse.gov/files/omb/memoranda/2007/m07-16.pdf" TargetMode="External"/><Relationship Id="rId22" Type="http://schemas.openxmlformats.org/officeDocument/2006/relationships/hyperlink" Target="http://intranet.cdc.gov/ocio/information-systems-security/privacy-information-security/description-requiremen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rstName xmlns="http://schemas.microsoft.com/sharepoint/v3" xsi:nil="true"/>
    <Event-Type xmlns="377b3288-2328-4c20-862b-2b05ed14cb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D19673A293EE49AE1C63CE543B173F" ma:contentTypeVersion="976" ma:contentTypeDescription="Create a new document." ma:contentTypeScope="" ma:versionID="51345f0a1af784f3743c9d7602db9d0b">
  <xsd:schema xmlns:xsd="http://www.w3.org/2001/XMLSchema" xmlns:xs="http://www.w3.org/2001/XMLSchema" xmlns:p="http://schemas.microsoft.com/office/2006/metadata/properties" xmlns:ns1="http://schemas.microsoft.com/sharepoint/v3" xmlns:ns2="2fb1b662-f59d-4b16-9d61-2106d813860a" xmlns:ns3="377b3288-2328-4c20-862b-2b05ed14cb3c" xmlns:ns4="2d711d5d-7588-4f90-989f-689dad7cc2e3" targetNamespace="http://schemas.microsoft.com/office/2006/metadata/properties" ma:root="true" ma:fieldsID="5bfd20b8ec41ec78d64020b15d422b95" ns1:_="" ns2:_="" ns3:_="" ns4:_="">
    <xsd:import namespace="http://schemas.microsoft.com/sharepoint/v3"/>
    <xsd:import namespace="2fb1b662-f59d-4b16-9d61-2106d813860a"/>
    <xsd:import namespace="377b3288-2328-4c20-862b-2b05ed14cb3c"/>
    <xsd:import namespace="2d711d5d-7588-4f90-989f-689dad7cc2e3"/>
    <xsd:element name="properties">
      <xsd:complexType>
        <xsd:sequence>
          <xsd:element name="documentManagement">
            <xsd:complexType>
              <xsd:all>
                <xsd:element ref="ns2:_dlc_DocId" minOccurs="0"/>
                <xsd:element ref="ns2:_dlc_DocIdUrl" minOccurs="0"/>
                <xsd:element ref="ns2:_dlc_DocIdPersistId" minOccurs="0"/>
                <xsd:element ref="ns1:FirstName" minOccurs="0"/>
                <xsd:element ref="ns3:Event-Type" minOccurs="0"/>
                <xsd:element ref="ns4:SharedWithUsers" minOccurs="0"/>
                <xsd:element ref="ns4: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7" nillable="true" ma:displayName="First Name" ma:internalName="First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7b3288-2328-4c20-862b-2b05ed14cb3c" elementFormDefault="qualified">
    <xsd:import namespace="http://schemas.microsoft.com/office/2006/documentManagement/types"/>
    <xsd:import namespace="http://schemas.microsoft.com/office/infopath/2007/PartnerControls"/>
    <xsd:element name="Event-Type" ma:index="8" nillable="true" ma:displayName="Event-Type" ma:internalName="Event_x002d_Type"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711d5d-7588-4f90-989f-689dad7cc2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96594F-3EFF-476C-8B05-52551D11A580}">
  <ds:schemaRefs>
    <ds:schemaRef ds:uri="http://schemas.microsoft.com/sharepoint/events"/>
  </ds:schemaRefs>
</ds:datastoreItem>
</file>

<file path=customXml/itemProps2.xml><?xml version="1.0" encoding="utf-8"?>
<ds:datastoreItem xmlns:ds="http://schemas.openxmlformats.org/officeDocument/2006/customXml" ds:itemID="{AB3F71BC-A2DE-4C94-8CEA-213518CA2B78}">
  <ds:schemaRefs>
    <ds:schemaRef ds:uri="http://schemas.microsoft.com/sharepoint/v3/contenttype/forms"/>
  </ds:schemaRefs>
</ds:datastoreItem>
</file>

<file path=customXml/itemProps3.xml><?xml version="1.0" encoding="utf-8"?>
<ds:datastoreItem xmlns:ds="http://schemas.openxmlformats.org/officeDocument/2006/customXml" ds:itemID="{1F33B138-FD74-4E7E-BB02-A7D89CD45C11}">
  <ds:schemaRefs>
    <ds:schemaRef ds:uri="http://schemas.microsoft.com/office/2006/metadata/properties"/>
    <ds:schemaRef ds:uri="http://schemas.microsoft.com/office/infopath/2007/PartnerControls"/>
    <ds:schemaRef ds:uri="http://schemas.microsoft.com/sharepoint/v3"/>
    <ds:schemaRef ds:uri="377b3288-2328-4c20-862b-2b05ed14cb3c"/>
  </ds:schemaRefs>
</ds:datastoreItem>
</file>

<file path=customXml/itemProps4.xml><?xml version="1.0" encoding="utf-8"?>
<ds:datastoreItem xmlns:ds="http://schemas.openxmlformats.org/officeDocument/2006/customXml" ds:itemID="{E847F55E-B6C9-4C26-BE14-A2587B59F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b1b662-f59d-4b16-9d61-2106d813860a"/>
    <ds:schemaRef ds:uri="377b3288-2328-4c20-862b-2b05ed14cb3c"/>
    <ds:schemaRef ds:uri="2d711d5d-7588-4f90-989f-689dad7cc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2092</Words>
  <Characters>11926</Characters>
  <Application>Microsoft Office Word</Application>
  <DocSecurity>0</DocSecurity>
  <Lines>99</Lines>
  <Paragraphs>27</Paragraphs>
  <ScaleCrop>false</ScaleCrop>
  <Company>Centers for Disease Control and Prevention</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NCBDDD HARD COPY RECORDS (HCR) SECURITY</dc:title>
  <dc:creator>rzp4@cdc.gov;sic3@CDC.GOV</dc:creator>
  <cp:lastModifiedBy>Orr, Maureen F. (ATSDR/OAD/OIA)</cp:lastModifiedBy>
  <cp:revision>3</cp:revision>
  <dcterms:created xsi:type="dcterms:W3CDTF">2021-04-27T16:21:00Z</dcterms:created>
  <dcterms:modified xsi:type="dcterms:W3CDTF">2021-04-27T16:21:00Z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Acrobat PDFMaker 15 for Word</vt:lpwstr>
  </property>
  <property fmtid="{D5CDD505-2E9C-101B-9397-08002B2CF9AE}" pid="4" name="LastSaved">
    <vt:filetime>2020-12-04T00:00:00Z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2020-12-08T19:21:23Z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375809bf-a415-4a2c-821b-a2d8dafdd34c</vt:lpwstr>
  </property>
  <property fmtid="{D5CDD505-2E9C-101B-9397-08002B2CF9AE}" pid="11" name="MSIP_Label_7b94a7b8-f06c-4dfe-bdcc-9b548fd58c31_ContentBits">
    <vt:lpwstr>0</vt:lpwstr>
  </property>
  <property fmtid="{D5CDD505-2E9C-101B-9397-08002B2CF9AE}" pid="12" name="ContentTypeId">
    <vt:lpwstr>0x0101005CD19673A293EE49AE1C63CE543B173F</vt:lpwstr>
  </property>
</Properties>
</file>