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BDA" w:rsidRDefault="007756A1" w14:paraId="346B44B1" w14:textId="77777777">
      <w:pPr>
        <w:pStyle w:val="Heading1"/>
        <w:spacing w:before="80"/>
        <w:jc w:val="center"/>
        <w:rPr>
          <w:rFonts w:ascii="Times New Roman" w:hAnsi="Times New Roman" w:eastAsia="Times New Roman" w:cs="Times New Roman"/>
          <w:sz w:val="48"/>
          <w:szCs w:val="48"/>
        </w:rPr>
      </w:pPr>
      <w:bookmarkStart w:name="_gjdgxs" w:colFirst="0" w:colLast="0" w:id="0"/>
      <w:bookmarkEnd w:id="0"/>
      <w:r>
        <w:rPr>
          <w:rFonts w:ascii="Times New Roman" w:hAnsi="Times New Roman" w:eastAsia="Times New Roman" w:cs="Times New Roman"/>
          <w:color w:val="000000"/>
          <w:sz w:val="24"/>
          <w:szCs w:val="24"/>
        </w:rPr>
        <w:t>SUPPORTING STATEMENT</w:t>
      </w:r>
    </w:p>
    <w:p w:rsidR="008F7BDA" w:rsidRDefault="007756A1" w14:paraId="12371232" w14:textId="77777777">
      <w:pPr>
        <w:widowControl/>
        <w:pBdr>
          <w:top w:val="nil"/>
          <w:left w:val="nil"/>
          <w:bottom w:val="nil"/>
          <w:right w:val="nil"/>
          <w:between w:val="nil"/>
        </w:pBdr>
        <w:spacing w:before="22"/>
        <w:ind w:firstLine="14"/>
        <w:jc w:val="center"/>
        <w:rPr>
          <w:color w:val="000000"/>
        </w:rPr>
      </w:pPr>
      <w:r>
        <w:rPr>
          <w:b/>
          <w:color w:val="000000"/>
        </w:rPr>
        <w:t>U.S. Department of Commerce</w:t>
      </w:r>
    </w:p>
    <w:p w:rsidR="008F7BDA" w:rsidRDefault="007756A1" w14:paraId="65C1BE1C" w14:textId="77777777">
      <w:pPr>
        <w:widowControl/>
        <w:pBdr>
          <w:top w:val="nil"/>
          <w:left w:val="nil"/>
          <w:bottom w:val="nil"/>
          <w:right w:val="nil"/>
          <w:between w:val="nil"/>
        </w:pBdr>
        <w:spacing w:before="22"/>
        <w:ind w:firstLine="14"/>
        <w:jc w:val="center"/>
        <w:rPr>
          <w:color w:val="000000"/>
        </w:rPr>
      </w:pPr>
      <w:r>
        <w:rPr>
          <w:b/>
          <w:color w:val="000000"/>
        </w:rPr>
        <w:t>National Oceanic &amp; Atmospheric Administration</w:t>
      </w:r>
    </w:p>
    <w:p w:rsidR="008F7BDA" w:rsidRDefault="007756A1" w14:paraId="54A72FFB" w14:textId="77777777">
      <w:pPr>
        <w:widowControl/>
        <w:jc w:val="center"/>
        <w:rPr>
          <w:b/>
          <w:smallCaps/>
        </w:rPr>
      </w:pPr>
      <w:r>
        <w:rPr>
          <w:b/>
        </w:rPr>
        <w:t>U.S. Caribbean Commercial Fishermen Census</w:t>
      </w:r>
    </w:p>
    <w:p w:rsidR="008F7BDA" w:rsidRDefault="007756A1" w14:paraId="2CE89B08" w14:textId="77777777">
      <w:pPr>
        <w:jc w:val="center"/>
      </w:pPr>
      <w:r>
        <w:rPr>
          <w:b/>
        </w:rPr>
        <w:t>OMB CONTROL NO. 0648-0716</w:t>
      </w:r>
    </w:p>
    <w:p w:rsidR="008F7BDA" w:rsidRDefault="008F7BDA" w14:paraId="0E14605D" w14:textId="542C69D3">
      <w:bookmarkStart w:name="_GoBack" w:id="1"/>
      <w:bookmarkEnd w:id="1"/>
    </w:p>
    <w:p w:rsidR="008F7BDA" w:rsidRDefault="007756A1" w14:paraId="3EC17852" w14:textId="77777777">
      <w:pPr>
        <w:numPr>
          <w:ilvl w:val="0"/>
          <w:numId w:val="2"/>
        </w:numPr>
        <w:pBdr>
          <w:top w:val="nil"/>
          <w:left w:val="nil"/>
          <w:bottom w:val="nil"/>
          <w:right w:val="nil"/>
          <w:between w:val="nil"/>
        </w:pBdr>
        <w:rPr>
          <w:color w:val="000000"/>
        </w:rPr>
      </w:pPr>
      <w:r>
        <w:rPr>
          <w:b/>
          <w:color w:val="000000"/>
        </w:rPr>
        <w:t xml:space="preserve">Describe (including a numerical estimate) the potential respondent universe and any sampling or other respondent selection method to </w:t>
      </w:r>
      <w:proofErr w:type="gramStart"/>
      <w:r>
        <w:rPr>
          <w:b/>
          <w:color w:val="000000"/>
        </w:rPr>
        <w:t>be used</w:t>
      </w:r>
      <w:proofErr w:type="gramEnd"/>
      <w:r>
        <w:rPr>
          <w:b/>
          <w:color w:val="000000"/>
        </w:rPr>
        <w:t xml:space="preserve">. Data on the number of entities (e.g., establishments, State and local government units, households, or persons) in the universe covered by the collection and in the corresponding sample are to </w:t>
      </w:r>
      <w:proofErr w:type="gramStart"/>
      <w:r>
        <w:rPr>
          <w:b/>
          <w:color w:val="000000"/>
        </w:rPr>
        <w:t>be provided</w:t>
      </w:r>
      <w:proofErr w:type="gramEnd"/>
      <w:r>
        <w:rPr>
          <w:b/>
          <w:color w:val="000000"/>
        </w:rPr>
        <w:t xml:space="preserve"> in tabular form for the universe as a whole and for each of the strata in the proposed sample. Indicate expected response rates for the collection as a whole. If the collection </w:t>
      </w:r>
      <w:proofErr w:type="gramStart"/>
      <w:r>
        <w:rPr>
          <w:b/>
          <w:color w:val="000000"/>
        </w:rPr>
        <w:t>had been conducted</w:t>
      </w:r>
      <w:proofErr w:type="gramEnd"/>
      <w:r>
        <w:rPr>
          <w:b/>
          <w:color w:val="000000"/>
        </w:rPr>
        <w:t xml:space="preserve"> previously, include the actual response rate achieved during the last collection.</w:t>
      </w:r>
    </w:p>
    <w:p w:rsidR="008F7BDA" w:rsidRDefault="008F7BDA" w14:paraId="1F31C5E5" w14:textId="77777777">
      <w:pPr>
        <w:rPr>
          <w:u w:val="single"/>
        </w:rPr>
      </w:pPr>
    </w:p>
    <w:p w:rsidR="008F7BDA" w:rsidRDefault="007756A1" w14:paraId="5381AF71" w14:textId="47B4A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proposed data collection intends to survey small-scale fishers in the jurisdictions of the Commonwealth of Puerto Rico and the U.S. Virgin Islands (U.S.V.I.) Territory. In total, we plan to complete 1,500 surveys with commercial fishers (Table 1).</w:t>
      </w:r>
    </w:p>
    <w:p w:rsidR="008F7BDA" w:rsidRDefault="008F7BDA" w14:paraId="3134664E" w14:textId="77777777">
      <w:pPr>
        <w:rPr>
          <w:u w:val="single"/>
        </w:rPr>
      </w:pPr>
    </w:p>
    <w:p w:rsidR="008F7BDA" w:rsidRDefault="007756A1" w14:paraId="42459986" w14:textId="77777777">
      <w:pPr>
        <w:rPr>
          <w:u w:val="single"/>
        </w:rPr>
      </w:pPr>
      <w:r>
        <w:rPr>
          <w:u w:val="single"/>
        </w:rPr>
        <w:t xml:space="preserve">Potential Respondent Universe: </w:t>
      </w:r>
    </w:p>
    <w:p w:rsidR="008F7BDA" w:rsidRDefault="008F7BDA" w14:paraId="031F85B2" w14:textId="77777777"/>
    <w:p w:rsidR="008F7BDA" w:rsidRDefault="007756A1" w14:paraId="6B58B33C" w14:textId="77777777">
      <w:pPr>
        <w:jc w:val="both"/>
      </w:pPr>
      <w:r>
        <w:t xml:space="preserve">The absence of federal fishing licenses in the U.S. Caribbean requires us to draw from local trip ticket databases. These trip ticket and/or local license databases indicate that there are 1,240 licensed fishers in Puerto Rico and 260 licensed fishers in U.S.V.I. </w:t>
      </w:r>
    </w:p>
    <w:p w:rsidR="008F7BDA" w:rsidRDefault="008F7BDA" w14:paraId="44E10022" w14:textId="77777777">
      <w:pPr>
        <w:rPr>
          <w:u w:val="single"/>
        </w:rPr>
      </w:pPr>
    </w:p>
    <w:p w:rsidR="008F7BDA" w:rsidRDefault="007756A1" w14:paraId="06CEE229" w14:textId="77777777">
      <w:pPr>
        <w:rPr>
          <w:u w:val="single"/>
        </w:rPr>
      </w:pPr>
      <w:r>
        <w:rPr>
          <w:u w:val="single"/>
        </w:rPr>
        <w:t>Sampling and Other respondent Selection Methods:</w:t>
      </w:r>
    </w:p>
    <w:p w:rsidR="008F7BDA" w:rsidRDefault="008F7BDA" w14:paraId="49C6EF26" w14:textId="77777777"/>
    <w:p w:rsidR="008F7BDA" w:rsidRDefault="007756A1" w14:paraId="6FD15DBE" w14:textId="2F82F71C">
      <w:pPr>
        <w:jc w:val="both"/>
      </w:pPr>
      <w:r>
        <w:t xml:space="preserve">We intend to contact 1,500 small-scale fishers in the U.S. Caribbean, if we are able to secure full funding (Table 1). If partial funding is obtained, then we plan to use a (proportional) stratified random sample, where each stratum corresponds to a coastal region (i.e. North, South, East, and West) in Puerto Rico, or to an island in U.S.V.I. (i.e., St. Thomas, St. John and St. Croix). The sample size in each stratum will be proportionate to the population size of the stratum. Table 1 also shows the sampling strategy for the case where we receive 50% funding. </w:t>
      </w:r>
    </w:p>
    <w:p w:rsidR="008F7BDA" w:rsidRDefault="008F7BDA" w14:paraId="4E06332A" w14:textId="77777777">
      <w:pPr>
        <w:rPr>
          <w:u w:val="single"/>
        </w:rPr>
      </w:pPr>
    </w:p>
    <w:p w:rsidR="008F7BDA" w:rsidRDefault="007756A1" w14:paraId="5EE5B6E3" w14:textId="77777777">
      <w:pPr>
        <w:rPr>
          <w:u w:val="single"/>
        </w:rPr>
      </w:pPr>
      <w:r>
        <w:rPr>
          <w:u w:val="single"/>
        </w:rPr>
        <w:t>Expected Response Rate:</w:t>
      </w:r>
    </w:p>
    <w:p w:rsidR="008F7BDA" w:rsidRDefault="008F7BDA" w14:paraId="2DA5FA22" w14:textId="77777777"/>
    <w:p w:rsidR="008F7BDA" w:rsidP="005A35AE" w:rsidRDefault="007756A1" w14:paraId="5379B1C2" w14:textId="10F1B9A7">
      <w:pPr>
        <w:jc w:val="both"/>
      </w:pPr>
      <w:r>
        <w:t xml:space="preserve">For U.S.V.I., we used an expected response rate of 82% based on the most recent in-person small-scale fisher census conducted by </w:t>
      </w:r>
      <w:proofErr w:type="spellStart"/>
      <w:r>
        <w:t>Kojis</w:t>
      </w:r>
      <w:proofErr w:type="spellEnd"/>
      <w:r>
        <w:t xml:space="preserve"> et al.’s (2017; Table 1).</w:t>
      </w:r>
      <w:r>
        <w:rPr>
          <w:vertAlign w:val="superscript"/>
        </w:rPr>
        <w:footnoteReference w:id="1"/>
      </w:r>
      <w:r>
        <w:t xml:space="preserve"> For Puerto Rico, we used an expected response rate of 69% based on a recent phone survey about the 6-month impacts of COVD-19 on local fishers.</w:t>
      </w:r>
    </w:p>
    <w:p w:rsidR="008F7BDA" w:rsidRDefault="008F7BDA" w14:paraId="7EA53D49" w14:textId="77777777">
      <w:pPr>
        <w:rPr>
          <w:b/>
        </w:rPr>
      </w:pPr>
    </w:p>
    <w:p w:rsidR="008F7BDA" w:rsidRDefault="008F7BDA" w14:paraId="242D033F" w14:textId="77777777"/>
    <w:p w:rsidR="008F7BDA" w:rsidRDefault="007756A1" w14:paraId="6DE246C0" w14:textId="77777777">
      <w:r>
        <w:lastRenderedPageBreak/>
        <w:t>Table 1: Population size, sample size, expected response rate, and number of expected completed surveys per strata for U.S. Caribbean survey.</w:t>
      </w:r>
    </w:p>
    <w:p w:rsidR="008F7BDA" w:rsidRDefault="008F7BDA" w14:paraId="1CC11CCD" w14:textId="77777777">
      <w:pPr>
        <w:rPr>
          <w:b/>
        </w:rPr>
      </w:pPr>
    </w:p>
    <w:tbl>
      <w:tblPr>
        <w:tblStyle w:val="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2785"/>
        <w:gridCol w:w="1172"/>
        <w:gridCol w:w="2027"/>
        <w:gridCol w:w="1373"/>
        <w:gridCol w:w="1993"/>
      </w:tblGrid>
      <w:tr w:rsidR="005A35AE" w:rsidTr="0033283A" w14:paraId="30A23D96" w14:textId="77777777">
        <w:trPr>
          <w:trHeight w:val="1502"/>
        </w:trPr>
        <w:tc>
          <w:tcPr>
            <w:tcW w:w="2785" w:type="dxa"/>
            <w:vAlign w:val="center"/>
          </w:tcPr>
          <w:p w:rsidRPr="00110E12" w:rsidR="005A35AE" w:rsidP="005A35AE" w:rsidRDefault="005A35AE" w14:paraId="377AB16D" w14:textId="09C78C1D">
            <w:pPr>
              <w:rPr>
                <w:sz w:val="22"/>
                <w:szCs w:val="22"/>
              </w:rPr>
            </w:pPr>
            <w:r w:rsidRPr="00110E12">
              <w:rPr>
                <w:sz w:val="22"/>
                <w:szCs w:val="22"/>
              </w:rPr>
              <w:t xml:space="preserve">Jurisdiction </w:t>
            </w:r>
          </w:p>
        </w:tc>
        <w:tc>
          <w:tcPr>
            <w:tcW w:w="1170" w:type="dxa"/>
            <w:vAlign w:val="center"/>
          </w:tcPr>
          <w:p w:rsidRPr="00110E12" w:rsidR="005A35AE" w:rsidP="00110E12" w:rsidRDefault="005A35AE" w14:paraId="78F56AFA" w14:textId="012A5F14">
            <w:pPr>
              <w:jc w:val="center"/>
              <w:rPr>
                <w:sz w:val="22"/>
                <w:szCs w:val="22"/>
              </w:rPr>
            </w:pPr>
            <w:r w:rsidRPr="00110E12">
              <w:rPr>
                <w:sz w:val="22"/>
                <w:szCs w:val="22"/>
              </w:rPr>
              <w:t>Estimated population and sample Size (full funding)</w:t>
            </w:r>
          </w:p>
        </w:tc>
        <w:tc>
          <w:tcPr>
            <w:tcW w:w="2027" w:type="dxa"/>
          </w:tcPr>
          <w:p w:rsidRPr="00110E12" w:rsidR="005A35AE" w:rsidP="00110E12" w:rsidRDefault="005A35AE" w14:paraId="7A15E47D" w14:textId="77777777">
            <w:pPr>
              <w:jc w:val="center"/>
              <w:rPr>
                <w:sz w:val="22"/>
                <w:szCs w:val="22"/>
              </w:rPr>
            </w:pPr>
            <w:r w:rsidRPr="00110E12">
              <w:rPr>
                <w:sz w:val="22"/>
                <w:szCs w:val="22"/>
              </w:rPr>
              <w:t xml:space="preserve">Estimated population (and sample size -assuming 50% funding) </w:t>
            </w:r>
          </w:p>
        </w:tc>
        <w:tc>
          <w:tcPr>
            <w:tcW w:w="0" w:type="auto"/>
            <w:vAlign w:val="center"/>
          </w:tcPr>
          <w:p w:rsidRPr="00110E12" w:rsidR="005A35AE" w:rsidP="00110E12" w:rsidRDefault="005A35AE" w14:paraId="34EB905D" w14:textId="77777777">
            <w:pPr>
              <w:jc w:val="center"/>
              <w:rPr>
                <w:sz w:val="22"/>
                <w:szCs w:val="22"/>
              </w:rPr>
            </w:pPr>
            <w:r w:rsidRPr="00110E12">
              <w:rPr>
                <w:sz w:val="22"/>
                <w:szCs w:val="22"/>
              </w:rPr>
              <w:t>Expected Response Rate</w:t>
            </w:r>
          </w:p>
        </w:tc>
        <w:tc>
          <w:tcPr>
            <w:tcW w:w="0" w:type="auto"/>
            <w:vAlign w:val="center"/>
          </w:tcPr>
          <w:p w:rsidRPr="00110E12" w:rsidR="005A35AE" w:rsidP="00110E12" w:rsidRDefault="005A35AE" w14:paraId="4C0E0A7D" w14:textId="77777777">
            <w:pPr>
              <w:jc w:val="center"/>
              <w:rPr>
                <w:sz w:val="22"/>
                <w:szCs w:val="22"/>
              </w:rPr>
            </w:pPr>
            <w:r w:rsidRPr="00110E12">
              <w:rPr>
                <w:sz w:val="22"/>
                <w:szCs w:val="22"/>
              </w:rPr>
              <w:t>Number of Expected Completed Surveys per Strata</w:t>
            </w:r>
          </w:p>
        </w:tc>
      </w:tr>
      <w:tr w:rsidR="005A35AE" w:rsidTr="0033283A" w14:paraId="56A87FC4" w14:textId="77777777">
        <w:trPr>
          <w:trHeight w:val="300"/>
        </w:trPr>
        <w:tc>
          <w:tcPr>
            <w:tcW w:w="2785" w:type="dxa"/>
            <w:vAlign w:val="center"/>
          </w:tcPr>
          <w:p w:rsidRPr="00110E12" w:rsidR="005A35AE" w:rsidP="005A35AE" w:rsidRDefault="005A35AE" w14:paraId="5B2172C4" w14:textId="77777777">
            <w:pPr>
              <w:rPr>
                <w:sz w:val="22"/>
                <w:szCs w:val="22"/>
              </w:rPr>
            </w:pPr>
            <w:r w:rsidRPr="00110E12">
              <w:rPr>
                <w:sz w:val="22"/>
                <w:szCs w:val="22"/>
              </w:rPr>
              <w:t>Full Funding Case (100%)</w:t>
            </w:r>
          </w:p>
        </w:tc>
        <w:tc>
          <w:tcPr>
            <w:tcW w:w="1170" w:type="dxa"/>
            <w:vAlign w:val="center"/>
          </w:tcPr>
          <w:p w:rsidRPr="00110E12" w:rsidR="005A35AE" w:rsidP="00110E12" w:rsidRDefault="005A35AE" w14:paraId="2D3CA9CA" w14:textId="77777777">
            <w:pPr>
              <w:jc w:val="center"/>
              <w:rPr>
                <w:sz w:val="22"/>
                <w:szCs w:val="22"/>
              </w:rPr>
            </w:pPr>
          </w:p>
        </w:tc>
        <w:tc>
          <w:tcPr>
            <w:tcW w:w="2027" w:type="dxa"/>
          </w:tcPr>
          <w:p w:rsidRPr="00110E12" w:rsidR="005A35AE" w:rsidP="00110E12" w:rsidRDefault="005A35AE" w14:paraId="0B4A6308" w14:textId="77777777">
            <w:pPr>
              <w:jc w:val="center"/>
              <w:rPr>
                <w:sz w:val="22"/>
                <w:szCs w:val="22"/>
              </w:rPr>
            </w:pPr>
          </w:p>
        </w:tc>
        <w:tc>
          <w:tcPr>
            <w:tcW w:w="0" w:type="auto"/>
            <w:vAlign w:val="center"/>
          </w:tcPr>
          <w:p w:rsidRPr="00110E12" w:rsidR="005A35AE" w:rsidP="00110E12" w:rsidRDefault="005A35AE" w14:paraId="3FC5E9AC" w14:textId="77777777">
            <w:pPr>
              <w:jc w:val="center"/>
              <w:rPr>
                <w:sz w:val="22"/>
                <w:szCs w:val="22"/>
              </w:rPr>
            </w:pPr>
          </w:p>
        </w:tc>
        <w:tc>
          <w:tcPr>
            <w:tcW w:w="0" w:type="auto"/>
            <w:vAlign w:val="center"/>
          </w:tcPr>
          <w:p w:rsidRPr="00110E12" w:rsidR="005A35AE" w:rsidP="00110E12" w:rsidRDefault="005A35AE" w14:paraId="26A23511" w14:textId="77777777">
            <w:pPr>
              <w:widowControl/>
              <w:jc w:val="center"/>
              <w:rPr>
                <w:color w:val="000000"/>
                <w:sz w:val="22"/>
                <w:szCs w:val="22"/>
              </w:rPr>
            </w:pPr>
          </w:p>
        </w:tc>
      </w:tr>
      <w:tr w:rsidR="005A35AE" w:rsidTr="0033283A" w14:paraId="76507350" w14:textId="77777777">
        <w:trPr>
          <w:trHeight w:val="300"/>
        </w:trPr>
        <w:tc>
          <w:tcPr>
            <w:tcW w:w="2785" w:type="dxa"/>
            <w:vAlign w:val="center"/>
          </w:tcPr>
          <w:p w:rsidRPr="00110E12" w:rsidR="005A35AE" w:rsidP="005A35AE" w:rsidRDefault="005A35AE" w14:paraId="193A7239" w14:textId="77777777">
            <w:pPr>
              <w:rPr>
                <w:sz w:val="22"/>
                <w:szCs w:val="22"/>
              </w:rPr>
            </w:pPr>
          </w:p>
        </w:tc>
        <w:tc>
          <w:tcPr>
            <w:tcW w:w="1170" w:type="dxa"/>
            <w:vAlign w:val="center"/>
          </w:tcPr>
          <w:p w:rsidRPr="00110E12" w:rsidR="005A35AE" w:rsidP="00110E12" w:rsidRDefault="005A35AE" w14:paraId="723CBD62" w14:textId="77777777">
            <w:pPr>
              <w:jc w:val="center"/>
              <w:rPr>
                <w:sz w:val="22"/>
                <w:szCs w:val="22"/>
              </w:rPr>
            </w:pPr>
          </w:p>
        </w:tc>
        <w:tc>
          <w:tcPr>
            <w:tcW w:w="2027" w:type="dxa"/>
          </w:tcPr>
          <w:p w:rsidRPr="00110E12" w:rsidR="005A35AE" w:rsidP="00110E12" w:rsidRDefault="005A35AE" w14:paraId="1F3A6026" w14:textId="77777777">
            <w:pPr>
              <w:jc w:val="center"/>
              <w:rPr>
                <w:sz w:val="22"/>
                <w:szCs w:val="22"/>
              </w:rPr>
            </w:pPr>
          </w:p>
        </w:tc>
        <w:tc>
          <w:tcPr>
            <w:tcW w:w="0" w:type="auto"/>
            <w:vAlign w:val="center"/>
          </w:tcPr>
          <w:p w:rsidRPr="00110E12" w:rsidR="005A35AE" w:rsidP="00110E12" w:rsidRDefault="005A35AE" w14:paraId="1D875BE9" w14:textId="77777777">
            <w:pPr>
              <w:jc w:val="center"/>
              <w:rPr>
                <w:sz w:val="22"/>
                <w:szCs w:val="22"/>
              </w:rPr>
            </w:pPr>
          </w:p>
        </w:tc>
        <w:tc>
          <w:tcPr>
            <w:tcW w:w="0" w:type="auto"/>
            <w:vAlign w:val="center"/>
          </w:tcPr>
          <w:p w:rsidRPr="00110E12" w:rsidR="005A35AE" w:rsidP="00110E12" w:rsidRDefault="005A35AE" w14:paraId="6CDDC5C5" w14:textId="77777777">
            <w:pPr>
              <w:widowControl/>
              <w:jc w:val="center"/>
              <w:rPr>
                <w:color w:val="000000"/>
                <w:sz w:val="22"/>
                <w:szCs w:val="22"/>
              </w:rPr>
            </w:pPr>
          </w:p>
        </w:tc>
      </w:tr>
      <w:tr w:rsidR="005A35AE" w:rsidTr="0033283A" w14:paraId="15114009" w14:textId="77777777">
        <w:trPr>
          <w:trHeight w:val="300"/>
        </w:trPr>
        <w:tc>
          <w:tcPr>
            <w:tcW w:w="2785" w:type="dxa"/>
            <w:vAlign w:val="center"/>
          </w:tcPr>
          <w:p w:rsidRPr="00110E12" w:rsidR="005A35AE" w:rsidP="005A35AE" w:rsidRDefault="005A35AE" w14:paraId="0764C7CA" w14:textId="77777777">
            <w:pPr>
              <w:rPr>
                <w:sz w:val="22"/>
                <w:szCs w:val="22"/>
              </w:rPr>
            </w:pPr>
            <w:r w:rsidRPr="00110E12">
              <w:rPr>
                <w:sz w:val="22"/>
                <w:szCs w:val="22"/>
              </w:rPr>
              <w:t>USVI</w:t>
            </w:r>
          </w:p>
        </w:tc>
        <w:tc>
          <w:tcPr>
            <w:tcW w:w="1170" w:type="dxa"/>
            <w:vAlign w:val="center"/>
          </w:tcPr>
          <w:p w:rsidRPr="00110E12" w:rsidR="005A35AE" w:rsidP="00110E12" w:rsidRDefault="005A35AE" w14:paraId="40515072" w14:textId="77777777">
            <w:pPr>
              <w:jc w:val="center"/>
              <w:rPr>
                <w:sz w:val="22"/>
                <w:szCs w:val="22"/>
              </w:rPr>
            </w:pPr>
            <w:r w:rsidRPr="00110E12">
              <w:rPr>
                <w:sz w:val="22"/>
                <w:szCs w:val="22"/>
              </w:rPr>
              <w:t>260</w:t>
            </w:r>
          </w:p>
        </w:tc>
        <w:tc>
          <w:tcPr>
            <w:tcW w:w="2027" w:type="dxa"/>
            <w:vAlign w:val="center"/>
          </w:tcPr>
          <w:p w:rsidRPr="00110E12" w:rsidR="005A35AE" w:rsidP="00110E12" w:rsidRDefault="005A35AE" w14:paraId="0A880ADF" w14:textId="77777777">
            <w:pPr>
              <w:jc w:val="center"/>
              <w:rPr>
                <w:sz w:val="22"/>
                <w:szCs w:val="22"/>
              </w:rPr>
            </w:pPr>
          </w:p>
        </w:tc>
        <w:tc>
          <w:tcPr>
            <w:tcW w:w="0" w:type="auto"/>
            <w:vAlign w:val="center"/>
          </w:tcPr>
          <w:p w:rsidRPr="00110E12" w:rsidR="005A35AE" w:rsidP="00110E12" w:rsidRDefault="005A35AE" w14:paraId="2015BE3E" w14:textId="77777777">
            <w:pPr>
              <w:jc w:val="center"/>
              <w:rPr>
                <w:sz w:val="22"/>
                <w:szCs w:val="22"/>
              </w:rPr>
            </w:pPr>
            <w:r w:rsidRPr="00110E12">
              <w:rPr>
                <w:sz w:val="22"/>
                <w:szCs w:val="22"/>
              </w:rPr>
              <w:t>0.82</w:t>
            </w:r>
          </w:p>
        </w:tc>
        <w:tc>
          <w:tcPr>
            <w:tcW w:w="0" w:type="auto"/>
            <w:vAlign w:val="center"/>
          </w:tcPr>
          <w:p w:rsidRPr="00110E12" w:rsidR="005A35AE" w:rsidP="00110E12" w:rsidRDefault="005A35AE" w14:paraId="7D3010F5" w14:textId="77777777">
            <w:pPr>
              <w:widowControl/>
              <w:jc w:val="center"/>
              <w:rPr>
                <w:color w:val="000000"/>
                <w:sz w:val="22"/>
                <w:szCs w:val="22"/>
              </w:rPr>
            </w:pPr>
            <w:r w:rsidRPr="00110E12">
              <w:rPr>
                <w:color w:val="000000"/>
                <w:sz w:val="22"/>
                <w:szCs w:val="22"/>
              </w:rPr>
              <w:t>213</w:t>
            </w:r>
          </w:p>
        </w:tc>
      </w:tr>
      <w:tr w:rsidR="005A35AE" w:rsidTr="0033283A" w14:paraId="038923ED" w14:textId="77777777">
        <w:trPr>
          <w:trHeight w:val="287"/>
        </w:trPr>
        <w:tc>
          <w:tcPr>
            <w:tcW w:w="2785" w:type="dxa"/>
            <w:vAlign w:val="center"/>
          </w:tcPr>
          <w:p w:rsidRPr="00110E12" w:rsidR="005A35AE" w:rsidP="005A35AE" w:rsidRDefault="005A35AE" w14:paraId="51D2628C" w14:textId="77777777">
            <w:pPr>
              <w:rPr>
                <w:sz w:val="22"/>
                <w:szCs w:val="22"/>
              </w:rPr>
            </w:pPr>
            <w:r w:rsidRPr="00110E12">
              <w:rPr>
                <w:sz w:val="22"/>
                <w:szCs w:val="22"/>
              </w:rPr>
              <w:t>Puerto Rico</w:t>
            </w:r>
          </w:p>
        </w:tc>
        <w:tc>
          <w:tcPr>
            <w:tcW w:w="1170" w:type="dxa"/>
            <w:vAlign w:val="center"/>
          </w:tcPr>
          <w:p w:rsidRPr="00110E12" w:rsidR="005A35AE" w:rsidP="00110E12" w:rsidRDefault="005A35AE" w14:paraId="0F1B876E" w14:textId="77777777">
            <w:pPr>
              <w:jc w:val="center"/>
              <w:rPr>
                <w:sz w:val="22"/>
                <w:szCs w:val="22"/>
              </w:rPr>
            </w:pPr>
            <w:r w:rsidRPr="00110E12">
              <w:rPr>
                <w:sz w:val="22"/>
                <w:szCs w:val="22"/>
              </w:rPr>
              <w:t>1,240</w:t>
            </w:r>
          </w:p>
        </w:tc>
        <w:tc>
          <w:tcPr>
            <w:tcW w:w="2027" w:type="dxa"/>
            <w:vAlign w:val="center"/>
          </w:tcPr>
          <w:p w:rsidRPr="00110E12" w:rsidR="005A35AE" w:rsidP="00110E12" w:rsidRDefault="005A35AE" w14:paraId="2E273006" w14:textId="77777777">
            <w:pPr>
              <w:jc w:val="center"/>
              <w:rPr>
                <w:sz w:val="22"/>
                <w:szCs w:val="22"/>
              </w:rPr>
            </w:pPr>
          </w:p>
        </w:tc>
        <w:tc>
          <w:tcPr>
            <w:tcW w:w="0" w:type="auto"/>
            <w:vAlign w:val="center"/>
          </w:tcPr>
          <w:p w:rsidRPr="00110E12" w:rsidR="005A35AE" w:rsidP="00110E12" w:rsidRDefault="005A35AE" w14:paraId="306A1E56" w14:textId="45755C3F">
            <w:pPr>
              <w:jc w:val="center"/>
              <w:rPr>
                <w:sz w:val="22"/>
                <w:szCs w:val="22"/>
              </w:rPr>
            </w:pPr>
            <w:r w:rsidRPr="00110E12">
              <w:rPr>
                <w:sz w:val="22"/>
                <w:szCs w:val="22"/>
              </w:rPr>
              <w:t>0.69</w:t>
            </w:r>
          </w:p>
        </w:tc>
        <w:tc>
          <w:tcPr>
            <w:tcW w:w="0" w:type="auto"/>
            <w:vAlign w:val="center"/>
          </w:tcPr>
          <w:p w:rsidRPr="00110E12" w:rsidR="005A35AE" w:rsidP="00110E12" w:rsidRDefault="005A35AE" w14:paraId="721AA002" w14:textId="4260C9C2">
            <w:pPr>
              <w:jc w:val="center"/>
              <w:rPr>
                <w:color w:val="000000"/>
                <w:sz w:val="22"/>
                <w:szCs w:val="22"/>
              </w:rPr>
            </w:pPr>
            <w:r w:rsidRPr="00110E12">
              <w:rPr>
                <w:color w:val="000000"/>
                <w:sz w:val="22"/>
                <w:szCs w:val="22"/>
              </w:rPr>
              <w:t>856</w:t>
            </w:r>
          </w:p>
        </w:tc>
      </w:tr>
      <w:tr w:rsidR="005A35AE" w:rsidTr="0033283A" w14:paraId="48935E62" w14:textId="77777777">
        <w:trPr>
          <w:trHeight w:val="351"/>
        </w:trPr>
        <w:tc>
          <w:tcPr>
            <w:tcW w:w="2785" w:type="dxa"/>
            <w:shd w:val="clear" w:color="auto" w:fill="auto"/>
            <w:vAlign w:val="center"/>
          </w:tcPr>
          <w:p w:rsidRPr="00110E12" w:rsidR="005A35AE" w:rsidP="005A35AE" w:rsidRDefault="005A35AE" w14:paraId="3F33DA92" w14:textId="77777777">
            <w:pPr>
              <w:rPr>
                <w:sz w:val="22"/>
                <w:szCs w:val="22"/>
              </w:rPr>
            </w:pPr>
          </w:p>
        </w:tc>
        <w:tc>
          <w:tcPr>
            <w:tcW w:w="1170" w:type="dxa"/>
            <w:shd w:val="clear" w:color="auto" w:fill="auto"/>
            <w:vAlign w:val="center"/>
          </w:tcPr>
          <w:p w:rsidRPr="00110E12" w:rsidR="005A35AE" w:rsidP="00110E12" w:rsidRDefault="005A35AE" w14:paraId="4354E899" w14:textId="77777777">
            <w:pPr>
              <w:jc w:val="center"/>
              <w:rPr>
                <w:sz w:val="22"/>
                <w:szCs w:val="22"/>
              </w:rPr>
            </w:pPr>
          </w:p>
        </w:tc>
        <w:tc>
          <w:tcPr>
            <w:tcW w:w="2027" w:type="dxa"/>
            <w:shd w:val="clear" w:color="auto" w:fill="auto"/>
            <w:vAlign w:val="center"/>
          </w:tcPr>
          <w:p w:rsidRPr="00110E12" w:rsidR="005A35AE" w:rsidP="00110E12" w:rsidRDefault="005A35AE" w14:paraId="2B6C10C5" w14:textId="77777777">
            <w:pPr>
              <w:jc w:val="center"/>
              <w:rPr>
                <w:sz w:val="22"/>
                <w:szCs w:val="22"/>
              </w:rPr>
            </w:pPr>
          </w:p>
        </w:tc>
        <w:tc>
          <w:tcPr>
            <w:tcW w:w="0" w:type="auto"/>
            <w:shd w:val="clear" w:color="auto" w:fill="auto"/>
            <w:vAlign w:val="center"/>
          </w:tcPr>
          <w:p w:rsidRPr="00110E12" w:rsidR="005A35AE" w:rsidP="00110E12" w:rsidRDefault="005A35AE" w14:paraId="6BCC3193" w14:textId="77777777">
            <w:pPr>
              <w:jc w:val="center"/>
              <w:rPr>
                <w:sz w:val="22"/>
                <w:szCs w:val="22"/>
              </w:rPr>
            </w:pPr>
          </w:p>
        </w:tc>
        <w:tc>
          <w:tcPr>
            <w:tcW w:w="0" w:type="auto"/>
            <w:shd w:val="clear" w:color="auto" w:fill="auto"/>
            <w:vAlign w:val="center"/>
          </w:tcPr>
          <w:p w:rsidRPr="00110E12" w:rsidR="005A35AE" w:rsidP="00110E12" w:rsidRDefault="005A35AE" w14:paraId="1396D6B5" w14:textId="77777777">
            <w:pPr>
              <w:jc w:val="center"/>
              <w:rPr>
                <w:color w:val="000000"/>
                <w:sz w:val="22"/>
                <w:szCs w:val="22"/>
              </w:rPr>
            </w:pPr>
          </w:p>
        </w:tc>
      </w:tr>
      <w:tr w:rsidR="005A35AE" w:rsidTr="0033283A" w14:paraId="6E9CBFAB" w14:textId="77777777">
        <w:trPr>
          <w:trHeight w:val="352"/>
        </w:trPr>
        <w:tc>
          <w:tcPr>
            <w:tcW w:w="2785" w:type="dxa"/>
            <w:shd w:val="clear" w:color="auto" w:fill="D9D9D9"/>
            <w:vAlign w:val="center"/>
          </w:tcPr>
          <w:p w:rsidRPr="00110E12" w:rsidR="005A35AE" w:rsidP="005A35AE" w:rsidRDefault="005A35AE" w14:paraId="5898AA32" w14:textId="77777777">
            <w:pPr>
              <w:rPr>
                <w:sz w:val="22"/>
                <w:szCs w:val="22"/>
              </w:rPr>
            </w:pPr>
            <w:r w:rsidRPr="00110E12">
              <w:rPr>
                <w:sz w:val="22"/>
                <w:szCs w:val="22"/>
              </w:rPr>
              <w:t>Total (full funding scenario)</w:t>
            </w:r>
          </w:p>
        </w:tc>
        <w:tc>
          <w:tcPr>
            <w:tcW w:w="1170" w:type="dxa"/>
            <w:shd w:val="clear" w:color="auto" w:fill="D9D9D9"/>
            <w:vAlign w:val="center"/>
          </w:tcPr>
          <w:p w:rsidRPr="00110E12" w:rsidR="005A35AE" w:rsidP="00110E12" w:rsidRDefault="005A35AE" w14:paraId="73C61CC6" w14:textId="77777777">
            <w:pPr>
              <w:jc w:val="center"/>
              <w:rPr>
                <w:sz w:val="22"/>
                <w:szCs w:val="22"/>
              </w:rPr>
            </w:pPr>
            <w:r w:rsidRPr="00110E12">
              <w:rPr>
                <w:sz w:val="22"/>
                <w:szCs w:val="22"/>
              </w:rPr>
              <w:t>1,500</w:t>
            </w:r>
          </w:p>
        </w:tc>
        <w:tc>
          <w:tcPr>
            <w:tcW w:w="2027" w:type="dxa"/>
            <w:shd w:val="clear" w:color="auto" w:fill="D9D9D9"/>
            <w:vAlign w:val="center"/>
          </w:tcPr>
          <w:p w:rsidRPr="00110E12" w:rsidR="005A35AE" w:rsidP="00110E12" w:rsidRDefault="005A35AE" w14:paraId="124AC541" w14:textId="77777777">
            <w:pPr>
              <w:jc w:val="center"/>
              <w:rPr>
                <w:sz w:val="22"/>
                <w:szCs w:val="22"/>
              </w:rPr>
            </w:pPr>
          </w:p>
        </w:tc>
        <w:tc>
          <w:tcPr>
            <w:tcW w:w="0" w:type="auto"/>
            <w:shd w:val="clear" w:color="auto" w:fill="D9D9D9"/>
            <w:vAlign w:val="center"/>
          </w:tcPr>
          <w:p w:rsidRPr="00110E12" w:rsidR="005A35AE" w:rsidP="00110E12" w:rsidRDefault="005A35AE" w14:paraId="597E02B0" w14:textId="77777777">
            <w:pPr>
              <w:jc w:val="center"/>
              <w:rPr>
                <w:sz w:val="22"/>
                <w:szCs w:val="22"/>
              </w:rPr>
            </w:pPr>
            <w:r w:rsidRPr="00110E12">
              <w:rPr>
                <w:sz w:val="22"/>
                <w:szCs w:val="22"/>
              </w:rPr>
              <w:t>-</w:t>
            </w:r>
          </w:p>
        </w:tc>
        <w:tc>
          <w:tcPr>
            <w:tcW w:w="0" w:type="auto"/>
            <w:shd w:val="clear" w:color="auto" w:fill="D9D9D9"/>
            <w:vAlign w:val="center"/>
          </w:tcPr>
          <w:p w:rsidRPr="00110E12" w:rsidR="005A35AE" w:rsidP="00110E12" w:rsidRDefault="005A35AE" w14:paraId="5239FCFE" w14:textId="3D06335B">
            <w:pPr>
              <w:jc w:val="center"/>
              <w:rPr>
                <w:color w:val="000000"/>
                <w:sz w:val="22"/>
                <w:szCs w:val="22"/>
              </w:rPr>
            </w:pPr>
            <w:r w:rsidRPr="00110E12">
              <w:rPr>
                <w:color w:val="000000"/>
                <w:sz w:val="22"/>
                <w:szCs w:val="22"/>
              </w:rPr>
              <w:t>1,069</w:t>
            </w:r>
          </w:p>
        </w:tc>
      </w:tr>
      <w:tr w:rsidR="005A35AE" w:rsidTr="0033283A" w14:paraId="5DF70639" w14:textId="77777777">
        <w:trPr>
          <w:trHeight w:val="351"/>
        </w:trPr>
        <w:tc>
          <w:tcPr>
            <w:tcW w:w="2785" w:type="dxa"/>
            <w:shd w:val="clear" w:color="auto" w:fill="auto"/>
            <w:vAlign w:val="center"/>
          </w:tcPr>
          <w:p w:rsidRPr="00110E12" w:rsidR="005A35AE" w:rsidP="005A35AE" w:rsidRDefault="005A35AE" w14:paraId="0E71FF6E" w14:textId="77777777">
            <w:pPr>
              <w:rPr>
                <w:sz w:val="22"/>
                <w:szCs w:val="22"/>
              </w:rPr>
            </w:pPr>
          </w:p>
        </w:tc>
        <w:tc>
          <w:tcPr>
            <w:tcW w:w="1170" w:type="dxa"/>
            <w:shd w:val="clear" w:color="auto" w:fill="auto"/>
            <w:vAlign w:val="center"/>
          </w:tcPr>
          <w:p w:rsidRPr="00110E12" w:rsidR="005A35AE" w:rsidP="00110E12" w:rsidRDefault="005A35AE" w14:paraId="4660DFA0" w14:textId="77777777">
            <w:pPr>
              <w:jc w:val="center"/>
              <w:rPr>
                <w:sz w:val="22"/>
                <w:szCs w:val="22"/>
              </w:rPr>
            </w:pPr>
          </w:p>
        </w:tc>
        <w:tc>
          <w:tcPr>
            <w:tcW w:w="2027" w:type="dxa"/>
            <w:vAlign w:val="center"/>
          </w:tcPr>
          <w:p w:rsidRPr="00110E12" w:rsidR="005A35AE" w:rsidP="00110E12" w:rsidRDefault="005A35AE" w14:paraId="0D6FCD9A" w14:textId="77777777">
            <w:pPr>
              <w:jc w:val="center"/>
              <w:rPr>
                <w:sz w:val="22"/>
                <w:szCs w:val="22"/>
              </w:rPr>
            </w:pPr>
          </w:p>
        </w:tc>
        <w:tc>
          <w:tcPr>
            <w:tcW w:w="0" w:type="auto"/>
            <w:shd w:val="clear" w:color="auto" w:fill="auto"/>
            <w:vAlign w:val="center"/>
          </w:tcPr>
          <w:p w:rsidRPr="00110E12" w:rsidR="005A35AE" w:rsidP="00110E12" w:rsidRDefault="005A35AE" w14:paraId="152F4392" w14:textId="77777777">
            <w:pPr>
              <w:jc w:val="center"/>
              <w:rPr>
                <w:sz w:val="22"/>
                <w:szCs w:val="22"/>
              </w:rPr>
            </w:pPr>
          </w:p>
        </w:tc>
        <w:tc>
          <w:tcPr>
            <w:tcW w:w="0" w:type="auto"/>
            <w:shd w:val="clear" w:color="auto" w:fill="auto"/>
            <w:vAlign w:val="center"/>
          </w:tcPr>
          <w:p w:rsidRPr="00110E12" w:rsidR="005A35AE" w:rsidP="00110E12" w:rsidRDefault="005A35AE" w14:paraId="513FFB79" w14:textId="77777777">
            <w:pPr>
              <w:jc w:val="center"/>
              <w:rPr>
                <w:color w:val="000000"/>
                <w:sz w:val="22"/>
                <w:szCs w:val="22"/>
              </w:rPr>
            </w:pPr>
          </w:p>
        </w:tc>
      </w:tr>
      <w:tr w:rsidR="005A35AE" w:rsidTr="0033283A" w14:paraId="49BAB543" w14:textId="77777777">
        <w:trPr>
          <w:trHeight w:val="351"/>
        </w:trPr>
        <w:tc>
          <w:tcPr>
            <w:tcW w:w="2785" w:type="dxa"/>
            <w:shd w:val="clear" w:color="auto" w:fill="auto"/>
            <w:vAlign w:val="center"/>
          </w:tcPr>
          <w:p w:rsidRPr="00110E12" w:rsidR="005A35AE" w:rsidP="005A35AE" w:rsidRDefault="005A35AE" w14:paraId="68B6B05E" w14:textId="77777777">
            <w:pPr>
              <w:rPr>
                <w:sz w:val="22"/>
                <w:szCs w:val="22"/>
              </w:rPr>
            </w:pPr>
            <w:r w:rsidRPr="00110E12">
              <w:rPr>
                <w:sz w:val="22"/>
                <w:szCs w:val="22"/>
              </w:rPr>
              <w:t>Partial Funding Case (50%)</w:t>
            </w:r>
          </w:p>
        </w:tc>
        <w:tc>
          <w:tcPr>
            <w:tcW w:w="1170" w:type="dxa"/>
            <w:shd w:val="clear" w:color="auto" w:fill="auto"/>
            <w:vAlign w:val="center"/>
          </w:tcPr>
          <w:p w:rsidRPr="00110E12" w:rsidR="005A35AE" w:rsidP="00110E12" w:rsidRDefault="005A35AE" w14:paraId="4398E30F" w14:textId="77777777">
            <w:pPr>
              <w:jc w:val="center"/>
              <w:rPr>
                <w:sz w:val="22"/>
                <w:szCs w:val="22"/>
              </w:rPr>
            </w:pPr>
          </w:p>
        </w:tc>
        <w:tc>
          <w:tcPr>
            <w:tcW w:w="2027" w:type="dxa"/>
            <w:vAlign w:val="center"/>
          </w:tcPr>
          <w:p w:rsidRPr="00110E12" w:rsidR="005A35AE" w:rsidP="00110E12" w:rsidRDefault="005A35AE" w14:paraId="5B4B9947" w14:textId="77777777">
            <w:pPr>
              <w:jc w:val="center"/>
              <w:rPr>
                <w:sz w:val="22"/>
                <w:szCs w:val="22"/>
              </w:rPr>
            </w:pPr>
          </w:p>
        </w:tc>
        <w:tc>
          <w:tcPr>
            <w:tcW w:w="0" w:type="auto"/>
            <w:shd w:val="clear" w:color="auto" w:fill="auto"/>
            <w:vAlign w:val="center"/>
          </w:tcPr>
          <w:p w:rsidRPr="00110E12" w:rsidR="005A35AE" w:rsidP="00110E12" w:rsidRDefault="005A35AE" w14:paraId="7E442908" w14:textId="77777777">
            <w:pPr>
              <w:jc w:val="center"/>
              <w:rPr>
                <w:sz w:val="22"/>
                <w:szCs w:val="22"/>
              </w:rPr>
            </w:pPr>
          </w:p>
        </w:tc>
        <w:tc>
          <w:tcPr>
            <w:tcW w:w="0" w:type="auto"/>
            <w:shd w:val="clear" w:color="auto" w:fill="auto"/>
            <w:vAlign w:val="center"/>
          </w:tcPr>
          <w:p w:rsidRPr="00110E12" w:rsidR="005A35AE" w:rsidP="00110E12" w:rsidRDefault="005A35AE" w14:paraId="17E71BDC" w14:textId="77777777">
            <w:pPr>
              <w:jc w:val="center"/>
              <w:rPr>
                <w:color w:val="000000"/>
                <w:sz w:val="22"/>
                <w:szCs w:val="22"/>
              </w:rPr>
            </w:pPr>
          </w:p>
        </w:tc>
      </w:tr>
      <w:tr w:rsidR="005A35AE" w:rsidTr="0033283A" w14:paraId="03C76FCA" w14:textId="77777777">
        <w:trPr>
          <w:trHeight w:val="351"/>
        </w:trPr>
        <w:tc>
          <w:tcPr>
            <w:tcW w:w="2785" w:type="dxa"/>
            <w:shd w:val="clear" w:color="auto" w:fill="auto"/>
            <w:vAlign w:val="center"/>
          </w:tcPr>
          <w:p w:rsidRPr="00110E12" w:rsidR="005A35AE" w:rsidP="005A35AE" w:rsidRDefault="005A35AE" w14:paraId="1AC8A82E" w14:textId="77777777">
            <w:pPr>
              <w:rPr>
                <w:sz w:val="22"/>
                <w:szCs w:val="22"/>
              </w:rPr>
            </w:pPr>
          </w:p>
        </w:tc>
        <w:tc>
          <w:tcPr>
            <w:tcW w:w="1170" w:type="dxa"/>
            <w:shd w:val="clear" w:color="auto" w:fill="auto"/>
            <w:vAlign w:val="center"/>
          </w:tcPr>
          <w:p w:rsidRPr="00110E12" w:rsidR="005A35AE" w:rsidP="00110E12" w:rsidRDefault="005A35AE" w14:paraId="1EE8A236" w14:textId="77777777">
            <w:pPr>
              <w:jc w:val="center"/>
              <w:rPr>
                <w:sz w:val="22"/>
                <w:szCs w:val="22"/>
              </w:rPr>
            </w:pPr>
          </w:p>
        </w:tc>
        <w:tc>
          <w:tcPr>
            <w:tcW w:w="2027" w:type="dxa"/>
            <w:vAlign w:val="center"/>
          </w:tcPr>
          <w:p w:rsidRPr="00110E12" w:rsidR="005A35AE" w:rsidP="00110E12" w:rsidRDefault="005A35AE" w14:paraId="5DA3BF9E" w14:textId="77777777">
            <w:pPr>
              <w:jc w:val="center"/>
              <w:rPr>
                <w:sz w:val="22"/>
                <w:szCs w:val="22"/>
              </w:rPr>
            </w:pPr>
          </w:p>
        </w:tc>
        <w:tc>
          <w:tcPr>
            <w:tcW w:w="0" w:type="auto"/>
            <w:shd w:val="clear" w:color="auto" w:fill="auto"/>
            <w:vAlign w:val="center"/>
          </w:tcPr>
          <w:p w:rsidRPr="00110E12" w:rsidR="005A35AE" w:rsidP="00110E12" w:rsidRDefault="005A35AE" w14:paraId="6DFAED9B" w14:textId="77777777">
            <w:pPr>
              <w:jc w:val="center"/>
              <w:rPr>
                <w:sz w:val="22"/>
                <w:szCs w:val="22"/>
              </w:rPr>
            </w:pPr>
          </w:p>
        </w:tc>
        <w:tc>
          <w:tcPr>
            <w:tcW w:w="0" w:type="auto"/>
            <w:shd w:val="clear" w:color="auto" w:fill="auto"/>
            <w:vAlign w:val="center"/>
          </w:tcPr>
          <w:p w:rsidRPr="00110E12" w:rsidR="005A35AE" w:rsidP="00110E12" w:rsidRDefault="005A35AE" w14:paraId="4E7A5203" w14:textId="77777777">
            <w:pPr>
              <w:jc w:val="center"/>
              <w:rPr>
                <w:color w:val="000000"/>
                <w:sz w:val="22"/>
                <w:szCs w:val="22"/>
              </w:rPr>
            </w:pPr>
          </w:p>
        </w:tc>
      </w:tr>
      <w:tr w:rsidR="005A35AE" w:rsidTr="0033283A" w14:paraId="5080CFEE" w14:textId="77777777">
        <w:trPr>
          <w:trHeight w:val="351"/>
        </w:trPr>
        <w:tc>
          <w:tcPr>
            <w:tcW w:w="2785" w:type="dxa"/>
            <w:shd w:val="clear" w:color="auto" w:fill="auto"/>
            <w:vAlign w:val="center"/>
          </w:tcPr>
          <w:p w:rsidRPr="00110E12" w:rsidR="005A35AE" w:rsidP="005A35AE" w:rsidRDefault="005A35AE" w14:paraId="15185AFF" w14:textId="77777777">
            <w:pPr>
              <w:rPr>
                <w:sz w:val="22"/>
                <w:szCs w:val="22"/>
              </w:rPr>
            </w:pPr>
            <w:r w:rsidRPr="00110E12">
              <w:rPr>
                <w:sz w:val="22"/>
                <w:szCs w:val="22"/>
              </w:rPr>
              <w:t>USVI (St. Thomas)</w:t>
            </w:r>
          </w:p>
        </w:tc>
        <w:tc>
          <w:tcPr>
            <w:tcW w:w="1170" w:type="dxa"/>
            <w:shd w:val="clear" w:color="auto" w:fill="auto"/>
            <w:vAlign w:val="center"/>
          </w:tcPr>
          <w:p w:rsidRPr="00110E12" w:rsidR="005A35AE" w:rsidP="00110E12" w:rsidRDefault="005A35AE" w14:paraId="6267AE78" w14:textId="77777777">
            <w:pPr>
              <w:jc w:val="center"/>
              <w:rPr>
                <w:sz w:val="22"/>
                <w:szCs w:val="22"/>
              </w:rPr>
            </w:pPr>
            <w:r w:rsidRPr="00110E12">
              <w:rPr>
                <w:sz w:val="22"/>
                <w:szCs w:val="22"/>
              </w:rPr>
              <w:t>-</w:t>
            </w:r>
          </w:p>
        </w:tc>
        <w:tc>
          <w:tcPr>
            <w:tcW w:w="2027" w:type="dxa"/>
            <w:vAlign w:val="center"/>
          </w:tcPr>
          <w:p w:rsidRPr="00110E12" w:rsidR="005A35AE" w:rsidP="00110E12" w:rsidRDefault="005A35AE" w14:paraId="3E9D1686" w14:textId="77777777">
            <w:pPr>
              <w:jc w:val="center"/>
              <w:rPr>
                <w:sz w:val="22"/>
                <w:szCs w:val="22"/>
              </w:rPr>
            </w:pPr>
            <w:r w:rsidRPr="00110E12">
              <w:rPr>
                <w:sz w:val="22"/>
                <w:szCs w:val="22"/>
              </w:rPr>
              <w:t>113 (57)</w:t>
            </w:r>
          </w:p>
        </w:tc>
        <w:tc>
          <w:tcPr>
            <w:tcW w:w="0" w:type="auto"/>
            <w:shd w:val="clear" w:color="auto" w:fill="auto"/>
            <w:vAlign w:val="center"/>
          </w:tcPr>
          <w:p w:rsidRPr="00110E12" w:rsidR="005A35AE" w:rsidP="00110E12" w:rsidRDefault="005A35AE" w14:paraId="2B75DFDB" w14:textId="77777777">
            <w:pPr>
              <w:jc w:val="center"/>
              <w:rPr>
                <w:sz w:val="22"/>
                <w:szCs w:val="22"/>
              </w:rPr>
            </w:pPr>
            <w:r w:rsidRPr="00110E12">
              <w:rPr>
                <w:sz w:val="22"/>
                <w:szCs w:val="22"/>
              </w:rPr>
              <w:t>0.82</w:t>
            </w:r>
          </w:p>
        </w:tc>
        <w:tc>
          <w:tcPr>
            <w:tcW w:w="0" w:type="auto"/>
            <w:shd w:val="clear" w:color="auto" w:fill="auto"/>
            <w:vAlign w:val="center"/>
          </w:tcPr>
          <w:p w:rsidRPr="00110E12" w:rsidR="005A35AE" w:rsidP="00110E12" w:rsidRDefault="005A35AE" w14:paraId="6419B1D8" w14:textId="77777777">
            <w:pPr>
              <w:jc w:val="center"/>
              <w:rPr>
                <w:color w:val="000000"/>
                <w:sz w:val="22"/>
                <w:szCs w:val="22"/>
              </w:rPr>
            </w:pPr>
            <w:r w:rsidRPr="00110E12">
              <w:rPr>
                <w:color w:val="000000"/>
                <w:sz w:val="22"/>
                <w:szCs w:val="22"/>
              </w:rPr>
              <w:t>46</w:t>
            </w:r>
          </w:p>
        </w:tc>
      </w:tr>
      <w:tr w:rsidR="005A35AE" w:rsidTr="0033283A" w14:paraId="4A82F1FF" w14:textId="77777777">
        <w:trPr>
          <w:trHeight w:val="351"/>
        </w:trPr>
        <w:tc>
          <w:tcPr>
            <w:tcW w:w="2785" w:type="dxa"/>
            <w:shd w:val="clear" w:color="auto" w:fill="auto"/>
            <w:vAlign w:val="center"/>
          </w:tcPr>
          <w:p w:rsidRPr="00110E12" w:rsidR="005A35AE" w:rsidP="005A35AE" w:rsidRDefault="005A35AE" w14:paraId="78B5BCEB" w14:textId="77777777">
            <w:pPr>
              <w:rPr>
                <w:sz w:val="22"/>
                <w:szCs w:val="22"/>
              </w:rPr>
            </w:pPr>
            <w:r w:rsidRPr="00110E12">
              <w:rPr>
                <w:sz w:val="22"/>
                <w:szCs w:val="22"/>
              </w:rPr>
              <w:t>USVI (St. John)</w:t>
            </w:r>
          </w:p>
        </w:tc>
        <w:tc>
          <w:tcPr>
            <w:tcW w:w="1170" w:type="dxa"/>
            <w:shd w:val="clear" w:color="auto" w:fill="auto"/>
            <w:vAlign w:val="center"/>
          </w:tcPr>
          <w:p w:rsidRPr="00110E12" w:rsidR="005A35AE" w:rsidP="00110E12" w:rsidRDefault="005A35AE" w14:paraId="6F1D6CF1" w14:textId="77777777">
            <w:pPr>
              <w:jc w:val="center"/>
              <w:rPr>
                <w:sz w:val="22"/>
                <w:szCs w:val="22"/>
              </w:rPr>
            </w:pPr>
            <w:r w:rsidRPr="00110E12">
              <w:rPr>
                <w:sz w:val="22"/>
                <w:szCs w:val="22"/>
              </w:rPr>
              <w:t>-</w:t>
            </w:r>
          </w:p>
        </w:tc>
        <w:tc>
          <w:tcPr>
            <w:tcW w:w="2027" w:type="dxa"/>
            <w:vAlign w:val="center"/>
          </w:tcPr>
          <w:p w:rsidRPr="00110E12" w:rsidR="005A35AE" w:rsidP="00110E12" w:rsidRDefault="005A35AE" w14:paraId="56E95734" w14:textId="77777777">
            <w:pPr>
              <w:jc w:val="center"/>
              <w:rPr>
                <w:sz w:val="22"/>
                <w:szCs w:val="22"/>
              </w:rPr>
            </w:pPr>
            <w:r w:rsidRPr="00110E12">
              <w:rPr>
                <w:sz w:val="22"/>
                <w:szCs w:val="22"/>
              </w:rPr>
              <w:t>6 (3)</w:t>
            </w:r>
          </w:p>
        </w:tc>
        <w:tc>
          <w:tcPr>
            <w:tcW w:w="0" w:type="auto"/>
            <w:shd w:val="clear" w:color="auto" w:fill="auto"/>
            <w:vAlign w:val="center"/>
          </w:tcPr>
          <w:p w:rsidRPr="00110E12" w:rsidR="005A35AE" w:rsidP="00110E12" w:rsidRDefault="005A35AE" w14:paraId="50C35742" w14:textId="77777777">
            <w:pPr>
              <w:jc w:val="center"/>
              <w:rPr>
                <w:sz w:val="22"/>
                <w:szCs w:val="22"/>
              </w:rPr>
            </w:pPr>
            <w:r w:rsidRPr="00110E12">
              <w:rPr>
                <w:sz w:val="22"/>
                <w:szCs w:val="22"/>
              </w:rPr>
              <w:t>0.82</w:t>
            </w:r>
          </w:p>
        </w:tc>
        <w:tc>
          <w:tcPr>
            <w:tcW w:w="0" w:type="auto"/>
            <w:shd w:val="clear" w:color="auto" w:fill="auto"/>
            <w:vAlign w:val="center"/>
          </w:tcPr>
          <w:p w:rsidRPr="00110E12" w:rsidR="005A35AE" w:rsidP="00110E12" w:rsidRDefault="005A35AE" w14:paraId="70F751FF" w14:textId="77777777">
            <w:pPr>
              <w:jc w:val="center"/>
              <w:rPr>
                <w:color w:val="000000"/>
                <w:sz w:val="22"/>
                <w:szCs w:val="22"/>
              </w:rPr>
            </w:pPr>
            <w:r w:rsidRPr="00110E12">
              <w:rPr>
                <w:color w:val="000000"/>
                <w:sz w:val="22"/>
                <w:szCs w:val="22"/>
              </w:rPr>
              <w:t>2</w:t>
            </w:r>
          </w:p>
        </w:tc>
      </w:tr>
      <w:tr w:rsidR="005A35AE" w:rsidTr="0033283A" w14:paraId="3649C877" w14:textId="77777777">
        <w:trPr>
          <w:trHeight w:val="351"/>
        </w:trPr>
        <w:tc>
          <w:tcPr>
            <w:tcW w:w="2785" w:type="dxa"/>
            <w:shd w:val="clear" w:color="auto" w:fill="auto"/>
            <w:vAlign w:val="center"/>
          </w:tcPr>
          <w:p w:rsidRPr="00110E12" w:rsidR="005A35AE" w:rsidP="005A35AE" w:rsidRDefault="005A35AE" w14:paraId="1C8A9D1B" w14:textId="77777777">
            <w:pPr>
              <w:rPr>
                <w:sz w:val="22"/>
                <w:szCs w:val="22"/>
              </w:rPr>
            </w:pPr>
            <w:r w:rsidRPr="00110E12">
              <w:rPr>
                <w:sz w:val="22"/>
                <w:szCs w:val="22"/>
              </w:rPr>
              <w:t>USVI (St. Croix)</w:t>
            </w:r>
          </w:p>
        </w:tc>
        <w:tc>
          <w:tcPr>
            <w:tcW w:w="1170" w:type="dxa"/>
            <w:shd w:val="clear" w:color="auto" w:fill="auto"/>
            <w:vAlign w:val="center"/>
          </w:tcPr>
          <w:p w:rsidRPr="00110E12" w:rsidR="005A35AE" w:rsidP="00110E12" w:rsidRDefault="005A35AE" w14:paraId="0CB9C3A4" w14:textId="77777777">
            <w:pPr>
              <w:jc w:val="center"/>
              <w:rPr>
                <w:sz w:val="22"/>
                <w:szCs w:val="22"/>
              </w:rPr>
            </w:pPr>
            <w:r w:rsidRPr="00110E12">
              <w:rPr>
                <w:sz w:val="22"/>
                <w:szCs w:val="22"/>
              </w:rPr>
              <w:t>-</w:t>
            </w:r>
          </w:p>
        </w:tc>
        <w:tc>
          <w:tcPr>
            <w:tcW w:w="2027" w:type="dxa"/>
            <w:vAlign w:val="center"/>
          </w:tcPr>
          <w:p w:rsidRPr="00110E12" w:rsidR="005A35AE" w:rsidP="00110E12" w:rsidRDefault="005A35AE" w14:paraId="4D933236" w14:textId="77777777">
            <w:pPr>
              <w:jc w:val="center"/>
              <w:rPr>
                <w:sz w:val="22"/>
                <w:szCs w:val="22"/>
              </w:rPr>
            </w:pPr>
            <w:r w:rsidRPr="00110E12">
              <w:rPr>
                <w:sz w:val="22"/>
                <w:szCs w:val="22"/>
              </w:rPr>
              <w:t>141 (71)</w:t>
            </w:r>
          </w:p>
        </w:tc>
        <w:tc>
          <w:tcPr>
            <w:tcW w:w="0" w:type="auto"/>
            <w:shd w:val="clear" w:color="auto" w:fill="auto"/>
            <w:vAlign w:val="center"/>
          </w:tcPr>
          <w:p w:rsidRPr="00110E12" w:rsidR="005A35AE" w:rsidP="00110E12" w:rsidRDefault="005A35AE" w14:paraId="22FA0DF9" w14:textId="77777777">
            <w:pPr>
              <w:jc w:val="center"/>
              <w:rPr>
                <w:sz w:val="22"/>
                <w:szCs w:val="22"/>
              </w:rPr>
            </w:pPr>
            <w:r w:rsidRPr="00110E12">
              <w:rPr>
                <w:sz w:val="22"/>
                <w:szCs w:val="22"/>
              </w:rPr>
              <w:t>0.82</w:t>
            </w:r>
          </w:p>
        </w:tc>
        <w:tc>
          <w:tcPr>
            <w:tcW w:w="0" w:type="auto"/>
            <w:shd w:val="clear" w:color="auto" w:fill="auto"/>
            <w:vAlign w:val="center"/>
          </w:tcPr>
          <w:p w:rsidRPr="00110E12" w:rsidR="005A35AE" w:rsidP="00110E12" w:rsidRDefault="005A35AE" w14:paraId="6DF6C074" w14:textId="77777777">
            <w:pPr>
              <w:jc w:val="center"/>
              <w:rPr>
                <w:color w:val="000000"/>
                <w:sz w:val="22"/>
                <w:szCs w:val="22"/>
              </w:rPr>
            </w:pPr>
            <w:r w:rsidRPr="00110E12">
              <w:rPr>
                <w:color w:val="000000"/>
                <w:sz w:val="22"/>
                <w:szCs w:val="22"/>
              </w:rPr>
              <w:t>58</w:t>
            </w:r>
          </w:p>
        </w:tc>
      </w:tr>
      <w:tr w:rsidR="005A35AE" w:rsidTr="0033283A" w14:paraId="48B5B4A4" w14:textId="77777777">
        <w:trPr>
          <w:trHeight w:val="351"/>
        </w:trPr>
        <w:tc>
          <w:tcPr>
            <w:tcW w:w="2785" w:type="dxa"/>
            <w:shd w:val="clear" w:color="auto" w:fill="auto"/>
            <w:vAlign w:val="center"/>
          </w:tcPr>
          <w:p w:rsidRPr="00110E12" w:rsidR="005A35AE" w:rsidP="005A35AE" w:rsidRDefault="005A35AE" w14:paraId="479C3DAB" w14:textId="77777777">
            <w:pPr>
              <w:rPr>
                <w:sz w:val="22"/>
                <w:szCs w:val="22"/>
              </w:rPr>
            </w:pPr>
          </w:p>
        </w:tc>
        <w:tc>
          <w:tcPr>
            <w:tcW w:w="1170" w:type="dxa"/>
            <w:shd w:val="clear" w:color="auto" w:fill="auto"/>
            <w:vAlign w:val="center"/>
          </w:tcPr>
          <w:p w:rsidRPr="00110E12" w:rsidR="005A35AE" w:rsidP="00110E12" w:rsidRDefault="005A35AE" w14:paraId="4FF6AB0D" w14:textId="77777777">
            <w:pPr>
              <w:jc w:val="center"/>
              <w:rPr>
                <w:sz w:val="22"/>
                <w:szCs w:val="22"/>
              </w:rPr>
            </w:pPr>
          </w:p>
        </w:tc>
        <w:tc>
          <w:tcPr>
            <w:tcW w:w="2027" w:type="dxa"/>
            <w:vAlign w:val="center"/>
          </w:tcPr>
          <w:p w:rsidRPr="00110E12" w:rsidR="005A35AE" w:rsidP="00110E12" w:rsidRDefault="005A35AE" w14:paraId="450CFB12" w14:textId="77777777">
            <w:pPr>
              <w:jc w:val="center"/>
              <w:rPr>
                <w:sz w:val="22"/>
                <w:szCs w:val="22"/>
              </w:rPr>
            </w:pPr>
          </w:p>
        </w:tc>
        <w:tc>
          <w:tcPr>
            <w:tcW w:w="0" w:type="auto"/>
            <w:shd w:val="clear" w:color="auto" w:fill="auto"/>
            <w:vAlign w:val="center"/>
          </w:tcPr>
          <w:p w:rsidRPr="00110E12" w:rsidR="005A35AE" w:rsidP="00110E12" w:rsidRDefault="005A35AE" w14:paraId="1E08CA37" w14:textId="77777777">
            <w:pPr>
              <w:jc w:val="center"/>
              <w:rPr>
                <w:sz w:val="22"/>
                <w:szCs w:val="22"/>
              </w:rPr>
            </w:pPr>
          </w:p>
        </w:tc>
        <w:tc>
          <w:tcPr>
            <w:tcW w:w="0" w:type="auto"/>
            <w:shd w:val="clear" w:color="auto" w:fill="auto"/>
            <w:vAlign w:val="center"/>
          </w:tcPr>
          <w:p w:rsidRPr="00110E12" w:rsidR="005A35AE" w:rsidP="00110E12" w:rsidRDefault="005A35AE" w14:paraId="5242704E" w14:textId="77777777">
            <w:pPr>
              <w:jc w:val="center"/>
              <w:rPr>
                <w:color w:val="000000"/>
                <w:sz w:val="22"/>
                <w:szCs w:val="22"/>
              </w:rPr>
            </w:pPr>
          </w:p>
        </w:tc>
      </w:tr>
      <w:tr w:rsidR="005A35AE" w:rsidTr="0033283A" w14:paraId="62640FD6" w14:textId="77777777">
        <w:trPr>
          <w:trHeight w:val="351"/>
        </w:trPr>
        <w:tc>
          <w:tcPr>
            <w:tcW w:w="2785" w:type="dxa"/>
            <w:shd w:val="clear" w:color="auto" w:fill="auto"/>
            <w:vAlign w:val="center"/>
          </w:tcPr>
          <w:p w:rsidRPr="00110E12" w:rsidR="005A35AE" w:rsidP="005A35AE" w:rsidRDefault="005A35AE" w14:paraId="7DDFE2F2" w14:textId="77777777">
            <w:pPr>
              <w:rPr>
                <w:sz w:val="22"/>
                <w:szCs w:val="22"/>
              </w:rPr>
            </w:pPr>
            <w:r w:rsidRPr="00110E12">
              <w:rPr>
                <w:sz w:val="22"/>
                <w:szCs w:val="22"/>
              </w:rPr>
              <w:t>USVI Sub-total</w:t>
            </w:r>
          </w:p>
        </w:tc>
        <w:tc>
          <w:tcPr>
            <w:tcW w:w="1170" w:type="dxa"/>
            <w:shd w:val="clear" w:color="auto" w:fill="auto"/>
            <w:vAlign w:val="center"/>
          </w:tcPr>
          <w:p w:rsidRPr="00110E12" w:rsidR="005A35AE" w:rsidP="00110E12" w:rsidRDefault="005A35AE" w14:paraId="11126949" w14:textId="77777777">
            <w:pPr>
              <w:jc w:val="center"/>
              <w:rPr>
                <w:sz w:val="22"/>
                <w:szCs w:val="22"/>
              </w:rPr>
            </w:pPr>
            <w:r w:rsidRPr="00110E12">
              <w:rPr>
                <w:sz w:val="22"/>
                <w:szCs w:val="22"/>
              </w:rPr>
              <w:t>-</w:t>
            </w:r>
          </w:p>
        </w:tc>
        <w:tc>
          <w:tcPr>
            <w:tcW w:w="2027" w:type="dxa"/>
            <w:vAlign w:val="center"/>
          </w:tcPr>
          <w:p w:rsidRPr="00110E12" w:rsidR="005A35AE" w:rsidP="00110E12" w:rsidRDefault="005A35AE" w14:paraId="0A5DC34E" w14:textId="77777777">
            <w:pPr>
              <w:jc w:val="center"/>
              <w:rPr>
                <w:sz w:val="22"/>
                <w:szCs w:val="22"/>
              </w:rPr>
            </w:pPr>
            <w:r w:rsidRPr="00110E12">
              <w:rPr>
                <w:sz w:val="22"/>
                <w:szCs w:val="22"/>
              </w:rPr>
              <w:t>-</w:t>
            </w:r>
          </w:p>
        </w:tc>
        <w:tc>
          <w:tcPr>
            <w:tcW w:w="0" w:type="auto"/>
            <w:shd w:val="clear" w:color="auto" w:fill="auto"/>
            <w:vAlign w:val="center"/>
          </w:tcPr>
          <w:p w:rsidRPr="00110E12" w:rsidR="005A35AE" w:rsidP="00110E12" w:rsidRDefault="005A35AE" w14:paraId="4A1A3A23" w14:textId="77777777">
            <w:pPr>
              <w:jc w:val="center"/>
              <w:rPr>
                <w:sz w:val="22"/>
                <w:szCs w:val="22"/>
              </w:rPr>
            </w:pPr>
            <w:r w:rsidRPr="00110E12">
              <w:rPr>
                <w:sz w:val="22"/>
                <w:szCs w:val="22"/>
              </w:rPr>
              <w:t>-</w:t>
            </w:r>
          </w:p>
        </w:tc>
        <w:tc>
          <w:tcPr>
            <w:tcW w:w="0" w:type="auto"/>
            <w:shd w:val="clear" w:color="auto" w:fill="auto"/>
            <w:vAlign w:val="center"/>
          </w:tcPr>
          <w:p w:rsidRPr="00110E12" w:rsidR="005A35AE" w:rsidP="00110E12" w:rsidRDefault="005A35AE" w14:paraId="6B353065" w14:textId="77777777">
            <w:pPr>
              <w:jc w:val="center"/>
              <w:rPr>
                <w:color w:val="000000"/>
                <w:sz w:val="22"/>
                <w:szCs w:val="22"/>
              </w:rPr>
            </w:pPr>
            <w:r w:rsidRPr="00110E12">
              <w:rPr>
                <w:color w:val="000000"/>
                <w:sz w:val="22"/>
                <w:szCs w:val="22"/>
              </w:rPr>
              <w:t>106</w:t>
            </w:r>
          </w:p>
        </w:tc>
      </w:tr>
      <w:tr w:rsidR="005A35AE" w:rsidTr="0033283A" w14:paraId="604BC986" w14:textId="77777777">
        <w:trPr>
          <w:trHeight w:val="351"/>
        </w:trPr>
        <w:tc>
          <w:tcPr>
            <w:tcW w:w="2785" w:type="dxa"/>
            <w:shd w:val="clear" w:color="auto" w:fill="auto"/>
            <w:vAlign w:val="center"/>
          </w:tcPr>
          <w:p w:rsidRPr="00110E12" w:rsidR="005A35AE" w:rsidP="005A35AE" w:rsidRDefault="005A35AE" w14:paraId="33C07044" w14:textId="77777777">
            <w:pPr>
              <w:rPr>
                <w:sz w:val="22"/>
                <w:szCs w:val="22"/>
              </w:rPr>
            </w:pPr>
          </w:p>
        </w:tc>
        <w:tc>
          <w:tcPr>
            <w:tcW w:w="1170" w:type="dxa"/>
            <w:shd w:val="clear" w:color="auto" w:fill="auto"/>
            <w:vAlign w:val="center"/>
          </w:tcPr>
          <w:p w:rsidRPr="00110E12" w:rsidR="005A35AE" w:rsidP="00110E12" w:rsidRDefault="005A35AE" w14:paraId="789FAD47" w14:textId="77777777">
            <w:pPr>
              <w:jc w:val="center"/>
              <w:rPr>
                <w:sz w:val="22"/>
                <w:szCs w:val="22"/>
              </w:rPr>
            </w:pPr>
          </w:p>
        </w:tc>
        <w:tc>
          <w:tcPr>
            <w:tcW w:w="2027" w:type="dxa"/>
            <w:vAlign w:val="center"/>
          </w:tcPr>
          <w:p w:rsidRPr="00110E12" w:rsidR="005A35AE" w:rsidP="00110E12" w:rsidRDefault="005A35AE" w14:paraId="20C76F10" w14:textId="77777777">
            <w:pPr>
              <w:jc w:val="center"/>
              <w:rPr>
                <w:sz w:val="22"/>
                <w:szCs w:val="22"/>
              </w:rPr>
            </w:pPr>
          </w:p>
        </w:tc>
        <w:tc>
          <w:tcPr>
            <w:tcW w:w="0" w:type="auto"/>
            <w:shd w:val="clear" w:color="auto" w:fill="auto"/>
            <w:vAlign w:val="center"/>
          </w:tcPr>
          <w:p w:rsidRPr="00110E12" w:rsidR="005A35AE" w:rsidP="00110E12" w:rsidRDefault="005A35AE" w14:paraId="1DFC6C71" w14:textId="77777777">
            <w:pPr>
              <w:jc w:val="center"/>
              <w:rPr>
                <w:sz w:val="22"/>
                <w:szCs w:val="22"/>
              </w:rPr>
            </w:pPr>
          </w:p>
        </w:tc>
        <w:tc>
          <w:tcPr>
            <w:tcW w:w="0" w:type="auto"/>
            <w:shd w:val="clear" w:color="auto" w:fill="auto"/>
            <w:vAlign w:val="center"/>
          </w:tcPr>
          <w:p w:rsidRPr="00110E12" w:rsidR="005A35AE" w:rsidP="00110E12" w:rsidRDefault="005A35AE" w14:paraId="77D8E44B" w14:textId="77777777">
            <w:pPr>
              <w:jc w:val="center"/>
              <w:rPr>
                <w:color w:val="000000"/>
                <w:sz w:val="22"/>
                <w:szCs w:val="22"/>
              </w:rPr>
            </w:pPr>
          </w:p>
        </w:tc>
      </w:tr>
      <w:tr w:rsidR="005A35AE" w:rsidTr="0033283A" w14:paraId="0F5C5220" w14:textId="77777777">
        <w:trPr>
          <w:trHeight w:val="351"/>
        </w:trPr>
        <w:tc>
          <w:tcPr>
            <w:tcW w:w="2785" w:type="dxa"/>
            <w:shd w:val="clear" w:color="auto" w:fill="auto"/>
            <w:vAlign w:val="center"/>
          </w:tcPr>
          <w:p w:rsidRPr="00110E12" w:rsidR="005A35AE" w:rsidP="005A35AE" w:rsidRDefault="005A35AE" w14:paraId="567F0BB8" w14:textId="77777777">
            <w:pPr>
              <w:rPr>
                <w:sz w:val="22"/>
                <w:szCs w:val="22"/>
              </w:rPr>
            </w:pPr>
            <w:r w:rsidRPr="00110E12">
              <w:rPr>
                <w:sz w:val="22"/>
                <w:szCs w:val="22"/>
              </w:rPr>
              <w:t>Puerto Rico (East coast)</w:t>
            </w:r>
          </w:p>
        </w:tc>
        <w:tc>
          <w:tcPr>
            <w:tcW w:w="1170" w:type="dxa"/>
            <w:shd w:val="clear" w:color="auto" w:fill="auto"/>
            <w:vAlign w:val="center"/>
          </w:tcPr>
          <w:p w:rsidRPr="00110E12" w:rsidR="005A35AE" w:rsidP="00110E12" w:rsidRDefault="005A35AE" w14:paraId="62F17D37" w14:textId="77777777">
            <w:pPr>
              <w:jc w:val="center"/>
              <w:rPr>
                <w:sz w:val="22"/>
                <w:szCs w:val="22"/>
              </w:rPr>
            </w:pPr>
            <w:r w:rsidRPr="00110E12">
              <w:rPr>
                <w:sz w:val="22"/>
                <w:szCs w:val="22"/>
              </w:rPr>
              <w:t>-</w:t>
            </w:r>
          </w:p>
        </w:tc>
        <w:tc>
          <w:tcPr>
            <w:tcW w:w="2027" w:type="dxa"/>
            <w:vAlign w:val="center"/>
          </w:tcPr>
          <w:p w:rsidRPr="00110E12" w:rsidR="005A35AE" w:rsidP="00110E12" w:rsidRDefault="005A35AE" w14:paraId="655D8BFB" w14:textId="77777777">
            <w:pPr>
              <w:jc w:val="center"/>
              <w:rPr>
                <w:sz w:val="22"/>
                <w:szCs w:val="22"/>
              </w:rPr>
            </w:pPr>
            <w:r w:rsidRPr="00110E12">
              <w:rPr>
                <w:sz w:val="22"/>
                <w:szCs w:val="22"/>
              </w:rPr>
              <w:t>251 (125)</w:t>
            </w:r>
          </w:p>
        </w:tc>
        <w:tc>
          <w:tcPr>
            <w:tcW w:w="0" w:type="auto"/>
            <w:shd w:val="clear" w:color="auto" w:fill="auto"/>
            <w:vAlign w:val="center"/>
          </w:tcPr>
          <w:p w:rsidRPr="00110E12" w:rsidR="005A35AE" w:rsidP="00110E12" w:rsidRDefault="005A35AE" w14:paraId="50D016B1" w14:textId="77777777">
            <w:pPr>
              <w:jc w:val="center"/>
              <w:rPr>
                <w:sz w:val="22"/>
                <w:szCs w:val="22"/>
              </w:rPr>
            </w:pPr>
            <w:r w:rsidRPr="00110E12">
              <w:rPr>
                <w:sz w:val="22"/>
                <w:szCs w:val="22"/>
              </w:rPr>
              <w:t>0.69</w:t>
            </w:r>
          </w:p>
        </w:tc>
        <w:tc>
          <w:tcPr>
            <w:tcW w:w="0" w:type="auto"/>
            <w:shd w:val="clear" w:color="auto" w:fill="auto"/>
            <w:vAlign w:val="center"/>
          </w:tcPr>
          <w:p w:rsidRPr="00110E12" w:rsidR="005A35AE" w:rsidP="00110E12" w:rsidRDefault="005A35AE" w14:paraId="5A035D77" w14:textId="77777777">
            <w:pPr>
              <w:jc w:val="center"/>
              <w:rPr>
                <w:color w:val="000000"/>
                <w:sz w:val="22"/>
                <w:szCs w:val="22"/>
              </w:rPr>
            </w:pPr>
            <w:r w:rsidRPr="00110E12">
              <w:rPr>
                <w:color w:val="000000"/>
                <w:sz w:val="22"/>
                <w:szCs w:val="22"/>
              </w:rPr>
              <w:t>87</w:t>
            </w:r>
          </w:p>
        </w:tc>
      </w:tr>
      <w:tr w:rsidR="005A35AE" w:rsidTr="0033283A" w14:paraId="0CC6CC42" w14:textId="77777777">
        <w:trPr>
          <w:trHeight w:val="351"/>
        </w:trPr>
        <w:tc>
          <w:tcPr>
            <w:tcW w:w="2785" w:type="dxa"/>
            <w:shd w:val="clear" w:color="auto" w:fill="auto"/>
            <w:vAlign w:val="center"/>
          </w:tcPr>
          <w:p w:rsidRPr="00110E12" w:rsidR="005A35AE" w:rsidP="005A35AE" w:rsidRDefault="005A35AE" w14:paraId="63C7607A" w14:textId="77777777">
            <w:pPr>
              <w:rPr>
                <w:sz w:val="22"/>
                <w:szCs w:val="22"/>
              </w:rPr>
            </w:pPr>
            <w:r w:rsidRPr="00110E12">
              <w:rPr>
                <w:sz w:val="22"/>
                <w:szCs w:val="22"/>
              </w:rPr>
              <w:t>Puerto Rico (North coast)</w:t>
            </w:r>
          </w:p>
        </w:tc>
        <w:tc>
          <w:tcPr>
            <w:tcW w:w="1170" w:type="dxa"/>
            <w:shd w:val="clear" w:color="auto" w:fill="auto"/>
            <w:vAlign w:val="center"/>
          </w:tcPr>
          <w:p w:rsidRPr="00110E12" w:rsidR="005A35AE" w:rsidP="00110E12" w:rsidRDefault="005A35AE" w14:paraId="72CD13C4" w14:textId="77777777">
            <w:pPr>
              <w:jc w:val="center"/>
              <w:rPr>
                <w:sz w:val="22"/>
                <w:szCs w:val="22"/>
              </w:rPr>
            </w:pPr>
            <w:r w:rsidRPr="00110E12">
              <w:rPr>
                <w:sz w:val="22"/>
                <w:szCs w:val="22"/>
              </w:rPr>
              <w:t>-</w:t>
            </w:r>
          </w:p>
        </w:tc>
        <w:tc>
          <w:tcPr>
            <w:tcW w:w="2027" w:type="dxa"/>
            <w:vAlign w:val="center"/>
          </w:tcPr>
          <w:p w:rsidRPr="00110E12" w:rsidR="005A35AE" w:rsidP="00110E12" w:rsidRDefault="005A35AE" w14:paraId="407C322D" w14:textId="77777777">
            <w:pPr>
              <w:jc w:val="center"/>
              <w:rPr>
                <w:sz w:val="22"/>
                <w:szCs w:val="22"/>
              </w:rPr>
            </w:pPr>
            <w:r w:rsidRPr="00110E12">
              <w:rPr>
                <w:sz w:val="22"/>
                <w:szCs w:val="22"/>
              </w:rPr>
              <w:t>317 (159)</w:t>
            </w:r>
          </w:p>
        </w:tc>
        <w:tc>
          <w:tcPr>
            <w:tcW w:w="0" w:type="auto"/>
            <w:shd w:val="clear" w:color="auto" w:fill="auto"/>
            <w:vAlign w:val="center"/>
          </w:tcPr>
          <w:p w:rsidRPr="00110E12" w:rsidR="005A35AE" w:rsidP="00110E12" w:rsidRDefault="005A35AE" w14:paraId="779DB871" w14:textId="77777777">
            <w:pPr>
              <w:jc w:val="center"/>
              <w:rPr>
                <w:sz w:val="22"/>
                <w:szCs w:val="22"/>
              </w:rPr>
            </w:pPr>
            <w:r w:rsidRPr="00110E12">
              <w:rPr>
                <w:sz w:val="22"/>
                <w:szCs w:val="22"/>
              </w:rPr>
              <w:t>0.69</w:t>
            </w:r>
          </w:p>
        </w:tc>
        <w:tc>
          <w:tcPr>
            <w:tcW w:w="0" w:type="auto"/>
            <w:shd w:val="clear" w:color="auto" w:fill="auto"/>
            <w:vAlign w:val="center"/>
          </w:tcPr>
          <w:p w:rsidRPr="00110E12" w:rsidR="005A35AE" w:rsidP="00110E12" w:rsidRDefault="005A35AE" w14:paraId="78B9CDEB" w14:textId="77777777">
            <w:pPr>
              <w:jc w:val="center"/>
              <w:rPr>
                <w:color w:val="000000"/>
                <w:sz w:val="22"/>
                <w:szCs w:val="22"/>
              </w:rPr>
            </w:pPr>
            <w:r w:rsidRPr="00110E12">
              <w:rPr>
                <w:color w:val="000000"/>
                <w:sz w:val="22"/>
                <w:szCs w:val="22"/>
              </w:rPr>
              <w:t>109</w:t>
            </w:r>
          </w:p>
        </w:tc>
      </w:tr>
      <w:tr w:rsidR="005A35AE" w:rsidTr="0033283A" w14:paraId="2B27FAA7" w14:textId="77777777">
        <w:trPr>
          <w:trHeight w:val="351"/>
        </w:trPr>
        <w:tc>
          <w:tcPr>
            <w:tcW w:w="2785" w:type="dxa"/>
            <w:shd w:val="clear" w:color="auto" w:fill="auto"/>
            <w:vAlign w:val="center"/>
          </w:tcPr>
          <w:p w:rsidRPr="00110E12" w:rsidR="005A35AE" w:rsidP="005A35AE" w:rsidRDefault="005A35AE" w14:paraId="4196A9C9" w14:textId="77777777">
            <w:pPr>
              <w:rPr>
                <w:sz w:val="22"/>
                <w:szCs w:val="22"/>
              </w:rPr>
            </w:pPr>
            <w:r w:rsidRPr="00110E12">
              <w:rPr>
                <w:sz w:val="22"/>
                <w:szCs w:val="22"/>
              </w:rPr>
              <w:t>Puerto Rico (South coast)</w:t>
            </w:r>
          </w:p>
        </w:tc>
        <w:tc>
          <w:tcPr>
            <w:tcW w:w="1170" w:type="dxa"/>
            <w:shd w:val="clear" w:color="auto" w:fill="auto"/>
            <w:vAlign w:val="center"/>
          </w:tcPr>
          <w:p w:rsidRPr="00110E12" w:rsidR="005A35AE" w:rsidP="00110E12" w:rsidRDefault="005A35AE" w14:paraId="4BFC6B7F" w14:textId="77777777">
            <w:pPr>
              <w:jc w:val="center"/>
              <w:rPr>
                <w:sz w:val="22"/>
                <w:szCs w:val="22"/>
              </w:rPr>
            </w:pPr>
            <w:r w:rsidRPr="00110E12">
              <w:rPr>
                <w:sz w:val="22"/>
                <w:szCs w:val="22"/>
              </w:rPr>
              <w:t>-</w:t>
            </w:r>
          </w:p>
        </w:tc>
        <w:tc>
          <w:tcPr>
            <w:tcW w:w="2027" w:type="dxa"/>
            <w:vAlign w:val="center"/>
          </w:tcPr>
          <w:p w:rsidRPr="00110E12" w:rsidR="005A35AE" w:rsidP="00110E12" w:rsidRDefault="005A35AE" w14:paraId="2DB4BB0F" w14:textId="77777777">
            <w:pPr>
              <w:jc w:val="center"/>
              <w:rPr>
                <w:sz w:val="22"/>
                <w:szCs w:val="22"/>
              </w:rPr>
            </w:pPr>
            <w:r w:rsidRPr="00110E12">
              <w:rPr>
                <w:sz w:val="22"/>
                <w:szCs w:val="22"/>
              </w:rPr>
              <w:t>242 (121)</w:t>
            </w:r>
          </w:p>
        </w:tc>
        <w:tc>
          <w:tcPr>
            <w:tcW w:w="0" w:type="auto"/>
            <w:shd w:val="clear" w:color="auto" w:fill="auto"/>
            <w:vAlign w:val="center"/>
          </w:tcPr>
          <w:p w:rsidRPr="00110E12" w:rsidR="005A35AE" w:rsidP="00110E12" w:rsidRDefault="005A35AE" w14:paraId="0978F2B6" w14:textId="77777777">
            <w:pPr>
              <w:jc w:val="center"/>
              <w:rPr>
                <w:sz w:val="22"/>
                <w:szCs w:val="22"/>
              </w:rPr>
            </w:pPr>
            <w:r w:rsidRPr="00110E12">
              <w:rPr>
                <w:sz w:val="22"/>
                <w:szCs w:val="22"/>
              </w:rPr>
              <w:t>0.69</w:t>
            </w:r>
          </w:p>
        </w:tc>
        <w:tc>
          <w:tcPr>
            <w:tcW w:w="0" w:type="auto"/>
            <w:shd w:val="clear" w:color="auto" w:fill="auto"/>
            <w:vAlign w:val="center"/>
          </w:tcPr>
          <w:p w:rsidRPr="00110E12" w:rsidR="005A35AE" w:rsidP="00110E12" w:rsidRDefault="005A35AE" w14:paraId="0003F5CE" w14:textId="77777777">
            <w:pPr>
              <w:jc w:val="center"/>
              <w:rPr>
                <w:color w:val="000000"/>
                <w:sz w:val="22"/>
                <w:szCs w:val="22"/>
              </w:rPr>
            </w:pPr>
            <w:r w:rsidRPr="00110E12">
              <w:rPr>
                <w:color w:val="000000"/>
                <w:sz w:val="22"/>
                <w:szCs w:val="22"/>
              </w:rPr>
              <w:t>83</w:t>
            </w:r>
          </w:p>
        </w:tc>
      </w:tr>
      <w:tr w:rsidR="005A35AE" w:rsidTr="0033283A" w14:paraId="18AF5616" w14:textId="77777777">
        <w:trPr>
          <w:trHeight w:val="351"/>
        </w:trPr>
        <w:tc>
          <w:tcPr>
            <w:tcW w:w="2785" w:type="dxa"/>
            <w:shd w:val="clear" w:color="auto" w:fill="auto"/>
            <w:vAlign w:val="center"/>
          </w:tcPr>
          <w:p w:rsidRPr="00110E12" w:rsidR="005A35AE" w:rsidP="005A35AE" w:rsidRDefault="005A35AE" w14:paraId="37C79CAB" w14:textId="77777777">
            <w:pPr>
              <w:rPr>
                <w:sz w:val="22"/>
                <w:szCs w:val="22"/>
              </w:rPr>
            </w:pPr>
            <w:r w:rsidRPr="00110E12">
              <w:rPr>
                <w:sz w:val="22"/>
                <w:szCs w:val="22"/>
              </w:rPr>
              <w:t>Puerto Rico (West coast)</w:t>
            </w:r>
          </w:p>
        </w:tc>
        <w:tc>
          <w:tcPr>
            <w:tcW w:w="1170" w:type="dxa"/>
            <w:shd w:val="clear" w:color="auto" w:fill="auto"/>
            <w:vAlign w:val="center"/>
          </w:tcPr>
          <w:p w:rsidRPr="00110E12" w:rsidR="005A35AE" w:rsidP="00110E12" w:rsidRDefault="005A35AE" w14:paraId="7FD20C98" w14:textId="77777777">
            <w:pPr>
              <w:jc w:val="center"/>
              <w:rPr>
                <w:sz w:val="22"/>
                <w:szCs w:val="22"/>
              </w:rPr>
            </w:pPr>
            <w:r w:rsidRPr="00110E12">
              <w:rPr>
                <w:sz w:val="22"/>
                <w:szCs w:val="22"/>
              </w:rPr>
              <w:t>-</w:t>
            </w:r>
          </w:p>
        </w:tc>
        <w:tc>
          <w:tcPr>
            <w:tcW w:w="2027" w:type="dxa"/>
            <w:vAlign w:val="center"/>
          </w:tcPr>
          <w:p w:rsidRPr="00110E12" w:rsidR="005A35AE" w:rsidP="00110E12" w:rsidRDefault="005A35AE" w14:paraId="383A1BDB" w14:textId="77777777">
            <w:pPr>
              <w:jc w:val="center"/>
              <w:rPr>
                <w:sz w:val="22"/>
                <w:szCs w:val="22"/>
              </w:rPr>
            </w:pPr>
            <w:r w:rsidRPr="00110E12">
              <w:rPr>
                <w:sz w:val="22"/>
                <w:szCs w:val="22"/>
              </w:rPr>
              <w:t>430 (215)</w:t>
            </w:r>
          </w:p>
        </w:tc>
        <w:tc>
          <w:tcPr>
            <w:tcW w:w="0" w:type="auto"/>
            <w:shd w:val="clear" w:color="auto" w:fill="auto"/>
            <w:vAlign w:val="center"/>
          </w:tcPr>
          <w:p w:rsidRPr="00110E12" w:rsidR="005A35AE" w:rsidP="00110E12" w:rsidRDefault="005A35AE" w14:paraId="284B651F" w14:textId="77777777">
            <w:pPr>
              <w:jc w:val="center"/>
              <w:rPr>
                <w:sz w:val="22"/>
                <w:szCs w:val="22"/>
              </w:rPr>
            </w:pPr>
            <w:r w:rsidRPr="00110E12">
              <w:rPr>
                <w:sz w:val="22"/>
                <w:szCs w:val="22"/>
              </w:rPr>
              <w:t>0.69</w:t>
            </w:r>
          </w:p>
        </w:tc>
        <w:tc>
          <w:tcPr>
            <w:tcW w:w="0" w:type="auto"/>
            <w:shd w:val="clear" w:color="auto" w:fill="auto"/>
            <w:vAlign w:val="center"/>
          </w:tcPr>
          <w:p w:rsidRPr="00110E12" w:rsidR="005A35AE" w:rsidP="00110E12" w:rsidRDefault="005A35AE" w14:paraId="6F731174" w14:textId="77777777">
            <w:pPr>
              <w:jc w:val="center"/>
              <w:rPr>
                <w:color w:val="000000"/>
                <w:sz w:val="22"/>
                <w:szCs w:val="22"/>
              </w:rPr>
            </w:pPr>
            <w:r w:rsidRPr="00110E12">
              <w:rPr>
                <w:color w:val="000000"/>
                <w:sz w:val="22"/>
                <w:szCs w:val="22"/>
              </w:rPr>
              <w:t>148</w:t>
            </w:r>
          </w:p>
        </w:tc>
      </w:tr>
      <w:tr w:rsidR="005A35AE" w:rsidTr="0033283A" w14:paraId="6D703FD9" w14:textId="77777777">
        <w:trPr>
          <w:trHeight w:val="351"/>
        </w:trPr>
        <w:tc>
          <w:tcPr>
            <w:tcW w:w="2785" w:type="dxa"/>
            <w:shd w:val="clear" w:color="auto" w:fill="auto"/>
            <w:vAlign w:val="center"/>
          </w:tcPr>
          <w:p w:rsidRPr="00110E12" w:rsidR="005A35AE" w:rsidP="005A35AE" w:rsidRDefault="005A35AE" w14:paraId="1986390D" w14:textId="77777777">
            <w:pPr>
              <w:rPr>
                <w:sz w:val="22"/>
                <w:szCs w:val="22"/>
              </w:rPr>
            </w:pPr>
          </w:p>
        </w:tc>
        <w:tc>
          <w:tcPr>
            <w:tcW w:w="1170" w:type="dxa"/>
            <w:shd w:val="clear" w:color="auto" w:fill="auto"/>
            <w:vAlign w:val="center"/>
          </w:tcPr>
          <w:p w:rsidRPr="00110E12" w:rsidR="005A35AE" w:rsidP="00110E12" w:rsidRDefault="005A35AE" w14:paraId="4D475DE5" w14:textId="77777777">
            <w:pPr>
              <w:jc w:val="center"/>
              <w:rPr>
                <w:sz w:val="22"/>
                <w:szCs w:val="22"/>
              </w:rPr>
            </w:pPr>
          </w:p>
        </w:tc>
        <w:tc>
          <w:tcPr>
            <w:tcW w:w="2027" w:type="dxa"/>
            <w:vAlign w:val="center"/>
          </w:tcPr>
          <w:p w:rsidRPr="00110E12" w:rsidR="005A35AE" w:rsidP="00110E12" w:rsidRDefault="005A35AE" w14:paraId="45EA008B" w14:textId="77777777">
            <w:pPr>
              <w:jc w:val="center"/>
              <w:rPr>
                <w:sz w:val="22"/>
                <w:szCs w:val="22"/>
              </w:rPr>
            </w:pPr>
          </w:p>
        </w:tc>
        <w:tc>
          <w:tcPr>
            <w:tcW w:w="0" w:type="auto"/>
            <w:shd w:val="clear" w:color="auto" w:fill="auto"/>
            <w:vAlign w:val="center"/>
          </w:tcPr>
          <w:p w:rsidRPr="00110E12" w:rsidR="005A35AE" w:rsidP="00110E12" w:rsidRDefault="005A35AE" w14:paraId="3D23B2FB" w14:textId="77777777">
            <w:pPr>
              <w:jc w:val="center"/>
              <w:rPr>
                <w:sz w:val="22"/>
                <w:szCs w:val="22"/>
              </w:rPr>
            </w:pPr>
          </w:p>
        </w:tc>
        <w:tc>
          <w:tcPr>
            <w:tcW w:w="0" w:type="auto"/>
            <w:shd w:val="clear" w:color="auto" w:fill="auto"/>
            <w:vAlign w:val="center"/>
          </w:tcPr>
          <w:p w:rsidRPr="00110E12" w:rsidR="005A35AE" w:rsidP="00110E12" w:rsidRDefault="005A35AE" w14:paraId="1D9622E6" w14:textId="77777777">
            <w:pPr>
              <w:jc w:val="center"/>
              <w:rPr>
                <w:color w:val="000000"/>
                <w:sz w:val="22"/>
                <w:szCs w:val="22"/>
              </w:rPr>
            </w:pPr>
          </w:p>
        </w:tc>
      </w:tr>
      <w:tr w:rsidR="005A35AE" w:rsidTr="0033283A" w14:paraId="12ACFF37" w14:textId="77777777">
        <w:trPr>
          <w:trHeight w:val="351"/>
        </w:trPr>
        <w:tc>
          <w:tcPr>
            <w:tcW w:w="2785" w:type="dxa"/>
            <w:shd w:val="clear" w:color="auto" w:fill="auto"/>
            <w:vAlign w:val="center"/>
          </w:tcPr>
          <w:p w:rsidRPr="00110E12" w:rsidR="005A35AE" w:rsidP="005A35AE" w:rsidRDefault="005A35AE" w14:paraId="064E65CA" w14:textId="77777777">
            <w:pPr>
              <w:rPr>
                <w:sz w:val="22"/>
                <w:szCs w:val="22"/>
              </w:rPr>
            </w:pPr>
            <w:r w:rsidRPr="00110E12">
              <w:rPr>
                <w:sz w:val="22"/>
                <w:szCs w:val="22"/>
              </w:rPr>
              <w:t>PR Sub-total</w:t>
            </w:r>
          </w:p>
        </w:tc>
        <w:tc>
          <w:tcPr>
            <w:tcW w:w="1170" w:type="dxa"/>
            <w:shd w:val="clear" w:color="auto" w:fill="auto"/>
            <w:vAlign w:val="center"/>
          </w:tcPr>
          <w:p w:rsidRPr="00110E12" w:rsidR="005A35AE" w:rsidP="00110E12" w:rsidRDefault="005A35AE" w14:paraId="08A3B6E6" w14:textId="77777777">
            <w:pPr>
              <w:jc w:val="center"/>
              <w:rPr>
                <w:sz w:val="22"/>
                <w:szCs w:val="22"/>
              </w:rPr>
            </w:pPr>
            <w:r w:rsidRPr="00110E12">
              <w:rPr>
                <w:sz w:val="22"/>
                <w:szCs w:val="22"/>
              </w:rPr>
              <w:t>-</w:t>
            </w:r>
          </w:p>
        </w:tc>
        <w:tc>
          <w:tcPr>
            <w:tcW w:w="2027" w:type="dxa"/>
            <w:vAlign w:val="center"/>
          </w:tcPr>
          <w:p w:rsidRPr="00110E12" w:rsidR="005A35AE" w:rsidP="00110E12" w:rsidRDefault="005A35AE" w14:paraId="0BAC5818" w14:textId="77777777">
            <w:pPr>
              <w:jc w:val="center"/>
              <w:rPr>
                <w:sz w:val="22"/>
                <w:szCs w:val="22"/>
              </w:rPr>
            </w:pPr>
            <w:r w:rsidRPr="00110E12">
              <w:rPr>
                <w:sz w:val="22"/>
                <w:szCs w:val="22"/>
              </w:rPr>
              <w:t>-</w:t>
            </w:r>
          </w:p>
        </w:tc>
        <w:tc>
          <w:tcPr>
            <w:tcW w:w="0" w:type="auto"/>
            <w:shd w:val="clear" w:color="auto" w:fill="auto"/>
            <w:vAlign w:val="center"/>
          </w:tcPr>
          <w:p w:rsidRPr="00110E12" w:rsidR="005A35AE" w:rsidP="00110E12" w:rsidRDefault="005A35AE" w14:paraId="6DBC4F95" w14:textId="77777777">
            <w:pPr>
              <w:jc w:val="center"/>
              <w:rPr>
                <w:sz w:val="22"/>
                <w:szCs w:val="22"/>
              </w:rPr>
            </w:pPr>
            <w:r w:rsidRPr="00110E12">
              <w:rPr>
                <w:sz w:val="22"/>
                <w:szCs w:val="22"/>
              </w:rPr>
              <w:t>-</w:t>
            </w:r>
          </w:p>
        </w:tc>
        <w:tc>
          <w:tcPr>
            <w:tcW w:w="0" w:type="auto"/>
            <w:shd w:val="clear" w:color="auto" w:fill="auto"/>
            <w:vAlign w:val="center"/>
          </w:tcPr>
          <w:p w:rsidRPr="00110E12" w:rsidR="005A35AE" w:rsidP="00110E12" w:rsidRDefault="005A35AE" w14:paraId="6C45F02D" w14:textId="77777777">
            <w:pPr>
              <w:jc w:val="center"/>
              <w:rPr>
                <w:color w:val="000000"/>
                <w:sz w:val="22"/>
                <w:szCs w:val="22"/>
              </w:rPr>
            </w:pPr>
            <w:r w:rsidRPr="00110E12">
              <w:rPr>
                <w:color w:val="000000"/>
                <w:sz w:val="22"/>
                <w:szCs w:val="22"/>
              </w:rPr>
              <w:t>428</w:t>
            </w:r>
          </w:p>
        </w:tc>
      </w:tr>
      <w:tr w:rsidR="005A35AE" w:rsidTr="0033283A" w14:paraId="118D0ACD" w14:textId="77777777">
        <w:trPr>
          <w:trHeight w:val="351"/>
        </w:trPr>
        <w:tc>
          <w:tcPr>
            <w:tcW w:w="2785" w:type="dxa"/>
            <w:shd w:val="clear" w:color="auto" w:fill="auto"/>
            <w:vAlign w:val="center"/>
          </w:tcPr>
          <w:p w:rsidRPr="00110E12" w:rsidR="005A35AE" w:rsidP="005A35AE" w:rsidRDefault="005A35AE" w14:paraId="11C7AD43" w14:textId="77777777">
            <w:pPr>
              <w:rPr>
                <w:sz w:val="22"/>
                <w:szCs w:val="22"/>
              </w:rPr>
            </w:pPr>
          </w:p>
        </w:tc>
        <w:tc>
          <w:tcPr>
            <w:tcW w:w="1170" w:type="dxa"/>
            <w:shd w:val="clear" w:color="auto" w:fill="auto"/>
            <w:vAlign w:val="center"/>
          </w:tcPr>
          <w:p w:rsidRPr="00110E12" w:rsidR="005A35AE" w:rsidP="00110E12" w:rsidRDefault="005A35AE" w14:paraId="344E935F" w14:textId="77777777">
            <w:pPr>
              <w:jc w:val="center"/>
              <w:rPr>
                <w:sz w:val="22"/>
                <w:szCs w:val="22"/>
              </w:rPr>
            </w:pPr>
          </w:p>
        </w:tc>
        <w:tc>
          <w:tcPr>
            <w:tcW w:w="2027" w:type="dxa"/>
            <w:vAlign w:val="center"/>
          </w:tcPr>
          <w:p w:rsidRPr="00110E12" w:rsidR="005A35AE" w:rsidP="00110E12" w:rsidRDefault="005A35AE" w14:paraId="4578678C" w14:textId="77777777">
            <w:pPr>
              <w:jc w:val="center"/>
              <w:rPr>
                <w:sz w:val="22"/>
                <w:szCs w:val="22"/>
              </w:rPr>
            </w:pPr>
          </w:p>
        </w:tc>
        <w:tc>
          <w:tcPr>
            <w:tcW w:w="0" w:type="auto"/>
            <w:shd w:val="clear" w:color="auto" w:fill="auto"/>
            <w:vAlign w:val="center"/>
          </w:tcPr>
          <w:p w:rsidRPr="00110E12" w:rsidR="005A35AE" w:rsidP="00110E12" w:rsidRDefault="005A35AE" w14:paraId="37293D00" w14:textId="77777777">
            <w:pPr>
              <w:jc w:val="center"/>
              <w:rPr>
                <w:sz w:val="22"/>
                <w:szCs w:val="22"/>
              </w:rPr>
            </w:pPr>
          </w:p>
        </w:tc>
        <w:tc>
          <w:tcPr>
            <w:tcW w:w="0" w:type="auto"/>
            <w:shd w:val="clear" w:color="auto" w:fill="auto"/>
            <w:vAlign w:val="center"/>
          </w:tcPr>
          <w:p w:rsidRPr="00110E12" w:rsidR="005A35AE" w:rsidP="00110E12" w:rsidRDefault="005A35AE" w14:paraId="44160C5B" w14:textId="77777777">
            <w:pPr>
              <w:jc w:val="center"/>
              <w:rPr>
                <w:color w:val="000000"/>
                <w:sz w:val="22"/>
                <w:szCs w:val="22"/>
              </w:rPr>
            </w:pPr>
          </w:p>
        </w:tc>
      </w:tr>
      <w:tr w:rsidR="005A35AE" w:rsidTr="0033283A" w14:paraId="51E3528D" w14:textId="77777777">
        <w:trPr>
          <w:trHeight w:val="351"/>
        </w:trPr>
        <w:tc>
          <w:tcPr>
            <w:tcW w:w="2785" w:type="dxa"/>
            <w:shd w:val="clear" w:color="auto" w:fill="D9D9D9"/>
            <w:vAlign w:val="center"/>
          </w:tcPr>
          <w:p w:rsidRPr="00110E12" w:rsidR="005A35AE" w:rsidP="005A35AE" w:rsidRDefault="005A35AE" w14:paraId="6AE40B8C" w14:textId="77777777">
            <w:pPr>
              <w:rPr>
                <w:sz w:val="22"/>
                <w:szCs w:val="22"/>
              </w:rPr>
            </w:pPr>
            <w:r w:rsidRPr="00110E12">
              <w:rPr>
                <w:sz w:val="22"/>
                <w:szCs w:val="22"/>
              </w:rPr>
              <w:t>Total (partial, 50% funding scenario)</w:t>
            </w:r>
          </w:p>
        </w:tc>
        <w:tc>
          <w:tcPr>
            <w:tcW w:w="1170" w:type="dxa"/>
            <w:shd w:val="clear" w:color="auto" w:fill="D9D9D9"/>
            <w:vAlign w:val="center"/>
          </w:tcPr>
          <w:p w:rsidRPr="00110E12" w:rsidR="005A35AE" w:rsidP="00110E12" w:rsidRDefault="005A35AE" w14:paraId="499BF916" w14:textId="77777777">
            <w:pPr>
              <w:jc w:val="center"/>
              <w:rPr>
                <w:sz w:val="22"/>
                <w:szCs w:val="22"/>
              </w:rPr>
            </w:pPr>
          </w:p>
        </w:tc>
        <w:tc>
          <w:tcPr>
            <w:tcW w:w="2027" w:type="dxa"/>
            <w:shd w:val="clear" w:color="auto" w:fill="D9D9D9"/>
            <w:vAlign w:val="center"/>
          </w:tcPr>
          <w:p w:rsidRPr="00110E12" w:rsidR="005A35AE" w:rsidP="00110E12" w:rsidRDefault="005A35AE" w14:paraId="7FAFAB50" w14:textId="77777777">
            <w:pPr>
              <w:jc w:val="center"/>
              <w:rPr>
                <w:sz w:val="22"/>
                <w:szCs w:val="22"/>
              </w:rPr>
            </w:pPr>
          </w:p>
        </w:tc>
        <w:tc>
          <w:tcPr>
            <w:tcW w:w="0" w:type="auto"/>
            <w:shd w:val="clear" w:color="auto" w:fill="D9D9D9"/>
            <w:vAlign w:val="center"/>
          </w:tcPr>
          <w:p w:rsidRPr="00110E12" w:rsidR="005A35AE" w:rsidP="00110E12" w:rsidRDefault="005A35AE" w14:paraId="114C129A" w14:textId="77777777">
            <w:pPr>
              <w:jc w:val="center"/>
              <w:rPr>
                <w:sz w:val="22"/>
                <w:szCs w:val="22"/>
              </w:rPr>
            </w:pPr>
          </w:p>
        </w:tc>
        <w:tc>
          <w:tcPr>
            <w:tcW w:w="0" w:type="auto"/>
            <w:shd w:val="clear" w:color="auto" w:fill="D9D9D9"/>
            <w:vAlign w:val="center"/>
          </w:tcPr>
          <w:p w:rsidRPr="00110E12" w:rsidR="005A35AE" w:rsidP="00110E12" w:rsidRDefault="005A35AE" w14:paraId="2E725F36" w14:textId="77777777">
            <w:pPr>
              <w:jc w:val="center"/>
              <w:rPr>
                <w:color w:val="000000"/>
                <w:sz w:val="22"/>
                <w:szCs w:val="22"/>
              </w:rPr>
            </w:pPr>
            <w:r w:rsidRPr="00110E12">
              <w:rPr>
                <w:color w:val="000000"/>
                <w:sz w:val="22"/>
                <w:szCs w:val="22"/>
              </w:rPr>
              <w:t>534</w:t>
            </w:r>
          </w:p>
        </w:tc>
      </w:tr>
    </w:tbl>
    <w:p w:rsidR="008F7BDA" w:rsidRDefault="008F7BDA" w14:paraId="18E2D819" w14:textId="77777777">
      <w:pPr>
        <w:pBdr>
          <w:top w:val="nil"/>
          <w:left w:val="nil"/>
          <w:bottom w:val="nil"/>
          <w:right w:val="nil"/>
          <w:between w:val="nil"/>
        </w:pBdr>
        <w:rPr>
          <w:b/>
          <w:color w:val="000000"/>
        </w:rPr>
      </w:pPr>
    </w:p>
    <w:p w:rsidR="008F7BDA" w:rsidRDefault="008F7BDA" w14:paraId="5188E7A3" w14:textId="77777777"/>
    <w:p w:rsidR="008F7BDA" w:rsidRDefault="007756A1" w14:paraId="0C2B26AB" w14:textId="77777777">
      <w:pPr>
        <w:numPr>
          <w:ilvl w:val="0"/>
          <w:numId w:val="2"/>
        </w:numPr>
        <w:pBdr>
          <w:top w:val="nil"/>
          <w:left w:val="nil"/>
          <w:bottom w:val="nil"/>
          <w:right w:val="nil"/>
          <w:between w:val="nil"/>
        </w:pBdr>
        <w:rPr>
          <w:color w:val="000000"/>
        </w:rPr>
      </w:pPr>
      <w:r>
        <w:rPr>
          <w:b/>
          <w:color w:val="000000"/>
        </w:rPr>
        <w:t>Describe the procedures for the collection of information including:</w:t>
      </w:r>
    </w:p>
    <w:p w:rsidR="00AE087B" w:rsidRDefault="00AE087B" w14:paraId="4BFF5880" w14:textId="77777777">
      <w:pPr>
        <w:rPr>
          <w:u w:val="single"/>
        </w:rPr>
      </w:pPr>
    </w:p>
    <w:p w:rsidR="008F7BDA" w:rsidRDefault="007756A1" w14:paraId="7B3CEE3A" w14:textId="4B530BFA">
      <w:pPr>
        <w:rPr>
          <w:u w:val="single"/>
        </w:rPr>
      </w:pPr>
      <w:r>
        <w:rPr>
          <w:u w:val="single"/>
        </w:rPr>
        <w:t>Stratification and Sample Selection:</w:t>
      </w:r>
    </w:p>
    <w:p w:rsidR="008F7BDA" w:rsidRDefault="008F7BDA" w14:paraId="6B8C15D0" w14:textId="77777777">
      <w:pPr>
        <w:rPr>
          <w:u w:val="single"/>
        </w:rPr>
      </w:pPr>
    </w:p>
    <w:p w:rsidR="008F7BDA" w:rsidRDefault="007756A1" w14:paraId="782DB862" w14:textId="0E70A46F">
      <w:pPr>
        <w:jc w:val="both"/>
      </w:pPr>
      <w:r>
        <w:t xml:space="preserve">We plan to use voluntary surveys to elicit information on demographics, fishing and marketing practices, vessel and fishing equipment, and miscellaneous attitudinal questions to support local </w:t>
      </w:r>
      <w:r>
        <w:lastRenderedPageBreak/>
        <w:t xml:space="preserve">fisheries management. </w:t>
      </w:r>
    </w:p>
    <w:p w:rsidR="008F7BDA" w:rsidRDefault="008F7BDA" w14:paraId="0D077021" w14:textId="77777777">
      <w:pPr>
        <w:jc w:val="both"/>
      </w:pPr>
    </w:p>
    <w:p w:rsidR="008F7BDA" w:rsidRDefault="00AE087B" w14:paraId="71656472" w14:textId="54EA1677">
      <w:pPr>
        <w:jc w:val="both"/>
      </w:pPr>
      <w:r>
        <w:t>If full</w:t>
      </w:r>
      <w:r w:rsidR="007756A1">
        <w:t xml:space="preserve"> funds </w:t>
      </w:r>
      <w:proofErr w:type="gramStart"/>
      <w:r w:rsidR="007756A1">
        <w:t>are secured</w:t>
      </w:r>
      <w:proofErr w:type="gramEnd"/>
      <w:r w:rsidR="007756A1">
        <w:t>, we</w:t>
      </w:r>
      <w:r>
        <w:t xml:space="preserve"> plan to</w:t>
      </w:r>
      <w:r w:rsidR="007756A1">
        <w:t xml:space="preserve"> survey the entire population in both jurisdictions (U.S.V.I</w:t>
      </w:r>
      <w:r>
        <w:t xml:space="preserve">. </w:t>
      </w:r>
      <w:r w:rsidR="007756A1">
        <w:t>and Puerto Rico).  How</w:t>
      </w:r>
      <w:r>
        <w:t>ever, for a case of partial</w:t>
      </w:r>
      <w:r w:rsidR="007756A1">
        <w:t xml:space="preserve"> funding</w:t>
      </w:r>
      <w:r>
        <w:t>,</w:t>
      </w:r>
      <w:r w:rsidR="007756A1">
        <w:t xml:space="preserve"> we </w:t>
      </w:r>
      <w:r>
        <w:t>plan to conduct</w:t>
      </w:r>
      <w:r w:rsidR="007756A1">
        <w:t xml:space="preserve"> a</w:t>
      </w:r>
      <w:r w:rsidR="00866D9C">
        <w:t xml:space="preserve"> (‘sample’)</w:t>
      </w:r>
      <w:r w:rsidR="007756A1">
        <w:t xml:space="preserve"> survey using (proportional) stratified random sampling. For the </w:t>
      </w:r>
      <w:r w:rsidR="00866D9C">
        <w:t>‘</w:t>
      </w:r>
      <w:r w:rsidR="007756A1">
        <w:t>sample</w:t>
      </w:r>
      <w:r w:rsidR="00866D9C">
        <w:t>’</w:t>
      </w:r>
      <w:r w:rsidR="007756A1">
        <w:t xml:space="preserve"> survey, the population and sample size in each stratum are estimated assuming a 50% partial </w:t>
      </w:r>
      <w:proofErr w:type="gramStart"/>
      <w:r w:rsidR="007756A1">
        <w:t>funding</w:t>
      </w:r>
      <w:r w:rsidR="00D51315">
        <w:t>.</w:t>
      </w:r>
      <w:proofErr w:type="gramEnd"/>
      <w:r w:rsidR="007756A1">
        <w:t xml:space="preserve"> In Puerto Rico, we</w:t>
      </w:r>
      <w:r w:rsidR="00C61A63">
        <w:t xml:space="preserve"> plan to</w:t>
      </w:r>
      <w:r w:rsidR="007756A1">
        <w:t xml:space="preserve"> use coastal regions (</w:t>
      </w:r>
      <w:r w:rsidR="00866D9C">
        <w:t>E</w:t>
      </w:r>
      <w:r w:rsidR="007756A1">
        <w:t xml:space="preserve">ast, </w:t>
      </w:r>
      <w:r w:rsidR="00866D9C">
        <w:t>W</w:t>
      </w:r>
      <w:r w:rsidR="007756A1">
        <w:t xml:space="preserve">est, </w:t>
      </w:r>
      <w:r w:rsidR="00866D9C">
        <w:t>S</w:t>
      </w:r>
      <w:r w:rsidR="007756A1">
        <w:t xml:space="preserve">outh and </w:t>
      </w:r>
      <w:r w:rsidR="00866D9C">
        <w:t>N</w:t>
      </w:r>
      <w:r w:rsidR="007756A1">
        <w:t xml:space="preserve">orth) as the strata and in the </w:t>
      </w:r>
      <w:proofErr w:type="gramStart"/>
      <w:r w:rsidR="007756A1">
        <w:t>U.S.V.I.</w:t>
      </w:r>
      <w:proofErr w:type="gramEnd"/>
      <w:r w:rsidR="007756A1">
        <w:t xml:space="preserve"> we</w:t>
      </w:r>
      <w:r w:rsidR="00C61A63">
        <w:t xml:space="preserve"> plan to</w:t>
      </w:r>
      <w:r w:rsidR="007756A1">
        <w:t xml:space="preserve"> use the islands (St. Thomas, St. John and St. Croix) as the strata. The sample size in each stratum will be proportional to the population size of each stratum. Table 1 shows the number of planned interviews by jurisdiction (and stratum) under full and partial funding scenarios.</w:t>
      </w:r>
    </w:p>
    <w:p w:rsidR="008F7BDA" w:rsidRDefault="008F7BDA" w14:paraId="6A3FA2E0" w14:textId="3B388618">
      <w:pPr>
        <w:jc w:val="both"/>
      </w:pPr>
    </w:p>
    <w:p w:rsidR="008F7BDA" w:rsidRDefault="007756A1" w14:paraId="26585699" w14:textId="77777777">
      <w:pPr>
        <w:jc w:val="both"/>
      </w:pPr>
      <w:r>
        <w:t xml:space="preserve">NMFS will obtain the most current list of licensed fishers from local fishery agencies, which in turn </w:t>
      </w:r>
      <w:proofErr w:type="gramStart"/>
      <w:r>
        <w:t>will be shared</w:t>
      </w:r>
      <w:proofErr w:type="gramEnd"/>
      <w:r>
        <w:t xml:space="preserve"> with the contractor(s) (to be determined). The list will contain the following information: fisher’s name, address, and phone number. </w:t>
      </w:r>
    </w:p>
    <w:p w:rsidR="008F7BDA" w:rsidRDefault="008F7BDA" w14:paraId="25FF02A7" w14:textId="77777777"/>
    <w:p w:rsidR="008F7BDA" w:rsidP="00C64D21" w:rsidRDefault="007756A1" w14:paraId="4EF70F37" w14:textId="07D7B9AC">
      <w:pPr>
        <w:jc w:val="both"/>
      </w:pPr>
      <w:r>
        <w:t>We have made no changes in the procedures or statistical methodology of the collection; however, we added a few attitudinal questions since the last approval.</w:t>
      </w:r>
    </w:p>
    <w:p w:rsidR="00866D9C" w:rsidP="00C64D21" w:rsidRDefault="00866D9C" w14:paraId="79FAAFB5" w14:textId="77777777">
      <w:pPr>
        <w:jc w:val="both"/>
        <w:rPr>
          <w:u w:val="single"/>
        </w:rPr>
      </w:pPr>
    </w:p>
    <w:p w:rsidR="008F7BDA" w:rsidRDefault="007756A1" w14:paraId="770F9E73" w14:textId="77777777">
      <w:pPr>
        <w:rPr>
          <w:u w:val="single"/>
        </w:rPr>
      </w:pPr>
      <w:r>
        <w:rPr>
          <w:u w:val="single"/>
        </w:rPr>
        <w:t>Estimation Procedures:</w:t>
      </w:r>
    </w:p>
    <w:p w:rsidR="008F7BDA" w:rsidRDefault="008F7BDA" w14:paraId="2D3E8A14" w14:textId="77777777"/>
    <w:p w:rsidR="008F7BDA" w:rsidRDefault="007756A1" w14:paraId="5343F51C" w14:textId="77777777">
      <w:pPr>
        <w:jc w:val="both"/>
      </w:pPr>
      <w:r>
        <w:t xml:space="preserve">NMFS will use the data collected for descriptive statistics and analytical purposes based on the needs of the Caribbean Fisheries Management Council and the Southeast Regional Office. These data </w:t>
      </w:r>
      <w:proofErr w:type="gramStart"/>
      <w:r>
        <w:t>will be primarily used</w:t>
      </w:r>
      <w:proofErr w:type="gramEnd"/>
      <w:r>
        <w:t xml:space="preserve"> to describe fishery participants’ socio-economic characteristics in fishery management plans and amendments. Currently, the Caribbean Fisheries Management Council manages fisheries on an island basis (Puerto Rico, St. Thomas/St. John and St. Croix separately) therefore it is important to understand how fishers and fishing practices change by island.</w:t>
      </w:r>
    </w:p>
    <w:p w:rsidR="008F7BDA" w:rsidRDefault="008F7BDA" w14:paraId="711F16D3" w14:textId="77777777">
      <w:pPr>
        <w:jc w:val="both"/>
      </w:pPr>
    </w:p>
    <w:p w:rsidR="008F7BDA" w:rsidRDefault="007756A1" w14:paraId="50BB8CD2" w14:textId="77777777">
      <w:pPr>
        <w:jc w:val="both"/>
      </w:pPr>
      <w:r>
        <w:t xml:space="preserve">Descriptive (e.g., mean, median) and inferential statistics (e.g., chi square, ANOVA) will be used to characterize fisheries and to examine the impact of past policies and future policy proposals by user group/gear types, and by coastal region and/or island. The procedures for estimating various statistics (e.g., mean, median, coefficient of variation) and statistical analyses (e.g., t-tests, Mann-Whitney tests, Chi square, 1-way ANOVA, </w:t>
      </w:r>
      <w:proofErr w:type="spellStart"/>
      <w:r>
        <w:t>Kruskal</w:t>
      </w:r>
      <w:proofErr w:type="spellEnd"/>
      <w:r>
        <w:t xml:space="preserve">-Wallis) </w:t>
      </w:r>
      <w:proofErr w:type="gramStart"/>
      <w:r>
        <w:t>will be based</w:t>
      </w:r>
      <w:proofErr w:type="gramEnd"/>
      <w:r>
        <w:t xml:space="preserve"> on the standard equations available in statistical texts.  </w:t>
      </w:r>
    </w:p>
    <w:p w:rsidR="008F7BDA" w:rsidRDefault="008F7BDA" w14:paraId="5B7BBF17" w14:textId="77777777"/>
    <w:p w:rsidR="008F7BDA" w:rsidRDefault="007756A1" w14:paraId="355EC261" w14:textId="77777777">
      <w:pPr>
        <w:rPr>
          <w:u w:val="single"/>
        </w:rPr>
      </w:pPr>
      <w:r>
        <w:rPr>
          <w:u w:val="single"/>
        </w:rPr>
        <w:t>Degree of Accuracy Needed for Intended Purposes:</w:t>
      </w:r>
    </w:p>
    <w:p w:rsidR="008F7BDA" w:rsidRDefault="008F7BDA" w14:paraId="0F53C1BB" w14:textId="77777777">
      <w:pPr>
        <w:rPr>
          <w:u w:val="single"/>
        </w:rPr>
      </w:pPr>
    </w:p>
    <w:p w:rsidR="008F7BDA" w:rsidRDefault="007756A1" w14:paraId="1B3BE925" w14:textId="7C492692">
      <w:pPr>
        <w:jc w:val="both"/>
      </w:pPr>
      <w:r>
        <w:t xml:space="preserve">Legislative mandates do not establish the degree of accuracy required for describing fishery participants in fishery management plans and amendments </w:t>
      </w:r>
      <w:r w:rsidR="00CD4309">
        <w:t>or</w:t>
      </w:r>
      <w:r>
        <w:t xml:space="preserve"> for conducting socio-economic analyses.  However, all else being equal, we prefer to provide sufficiently accurate data </w:t>
      </w:r>
      <w:r w:rsidR="00CD4309">
        <w:t>to support decision-makers.</w:t>
      </w:r>
    </w:p>
    <w:p w:rsidR="008F7BDA" w:rsidRDefault="008F7BDA" w14:paraId="646BEB7C" w14:textId="77777777">
      <w:pPr>
        <w:jc w:val="both"/>
      </w:pPr>
    </w:p>
    <w:p w:rsidR="008F7BDA" w:rsidRDefault="007756A1" w14:paraId="1B35D2FC" w14:textId="444D5D26">
      <w:pPr>
        <w:jc w:val="both"/>
      </w:pPr>
      <w:r>
        <w:t xml:space="preserve">Using the figures reported in Table 1, which </w:t>
      </w:r>
      <w:proofErr w:type="gramStart"/>
      <w:r>
        <w:t>are based</w:t>
      </w:r>
      <w:proofErr w:type="gramEnd"/>
      <w:r>
        <w:t xml:space="preserve"> on the response rates from </w:t>
      </w:r>
      <w:proofErr w:type="spellStart"/>
      <w:r>
        <w:t>Kojis</w:t>
      </w:r>
      <w:proofErr w:type="spellEnd"/>
      <w:r>
        <w:t xml:space="preserve"> et al 2017,</w:t>
      </w:r>
      <w:r>
        <w:rPr>
          <w:vertAlign w:val="superscript"/>
        </w:rPr>
        <w:footnoteReference w:id="2"/>
      </w:r>
      <w:r>
        <w:t xml:space="preserve"> </w:t>
      </w:r>
      <w:r>
        <w:lastRenderedPageBreak/>
        <w:t>we could report the sample mean of the share of fishers’ income derived from fishing with a margin of error of 2% of the population mean with a 95% confidence interval.</w:t>
      </w:r>
    </w:p>
    <w:p w:rsidR="008F7BDA" w:rsidRDefault="008F7BDA" w14:paraId="7AEBC657" w14:textId="77777777"/>
    <w:p w:rsidR="008F7BDA" w:rsidRDefault="007756A1" w14:paraId="4224EBAB" w14:textId="77777777">
      <w:pPr>
        <w:rPr>
          <w:u w:val="single"/>
        </w:rPr>
      </w:pPr>
      <w:r>
        <w:rPr>
          <w:u w:val="single"/>
        </w:rPr>
        <w:t>Unusual Problems Requiring Specialized Sampling Techniques.</w:t>
      </w:r>
    </w:p>
    <w:p w:rsidR="008F7BDA" w:rsidRDefault="008F7BDA" w14:paraId="1D71E6E6" w14:textId="77777777"/>
    <w:p w:rsidR="008F7BDA" w:rsidRDefault="007756A1" w14:paraId="35B3CEFC" w14:textId="77777777">
      <w:r>
        <w:t>We do not anticipate unusual problems that necessitate specialized sampling techniques based on our experience surveying in the region.</w:t>
      </w:r>
    </w:p>
    <w:p w:rsidR="008F7BDA" w:rsidRDefault="008F7BDA" w14:paraId="4E1873AF" w14:textId="77777777"/>
    <w:p w:rsidR="008F7BDA" w:rsidRDefault="007756A1" w14:paraId="1B1AEE1F" w14:textId="77777777">
      <w:pPr>
        <w:rPr>
          <w:u w:val="single"/>
        </w:rPr>
      </w:pPr>
      <w:r>
        <w:rPr>
          <w:u w:val="single"/>
        </w:rPr>
        <w:t>Periodic Data Collection Cycles to Reduce Burden.</w:t>
      </w:r>
    </w:p>
    <w:p w:rsidR="008F7BDA" w:rsidRDefault="008F7BDA" w14:paraId="732DE42A" w14:textId="77777777"/>
    <w:p w:rsidR="008F7BDA" w:rsidRDefault="007756A1" w14:paraId="42971558" w14:textId="77777777">
      <w:pPr>
        <w:jc w:val="both"/>
        <w:rPr>
          <w:b/>
        </w:rPr>
      </w:pPr>
      <w:r>
        <w:t xml:space="preserve">The NMFS intends to field the survey once every 5 years to reduce burden.  However, due to a variety of factors (including the increased incidence of climatic and non-climatic shocks) that affect the appropriate frequency for this survey, it is requesting approval to conduct this survey as frequently as once every three years. </w:t>
      </w:r>
    </w:p>
    <w:p w:rsidR="008F7BDA" w:rsidRDefault="008F7BDA" w14:paraId="391AB500" w14:textId="77777777">
      <w:pPr>
        <w:pBdr>
          <w:top w:val="nil"/>
          <w:left w:val="nil"/>
          <w:bottom w:val="nil"/>
          <w:right w:val="nil"/>
          <w:between w:val="nil"/>
        </w:pBdr>
        <w:rPr>
          <w:b/>
          <w:color w:val="000000"/>
        </w:rPr>
      </w:pPr>
    </w:p>
    <w:p w:rsidR="008F7BDA" w:rsidRDefault="007756A1" w14:paraId="509E8748" w14:textId="77777777">
      <w:pPr>
        <w:numPr>
          <w:ilvl w:val="0"/>
          <w:numId w:val="2"/>
        </w:numPr>
        <w:pBdr>
          <w:top w:val="nil"/>
          <w:left w:val="nil"/>
          <w:bottom w:val="nil"/>
          <w:right w:val="nil"/>
          <w:between w:val="nil"/>
        </w:pBdr>
        <w:rPr>
          <w:color w:val="000000"/>
        </w:rPr>
      </w:pPr>
      <w:r>
        <w:rPr>
          <w:b/>
          <w:color w:val="000000"/>
        </w:rPr>
        <w:t xml:space="preserve">Describe methods to maximize response rates and to deal with issues of non-response. The accuracy and reliability of information collected </w:t>
      </w:r>
      <w:proofErr w:type="gramStart"/>
      <w:r>
        <w:rPr>
          <w:b/>
          <w:color w:val="000000"/>
        </w:rPr>
        <w:t>must be shown</w:t>
      </w:r>
      <w:proofErr w:type="gramEnd"/>
      <w:r>
        <w:rPr>
          <w:b/>
          <w:color w:val="000000"/>
        </w:rPr>
        <w:t xml:space="preserve"> to be adequate for intended uses. For collections based on sampling, a special justification </w:t>
      </w:r>
      <w:proofErr w:type="gramStart"/>
      <w:r>
        <w:rPr>
          <w:b/>
          <w:color w:val="000000"/>
        </w:rPr>
        <w:t>must be provided</w:t>
      </w:r>
      <w:proofErr w:type="gramEnd"/>
      <w:r>
        <w:rPr>
          <w:b/>
          <w:color w:val="000000"/>
        </w:rPr>
        <w:t xml:space="preserve"> for any collection that will not yield "reliable" data that can be generalized to the universe studied.</w:t>
      </w:r>
    </w:p>
    <w:p w:rsidR="008F7BDA" w:rsidRDefault="008F7BDA" w14:paraId="6CB8BD87" w14:textId="77777777"/>
    <w:p w:rsidR="008F7BDA" w:rsidRDefault="007756A1" w14:paraId="064BE539" w14:textId="77777777">
      <w:r>
        <w:rPr>
          <w:u w:val="single"/>
        </w:rPr>
        <w:t>Methods Used To Maximize Response Rates:</w:t>
      </w:r>
    </w:p>
    <w:p w:rsidR="008F7BDA" w:rsidRDefault="008F7BDA" w14:paraId="28A574E1" w14:textId="77777777"/>
    <w:p w:rsidR="008F7BDA" w:rsidRDefault="007756A1" w14:paraId="6E81A5EA" w14:textId="5BE84836">
      <w:pPr>
        <w:jc w:val="both"/>
      </w:pPr>
      <w:r>
        <w:t xml:space="preserve">We have taken and plan to take additional steps to maximize response rates and to deal with non-response. First, we have worked with local port agents, which have extensive experience with </w:t>
      </w:r>
      <w:r w:rsidR="00A40FBC">
        <w:t xml:space="preserve">local </w:t>
      </w:r>
      <w:r>
        <w:t xml:space="preserve">fishing communities and practices. Earlier they reviewed the survey instrument and made several suggestions to improve its clarity, which we adopted. In addition, we will ask port agents to place signs at fishing centers alerting fishers about the impending data collection. Second, we plan to reach out Puerto Rico’s Sea Grant and ask them to inform fishers about the census in their </w:t>
      </w:r>
      <w:r>
        <w:rPr>
          <w:highlight w:val="white"/>
        </w:rPr>
        <w:t>quarterly outreach publication ‘</w:t>
      </w:r>
      <w:proofErr w:type="spellStart"/>
      <w:r>
        <w:rPr>
          <w:highlight w:val="white"/>
        </w:rPr>
        <w:t>Fuete</w:t>
      </w:r>
      <w:proofErr w:type="spellEnd"/>
      <w:r>
        <w:rPr>
          <w:highlight w:val="white"/>
        </w:rPr>
        <w:t xml:space="preserve"> y </w:t>
      </w:r>
      <w:proofErr w:type="spellStart"/>
      <w:r>
        <w:rPr>
          <w:highlight w:val="white"/>
        </w:rPr>
        <w:t>Verguilla</w:t>
      </w:r>
      <w:proofErr w:type="spellEnd"/>
      <w:r>
        <w:rPr>
          <w:highlight w:val="white"/>
        </w:rPr>
        <w:t xml:space="preserve">’. In 2010, </w:t>
      </w:r>
      <w:proofErr w:type="spellStart"/>
      <w:r>
        <w:rPr>
          <w:highlight w:val="white"/>
        </w:rPr>
        <w:t>Fuete</w:t>
      </w:r>
      <w:proofErr w:type="spellEnd"/>
      <w:r>
        <w:rPr>
          <w:highlight w:val="white"/>
        </w:rPr>
        <w:t xml:space="preserve"> y </w:t>
      </w:r>
      <w:proofErr w:type="spellStart"/>
      <w:r>
        <w:rPr>
          <w:highlight w:val="white"/>
        </w:rPr>
        <w:t>Verguilla</w:t>
      </w:r>
      <w:proofErr w:type="spellEnd"/>
      <w:r>
        <w:rPr>
          <w:highlight w:val="white"/>
        </w:rPr>
        <w:t xml:space="preserve"> provided a summary of the key results of the 2008 Puerto Rican fisher census.</w:t>
      </w:r>
      <w:r>
        <w:t xml:space="preserve"> Third, the contractor (to be determined) will be required to have considerable survey experience and familiarity with local fishing communities and practices. Fourth, in-person interviews </w:t>
      </w:r>
      <w:proofErr w:type="gramStart"/>
      <w:r>
        <w:t>will be conducted</w:t>
      </w:r>
      <w:proofErr w:type="gramEnd"/>
      <w:r>
        <w:t xml:space="preserve"> at times and places convenient to fishers. This will minimize any potential disruption to their fishing practices. Fifth, respondents </w:t>
      </w:r>
      <w:proofErr w:type="gramStart"/>
      <w:r>
        <w:t>will be asked</w:t>
      </w:r>
      <w:proofErr w:type="gramEnd"/>
      <w:r>
        <w:t xml:space="preserve"> to provide information about major gear and equipment categories only</w:t>
      </w:r>
      <w:r w:rsidR="008E3F80">
        <w:t>;</w:t>
      </w:r>
      <w:r>
        <w:t xml:space="preserve"> thus</w:t>
      </w:r>
      <w:r w:rsidR="008E3F80">
        <w:t>;</w:t>
      </w:r>
      <w:r>
        <w:t xml:space="preserve"> avoiding what respondents often perceive as unnecessary detail.  Last, surveys will be available in English and Spanish to reduce the burden to non-English speaking fishers. NMFS will require the contractor to hire several interviewers that are fluent in both English and Spanish. </w:t>
      </w:r>
    </w:p>
    <w:p w:rsidR="008F7BDA" w:rsidRDefault="008F7BDA" w14:paraId="32A9EF01" w14:textId="77777777"/>
    <w:p w:rsidR="008F7BDA" w:rsidRDefault="007756A1" w14:paraId="3C42CD0F" w14:textId="77777777">
      <w:pPr>
        <w:rPr>
          <w:u w:val="single"/>
        </w:rPr>
      </w:pPr>
      <w:r>
        <w:rPr>
          <w:u w:val="single"/>
        </w:rPr>
        <w:t>Strategy to Address Non-response</w:t>
      </w:r>
    </w:p>
    <w:p w:rsidR="008F7BDA" w:rsidRDefault="008F7BDA" w14:paraId="69C18E2A" w14:textId="77777777"/>
    <w:p w:rsidR="008F7BDA" w:rsidRDefault="007756A1" w14:paraId="4177D9AB" w14:textId="1CEE575C">
      <w:pPr>
        <w:jc w:val="both"/>
      </w:pPr>
      <w:r>
        <w:t xml:space="preserve">Besides the response maximizing strategies outlined above, we plan to ask port agents to reach out to presidents of fishing centers to underscore the importance of the census and increase rapport with local fisher populations. Our expectation is that fishing center presidents can keep reminding fishers about the importance of participating in the census. Personal contact </w:t>
      </w:r>
      <w:proofErr w:type="gramStart"/>
      <w:r>
        <w:t>has been shown</w:t>
      </w:r>
      <w:proofErr w:type="gramEnd"/>
      <w:r>
        <w:t xml:space="preserve"> to increase response rates. In addition, we plan to deal with non-response using callbacks and two-</w:t>
      </w:r>
      <w:r>
        <w:lastRenderedPageBreak/>
        <w:t xml:space="preserve">phase sampling procedures as described in several statistical textbooks such as </w:t>
      </w:r>
      <w:proofErr w:type="spellStart"/>
      <w:r>
        <w:t>Lohr’s</w:t>
      </w:r>
      <w:proofErr w:type="spellEnd"/>
      <w:r>
        <w:rPr>
          <w:vertAlign w:val="superscript"/>
        </w:rPr>
        <w:footnoteReference w:id="3"/>
      </w:r>
      <w:r>
        <w:t xml:space="preserve"> and many peer-reviewed publications. Two-phase sampling procedures minimize non-response bias by obtaining </w:t>
      </w:r>
      <w:r w:rsidR="00CE07B2">
        <w:t>(</w:t>
      </w:r>
      <w:r>
        <w:t>through intensive callback efforts</w:t>
      </w:r>
      <w:r w:rsidR="00CE07B2">
        <w:t>)</w:t>
      </w:r>
      <w:r>
        <w:t xml:space="preserve"> a sample of the non-respondents, which</w:t>
      </w:r>
      <w:r w:rsidR="00CE07B2">
        <w:t xml:space="preserve"> </w:t>
      </w:r>
      <w:proofErr w:type="gramStart"/>
      <w:r w:rsidR="00CE07B2">
        <w:t>is</w:t>
      </w:r>
      <w:r>
        <w:t xml:space="preserve"> combined</w:t>
      </w:r>
      <w:proofErr w:type="gramEnd"/>
      <w:r>
        <w:t xml:space="preserve"> with the original sample of respondents. This approach </w:t>
      </w:r>
      <w:proofErr w:type="gramStart"/>
      <w:r>
        <w:t>is used</w:t>
      </w:r>
      <w:proofErr w:type="gramEnd"/>
      <w:r>
        <w:t xml:space="preserve"> to obtain weighted means and variances of the variables of interest.  </w:t>
      </w:r>
    </w:p>
    <w:p w:rsidR="008F7BDA" w:rsidRDefault="008F7BDA" w14:paraId="17525BA9" w14:textId="77777777"/>
    <w:p w:rsidR="008F7BDA" w:rsidRDefault="007756A1" w14:paraId="4D9328FA" w14:textId="77777777">
      <w:r>
        <w:rPr>
          <w:u w:val="single"/>
        </w:rPr>
        <w:t>Adequacy of Accuracy and Reliability of Information for Intended Uses</w:t>
      </w:r>
      <w:r>
        <w:t>.</w:t>
      </w:r>
    </w:p>
    <w:p w:rsidR="008F7BDA" w:rsidRDefault="008F7BDA" w14:paraId="2197DCB5" w14:textId="77777777"/>
    <w:p w:rsidR="008F7BDA" w:rsidRDefault="007756A1" w14:paraId="59FAD615" w14:textId="7454B18B">
      <w:pPr>
        <w:jc w:val="both"/>
        <w:rPr>
          <w:b/>
        </w:rPr>
      </w:pPr>
      <w:r>
        <w:t>As noted earlier, legislative mandates do not establish the degree of accuracy required for describing the fishery participants in fishery management plans and amendments and for conducting socio-economic analyses.  The response to Question 2 describes the degree of accuracy and reliability needed for the purpose described in the response to Part A, Question 2.  That response also describes the specific uses the agency plans for the data collected.</w:t>
      </w:r>
      <w:r>
        <w:rPr>
          <w:b/>
        </w:rPr>
        <w:t xml:space="preserve"> </w:t>
      </w:r>
    </w:p>
    <w:p w:rsidR="008F7BDA" w:rsidRDefault="008F7BDA" w14:paraId="06F3C4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F7BDA" w:rsidRDefault="008F7BDA" w14:paraId="50CC6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F7BDA" w:rsidRDefault="007756A1" w14:paraId="4D059D99" w14:textId="77777777">
      <w:pPr>
        <w:numPr>
          <w:ilvl w:val="0"/>
          <w:numId w:val="2"/>
        </w:numPr>
        <w:pBdr>
          <w:top w:val="nil"/>
          <w:left w:val="nil"/>
          <w:bottom w:val="nil"/>
          <w:right w:val="nil"/>
          <w:between w:val="nil"/>
        </w:pBdr>
        <w:jc w:val="both"/>
        <w:rPr>
          <w:color w:val="000000"/>
        </w:rPr>
      </w:pPr>
      <w:r>
        <w:rPr>
          <w:b/>
          <w:color w:val="000000"/>
        </w:rPr>
        <w:t xml:space="preserve">Describe any tests of procedures or methods to be undertaken. Testing is encouraged as an effective means of refining collections of information to minimize burden and improve utility. Tests </w:t>
      </w:r>
      <w:proofErr w:type="gramStart"/>
      <w:r>
        <w:rPr>
          <w:b/>
          <w:color w:val="000000"/>
        </w:rPr>
        <w:t>must be approved</w:t>
      </w:r>
      <w:proofErr w:type="gramEnd"/>
      <w:r>
        <w:rPr>
          <w:b/>
          <w:color w:val="000000"/>
        </w:rPr>
        <w:t xml:space="preserve"> if they call for answers to identical questions from 10 or more respondents. A proposed test or set of tests </w:t>
      </w:r>
      <w:proofErr w:type="gramStart"/>
      <w:r>
        <w:rPr>
          <w:b/>
          <w:color w:val="000000"/>
        </w:rPr>
        <w:t>may be submitted</w:t>
      </w:r>
      <w:proofErr w:type="gramEnd"/>
      <w:r>
        <w:rPr>
          <w:b/>
          <w:color w:val="000000"/>
        </w:rPr>
        <w:t xml:space="preserve"> for approval separately or in combination with the main collection of information.</w:t>
      </w:r>
    </w:p>
    <w:p w:rsidR="008F7BDA" w:rsidRDefault="008F7BDA" w14:paraId="6B7BC268" w14:textId="77777777">
      <w:pPr>
        <w:jc w:val="both"/>
      </w:pPr>
    </w:p>
    <w:p w:rsidR="008F7BDA" w:rsidRDefault="007756A1" w14:paraId="05DE0918" w14:textId="77777777">
      <w:pPr>
        <w:jc w:val="both"/>
      </w:pPr>
      <w:r>
        <w:t xml:space="preserve">We have successfully conducted this data collection before (see, </w:t>
      </w:r>
      <w:proofErr w:type="spellStart"/>
      <w:r>
        <w:t>Kojis</w:t>
      </w:r>
      <w:proofErr w:type="spellEnd"/>
      <w:r>
        <w:t xml:space="preserve"> et al., 2017).  No tests </w:t>
      </w:r>
      <w:proofErr w:type="gramStart"/>
      <w:r>
        <w:t>are planned</w:t>
      </w:r>
      <w:proofErr w:type="gramEnd"/>
      <w:r>
        <w:t xml:space="preserve"> in this iteration.</w:t>
      </w:r>
    </w:p>
    <w:p w:rsidR="008F7BDA" w:rsidRDefault="008F7BDA" w14:paraId="320F94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F7BDA" w:rsidRDefault="007756A1" w14:paraId="1AB4F7AA" w14:textId="77777777">
      <w:pPr>
        <w:numPr>
          <w:ilvl w:val="0"/>
          <w:numId w:val="2"/>
        </w:numPr>
        <w:pBdr>
          <w:top w:val="nil"/>
          <w:left w:val="nil"/>
          <w:bottom w:val="nil"/>
          <w:right w:val="nil"/>
          <w:between w:val="nil"/>
        </w:pBdr>
      </w:pPr>
      <w:r>
        <w:rPr>
          <w:b/>
          <w:color w:val="000000"/>
        </w:rPr>
        <w:t>Provide the name and telephone number of individuals consulted on the statistical aspects of the design, and the name of the agency unit, contractor(s), grantee(s), or other person(s) who will actually collect and/or analyze the information for the agency.</w:t>
      </w:r>
    </w:p>
    <w:p w:rsidR="008F7BDA" w:rsidRDefault="008F7BDA" w14:paraId="2B8E02C2" w14:textId="77777777"/>
    <w:p w:rsidR="008F7BDA" w:rsidRDefault="007756A1" w14:paraId="020CA9B1" w14:textId="77777777">
      <w:r>
        <w:t xml:space="preserve">Dr. Juan Agar </w:t>
      </w:r>
      <w:proofErr w:type="gramStart"/>
      <w:r>
        <w:t>was consulted</w:t>
      </w:r>
      <w:proofErr w:type="gramEnd"/>
      <w:r>
        <w:t xml:space="preserve"> on the statistical aspects of the study design. NMFS social scientists and CFMC staff will use the data collected for regulatory analysis. Dr. Juan Agar </w:t>
      </w:r>
      <w:proofErr w:type="gramStart"/>
      <w:r>
        <w:t>can be reached</w:t>
      </w:r>
      <w:proofErr w:type="gramEnd"/>
      <w:r>
        <w:t xml:space="preserve"> at 305-361-4218.</w:t>
      </w:r>
    </w:p>
    <w:p w:rsidR="008F7BDA" w:rsidRDefault="008F7BDA" w14:paraId="3AD69D47" w14:textId="77777777"/>
    <w:p w:rsidR="008F7BDA" w:rsidRDefault="007756A1" w14:paraId="565C8C8D" w14:textId="77777777">
      <w:r>
        <w:t xml:space="preserve">Dr. </w:t>
      </w:r>
      <w:proofErr w:type="spellStart"/>
      <w:r>
        <w:t>Manoj</w:t>
      </w:r>
      <w:proofErr w:type="spellEnd"/>
      <w:r>
        <w:t xml:space="preserve"> </w:t>
      </w:r>
      <w:proofErr w:type="spellStart"/>
      <w:r>
        <w:t>Shivlani</w:t>
      </w:r>
      <w:proofErr w:type="spellEnd"/>
      <w:r>
        <w:t xml:space="preserve">, Department of Marine Ecosystems and Society, University of Miami, Miami, Florida  33149.  Dr. </w:t>
      </w:r>
      <w:proofErr w:type="spellStart"/>
      <w:r>
        <w:t>Shivalani</w:t>
      </w:r>
      <w:proofErr w:type="spellEnd"/>
      <w:r>
        <w:t xml:space="preserve"> </w:t>
      </w:r>
      <w:proofErr w:type="gramStart"/>
      <w:r>
        <w:t>can be reached</w:t>
      </w:r>
      <w:proofErr w:type="gramEnd"/>
      <w:r>
        <w:t xml:space="preserve"> at 305-968-7136.</w:t>
      </w:r>
    </w:p>
    <w:p w:rsidR="008F7BDA" w:rsidRDefault="008F7BDA" w14:paraId="3788F34F" w14:textId="77777777"/>
    <w:p w:rsidR="008F7BDA" w:rsidRDefault="007756A1" w14:paraId="1BEB01BB" w14:textId="77777777">
      <w:r>
        <w:t xml:space="preserve">Contractors/interviewers are yet to be determined. </w:t>
      </w:r>
    </w:p>
    <w:sectPr w:rsidR="008F7BD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01877" w14:textId="77777777" w:rsidR="00FF02BA" w:rsidRDefault="00FF02BA">
      <w:r>
        <w:separator/>
      </w:r>
    </w:p>
  </w:endnote>
  <w:endnote w:type="continuationSeparator" w:id="0">
    <w:p w14:paraId="51D59420" w14:textId="77777777" w:rsidR="00FF02BA" w:rsidRDefault="00FF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Malgun Gothic Semilight"/>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E23A" w14:textId="77C2A504" w:rsidR="008F7BDA" w:rsidRDefault="007756A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569AD">
      <w:rPr>
        <w:noProof/>
        <w:color w:val="000000"/>
      </w:rPr>
      <w:t>5</w:t>
    </w:r>
    <w:r>
      <w:rPr>
        <w:color w:val="000000"/>
      </w:rPr>
      <w:fldChar w:fldCharType="end"/>
    </w:r>
  </w:p>
  <w:p w14:paraId="2803ACC8" w14:textId="77777777" w:rsidR="008F7BDA" w:rsidRDefault="008F7BD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0C311" w14:textId="77777777" w:rsidR="00FF02BA" w:rsidRDefault="00FF02BA">
      <w:r>
        <w:separator/>
      </w:r>
    </w:p>
  </w:footnote>
  <w:footnote w:type="continuationSeparator" w:id="0">
    <w:p w14:paraId="320ADFF3" w14:textId="77777777" w:rsidR="00FF02BA" w:rsidRDefault="00FF02BA">
      <w:r>
        <w:continuationSeparator/>
      </w:r>
    </w:p>
  </w:footnote>
  <w:footnote w:id="1">
    <w:p w14:paraId="1182AAB7" w14:textId="77777777" w:rsidR="008F7BDA" w:rsidRDefault="007756A1">
      <w:pPr>
        <w:rPr>
          <w:sz w:val="22"/>
          <w:szCs w:val="22"/>
        </w:rPr>
      </w:pPr>
      <w:r>
        <w:rPr>
          <w:vertAlign w:val="superscript"/>
        </w:rPr>
        <w:footnoteRef/>
      </w:r>
      <w:r>
        <w:rPr>
          <w:sz w:val="22"/>
          <w:szCs w:val="22"/>
        </w:rPr>
        <w:t xml:space="preserve"> </w:t>
      </w:r>
      <w:proofErr w:type="spellStart"/>
      <w:r>
        <w:rPr>
          <w:sz w:val="22"/>
          <w:szCs w:val="22"/>
        </w:rPr>
        <w:t>Kojis</w:t>
      </w:r>
      <w:proofErr w:type="spellEnd"/>
      <w:r>
        <w:rPr>
          <w:sz w:val="22"/>
          <w:szCs w:val="22"/>
        </w:rPr>
        <w:t>, B., N. Quinn, and J. Agar 2017. Census of licensed commercial fishers of the U.S. Virgin Islands (2016). NOAA Technical Memorandum NMFS-SEFSC-715, 160 p. doi:10.7289/V5/TM-SEFSC-715</w:t>
      </w:r>
    </w:p>
    <w:p w14:paraId="5CDBF4B0" w14:textId="77777777" w:rsidR="008F7BDA" w:rsidRDefault="008F7BDA">
      <w:pPr>
        <w:widowControl/>
        <w:pBdr>
          <w:top w:val="nil"/>
          <w:left w:val="nil"/>
          <w:bottom w:val="nil"/>
          <w:right w:val="nil"/>
          <w:between w:val="nil"/>
        </w:pBdr>
        <w:rPr>
          <w:color w:val="000000"/>
        </w:rPr>
      </w:pPr>
    </w:p>
  </w:footnote>
  <w:footnote w:id="2">
    <w:p w14:paraId="7D46E557" w14:textId="77777777" w:rsidR="008F7BDA" w:rsidRDefault="007756A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With a finite population correction factor, the associated margin of error for a 95% confidence interval for the mean ratio cost is +/- 1.96 </w:t>
      </w:r>
      <w:r>
        <w:rPr>
          <w:rFonts w:ascii="Cambria Math" w:eastAsia="Cambria Math" w:hAnsi="Cambria Math" w:cs="Cambria Math"/>
          <w:color w:val="000000"/>
          <w:sz w:val="20"/>
          <w:szCs w:val="20"/>
        </w:rPr>
        <w:t>〖</w:t>
      </w:r>
      <w:r>
        <w:rPr>
          <w:color w:val="000000"/>
          <w:sz w:val="20"/>
          <w:szCs w:val="20"/>
        </w:rPr>
        <w:t>CV</w:t>
      </w:r>
      <w:r>
        <w:rPr>
          <w:rFonts w:ascii="Cambria Math" w:eastAsia="Cambria Math" w:hAnsi="Cambria Math" w:cs="Cambria Math"/>
          <w:color w:val="000000"/>
          <w:sz w:val="20"/>
          <w:szCs w:val="20"/>
        </w:rPr>
        <w:t>〗</w:t>
      </w:r>
      <w:r>
        <w:rPr>
          <w:rFonts w:ascii="Gungsuh" w:eastAsia="Gungsuh" w:hAnsi="Gungsuh" w:cs="Gungsuh"/>
          <w:color w:val="000000"/>
          <w:sz w:val="20"/>
          <w:szCs w:val="20"/>
        </w:rPr>
        <w:t xml:space="preserve">_X √((N-n)/(n(N-1))) .  </w:t>
      </w:r>
    </w:p>
  </w:footnote>
  <w:footnote w:id="3">
    <w:p w14:paraId="23D93FE8" w14:textId="1233866B" w:rsidR="008F7BDA" w:rsidRDefault="007756A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Lohr</w:t>
      </w:r>
      <w:proofErr w:type="spellEnd"/>
      <w:r>
        <w:rPr>
          <w:color w:val="000000"/>
          <w:sz w:val="20"/>
          <w:szCs w:val="20"/>
        </w:rPr>
        <w:t>, S., 1998. Sampling: design and analysis</w:t>
      </w:r>
      <w:r w:rsidR="009A1570">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9140" w14:textId="77777777" w:rsidR="008F7BDA" w:rsidRDefault="008F7BDA">
    <w:pPr>
      <w:pBdr>
        <w:top w:val="nil"/>
        <w:left w:val="nil"/>
        <w:bottom w:val="nil"/>
        <w:right w:val="nil"/>
        <w:between w:val="nil"/>
      </w:pBdr>
      <w:tabs>
        <w:tab w:val="center" w:pos="4680"/>
        <w:tab w:val="right" w:pos="9360"/>
      </w:tabs>
      <w:jc w:val="center"/>
      <w:rPr>
        <w:color w:val="000000"/>
      </w:rPr>
    </w:pPr>
  </w:p>
  <w:p w14:paraId="2FB2FBA0" w14:textId="77777777" w:rsidR="008F7BDA" w:rsidRDefault="008F7BD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0C7A"/>
    <w:multiLevelType w:val="multilevel"/>
    <w:tmpl w:val="CC964DB6"/>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1" w15:restartNumberingAfterBreak="0">
    <w:nsid w:val="57FD3D5C"/>
    <w:multiLevelType w:val="multilevel"/>
    <w:tmpl w:val="50FA212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DA"/>
    <w:rsid w:val="00110E12"/>
    <w:rsid w:val="0033283A"/>
    <w:rsid w:val="003554DE"/>
    <w:rsid w:val="003569AD"/>
    <w:rsid w:val="003E1283"/>
    <w:rsid w:val="00456C49"/>
    <w:rsid w:val="004B6F33"/>
    <w:rsid w:val="005A35AE"/>
    <w:rsid w:val="00661BB0"/>
    <w:rsid w:val="007756A1"/>
    <w:rsid w:val="007C21FA"/>
    <w:rsid w:val="007D33E8"/>
    <w:rsid w:val="0083747E"/>
    <w:rsid w:val="00866D9C"/>
    <w:rsid w:val="008E3F80"/>
    <w:rsid w:val="008E6F0A"/>
    <w:rsid w:val="008F7BDA"/>
    <w:rsid w:val="009236C5"/>
    <w:rsid w:val="009A1570"/>
    <w:rsid w:val="00A40FBC"/>
    <w:rsid w:val="00A7183B"/>
    <w:rsid w:val="00AA18F7"/>
    <w:rsid w:val="00AE087B"/>
    <w:rsid w:val="00B91DDA"/>
    <w:rsid w:val="00C61A63"/>
    <w:rsid w:val="00C64D21"/>
    <w:rsid w:val="00C920C7"/>
    <w:rsid w:val="00CD4309"/>
    <w:rsid w:val="00CE07B2"/>
    <w:rsid w:val="00D51315"/>
    <w:rsid w:val="00EC1975"/>
    <w:rsid w:val="00F55A0C"/>
    <w:rsid w:val="00FF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1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1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51315"/>
    <w:rPr>
      <w:b/>
      <w:bCs/>
    </w:rPr>
  </w:style>
  <w:style w:type="character" w:customStyle="1" w:styleId="CommentSubjectChar">
    <w:name w:val="Comment Subject Char"/>
    <w:basedOn w:val="CommentTextChar"/>
    <w:link w:val="CommentSubject"/>
    <w:uiPriority w:val="99"/>
    <w:semiHidden/>
    <w:rsid w:val="00D513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A2EEC-7B98-4CD5-89A9-5C0E06D6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2021-05-20T16:05:00Z</dcterms:created>
  <dcterms:modified xsi:type="dcterms:W3CDTF">2021-05-24T20:05:00Z</dcterms:modified>
</cp:coreProperties>
</file>