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463" w:rsidP="00386463" w:rsidRDefault="00386463">
      <w:pPr>
        <w:pStyle w:val="IEcChapterHead"/>
      </w:pPr>
      <w:r>
        <w:t>Appendix C  |  Other Compliance Requirements</w:t>
      </w:r>
    </w:p>
    <w:p w:rsidR="00386463" w:rsidP="00386463" w:rsidRDefault="00386463">
      <w:pPr>
        <w:pStyle w:val="IEcNormalText"/>
      </w:pPr>
      <w:r>
        <w:t xml:space="preserve">As required by applicable statutes and executive orders, this section summarizes analyses of equity considerations and other regulatory concerns associated with the Final Rule. This section assesses potential impacts, with respect to the following issues: </w:t>
      </w:r>
    </w:p>
    <w:p w:rsidR="00386463" w:rsidP="00386463" w:rsidRDefault="00386463">
      <w:pPr>
        <w:pStyle w:val="IEcBulletText"/>
      </w:pPr>
      <w:r>
        <w:rPr>
          <w:b/>
        </w:rPr>
        <w:t>Energy Impacts:</w:t>
      </w:r>
      <w:r>
        <w:t xml:space="preserve"> examines the impacts of the Final Rule on energy use, supply, and distribution as mandated </w:t>
      </w:r>
      <w:r>
        <w:rPr>
          <w:rFonts w:cs="NKFDLE+TimesNewRoman"/>
          <w:szCs w:val="22"/>
        </w:rPr>
        <w:t xml:space="preserve">under </w:t>
      </w:r>
      <w:r>
        <w:rPr>
          <w:szCs w:val="22"/>
        </w:rPr>
        <w:t>Executive</w:t>
      </w:r>
      <w:r>
        <w:rPr>
          <w:rFonts w:cs="NKFDLE+TimesNewRoman"/>
          <w:szCs w:val="22"/>
        </w:rPr>
        <w:t xml:space="preserve"> Order 13211 (66 FR 28355, May 22, 2001)</w:t>
      </w:r>
      <w:r>
        <w:t>;</w:t>
      </w:r>
    </w:p>
    <w:p w:rsidR="00386463" w:rsidP="00386463" w:rsidRDefault="00386463">
      <w:pPr>
        <w:pStyle w:val="IEcBulletText"/>
      </w:pPr>
      <w:r>
        <w:rPr>
          <w:b/>
        </w:rPr>
        <w:t>Paperwork reduction</w:t>
      </w:r>
      <w:r>
        <w:t>: examines the requirements of the Final Rule for paperwork collections as required by the PRA;</w:t>
      </w:r>
    </w:p>
    <w:p w:rsidR="00386463" w:rsidP="00386463" w:rsidRDefault="00386463">
      <w:pPr>
        <w:pStyle w:val="IEcBulletText"/>
      </w:pPr>
      <w:r>
        <w:rPr>
          <w:b/>
        </w:rPr>
        <w:t>Unfunded mandates:</w:t>
      </w:r>
      <w:r>
        <w:t xml:space="preserve"> examines the implications of the Final Rule with respect to unfunded mandates as required </w:t>
      </w:r>
      <w:r>
        <w:rPr>
          <w:szCs w:val="22"/>
        </w:rPr>
        <w:t>by</w:t>
      </w:r>
      <w:r>
        <w:t xml:space="preserve"> the Unfunded Mandates Reform Act (UMRA);</w:t>
      </w:r>
    </w:p>
    <w:p w:rsidR="00386463" w:rsidP="00386463" w:rsidRDefault="00386463">
      <w:pPr>
        <w:pStyle w:val="IEcBulletText"/>
      </w:pPr>
      <w:r>
        <w:rPr>
          <w:b/>
        </w:rPr>
        <w:t>Environmental justice:</w:t>
      </w:r>
      <w:r>
        <w:t xml:space="preserve"> considers potential </w:t>
      </w:r>
      <w:r>
        <w:rPr>
          <w:szCs w:val="22"/>
        </w:rPr>
        <w:t>issues</w:t>
      </w:r>
      <w:r>
        <w:t xml:space="preserve"> for minority and low-income populations as required under E.O. 12898;</w:t>
      </w:r>
    </w:p>
    <w:p w:rsidR="00386463" w:rsidP="00386463" w:rsidRDefault="00386463">
      <w:pPr>
        <w:pStyle w:val="IEcBulletText"/>
      </w:pPr>
      <w:r>
        <w:rPr>
          <w:b/>
          <w:bCs/>
        </w:rPr>
        <w:t xml:space="preserve">Children's health protection: </w:t>
      </w:r>
      <w:r>
        <w:t xml:space="preserve">examines </w:t>
      </w:r>
      <w:r>
        <w:rPr>
          <w:szCs w:val="22"/>
        </w:rPr>
        <w:t>the</w:t>
      </w:r>
      <w:r>
        <w:t xml:space="preserve"> potential impact of the Final Rule on the health of children in order to comply with E.O. 13045; </w:t>
      </w:r>
    </w:p>
    <w:p w:rsidR="00386463" w:rsidP="00386463" w:rsidRDefault="00386463">
      <w:pPr>
        <w:pStyle w:val="IEcBulletText"/>
      </w:pPr>
      <w:r>
        <w:rPr>
          <w:b/>
        </w:rPr>
        <w:t>Tribal governments:</w:t>
      </w:r>
      <w:r>
        <w:t xml:space="preserve"> </w:t>
      </w:r>
      <w:r>
        <w:rPr>
          <w:rStyle w:val="IEcNormalTextChar"/>
        </w:rPr>
        <w:t>extends the discussion of federal unfunded mandates to include impacts on Native American tribal governments and their communities as mandated under E.O. 13175, “Consultation and Coordination With Indian Tribal Governments” (May 14, 1998);</w:t>
      </w:r>
    </w:p>
    <w:p w:rsidR="00386463" w:rsidP="00386463" w:rsidRDefault="00386463">
      <w:pPr>
        <w:pStyle w:val="IEcBulletText"/>
      </w:pPr>
      <w:r>
        <w:rPr>
          <w:b/>
        </w:rPr>
        <w:t>Federalism:</w:t>
      </w:r>
      <w:r>
        <w:t xml:space="preserve"> considers potential issues </w:t>
      </w:r>
      <w:r>
        <w:rPr>
          <w:szCs w:val="22"/>
        </w:rPr>
        <w:t>related</w:t>
      </w:r>
      <w:r>
        <w:t xml:space="preserve"> to state sovereignty as required under E.O. 13132; and</w:t>
      </w:r>
    </w:p>
    <w:p w:rsidR="00386463" w:rsidP="00386463" w:rsidRDefault="00386463">
      <w:pPr>
        <w:pStyle w:val="IEcBulletText"/>
      </w:pPr>
      <w:r>
        <w:rPr>
          <w:b/>
        </w:rPr>
        <w:t>Cumulative Impacts:</w:t>
      </w:r>
      <w:r>
        <w:t xml:space="preserve"> considers the cumulative impacts of regulations, specifically costs, as required under E.O 12866 and E.O. 13563.</w:t>
      </w:r>
    </w:p>
    <w:p w:rsidR="00386463" w:rsidP="00386463" w:rsidRDefault="00386463">
      <w:pPr>
        <w:pStyle w:val="Heading1"/>
      </w:pPr>
      <w:r>
        <w:t>C.1</w:t>
      </w:r>
      <w:r>
        <w:tab/>
        <w:t xml:space="preserve">Effects on the Nation’s Energy Supply (Executive Order 13211) Actions Concerning Regulations That Significantly Affect Energy Supply, Distribution, or Use. </w:t>
      </w:r>
    </w:p>
    <w:p w:rsidR="00386463" w:rsidP="00386463" w:rsidRDefault="00386463">
      <w:pPr>
        <w:pStyle w:val="IEcNormalText"/>
      </w:pPr>
      <w:r>
        <w:t xml:space="preserve">Under E.O. 13211 (66 FR 28355, May 22, 2001), agencies are required to prepare and submit to OMB a Statement of Energy Effects for significant energy actions. This should include a detailed statement of any adverse effects on energy supply, distribution, or use (including a shortfall in supply, price increases, and increased use of foreign supplies) expected to result from the action and a discussion of reasonable alternatives and their effects. </w:t>
      </w:r>
    </w:p>
    <w:p w:rsidR="00386463" w:rsidP="00386463" w:rsidRDefault="00386463">
      <w:pPr>
        <w:pStyle w:val="IEcNormalText"/>
      </w:pPr>
      <w:r>
        <w:lastRenderedPageBreak/>
        <w:t>The Office of Management and Budget provides guidance for implementing this Executive Order, outlining outcomes that may constitute “a significant adverse effect” when compared with the regulatory action under consideration:</w:t>
      </w:r>
    </w:p>
    <w:p w:rsidR="00386463" w:rsidP="00386463" w:rsidRDefault="00386463">
      <w:pPr>
        <w:pStyle w:val="IEcBulletText"/>
      </w:pPr>
      <w:r>
        <w:t>Reductions in crude oil supply in excess of 10,000 barrels per day (bbls);</w:t>
      </w:r>
    </w:p>
    <w:p w:rsidR="00386463" w:rsidP="00386463" w:rsidRDefault="00386463">
      <w:pPr>
        <w:pStyle w:val="IEcBulletText"/>
      </w:pPr>
      <w:r>
        <w:t>Reductions in fuel production in excess of 4,000 barrels per day;</w:t>
      </w:r>
    </w:p>
    <w:p w:rsidR="00386463" w:rsidP="00386463" w:rsidRDefault="00386463">
      <w:pPr>
        <w:pStyle w:val="IEcBulletText"/>
      </w:pPr>
      <w:r>
        <w:t>Reductions in coal production in excess of five million tons per year;</w:t>
      </w:r>
    </w:p>
    <w:p w:rsidR="00386463" w:rsidP="00386463" w:rsidRDefault="00386463">
      <w:pPr>
        <w:pStyle w:val="IEcBulletText"/>
      </w:pPr>
      <w:r>
        <w:t>Reductions in natural gas production in excess of 25 million Mcf per year;</w:t>
      </w:r>
    </w:p>
    <w:p w:rsidR="00386463" w:rsidP="00386463" w:rsidRDefault="00386463">
      <w:pPr>
        <w:pStyle w:val="IEcBulletText"/>
      </w:pPr>
      <w:r>
        <w:t>Reductions in electricity production in excess of one billion kilowatts-hours per year or in excess of 500 megawatts of installed capacity;</w:t>
      </w:r>
    </w:p>
    <w:p w:rsidR="00386463" w:rsidP="00386463" w:rsidRDefault="00386463">
      <w:pPr>
        <w:pStyle w:val="IEcBulletText"/>
      </w:pPr>
      <w:r>
        <w:t>Increases in energy use required by the regulatory action that exceed the thresholds above;</w:t>
      </w:r>
    </w:p>
    <w:p w:rsidR="00386463" w:rsidP="00386463" w:rsidRDefault="00386463">
      <w:pPr>
        <w:pStyle w:val="IEcBulletText"/>
      </w:pPr>
      <w:r>
        <w:t>Increases in the cost of energy production in excess of one percent;</w:t>
      </w:r>
    </w:p>
    <w:p w:rsidR="00386463" w:rsidP="00386463" w:rsidRDefault="00386463">
      <w:pPr>
        <w:pStyle w:val="IEcBulletText"/>
      </w:pPr>
      <w:r>
        <w:t>Increases in the cost of energy distribution in excess of one percent; or</w:t>
      </w:r>
    </w:p>
    <w:p w:rsidR="00386463" w:rsidP="00386463" w:rsidRDefault="00386463">
      <w:pPr>
        <w:pStyle w:val="IEcBulletText"/>
      </w:pPr>
      <w:r>
        <w:t>Other similarly adverse outcomes.</w:t>
      </w:r>
    </w:p>
    <w:p w:rsidR="00386463" w:rsidP="00386463" w:rsidRDefault="00386463">
      <w:pPr>
        <w:pStyle w:val="IEcNormalText"/>
      </w:pPr>
      <w:r>
        <w:t>Or if the regulation:</w:t>
      </w:r>
    </w:p>
    <w:p w:rsidR="00386463" w:rsidP="00386463" w:rsidRDefault="00386463">
      <w:pPr>
        <w:pStyle w:val="IEcBulletText"/>
      </w:pPr>
      <w:r>
        <w:t>Adversely affects in a material way the productivity, competition, or prices in the energy sector;</w:t>
      </w:r>
    </w:p>
    <w:p w:rsidR="00386463" w:rsidP="00386463" w:rsidRDefault="00386463">
      <w:pPr>
        <w:pStyle w:val="IEcBulletText"/>
      </w:pPr>
      <w:r>
        <w:t xml:space="preserve">Adversely affects in a material way productivity, competition or prices within a region; </w:t>
      </w:r>
    </w:p>
    <w:p w:rsidR="00386463" w:rsidP="00386463" w:rsidRDefault="00386463">
      <w:pPr>
        <w:pStyle w:val="IEcBulletText"/>
      </w:pPr>
      <w:r>
        <w:t>Creates a serious inconsistency or otherwise interferes with an action taken or planned by another agency regarding energy; or</w:t>
      </w:r>
    </w:p>
    <w:p w:rsidR="00386463" w:rsidP="00386463" w:rsidRDefault="00386463">
      <w:pPr>
        <w:pStyle w:val="IEcBulletText"/>
      </w:pPr>
      <w:r>
        <w:t>Raises novel legal or policy issues adversely affecting the supply, distribution or use of energy arising out of legal mandates, the President’s priorities, or the principles set forth in Executive Orders 12866 and 13211.</w:t>
      </w:r>
      <w:r>
        <w:rPr>
          <w:rStyle w:val="FootnoteReference"/>
        </w:rPr>
        <w:footnoteReference w:id="1"/>
      </w:r>
      <w:r>
        <w:rPr>
          <w:rFonts w:ascii="ZWAdobeF" w:hAnsi="ZWAdobeF" w:cs="ZWAdobeF"/>
          <w:sz w:val="2"/>
        </w:rPr>
        <w:t>P</w:t>
      </w:r>
    </w:p>
    <w:p w:rsidR="00386463" w:rsidP="00386463" w:rsidRDefault="00386463">
      <w:pPr>
        <w:pStyle w:val="IEcNormalText"/>
        <w:tabs>
          <w:tab w:val="left" w:pos="5220"/>
        </w:tabs>
      </w:pPr>
      <w:r>
        <w:t>The MMPA Rule governing G&amp;G activities in the GOM, as described in Chapter 1 of this analysis, would require additional mitigation measures protecting marine mammals as part of seismic surveys for oil and gas exploration and development. Specifically, for deep penetration seismic airgun surveys, the MMPA rule prescribes use of 24-hour Passive Acoustic Monitoring (PAM) in waters deeper than 100 meters. In addition, the MMPA rule requires a variety of expanded PSO mitigation requirements for deep penetration, shallow penetration, and non-airgun HRG surveys.</w:t>
      </w:r>
    </w:p>
    <w:p w:rsidR="00386463" w:rsidP="00386463" w:rsidRDefault="00386463">
      <w:pPr>
        <w:pStyle w:val="IEcNormalText"/>
      </w:pPr>
      <w:r>
        <w:t>As detailed in Chapter 4, the annualized direct compliance costs range from $23 million to $76 million over the rule’s five-year timeframe (assuming a seven percent discount rate).</w:t>
      </w:r>
      <w:r>
        <w:rPr>
          <w:rStyle w:val="FootnoteReference"/>
        </w:rPr>
        <w:footnoteReference w:id="2"/>
      </w:r>
      <w:r>
        <w:t xml:space="preserve"> Total present value costs over the five-year timeframe range from $101 million to </w:t>
      </w:r>
      <w:r>
        <w:lastRenderedPageBreak/>
        <w:t>$335 million (assuming a seven percent discount rate). The expected increase in the direct cost of G&amp;G surveys under the Final Rule, however, is unlikely to materially reduce the level of oil and gas development in the Gulf of Mexico, given that the costs of G&amp;G activities are relatively minor compared to expenditures on drilling, engineering, installation of platforms, and production operations. For instance, Quest Offshore (2014) estimates that G&amp;G activities would account for only three percent of total spending on oil and gas activities in the Eastern Gulf over a 19 year timeframe if the current moratorium were lifted.</w:t>
      </w:r>
      <w:r>
        <w:rPr>
          <w:rStyle w:val="FootnoteReference"/>
        </w:rPr>
        <w:footnoteReference w:id="3"/>
      </w:r>
      <w:r>
        <w:rPr>
          <w:rStyle w:val="FootnoteReference"/>
        </w:rPr>
        <w:t>,</w:t>
      </w:r>
      <w:r>
        <w:rPr>
          <w:rStyle w:val="FootnoteReference"/>
        </w:rPr>
        <w:footnoteReference w:id="4"/>
      </w:r>
      <w:r>
        <w:rPr>
          <w:vertAlign w:val="superscript"/>
        </w:rPr>
        <w:t xml:space="preserve"> </w:t>
      </w:r>
      <w:r>
        <w:t>Consequently, a 7 percent increase in G&amp;G costs, as estimated under the Final Rule for some surveys, would represent only a 0.2 percent increase in oil and gas development costs overall.</w:t>
      </w:r>
      <w:r>
        <w:rPr>
          <w:rStyle w:val="FootnoteReference"/>
        </w:rPr>
        <w:footnoteReference w:id="5"/>
      </w:r>
      <w:r>
        <w:t xml:space="preserve"> Personal communication with IAGC and API confirmed that the direct compliance costs of the regulatory requirements are unlikely to result in materially reduced oil and gas activities in the Gulf of Mexico.</w:t>
      </w:r>
      <w:r>
        <w:rPr>
          <w:rStyle w:val="FootnoteReference"/>
        </w:rPr>
        <w:footnoteReference w:id="6"/>
      </w:r>
    </w:p>
    <w:p w:rsidR="00386463" w:rsidP="00386463" w:rsidRDefault="00386463">
      <w:pPr>
        <w:pStyle w:val="IEcNormalText"/>
      </w:pPr>
      <w:r>
        <w:t>While the increases in G&amp;G survey costs under the Final Rule are unlikely to materially affect the level of oil and gas development activity in the GOM, the seasonal and year-round area closures have the potential to generate reductions in leasing, exploration, and subsequent development activity. While the timeframe of this rule covers just five years (2020-2024), any reductions in seismic data gathering during that five-year period could result in delayed development of oil and gas resources beyond that five-year timeframe. That is, limiting where G&amp;G surveys can occur over the next five years can have implications on oil and gas development activity in the following years.</w:t>
      </w:r>
    </w:p>
    <w:p w:rsidR="00386463" w:rsidP="00386463" w:rsidRDefault="00386463">
      <w:pPr>
        <w:pStyle w:val="IEcNormalText"/>
      </w:pPr>
      <w:r>
        <w:t>The likelihood of the seasonal restrictions and area closures affecting G&amp;G survey levels and, ultimately, oil and gas production is dependent on the factors outlined below. Each of these factors is subject to substantial uncertainty. It would therefore be speculative to draw definitive conclusions regarding the economic impacts of seasonal restrictions and area closures.</w:t>
      </w:r>
    </w:p>
    <w:p w:rsidR="00386463" w:rsidP="00386463" w:rsidRDefault="00386463">
      <w:pPr>
        <w:pStyle w:val="IEcBulletText"/>
      </w:pPr>
      <w:r>
        <w:rPr>
          <w:b/>
        </w:rPr>
        <w:t xml:space="preserve">Oil and gas market conditions: </w:t>
      </w:r>
      <w:r>
        <w:t>Demand for G&amp;G data is driven by demand for oil and gas. As described in Chapter 2, recent years have seen a reduction in demand due to relatively low oil prices. Because the oil market tends to be somewhat cyclical, the forecast for future G&amp;G activity reflects the assumption that production of GOM oil and gas will rise in the future with increases in the price of oil, though the timing for this is highly uncertain. In other words, production of oil and gas from the GOM over the narrow timeframe of this analysis is not known with reasonable precision to quantify potential impacts.</w:t>
      </w:r>
    </w:p>
    <w:p w:rsidR="00386463" w:rsidP="00386463" w:rsidRDefault="00386463">
      <w:pPr>
        <w:pStyle w:val="IEcBulletText"/>
      </w:pPr>
      <w:r>
        <w:rPr>
          <w:b/>
        </w:rPr>
        <w:lastRenderedPageBreak/>
        <w:t>Relative importance of the area closures to oil and gas production:</w:t>
      </w:r>
      <w:r>
        <w:t xml:space="preserve"> The economic implications of seasonal restrictions and area closures depend most directly on the level of activity that would overlap these areas, within the context of broader GOM G&amp;G activity, absent the rule. The forecast of G&amp;G activity levels is not spatially precise within GOM Planning Areas. However, as an indicator of the relative importance of these GOM areas to oil and gas production in the past, the discussion Section 4.3 of this analysis provides recent historical information on the relative levels of exploration, development and production.</w:t>
      </w:r>
    </w:p>
    <w:p w:rsidR="00386463" w:rsidP="00386463" w:rsidRDefault="00386463">
      <w:pPr>
        <w:pStyle w:val="IEcBulletText"/>
      </w:pPr>
      <w:r>
        <w:rPr>
          <w:b/>
        </w:rPr>
        <w:t xml:space="preserve">The state of existing G&amp;G data covering the areas: </w:t>
      </w:r>
      <w:r>
        <w:t>Importantly, the seasonal restrictions and area closures do not directly restrict other offshore oil and gas exploration and development activities, only seismic surveys. Seismic data do exist for the area closures; however, we understand that some of the data are dated and therefore new surveys are required to facilitate efficient exploration and development decisions in these areas. Information specifying the vintage of current seismic data for the closure areas is not available. Therefore, whether existing data are sufficient, or whether exploration, development and ultimate oil and gas production would be delayed in these areas due to restrictions on G&amp;G activities over the next five years is uncertain.</w:t>
      </w:r>
    </w:p>
    <w:p w:rsidR="00386463" w:rsidP="00386463" w:rsidRDefault="00386463">
      <w:pPr>
        <w:pStyle w:val="IEcNormalText"/>
      </w:pPr>
      <w:r>
        <w:t>In summary, quantifying the impacts of precluding G&amp;G surveys in the Final Rule closure areas over the timeframe of the rule would be speculative in light of the layered uncertainties described above. In particular, demand for new survey data for affected areas in the Eastern Planning Area, while likely to increase over the timeframe of this analysis, is uncertain. In recent history, these areas have not been the target of the oil and gas industry, in particular, due to the moratorium established under the Gulf of Mexico Energy Security Act of 2006 (GOMESA). Oil and gas development has occurred primarily in the Central and Western Planning Areas of the GOM. As these areas become developed, however, the industry is likely to expand into the Eastern Planning Area given the estimated UTRR. Additionally, BOEM’s 2019 to 2024 Draft Proposed Program includes lease sales in the GOMESA Moratorium areas in 2023 and 2024. If these lease sales are included in the Proposed Final Program, then Eastern GOM is likely to attract increased interest from the oil and gas industry.</w:t>
      </w:r>
    </w:p>
    <w:p w:rsidR="00386463" w:rsidP="00386463" w:rsidRDefault="00386463">
      <w:pPr>
        <w:pStyle w:val="IEcNormalText"/>
      </w:pPr>
      <w:r>
        <w:t xml:space="preserve">While the timeframe of this rule is five years, if the Eastern Planning Closure Area were available for leasing while seismic activity is prohibited, companies may be hesitant to risk capital investments. Absent the ability to gather updated seismic data over the five-year time of the rule, future production of currently undiscovered hydrocarbon resources may be delayed even beyond the timeframe of the rule and could represent a social welfare loss. Quantification of potential welfare losses is difficult due to the uncertainties surrounding the quantity of undiscovered resources in the year-round closure areas, future oil and gas prices, and the likelihood of future lease sales within the GOMESA Moratorium areas. </w:t>
      </w:r>
    </w:p>
    <w:p w:rsidR="00386463" w:rsidP="00386463" w:rsidRDefault="00386463">
      <w:pPr>
        <w:pStyle w:val="IEcNormalText"/>
      </w:pPr>
      <w:r>
        <w:t xml:space="preserve">Overall, however, within the five-year timeframe of the analysis, the Final Rule is not expected to constitute a significant adverse effect on energy supply, distribution or use according to the thresholds described above, given the overlapping moratorium covering </w:t>
      </w:r>
      <w:r>
        <w:lastRenderedPageBreak/>
        <w:t xml:space="preserve">the Eastern Planning Area for half the rule timeframe and that the direct compliance costs represent a small fraction (on the order of less than one percent) of the total costs of exploration and development in the GOM.  </w:t>
      </w:r>
    </w:p>
    <w:p w:rsidR="00386463" w:rsidP="00386463" w:rsidRDefault="00386463">
      <w:pPr>
        <w:pStyle w:val="Heading1"/>
      </w:pPr>
      <w:r>
        <w:t>C.2</w:t>
      </w:r>
      <w:r>
        <w:tab/>
        <w:t>Paperwork Reduction Act</w:t>
      </w:r>
    </w:p>
    <w:p w:rsidR="00386463" w:rsidP="00386463" w:rsidRDefault="00386463">
      <w:pPr>
        <w:pStyle w:val="IEcNormalText"/>
      </w:pPr>
      <w:r>
        <w:t>The Paperwork Reduction Act (PRA) and its implementing regulations require OMB clearance for any planned information collections. The PRA of 1995 requires that agencies obtain OMB approval before requesting most types of information from the public. “Information collections” include forms, interviews, record-keeping requirements, and a wide variety of other instances.</w:t>
      </w:r>
      <w:r>
        <w:rPr>
          <w:sz w:val="23"/>
          <w:szCs w:val="23"/>
        </w:rPr>
        <w:t xml:space="preserve"> </w:t>
      </w:r>
      <w:r>
        <w:t xml:space="preserve">In the PRA the term “persons” includes more than individual people: corporations, universities, state and local agencies, associations, etc., as well as individuals. </w:t>
      </w:r>
    </w:p>
    <w:p w:rsidR="00386463" w:rsidP="00386463" w:rsidRDefault="00386463">
      <w:pPr>
        <w:pStyle w:val="IEcNormalText"/>
      </w:pPr>
      <w:r>
        <w:t>This submission requests clearance to impose new recordkeeping and reporting requirements contained in the Final Rule. These requirements are associated with existing requirements that have previously been cleared under 0648-0151 (Applications and Reporting Requirements for the Incidental Take of Marine Mammals by Specified Activities (other than Commercial Fishing operations) under the Marine Mammal Protection Act),</w:t>
      </w:r>
      <w:r>
        <w:rPr>
          <w:rFonts w:eastAsia="Times New Roman"/>
          <w:sz w:val="30"/>
          <w:szCs w:val="30"/>
        </w:rPr>
        <w:t xml:space="preserve"> </w:t>
      </w:r>
      <w:r>
        <w:t xml:space="preserve">approved in March 2014. The new information collection adds recordkeeping and reporting requirements pursuant to the collection of information by PSOs for particular survey types (non-airgun HRG surveys), as well as collection and reporting of PAM information. These additional requirements are required by statute to assist in minimization of </w:t>
      </w:r>
      <w:r>
        <w:rPr>
          <w:szCs w:val="22"/>
        </w:rPr>
        <w:t>unintentional take of marine mammals incidental to G&amp;G activities in GOM waters.</w:t>
      </w:r>
    </w:p>
    <w:p w:rsidR="00386463" w:rsidP="00386463" w:rsidRDefault="00386463">
      <w:pPr>
        <w:pStyle w:val="Heading2"/>
      </w:pPr>
      <w:bookmarkStart w:name="_Toc464037349" w:id="0"/>
      <w:r>
        <w:t>C.2.1  Information Requested</w:t>
      </w:r>
      <w:bookmarkEnd w:id="0"/>
    </w:p>
    <w:p w:rsidR="00386463" w:rsidP="00386463" w:rsidRDefault="00386463">
      <w:pPr>
        <w:pStyle w:val="IEcNormalText"/>
      </w:pPr>
      <w:r>
        <w:t xml:space="preserve">This section describes the </w:t>
      </w:r>
      <w:r>
        <w:rPr>
          <w:u w:val="single"/>
        </w:rPr>
        <w:t>incremental</w:t>
      </w:r>
      <w:r>
        <w:t xml:space="preserve"> information collection requirements applicable to entities that will be affected by the Final Rule.</w:t>
      </w:r>
    </w:p>
    <w:p w:rsidR="00386463" w:rsidP="00386463" w:rsidRDefault="00386463">
      <w:pPr>
        <w:pStyle w:val="Heading2"/>
      </w:pPr>
      <w:bookmarkStart w:name="_Toc464037356" w:id="1"/>
      <w:r>
        <w:t>C.2.2  Identifying the Respondent Universe</w:t>
      </w:r>
      <w:bookmarkEnd w:id="1"/>
    </w:p>
    <w:p w:rsidR="00386463" w:rsidP="00386463" w:rsidRDefault="00386463">
      <w:pPr>
        <w:pStyle w:val="IEcNormalText"/>
      </w:pPr>
      <w:r>
        <w:t>The regulated universe includes companies conducting acoustic G&amp;G surveys in the Gulf of Mexico during the time period for the analysis. As presented elsewhere, this analysis forecasts that 103 to 151 G&amp;G surveys will take place annually on average over the next five years that would be subject to potential paperwork requirements. Appendix B details characteristics of these entities in more detail.</w:t>
      </w:r>
    </w:p>
    <w:p w:rsidR="00386463" w:rsidP="00386463" w:rsidRDefault="00386463">
      <w:pPr>
        <w:pStyle w:val="Heading2"/>
      </w:pPr>
      <w:r>
        <w:t>C.2.3  Estimating the Hour and Cost Burden of the Collection</w:t>
      </w:r>
    </w:p>
    <w:p w:rsidR="00386463" w:rsidP="00386463" w:rsidRDefault="00386463">
      <w:pPr>
        <w:pStyle w:val="IEcNormalText"/>
      </w:pPr>
      <w:r>
        <w:t xml:space="preserve">In this section, we estimate the total average annual respondent and government agency hour and cost burden for all information collection requirements covered in this PRA for the first five years after the implementation of the rule. The PRA presents the cost burden for both the respondent universe and implementing government agencies on an annual basis. Exhibits C-1 through C-4 provide estimates of the respondents’ burden and Agency review hour and cost burden associated with these information collection and recordkeeping requirements. </w:t>
      </w:r>
    </w:p>
    <w:p w:rsidR="00386463" w:rsidP="00386463" w:rsidRDefault="00386463">
      <w:pPr>
        <w:pStyle w:val="IEcNormalText"/>
      </w:pPr>
      <w:r>
        <w:lastRenderedPageBreak/>
        <w:t>The Final Rule includes three elements that will require incremental information collection burden:</w:t>
      </w:r>
    </w:p>
    <w:p w:rsidR="00386463" w:rsidP="00386463" w:rsidRDefault="00386463">
      <w:pPr>
        <w:pStyle w:val="IEcBulletText"/>
      </w:pPr>
      <w:r>
        <w:t>PSOs will need to be present for non-airgun HRG surveys (which would not be required under the baseline). These PSOs will need to develop and submit reports to BOEM;</w:t>
      </w:r>
    </w:p>
    <w:p w:rsidR="00386463" w:rsidP="00386463" w:rsidRDefault="00386463">
      <w:pPr>
        <w:pStyle w:val="IEcBulletText"/>
      </w:pPr>
      <w:r>
        <w:t>PSOs will need to be present for seismic airgun surveys occurring in water depths less than 200 meters (which would not be required under the pre-settlement agreement baseline). These PSOs will need to develop and submit reports to BOEM.</w:t>
      </w:r>
    </w:p>
    <w:p w:rsidR="00386463" w:rsidP="00386463" w:rsidRDefault="00386463">
      <w:pPr>
        <w:pStyle w:val="IEcBulletText"/>
      </w:pPr>
      <w:r>
        <w:t xml:space="preserve">PAM will be required to be used at all times for deep penetration airgun surveys in water depths greater than 100 meters, which represents an increase in use when compared with baseline requirements. PAM operators are required for these efforts. The Final Rule will require reports of marine mammal detections associated with this incremental usage of PAM. </w:t>
      </w:r>
    </w:p>
    <w:p w:rsidR="00386463" w:rsidP="00386463" w:rsidRDefault="00386463">
      <w:pPr>
        <w:pStyle w:val="IEcNormalText"/>
      </w:pPr>
      <w:r>
        <w:t xml:space="preserve">The Final Rule will also generate some cost savings due to reduced administrative effort required to obtain incidental take authorization. As discussed in Chapter 4, absent the rule, G&amp;G surveys in the GOM would be required to apply for an Incidental Harassment Authorization (IHA). On the other hand, a Letter of Authorization (LOA) is required for harassment that is planned as part of future actions for up to five years (e.g., for a rulemaking). Under the Final Rule, NMFS will issue a LOA covering G&amp;G surveys in the GOM that comply with the rule requirements, precluding the need for IHAs for each survey. In this way, the rule will reduce the administrative effort required of industry and regulatory agencies to acquire the necessary authorization for incidental take of marine mammals over the five-year timeframe of the rule. The potential for this reduced administrative effort to result in cost savings would offset some of the additional information collection burden associated with the Final Rule. Absent information on the relative administrative effort for IHAs in the GOM versus an LOA for this rule, we do not quantify these cost savings but note that this contributes to an overall conservative estimate of the direct costs of the Final Rule. </w:t>
      </w:r>
    </w:p>
    <w:p w:rsidR="00386463" w:rsidP="00386463" w:rsidRDefault="00386463">
      <w:pPr>
        <w:pStyle w:val="Heading3"/>
        <w:ind w:left="1440"/>
      </w:pPr>
      <w:r>
        <w:t>Industry Costs</w:t>
      </w:r>
    </w:p>
    <w:p w:rsidR="00386463" w:rsidP="00386463" w:rsidRDefault="00386463">
      <w:pPr>
        <w:pStyle w:val="IEcNormalText"/>
      </w:pPr>
      <w:r>
        <w:t>For purposes of this analysis, we assume the following costs will be borne by the G&amp;G industry:</w:t>
      </w:r>
    </w:p>
    <w:p w:rsidR="00386463" w:rsidP="00386463" w:rsidRDefault="00386463">
      <w:pPr>
        <w:pStyle w:val="IEcBulletText"/>
      </w:pPr>
      <w:r>
        <w:t>PSO rates are assumed to range from $212-$531 per day (or $18 to $44 per hour assuming a 12-hour day).</w:t>
      </w:r>
    </w:p>
    <w:p w:rsidR="00386463" w:rsidP="00386463" w:rsidRDefault="00386463">
      <w:pPr>
        <w:pStyle w:val="IEcBulletText"/>
        <w:rPr>
          <w:szCs w:val="22"/>
        </w:rPr>
      </w:pPr>
      <w:r>
        <w:rPr>
          <w:szCs w:val="22"/>
        </w:rPr>
        <w:t xml:space="preserve">A day rate </w:t>
      </w:r>
      <w:r>
        <w:t>for a PAM operator is assumed to range from $319-$637 per hour (or $27 to $53 per hour assuming a 12-hour day).</w:t>
      </w:r>
    </w:p>
    <w:p w:rsidR="00386463" w:rsidP="00386463" w:rsidRDefault="00386463">
      <w:pPr>
        <w:pStyle w:val="Heading3"/>
        <w:ind w:left="1440"/>
      </w:pPr>
      <w:r>
        <w:lastRenderedPageBreak/>
        <w:t>Government Costs</w:t>
      </w:r>
    </w:p>
    <w:p w:rsidR="00386463" w:rsidP="00386463" w:rsidRDefault="00386463">
      <w:pPr>
        <w:pStyle w:val="IEcBulletText"/>
        <w:rPr>
          <w:szCs w:val="22"/>
        </w:rPr>
      </w:pPr>
      <w:r>
        <w:t>We assume that incremental government agency review will require 1/2 hour of GS-13 level time.</w:t>
      </w:r>
      <w:r>
        <w:rPr>
          <w:rStyle w:val="FootnoteReference"/>
        </w:rPr>
        <w:footnoteReference w:id="7"/>
      </w:r>
      <w:r>
        <w:rPr>
          <w:szCs w:val="22"/>
        </w:rPr>
        <w:t xml:space="preserve"> </w:t>
      </w:r>
    </w:p>
    <w:p w:rsidR="00386463" w:rsidP="00386463" w:rsidRDefault="00386463">
      <w:pPr>
        <w:pStyle w:val="IEcBulletText"/>
      </w:pPr>
      <w:r>
        <w:t>We assume that government agency review of additional PSO reports will require one hour of GS-13 level time per report.</w:t>
      </w:r>
      <w:r>
        <w:rPr>
          <w:rStyle w:val="FootnoteReference"/>
        </w:rPr>
        <w:footnoteReference w:id="8"/>
      </w:r>
      <w:r>
        <w:t xml:space="preserve"> </w:t>
      </w:r>
    </w:p>
    <w:p w:rsidR="00386463" w:rsidP="00386463" w:rsidRDefault="00386463">
      <w:pPr>
        <w:pStyle w:val="IEcBulletText"/>
      </w:pPr>
      <w:r>
        <w:t>We assume that government agency review of additional PAM reporting will require 0.5 hours of GS-13 level time per report.</w:t>
      </w:r>
      <w:r>
        <w:rPr>
          <w:rStyle w:val="FootnoteReference"/>
        </w:rPr>
        <w:footnoteReference w:id="9"/>
      </w:r>
      <w:r>
        <w:t xml:space="preserve"> </w:t>
      </w:r>
    </w:p>
    <w:p w:rsidR="00386463" w:rsidP="00386463" w:rsidRDefault="00386463">
      <w:pPr>
        <w:pStyle w:val="IEcBulletText"/>
      </w:pPr>
      <w:r>
        <w:t>We assume that PAM/PSO reports will be prepared.</w:t>
      </w:r>
    </w:p>
    <w:p w:rsidR="00386463" w:rsidP="00386463" w:rsidRDefault="00386463">
      <w:pPr>
        <w:pStyle w:val="IEcBulletText"/>
      </w:pPr>
      <w:r>
        <w:t>This may overstate actual review time for individual reports but provides an approximate estimate of the increased level of government time required.</w:t>
      </w:r>
    </w:p>
    <w:p w:rsidR="00386463" w:rsidP="00386463" w:rsidRDefault="00386463">
      <w:pPr>
        <w:pStyle w:val="IEcNormalText"/>
      </w:pPr>
      <w:r>
        <w:t xml:space="preserve">Using these assumptions, the PRA estimates the average annual industry burden for all surveys will be $1.6 million to $16.4 million. Total government burden will be $5,600 to $13,000 (undiscounted dollars). Total additional information collection costs are estimated to be approximately be $1.6 million to $16.4 million annually (undiscounted dollars), or $1.4 million to $14.7 million when discounted at a 3 percent rate, or $1.5 million to $16.5 million when discounted at a 7 percent rate. </w:t>
      </w:r>
    </w:p>
    <w:p w:rsidR="00386463" w:rsidP="00386463" w:rsidRDefault="00386463">
      <w:pPr>
        <w:pStyle w:val="para"/>
        <w:ind w:firstLine="0"/>
      </w:pPr>
    </w:p>
    <w:p w:rsidR="00386463" w:rsidP="00386463" w:rsidRDefault="00386463">
      <w:pPr>
        <w:pStyle w:val="para"/>
        <w:ind w:firstLine="0"/>
        <w:sectPr w:rsidR="00386463">
          <w:headerReference w:type="default" r:id="rId7"/>
          <w:footerReference w:type="default" r:id="rId8"/>
          <w:headerReference w:type="first" r:id="rId9"/>
          <w:footerReference w:type="first" r:id="rId10"/>
          <w:pgSz w:w="12240" w:h="15840"/>
          <w:pgMar w:top="1440" w:right="1080" w:bottom="432" w:left="3226" w:header="576" w:footer="576" w:gutter="0"/>
          <w:pgNumType w:start="1"/>
          <w:cols w:space="720"/>
          <w:docGrid w:linePitch="299"/>
        </w:sectPr>
      </w:pPr>
    </w:p>
    <w:p w:rsidR="00386463" w:rsidP="00386463" w:rsidRDefault="00386463">
      <w:pPr>
        <w:pStyle w:val="IEcExhibitTitle"/>
        <w:spacing w:after="0"/>
        <w:ind w:left="1440"/>
        <w:rPr>
          <w:bCs/>
        </w:rPr>
      </w:pPr>
      <w:r>
        <w:rPr>
          <w:bCs/>
        </w:rPr>
        <w:lastRenderedPageBreak/>
        <w:t>Exhibit C-1.</w:t>
      </w:r>
      <w:r>
        <w:rPr>
          <w:bCs/>
        </w:rPr>
        <w:tab/>
        <w:t>Expected incremental Industry Data Collection BURDEN, average annual hours, 2021-2025</w:t>
      </w:r>
      <w:r>
        <w:rPr>
          <w:bCs/>
        </w:rPr>
        <w:br/>
      </w:r>
    </w:p>
    <w:tbl>
      <w:tblPr>
        <w:tblW w:w="5000" w:type="pct"/>
        <w:tblBorders>
          <w:top w:val="single" w:color="002060" w:sz="4" w:space="0"/>
          <w:left w:val="single" w:color="002060" w:sz="4" w:space="0"/>
          <w:bottom w:val="single" w:color="002060" w:sz="4" w:space="0"/>
          <w:right w:val="single" w:color="002060" w:sz="4" w:space="0"/>
          <w:insideH w:val="single" w:color="A6A6A6" w:themeColor="background1" w:themeShade="A6" w:sz="4" w:space="0"/>
          <w:insideV w:val="single" w:color="002060" w:sz="4" w:space="0"/>
        </w:tblBorders>
        <w:tblLayout w:type="fixed"/>
        <w:tblLook w:val="04A0" w:firstRow="1" w:lastRow="0" w:firstColumn="1" w:lastColumn="0" w:noHBand="0" w:noVBand="1"/>
      </w:tblPr>
      <w:tblGrid>
        <w:gridCol w:w="1520"/>
        <w:gridCol w:w="1593"/>
        <w:gridCol w:w="1238"/>
        <w:gridCol w:w="1150"/>
        <w:gridCol w:w="1150"/>
        <w:gridCol w:w="1098"/>
        <w:gridCol w:w="927"/>
        <w:gridCol w:w="842"/>
        <w:gridCol w:w="1215"/>
        <w:gridCol w:w="1145"/>
        <w:gridCol w:w="1072"/>
      </w:tblGrid>
      <w:tr w:rsidR="00386463" w:rsidTr="003F30F6">
        <w:trPr>
          <w:trHeight w:val="20"/>
        </w:trPr>
        <w:tc>
          <w:tcPr>
            <w:tcW w:w="587" w:type="pct"/>
            <w:vMerge w:val="restart"/>
            <w:tcBorders>
              <w:top w:val="single" w:color="002060" w:sz="4" w:space="0"/>
            </w:tcBorders>
            <w:shd w:val="clear" w:color="auto" w:fill="DDEBF9"/>
            <w:noWrap/>
            <w:vAlign w:val="bottom"/>
          </w:tcPr>
          <w:p w:rsidR="00386463" w:rsidP="003F30F6" w:rsidRDefault="00386463">
            <w:pPr>
              <w:pStyle w:val="IEcChartHeading"/>
              <w:jc w:val="center"/>
            </w:pPr>
            <w:r>
              <w:t>Survey Type</w:t>
            </w:r>
          </w:p>
        </w:tc>
        <w:tc>
          <w:tcPr>
            <w:tcW w:w="615" w:type="pct"/>
            <w:vMerge w:val="restart"/>
            <w:tcBorders>
              <w:top w:val="single" w:color="002060" w:sz="4" w:space="0"/>
            </w:tcBorders>
            <w:shd w:val="clear" w:color="auto" w:fill="DDEBF9"/>
            <w:vAlign w:val="bottom"/>
          </w:tcPr>
          <w:p w:rsidR="00386463" w:rsidP="003F30F6" w:rsidRDefault="00386463">
            <w:pPr>
              <w:pStyle w:val="IEcChartHeading"/>
              <w:jc w:val="center"/>
            </w:pPr>
            <w:r>
              <w:t>Water Depth</w:t>
            </w:r>
          </w:p>
        </w:tc>
        <w:tc>
          <w:tcPr>
            <w:tcW w:w="922" w:type="pct"/>
            <w:gridSpan w:val="2"/>
            <w:tcBorders>
              <w:top w:val="single" w:color="002060" w:sz="4" w:space="0"/>
              <w:bottom w:val="single" w:color="A6A6A6" w:themeColor="background1" w:themeShade="A6" w:sz="4" w:space="0"/>
            </w:tcBorders>
            <w:shd w:val="clear" w:color="auto" w:fill="DDEBF9"/>
            <w:noWrap/>
            <w:vAlign w:val="bottom"/>
          </w:tcPr>
          <w:p w:rsidR="00386463" w:rsidP="003F30F6" w:rsidRDefault="00386463">
            <w:pPr>
              <w:pStyle w:val="IEcChartHeading"/>
              <w:jc w:val="center"/>
            </w:pPr>
            <w:r>
              <w:t>Number of Surveys (Average Annual)</w:t>
            </w:r>
            <w:r>
              <w:rPr>
                <w:vertAlign w:val="superscript"/>
              </w:rPr>
              <w:t>1</w:t>
            </w:r>
          </w:p>
        </w:tc>
        <w:tc>
          <w:tcPr>
            <w:tcW w:w="868" w:type="pct"/>
            <w:gridSpan w:val="2"/>
            <w:tcBorders>
              <w:top w:val="single" w:color="002060" w:sz="4" w:space="0"/>
              <w:bottom w:val="single" w:color="000000" w:themeColor="text1" w:sz="12" w:space="0"/>
            </w:tcBorders>
            <w:shd w:val="clear" w:color="auto" w:fill="DDEBF9"/>
          </w:tcPr>
          <w:p w:rsidR="00386463" w:rsidP="003F30F6" w:rsidRDefault="00386463">
            <w:pPr>
              <w:pStyle w:val="IEcChartHeading"/>
              <w:jc w:val="center"/>
            </w:pPr>
            <w:r>
              <w:t>Incremental Number of PSOs/PAM Operators Per Vessel</w:t>
            </w:r>
            <w:r>
              <w:rPr>
                <w:vertAlign w:val="superscript"/>
              </w:rPr>
              <w:t>2</w:t>
            </w:r>
          </w:p>
        </w:tc>
        <w:tc>
          <w:tcPr>
            <w:tcW w:w="683" w:type="pct"/>
            <w:gridSpan w:val="2"/>
            <w:tcBorders>
              <w:top w:val="single" w:color="002060" w:sz="4" w:space="0"/>
              <w:bottom w:val="single" w:color="A6A6A6" w:themeColor="background1" w:themeShade="A6" w:sz="4" w:space="0"/>
            </w:tcBorders>
            <w:shd w:val="clear" w:color="auto" w:fill="DDEBF9"/>
            <w:noWrap/>
            <w:vAlign w:val="bottom"/>
          </w:tcPr>
          <w:p w:rsidR="00386463" w:rsidP="003F30F6" w:rsidRDefault="00386463">
            <w:pPr>
              <w:pStyle w:val="IEcChartHeading"/>
              <w:jc w:val="center"/>
            </w:pPr>
            <w:r>
              <w:t>Number of Vessels per Survey</w:t>
            </w:r>
          </w:p>
        </w:tc>
        <w:tc>
          <w:tcPr>
            <w:tcW w:w="469" w:type="pct"/>
            <w:vMerge w:val="restart"/>
            <w:tcBorders>
              <w:top w:val="single" w:color="002060" w:sz="4" w:space="0"/>
            </w:tcBorders>
            <w:shd w:val="clear" w:color="auto" w:fill="DDEBF9"/>
            <w:vAlign w:val="bottom"/>
          </w:tcPr>
          <w:p w:rsidR="00386463" w:rsidP="003F30F6" w:rsidRDefault="00386463">
            <w:pPr>
              <w:pStyle w:val="IEcChartHeading"/>
              <w:jc w:val="center"/>
            </w:pPr>
            <w:r>
              <w:t>Duration on Water (Days)</w:t>
            </w:r>
            <w:r>
              <w:rPr>
                <w:vertAlign w:val="superscript"/>
              </w:rPr>
              <w:t>3</w:t>
            </w:r>
          </w:p>
        </w:tc>
        <w:tc>
          <w:tcPr>
            <w:tcW w:w="856" w:type="pct"/>
            <w:gridSpan w:val="2"/>
            <w:tcBorders>
              <w:top w:val="single" w:color="002060" w:sz="4" w:space="0"/>
              <w:bottom w:val="single" w:color="A6A6A6" w:themeColor="background1" w:themeShade="A6" w:sz="4" w:space="0"/>
            </w:tcBorders>
            <w:shd w:val="clear" w:color="auto" w:fill="DDEBF9"/>
            <w:noWrap/>
            <w:vAlign w:val="bottom"/>
          </w:tcPr>
          <w:p w:rsidR="00386463" w:rsidP="003F30F6" w:rsidRDefault="00386463">
            <w:pPr>
              <w:pStyle w:val="IEcChartHeading"/>
              <w:jc w:val="center"/>
            </w:pPr>
            <w:r>
              <w:t>Incremental PAM/PSO Information Collection Hours (Average Annual)</w:t>
            </w:r>
            <w:r>
              <w:rPr>
                <w:vertAlign w:val="superscript"/>
              </w:rPr>
              <w:t>4</w:t>
            </w:r>
          </w:p>
        </w:tc>
      </w:tr>
      <w:tr w:rsidR="00386463" w:rsidTr="003F30F6">
        <w:trPr>
          <w:trHeight w:val="20"/>
        </w:trPr>
        <w:tc>
          <w:tcPr>
            <w:tcW w:w="587" w:type="pct"/>
            <w:vMerge/>
            <w:tcBorders>
              <w:bottom w:val="single" w:color="000000" w:themeColor="text1" w:sz="12" w:space="0"/>
            </w:tcBorders>
            <w:shd w:val="clear" w:color="auto" w:fill="DDEBF9"/>
            <w:noWrap/>
            <w:vAlign w:val="center"/>
          </w:tcPr>
          <w:p w:rsidR="00386463" w:rsidP="003F30F6" w:rsidRDefault="00386463">
            <w:pPr>
              <w:pStyle w:val="IEcChartText"/>
            </w:pPr>
          </w:p>
        </w:tc>
        <w:tc>
          <w:tcPr>
            <w:tcW w:w="615" w:type="pct"/>
            <w:vMerge/>
            <w:tcBorders>
              <w:bottom w:val="single" w:color="000000" w:themeColor="text1" w:sz="12" w:space="0"/>
            </w:tcBorders>
            <w:shd w:val="clear" w:color="auto" w:fill="DDEBF9"/>
            <w:vAlign w:val="center"/>
          </w:tcPr>
          <w:p w:rsidR="00386463" w:rsidP="003F30F6" w:rsidRDefault="00386463">
            <w:pPr>
              <w:pStyle w:val="IEcChartText"/>
            </w:pPr>
          </w:p>
        </w:tc>
        <w:tc>
          <w:tcPr>
            <w:tcW w:w="478" w:type="pct"/>
            <w:tcBorders>
              <w:top w:val="single" w:color="A6A6A6" w:themeColor="background1" w:themeShade="A6" w:sz="4" w:space="0"/>
              <w:bottom w:val="single" w:color="000000" w:themeColor="text1" w:sz="12" w:space="0"/>
            </w:tcBorders>
            <w:shd w:val="clear" w:color="auto" w:fill="DDEBF9"/>
            <w:noWrap/>
            <w:vAlign w:val="bottom"/>
          </w:tcPr>
          <w:p w:rsidR="00386463" w:rsidP="003F30F6" w:rsidRDefault="00386463">
            <w:pPr>
              <w:pStyle w:val="IEcChartSubHead"/>
              <w:jc w:val="center"/>
            </w:pPr>
            <w:r>
              <w:t>Low</w:t>
            </w:r>
          </w:p>
        </w:tc>
        <w:tc>
          <w:tcPr>
            <w:tcW w:w="444" w:type="pct"/>
            <w:tcBorders>
              <w:top w:val="single" w:color="A6A6A6" w:themeColor="background1" w:themeShade="A6" w:sz="4" w:space="0"/>
              <w:bottom w:val="single" w:color="000000" w:themeColor="text1" w:sz="12" w:space="0"/>
            </w:tcBorders>
            <w:shd w:val="clear" w:color="auto" w:fill="DDEBF9"/>
            <w:noWrap/>
            <w:vAlign w:val="bottom"/>
          </w:tcPr>
          <w:p w:rsidR="00386463" w:rsidP="003F30F6" w:rsidRDefault="00386463">
            <w:pPr>
              <w:pStyle w:val="IEcChartSubHead"/>
              <w:jc w:val="center"/>
            </w:pPr>
            <w:r>
              <w:t>High</w:t>
            </w:r>
          </w:p>
        </w:tc>
        <w:tc>
          <w:tcPr>
            <w:tcW w:w="444" w:type="pct"/>
            <w:tcBorders>
              <w:top w:val="single" w:color="A6A6A6" w:themeColor="background1" w:themeShade="A6" w:sz="4" w:space="0"/>
              <w:bottom w:val="single" w:color="000000" w:themeColor="text1" w:sz="12" w:space="0"/>
            </w:tcBorders>
            <w:shd w:val="clear" w:color="auto" w:fill="DDEBF9"/>
          </w:tcPr>
          <w:p w:rsidR="00386463" w:rsidP="003F30F6" w:rsidRDefault="00386463">
            <w:pPr>
              <w:pStyle w:val="IEcChartSubHead"/>
              <w:jc w:val="center"/>
            </w:pPr>
            <w:r>
              <w:t>PSO</w:t>
            </w:r>
          </w:p>
        </w:tc>
        <w:tc>
          <w:tcPr>
            <w:tcW w:w="424" w:type="pct"/>
            <w:tcBorders>
              <w:top w:val="single" w:color="A6A6A6" w:themeColor="background1" w:themeShade="A6" w:sz="4" w:space="0"/>
              <w:bottom w:val="single" w:color="000000" w:themeColor="text1" w:sz="12" w:space="0"/>
            </w:tcBorders>
            <w:shd w:val="clear" w:color="auto" w:fill="DDEBF9"/>
            <w:noWrap/>
            <w:vAlign w:val="bottom"/>
          </w:tcPr>
          <w:p w:rsidR="00386463" w:rsidP="003F30F6" w:rsidRDefault="00386463">
            <w:pPr>
              <w:pStyle w:val="IEcChartSubHead"/>
              <w:jc w:val="center"/>
            </w:pPr>
            <w:r>
              <w:t>PAM</w:t>
            </w:r>
          </w:p>
        </w:tc>
        <w:tc>
          <w:tcPr>
            <w:tcW w:w="358" w:type="pct"/>
            <w:tcBorders>
              <w:top w:val="single" w:color="A6A6A6" w:themeColor="background1" w:themeShade="A6" w:sz="4" w:space="0"/>
              <w:bottom w:val="single" w:color="000000" w:themeColor="text1" w:sz="12" w:space="0"/>
            </w:tcBorders>
            <w:shd w:val="clear" w:color="auto" w:fill="DDEBF9"/>
            <w:noWrap/>
            <w:vAlign w:val="bottom"/>
          </w:tcPr>
          <w:p w:rsidR="00386463" w:rsidP="003F30F6" w:rsidRDefault="00386463">
            <w:pPr>
              <w:pStyle w:val="IEcChartSubHead"/>
              <w:jc w:val="center"/>
            </w:pPr>
            <w:r>
              <w:t>Low</w:t>
            </w:r>
          </w:p>
        </w:tc>
        <w:tc>
          <w:tcPr>
            <w:tcW w:w="325" w:type="pct"/>
            <w:tcBorders>
              <w:top w:val="single" w:color="A6A6A6" w:themeColor="background1" w:themeShade="A6" w:sz="4" w:space="0"/>
              <w:bottom w:val="single" w:color="000000" w:themeColor="text1" w:sz="12" w:space="0"/>
            </w:tcBorders>
            <w:shd w:val="clear" w:color="auto" w:fill="DDEBF9"/>
            <w:vAlign w:val="bottom"/>
          </w:tcPr>
          <w:p w:rsidR="00386463" w:rsidP="003F30F6" w:rsidRDefault="00386463">
            <w:pPr>
              <w:pStyle w:val="IEcChartSubHead"/>
              <w:jc w:val="center"/>
            </w:pPr>
            <w:r>
              <w:t>High</w:t>
            </w:r>
          </w:p>
        </w:tc>
        <w:tc>
          <w:tcPr>
            <w:tcW w:w="469" w:type="pct"/>
            <w:vMerge/>
            <w:tcBorders>
              <w:bottom w:val="single" w:color="000000" w:themeColor="text1" w:sz="12" w:space="0"/>
            </w:tcBorders>
            <w:shd w:val="clear" w:color="auto" w:fill="DDEBF9"/>
            <w:vAlign w:val="bottom"/>
          </w:tcPr>
          <w:p w:rsidR="00386463" w:rsidP="003F30F6" w:rsidRDefault="00386463">
            <w:pPr>
              <w:pStyle w:val="IEcChartSubHead"/>
              <w:jc w:val="center"/>
            </w:pPr>
          </w:p>
        </w:tc>
        <w:tc>
          <w:tcPr>
            <w:tcW w:w="442" w:type="pct"/>
            <w:tcBorders>
              <w:top w:val="single" w:color="A6A6A6" w:themeColor="background1" w:themeShade="A6" w:sz="4" w:space="0"/>
              <w:bottom w:val="single" w:color="000000" w:themeColor="text1" w:sz="12" w:space="0"/>
            </w:tcBorders>
            <w:shd w:val="clear" w:color="auto" w:fill="DDEBF9"/>
            <w:noWrap/>
            <w:vAlign w:val="bottom"/>
          </w:tcPr>
          <w:p w:rsidR="00386463" w:rsidP="003F30F6" w:rsidRDefault="00386463">
            <w:pPr>
              <w:pStyle w:val="IEcChartSubHead"/>
              <w:jc w:val="center"/>
            </w:pPr>
            <w:r>
              <w:t>Low</w:t>
            </w:r>
          </w:p>
        </w:tc>
        <w:tc>
          <w:tcPr>
            <w:tcW w:w="414" w:type="pct"/>
            <w:tcBorders>
              <w:top w:val="single" w:color="A6A6A6" w:themeColor="background1" w:themeShade="A6" w:sz="4" w:space="0"/>
              <w:bottom w:val="single" w:color="000000" w:themeColor="text1" w:sz="12" w:space="0"/>
            </w:tcBorders>
            <w:shd w:val="clear" w:color="auto" w:fill="DDEBF9"/>
            <w:noWrap/>
            <w:vAlign w:val="bottom"/>
          </w:tcPr>
          <w:p w:rsidR="00386463" w:rsidP="003F30F6" w:rsidRDefault="00386463">
            <w:pPr>
              <w:pStyle w:val="IEcChartSubHead"/>
              <w:jc w:val="center"/>
            </w:pPr>
            <w:r>
              <w:t>High</w:t>
            </w:r>
          </w:p>
        </w:tc>
      </w:tr>
      <w:tr w:rsidR="00386463" w:rsidTr="003F30F6">
        <w:trPr>
          <w:trHeight w:val="20"/>
        </w:trPr>
        <w:tc>
          <w:tcPr>
            <w:tcW w:w="587" w:type="pct"/>
            <w:vMerge w:val="restart"/>
            <w:tcBorders>
              <w:top w:val="single" w:color="000000" w:themeColor="text1" w:sz="12" w:space="0"/>
            </w:tcBorders>
            <w:shd w:val="clear" w:color="auto" w:fill="auto"/>
            <w:noWrap/>
            <w:vAlign w:val="center"/>
          </w:tcPr>
          <w:p w:rsidR="00386463" w:rsidP="003F30F6" w:rsidRDefault="00386463">
            <w:pPr>
              <w:pStyle w:val="IEcChartText"/>
            </w:pPr>
            <w:r>
              <w:t>Non-airgun HRG</w:t>
            </w:r>
          </w:p>
        </w:tc>
        <w:tc>
          <w:tcPr>
            <w:tcW w:w="615" w:type="pct"/>
            <w:tcBorders>
              <w:top w:val="single" w:color="000000" w:themeColor="text1" w:sz="12" w:space="0"/>
            </w:tcBorders>
            <w:shd w:val="clear" w:color="auto" w:fill="D9D9D9" w:themeFill="background1" w:themeFillShade="D9"/>
            <w:noWrap/>
            <w:vAlign w:val="bottom"/>
          </w:tcPr>
          <w:p w:rsidR="00386463" w:rsidP="003F30F6" w:rsidRDefault="00386463">
            <w:pPr>
              <w:pStyle w:val="IEcChartText"/>
            </w:pPr>
            <w:r>
              <w:t>Shallow</w:t>
            </w:r>
          </w:p>
        </w:tc>
        <w:tc>
          <w:tcPr>
            <w:tcW w:w="478" w:type="pct"/>
            <w:tcBorders>
              <w:top w:val="single" w:color="000000" w:themeColor="text1" w:sz="12" w:space="0"/>
            </w:tcBorders>
            <w:shd w:val="clear" w:color="auto" w:fill="D9D9D9" w:themeFill="background1" w:themeFillShade="D9"/>
            <w:noWrap/>
            <w:vAlign w:val="center"/>
          </w:tcPr>
          <w:p w:rsidR="00386463" w:rsidP="003F30F6" w:rsidRDefault="00386463">
            <w:pPr>
              <w:pStyle w:val="IEcChartText"/>
              <w:jc w:val="center"/>
            </w:pPr>
            <w:r>
              <w:t>14</w:t>
            </w:r>
          </w:p>
        </w:tc>
        <w:tc>
          <w:tcPr>
            <w:tcW w:w="444" w:type="pct"/>
            <w:tcBorders>
              <w:top w:val="single" w:color="000000" w:themeColor="text1" w:sz="12" w:space="0"/>
            </w:tcBorders>
            <w:shd w:val="clear" w:color="auto" w:fill="D9D9D9" w:themeFill="background1" w:themeFillShade="D9"/>
            <w:noWrap/>
            <w:vAlign w:val="center"/>
          </w:tcPr>
          <w:p w:rsidR="00386463" w:rsidP="003F30F6" w:rsidRDefault="00386463">
            <w:pPr>
              <w:pStyle w:val="IEcChartText"/>
              <w:jc w:val="center"/>
            </w:pPr>
            <w:r>
              <w:t>21</w:t>
            </w:r>
          </w:p>
        </w:tc>
        <w:tc>
          <w:tcPr>
            <w:tcW w:w="444" w:type="pct"/>
            <w:tcBorders>
              <w:top w:val="single" w:color="000000" w:themeColor="text1" w:sz="12" w:space="0"/>
            </w:tcBorders>
            <w:shd w:val="clear" w:color="auto" w:fill="D9D9D9" w:themeFill="background1" w:themeFillShade="D9"/>
            <w:vAlign w:val="center"/>
          </w:tcPr>
          <w:p w:rsidR="00386463" w:rsidP="003F30F6" w:rsidRDefault="00386463">
            <w:pPr>
              <w:pStyle w:val="IEcChartText"/>
              <w:jc w:val="center"/>
            </w:pPr>
            <w:r>
              <w:t>0.0</w:t>
            </w:r>
          </w:p>
        </w:tc>
        <w:tc>
          <w:tcPr>
            <w:tcW w:w="424" w:type="pct"/>
            <w:tcBorders>
              <w:top w:val="single" w:color="000000" w:themeColor="text1" w:sz="12" w:space="0"/>
            </w:tcBorders>
            <w:shd w:val="clear" w:color="auto" w:fill="D9D9D9" w:themeFill="background1" w:themeFillShade="D9"/>
            <w:noWrap/>
            <w:vAlign w:val="center"/>
          </w:tcPr>
          <w:p w:rsidR="00386463" w:rsidP="003F30F6" w:rsidRDefault="00386463">
            <w:pPr>
              <w:pStyle w:val="IEcChartText"/>
              <w:jc w:val="center"/>
            </w:pPr>
            <w:r>
              <w:t>0.0</w:t>
            </w:r>
          </w:p>
        </w:tc>
        <w:tc>
          <w:tcPr>
            <w:tcW w:w="358" w:type="pct"/>
            <w:tcBorders>
              <w:top w:val="single" w:color="000000" w:themeColor="text1" w:sz="12" w:space="0"/>
            </w:tcBorders>
            <w:shd w:val="clear" w:color="auto" w:fill="D9D9D9" w:themeFill="background1" w:themeFillShade="D9"/>
            <w:noWrap/>
            <w:vAlign w:val="center"/>
          </w:tcPr>
          <w:p w:rsidR="00386463" w:rsidP="003F30F6" w:rsidRDefault="00386463">
            <w:pPr>
              <w:pStyle w:val="IEcChartText"/>
              <w:jc w:val="center"/>
            </w:pPr>
            <w:r>
              <w:t>1</w:t>
            </w:r>
          </w:p>
        </w:tc>
        <w:tc>
          <w:tcPr>
            <w:tcW w:w="325" w:type="pct"/>
            <w:tcBorders>
              <w:top w:val="single" w:color="000000" w:themeColor="text1" w:sz="12" w:space="0"/>
            </w:tcBorders>
            <w:shd w:val="clear" w:color="auto" w:fill="D9D9D9" w:themeFill="background1" w:themeFillShade="D9"/>
            <w:vAlign w:val="center"/>
          </w:tcPr>
          <w:p w:rsidR="00386463" w:rsidP="003F30F6" w:rsidRDefault="00386463">
            <w:pPr>
              <w:pStyle w:val="IEcChartText"/>
              <w:jc w:val="center"/>
            </w:pPr>
            <w:r>
              <w:t>1</w:t>
            </w:r>
          </w:p>
        </w:tc>
        <w:tc>
          <w:tcPr>
            <w:tcW w:w="469" w:type="pct"/>
            <w:tcBorders>
              <w:top w:val="single" w:color="000000" w:themeColor="text1" w:sz="12" w:space="0"/>
            </w:tcBorders>
            <w:shd w:val="clear" w:color="auto" w:fill="D9D9D9" w:themeFill="background1" w:themeFillShade="D9"/>
            <w:vAlign w:val="center"/>
          </w:tcPr>
          <w:p w:rsidR="00386463" w:rsidP="003F30F6" w:rsidRDefault="00386463">
            <w:pPr>
              <w:pStyle w:val="IEcChartText"/>
              <w:jc w:val="center"/>
            </w:pPr>
            <w:r>
              <w:t>18</w:t>
            </w:r>
          </w:p>
        </w:tc>
        <w:tc>
          <w:tcPr>
            <w:tcW w:w="442" w:type="pct"/>
            <w:tcBorders>
              <w:top w:val="single" w:color="000000" w:themeColor="text1" w:sz="12" w:space="0"/>
            </w:tcBorders>
            <w:shd w:val="clear" w:color="auto" w:fill="D9D9D9" w:themeFill="background1" w:themeFillShade="D9"/>
            <w:noWrap/>
            <w:vAlign w:val="center"/>
          </w:tcPr>
          <w:p w:rsidR="00386463" w:rsidP="003F30F6" w:rsidRDefault="00386463">
            <w:pPr>
              <w:pStyle w:val="IEcChartText"/>
              <w:jc w:val="center"/>
            </w:pPr>
            <w:r>
              <w:t xml:space="preserve"> -   </w:t>
            </w:r>
          </w:p>
        </w:tc>
        <w:tc>
          <w:tcPr>
            <w:tcW w:w="414" w:type="pct"/>
            <w:tcBorders>
              <w:top w:val="single" w:color="000000" w:themeColor="text1" w:sz="12" w:space="0"/>
            </w:tcBorders>
            <w:shd w:val="clear" w:color="auto" w:fill="D9D9D9" w:themeFill="background1" w:themeFillShade="D9"/>
            <w:noWrap/>
            <w:vAlign w:val="center"/>
          </w:tcPr>
          <w:p w:rsidR="00386463" w:rsidP="003F30F6" w:rsidRDefault="00386463">
            <w:pPr>
              <w:pStyle w:val="IEcChartText"/>
              <w:jc w:val="center"/>
            </w:pPr>
            <w:r>
              <w:t xml:space="preserve"> -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27</w:t>
            </w:r>
          </w:p>
        </w:tc>
        <w:tc>
          <w:tcPr>
            <w:tcW w:w="444" w:type="pct"/>
            <w:shd w:val="clear" w:color="auto" w:fill="auto"/>
            <w:noWrap/>
            <w:vAlign w:val="center"/>
          </w:tcPr>
          <w:p w:rsidR="00386463" w:rsidP="003F30F6" w:rsidRDefault="00386463">
            <w:pPr>
              <w:pStyle w:val="IEcChartText"/>
              <w:jc w:val="center"/>
            </w:pPr>
            <w:r>
              <w:t>37</w:t>
            </w:r>
          </w:p>
        </w:tc>
        <w:tc>
          <w:tcPr>
            <w:tcW w:w="444" w:type="pct"/>
            <w:shd w:val="clear" w:color="auto" w:fill="auto"/>
            <w:vAlign w:val="center"/>
          </w:tcPr>
          <w:p w:rsidR="00386463" w:rsidP="003F30F6" w:rsidRDefault="00386463">
            <w:pPr>
              <w:pStyle w:val="IEcChartText"/>
              <w:jc w:val="center"/>
            </w:pPr>
            <w:r>
              <w:t>1.0</w:t>
            </w:r>
          </w:p>
        </w:tc>
        <w:tc>
          <w:tcPr>
            <w:tcW w:w="424" w:type="pct"/>
            <w:shd w:val="clear" w:color="auto" w:fill="auto"/>
            <w:noWrap/>
            <w:vAlign w:val="center"/>
          </w:tcPr>
          <w:p w:rsidR="00386463" w:rsidP="003F30F6" w:rsidRDefault="00386463">
            <w:pPr>
              <w:pStyle w:val="IEcChartText"/>
              <w:jc w:val="center"/>
            </w:pPr>
            <w:r>
              <w:t>0.0</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1</w:t>
            </w:r>
          </w:p>
        </w:tc>
        <w:tc>
          <w:tcPr>
            <w:tcW w:w="469" w:type="pct"/>
            <w:shd w:val="clear" w:color="auto" w:fill="auto"/>
            <w:vAlign w:val="center"/>
          </w:tcPr>
          <w:p w:rsidR="00386463" w:rsidP="003F30F6" w:rsidRDefault="00386463">
            <w:pPr>
              <w:pStyle w:val="IEcChartText"/>
              <w:jc w:val="center"/>
            </w:pPr>
            <w:r>
              <w:t>18</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5,824 </w:t>
            </w:r>
          </w:p>
        </w:tc>
        <w:tc>
          <w:tcPr>
            <w:tcW w:w="414" w:type="pct"/>
            <w:noWrap/>
            <w:vAlign w:val="bottom"/>
          </w:tcPr>
          <w:p w:rsidR="00386463" w:rsidP="003F30F6" w:rsidRDefault="00386463">
            <w:pPr>
              <w:pStyle w:val="IEcChartText"/>
              <w:jc w:val="center"/>
            </w:pPr>
            <w:r>
              <w:rPr>
                <w:rFonts w:cs="Calibri"/>
                <w:color w:val="000000"/>
                <w:szCs w:val="18"/>
              </w:rPr>
              <w:t xml:space="preserve">8,033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2D</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2.5</w:t>
            </w:r>
          </w:p>
        </w:tc>
        <w:tc>
          <w:tcPr>
            <w:tcW w:w="358" w:type="pct"/>
            <w:shd w:val="clear" w:color="auto" w:fill="D9D9D9" w:themeFill="background1" w:themeFillShade="D9"/>
            <w:noWrap/>
            <w:vAlign w:val="center"/>
          </w:tcPr>
          <w:p w:rsidR="00386463" w:rsidP="003F30F6" w:rsidRDefault="00386463">
            <w:pPr>
              <w:pStyle w:val="IEcChartText"/>
              <w:jc w:val="center"/>
            </w:pPr>
            <w:r>
              <w:t>1</w:t>
            </w:r>
          </w:p>
        </w:tc>
        <w:tc>
          <w:tcPr>
            <w:tcW w:w="325" w:type="pct"/>
            <w:shd w:val="clear" w:color="auto" w:fill="D9D9D9" w:themeFill="background1" w:themeFillShade="D9"/>
            <w:vAlign w:val="center"/>
          </w:tcPr>
          <w:p w:rsidR="00386463" w:rsidP="003F30F6" w:rsidRDefault="00386463">
            <w:pPr>
              <w:pStyle w:val="IEcChartText"/>
              <w:jc w:val="center"/>
            </w:pPr>
            <w:r>
              <w:t>1</w:t>
            </w:r>
          </w:p>
        </w:tc>
        <w:tc>
          <w:tcPr>
            <w:tcW w:w="469" w:type="pct"/>
            <w:shd w:val="clear" w:color="auto" w:fill="D9D9D9" w:themeFill="background1" w:themeFillShade="D9"/>
            <w:vAlign w:val="center"/>
          </w:tcPr>
          <w:p w:rsidR="00386463" w:rsidP="003F30F6" w:rsidRDefault="00386463">
            <w:pPr>
              <w:pStyle w:val="IEcChartText"/>
              <w:jc w:val="center"/>
            </w:pPr>
            <w:r>
              <w:t>176</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0</w:t>
            </w:r>
          </w:p>
        </w:tc>
        <w:tc>
          <w:tcPr>
            <w:tcW w:w="444" w:type="pct"/>
            <w:shd w:val="clear" w:color="auto" w:fill="auto"/>
            <w:noWrap/>
            <w:vAlign w:val="center"/>
          </w:tcPr>
          <w:p w:rsidR="00386463" w:rsidP="003F30F6" w:rsidRDefault="00386463">
            <w:pPr>
              <w:pStyle w:val="IEcChartText"/>
              <w:jc w:val="center"/>
            </w:pPr>
            <w:r>
              <w:t>2</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2.5</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1</w:t>
            </w:r>
          </w:p>
        </w:tc>
        <w:tc>
          <w:tcPr>
            <w:tcW w:w="469" w:type="pct"/>
            <w:shd w:val="clear" w:color="auto" w:fill="auto"/>
            <w:vAlign w:val="center"/>
          </w:tcPr>
          <w:p w:rsidR="00386463" w:rsidP="003F30F6" w:rsidRDefault="00386463">
            <w:pPr>
              <w:pStyle w:val="IEcChartText"/>
              <w:jc w:val="center"/>
            </w:pPr>
            <w:r>
              <w:t>176</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   </w:t>
            </w:r>
          </w:p>
        </w:tc>
        <w:tc>
          <w:tcPr>
            <w:tcW w:w="414" w:type="pct"/>
            <w:noWrap/>
            <w:vAlign w:val="bottom"/>
          </w:tcPr>
          <w:p w:rsidR="00386463" w:rsidP="003F30F6" w:rsidRDefault="00386463">
            <w:pPr>
              <w:pStyle w:val="IEcChartText"/>
              <w:jc w:val="center"/>
            </w:pPr>
            <w:r>
              <w:rPr>
                <w:rFonts w:cs="Calibri"/>
                <w:color w:val="000000"/>
                <w:szCs w:val="18"/>
              </w:rPr>
              <w:t xml:space="preserve">9,574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2D-OBN</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2.5</w:t>
            </w:r>
          </w:p>
        </w:tc>
        <w:tc>
          <w:tcPr>
            <w:tcW w:w="358" w:type="pct"/>
            <w:shd w:val="clear" w:color="auto" w:fill="D9D9D9" w:themeFill="background1" w:themeFillShade="D9"/>
            <w:noWrap/>
            <w:vAlign w:val="center"/>
          </w:tcPr>
          <w:p w:rsidR="00386463" w:rsidP="003F30F6" w:rsidRDefault="00386463">
            <w:pPr>
              <w:pStyle w:val="IEcChartText"/>
              <w:jc w:val="center"/>
            </w:pPr>
            <w:r>
              <w:t>1</w:t>
            </w:r>
          </w:p>
        </w:tc>
        <w:tc>
          <w:tcPr>
            <w:tcW w:w="325" w:type="pct"/>
            <w:shd w:val="clear" w:color="auto" w:fill="D9D9D9" w:themeFill="background1" w:themeFillShade="D9"/>
            <w:vAlign w:val="center"/>
          </w:tcPr>
          <w:p w:rsidR="00386463" w:rsidP="003F30F6" w:rsidRDefault="00386463">
            <w:pPr>
              <w:pStyle w:val="IEcChartText"/>
              <w:jc w:val="center"/>
            </w:pPr>
            <w:r>
              <w:t>3</w:t>
            </w:r>
          </w:p>
        </w:tc>
        <w:tc>
          <w:tcPr>
            <w:tcW w:w="469" w:type="pct"/>
            <w:shd w:val="clear" w:color="auto" w:fill="D9D9D9" w:themeFill="background1" w:themeFillShade="D9"/>
            <w:vAlign w:val="center"/>
          </w:tcPr>
          <w:p w:rsidR="00386463" w:rsidP="003F30F6" w:rsidRDefault="00386463">
            <w:pPr>
              <w:pStyle w:val="IEcChartText"/>
              <w:jc w:val="center"/>
            </w:pPr>
            <w:r>
              <w:t>141</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0</w:t>
            </w:r>
          </w:p>
        </w:tc>
        <w:tc>
          <w:tcPr>
            <w:tcW w:w="444" w:type="pct"/>
            <w:shd w:val="clear" w:color="auto" w:fill="auto"/>
            <w:noWrap/>
            <w:vAlign w:val="center"/>
          </w:tcPr>
          <w:p w:rsidR="00386463" w:rsidP="003F30F6" w:rsidRDefault="00386463">
            <w:pPr>
              <w:pStyle w:val="IEcChartText"/>
              <w:jc w:val="center"/>
            </w:pPr>
            <w:r>
              <w:t>0</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2.5</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3</w:t>
            </w:r>
          </w:p>
        </w:tc>
        <w:tc>
          <w:tcPr>
            <w:tcW w:w="469" w:type="pct"/>
            <w:shd w:val="clear" w:color="auto" w:fill="auto"/>
            <w:vAlign w:val="center"/>
          </w:tcPr>
          <w:p w:rsidR="00386463" w:rsidP="003F30F6" w:rsidRDefault="00386463">
            <w:pPr>
              <w:pStyle w:val="IEcChartText"/>
              <w:jc w:val="center"/>
            </w:pPr>
            <w:r>
              <w:t>141</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   </w:t>
            </w:r>
          </w:p>
        </w:tc>
        <w:tc>
          <w:tcPr>
            <w:tcW w:w="414" w:type="pct"/>
            <w:noWrap/>
            <w:vAlign w:val="bottom"/>
          </w:tcPr>
          <w:p w:rsidR="00386463" w:rsidP="003F30F6" w:rsidRDefault="00386463">
            <w:pPr>
              <w:pStyle w:val="IEcChartText"/>
              <w:jc w:val="center"/>
            </w:pPr>
            <w:r>
              <w:rPr>
                <w:rFonts w:cs="Calibri"/>
                <w:color w:val="000000"/>
                <w:szCs w:val="18"/>
              </w:rPr>
              <w:t xml:space="preserve">2,606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3D</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noWrap/>
            <w:vAlign w:val="center"/>
          </w:tcPr>
          <w:p w:rsidR="00386463" w:rsidP="003F30F6" w:rsidRDefault="00386463">
            <w:pPr>
              <w:pStyle w:val="IEcChartText"/>
              <w:jc w:val="center"/>
            </w:pPr>
            <w:r>
              <w:t>1</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2.5</w:t>
            </w:r>
          </w:p>
        </w:tc>
        <w:tc>
          <w:tcPr>
            <w:tcW w:w="358" w:type="pct"/>
            <w:shd w:val="clear" w:color="auto" w:fill="D9D9D9" w:themeFill="background1" w:themeFillShade="D9"/>
            <w:noWrap/>
            <w:vAlign w:val="center"/>
          </w:tcPr>
          <w:p w:rsidR="00386463" w:rsidP="003F30F6" w:rsidRDefault="00386463">
            <w:pPr>
              <w:pStyle w:val="IEcChartText"/>
              <w:jc w:val="center"/>
            </w:pPr>
            <w:r>
              <w:t>1</w:t>
            </w:r>
          </w:p>
        </w:tc>
        <w:tc>
          <w:tcPr>
            <w:tcW w:w="325" w:type="pct"/>
            <w:shd w:val="clear" w:color="auto" w:fill="D9D9D9" w:themeFill="background1" w:themeFillShade="D9"/>
            <w:vAlign w:val="center"/>
          </w:tcPr>
          <w:p w:rsidR="00386463" w:rsidP="003F30F6" w:rsidRDefault="00386463">
            <w:pPr>
              <w:pStyle w:val="IEcChartText"/>
              <w:jc w:val="center"/>
            </w:pPr>
            <w:r>
              <w:t>1</w:t>
            </w:r>
          </w:p>
        </w:tc>
        <w:tc>
          <w:tcPr>
            <w:tcW w:w="469" w:type="pct"/>
            <w:shd w:val="clear" w:color="auto" w:fill="D9D9D9" w:themeFill="background1" w:themeFillShade="D9"/>
            <w:vAlign w:val="center"/>
          </w:tcPr>
          <w:p w:rsidR="00386463" w:rsidP="003F30F6" w:rsidRDefault="00386463">
            <w:pPr>
              <w:pStyle w:val="IEcChartText"/>
              <w:jc w:val="center"/>
            </w:pPr>
            <w:r>
              <w:t>137</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9,757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1</w:t>
            </w:r>
          </w:p>
        </w:tc>
        <w:tc>
          <w:tcPr>
            <w:tcW w:w="444" w:type="pct"/>
            <w:shd w:val="clear" w:color="auto" w:fill="auto"/>
            <w:noWrap/>
            <w:vAlign w:val="center"/>
          </w:tcPr>
          <w:p w:rsidR="00386463" w:rsidP="003F30F6" w:rsidRDefault="00386463">
            <w:pPr>
              <w:pStyle w:val="IEcChartText"/>
              <w:jc w:val="center"/>
            </w:pPr>
            <w:r>
              <w:t>2</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2.5</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1</w:t>
            </w:r>
          </w:p>
        </w:tc>
        <w:tc>
          <w:tcPr>
            <w:tcW w:w="469" w:type="pct"/>
            <w:shd w:val="clear" w:color="auto" w:fill="auto"/>
            <w:vAlign w:val="center"/>
          </w:tcPr>
          <w:p w:rsidR="00386463" w:rsidP="003F30F6" w:rsidRDefault="00386463">
            <w:pPr>
              <w:pStyle w:val="IEcChartText"/>
              <w:jc w:val="center"/>
            </w:pPr>
            <w:r>
              <w:t>137</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3,631 </w:t>
            </w:r>
          </w:p>
        </w:tc>
        <w:tc>
          <w:tcPr>
            <w:tcW w:w="414" w:type="pct"/>
            <w:noWrap/>
            <w:vAlign w:val="bottom"/>
          </w:tcPr>
          <w:p w:rsidR="00386463" w:rsidP="003F30F6" w:rsidRDefault="00386463">
            <w:pPr>
              <w:pStyle w:val="IEcChartText"/>
              <w:jc w:val="center"/>
            </w:pPr>
            <w:r>
              <w:rPr>
                <w:rFonts w:cs="Calibri"/>
                <w:color w:val="000000"/>
                <w:szCs w:val="18"/>
              </w:rPr>
              <w:t xml:space="preserve">9,806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3D-OBN</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noWrap/>
            <w:vAlign w:val="center"/>
          </w:tcPr>
          <w:p w:rsidR="00386463" w:rsidP="003F30F6" w:rsidRDefault="00386463">
            <w:pPr>
              <w:pStyle w:val="IEcChartText"/>
              <w:jc w:val="center"/>
            </w:pPr>
            <w:r>
              <w:t>1</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2.5</w:t>
            </w:r>
          </w:p>
        </w:tc>
        <w:tc>
          <w:tcPr>
            <w:tcW w:w="358" w:type="pct"/>
            <w:shd w:val="clear" w:color="auto" w:fill="D9D9D9" w:themeFill="background1" w:themeFillShade="D9"/>
            <w:noWrap/>
            <w:vAlign w:val="center"/>
          </w:tcPr>
          <w:p w:rsidR="00386463" w:rsidP="003F30F6" w:rsidRDefault="00386463">
            <w:pPr>
              <w:pStyle w:val="IEcChartText"/>
              <w:jc w:val="center"/>
            </w:pPr>
            <w:r>
              <w:t>1</w:t>
            </w:r>
          </w:p>
        </w:tc>
        <w:tc>
          <w:tcPr>
            <w:tcW w:w="325" w:type="pct"/>
            <w:shd w:val="clear" w:color="auto" w:fill="D9D9D9" w:themeFill="background1" w:themeFillShade="D9"/>
            <w:vAlign w:val="center"/>
          </w:tcPr>
          <w:p w:rsidR="00386463" w:rsidP="003F30F6" w:rsidRDefault="00386463">
            <w:pPr>
              <w:pStyle w:val="IEcChartText"/>
              <w:jc w:val="center"/>
            </w:pPr>
            <w:r>
              <w:t>3</w:t>
            </w:r>
          </w:p>
        </w:tc>
        <w:tc>
          <w:tcPr>
            <w:tcW w:w="469" w:type="pct"/>
            <w:shd w:val="clear" w:color="auto" w:fill="D9D9D9" w:themeFill="background1" w:themeFillShade="D9"/>
            <w:vAlign w:val="center"/>
          </w:tcPr>
          <w:p w:rsidR="00386463" w:rsidP="003F30F6" w:rsidRDefault="00386463">
            <w:pPr>
              <w:pStyle w:val="IEcChartText"/>
              <w:jc w:val="center"/>
            </w:pPr>
            <w:r>
              <w:t>141</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30,132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1</w:t>
            </w:r>
          </w:p>
        </w:tc>
        <w:tc>
          <w:tcPr>
            <w:tcW w:w="444" w:type="pct"/>
            <w:shd w:val="clear" w:color="auto" w:fill="auto"/>
            <w:noWrap/>
            <w:vAlign w:val="center"/>
          </w:tcPr>
          <w:p w:rsidR="00386463" w:rsidP="003F30F6" w:rsidRDefault="00386463">
            <w:pPr>
              <w:pStyle w:val="IEcChartText"/>
              <w:jc w:val="center"/>
            </w:pPr>
            <w:r>
              <w:t>2</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2.5</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3</w:t>
            </w:r>
          </w:p>
        </w:tc>
        <w:tc>
          <w:tcPr>
            <w:tcW w:w="469" w:type="pct"/>
            <w:shd w:val="clear" w:color="auto" w:fill="auto"/>
            <w:vAlign w:val="center"/>
          </w:tcPr>
          <w:p w:rsidR="00386463" w:rsidP="003F30F6" w:rsidRDefault="00386463">
            <w:pPr>
              <w:pStyle w:val="IEcChartText"/>
              <w:jc w:val="center"/>
            </w:pPr>
            <w:r>
              <w:t>141</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3,737 </w:t>
            </w:r>
          </w:p>
        </w:tc>
        <w:tc>
          <w:tcPr>
            <w:tcW w:w="414" w:type="pct"/>
            <w:noWrap/>
            <w:vAlign w:val="bottom"/>
          </w:tcPr>
          <w:p w:rsidR="00386463" w:rsidP="003F30F6" w:rsidRDefault="00386463">
            <w:pPr>
              <w:pStyle w:val="IEcChartText"/>
              <w:jc w:val="center"/>
            </w:pPr>
            <w:r>
              <w:rPr>
                <w:rFonts w:cs="Calibri"/>
                <w:color w:val="000000"/>
                <w:szCs w:val="18"/>
              </w:rPr>
              <w:t xml:space="preserve">30,285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WAZ</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2.5</w:t>
            </w:r>
          </w:p>
        </w:tc>
        <w:tc>
          <w:tcPr>
            <w:tcW w:w="358" w:type="pct"/>
            <w:shd w:val="clear" w:color="auto" w:fill="D9D9D9" w:themeFill="background1" w:themeFillShade="D9"/>
            <w:noWrap/>
            <w:vAlign w:val="center"/>
          </w:tcPr>
          <w:p w:rsidR="00386463" w:rsidP="003F30F6" w:rsidRDefault="00386463">
            <w:pPr>
              <w:pStyle w:val="IEcChartText"/>
              <w:jc w:val="center"/>
            </w:pPr>
            <w:r>
              <w:t>2</w:t>
            </w:r>
          </w:p>
        </w:tc>
        <w:tc>
          <w:tcPr>
            <w:tcW w:w="325" w:type="pct"/>
            <w:shd w:val="clear" w:color="auto" w:fill="D9D9D9" w:themeFill="background1" w:themeFillShade="D9"/>
            <w:vAlign w:val="center"/>
          </w:tcPr>
          <w:p w:rsidR="00386463" w:rsidP="003F30F6" w:rsidRDefault="00386463">
            <w:pPr>
              <w:pStyle w:val="IEcChartText"/>
              <w:jc w:val="center"/>
            </w:pPr>
            <w:r>
              <w:t>5</w:t>
            </w:r>
          </w:p>
        </w:tc>
        <w:tc>
          <w:tcPr>
            <w:tcW w:w="469" w:type="pct"/>
            <w:shd w:val="clear" w:color="auto" w:fill="D9D9D9" w:themeFill="background1" w:themeFillShade="D9"/>
            <w:vAlign w:val="center"/>
          </w:tcPr>
          <w:p w:rsidR="00386463" w:rsidP="003F30F6" w:rsidRDefault="00386463">
            <w:pPr>
              <w:pStyle w:val="IEcChartText"/>
              <w:jc w:val="center"/>
            </w:pPr>
            <w:r>
              <w:t>178</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22,895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3</w:t>
            </w:r>
          </w:p>
        </w:tc>
        <w:tc>
          <w:tcPr>
            <w:tcW w:w="444" w:type="pct"/>
            <w:shd w:val="clear" w:color="auto" w:fill="auto"/>
            <w:noWrap/>
            <w:vAlign w:val="center"/>
          </w:tcPr>
          <w:p w:rsidR="00386463" w:rsidP="003F30F6" w:rsidRDefault="00386463">
            <w:pPr>
              <w:pStyle w:val="IEcChartText"/>
              <w:jc w:val="center"/>
            </w:pPr>
            <w:r>
              <w:t>6</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2.5</w:t>
            </w:r>
          </w:p>
        </w:tc>
        <w:tc>
          <w:tcPr>
            <w:tcW w:w="358" w:type="pct"/>
            <w:noWrap/>
            <w:vAlign w:val="center"/>
          </w:tcPr>
          <w:p w:rsidR="00386463" w:rsidP="003F30F6" w:rsidRDefault="00386463">
            <w:pPr>
              <w:pStyle w:val="IEcChartText"/>
              <w:jc w:val="center"/>
            </w:pPr>
            <w:r>
              <w:t>2</w:t>
            </w:r>
          </w:p>
        </w:tc>
        <w:tc>
          <w:tcPr>
            <w:tcW w:w="325" w:type="pct"/>
            <w:vAlign w:val="center"/>
          </w:tcPr>
          <w:p w:rsidR="00386463" w:rsidP="003F30F6" w:rsidRDefault="00386463">
            <w:pPr>
              <w:pStyle w:val="IEcChartText"/>
              <w:jc w:val="center"/>
            </w:pPr>
            <w:r>
              <w:t>5</w:t>
            </w:r>
          </w:p>
        </w:tc>
        <w:tc>
          <w:tcPr>
            <w:tcW w:w="469" w:type="pct"/>
            <w:shd w:val="clear" w:color="auto" w:fill="auto"/>
            <w:vAlign w:val="center"/>
          </w:tcPr>
          <w:p w:rsidR="00386463" w:rsidP="003F30F6" w:rsidRDefault="00386463">
            <w:pPr>
              <w:pStyle w:val="IEcChartText"/>
              <w:jc w:val="center"/>
            </w:pPr>
            <w:r>
              <w:t>178</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35,622 </w:t>
            </w:r>
          </w:p>
        </w:tc>
        <w:tc>
          <w:tcPr>
            <w:tcW w:w="414" w:type="pct"/>
            <w:noWrap/>
            <w:vAlign w:val="bottom"/>
          </w:tcPr>
          <w:p w:rsidR="00386463" w:rsidP="003F30F6" w:rsidRDefault="00386463">
            <w:pPr>
              <w:pStyle w:val="IEcChartText"/>
              <w:jc w:val="center"/>
            </w:pPr>
            <w:r>
              <w:rPr>
                <w:rFonts w:cs="Calibri"/>
                <w:color w:val="000000"/>
                <w:szCs w:val="18"/>
              </w:rPr>
              <w:t xml:space="preserve">173,996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Airgun HRG</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1</w:t>
            </w:r>
          </w:p>
        </w:tc>
        <w:tc>
          <w:tcPr>
            <w:tcW w:w="444" w:type="pct"/>
            <w:shd w:val="clear" w:color="auto" w:fill="D9D9D9" w:themeFill="background1" w:themeFillShade="D9"/>
            <w:noWrap/>
            <w:vAlign w:val="center"/>
          </w:tcPr>
          <w:p w:rsidR="00386463" w:rsidP="003F30F6" w:rsidRDefault="00386463">
            <w:pPr>
              <w:pStyle w:val="IEcChartText"/>
              <w:jc w:val="center"/>
            </w:pPr>
            <w:r>
              <w:t>1</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0.0</w:t>
            </w:r>
          </w:p>
        </w:tc>
        <w:tc>
          <w:tcPr>
            <w:tcW w:w="358" w:type="pct"/>
            <w:shd w:val="clear" w:color="auto" w:fill="D9D9D9" w:themeFill="background1" w:themeFillShade="D9"/>
            <w:noWrap/>
            <w:vAlign w:val="center"/>
          </w:tcPr>
          <w:p w:rsidR="00386463" w:rsidP="003F30F6" w:rsidRDefault="00386463">
            <w:pPr>
              <w:pStyle w:val="IEcChartText"/>
              <w:jc w:val="center"/>
            </w:pPr>
            <w:r>
              <w:t>1</w:t>
            </w:r>
          </w:p>
        </w:tc>
        <w:tc>
          <w:tcPr>
            <w:tcW w:w="325" w:type="pct"/>
            <w:shd w:val="clear" w:color="auto" w:fill="D9D9D9" w:themeFill="background1" w:themeFillShade="D9"/>
            <w:vAlign w:val="center"/>
          </w:tcPr>
          <w:p w:rsidR="00386463" w:rsidP="003F30F6" w:rsidRDefault="00386463">
            <w:pPr>
              <w:pStyle w:val="IEcChartText"/>
              <w:jc w:val="center"/>
            </w:pPr>
            <w:r>
              <w:t>1</w:t>
            </w:r>
          </w:p>
        </w:tc>
        <w:tc>
          <w:tcPr>
            <w:tcW w:w="469" w:type="pct"/>
            <w:shd w:val="clear" w:color="auto" w:fill="D9D9D9" w:themeFill="background1" w:themeFillShade="D9"/>
            <w:vAlign w:val="center"/>
          </w:tcPr>
          <w:p w:rsidR="00386463" w:rsidP="003F30F6" w:rsidRDefault="00386463">
            <w:pPr>
              <w:pStyle w:val="IEcChartText"/>
              <w:jc w:val="center"/>
            </w:pPr>
            <w:r>
              <w:t>10</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250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384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1</w:t>
            </w:r>
          </w:p>
        </w:tc>
        <w:tc>
          <w:tcPr>
            <w:tcW w:w="444" w:type="pct"/>
            <w:shd w:val="clear" w:color="auto" w:fill="auto"/>
            <w:noWrap/>
            <w:vAlign w:val="center"/>
          </w:tcPr>
          <w:p w:rsidR="00386463" w:rsidP="003F30F6" w:rsidRDefault="00386463">
            <w:pPr>
              <w:pStyle w:val="IEcChartText"/>
              <w:jc w:val="center"/>
            </w:pPr>
            <w:r>
              <w:t>2</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0.0</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1</w:t>
            </w:r>
          </w:p>
        </w:tc>
        <w:tc>
          <w:tcPr>
            <w:tcW w:w="469" w:type="pct"/>
            <w:shd w:val="clear" w:color="auto" w:fill="auto"/>
            <w:vAlign w:val="center"/>
          </w:tcPr>
          <w:p w:rsidR="00386463" w:rsidP="003F30F6" w:rsidRDefault="00386463">
            <w:pPr>
              <w:pStyle w:val="IEcChartText"/>
              <w:jc w:val="center"/>
            </w:pPr>
            <w:r>
              <w:t>10</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   </w:t>
            </w:r>
          </w:p>
        </w:tc>
        <w:tc>
          <w:tcPr>
            <w:tcW w:w="414" w:type="pct"/>
            <w:noWrap/>
            <w:vAlign w:val="bottom"/>
          </w:tcPr>
          <w:p w:rsidR="00386463" w:rsidP="003F30F6" w:rsidRDefault="00386463">
            <w:pPr>
              <w:pStyle w:val="IEcChartText"/>
              <w:jc w:val="center"/>
            </w:pPr>
            <w:r>
              <w:rPr>
                <w:rFonts w:cs="Calibri"/>
                <w:color w:val="000000"/>
                <w:szCs w:val="18"/>
              </w:rPr>
              <w:t xml:space="preserve">-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VSP</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10</w:t>
            </w:r>
          </w:p>
        </w:tc>
        <w:tc>
          <w:tcPr>
            <w:tcW w:w="444" w:type="pct"/>
            <w:shd w:val="clear" w:color="auto" w:fill="D9D9D9" w:themeFill="background1" w:themeFillShade="D9"/>
            <w:noWrap/>
            <w:vAlign w:val="center"/>
          </w:tcPr>
          <w:p w:rsidR="00386463" w:rsidP="003F30F6" w:rsidRDefault="00386463">
            <w:pPr>
              <w:pStyle w:val="IEcChartText"/>
              <w:jc w:val="center"/>
            </w:pPr>
            <w:r>
              <w:t>17</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2.5</w:t>
            </w:r>
          </w:p>
        </w:tc>
        <w:tc>
          <w:tcPr>
            <w:tcW w:w="358" w:type="pct"/>
            <w:shd w:val="clear" w:color="auto" w:fill="D9D9D9" w:themeFill="background1" w:themeFillShade="D9"/>
            <w:noWrap/>
            <w:vAlign w:val="center"/>
          </w:tcPr>
          <w:p w:rsidR="00386463" w:rsidP="003F30F6" w:rsidRDefault="00386463">
            <w:pPr>
              <w:pStyle w:val="IEcChartText"/>
              <w:jc w:val="center"/>
            </w:pPr>
            <w:r>
              <w:t>1</w:t>
            </w:r>
          </w:p>
        </w:tc>
        <w:tc>
          <w:tcPr>
            <w:tcW w:w="325" w:type="pct"/>
            <w:shd w:val="clear" w:color="auto" w:fill="D9D9D9" w:themeFill="background1" w:themeFillShade="D9"/>
            <w:vAlign w:val="center"/>
          </w:tcPr>
          <w:p w:rsidR="00386463" w:rsidP="003F30F6" w:rsidRDefault="00386463">
            <w:pPr>
              <w:pStyle w:val="IEcChartText"/>
              <w:jc w:val="center"/>
            </w:pPr>
            <w:r>
              <w:t>1</w:t>
            </w:r>
          </w:p>
        </w:tc>
        <w:tc>
          <w:tcPr>
            <w:tcW w:w="469" w:type="pct"/>
            <w:shd w:val="clear" w:color="auto" w:fill="D9D9D9" w:themeFill="background1" w:themeFillShade="D9"/>
            <w:vAlign w:val="center"/>
          </w:tcPr>
          <w:p w:rsidR="00386463" w:rsidP="003F30F6" w:rsidRDefault="00386463">
            <w:pPr>
              <w:pStyle w:val="IEcChartText"/>
              <w:jc w:val="center"/>
            </w:pPr>
            <w:r>
              <w:t>7</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4,785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7,786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31</w:t>
            </w:r>
          </w:p>
        </w:tc>
        <w:tc>
          <w:tcPr>
            <w:tcW w:w="444" w:type="pct"/>
            <w:shd w:val="clear" w:color="auto" w:fill="auto"/>
            <w:noWrap/>
            <w:vAlign w:val="center"/>
          </w:tcPr>
          <w:p w:rsidR="00386463" w:rsidP="003F30F6" w:rsidRDefault="00386463">
            <w:pPr>
              <w:pStyle w:val="IEcChartText"/>
              <w:jc w:val="center"/>
            </w:pPr>
            <w:r>
              <w:t>47</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2.5</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1</w:t>
            </w:r>
          </w:p>
        </w:tc>
        <w:tc>
          <w:tcPr>
            <w:tcW w:w="469" w:type="pct"/>
            <w:shd w:val="clear" w:color="auto" w:fill="auto"/>
            <w:vAlign w:val="center"/>
          </w:tcPr>
          <w:p w:rsidR="00386463" w:rsidP="003F30F6" w:rsidRDefault="00386463">
            <w:pPr>
              <w:pStyle w:val="IEcChartText"/>
              <w:jc w:val="center"/>
            </w:pPr>
            <w:r>
              <w:t>7</w:t>
            </w:r>
          </w:p>
        </w:tc>
        <w:tc>
          <w:tcPr>
            <w:tcW w:w="442" w:type="pct"/>
            <w:shd w:val="clear" w:color="auto" w:fill="auto"/>
            <w:noWrap/>
            <w:vAlign w:val="bottom"/>
          </w:tcPr>
          <w:p w:rsidR="00386463" w:rsidP="003F30F6" w:rsidRDefault="00386463">
            <w:pPr>
              <w:pStyle w:val="IEcChartText"/>
              <w:jc w:val="center"/>
            </w:pPr>
            <w:r>
              <w:rPr>
                <w:rFonts w:cs="Calibri"/>
                <w:color w:val="000000"/>
                <w:szCs w:val="18"/>
              </w:rPr>
              <w:t xml:space="preserve">6,597 </w:t>
            </w:r>
          </w:p>
        </w:tc>
        <w:tc>
          <w:tcPr>
            <w:tcW w:w="414" w:type="pct"/>
            <w:noWrap/>
            <w:vAlign w:val="bottom"/>
          </w:tcPr>
          <w:p w:rsidR="00386463" w:rsidP="003F30F6" w:rsidRDefault="00386463">
            <w:pPr>
              <w:pStyle w:val="IEcChartText"/>
              <w:jc w:val="center"/>
            </w:pPr>
            <w:r>
              <w:rPr>
                <w:rFonts w:cs="Calibri"/>
                <w:color w:val="000000"/>
                <w:szCs w:val="18"/>
              </w:rPr>
              <w:t xml:space="preserve">9,848 </w:t>
            </w:r>
          </w:p>
        </w:tc>
      </w:tr>
      <w:tr w:rsidR="00386463" w:rsidTr="003F30F6">
        <w:trPr>
          <w:trHeight w:val="20"/>
        </w:trPr>
        <w:tc>
          <w:tcPr>
            <w:tcW w:w="587" w:type="pct"/>
            <w:vMerge w:val="restart"/>
            <w:shd w:val="clear" w:color="auto" w:fill="auto"/>
            <w:noWrap/>
            <w:vAlign w:val="center"/>
          </w:tcPr>
          <w:p w:rsidR="00386463" w:rsidP="003F30F6" w:rsidRDefault="00386463">
            <w:pPr>
              <w:pStyle w:val="IEcChartText"/>
            </w:pPr>
            <w:r>
              <w:t>SWD</w:t>
            </w:r>
          </w:p>
        </w:tc>
        <w:tc>
          <w:tcPr>
            <w:tcW w:w="615" w:type="pct"/>
            <w:shd w:val="clear" w:color="auto" w:fill="D9D9D9" w:themeFill="background1" w:themeFillShade="D9"/>
            <w:noWrap/>
            <w:vAlign w:val="bottom"/>
          </w:tcPr>
          <w:p w:rsidR="00386463" w:rsidP="003F30F6" w:rsidRDefault="00386463">
            <w:pPr>
              <w:pStyle w:val="IEcChartText"/>
            </w:pPr>
            <w:r>
              <w:t>Shallow</w:t>
            </w:r>
          </w:p>
        </w:tc>
        <w:tc>
          <w:tcPr>
            <w:tcW w:w="478"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noWrap/>
            <w:vAlign w:val="center"/>
          </w:tcPr>
          <w:p w:rsidR="00386463" w:rsidP="003F30F6" w:rsidRDefault="00386463">
            <w:pPr>
              <w:pStyle w:val="IEcChartText"/>
              <w:jc w:val="center"/>
            </w:pPr>
            <w:r>
              <w:t>0</w:t>
            </w:r>
          </w:p>
        </w:tc>
        <w:tc>
          <w:tcPr>
            <w:tcW w:w="444" w:type="pct"/>
            <w:shd w:val="clear" w:color="auto" w:fill="D9D9D9" w:themeFill="background1" w:themeFillShade="D9"/>
            <w:vAlign w:val="center"/>
          </w:tcPr>
          <w:p w:rsidR="00386463" w:rsidP="003F30F6" w:rsidRDefault="00386463">
            <w:pPr>
              <w:pStyle w:val="IEcChartText"/>
              <w:jc w:val="center"/>
            </w:pPr>
            <w:r>
              <w:t>3.0</w:t>
            </w:r>
          </w:p>
        </w:tc>
        <w:tc>
          <w:tcPr>
            <w:tcW w:w="424" w:type="pct"/>
            <w:shd w:val="clear" w:color="auto" w:fill="D9D9D9" w:themeFill="background1" w:themeFillShade="D9"/>
            <w:noWrap/>
            <w:vAlign w:val="center"/>
          </w:tcPr>
          <w:p w:rsidR="00386463" w:rsidP="003F30F6" w:rsidRDefault="00386463">
            <w:pPr>
              <w:pStyle w:val="IEcChartText"/>
              <w:jc w:val="center"/>
            </w:pPr>
            <w:r>
              <w:t>2.5</w:t>
            </w:r>
          </w:p>
        </w:tc>
        <w:tc>
          <w:tcPr>
            <w:tcW w:w="358" w:type="pct"/>
            <w:shd w:val="clear" w:color="auto" w:fill="D9D9D9" w:themeFill="background1" w:themeFillShade="D9"/>
            <w:noWrap/>
            <w:vAlign w:val="center"/>
          </w:tcPr>
          <w:p w:rsidR="00386463" w:rsidP="003F30F6" w:rsidRDefault="00386463">
            <w:pPr>
              <w:pStyle w:val="IEcChartText"/>
              <w:jc w:val="center"/>
            </w:pPr>
            <w:r>
              <w:t>1</w:t>
            </w:r>
          </w:p>
        </w:tc>
        <w:tc>
          <w:tcPr>
            <w:tcW w:w="325" w:type="pct"/>
            <w:shd w:val="clear" w:color="auto" w:fill="D9D9D9" w:themeFill="background1" w:themeFillShade="D9"/>
            <w:vAlign w:val="center"/>
          </w:tcPr>
          <w:p w:rsidR="00386463" w:rsidP="003F30F6" w:rsidRDefault="00386463">
            <w:pPr>
              <w:pStyle w:val="IEcChartText"/>
              <w:jc w:val="center"/>
            </w:pPr>
            <w:r>
              <w:t>1</w:t>
            </w:r>
          </w:p>
        </w:tc>
        <w:tc>
          <w:tcPr>
            <w:tcW w:w="469" w:type="pct"/>
            <w:shd w:val="clear" w:color="auto" w:fill="D9D9D9" w:themeFill="background1" w:themeFillShade="D9"/>
            <w:vAlign w:val="center"/>
          </w:tcPr>
          <w:p w:rsidR="00386463" w:rsidP="003F30F6" w:rsidRDefault="00386463">
            <w:pPr>
              <w:pStyle w:val="IEcChartText"/>
              <w:jc w:val="center"/>
            </w:pPr>
            <w:r>
              <w:t>7</w:t>
            </w:r>
          </w:p>
        </w:tc>
        <w:tc>
          <w:tcPr>
            <w:tcW w:w="44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c>
          <w:tcPr>
            <w:tcW w:w="414"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w:t>
            </w:r>
          </w:p>
        </w:tc>
      </w:tr>
      <w:tr w:rsidR="00386463" w:rsidTr="003F30F6">
        <w:trPr>
          <w:trHeight w:val="20"/>
        </w:trPr>
        <w:tc>
          <w:tcPr>
            <w:tcW w:w="587" w:type="pct"/>
            <w:vMerge/>
            <w:shd w:val="clear" w:color="auto" w:fill="auto"/>
            <w:noWrap/>
            <w:vAlign w:val="center"/>
          </w:tcPr>
          <w:p w:rsidR="00386463" w:rsidP="003F30F6" w:rsidRDefault="00386463">
            <w:pPr>
              <w:pStyle w:val="IEcChartText"/>
            </w:pPr>
          </w:p>
        </w:tc>
        <w:tc>
          <w:tcPr>
            <w:tcW w:w="615" w:type="pct"/>
            <w:shd w:val="clear" w:color="auto" w:fill="auto"/>
            <w:noWrap/>
            <w:vAlign w:val="bottom"/>
          </w:tcPr>
          <w:p w:rsidR="00386463" w:rsidP="003F30F6" w:rsidRDefault="00386463">
            <w:pPr>
              <w:pStyle w:val="IEcChartText"/>
            </w:pPr>
            <w:r>
              <w:t>Deep</w:t>
            </w:r>
          </w:p>
        </w:tc>
        <w:tc>
          <w:tcPr>
            <w:tcW w:w="478" w:type="pct"/>
            <w:shd w:val="clear" w:color="auto" w:fill="auto"/>
            <w:noWrap/>
            <w:vAlign w:val="center"/>
          </w:tcPr>
          <w:p w:rsidR="00386463" w:rsidP="003F30F6" w:rsidRDefault="00386463">
            <w:pPr>
              <w:pStyle w:val="IEcChartText"/>
              <w:jc w:val="center"/>
            </w:pPr>
            <w:r>
              <w:t>6</w:t>
            </w:r>
          </w:p>
        </w:tc>
        <w:tc>
          <w:tcPr>
            <w:tcW w:w="444" w:type="pct"/>
            <w:shd w:val="clear" w:color="auto" w:fill="auto"/>
            <w:noWrap/>
            <w:vAlign w:val="center"/>
          </w:tcPr>
          <w:p w:rsidR="00386463" w:rsidP="003F30F6" w:rsidRDefault="00386463">
            <w:pPr>
              <w:pStyle w:val="IEcChartText"/>
              <w:jc w:val="center"/>
            </w:pPr>
            <w:r>
              <w:t>11</w:t>
            </w:r>
          </w:p>
        </w:tc>
        <w:tc>
          <w:tcPr>
            <w:tcW w:w="444" w:type="pct"/>
            <w:shd w:val="clear" w:color="auto" w:fill="auto"/>
            <w:vAlign w:val="center"/>
          </w:tcPr>
          <w:p w:rsidR="00386463" w:rsidP="003F30F6" w:rsidRDefault="00386463">
            <w:pPr>
              <w:pStyle w:val="IEcChartText"/>
              <w:jc w:val="center"/>
            </w:pPr>
            <w:r>
              <w:t>0.0</w:t>
            </w:r>
          </w:p>
        </w:tc>
        <w:tc>
          <w:tcPr>
            <w:tcW w:w="424" w:type="pct"/>
            <w:shd w:val="clear" w:color="auto" w:fill="auto"/>
            <w:noWrap/>
            <w:vAlign w:val="center"/>
          </w:tcPr>
          <w:p w:rsidR="00386463" w:rsidP="003F30F6" w:rsidRDefault="00386463">
            <w:pPr>
              <w:pStyle w:val="IEcChartText"/>
              <w:jc w:val="center"/>
            </w:pPr>
            <w:r>
              <w:t>2.5</w:t>
            </w:r>
          </w:p>
        </w:tc>
        <w:tc>
          <w:tcPr>
            <w:tcW w:w="358" w:type="pct"/>
            <w:noWrap/>
            <w:vAlign w:val="center"/>
          </w:tcPr>
          <w:p w:rsidR="00386463" w:rsidP="003F30F6" w:rsidRDefault="00386463">
            <w:pPr>
              <w:pStyle w:val="IEcChartText"/>
              <w:jc w:val="center"/>
            </w:pPr>
            <w:r>
              <w:t>1</w:t>
            </w:r>
          </w:p>
        </w:tc>
        <w:tc>
          <w:tcPr>
            <w:tcW w:w="325" w:type="pct"/>
            <w:vAlign w:val="center"/>
          </w:tcPr>
          <w:p w:rsidR="00386463" w:rsidP="003F30F6" w:rsidRDefault="00386463">
            <w:pPr>
              <w:pStyle w:val="IEcChartText"/>
              <w:jc w:val="center"/>
            </w:pPr>
            <w:r>
              <w:t>1</w:t>
            </w:r>
          </w:p>
        </w:tc>
        <w:tc>
          <w:tcPr>
            <w:tcW w:w="469" w:type="pct"/>
            <w:shd w:val="clear" w:color="auto" w:fill="auto"/>
            <w:vAlign w:val="center"/>
          </w:tcPr>
          <w:p w:rsidR="00386463" w:rsidP="003F30F6" w:rsidRDefault="00386463">
            <w:pPr>
              <w:pStyle w:val="IEcChartText"/>
              <w:jc w:val="center"/>
            </w:pPr>
            <w:r>
              <w:t>7</w:t>
            </w:r>
          </w:p>
        </w:tc>
        <w:tc>
          <w:tcPr>
            <w:tcW w:w="442" w:type="pct"/>
            <w:shd w:val="clear" w:color="auto" w:fill="auto"/>
            <w:noWrap/>
            <w:vAlign w:val="center"/>
          </w:tcPr>
          <w:p w:rsidR="00386463" w:rsidP="003F30F6" w:rsidRDefault="00386463">
            <w:pPr>
              <w:pStyle w:val="IEcChartText"/>
              <w:jc w:val="center"/>
            </w:pPr>
            <w:r>
              <w:rPr>
                <w:rFonts w:cs="Calibri"/>
                <w:color w:val="000000"/>
                <w:szCs w:val="18"/>
              </w:rPr>
              <w:t>1,192</w:t>
            </w:r>
          </w:p>
        </w:tc>
        <w:tc>
          <w:tcPr>
            <w:tcW w:w="414" w:type="pct"/>
            <w:noWrap/>
            <w:vAlign w:val="center"/>
          </w:tcPr>
          <w:p w:rsidR="00386463" w:rsidP="003F30F6" w:rsidRDefault="00386463">
            <w:pPr>
              <w:pStyle w:val="IEcChartText"/>
              <w:jc w:val="center"/>
            </w:pPr>
            <w:r>
              <w:rPr>
                <w:rFonts w:cs="Calibri"/>
                <w:color w:val="000000"/>
                <w:szCs w:val="18"/>
              </w:rPr>
              <w:t>2,273</w:t>
            </w:r>
          </w:p>
        </w:tc>
      </w:tr>
      <w:tr w:rsidR="00386463" w:rsidTr="003F30F6">
        <w:trPr>
          <w:trHeight w:val="20"/>
        </w:trPr>
        <w:tc>
          <w:tcPr>
            <w:tcW w:w="1202" w:type="pct"/>
            <w:gridSpan w:val="2"/>
            <w:shd w:val="clear" w:color="000000" w:fill="D9D9D9"/>
            <w:noWrap/>
            <w:vAlign w:val="bottom"/>
            <w:hideMark/>
          </w:tcPr>
          <w:p w:rsidR="00386463" w:rsidP="003F30F6" w:rsidRDefault="00386463">
            <w:pPr>
              <w:pStyle w:val="IEcChartText"/>
              <w:jc w:val="right"/>
              <w:rPr>
                <w:b/>
              </w:rPr>
            </w:pPr>
            <w:r>
              <w:rPr>
                <w:b/>
              </w:rPr>
              <w:t>Annual Incremental PRA Burden (Industry)</w:t>
            </w:r>
          </w:p>
        </w:tc>
        <w:tc>
          <w:tcPr>
            <w:tcW w:w="478" w:type="pct"/>
            <w:shd w:val="clear" w:color="000000" w:fill="D9D9D9"/>
            <w:vAlign w:val="center"/>
          </w:tcPr>
          <w:p w:rsidR="00386463" w:rsidP="003F30F6" w:rsidRDefault="00386463">
            <w:pPr>
              <w:pStyle w:val="IEcChartText"/>
              <w:jc w:val="center"/>
              <w:rPr>
                <w:b/>
              </w:rPr>
            </w:pPr>
            <w:r>
              <w:rPr>
                <w:b/>
                <w:color w:val="000000"/>
                <w:szCs w:val="18"/>
              </w:rPr>
              <w:t>95</w:t>
            </w:r>
          </w:p>
        </w:tc>
        <w:tc>
          <w:tcPr>
            <w:tcW w:w="444" w:type="pct"/>
            <w:shd w:val="clear" w:color="000000" w:fill="D9D9D9"/>
            <w:vAlign w:val="center"/>
          </w:tcPr>
          <w:p w:rsidR="00386463" w:rsidP="003F30F6" w:rsidRDefault="00386463">
            <w:pPr>
              <w:pStyle w:val="IEcChartText"/>
              <w:jc w:val="center"/>
              <w:rPr>
                <w:b/>
              </w:rPr>
            </w:pPr>
            <w:r>
              <w:rPr>
                <w:b/>
                <w:color w:val="000000"/>
                <w:szCs w:val="18"/>
              </w:rPr>
              <w:t>151</w:t>
            </w:r>
          </w:p>
        </w:tc>
        <w:tc>
          <w:tcPr>
            <w:tcW w:w="444" w:type="pct"/>
            <w:shd w:val="clear" w:color="000000" w:fill="D9D9D9"/>
            <w:vAlign w:val="center"/>
          </w:tcPr>
          <w:p w:rsidR="00386463" w:rsidP="003F30F6" w:rsidRDefault="00386463">
            <w:pPr>
              <w:pStyle w:val="IEcChartText"/>
              <w:jc w:val="center"/>
              <w:rPr>
                <w:b/>
              </w:rPr>
            </w:pPr>
            <w:r>
              <w:rPr>
                <w:b/>
              </w:rPr>
              <w:t>n/a</w:t>
            </w:r>
          </w:p>
        </w:tc>
        <w:tc>
          <w:tcPr>
            <w:tcW w:w="424" w:type="pct"/>
            <w:shd w:val="clear" w:color="000000" w:fill="D9D9D9"/>
            <w:vAlign w:val="center"/>
          </w:tcPr>
          <w:p w:rsidR="00386463" w:rsidP="003F30F6" w:rsidRDefault="00386463">
            <w:pPr>
              <w:pStyle w:val="IEcChartText"/>
              <w:jc w:val="center"/>
              <w:rPr>
                <w:b/>
              </w:rPr>
            </w:pPr>
            <w:r>
              <w:rPr>
                <w:b/>
              </w:rPr>
              <w:t>n/a</w:t>
            </w:r>
          </w:p>
        </w:tc>
        <w:tc>
          <w:tcPr>
            <w:tcW w:w="358" w:type="pct"/>
            <w:shd w:val="clear" w:color="000000" w:fill="D9D9D9"/>
            <w:vAlign w:val="center"/>
          </w:tcPr>
          <w:p w:rsidR="00386463" w:rsidP="003F30F6" w:rsidRDefault="00386463">
            <w:pPr>
              <w:pStyle w:val="IEcChartText"/>
              <w:jc w:val="center"/>
              <w:rPr>
                <w:b/>
              </w:rPr>
            </w:pPr>
            <w:r>
              <w:rPr>
                <w:b/>
              </w:rPr>
              <w:t>n/a</w:t>
            </w:r>
          </w:p>
        </w:tc>
        <w:tc>
          <w:tcPr>
            <w:tcW w:w="325" w:type="pct"/>
            <w:shd w:val="clear" w:color="000000" w:fill="D9D9D9"/>
            <w:vAlign w:val="center"/>
          </w:tcPr>
          <w:p w:rsidR="00386463" w:rsidP="003F30F6" w:rsidRDefault="00386463">
            <w:pPr>
              <w:pStyle w:val="IEcChartText"/>
              <w:jc w:val="center"/>
              <w:rPr>
                <w:b/>
              </w:rPr>
            </w:pPr>
            <w:r>
              <w:rPr>
                <w:b/>
              </w:rPr>
              <w:t>n/a</w:t>
            </w:r>
          </w:p>
        </w:tc>
        <w:tc>
          <w:tcPr>
            <w:tcW w:w="469" w:type="pct"/>
            <w:shd w:val="clear" w:color="000000" w:fill="D9D9D9"/>
            <w:vAlign w:val="center"/>
          </w:tcPr>
          <w:p w:rsidR="00386463" w:rsidP="003F30F6" w:rsidRDefault="00386463">
            <w:pPr>
              <w:pStyle w:val="IEcChartText"/>
              <w:jc w:val="center"/>
              <w:rPr>
                <w:b/>
              </w:rPr>
            </w:pPr>
            <w:r>
              <w:rPr>
                <w:b/>
              </w:rPr>
              <w:t>n/a</w:t>
            </w:r>
          </w:p>
        </w:tc>
        <w:tc>
          <w:tcPr>
            <w:tcW w:w="442" w:type="pct"/>
            <w:shd w:val="clear" w:color="000000" w:fill="D9D9D9"/>
            <w:noWrap/>
            <w:vAlign w:val="center"/>
            <w:hideMark/>
          </w:tcPr>
          <w:p w:rsidRPr="0009100A" w:rsidR="00386463" w:rsidP="003F30F6" w:rsidRDefault="00386463">
            <w:pPr>
              <w:pStyle w:val="IEcChartText"/>
              <w:jc w:val="center"/>
              <w:rPr>
                <w:b/>
                <w:bCs/>
              </w:rPr>
            </w:pPr>
            <w:r w:rsidRPr="003A77D6">
              <w:rPr>
                <w:rFonts w:cs="Calibri"/>
                <w:b/>
                <w:bCs/>
                <w:color w:val="000000"/>
                <w:szCs w:val="18"/>
              </w:rPr>
              <w:t>61,638</w:t>
            </w:r>
          </w:p>
        </w:tc>
        <w:tc>
          <w:tcPr>
            <w:tcW w:w="414" w:type="pct"/>
            <w:shd w:val="clear" w:color="000000" w:fill="D9D9D9"/>
            <w:vAlign w:val="center"/>
          </w:tcPr>
          <w:p w:rsidRPr="0009100A" w:rsidR="00386463" w:rsidP="003F30F6" w:rsidRDefault="00386463">
            <w:pPr>
              <w:pStyle w:val="IEcChartText"/>
              <w:jc w:val="center"/>
              <w:rPr>
                <w:b/>
                <w:bCs/>
              </w:rPr>
            </w:pPr>
            <w:r w:rsidRPr="003A77D6">
              <w:rPr>
                <w:rFonts w:cs="Calibri"/>
                <w:b/>
                <w:bCs/>
                <w:color w:val="000000"/>
                <w:szCs w:val="18"/>
              </w:rPr>
              <w:t>317,375</w:t>
            </w:r>
          </w:p>
        </w:tc>
      </w:tr>
    </w:tbl>
    <w:p w:rsidR="00386463" w:rsidP="00386463" w:rsidRDefault="00386463">
      <w:pPr>
        <w:spacing w:after="0" w:line="240" w:lineRule="auto"/>
        <w:rPr>
          <w:sz w:val="20"/>
          <w:vertAlign w:val="superscript"/>
        </w:rPr>
      </w:pPr>
      <w:r>
        <w:rPr>
          <w:sz w:val="20"/>
          <w:vertAlign w:val="superscript"/>
        </w:rPr>
        <w:t xml:space="preserve">1 </w:t>
      </w:r>
      <w:r>
        <w:rPr>
          <w:rStyle w:val="IEcChartTextChar"/>
        </w:rPr>
        <w:t>Refer to Section 4.2.2 and Exhibit 4-15 for additional details about the forecasts for the number of surveys that are anticipated.</w:t>
      </w:r>
    </w:p>
    <w:p w:rsidR="00386463" w:rsidP="00386463" w:rsidRDefault="00386463">
      <w:pPr>
        <w:spacing w:after="0" w:line="240" w:lineRule="auto"/>
        <w:rPr>
          <w:rStyle w:val="IEcChartTextChar"/>
        </w:rPr>
      </w:pPr>
      <w:r>
        <w:rPr>
          <w:sz w:val="20"/>
          <w:vertAlign w:val="superscript"/>
        </w:rPr>
        <w:t xml:space="preserve">2 </w:t>
      </w:r>
      <w:r>
        <w:rPr>
          <w:rStyle w:val="IEcChartTextChar"/>
        </w:rPr>
        <w:t xml:space="preserve">Assumes that 74 percent of airgun surveys had two PAM operators on board in the baseline. Under the Final Rule, deep penetration airgun surveys need 4 PAM operators on board. Thus on average, each deep penetration airgun survey requires an additional 2.5 PAM operators (2.5 = 4 – 2 × 0.74). Airgun surveys in shallow waters require 3 PSOs in addition to these PAM operators. </w:t>
      </w:r>
    </w:p>
    <w:p w:rsidR="00386463" w:rsidP="00386463" w:rsidRDefault="00386463">
      <w:pPr>
        <w:spacing w:after="0" w:line="240" w:lineRule="auto"/>
        <w:rPr>
          <w:rStyle w:val="IEcChartTextChar"/>
        </w:rPr>
      </w:pPr>
      <w:r>
        <w:rPr>
          <w:rStyle w:val="IEcChartTextChar"/>
          <w:vertAlign w:val="superscript"/>
        </w:rPr>
        <w:t>3</w:t>
      </w:r>
      <w:r>
        <w:rPr>
          <w:rStyle w:val="IEcChartTextChar"/>
        </w:rPr>
        <w:t xml:space="preserve"> Refer to Section 4.2 and Exhibit 4-2 for additional details about the average duration on water.</w:t>
      </w:r>
    </w:p>
    <w:p w:rsidR="00386463" w:rsidP="00386463" w:rsidRDefault="00386463">
      <w:pPr>
        <w:spacing w:line="240" w:lineRule="auto"/>
        <w:rPr>
          <w:rFonts w:ascii="Trebuchet MS" w:hAnsi="Trebuchet MS"/>
          <w:sz w:val="18"/>
        </w:rPr>
      </w:pPr>
      <w:r>
        <w:rPr>
          <w:rStyle w:val="IEcChartTextChar"/>
          <w:vertAlign w:val="superscript"/>
        </w:rPr>
        <w:t>4</w:t>
      </w:r>
      <w:r>
        <w:rPr>
          <w:rStyle w:val="IEcChartTextChar"/>
        </w:rPr>
        <w:t xml:space="preserve"> Assumes 12 hours per day of data collection and reporting per PSO/PAM Operator.</w:t>
      </w:r>
    </w:p>
    <w:p w:rsidR="00386463" w:rsidP="00386463" w:rsidRDefault="00386463">
      <w:pPr>
        <w:spacing w:after="0" w:line="240" w:lineRule="auto"/>
        <w:rPr>
          <w:rFonts w:ascii="Trebuchet MS" w:hAnsi="Trebuchet MS"/>
          <w:b/>
          <w:bCs/>
          <w:caps/>
          <w:noProof/>
          <w:color w:val="003366"/>
          <w:spacing w:val="20"/>
          <w:kern w:val="8"/>
          <w:sz w:val="17"/>
        </w:rPr>
      </w:pPr>
    </w:p>
    <w:p w:rsidR="00386463" w:rsidP="00386463" w:rsidRDefault="00386463">
      <w:pPr>
        <w:pStyle w:val="IEcExhibitTitle"/>
        <w:spacing w:after="0"/>
        <w:ind w:left="1440"/>
        <w:rPr>
          <w:bCs/>
        </w:rPr>
      </w:pPr>
      <w:r>
        <w:rPr>
          <w:bCs/>
        </w:rPr>
        <w:lastRenderedPageBreak/>
        <w:t>exhibit c-2.</w:t>
      </w:r>
      <w:r>
        <w:rPr>
          <w:bCs/>
        </w:rPr>
        <w:tab/>
        <w:t>Expected incremental Industry Data Collection BURDEN Related to PSO Requirements, average annual hours and costs, 2021-2025 (2019$)</w:t>
      </w:r>
    </w:p>
    <w:tbl>
      <w:tblPr>
        <w:tblW w:w="5000" w:type="pct"/>
        <w:tblBorders>
          <w:top w:val="single" w:color="002060" w:sz="4" w:space="0"/>
          <w:left w:val="single" w:color="002060" w:sz="4" w:space="0"/>
          <w:bottom w:val="single" w:color="002060" w:sz="4" w:space="0"/>
          <w:right w:val="single" w:color="002060" w:sz="4" w:space="0"/>
          <w:insideH w:val="single" w:color="A6A6A6" w:themeColor="background1" w:themeShade="A6" w:sz="4" w:space="0"/>
          <w:insideV w:val="single" w:color="002060" w:sz="4" w:space="0"/>
        </w:tblBorders>
        <w:tblLook w:val="04A0" w:firstRow="1" w:lastRow="0" w:firstColumn="1" w:lastColumn="0" w:noHBand="0" w:noVBand="1"/>
      </w:tblPr>
      <w:tblGrid>
        <w:gridCol w:w="1756"/>
        <w:gridCol w:w="1501"/>
        <w:gridCol w:w="2461"/>
        <w:gridCol w:w="2541"/>
        <w:gridCol w:w="782"/>
        <w:gridCol w:w="785"/>
        <w:gridCol w:w="1233"/>
        <w:gridCol w:w="1891"/>
      </w:tblGrid>
      <w:tr w:rsidR="00386463" w:rsidTr="003F30F6">
        <w:trPr>
          <w:trHeight w:val="602"/>
        </w:trPr>
        <w:tc>
          <w:tcPr>
            <w:tcW w:w="678" w:type="pct"/>
            <w:vMerge w:val="restart"/>
            <w:tcBorders>
              <w:top w:val="single" w:color="002060" w:sz="4" w:space="0"/>
              <w:bottom w:val="single" w:color="000000" w:themeColor="text1" w:sz="12" w:space="0"/>
            </w:tcBorders>
            <w:shd w:val="clear" w:color="000000" w:fill="DDEBF9"/>
            <w:vAlign w:val="bottom"/>
          </w:tcPr>
          <w:p w:rsidR="00386463" w:rsidP="003F30F6" w:rsidRDefault="00386463">
            <w:pPr>
              <w:pStyle w:val="IEcChartHeading"/>
              <w:jc w:val="center"/>
            </w:pPr>
            <w:r>
              <w:t>Survey Type</w:t>
            </w:r>
          </w:p>
        </w:tc>
        <w:tc>
          <w:tcPr>
            <w:tcW w:w="580" w:type="pct"/>
            <w:vMerge w:val="restart"/>
            <w:tcBorders>
              <w:top w:val="single" w:color="002060" w:sz="4" w:space="0"/>
              <w:bottom w:val="single" w:color="000000" w:themeColor="text1" w:sz="12" w:space="0"/>
            </w:tcBorders>
            <w:shd w:val="clear" w:color="000000" w:fill="DDEBF9"/>
            <w:vAlign w:val="bottom"/>
          </w:tcPr>
          <w:p w:rsidR="00386463" w:rsidP="003F30F6" w:rsidRDefault="00386463">
            <w:pPr>
              <w:pStyle w:val="IEcChartHeading"/>
              <w:jc w:val="center"/>
            </w:pPr>
            <w:r>
              <w:t>Water Depth</w:t>
            </w:r>
          </w:p>
        </w:tc>
        <w:tc>
          <w:tcPr>
            <w:tcW w:w="1931" w:type="pct"/>
            <w:gridSpan w:val="2"/>
            <w:tcBorders>
              <w:bottom w:val="single" w:color="A6A6A6" w:themeColor="background1" w:themeShade="A6" w:sz="4" w:space="0"/>
            </w:tcBorders>
            <w:shd w:val="clear" w:color="000000" w:fill="DDEBF9"/>
            <w:vAlign w:val="bottom"/>
          </w:tcPr>
          <w:p w:rsidR="00386463" w:rsidP="003F30F6" w:rsidRDefault="00386463">
            <w:pPr>
              <w:pStyle w:val="IEcChartHeading"/>
              <w:jc w:val="center"/>
            </w:pPr>
            <w:r>
              <w:t>Hours (Average Annual)</w:t>
            </w:r>
            <w:r>
              <w:rPr>
                <w:vertAlign w:val="superscript"/>
              </w:rPr>
              <w:t>1</w:t>
            </w:r>
          </w:p>
        </w:tc>
        <w:tc>
          <w:tcPr>
            <w:tcW w:w="605" w:type="pct"/>
            <w:gridSpan w:val="2"/>
            <w:tcBorders>
              <w:bottom w:val="single" w:color="A6A6A6" w:themeColor="background1" w:themeShade="A6" w:sz="4" w:space="0"/>
            </w:tcBorders>
            <w:shd w:val="clear" w:color="000000" w:fill="DDEBF9"/>
            <w:vAlign w:val="bottom"/>
          </w:tcPr>
          <w:p w:rsidR="00386463" w:rsidP="003F30F6" w:rsidRDefault="00386463">
            <w:pPr>
              <w:pStyle w:val="IEcChartHeading"/>
              <w:spacing w:line="160" w:lineRule="exact"/>
              <w:jc w:val="center"/>
            </w:pPr>
            <w:r>
              <w:t>PSO</w:t>
            </w:r>
          </w:p>
          <w:p w:rsidR="00386463" w:rsidP="003F30F6" w:rsidRDefault="00386463">
            <w:pPr>
              <w:pStyle w:val="IEcChartHeading"/>
              <w:spacing w:line="160" w:lineRule="exact"/>
              <w:jc w:val="center"/>
            </w:pPr>
            <w:r>
              <w:t>wage/hour</w:t>
            </w:r>
            <w:r>
              <w:rPr>
                <w:vertAlign w:val="superscript"/>
              </w:rPr>
              <w:t>2</w:t>
            </w:r>
          </w:p>
        </w:tc>
        <w:tc>
          <w:tcPr>
            <w:tcW w:w="1207" w:type="pct"/>
            <w:gridSpan w:val="2"/>
            <w:tcBorders>
              <w:bottom w:val="single" w:color="A6A6A6" w:themeColor="background1" w:themeShade="A6" w:sz="4" w:space="0"/>
            </w:tcBorders>
            <w:shd w:val="clear" w:color="000000" w:fill="DDEBF9"/>
            <w:vAlign w:val="bottom"/>
          </w:tcPr>
          <w:p w:rsidR="00386463" w:rsidP="003F30F6" w:rsidRDefault="00386463">
            <w:pPr>
              <w:pStyle w:val="IEcChartHeading"/>
              <w:jc w:val="center"/>
            </w:pPr>
            <w:r>
              <w:t>PRA Costs (Average Annual)</w:t>
            </w:r>
            <w:r>
              <w:rPr>
                <w:vertAlign w:val="superscript"/>
              </w:rPr>
              <w:t xml:space="preserve"> 3</w:t>
            </w:r>
          </w:p>
        </w:tc>
      </w:tr>
      <w:tr w:rsidR="00386463" w:rsidTr="003F30F6">
        <w:trPr>
          <w:trHeight w:val="310"/>
        </w:trPr>
        <w:tc>
          <w:tcPr>
            <w:tcW w:w="678" w:type="pct"/>
            <w:vMerge/>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Heading"/>
              <w:jc w:val="center"/>
            </w:pPr>
          </w:p>
        </w:tc>
        <w:tc>
          <w:tcPr>
            <w:tcW w:w="580" w:type="pct"/>
            <w:vMerge/>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Heading"/>
              <w:jc w:val="center"/>
            </w:pPr>
          </w:p>
        </w:tc>
        <w:tc>
          <w:tcPr>
            <w:tcW w:w="950"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981"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302"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302"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476"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731"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r>
      <w:tr w:rsidR="00386463" w:rsidTr="003F30F6">
        <w:trPr>
          <w:trHeight w:val="288"/>
        </w:trPr>
        <w:tc>
          <w:tcPr>
            <w:tcW w:w="678" w:type="pct"/>
            <w:vMerge w:val="restart"/>
            <w:tcBorders>
              <w:top w:val="single" w:color="000000" w:themeColor="text1" w:sz="12" w:space="0"/>
            </w:tcBorders>
            <w:shd w:val="clear" w:color="auto" w:fill="auto"/>
            <w:noWrap/>
            <w:vAlign w:val="center"/>
          </w:tcPr>
          <w:p w:rsidR="00386463" w:rsidP="003F30F6" w:rsidRDefault="00386463">
            <w:pPr>
              <w:pStyle w:val="IEcChartText"/>
            </w:pPr>
            <w:r>
              <w:t>Non-airgun HRG</w:t>
            </w:r>
          </w:p>
        </w:tc>
        <w:tc>
          <w:tcPr>
            <w:tcW w:w="580"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950"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981"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731"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5,824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8,033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$103,000</w:t>
            </w:r>
          </w:p>
        </w:tc>
        <w:tc>
          <w:tcPr>
            <w:tcW w:w="731" w:type="pct"/>
            <w:shd w:val="clear" w:color="auto" w:fill="auto"/>
            <w:noWrap/>
            <w:vAlign w:val="center"/>
          </w:tcPr>
          <w:p w:rsidR="00386463" w:rsidP="003F30F6" w:rsidRDefault="00386463">
            <w:pPr>
              <w:pStyle w:val="IEcChartText"/>
              <w:jc w:val="center"/>
            </w:pPr>
            <w:r>
              <w:t>$355,000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2D</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$0</w:t>
            </w:r>
          </w:p>
        </w:tc>
        <w:tc>
          <w:tcPr>
            <w:tcW w:w="731"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2D-OBN</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$0</w:t>
            </w:r>
          </w:p>
        </w:tc>
        <w:tc>
          <w:tcPr>
            <w:tcW w:w="731"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3D</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5,303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$0</w:t>
            </w:r>
          </w:p>
        </w:tc>
        <w:tc>
          <w:tcPr>
            <w:tcW w:w="731" w:type="pct"/>
            <w:shd w:val="clear" w:color="auto" w:fill="D9D9D9" w:themeFill="background1" w:themeFillShade="D9"/>
            <w:noWrap/>
            <w:vAlign w:val="center"/>
          </w:tcPr>
          <w:p w:rsidR="00386463" w:rsidP="003F30F6" w:rsidRDefault="00386463">
            <w:pPr>
              <w:pStyle w:val="IEcChartText"/>
              <w:jc w:val="center"/>
            </w:pPr>
            <w:r>
              <w:t>$235,000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3D-OBN</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16,376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$0</w:t>
            </w:r>
          </w:p>
        </w:tc>
        <w:tc>
          <w:tcPr>
            <w:tcW w:w="731" w:type="pct"/>
            <w:shd w:val="clear" w:color="auto" w:fill="D9D9D9" w:themeFill="background1" w:themeFillShade="D9"/>
            <w:noWrap/>
            <w:vAlign w:val="center"/>
          </w:tcPr>
          <w:p w:rsidR="00386463" w:rsidP="003F30F6" w:rsidRDefault="00386463">
            <w:pPr>
              <w:pStyle w:val="IEcChartText"/>
              <w:jc w:val="center"/>
            </w:pPr>
            <w:r>
              <w:t>$725,000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WAZ</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12,443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$0</w:t>
            </w:r>
          </w:p>
        </w:tc>
        <w:tc>
          <w:tcPr>
            <w:tcW w:w="731" w:type="pct"/>
            <w:shd w:val="clear" w:color="auto" w:fill="D9D9D9" w:themeFill="background1" w:themeFillShade="D9"/>
            <w:noWrap/>
            <w:vAlign w:val="center"/>
          </w:tcPr>
          <w:p w:rsidR="00386463" w:rsidP="003F30F6" w:rsidRDefault="00386463">
            <w:pPr>
              <w:pStyle w:val="IEcChartText"/>
              <w:jc w:val="center"/>
            </w:pPr>
            <w:r>
              <w:t>$551,000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Airgun HRG</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250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384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$4,420</w:t>
            </w:r>
          </w:p>
        </w:tc>
        <w:tc>
          <w:tcPr>
            <w:tcW w:w="731" w:type="pct"/>
            <w:shd w:val="clear" w:color="auto" w:fill="D9D9D9" w:themeFill="background1" w:themeFillShade="D9"/>
            <w:noWrap/>
            <w:vAlign w:val="center"/>
          </w:tcPr>
          <w:p w:rsidR="00386463" w:rsidP="003F30F6" w:rsidRDefault="00386463">
            <w:pPr>
              <w:pStyle w:val="IEcChartText"/>
              <w:jc w:val="center"/>
            </w:pPr>
            <w:r>
              <w:t>$17,000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VSP</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2,601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4,231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$46,000</w:t>
            </w:r>
          </w:p>
        </w:tc>
        <w:tc>
          <w:tcPr>
            <w:tcW w:w="731" w:type="pct"/>
            <w:shd w:val="clear" w:color="auto" w:fill="D9D9D9" w:themeFill="background1" w:themeFillShade="D9"/>
            <w:noWrap/>
            <w:vAlign w:val="center"/>
          </w:tcPr>
          <w:p w:rsidR="00386463" w:rsidP="003F30F6" w:rsidRDefault="00386463">
            <w:pPr>
              <w:pStyle w:val="IEcChartText"/>
              <w:jc w:val="center"/>
            </w:pPr>
            <w:r>
              <w:t>$187,000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78" w:type="pct"/>
            <w:vMerge w:val="restart"/>
            <w:shd w:val="clear" w:color="auto" w:fill="auto"/>
            <w:noWrap/>
            <w:vAlign w:val="center"/>
          </w:tcPr>
          <w:p w:rsidR="00386463" w:rsidP="003F30F6" w:rsidRDefault="00386463">
            <w:pPr>
              <w:pStyle w:val="IEcChartText"/>
            </w:pPr>
            <w:r>
              <w:t>SWD</w:t>
            </w:r>
          </w:p>
        </w:tc>
        <w:tc>
          <w:tcPr>
            <w:tcW w:w="580" w:type="pct"/>
            <w:shd w:val="clear" w:color="auto" w:fill="D9D9D9" w:themeFill="background1" w:themeFillShade="D9"/>
            <w:noWrap/>
            <w:vAlign w:val="bottom"/>
          </w:tcPr>
          <w:p w:rsidR="00386463" w:rsidP="003F30F6" w:rsidRDefault="00386463">
            <w:pPr>
              <w:pStyle w:val="IEcChartText"/>
            </w:pPr>
            <w:r>
              <w:t>Shallow</w:t>
            </w:r>
          </w:p>
        </w:tc>
        <w:tc>
          <w:tcPr>
            <w:tcW w:w="950"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D9D9D9" w:themeFill="background1" w:themeFillShade="D9"/>
            <w:noWrap/>
            <w:vAlign w:val="center"/>
          </w:tcPr>
          <w:p w:rsidR="00386463" w:rsidP="003F30F6" w:rsidRDefault="00386463">
            <w:pPr>
              <w:pStyle w:val="IEcChartText"/>
              <w:jc w:val="center"/>
            </w:pPr>
            <w:r>
              <w:t>$0</w:t>
            </w:r>
          </w:p>
        </w:tc>
        <w:tc>
          <w:tcPr>
            <w:tcW w:w="731"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78" w:type="pct"/>
            <w:vMerge/>
            <w:shd w:val="clear" w:color="auto" w:fill="auto"/>
            <w:noWrap/>
            <w:vAlign w:val="center"/>
          </w:tcPr>
          <w:p w:rsidR="00386463" w:rsidP="003F30F6" w:rsidRDefault="00386463">
            <w:pPr>
              <w:pStyle w:val="IEcChartText"/>
            </w:pPr>
          </w:p>
        </w:tc>
        <w:tc>
          <w:tcPr>
            <w:tcW w:w="580" w:type="pct"/>
            <w:shd w:val="clear" w:color="auto" w:fill="auto"/>
            <w:noWrap/>
            <w:vAlign w:val="bottom"/>
          </w:tcPr>
          <w:p w:rsidR="00386463" w:rsidP="003F30F6" w:rsidRDefault="00386463">
            <w:pPr>
              <w:pStyle w:val="IEcChartText"/>
            </w:pPr>
            <w:r>
              <w:t>Deep</w:t>
            </w:r>
          </w:p>
        </w:tc>
        <w:tc>
          <w:tcPr>
            <w:tcW w:w="950"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$18</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$44</w:t>
            </w:r>
          </w:p>
        </w:tc>
        <w:tc>
          <w:tcPr>
            <w:tcW w:w="476" w:type="pct"/>
            <w:shd w:val="clear" w:color="auto" w:fill="auto"/>
            <w:noWrap/>
            <w:vAlign w:val="center"/>
          </w:tcPr>
          <w:p w:rsidR="00386463" w:rsidP="003F30F6" w:rsidRDefault="00386463">
            <w:pPr>
              <w:pStyle w:val="IEcChartText"/>
              <w:jc w:val="center"/>
            </w:pPr>
            <w:r>
              <w:t>$0</w:t>
            </w:r>
          </w:p>
        </w:tc>
        <w:tc>
          <w:tcPr>
            <w:tcW w:w="731" w:type="pct"/>
            <w:shd w:val="clear" w:color="auto" w:fill="auto"/>
            <w:noWrap/>
            <w:vAlign w:val="center"/>
          </w:tcPr>
          <w:p w:rsidR="00386463" w:rsidP="003F30F6" w:rsidRDefault="00386463">
            <w:pPr>
              <w:pStyle w:val="IEcChartText"/>
              <w:jc w:val="center"/>
            </w:pPr>
            <w:r>
              <w:t>$0</w:t>
            </w:r>
          </w:p>
        </w:tc>
      </w:tr>
      <w:tr w:rsidR="00386463" w:rsidTr="003F30F6">
        <w:trPr>
          <w:trHeight w:val="290"/>
        </w:trPr>
        <w:tc>
          <w:tcPr>
            <w:tcW w:w="1258" w:type="pct"/>
            <w:gridSpan w:val="2"/>
            <w:shd w:val="clear" w:color="000000" w:fill="D9D9D9"/>
            <w:noWrap/>
            <w:vAlign w:val="bottom"/>
            <w:hideMark/>
          </w:tcPr>
          <w:p w:rsidR="00386463" w:rsidP="003F30F6" w:rsidRDefault="00386463">
            <w:pPr>
              <w:pStyle w:val="IEcChartText"/>
              <w:jc w:val="right"/>
              <w:rPr>
                <w:b/>
              </w:rPr>
            </w:pPr>
            <w:r>
              <w:rPr>
                <w:b/>
              </w:rPr>
              <w:t>Total Annual PRA Burden (Industry) </w:t>
            </w:r>
          </w:p>
        </w:tc>
        <w:tc>
          <w:tcPr>
            <w:tcW w:w="950" w:type="pct"/>
            <w:shd w:val="clear" w:color="000000" w:fill="D9D9D9"/>
            <w:vAlign w:val="bottom"/>
          </w:tcPr>
          <w:p w:rsidRPr="0009100A" w:rsidR="00386463" w:rsidP="003F30F6" w:rsidRDefault="00386463">
            <w:pPr>
              <w:pStyle w:val="IEcChartText"/>
              <w:jc w:val="center"/>
              <w:rPr>
                <w:b/>
                <w:bCs/>
              </w:rPr>
            </w:pPr>
            <w:r w:rsidRPr="003A77D6">
              <w:rPr>
                <w:rFonts w:cs="Calibri"/>
                <w:b/>
                <w:bCs/>
                <w:color w:val="000000"/>
                <w:szCs w:val="18"/>
              </w:rPr>
              <w:t xml:space="preserve">                       8,675 </w:t>
            </w:r>
          </w:p>
        </w:tc>
        <w:tc>
          <w:tcPr>
            <w:tcW w:w="981" w:type="pct"/>
            <w:shd w:val="clear" w:color="000000" w:fill="D9D9D9"/>
            <w:vAlign w:val="bottom"/>
          </w:tcPr>
          <w:p w:rsidRPr="0009100A" w:rsidR="00386463" w:rsidP="003F30F6" w:rsidRDefault="00386463">
            <w:pPr>
              <w:pStyle w:val="IEcChartText"/>
              <w:jc w:val="center"/>
              <w:rPr>
                <w:b/>
                <w:bCs/>
              </w:rPr>
            </w:pPr>
            <w:r w:rsidRPr="003A77D6">
              <w:rPr>
                <w:rFonts w:cs="Calibri"/>
                <w:b/>
                <w:bCs/>
                <w:color w:val="000000"/>
                <w:szCs w:val="18"/>
              </w:rPr>
              <w:t xml:space="preserve">                     46,770 </w:t>
            </w:r>
          </w:p>
        </w:tc>
        <w:tc>
          <w:tcPr>
            <w:tcW w:w="302" w:type="pct"/>
            <w:shd w:val="clear" w:color="000000" w:fill="D9D9D9"/>
            <w:vAlign w:val="center"/>
          </w:tcPr>
          <w:p w:rsidR="00386463" w:rsidP="003F30F6" w:rsidRDefault="00386463">
            <w:pPr>
              <w:pStyle w:val="IEcChartText"/>
              <w:jc w:val="center"/>
              <w:rPr>
                <w:b/>
              </w:rPr>
            </w:pPr>
            <w:r>
              <w:rPr>
                <w:b/>
              </w:rPr>
              <w:t>n/a</w:t>
            </w:r>
          </w:p>
        </w:tc>
        <w:tc>
          <w:tcPr>
            <w:tcW w:w="302" w:type="pct"/>
            <w:shd w:val="clear" w:color="000000" w:fill="D9D9D9"/>
            <w:vAlign w:val="center"/>
          </w:tcPr>
          <w:p w:rsidR="00386463" w:rsidP="003F30F6" w:rsidRDefault="00386463">
            <w:pPr>
              <w:pStyle w:val="IEcChartText"/>
              <w:jc w:val="center"/>
              <w:rPr>
                <w:b/>
              </w:rPr>
            </w:pPr>
            <w:r>
              <w:rPr>
                <w:b/>
              </w:rPr>
              <w:t>n/a</w:t>
            </w:r>
          </w:p>
        </w:tc>
        <w:tc>
          <w:tcPr>
            <w:tcW w:w="476" w:type="pct"/>
            <w:shd w:val="clear" w:color="000000" w:fill="D9D9D9"/>
            <w:noWrap/>
            <w:vAlign w:val="center"/>
          </w:tcPr>
          <w:p w:rsidR="00386463" w:rsidP="003F30F6" w:rsidRDefault="00386463">
            <w:pPr>
              <w:pStyle w:val="IEcChartText"/>
              <w:jc w:val="center"/>
              <w:rPr>
                <w:b/>
              </w:rPr>
            </w:pPr>
            <w:r>
              <w:rPr>
                <w:b/>
                <w:color w:val="000000"/>
                <w:szCs w:val="18"/>
              </w:rPr>
              <w:t>$154,000</w:t>
            </w:r>
          </w:p>
        </w:tc>
        <w:tc>
          <w:tcPr>
            <w:tcW w:w="731" w:type="pct"/>
            <w:shd w:val="clear" w:color="000000" w:fill="D9D9D9"/>
            <w:vAlign w:val="center"/>
          </w:tcPr>
          <w:p w:rsidR="00386463" w:rsidP="003F30F6" w:rsidRDefault="00386463">
            <w:pPr>
              <w:pStyle w:val="IEcChartText"/>
              <w:jc w:val="center"/>
              <w:rPr>
                <w:b/>
              </w:rPr>
            </w:pPr>
            <w:r>
              <w:rPr>
                <w:b/>
                <w:color w:val="000000"/>
                <w:szCs w:val="18"/>
              </w:rPr>
              <w:t>$2,070,000</w:t>
            </w:r>
          </w:p>
        </w:tc>
      </w:tr>
    </w:tbl>
    <w:p w:rsidR="00386463" w:rsidP="00386463" w:rsidRDefault="00386463">
      <w:pPr>
        <w:pStyle w:val="IEcChartText"/>
      </w:pPr>
      <w:r>
        <w:rPr>
          <w:vertAlign w:val="superscript"/>
        </w:rPr>
        <w:t xml:space="preserve">1 </w:t>
      </w:r>
      <w:r>
        <w:t>See previous exhibit for calculations of these hours.</w:t>
      </w:r>
    </w:p>
    <w:p w:rsidR="00386463" w:rsidP="00386463" w:rsidRDefault="00386463">
      <w:pPr>
        <w:pStyle w:val="IEcChartText"/>
      </w:pPr>
      <w:r>
        <w:rPr>
          <w:vertAlign w:val="superscript"/>
        </w:rPr>
        <w:t>2</w:t>
      </w:r>
      <w:r>
        <w:t xml:space="preserve"> Hourly wage rates are calculated from daily wage rates of $212 to $531 per day for PSOs.</w:t>
      </w:r>
    </w:p>
    <w:p w:rsidR="00386463" w:rsidP="00386463" w:rsidRDefault="00386463">
      <w:pPr>
        <w:pStyle w:val="IEcChartText"/>
      </w:pPr>
      <w:r>
        <w:rPr>
          <w:vertAlign w:val="superscript"/>
        </w:rPr>
        <w:t xml:space="preserve">3 </w:t>
      </w:r>
      <w:r>
        <w:t xml:space="preserve">These costs are also reported as components of compliance costs estimates provided in the main body of the report. </w:t>
      </w:r>
    </w:p>
    <w:p w:rsidR="00386463" w:rsidP="00386463" w:rsidRDefault="00386463">
      <w:pPr>
        <w:spacing w:after="0" w:line="240" w:lineRule="auto"/>
        <w:rPr>
          <w:bCs/>
        </w:rPr>
      </w:pPr>
      <w:r>
        <w:rPr>
          <w:bCs/>
        </w:rPr>
        <w:br w:type="page"/>
      </w:r>
    </w:p>
    <w:p w:rsidR="00386463" w:rsidP="00386463" w:rsidRDefault="00386463">
      <w:pPr>
        <w:pStyle w:val="IEcExhibitTitle"/>
        <w:spacing w:after="0"/>
        <w:ind w:left="1440"/>
        <w:rPr>
          <w:bCs/>
        </w:rPr>
      </w:pPr>
      <w:r>
        <w:rPr>
          <w:bCs/>
        </w:rPr>
        <w:lastRenderedPageBreak/>
        <w:t>exhibit c-3.</w:t>
      </w:r>
      <w:r>
        <w:rPr>
          <w:bCs/>
        </w:rPr>
        <w:tab/>
        <w:t>Expected incremental Industry Data Collection BURDEN Related to PAM Requirements, average annual hours and costs, 2021-2025 (2019$)</w:t>
      </w:r>
    </w:p>
    <w:tbl>
      <w:tblPr>
        <w:tblW w:w="5000" w:type="pct"/>
        <w:tblBorders>
          <w:top w:val="single" w:color="002060" w:sz="4" w:space="0"/>
          <w:left w:val="single" w:color="002060" w:sz="4" w:space="0"/>
          <w:bottom w:val="single" w:color="002060" w:sz="4" w:space="0"/>
          <w:right w:val="single" w:color="002060" w:sz="4" w:space="0"/>
          <w:insideH w:val="single" w:color="A6A6A6" w:themeColor="background1" w:themeShade="A6" w:sz="4" w:space="0"/>
          <w:insideV w:val="single" w:color="002060" w:sz="4" w:space="0"/>
        </w:tblBorders>
        <w:tblLook w:val="04A0" w:firstRow="1" w:lastRow="0" w:firstColumn="1" w:lastColumn="0" w:noHBand="0" w:noVBand="1"/>
      </w:tblPr>
      <w:tblGrid>
        <w:gridCol w:w="1725"/>
        <w:gridCol w:w="1479"/>
        <w:gridCol w:w="2541"/>
        <w:gridCol w:w="2621"/>
        <w:gridCol w:w="782"/>
        <w:gridCol w:w="940"/>
        <w:gridCol w:w="1274"/>
        <w:gridCol w:w="1588"/>
      </w:tblGrid>
      <w:tr w:rsidR="00386463" w:rsidTr="003F30F6">
        <w:trPr>
          <w:trHeight w:val="602"/>
        </w:trPr>
        <w:tc>
          <w:tcPr>
            <w:tcW w:w="666" w:type="pct"/>
            <w:vMerge w:val="restart"/>
            <w:tcBorders>
              <w:top w:val="single" w:color="002060" w:sz="4" w:space="0"/>
              <w:bottom w:val="single" w:color="000000" w:themeColor="text1" w:sz="12" w:space="0"/>
            </w:tcBorders>
            <w:shd w:val="clear" w:color="000000" w:fill="DDEBF9"/>
            <w:vAlign w:val="bottom"/>
          </w:tcPr>
          <w:p w:rsidR="00386463" w:rsidP="003F30F6" w:rsidRDefault="00386463">
            <w:pPr>
              <w:pStyle w:val="IEcChartHeading"/>
              <w:jc w:val="center"/>
            </w:pPr>
            <w:r>
              <w:t>Survey Type</w:t>
            </w:r>
          </w:p>
        </w:tc>
        <w:tc>
          <w:tcPr>
            <w:tcW w:w="571" w:type="pct"/>
            <w:vMerge w:val="restart"/>
            <w:tcBorders>
              <w:top w:val="single" w:color="002060" w:sz="4" w:space="0"/>
              <w:bottom w:val="single" w:color="000000" w:themeColor="text1" w:sz="12" w:space="0"/>
            </w:tcBorders>
            <w:shd w:val="clear" w:color="000000" w:fill="DDEBF9"/>
            <w:vAlign w:val="bottom"/>
          </w:tcPr>
          <w:p w:rsidR="00386463" w:rsidP="003F30F6" w:rsidRDefault="00386463">
            <w:pPr>
              <w:pStyle w:val="IEcChartHeading"/>
              <w:jc w:val="center"/>
            </w:pPr>
            <w:r>
              <w:t>Water Depth</w:t>
            </w:r>
          </w:p>
        </w:tc>
        <w:tc>
          <w:tcPr>
            <w:tcW w:w="1992" w:type="pct"/>
            <w:gridSpan w:val="2"/>
            <w:tcBorders>
              <w:bottom w:val="single" w:color="A6A6A6" w:themeColor="background1" w:themeShade="A6" w:sz="4" w:space="0"/>
            </w:tcBorders>
            <w:shd w:val="clear" w:color="000000" w:fill="DDEBF9"/>
            <w:vAlign w:val="bottom"/>
          </w:tcPr>
          <w:p w:rsidR="00386463" w:rsidP="003F30F6" w:rsidRDefault="00386463">
            <w:pPr>
              <w:pStyle w:val="IEcChartHeading"/>
              <w:jc w:val="center"/>
            </w:pPr>
            <w:r>
              <w:t>Hours (Average Annual)</w:t>
            </w:r>
            <w:r>
              <w:rPr>
                <w:vertAlign w:val="superscript"/>
              </w:rPr>
              <w:t>1</w:t>
            </w:r>
          </w:p>
        </w:tc>
        <w:tc>
          <w:tcPr>
            <w:tcW w:w="665" w:type="pct"/>
            <w:gridSpan w:val="2"/>
            <w:tcBorders>
              <w:bottom w:val="single" w:color="A6A6A6" w:themeColor="background1" w:themeShade="A6" w:sz="4" w:space="0"/>
            </w:tcBorders>
            <w:shd w:val="clear" w:color="000000" w:fill="DDEBF9"/>
            <w:vAlign w:val="bottom"/>
          </w:tcPr>
          <w:p w:rsidR="00386463" w:rsidP="003F30F6" w:rsidRDefault="00386463">
            <w:pPr>
              <w:pStyle w:val="IEcChartHeading"/>
              <w:spacing w:line="160" w:lineRule="exact"/>
              <w:jc w:val="center"/>
            </w:pPr>
            <w:r>
              <w:t>PAM Operator</w:t>
            </w:r>
          </w:p>
          <w:p w:rsidR="00386463" w:rsidP="003F30F6" w:rsidRDefault="00386463">
            <w:pPr>
              <w:pStyle w:val="IEcChartHeading"/>
              <w:spacing w:line="160" w:lineRule="exact"/>
              <w:jc w:val="center"/>
            </w:pPr>
            <w:r>
              <w:t>wage/hour</w:t>
            </w:r>
            <w:r>
              <w:rPr>
                <w:vertAlign w:val="superscript"/>
              </w:rPr>
              <w:t>2</w:t>
            </w:r>
          </w:p>
        </w:tc>
        <w:tc>
          <w:tcPr>
            <w:tcW w:w="1106" w:type="pct"/>
            <w:gridSpan w:val="2"/>
            <w:tcBorders>
              <w:bottom w:val="single" w:color="A6A6A6" w:themeColor="background1" w:themeShade="A6" w:sz="4" w:space="0"/>
            </w:tcBorders>
            <w:shd w:val="clear" w:color="000000" w:fill="DDEBF9"/>
            <w:vAlign w:val="bottom"/>
          </w:tcPr>
          <w:p w:rsidR="00386463" w:rsidP="003F30F6" w:rsidRDefault="00386463">
            <w:pPr>
              <w:pStyle w:val="IEcChartHeading"/>
              <w:jc w:val="center"/>
            </w:pPr>
            <w:r>
              <w:t>PRA Costs (Average Annual)</w:t>
            </w:r>
            <w:r>
              <w:rPr>
                <w:vertAlign w:val="superscript"/>
              </w:rPr>
              <w:t xml:space="preserve"> 3</w:t>
            </w:r>
          </w:p>
        </w:tc>
      </w:tr>
      <w:tr w:rsidR="00386463" w:rsidTr="003F30F6">
        <w:trPr>
          <w:trHeight w:val="310"/>
        </w:trPr>
        <w:tc>
          <w:tcPr>
            <w:tcW w:w="666" w:type="pct"/>
            <w:vMerge/>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Heading"/>
              <w:jc w:val="center"/>
            </w:pPr>
          </w:p>
        </w:tc>
        <w:tc>
          <w:tcPr>
            <w:tcW w:w="571" w:type="pct"/>
            <w:vMerge/>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Heading"/>
              <w:jc w:val="center"/>
            </w:pPr>
          </w:p>
        </w:tc>
        <w:tc>
          <w:tcPr>
            <w:tcW w:w="981"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1012"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302"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363"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492"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614"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r>
      <w:tr w:rsidR="00386463" w:rsidTr="003F30F6">
        <w:trPr>
          <w:trHeight w:val="288"/>
        </w:trPr>
        <w:tc>
          <w:tcPr>
            <w:tcW w:w="666" w:type="pct"/>
            <w:vMerge w:val="restart"/>
            <w:tcBorders>
              <w:top w:val="single" w:color="000000" w:themeColor="text1" w:sz="12" w:space="0"/>
            </w:tcBorders>
            <w:shd w:val="clear" w:color="auto" w:fill="auto"/>
            <w:noWrap/>
            <w:vAlign w:val="center"/>
          </w:tcPr>
          <w:p w:rsidR="00386463" w:rsidP="003F30F6" w:rsidRDefault="00386463">
            <w:pPr>
              <w:pStyle w:val="IEcChartText"/>
            </w:pPr>
            <w:r>
              <w:t>Non-airgun HRG</w:t>
            </w:r>
          </w:p>
        </w:tc>
        <w:tc>
          <w:tcPr>
            <w:tcW w:w="571"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pPr>
            <w:r>
              <w:t>Shallow</w:t>
            </w:r>
          </w:p>
        </w:tc>
        <w:tc>
          <w:tcPr>
            <w:tcW w:w="981"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614"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$0</w:t>
            </w:r>
          </w:p>
        </w:tc>
        <w:tc>
          <w:tcPr>
            <w:tcW w:w="614"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2D</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$0</w:t>
            </w:r>
          </w:p>
        </w:tc>
        <w:tc>
          <w:tcPr>
            <w:tcW w:w="614"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9,574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$0</w:t>
            </w:r>
          </w:p>
        </w:tc>
        <w:tc>
          <w:tcPr>
            <w:tcW w:w="614" w:type="pct"/>
            <w:shd w:val="clear" w:color="auto" w:fill="auto"/>
            <w:noWrap/>
            <w:vAlign w:val="center"/>
          </w:tcPr>
          <w:p w:rsidR="00386463" w:rsidP="003F30F6" w:rsidRDefault="00386463">
            <w:pPr>
              <w:pStyle w:val="IEcChartText"/>
              <w:jc w:val="center"/>
            </w:pPr>
            <w:r>
              <w:t>$508,000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2D-OBN</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$0</w:t>
            </w:r>
          </w:p>
        </w:tc>
        <w:tc>
          <w:tcPr>
            <w:tcW w:w="614"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2,606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$0</w:t>
            </w:r>
          </w:p>
        </w:tc>
        <w:tc>
          <w:tcPr>
            <w:tcW w:w="614" w:type="pct"/>
            <w:shd w:val="clear" w:color="auto" w:fill="auto"/>
            <w:noWrap/>
            <w:vAlign w:val="center"/>
          </w:tcPr>
          <w:p w:rsidR="00386463" w:rsidP="003F30F6" w:rsidRDefault="00386463">
            <w:pPr>
              <w:pStyle w:val="IEcChartText"/>
              <w:jc w:val="center"/>
            </w:pPr>
            <w:r>
              <w:t>$138,000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3D</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4,454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$0</w:t>
            </w:r>
          </w:p>
        </w:tc>
        <w:tc>
          <w:tcPr>
            <w:tcW w:w="614" w:type="pct"/>
            <w:shd w:val="clear" w:color="auto" w:fill="D9D9D9" w:themeFill="background1" w:themeFillShade="D9"/>
            <w:noWrap/>
            <w:vAlign w:val="center"/>
          </w:tcPr>
          <w:p w:rsidR="00386463" w:rsidP="003F30F6" w:rsidRDefault="00386463">
            <w:pPr>
              <w:pStyle w:val="IEcChartText"/>
              <w:jc w:val="center"/>
            </w:pPr>
            <w:r>
              <w:t>$236,000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3,631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9,806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$96,400</w:t>
            </w:r>
          </w:p>
        </w:tc>
        <w:tc>
          <w:tcPr>
            <w:tcW w:w="614" w:type="pct"/>
            <w:shd w:val="clear" w:color="auto" w:fill="auto"/>
            <w:noWrap/>
            <w:vAlign w:val="center"/>
          </w:tcPr>
          <w:p w:rsidR="00386463" w:rsidP="003F30F6" w:rsidRDefault="00386463">
            <w:pPr>
              <w:pStyle w:val="IEcChartText"/>
              <w:jc w:val="center"/>
            </w:pPr>
            <w:r>
              <w:t>$521,000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3D-OBN</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13,756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$0</w:t>
            </w:r>
          </w:p>
        </w:tc>
        <w:tc>
          <w:tcPr>
            <w:tcW w:w="614" w:type="pct"/>
            <w:shd w:val="clear" w:color="auto" w:fill="D9D9D9" w:themeFill="background1" w:themeFillShade="D9"/>
            <w:noWrap/>
            <w:vAlign w:val="center"/>
          </w:tcPr>
          <w:p w:rsidR="00386463" w:rsidP="003F30F6" w:rsidRDefault="00386463">
            <w:pPr>
              <w:pStyle w:val="IEcChartText"/>
              <w:jc w:val="center"/>
            </w:pPr>
            <w:r>
              <w:t>$730,000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3,737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30,285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$99,200</w:t>
            </w:r>
          </w:p>
        </w:tc>
        <w:tc>
          <w:tcPr>
            <w:tcW w:w="614" w:type="pct"/>
            <w:shd w:val="clear" w:color="auto" w:fill="auto"/>
            <w:noWrap/>
            <w:vAlign w:val="center"/>
          </w:tcPr>
          <w:p w:rsidR="00386463" w:rsidP="003F30F6" w:rsidRDefault="00386463">
            <w:pPr>
              <w:pStyle w:val="IEcChartText"/>
              <w:jc w:val="center"/>
            </w:pPr>
            <w:r>
              <w:t>$1,610,000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WAZ</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10,452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$0</w:t>
            </w:r>
          </w:p>
        </w:tc>
        <w:tc>
          <w:tcPr>
            <w:tcW w:w="614" w:type="pct"/>
            <w:shd w:val="clear" w:color="auto" w:fill="D9D9D9" w:themeFill="background1" w:themeFillShade="D9"/>
            <w:noWrap/>
            <w:vAlign w:val="center"/>
          </w:tcPr>
          <w:p w:rsidR="00386463" w:rsidP="003F30F6" w:rsidRDefault="00386463">
            <w:pPr>
              <w:pStyle w:val="IEcChartText"/>
              <w:jc w:val="center"/>
            </w:pPr>
            <w:r>
              <w:t>$555,000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35,622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173,996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$946,000</w:t>
            </w:r>
          </w:p>
        </w:tc>
        <w:tc>
          <w:tcPr>
            <w:tcW w:w="614" w:type="pct"/>
            <w:shd w:val="clear" w:color="auto" w:fill="auto"/>
            <w:noWrap/>
            <w:vAlign w:val="center"/>
          </w:tcPr>
          <w:p w:rsidR="00386463" w:rsidP="003F30F6" w:rsidRDefault="00386463">
            <w:pPr>
              <w:pStyle w:val="IEcChartText"/>
              <w:jc w:val="center"/>
            </w:pPr>
            <w:r>
              <w:t>$9,240,000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Airgun HRG</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$0</w:t>
            </w:r>
          </w:p>
        </w:tc>
        <w:tc>
          <w:tcPr>
            <w:tcW w:w="614"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$0</w:t>
            </w:r>
          </w:p>
        </w:tc>
        <w:tc>
          <w:tcPr>
            <w:tcW w:w="614" w:type="pct"/>
            <w:shd w:val="clear" w:color="auto" w:fill="auto"/>
            <w:noWrap/>
            <w:vAlign w:val="center"/>
          </w:tcPr>
          <w:p w:rsidR="00386463" w:rsidP="003F30F6" w:rsidRDefault="00386463">
            <w:pPr>
              <w:pStyle w:val="IEcChartText"/>
              <w:jc w:val="center"/>
            </w:pPr>
            <w:r>
              <w:t>$0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VSP</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2,185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3,554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$58,000</w:t>
            </w:r>
          </w:p>
        </w:tc>
        <w:tc>
          <w:tcPr>
            <w:tcW w:w="614" w:type="pct"/>
            <w:shd w:val="clear" w:color="auto" w:fill="D9D9D9" w:themeFill="background1" w:themeFillShade="D9"/>
            <w:noWrap/>
            <w:vAlign w:val="center"/>
          </w:tcPr>
          <w:p w:rsidR="00386463" w:rsidP="003F30F6" w:rsidRDefault="00386463">
            <w:pPr>
              <w:pStyle w:val="IEcChartText"/>
              <w:jc w:val="center"/>
            </w:pPr>
            <w:r>
              <w:t>$189,000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6,597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9,848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$175,000</w:t>
            </w:r>
          </w:p>
        </w:tc>
        <w:tc>
          <w:tcPr>
            <w:tcW w:w="614" w:type="pct"/>
            <w:shd w:val="clear" w:color="auto" w:fill="auto"/>
            <w:noWrap/>
            <w:vAlign w:val="center"/>
          </w:tcPr>
          <w:p w:rsidR="00386463" w:rsidP="003F30F6" w:rsidRDefault="00386463">
            <w:pPr>
              <w:pStyle w:val="IEcChartText"/>
              <w:jc w:val="center"/>
            </w:pPr>
            <w:r>
              <w:t>$523,000</w:t>
            </w:r>
          </w:p>
        </w:tc>
      </w:tr>
      <w:tr w:rsidR="00386463" w:rsidTr="003F30F6">
        <w:trPr>
          <w:trHeight w:val="288"/>
        </w:trPr>
        <w:tc>
          <w:tcPr>
            <w:tcW w:w="666" w:type="pct"/>
            <w:vMerge w:val="restart"/>
            <w:shd w:val="clear" w:color="auto" w:fill="auto"/>
            <w:noWrap/>
            <w:vAlign w:val="center"/>
          </w:tcPr>
          <w:p w:rsidR="00386463" w:rsidP="003F30F6" w:rsidRDefault="00386463">
            <w:pPr>
              <w:pStyle w:val="IEcChartText"/>
            </w:pPr>
            <w:r>
              <w:t>SWD</w:t>
            </w:r>
          </w:p>
        </w:tc>
        <w:tc>
          <w:tcPr>
            <w:tcW w:w="571" w:type="pct"/>
            <w:shd w:val="clear" w:color="auto" w:fill="D9D9D9" w:themeFill="background1" w:themeFillShade="D9"/>
            <w:noWrap/>
            <w:vAlign w:val="center"/>
          </w:tcPr>
          <w:p w:rsidR="00386463" w:rsidP="003F30F6" w:rsidRDefault="00386463">
            <w:pPr>
              <w:pStyle w:val="IEcChartText"/>
            </w:pPr>
            <w:r>
              <w:t>Shallow</w:t>
            </w:r>
          </w:p>
        </w:tc>
        <w:tc>
          <w:tcPr>
            <w:tcW w:w="981"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101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 xml:space="preserve">                            -   </w:t>
            </w:r>
          </w:p>
        </w:tc>
        <w:tc>
          <w:tcPr>
            <w:tcW w:w="302"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D9D9D9" w:themeFill="background1" w:themeFillShade="D9"/>
            <w:noWrap/>
            <w:vAlign w:val="center"/>
          </w:tcPr>
          <w:p w:rsidR="00386463" w:rsidP="003F30F6" w:rsidRDefault="00386463">
            <w:pPr>
              <w:pStyle w:val="IEcChartText"/>
              <w:jc w:val="center"/>
            </w:pPr>
            <w:r>
              <w:t>$0</w:t>
            </w:r>
          </w:p>
        </w:tc>
        <w:tc>
          <w:tcPr>
            <w:tcW w:w="614"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88"/>
        </w:trPr>
        <w:tc>
          <w:tcPr>
            <w:tcW w:w="666" w:type="pct"/>
            <w:vMerge/>
            <w:shd w:val="clear" w:color="auto" w:fill="auto"/>
            <w:noWrap/>
            <w:vAlign w:val="center"/>
          </w:tcPr>
          <w:p w:rsidR="00386463" w:rsidP="003F30F6" w:rsidRDefault="00386463">
            <w:pPr>
              <w:pStyle w:val="IEcChartText"/>
            </w:pPr>
          </w:p>
        </w:tc>
        <w:tc>
          <w:tcPr>
            <w:tcW w:w="571" w:type="pct"/>
            <w:shd w:val="clear" w:color="auto" w:fill="auto"/>
            <w:noWrap/>
            <w:vAlign w:val="center"/>
          </w:tcPr>
          <w:p w:rsidR="00386463" w:rsidP="003F30F6" w:rsidRDefault="00386463">
            <w:pPr>
              <w:pStyle w:val="IEcChartText"/>
            </w:pPr>
            <w:r>
              <w:t>Deep</w:t>
            </w:r>
          </w:p>
        </w:tc>
        <w:tc>
          <w:tcPr>
            <w:tcW w:w="981" w:type="pct"/>
            <w:shd w:val="clear" w:color="auto" w:fill="auto"/>
            <w:noWrap/>
            <w:vAlign w:val="bottom"/>
          </w:tcPr>
          <w:p w:rsidR="00386463" w:rsidP="003F30F6" w:rsidRDefault="00386463">
            <w:pPr>
              <w:pStyle w:val="IEcChartText"/>
              <w:jc w:val="center"/>
            </w:pPr>
            <w:r>
              <w:rPr>
                <w:rFonts w:cs="Calibri"/>
                <w:color w:val="000000"/>
                <w:szCs w:val="18"/>
              </w:rPr>
              <w:t xml:space="preserve">                       1,192 </w:t>
            </w:r>
          </w:p>
        </w:tc>
        <w:tc>
          <w:tcPr>
            <w:tcW w:w="1012" w:type="pct"/>
            <w:shd w:val="clear" w:color="auto" w:fill="auto"/>
            <w:noWrap/>
            <w:vAlign w:val="bottom"/>
          </w:tcPr>
          <w:p w:rsidR="00386463" w:rsidP="003F30F6" w:rsidRDefault="00386463">
            <w:pPr>
              <w:pStyle w:val="IEcChartText"/>
              <w:jc w:val="center"/>
            </w:pPr>
            <w:r>
              <w:rPr>
                <w:rFonts w:cs="Calibri"/>
                <w:color w:val="000000"/>
                <w:szCs w:val="18"/>
              </w:rPr>
              <w:t xml:space="preserve">                       2,273 </w:t>
            </w:r>
          </w:p>
        </w:tc>
        <w:tc>
          <w:tcPr>
            <w:tcW w:w="302" w:type="pct"/>
            <w:shd w:val="clear" w:color="auto" w:fill="auto"/>
            <w:noWrap/>
            <w:vAlign w:val="bottom"/>
          </w:tcPr>
          <w:p w:rsidR="00386463" w:rsidP="003F30F6" w:rsidRDefault="00386463">
            <w:pPr>
              <w:pStyle w:val="IEcChartText"/>
              <w:jc w:val="center"/>
            </w:pPr>
            <w:r>
              <w:rPr>
                <w:rFonts w:cs="Calibri"/>
                <w:color w:val="000000"/>
                <w:szCs w:val="18"/>
              </w:rPr>
              <w:t>$27</w:t>
            </w:r>
          </w:p>
        </w:tc>
        <w:tc>
          <w:tcPr>
            <w:tcW w:w="363" w:type="pct"/>
            <w:shd w:val="clear" w:color="auto" w:fill="auto"/>
            <w:noWrap/>
            <w:vAlign w:val="bottom"/>
          </w:tcPr>
          <w:p w:rsidR="00386463" w:rsidP="003F30F6" w:rsidRDefault="00386463">
            <w:pPr>
              <w:pStyle w:val="IEcChartText"/>
              <w:jc w:val="center"/>
            </w:pPr>
            <w:r>
              <w:rPr>
                <w:rFonts w:cs="Calibri"/>
                <w:color w:val="000000"/>
                <w:szCs w:val="18"/>
              </w:rPr>
              <w:t>$53</w:t>
            </w:r>
          </w:p>
        </w:tc>
        <w:tc>
          <w:tcPr>
            <w:tcW w:w="492" w:type="pct"/>
            <w:shd w:val="clear" w:color="auto" w:fill="auto"/>
            <w:noWrap/>
            <w:vAlign w:val="center"/>
          </w:tcPr>
          <w:p w:rsidR="00386463" w:rsidP="003F30F6" w:rsidRDefault="00386463">
            <w:pPr>
              <w:pStyle w:val="IEcChartText"/>
              <w:jc w:val="center"/>
            </w:pPr>
            <w:r>
              <w:t>$31,600</w:t>
            </w:r>
          </w:p>
        </w:tc>
        <w:tc>
          <w:tcPr>
            <w:tcW w:w="614" w:type="pct"/>
            <w:shd w:val="clear" w:color="auto" w:fill="auto"/>
            <w:noWrap/>
            <w:vAlign w:val="center"/>
          </w:tcPr>
          <w:p w:rsidR="00386463" w:rsidP="003F30F6" w:rsidRDefault="00386463">
            <w:pPr>
              <w:pStyle w:val="IEcChartText"/>
              <w:jc w:val="center"/>
            </w:pPr>
            <w:r>
              <w:t>$121,000</w:t>
            </w:r>
          </w:p>
        </w:tc>
      </w:tr>
      <w:tr w:rsidR="00386463" w:rsidTr="003F30F6">
        <w:trPr>
          <w:trHeight w:val="290"/>
        </w:trPr>
        <w:tc>
          <w:tcPr>
            <w:tcW w:w="1237" w:type="pct"/>
            <w:gridSpan w:val="2"/>
            <w:shd w:val="clear" w:color="000000" w:fill="D9D9D9"/>
            <w:noWrap/>
            <w:vAlign w:val="center"/>
            <w:hideMark/>
          </w:tcPr>
          <w:p w:rsidR="00386463" w:rsidP="003F30F6" w:rsidRDefault="00386463">
            <w:pPr>
              <w:pStyle w:val="IEcChartText"/>
              <w:rPr>
                <w:b/>
              </w:rPr>
            </w:pPr>
            <w:r>
              <w:rPr>
                <w:b/>
              </w:rPr>
              <w:t>Total Annual PRA Burden (Industry)</w:t>
            </w:r>
          </w:p>
        </w:tc>
        <w:tc>
          <w:tcPr>
            <w:tcW w:w="981" w:type="pct"/>
            <w:shd w:val="clear" w:color="000000" w:fill="D9D9D9"/>
            <w:vAlign w:val="bottom"/>
          </w:tcPr>
          <w:p w:rsidRPr="0003148D" w:rsidR="00386463" w:rsidP="003F30F6" w:rsidRDefault="00386463">
            <w:pPr>
              <w:pStyle w:val="IEcChartText"/>
              <w:jc w:val="center"/>
              <w:rPr>
                <w:b/>
                <w:bCs/>
              </w:rPr>
            </w:pPr>
            <w:r w:rsidRPr="003A77D6">
              <w:rPr>
                <w:rFonts w:cs="Calibri"/>
                <w:b/>
                <w:bCs/>
                <w:color w:val="000000"/>
                <w:szCs w:val="18"/>
              </w:rPr>
              <w:t xml:space="preserve">                     52,964 </w:t>
            </w:r>
          </w:p>
        </w:tc>
        <w:tc>
          <w:tcPr>
            <w:tcW w:w="1012" w:type="pct"/>
            <w:shd w:val="clear" w:color="000000" w:fill="D9D9D9"/>
            <w:vAlign w:val="bottom"/>
          </w:tcPr>
          <w:p w:rsidRPr="0003148D" w:rsidR="00386463" w:rsidP="003F30F6" w:rsidRDefault="00386463">
            <w:pPr>
              <w:pStyle w:val="IEcChartText"/>
              <w:jc w:val="center"/>
              <w:rPr>
                <w:b/>
                <w:bCs/>
              </w:rPr>
            </w:pPr>
            <w:r w:rsidRPr="003A77D6">
              <w:rPr>
                <w:rFonts w:cs="Calibri"/>
                <w:b/>
                <w:bCs/>
                <w:color w:val="000000"/>
                <w:szCs w:val="18"/>
              </w:rPr>
              <w:t xml:space="preserve">                   270,605 </w:t>
            </w:r>
          </w:p>
        </w:tc>
        <w:tc>
          <w:tcPr>
            <w:tcW w:w="302" w:type="pct"/>
            <w:shd w:val="clear" w:color="000000" w:fill="D9D9D9"/>
            <w:vAlign w:val="center"/>
          </w:tcPr>
          <w:p w:rsidR="00386463" w:rsidP="003F30F6" w:rsidRDefault="00386463">
            <w:pPr>
              <w:pStyle w:val="IEcChartText"/>
              <w:jc w:val="center"/>
              <w:rPr>
                <w:b/>
              </w:rPr>
            </w:pPr>
            <w:r>
              <w:rPr>
                <w:b/>
              </w:rPr>
              <w:t>n/a</w:t>
            </w:r>
          </w:p>
        </w:tc>
        <w:tc>
          <w:tcPr>
            <w:tcW w:w="363" w:type="pct"/>
            <w:shd w:val="clear" w:color="000000" w:fill="D9D9D9"/>
            <w:vAlign w:val="center"/>
          </w:tcPr>
          <w:p w:rsidR="00386463" w:rsidP="003F30F6" w:rsidRDefault="00386463">
            <w:pPr>
              <w:pStyle w:val="IEcChartText"/>
              <w:jc w:val="center"/>
              <w:rPr>
                <w:b/>
              </w:rPr>
            </w:pPr>
            <w:r>
              <w:rPr>
                <w:b/>
              </w:rPr>
              <w:t>n/a</w:t>
            </w:r>
          </w:p>
        </w:tc>
        <w:tc>
          <w:tcPr>
            <w:tcW w:w="492" w:type="pct"/>
            <w:shd w:val="clear" w:color="000000" w:fill="D9D9D9"/>
            <w:noWrap/>
            <w:vAlign w:val="center"/>
          </w:tcPr>
          <w:p w:rsidR="00386463" w:rsidP="003F30F6" w:rsidRDefault="00386463">
            <w:pPr>
              <w:pStyle w:val="IEcChartText"/>
              <w:jc w:val="center"/>
              <w:rPr>
                <w:b/>
              </w:rPr>
            </w:pPr>
            <w:r>
              <w:rPr>
                <w:b/>
              </w:rPr>
              <w:t>$1,410,000</w:t>
            </w:r>
          </w:p>
        </w:tc>
        <w:tc>
          <w:tcPr>
            <w:tcW w:w="614" w:type="pct"/>
            <w:shd w:val="clear" w:color="000000" w:fill="D9D9D9"/>
            <w:vAlign w:val="center"/>
          </w:tcPr>
          <w:p w:rsidR="00386463" w:rsidP="003F30F6" w:rsidRDefault="00386463">
            <w:pPr>
              <w:pStyle w:val="IEcChartText"/>
              <w:jc w:val="center"/>
              <w:rPr>
                <w:b/>
              </w:rPr>
            </w:pPr>
            <w:r>
              <w:rPr>
                <w:b/>
              </w:rPr>
              <w:t>$14,400,000</w:t>
            </w:r>
          </w:p>
        </w:tc>
      </w:tr>
    </w:tbl>
    <w:p w:rsidR="00386463" w:rsidP="00386463" w:rsidRDefault="00386463">
      <w:pPr>
        <w:pStyle w:val="IEcChartText"/>
      </w:pPr>
      <w:r>
        <w:rPr>
          <w:vertAlign w:val="superscript"/>
        </w:rPr>
        <w:t xml:space="preserve">1 </w:t>
      </w:r>
      <w:r>
        <w:t>See previous exhibit for calculations of these hours.</w:t>
      </w:r>
    </w:p>
    <w:p w:rsidR="00386463" w:rsidP="00386463" w:rsidRDefault="00386463">
      <w:pPr>
        <w:pStyle w:val="IEcChartText"/>
      </w:pPr>
      <w:r>
        <w:rPr>
          <w:vertAlign w:val="superscript"/>
        </w:rPr>
        <w:t>2</w:t>
      </w:r>
      <w:r>
        <w:t xml:space="preserve"> Hourly wage rates are calculated from daily wage rates of $319 to $637 per day for PAM operators.</w:t>
      </w:r>
    </w:p>
    <w:p w:rsidR="00386463" w:rsidP="00386463" w:rsidRDefault="00386463">
      <w:pPr>
        <w:pStyle w:val="IEcChartText"/>
      </w:pPr>
      <w:r>
        <w:rPr>
          <w:vertAlign w:val="superscript"/>
        </w:rPr>
        <w:t xml:space="preserve">3 </w:t>
      </w:r>
      <w:r>
        <w:t xml:space="preserve">These costs are also reported as components of compliance costs estimates provided in the main body of the report. </w:t>
      </w:r>
    </w:p>
    <w:p w:rsidR="00386463" w:rsidP="00386463" w:rsidRDefault="00386463">
      <w:pPr>
        <w:spacing w:after="0" w:line="240" w:lineRule="auto"/>
        <w:rPr>
          <w:rFonts w:ascii="Trebuchet MS" w:hAnsi="Trebuchet MS"/>
          <w:b/>
          <w:bCs/>
          <w:caps/>
          <w:noProof/>
          <w:color w:val="003366"/>
          <w:spacing w:val="20"/>
          <w:kern w:val="8"/>
          <w:sz w:val="17"/>
        </w:rPr>
      </w:pPr>
      <w:r>
        <w:rPr>
          <w:bCs/>
        </w:rPr>
        <w:br w:type="page"/>
      </w:r>
    </w:p>
    <w:p w:rsidR="00386463" w:rsidP="00386463" w:rsidRDefault="00386463">
      <w:pPr>
        <w:pStyle w:val="IEcExhibitTitle"/>
        <w:spacing w:after="0"/>
        <w:ind w:left="1440"/>
        <w:rPr>
          <w:bCs/>
        </w:rPr>
      </w:pPr>
      <w:r>
        <w:rPr>
          <w:bCs/>
        </w:rPr>
        <w:lastRenderedPageBreak/>
        <w:t>Exhibit C-4.</w:t>
      </w:r>
      <w:r>
        <w:rPr>
          <w:bCs/>
        </w:rPr>
        <w:tab/>
        <w:t>Expected incremental government Data Collection BURDEN, average annual hours and costs, 2021-2025 (2019$)</w:t>
      </w:r>
      <w:r>
        <w:rPr>
          <w:bCs/>
        </w:rPr>
        <w:br/>
      </w:r>
    </w:p>
    <w:tbl>
      <w:tblPr>
        <w:tblW w:w="5266" w:type="pct"/>
        <w:tblBorders>
          <w:top w:val="single" w:color="002060" w:sz="4" w:space="0"/>
          <w:left w:val="single" w:color="002060" w:sz="4" w:space="0"/>
          <w:bottom w:val="single" w:color="002060" w:sz="4" w:space="0"/>
          <w:right w:val="single" w:color="002060" w:sz="4" w:space="0"/>
          <w:insideH w:val="single" w:color="A6A6A6" w:themeColor="background1" w:themeShade="A6" w:sz="4" w:space="0"/>
          <w:insideV w:val="single" w:color="002060" w:sz="4" w:space="0"/>
        </w:tblBorders>
        <w:tblLayout w:type="fixed"/>
        <w:tblLook w:val="04A0" w:firstRow="1" w:lastRow="0" w:firstColumn="1" w:lastColumn="0" w:noHBand="0" w:noVBand="1"/>
      </w:tblPr>
      <w:tblGrid>
        <w:gridCol w:w="1081"/>
        <w:gridCol w:w="887"/>
        <w:gridCol w:w="1268"/>
        <w:gridCol w:w="1268"/>
        <w:gridCol w:w="1178"/>
        <w:gridCol w:w="1326"/>
        <w:gridCol w:w="1301"/>
        <w:gridCol w:w="1350"/>
        <w:gridCol w:w="1424"/>
        <w:gridCol w:w="1238"/>
        <w:gridCol w:w="1318"/>
      </w:tblGrid>
      <w:tr w:rsidR="00386463" w:rsidTr="003F30F6">
        <w:trPr>
          <w:trHeight w:val="20"/>
        </w:trPr>
        <w:tc>
          <w:tcPr>
            <w:tcW w:w="396" w:type="pct"/>
            <w:vMerge w:val="restart"/>
            <w:tcBorders>
              <w:top w:val="single" w:color="002060" w:sz="4" w:space="0"/>
            </w:tcBorders>
            <w:shd w:val="clear" w:color="000000" w:fill="DDEBF9"/>
            <w:vAlign w:val="bottom"/>
          </w:tcPr>
          <w:p w:rsidR="00386463" w:rsidP="003F30F6" w:rsidRDefault="00386463">
            <w:pPr>
              <w:pStyle w:val="IEcChartHeading"/>
              <w:jc w:val="center"/>
            </w:pPr>
            <w:r>
              <w:t>Survey Type</w:t>
            </w:r>
          </w:p>
        </w:tc>
        <w:tc>
          <w:tcPr>
            <w:tcW w:w="325" w:type="pct"/>
            <w:vMerge w:val="restart"/>
            <w:tcBorders>
              <w:top w:val="single" w:color="002060" w:sz="4" w:space="0"/>
            </w:tcBorders>
            <w:shd w:val="clear" w:color="000000" w:fill="DDEBF9"/>
            <w:vAlign w:val="bottom"/>
          </w:tcPr>
          <w:p w:rsidR="00386463" w:rsidP="003F30F6" w:rsidRDefault="00386463">
            <w:pPr>
              <w:pStyle w:val="IEcChartHeading"/>
              <w:jc w:val="center"/>
            </w:pPr>
            <w:r>
              <w:t>Water Depth</w:t>
            </w:r>
          </w:p>
        </w:tc>
        <w:tc>
          <w:tcPr>
            <w:tcW w:w="930" w:type="pct"/>
            <w:gridSpan w:val="2"/>
            <w:tcBorders>
              <w:top w:val="single" w:color="002060" w:sz="4" w:space="0"/>
              <w:bottom w:val="single" w:color="auto" w:sz="4" w:space="0"/>
            </w:tcBorders>
            <w:shd w:val="clear" w:color="000000" w:fill="DDEBF9"/>
            <w:vAlign w:val="bottom"/>
          </w:tcPr>
          <w:p w:rsidR="00386463" w:rsidP="003F30F6" w:rsidRDefault="00386463">
            <w:pPr>
              <w:pStyle w:val="IEcChartHeading"/>
              <w:jc w:val="center"/>
            </w:pPr>
            <w:r>
              <w:t>Number of Surveys (Average Annual)</w:t>
            </w:r>
            <w:r>
              <w:rPr>
                <w:vertAlign w:val="superscript"/>
              </w:rPr>
              <w:t xml:space="preserve"> 1</w:t>
            </w:r>
          </w:p>
        </w:tc>
        <w:tc>
          <w:tcPr>
            <w:tcW w:w="432" w:type="pct"/>
            <w:vMerge w:val="restart"/>
            <w:tcBorders>
              <w:top w:val="single" w:color="002060" w:sz="4" w:space="0"/>
            </w:tcBorders>
            <w:shd w:val="clear" w:color="000000" w:fill="DDEBF9"/>
            <w:vAlign w:val="bottom"/>
          </w:tcPr>
          <w:p w:rsidR="00386463" w:rsidP="003F30F6" w:rsidRDefault="00386463">
            <w:pPr>
              <w:pStyle w:val="IEcChartHeading"/>
              <w:jc w:val="center"/>
            </w:pPr>
            <w:r>
              <w:t>Number of Reports per Survey</w:t>
            </w:r>
            <w:r>
              <w:rPr>
                <w:vertAlign w:val="superscript"/>
              </w:rPr>
              <w:t>2</w:t>
            </w:r>
          </w:p>
        </w:tc>
        <w:tc>
          <w:tcPr>
            <w:tcW w:w="486" w:type="pct"/>
            <w:vMerge w:val="restart"/>
            <w:tcBorders>
              <w:top w:val="single" w:color="002060" w:sz="4" w:space="0"/>
            </w:tcBorders>
            <w:shd w:val="clear" w:color="000000" w:fill="DDEBF9"/>
            <w:vAlign w:val="bottom"/>
          </w:tcPr>
          <w:p w:rsidR="00386463" w:rsidP="003F30F6" w:rsidRDefault="00386463">
            <w:pPr>
              <w:pStyle w:val="IEcChartHeading"/>
              <w:jc w:val="center"/>
            </w:pPr>
            <w:r>
              <w:t>Government review (hours per Report)</w:t>
            </w:r>
            <w:r>
              <w:rPr>
                <w:bCs/>
                <w:vertAlign w:val="superscript"/>
              </w:rPr>
              <w:t xml:space="preserve"> 3</w:t>
            </w:r>
          </w:p>
        </w:tc>
        <w:tc>
          <w:tcPr>
            <w:tcW w:w="972" w:type="pct"/>
            <w:gridSpan w:val="2"/>
            <w:tcBorders>
              <w:top w:val="single" w:color="002060" w:sz="4" w:space="0"/>
              <w:bottom w:val="single" w:color="auto" w:sz="4" w:space="0"/>
            </w:tcBorders>
            <w:shd w:val="clear" w:color="000000" w:fill="DDEBF9"/>
            <w:vAlign w:val="bottom"/>
          </w:tcPr>
          <w:p w:rsidR="00386463" w:rsidP="003F30F6" w:rsidRDefault="00386463">
            <w:pPr>
              <w:pStyle w:val="IEcChartHeading"/>
              <w:jc w:val="center"/>
            </w:pPr>
            <w:r>
              <w:t>total incremental Government review Hours (Average Annual)</w:t>
            </w:r>
          </w:p>
        </w:tc>
        <w:tc>
          <w:tcPr>
            <w:tcW w:w="522" w:type="pct"/>
            <w:vMerge w:val="restart"/>
            <w:tcBorders>
              <w:top w:val="single" w:color="002060" w:sz="4" w:space="0"/>
            </w:tcBorders>
            <w:shd w:val="clear" w:color="000000" w:fill="DDEBF9"/>
            <w:vAlign w:val="bottom"/>
          </w:tcPr>
          <w:p w:rsidR="00386463" w:rsidP="003F30F6" w:rsidRDefault="00386463">
            <w:pPr>
              <w:pStyle w:val="IEcChartHeading"/>
              <w:jc w:val="center"/>
            </w:pPr>
            <w:r>
              <w:t>Government cost per hour (GS rate)</w:t>
            </w:r>
            <w:r>
              <w:rPr>
                <w:vertAlign w:val="superscript"/>
              </w:rPr>
              <w:t>4</w:t>
            </w:r>
          </w:p>
        </w:tc>
        <w:tc>
          <w:tcPr>
            <w:tcW w:w="937" w:type="pct"/>
            <w:gridSpan w:val="2"/>
            <w:tcBorders>
              <w:top w:val="single" w:color="002060" w:sz="4" w:space="0"/>
              <w:bottom w:val="single" w:color="auto" w:sz="4" w:space="0"/>
            </w:tcBorders>
            <w:shd w:val="clear" w:color="000000" w:fill="DDEBF9"/>
            <w:vAlign w:val="bottom"/>
          </w:tcPr>
          <w:p w:rsidR="00386463" w:rsidP="003F30F6" w:rsidRDefault="00386463">
            <w:pPr>
              <w:pStyle w:val="IEcChartHeading"/>
              <w:jc w:val="center"/>
            </w:pPr>
            <w:r>
              <w:t>total incremental Government PRA Costs (Average Annual)</w:t>
            </w:r>
          </w:p>
        </w:tc>
      </w:tr>
      <w:tr w:rsidR="00386463" w:rsidTr="003F30F6">
        <w:trPr>
          <w:trHeight w:val="20"/>
        </w:trPr>
        <w:tc>
          <w:tcPr>
            <w:tcW w:w="396" w:type="pct"/>
            <w:vMerge/>
            <w:tcBorders>
              <w:bottom w:val="single" w:color="000000" w:themeColor="text1" w:sz="12" w:space="0"/>
            </w:tcBorders>
            <w:shd w:val="clear" w:color="000000" w:fill="DDEBF9"/>
            <w:vAlign w:val="bottom"/>
          </w:tcPr>
          <w:p w:rsidR="00386463" w:rsidP="003F30F6" w:rsidRDefault="00386463">
            <w:pPr>
              <w:pStyle w:val="IEcChartHeading"/>
              <w:jc w:val="center"/>
            </w:pPr>
          </w:p>
        </w:tc>
        <w:tc>
          <w:tcPr>
            <w:tcW w:w="325" w:type="pct"/>
            <w:vMerge/>
            <w:tcBorders>
              <w:bottom w:val="single" w:color="000000" w:themeColor="text1" w:sz="12" w:space="0"/>
            </w:tcBorders>
            <w:shd w:val="clear" w:color="000000" w:fill="DDEBF9"/>
            <w:vAlign w:val="bottom"/>
          </w:tcPr>
          <w:p w:rsidR="00386463" w:rsidP="003F30F6" w:rsidRDefault="00386463">
            <w:pPr>
              <w:pStyle w:val="IEcChartHeading"/>
              <w:jc w:val="center"/>
            </w:pPr>
          </w:p>
        </w:tc>
        <w:tc>
          <w:tcPr>
            <w:tcW w:w="465" w:type="pct"/>
            <w:tcBorders>
              <w:top w:val="single" w:color="auto"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465" w:type="pct"/>
            <w:tcBorders>
              <w:top w:val="single" w:color="auto"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432" w:type="pct"/>
            <w:vMerge/>
            <w:tcBorders>
              <w:bottom w:val="single" w:color="000000" w:themeColor="text1" w:sz="12" w:space="0"/>
            </w:tcBorders>
            <w:shd w:val="clear" w:color="000000" w:fill="DDEBF9"/>
            <w:vAlign w:val="bottom"/>
          </w:tcPr>
          <w:p w:rsidR="00386463" w:rsidP="003F30F6" w:rsidRDefault="00386463">
            <w:pPr>
              <w:pStyle w:val="IEcChartHeading"/>
              <w:jc w:val="center"/>
            </w:pPr>
          </w:p>
        </w:tc>
        <w:tc>
          <w:tcPr>
            <w:tcW w:w="486" w:type="pct"/>
            <w:vMerge/>
            <w:tcBorders>
              <w:bottom w:val="single" w:color="000000" w:themeColor="text1" w:sz="12" w:space="0"/>
            </w:tcBorders>
            <w:shd w:val="clear" w:color="000000" w:fill="DDEBF9"/>
            <w:vAlign w:val="bottom"/>
          </w:tcPr>
          <w:p w:rsidR="00386463" w:rsidP="003F30F6" w:rsidRDefault="00386463">
            <w:pPr>
              <w:pStyle w:val="IEcChartHeading"/>
              <w:jc w:val="center"/>
            </w:pPr>
          </w:p>
        </w:tc>
        <w:tc>
          <w:tcPr>
            <w:tcW w:w="477" w:type="pct"/>
            <w:tcBorders>
              <w:top w:val="single" w:color="auto"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495" w:type="pct"/>
            <w:tcBorders>
              <w:top w:val="single" w:color="auto"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522" w:type="pct"/>
            <w:vMerge/>
            <w:tcBorders>
              <w:bottom w:val="single" w:color="000000" w:themeColor="text1" w:sz="12" w:space="0"/>
            </w:tcBorders>
            <w:shd w:val="clear" w:color="000000" w:fill="DDEBF9"/>
            <w:vAlign w:val="bottom"/>
          </w:tcPr>
          <w:p w:rsidR="00386463" w:rsidP="003F30F6" w:rsidRDefault="00386463">
            <w:pPr>
              <w:pStyle w:val="IEcChartHeading"/>
              <w:jc w:val="center"/>
            </w:pPr>
          </w:p>
        </w:tc>
        <w:tc>
          <w:tcPr>
            <w:tcW w:w="454" w:type="pct"/>
            <w:tcBorders>
              <w:top w:val="single" w:color="auto"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483" w:type="pct"/>
            <w:tcBorders>
              <w:top w:val="single" w:color="auto"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r>
      <w:tr w:rsidR="00386463" w:rsidTr="003F30F6">
        <w:trPr>
          <w:trHeight w:val="20"/>
        </w:trPr>
        <w:tc>
          <w:tcPr>
            <w:tcW w:w="396" w:type="pct"/>
            <w:vMerge w:val="restart"/>
            <w:tcBorders>
              <w:top w:val="single" w:color="000000" w:themeColor="text1" w:sz="12" w:space="0"/>
            </w:tcBorders>
            <w:shd w:val="clear" w:color="auto" w:fill="auto"/>
            <w:noWrap/>
            <w:vAlign w:val="center"/>
          </w:tcPr>
          <w:p w:rsidR="00386463" w:rsidP="003F30F6" w:rsidRDefault="00386463">
            <w:pPr>
              <w:pStyle w:val="IEcChartText"/>
            </w:pPr>
            <w:r>
              <w:t>Non-airgun HRG</w:t>
            </w:r>
          </w:p>
        </w:tc>
        <w:tc>
          <w:tcPr>
            <w:tcW w:w="325" w:type="pct"/>
            <w:tcBorders>
              <w:top w:val="single" w:color="000000" w:themeColor="text1" w:sz="12"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465"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14</w:t>
            </w:r>
          </w:p>
        </w:tc>
        <w:tc>
          <w:tcPr>
            <w:tcW w:w="465"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21</w:t>
            </w:r>
          </w:p>
        </w:tc>
        <w:tc>
          <w:tcPr>
            <w:tcW w:w="432"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1</w:t>
            </w:r>
          </w:p>
        </w:tc>
        <w:tc>
          <w:tcPr>
            <w:tcW w:w="486"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477" w:type="pct"/>
            <w:tcBorders>
              <w:top w:val="single" w:color="000000" w:themeColor="text1" w:sz="12"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495" w:type="pct"/>
            <w:tcBorders>
              <w:top w:val="single" w:color="000000" w:themeColor="text1" w:sz="12"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22"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$63.54</w:t>
            </w:r>
          </w:p>
        </w:tc>
        <w:tc>
          <w:tcPr>
            <w:tcW w:w="454" w:type="pct"/>
            <w:tcBorders>
              <w:top w:val="single" w:color="000000" w:themeColor="text1" w:sz="12"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483" w:type="pct"/>
            <w:tcBorders>
              <w:top w:val="single" w:color="000000" w:themeColor="text1" w:sz="12"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27</w:t>
            </w:r>
          </w:p>
        </w:tc>
        <w:tc>
          <w:tcPr>
            <w:tcW w:w="465" w:type="pct"/>
            <w:shd w:val="clear" w:color="auto" w:fill="auto"/>
            <w:noWrap/>
            <w:vAlign w:val="center"/>
          </w:tcPr>
          <w:p w:rsidR="00386463" w:rsidP="003F30F6" w:rsidRDefault="00386463">
            <w:pPr>
              <w:pStyle w:val="IEcChartText"/>
              <w:jc w:val="center"/>
            </w:pPr>
            <w:r>
              <w:t>37</w:t>
            </w:r>
          </w:p>
        </w:tc>
        <w:tc>
          <w:tcPr>
            <w:tcW w:w="432" w:type="pct"/>
            <w:shd w:val="clear" w:color="auto" w:fill="auto"/>
            <w:noWrap/>
            <w:vAlign w:val="center"/>
          </w:tcPr>
          <w:p w:rsidR="00386463" w:rsidP="003F30F6" w:rsidRDefault="00386463">
            <w:pPr>
              <w:pStyle w:val="IEcChartText"/>
              <w:jc w:val="center"/>
            </w:pPr>
            <w:r>
              <w:t>1</w:t>
            </w:r>
          </w:p>
        </w:tc>
        <w:tc>
          <w:tcPr>
            <w:tcW w:w="486" w:type="pct"/>
            <w:shd w:val="clear" w:color="auto" w:fill="auto"/>
            <w:noWrap/>
            <w:vAlign w:val="center"/>
          </w:tcPr>
          <w:p w:rsidR="00386463" w:rsidP="003F30F6" w:rsidRDefault="00386463">
            <w:pPr>
              <w:pStyle w:val="IEcChartText"/>
              <w:jc w:val="center"/>
            </w:pPr>
            <w:r>
              <w:t>1</w:t>
            </w:r>
          </w:p>
        </w:tc>
        <w:tc>
          <w:tcPr>
            <w:tcW w:w="477" w:type="pct"/>
            <w:vAlign w:val="center"/>
          </w:tcPr>
          <w:p w:rsidR="00386463" w:rsidP="003F30F6" w:rsidRDefault="00386463">
            <w:pPr>
              <w:pStyle w:val="IEcChartText"/>
              <w:jc w:val="center"/>
            </w:pPr>
            <w:r>
              <w:t>27</w:t>
            </w:r>
          </w:p>
        </w:tc>
        <w:tc>
          <w:tcPr>
            <w:tcW w:w="495" w:type="pct"/>
            <w:vAlign w:val="center"/>
          </w:tcPr>
          <w:p w:rsidR="00386463" w:rsidP="003F30F6" w:rsidRDefault="00386463">
            <w:pPr>
              <w:pStyle w:val="IEcChartText"/>
              <w:jc w:val="center"/>
            </w:pPr>
            <w:r>
              <w:t>37</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$1,720</w:t>
            </w:r>
          </w:p>
        </w:tc>
        <w:tc>
          <w:tcPr>
            <w:tcW w:w="483" w:type="pct"/>
            <w:shd w:val="clear" w:color="auto" w:fill="auto"/>
            <w:noWrap/>
            <w:vAlign w:val="center"/>
          </w:tcPr>
          <w:p w:rsidR="00386463" w:rsidP="003F30F6" w:rsidRDefault="00386463">
            <w:pPr>
              <w:pStyle w:val="IEcChartText"/>
              <w:jc w:val="center"/>
            </w:pPr>
            <w:r>
              <w:t>$2,370</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2D</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32" w:type="pct"/>
            <w:shd w:val="clear" w:color="auto" w:fill="D9D9D9" w:themeFill="background1" w:themeFillShade="D9"/>
            <w:noWrap/>
            <w:vAlign w:val="center"/>
          </w:tcPr>
          <w:p w:rsidR="00386463" w:rsidP="003F30F6" w:rsidRDefault="00386463">
            <w:pPr>
              <w:pStyle w:val="IEcChartText"/>
              <w:jc w:val="center"/>
            </w:pPr>
            <w:r>
              <w:t>12</w:t>
            </w:r>
          </w:p>
        </w:tc>
        <w:tc>
          <w:tcPr>
            <w:tcW w:w="486" w:type="pct"/>
            <w:shd w:val="clear" w:color="auto" w:fill="D9D9D9" w:themeFill="background1" w:themeFillShade="D9"/>
            <w:noWrap/>
            <w:vAlign w:val="center"/>
          </w:tcPr>
          <w:p w:rsidR="00386463" w:rsidP="003F30F6" w:rsidRDefault="00386463">
            <w:pPr>
              <w:pStyle w:val="IEcChartText"/>
              <w:jc w:val="center"/>
            </w:pPr>
            <w:r>
              <w:t>1.5</w:t>
            </w:r>
          </w:p>
        </w:tc>
        <w:tc>
          <w:tcPr>
            <w:tcW w:w="477" w:type="pct"/>
            <w:shd w:val="clear" w:color="auto" w:fill="D9D9D9" w:themeFill="background1" w:themeFillShade="D9"/>
            <w:vAlign w:val="center"/>
          </w:tcPr>
          <w:p w:rsidR="00386463" w:rsidP="003F30F6" w:rsidRDefault="00386463">
            <w:pPr>
              <w:pStyle w:val="IEcChartText"/>
              <w:jc w:val="center"/>
            </w:pPr>
            <w:r>
              <w:t>0</w:t>
            </w:r>
          </w:p>
        </w:tc>
        <w:tc>
          <w:tcPr>
            <w:tcW w:w="495" w:type="pct"/>
            <w:shd w:val="clear" w:color="auto" w:fill="D9D9D9" w:themeFill="background1" w:themeFillShade="D9"/>
            <w:vAlign w:val="center"/>
          </w:tcPr>
          <w:p w:rsidR="00386463" w:rsidP="003F30F6" w:rsidRDefault="00386463">
            <w:pPr>
              <w:pStyle w:val="IEcChartText"/>
              <w:jc w:val="center"/>
            </w:pPr>
            <w:r>
              <w:t>0</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$0</w:t>
            </w:r>
          </w:p>
        </w:tc>
        <w:tc>
          <w:tcPr>
            <w:tcW w:w="483"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0</w:t>
            </w:r>
          </w:p>
        </w:tc>
        <w:tc>
          <w:tcPr>
            <w:tcW w:w="465" w:type="pct"/>
            <w:shd w:val="clear" w:color="auto" w:fill="auto"/>
            <w:noWrap/>
            <w:vAlign w:val="center"/>
          </w:tcPr>
          <w:p w:rsidR="00386463" w:rsidP="003F30F6" w:rsidRDefault="00386463">
            <w:pPr>
              <w:pStyle w:val="IEcChartText"/>
              <w:jc w:val="center"/>
            </w:pPr>
            <w:r>
              <w:t>2</w:t>
            </w:r>
          </w:p>
        </w:tc>
        <w:tc>
          <w:tcPr>
            <w:tcW w:w="432" w:type="pct"/>
            <w:shd w:val="clear" w:color="auto" w:fill="auto"/>
            <w:noWrap/>
            <w:vAlign w:val="center"/>
          </w:tcPr>
          <w:p w:rsidR="00386463" w:rsidP="003F30F6" w:rsidRDefault="00386463">
            <w:pPr>
              <w:pStyle w:val="IEcChartText"/>
              <w:jc w:val="center"/>
            </w:pPr>
            <w:r>
              <w:t>12</w:t>
            </w:r>
          </w:p>
        </w:tc>
        <w:tc>
          <w:tcPr>
            <w:tcW w:w="486" w:type="pct"/>
            <w:shd w:val="clear" w:color="auto" w:fill="auto"/>
            <w:noWrap/>
            <w:vAlign w:val="center"/>
          </w:tcPr>
          <w:p w:rsidR="00386463" w:rsidP="003F30F6" w:rsidRDefault="00386463">
            <w:pPr>
              <w:pStyle w:val="IEcChartText"/>
              <w:jc w:val="center"/>
            </w:pPr>
            <w:r>
              <w:t>0.5</w:t>
            </w:r>
          </w:p>
        </w:tc>
        <w:tc>
          <w:tcPr>
            <w:tcW w:w="477" w:type="pct"/>
            <w:vAlign w:val="center"/>
          </w:tcPr>
          <w:p w:rsidR="00386463" w:rsidP="003F30F6" w:rsidRDefault="00386463">
            <w:pPr>
              <w:pStyle w:val="IEcChartText"/>
              <w:jc w:val="center"/>
            </w:pPr>
            <w:r>
              <w:t>0</w:t>
            </w:r>
          </w:p>
        </w:tc>
        <w:tc>
          <w:tcPr>
            <w:tcW w:w="495" w:type="pct"/>
            <w:vAlign w:val="center"/>
          </w:tcPr>
          <w:p w:rsidR="00386463" w:rsidP="003F30F6" w:rsidRDefault="00386463">
            <w:pPr>
              <w:pStyle w:val="IEcChartText"/>
              <w:jc w:val="center"/>
            </w:pPr>
            <w:r>
              <w:t>11</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$0</w:t>
            </w:r>
          </w:p>
        </w:tc>
        <w:tc>
          <w:tcPr>
            <w:tcW w:w="483" w:type="pct"/>
            <w:shd w:val="clear" w:color="auto" w:fill="auto"/>
            <w:noWrap/>
            <w:vAlign w:val="center"/>
          </w:tcPr>
          <w:p w:rsidR="00386463" w:rsidP="003F30F6" w:rsidRDefault="00386463">
            <w:pPr>
              <w:pStyle w:val="IEcChartText"/>
              <w:jc w:val="center"/>
            </w:pPr>
            <w:r>
              <w:t>$671</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2D-OBN</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32" w:type="pct"/>
            <w:shd w:val="clear" w:color="auto" w:fill="D9D9D9" w:themeFill="background1" w:themeFillShade="D9"/>
            <w:noWrap/>
            <w:vAlign w:val="center"/>
          </w:tcPr>
          <w:p w:rsidR="00386463" w:rsidP="003F30F6" w:rsidRDefault="00386463">
            <w:pPr>
              <w:pStyle w:val="IEcChartText"/>
              <w:jc w:val="center"/>
            </w:pPr>
            <w:r>
              <w:t>9</w:t>
            </w:r>
          </w:p>
        </w:tc>
        <w:tc>
          <w:tcPr>
            <w:tcW w:w="486" w:type="pct"/>
            <w:shd w:val="clear" w:color="auto" w:fill="D9D9D9" w:themeFill="background1" w:themeFillShade="D9"/>
            <w:noWrap/>
            <w:vAlign w:val="center"/>
          </w:tcPr>
          <w:p w:rsidR="00386463" w:rsidP="003F30F6" w:rsidRDefault="00386463">
            <w:pPr>
              <w:pStyle w:val="IEcChartText"/>
              <w:jc w:val="center"/>
            </w:pPr>
            <w:r>
              <w:t>1.5</w:t>
            </w:r>
          </w:p>
        </w:tc>
        <w:tc>
          <w:tcPr>
            <w:tcW w:w="477" w:type="pct"/>
            <w:shd w:val="clear" w:color="auto" w:fill="D9D9D9" w:themeFill="background1" w:themeFillShade="D9"/>
            <w:vAlign w:val="center"/>
          </w:tcPr>
          <w:p w:rsidR="00386463" w:rsidP="003F30F6" w:rsidRDefault="00386463">
            <w:pPr>
              <w:pStyle w:val="IEcChartText"/>
              <w:jc w:val="center"/>
            </w:pPr>
            <w:r>
              <w:t>0</w:t>
            </w:r>
          </w:p>
        </w:tc>
        <w:tc>
          <w:tcPr>
            <w:tcW w:w="495" w:type="pct"/>
            <w:shd w:val="clear" w:color="auto" w:fill="D9D9D9" w:themeFill="background1" w:themeFillShade="D9"/>
            <w:vAlign w:val="center"/>
          </w:tcPr>
          <w:p w:rsidR="00386463" w:rsidP="003F30F6" w:rsidRDefault="00386463">
            <w:pPr>
              <w:pStyle w:val="IEcChartText"/>
              <w:jc w:val="center"/>
            </w:pPr>
            <w:r>
              <w:t>0</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$0</w:t>
            </w:r>
          </w:p>
        </w:tc>
        <w:tc>
          <w:tcPr>
            <w:tcW w:w="483"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0</w:t>
            </w:r>
          </w:p>
        </w:tc>
        <w:tc>
          <w:tcPr>
            <w:tcW w:w="465" w:type="pct"/>
            <w:shd w:val="clear" w:color="auto" w:fill="auto"/>
            <w:noWrap/>
            <w:vAlign w:val="center"/>
          </w:tcPr>
          <w:p w:rsidR="00386463" w:rsidP="003F30F6" w:rsidRDefault="00386463">
            <w:pPr>
              <w:pStyle w:val="IEcChartText"/>
              <w:jc w:val="center"/>
            </w:pPr>
            <w:r>
              <w:t>0</w:t>
            </w:r>
          </w:p>
        </w:tc>
        <w:tc>
          <w:tcPr>
            <w:tcW w:w="432" w:type="pct"/>
            <w:shd w:val="clear" w:color="auto" w:fill="auto"/>
            <w:noWrap/>
            <w:vAlign w:val="center"/>
          </w:tcPr>
          <w:p w:rsidR="00386463" w:rsidP="003F30F6" w:rsidRDefault="00386463">
            <w:pPr>
              <w:pStyle w:val="IEcChartText"/>
              <w:jc w:val="center"/>
            </w:pPr>
            <w:r>
              <w:t>9</w:t>
            </w:r>
          </w:p>
        </w:tc>
        <w:tc>
          <w:tcPr>
            <w:tcW w:w="486" w:type="pct"/>
            <w:shd w:val="clear" w:color="auto" w:fill="auto"/>
            <w:noWrap/>
            <w:vAlign w:val="center"/>
          </w:tcPr>
          <w:p w:rsidR="00386463" w:rsidP="003F30F6" w:rsidRDefault="00386463">
            <w:pPr>
              <w:pStyle w:val="IEcChartText"/>
              <w:jc w:val="center"/>
            </w:pPr>
            <w:r>
              <w:t>0.5</w:t>
            </w:r>
          </w:p>
        </w:tc>
        <w:tc>
          <w:tcPr>
            <w:tcW w:w="477" w:type="pct"/>
            <w:vAlign w:val="center"/>
          </w:tcPr>
          <w:p w:rsidR="00386463" w:rsidP="003F30F6" w:rsidRDefault="00386463">
            <w:pPr>
              <w:pStyle w:val="IEcChartText"/>
              <w:jc w:val="center"/>
            </w:pPr>
            <w:r>
              <w:t>0</w:t>
            </w:r>
          </w:p>
        </w:tc>
        <w:tc>
          <w:tcPr>
            <w:tcW w:w="495" w:type="pct"/>
            <w:vAlign w:val="center"/>
          </w:tcPr>
          <w:p w:rsidR="00386463" w:rsidP="003F30F6" w:rsidRDefault="00386463">
            <w:pPr>
              <w:pStyle w:val="IEcChartText"/>
              <w:jc w:val="center"/>
            </w:pPr>
            <w:r>
              <w:t>1</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$0</w:t>
            </w:r>
          </w:p>
        </w:tc>
        <w:tc>
          <w:tcPr>
            <w:tcW w:w="483" w:type="pct"/>
            <w:shd w:val="clear" w:color="auto" w:fill="auto"/>
            <w:noWrap/>
            <w:vAlign w:val="center"/>
          </w:tcPr>
          <w:p w:rsidR="00386463" w:rsidP="003F30F6" w:rsidRDefault="00386463">
            <w:pPr>
              <w:pStyle w:val="IEcChartText"/>
              <w:jc w:val="center"/>
            </w:pPr>
            <w:r>
              <w:t>$61</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3D</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65" w:type="pct"/>
            <w:shd w:val="clear" w:color="auto" w:fill="D9D9D9" w:themeFill="background1" w:themeFillShade="D9"/>
            <w:noWrap/>
            <w:vAlign w:val="center"/>
          </w:tcPr>
          <w:p w:rsidR="00386463" w:rsidP="003F30F6" w:rsidRDefault="00386463">
            <w:pPr>
              <w:pStyle w:val="IEcChartText"/>
              <w:jc w:val="center"/>
            </w:pPr>
            <w:r>
              <w:t>1</w:t>
            </w:r>
          </w:p>
        </w:tc>
        <w:tc>
          <w:tcPr>
            <w:tcW w:w="432" w:type="pct"/>
            <w:shd w:val="clear" w:color="auto" w:fill="D9D9D9" w:themeFill="background1" w:themeFillShade="D9"/>
            <w:noWrap/>
            <w:vAlign w:val="center"/>
          </w:tcPr>
          <w:p w:rsidR="00386463" w:rsidP="003F30F6" w:rsidRDefault="00386463">
            <w:pPr>
              <w:pStyle w:val="IEcChartText"/>
              <w:jc w:val="center"/>
            </w:pPr>
            <w:r>
              <w:t>9</w:t>
            </w:r>
          </w:p>
        </w:tc>
        <w:tc>
          <w:tcPr>
            <w:tcW w:w="486" w:type="pct"/>
            <w:shd w:val="clear" w:color="auto" w:fill="D9D9D9" w:themeFill="background1" w:themeFillShade="D9"/>
            <w:noWrap/>
            <w:vAlign w:val="center"/>
          </w:tcPr>
          <w:p w:rsidR="00386463" w:rsidP="003F30F6" w:rsidRDefault="00386463">
            <w:pPr>
              <w:pStyle w:val="IEcChartText"/>
              <w:jc w:val="center"/>
            </w:pPr>
            <w:r>
              <w:t>1.5</w:t>
            </w:r>
          </w:p>
        </w:tc>
        <w:tc>
          <w:tcPr>
            <w:tcW w:w="477" w:type="pct"/>
            <w:shd w:val="clear" w:color="auto" w:fill="D9D9D9" w:themeFill="background1" w:themeFillShade="D9"/>
            <w:vAlign w:val="center"/>
          </w:tcPr>
          <w:p w:rsidR="00386463" w:rsidP="003F30F6" w:rsidRDefault="00386463">
            <w:pPr>
              <w:pStyle w:val="IEcChartText"/>
              <w:jc w:val="center"/>
            </w:pPr>
            <w:r>
              <w:t>0</w:t>
            </w:r>
          </w:p>
        </w:tc>
        <w:tc>
          <w:tcPr>
            <w:tcW w:w="495" w:type="pct"/>
            <w:shd w:val="clear" w:color="auto" w:fill="D9D9D9" w:themeFill="background1" w:themeFillShade="D9"/>
            <w:vAlign w:val="center"/>
          </w:tcPr>
          <w:p w:rsidR="00386463" w:rsidP="003F30F6" w:rsidRDefault="00386463">
            <w:pPr>
              <w:pStyle w:val="IEcChartText"/>
              <w:jc w:val="center"/>
            </w:pPr>
            <w:r>
              <w:t>15</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$0</w:t>
            </w:r>
          </w:p>
        </w:tc>
        <w:tc>
          <w:tcPr>
            <w:tcW w:w="483" w:type="pct"/>
            <w:shd w:val="clear" w:color="auto" w:fill="D9D9D9" w:themeFill="background1" w:themeFillShade="D9"/>
            <w:noWrap/>
            <w:vAlign w:val="center"/>
          </w:tcPr>
          <w:p w:rsidR="00386463" w:rsidP="003F30F6" w:rsidRDefault="00386463">
            <w:pPr>
              <w:pStyle w:val="IEcChartText"/>
              <w:jc w:val="center"/>
            </w:pPr>
            <w:r>
              <w:t>$936</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1</w:t>
            </w:r>
          </w:p>
        </w:tc>
        <w:tc>
          <w:tcPr>
            <w:tcW w:w="465" w:type="pct"/>
            <w:shd w:val="clear" w:color="auto" w:fill="auto"/>
            <w:noWrap/>
            <w:vAlign w:val="center"/>
          </w:tcPr>
          <w:p w:rsidR="00386463" w:rsidP="003F30F6" w:rsidRDefault="00386463">
            <w:pPr>
              <w:pStyle w:val="IEcChartText"/>
              <w:jc w:val="center"/>
            </w:pPr>
            <w:r>
              <w:t>2</w:t>
            </w:r>
          </w:p>
        </w:tc>
        <w:tc>
          <w:tcPr>
            <w:tcW w:w="432" w:type="pct"/>
            <w:shd w:val="clear" w:color="auto" w:fill="auto"/>
            <w:noWrap/>
            <w:vAlign w:val="center"/>
          </w:tcPr>
          <w:p w:rsidR="00386463" w:rsidP="003F30F6" w:rsidRDefault="00386463">
            <w:pPr>
              <w:pStyle w:val="IEcChartText"/>
              <w:jc w:val="center"/>
            </w:pPr>
            <w:r>
              <w:t>9</w:t>
            </w:r>
          </w:p>
        </w:tc>
        <w:tc>
          <w:tcPr>
            <w:tcW w:w="486" w:type="pct"/>
            <w:shd w:val="clear" w:color="auto" w:fill="auto"/>
            <w:noWrap/>
            <w:vAlign w:val="center"/>
          </w:tcPr>
          <w:p w:rsidR="00386463" w:rsidP="003F30F6" w:rsidRDefault="00386463">
            <w:pPr>
              <w:pStyle w:val="IEcChartText"/>
              <w:jc w:val="center"/>
            </w:pPr>
            <w:r>
              <w:t>0.5</w:t>
            </w:r>
          </w:p>
        </w:tc>
        <w:tc>
          <w:tcPr>
            <w:tcW w:w="477" w:type="pct"/>
            <w:vAlign w:val="center"/>
          </w:tcPr>
          <w:p w:rsidR="00386463" w:rsidP="003F30F6" w:rsidRDefault="00386463">
            <w:pPr>
              <w:pStyle w:val="IEcChartText"/>
              <w:jc w:val="center"/>
            </w:pPr>
            <w:r>
              <w:t>4</w:t>
            </w:r>
          </w:p>
        </w:tc>
        <w:tc>
          <w:tcPr>
            <w:tcW w:w="495" w:type="pct"/>
            <w:vAlign w:val="center"/>
          </w:tcPr>
          <w:p w:rsidR="00386463" w:rsidP="003F30F6" w:rsidRDefault="00386463">
            <w:pPr>
              <w:pStyle w:val="IEcChartText"/>
              <w:jc w:val="center"/>
            </w:pPr>
            <w:r>
              <w:t>11</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$254</w:t>
            </w:r>
          </w:p>
        </w:tc>
        <w:tc>
          <w:tcPr>
            <w:tcW w:w="483" w:type="pct"/>
            <w:shd w:val="clear" w:color="auto" w:fill="auto"/>
            <w:noWrap/>
            <w:vAlign w:val="center"/>
          </w:tcPr>
          <w:p w:rsidR="00386463" w:rsidP="003F30F6" w:rsidRDefault="00386463">
            <w:pPr>
              <w:pStyle w:val="IEcChartText"/>
              <w:jc w:val="center"/>
            </w:pPr>
            <w:r>
              <w:t>$687</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3D-OBN</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65" w:type="pct"/>
            <w:shd w:val="clear" w:color="auto" w:fill="D9D9D9" w:themeFill="background1" w:themeFillShade="D9"/>
            <w:noWrap/>
            <w:vAlign w:val="center"/>
          </w:tcPr>
          <w:p w:rsidR="00386463" w:rsidP="003F30F6" w:rsidRDefault="00386463">
            <w:pPr>
              <w:pStyle w:val="IEcChartText"/>
              <w:jc w:val="center"/>
            </w:pPr>
            <w:r>
              <w:t>1</w:t>
            </w:r>
          </w:p>
        </w:tc>
        <w:tc>
          <w:tcPr>
            <w:tcW w:w="432" w:type="pct"/>
            <w:shd w:val="clear" w:color="auto" w:fill="D9D9D9" w:themeFill="background1" w:themeFillShade="D9"/>
            <w:noWrap/>
            <w:vAlign w:val="center"/>
          </w:tcPr>
          <w:p w:rsidR="00386463" w:rsidP="003F30F6" w:rsidRDefault="00386463">
            <w:pPr>
              <w:pStyle w:val="IEcChartText"/>
              <w:jc w:val="center"/>
            </w:pPr>
            <w:r>
              <w:t>9</w:t>
            </w:r>
          </w:p>
        </w:tc>
        <w:tc>
          <w:tcPr>
            <w:tcW w:w="486" w:type="pct"/>
            <w:shd w:val="clear" w:color="auto" w:fill="D9D9D9" w:themeFill="background1" w:themeFillShade="D9"/>
            <w:noWrap/>
            <w:vAlign w:val="center"/>
          </w:tcPr>
          <w:p w:rsidR="00386463" w:rsidP="003F30F6" w:rsidRDefault="00386463">
            <w:pPr>
              <w:pStyle w:val="IEcChartText"/>
              <w:jc w:val="center"/>
            </w:pPr>
            <w:r>
              <w:t>1.5</w:t>
            </w:r>
          </w:p>
        </w:tc>
        <w:tc>
          <w:tcPr>
            <w:tcW w:w="477" w:type="pct"/>
            <w:shd w:val="clear" w:color="auto" w:fill="D9D9D9" w:themeFill="background1" w:themeFillShade="D9"/>
            <w:vAlign w:val="center"/>
          </w:tcPr>
          <w:p w:rsidR="00386463" w:rsidP="003F30F6" w:rsidRDefault="00386463">
            <w:pPr>
              <w:pStyle w:val="IEcChartText"/>
              <w:jc w:val="center"/>
            </w:pPr>
            <w:r>
              <w:t>0</w:t>
            </w:r>
          </w:p>
        </w:tc>
        <w:tc>
          <w:tcPr>
            <w:tcW w:w="495" w:type="pct"/>
            <w:shd w:val="clear" w:color="auto" w:fill="D9D9D9" w:themeFill="background1" w:themeFillShade="D9"/>
            <w:vAlign w:val="center"/>
          </w:tcPr>
          <w:p w:rsidR="00386463" w:rsidP="003F30F6" w:rsidRDefault="00386463">
            <w:pPr>
              <w:pStyle w:val="IEcChartText"/>
              <w:jc w:val="center"/>
            </w:pPr>
            <w:r>
              <w:t>15</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$0</w:t>
            </w:r>
          </w:p>
        </w:tc>
        <w:tc>
          <w:tcPr>
            <w:tcW w:w="483" w:type="pct"/>
            <w:shd w:val="clear" w:color="auto" w:fill="D9D9D9" w:themeFill="background1" w:themeFillShade="D9"/>
            <w:noWrap/>
            <w:vAlign w:val="center"/>
          </w:tcPr>
          <w:p w:rsidR="00386463" w:rsidP="003F30F6" w:rsidRDefault="00386463">
            <w:pPr>
              <w:pStyle w:val="IEcChartText"/>
              <w:jc w:val="center"/>
            </w:pPr>
            <w:r>
              <w:t>$963</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1</w:t>
            </w:r>
          </w:p>
        </w:tc>
        <w:tc>
          <w:tcPr>
            <w:tcW w:w="465" w:type="pct"/>
            <w:shd w:val="clear" w:color="auto" w:fill="auto"/>
            <w:noWrap/>
            <w:vAlign w:val="center"/>
          </w:tcPr>
          <w:p w:rsidR="00386463" w:rsidP="003F30F6" w:rsidRDefault="00386463">
            <w:pPr>
              <w:pStyle w:val="IEcChartText"/>
              <w:jc w:val="center"/>
            </w:pPr>
            <w:r>
              <w:t>2</w:t>
            </w:r>
          </w:p>
        </w:tc>
        <w:tc>
          <w:tcPr>
            <w:tcW w:w="432" w:type="pct"/>
            <w:shd w:val="clear" w:color="auto" w:fill="auto"/>
            <w:noWrap/>
            <w:vAlign w:val="center"/>
          </w:tcPr>
          <w:p w:rsidR="00386463" w:rsidP="003F30F6" w:rsidRDefault="00386463">
            <w:pPr>
              <w:pStyle w:val="IEcChartText"/>
              <w:jc w:val="center"/>
            </w:pPr>
            <w:r>
              <w:t>9</w:t>
            </w:r>
          </w:p>
        </w:tc>
        <w:tc>
          <w:tcPr>
            <w:tcW w:w="486" w:type="pct"/>
            <w:shd w:val="clear" w:color="auto" w:fill="auto"/>
            <w:noWrap/>
            <w:vAlign w:val="center"/>
          </w:tcPr>
          <w:p w:rsidR="00386463" w:rsidP="003F30F6" w:rsidRDefault="00386463">
            <w:pPr>
              <w:pStyle w:val="IEcChartText"/>
              <w:jc w:val="center"/>
            </w:pPr>
            <w:r>
              <w:t>0.5</w:t>
            </w:r>
          </w:p>
        </w:tc>
        <w:tc>
          <w:tcPr>
            <w:tcW w:w="477" w:type="pct"/>
            <w:vAlign w:val="center"/>
          </w:tcPr>
          <w:p w:rsidR="00386463" w:rsidP="003F30F6" w:rsidRDefault="00386463">
            <w:pPr>
              <w:pStyle w:val="IEcChartText"/>
              <w:jc w:val="center"/>
            </w:pPr>
            <w:r>
              <w:t>4</w:t>
            </w:r>
          </w:p>
        </w:tc>
        <w:tc>
          <w:tcPr>
            <w:tcW w:w="495" w:type="pct"/>
            <w:vAlign w:val="center"/>
          </w:tcPr>
          <w:p w:rsidR="00386463" w:rsidP="003F30F6" w:rsidRDefault="00386463">
            <w:pPr>
              <w:pStyle w:val="IEcChartText"/>
              <w:jc w:val="center"/>
            </w:pPr>
            <w:r>
              <w:t>11</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$262</w:t>
            </w:r>
          </w:p>
        </w:tc>
        <w:tc>
          <w:tcPr>
            <w:tcW w:w="483" w:type="pct"/>
            <w:shd w:val="clear" w:color="auto" w:fill="auto"/>
            <w:noWrap/>
            <w:vAlign w:val="center"/>
          </w:tcPr>
          <w:p w:rsidR="00386463" w:rsidP="003F30F6" w:rsidRDefault="00386463">
            <w:pPr>
              <w:pStyle w:val="IEcChartText"/>
              <w:jc w:val="center"/>
            </w:pPr>
            <w:r>
              <w:t>$707</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WAZ</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32" w:type="pct"/>
            <w:shd w:val="clear" w:color="auto" w:fill="D9D9D9" w:themeFill="background1" w:themeFillShade="D9"/>
            <w:noWrap/>
            <w:vAlign w:val="center"/>
          </w:tcPr>
          <w:p w:rsidR="00386463" w:rsidP="003F30F6" w:rsidRDefault="00386463">
            <w:pPr>
              <w:pStyle w:val="IEcChartText"/>
              <w:jc w:val="center"/>
            </w:pPr>
            <w:r>
              <w:t>12</w:t>
            </w:r>
          </w:p>
        </w:tc>
        <w:tc>
          <w:tcPr>
            <w:tcW w:w="486" w:type="pct"/>
            <w:shd w:val="clear" w:color="auto" w:fill="D9D9D9" w:themeFill="background1" w:themeFillShade="D9"/>
            <w:noWrap/>
            <w:vAlign w:val="center"/>
          </w:tcPr>
          <w:p w:rsidR="00386463" w:rsidP="003F30F6" w:rsidRDefault="00386463">
            <w:pPr>
              <w:pStyle w:val="IEcChartText"/>
              <w:jc w:val="center"/>
            </w:pPr>
            <w:r>
              <w:t>1.5</w:t>
            </w:r>
          </w:p>
        </w:tc>
        <w:tc>
          <w:tcPr>
            <w:tcW w:w="477" w:type="pct"/>
            <w:shd w:val="clear" w:color="auto" w:fill="D9D9D9" w:themeFill="background1" w:themeFillShade="D9"/>
            <w:vAlign w:val="center"/>
          </w:tcPr>
          <w:p w:rsidR="00386463" w:rsidP="003F30F6" w:rsidRDefault="00386463">
            <w:pPr>
              <w:pStyle w:val="IEcChartText"/>
              <w:jc w:val="center"/>
            </w:pPr>
            <w:r>
              <w:t>0</w:t>
            </w:r>
          </w:p>
        </w:tc>
        <w:tc>
          <w:tcPr>
            <w:tcW w:w="495" w:type="pct"/>
            <w:shd w:val="clear" w:color="auto" w:fill="D9D9D9" w:themeFill="background1" w:themeFillShade="D9"/>
            <w:vAlign w:val="center"/>
          </w:tcPr>
          <w:p w:rsidR="00386463" w:rsidP="003F30F6" w:rsidRDefault="00386463">
            <w:pPr>
              <w:pStyle w:val="IEcChartText"/>
              <w:jc w:val="center"/>
            </w:pPr>
            <w:r>
              <w:t>7</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$0</w:t>
            </w:r>
          </w:p>
        </w:tc>
        <w:tc>
          <w:tcPr>
            <w:tcW w:w="483" w:type="pct"/>
            <w:shd w:val="clear" w:color="auto" w:fill="D9D9D9" w:themeFill="background1" w:themeFillShade="D9"/>
            <w:noWrap/>
            <w:vAlign w:val="center"/>
          </w:tcPr>
          <w:p w:rsidR="00386463" w:rsidP="003F30F6" w:rsidRDefault="00386463">
            <w:pPr>
              <w:pStyle w:val="IEcChartText"/>
              <w:jc w:val="center"/>
            </w:pPr>
            <w:r>
              <w:t>$439</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3</w:t>
            </w:r>
          </w:p>
        </w:tc>
        <w:tc>
          <w:tcPr>
            <w:tcW w:w="465" w:type="pct"/>
            <w:shd w:val="clear" w:color="auto" w:fill="auto"/>
            <w:noWrap/>
            <w:vAlign w:val="center"/>
          </w:tcPr>
          <w:p w:rsidR="00386463" w:rsidP="003F30F6" w:rsidRDefault="00386463">
            <w:pPr>
              <w:pStyle w:val="IEcChartText"/>
              <w:jc w:val="center"/>
            </w:pPr>
            <w:r>
              <w:t>6</w:t>
            </w:r>
          </w:p>
        </w:tc>
        <w:tc>
          <w:tcPr>
            <w:tcW w:w="432" w:type="pct"/>
            <w:shd w:val="clear" w:color="auto" w:fill="auto"/>
            <w:noWrap/>
            <w:vAlign w:val="center"/>
          </w:tcPr>
          <w:p w:rsidR="00386463" w:rsidP="003F30F6" w:rsidRDefault="00386463">
            <w:pPr>
              <w:pStyle w:val="IEcChartText"/>
              <w:jc w:val="center"/>
            </w:pPr>
            <w:r>
              <w:t>12</w:t>
            </w:r>
          </w:p>
        </w:tc>
        <w:tc>
          <w:tcPr>
            <w:tcW w:w="486" w:type="pct"/>
            <w:shd w:val="clear" w:color="auto" w:fill="auto"/>
            <w:noWrap/>
            <w:vAlign w:val="center"/>
          </w:tcPr>
          <w:p w:rsidR="00386463" w:rsidP="003F30F6" w:rsidRDefault="00386463">
            <w:pPr>
              <w:pStyle w:val="IEcChartText"/>
              <w:jc w:val="center"/>
            </w:pPr>
            <w:r>
              <w:t>0.5</w:t>
            </w:r>
          </w:p>
        </w:tc>
        <w:tc>
          <w:tcPr>
            <w:tcW w:w="477" w:type="pct"/>
            <w:vAlign w:val="center"/>
          </w:tcPr>
          <w:p w:rsidR="00386463" w:rsidP="003F30F6" w:rsidRDefault="00386463">
            <w:pPr>
              <w:pStyle w:val="IEcChartText"/>
              <w:jc w:val="center"/>
            </w:pPr>
            <w:r>
              <w:t>20</w:t>
            </w:r>
          </w:p>
        </w:tc>
        <w:tc>
          <w:tcPr>
            <w:tcW w:w="495" w:type="pct"/>
            <w:vAlign w:val="center"/>
          </w:tcPr>
          <w:p w:rsidR="00386463" w:rsidP="003F30F6" w:rsidRDefault="00386463">
            <w:pPr>
              <w:pStyle w:val="IEcChartText"/>
              <w:jc w:val="center"/>
            </w:pPr>
            <w:r>
              <w:t>38</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$1,250</w:t>
            </w:r>
          </w:p>
        </w:tc>
        <w:tc>
          <w:tcPr>
            <w:tcW w:w="483" w:type="pct"/>
            <w:shd w:val="clear" w:color="auto" w:fill="auto"/>
            <w:noWrap/>
            <w:vAlign w:val="center"/>
          </w:tcPr>
          <w:p w:rsidR="00386463" w:rsidP="003F30F6" w:rsidRDefault="00386463">
            <w:pPr>
              <w:pStyle w:val="IEcChartText"/>
              <w:jc w:val="center"/>
            </w:pPr>
            <w:r>
              <w:t>$2,440</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Airgun HRG</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1</w:t>
            </w:r>
          </w:p>
        </w:tc>
        <w:tc>
          <w:tcPr>
            <w:tcW w:w="465" w:type="pct"/>
            <w:shd w:val="clear" w:color="auto" w:fill="D9D9D9" w:themeFill="background1" w:themeFillShade="D9"/>
            <w:noWrap/>
            <w:vAlign w:val="center"/>
          </w:tcPr>
          <w:p w:rsidR="00386463" w:rsidP="003F30F6" w:rsidRDefault="00386463">
            <w:pPr>
              <w:pStyle w:val="IEcChartText"/>
              <w:jc w:val="center"/>
            </w:pPr>
            <w:r>
              <w:t>1</w:t>
            </w:r>
          </w:p>
        </w:tc>
        <w:tc>
          <w:tcPr>
            <w:tcW w:w="432" w:type="pct"/>
            <w:shd w:val="clear" w:color="auto" w:fill="D9D9D9" w:themeFill="background1" w:themeFillShade="D9"/>
            <w:noWrap/>
            <w:vAlign w:val="center"/>
          </w:tcPr>
          <w:p w:rsidR="00386463" w:rsidP="003F30F6" w:rsidRDefault="00386463">
            <w:pPr>
              <w:pStyle w:val="IEcChartText"/>
              <w:jc w:val="center"/>
            </w:pPr>
            <w:r>
              <w:t>1</w:t>
            </w:r>
          </w:p>
        </w:tc>
        <w:tc>
          <w:tcPr>
            <w:tcW w:w="486" w:type="pct"/>
            <w:shd w:val="clear" w:color="auto" w:fill="D9D9D9" w:themeFill="background1" w:themeFillShade="D9"/>
            <w:noWrap/>
            <w:vAlign w:val="center"/>
          </w:tcPr>
          <w:p w:rsidR="00386463" w:rsidP="003F30F6" w:rsidRDefault="00386463">
            <w:pPr>
              <w:pStyle w:val="IEcChartText"/>
              <w:jc w:val="center"/>
            </w:pPr>
            <w:r>
              <w:t>1</w:t>
            </w:r>
          </w:p>
        </w:tc>
        <w:tc>
          <w:tcPr>
            <w:tcW w:w="477" w:type="pct"/>
            <w:shd w:val="clear" w:color="auto" w:fill="D9D9D9" w:themeFill="background1" w:themeFillShade="D9"/>
            <w:vAlign w:val="center"/>
          </w:tcPr>
          <w:p w:rsidR="00386463" w:rsidP="003F30F6" w:rsidRDefault="00386463">
            <w:pPr>
              <w:pStyle w:val="IEcChartText"/>
              <w:jc w:val="center"/>
            </w:pPr>
            <w:r>
              <w:t>0</w:t>
            </w:r>
          </w:p>
        </w:tc>
        <w:tc>
          <w:tcPr>
            <w:tcW w:w="495" w:type="pct"/>
            <w:shd w:val="clear" w:color="auto" w:fill="D9D9D9" w:themeFill="background1" w:themeFillShade="D9"/>
            <w:vAlign w:val="center"/>
          </w:tcPr>
          <w:p w:rsidR="00386463" w:rsidP="003F30F6" w:rsidRDefault="00386463">
            <w:pPr>
              <w:pStyle w:val="IEcChartText"/>
              <w:jc w:val="center"/>
            </w:pPr>
            <w:r>
              <w:t>1</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$29</w:t>
            </w:r>
          </w:p>
        </w:tc>
        <w:tc>
          <w:tcPr>
            <w:tcW w:w="483" w:type="pct"/>
            <w:shd w:val="clear" w:color="auto" w:fill="D9D9D9" w:themeFill="background1" w:themeFillShade="D9"/>
            <w:noWrap/>
            <w:vAlign w:val="center"/>
          </w:tcPr>
          <w:p w:rsidR="00386463" w:rsidP="003F30F6" w:rsidRDefault="00386463">
            <w:pPr>
              <w:pStyle w:val="IEcChartText"/>
              <w:jc w:val="center"/>
            </w:pPr>
            <w:r>
              <w:t>$45</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1</w:t>
            </w:r>
          </w:p>
        </w:tc>
        <w:tc>
          <w:tcPr>
            <w:tcW w:w="465" w:type="pct"/>
            <w:shd w:val="clear" w:color="auto" w:fill="auto"/>
            <w:noWrap/>
            <w:vAlign w:val="center"/>
          </w:tcPr>
          <w:p w:rsidR="00386463" w:rsidP="003F30F6" w:rsidRDefault="00386463">
            <w:pPr>
              <w:pStyle w:val="IEcChartText"/>
              <w:jc w:val="center"/>
            </w:pPr>
            <w:r>
              <w:t>2</w:t>
            </w:r>
          </w:p>
        </w:tc>
        <w:tc>
          <w:tcPr>
            <w:tcW w:w="432" w:type="pct"/>
            <w:shd w:val="clear" w:color="auto" w:fill="auto"/>
            <w:noWrap/>
            <w:vAlign w:val="center"/>
          </w:tcPr>
          <w:p w:rsidR="00386463" w:rsidP="003F30F6" w:rsidRDefault="00386463">
            <w:pPr>
              <w:pStyle w:val="IEcChartText"/>
              <w:jc w:val="center"/>
            </w:pPr>
            <w:r>
              <w:t>1</w:t>
            </w:r>
          </w:p>
        </w:tc>
        <w:tc>
          <w:tcPr>
            <w:tcW w:w="486" w:type="pct"/>
            <w:shd w:val="clear" w:color="auto" w:fill="auto"/>
            <w:noWrap/>
            <w:vAlign w:val="center"/>
          </w:tcPr>
          <w:p w:rsidR="00386463" w:rsidP="003F30F6" w:rsidRDefault="00386463">
            <w:pPr>
              <w:pStyle w:val="IEcChartText"/>
              <w:jc w:val="center"/>
            </w:pPr>
            <w:r>
              <w:t>0</w:t>
            </w:r>
          </w:p>
        </w:tc>
        <w:tc>
          <w:tcPr>
            <w:tcW w:w="477" w:type="pct"/>
            <w:vAlign w:val="center"/>
          </w:tcPr>
          <w:p w:rsidR="00386463" w:rsidP="003F30F6" w:rsidRDefault="00386463">
            <w:pPr>
              <w:pStyle w:val="IEcChartText"/>
              <w:jc w:val="center"/>
            </w:pPr>
            <w:r>
              <w:t>0</w:t>
            </w:r>
          </w:p>
        </w:tc>
        <w:tc>
          <w:tcPr>
            <w:tcW w:w="495" w:type="pct"/>
            <w:vAlign w:val="center"/>
          </w:tcPr>
          <w:p w:rsidR="00386463" w:rsidP="003F30F6" w:rsidRDefault="00386463">
            <w:pPr>
              <w:pStyle w:val="IEcChartText"/>
              <w:jc w:val="center"/>
            </w:pPr>
            <w:r>
              <w:t>0</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$0</w:t>
            </w:r>
          </w:p>
        </w:tc>
        <w:tc>
          <w:tcPr>
            <w:tcW w:w="483" w:type="pct"/>
            <w:shd w:val="clear" w:color="auto" w:fill="auto"/>
            <w:noWrap/>
            <w:vAlign w:val="center"/>
          </w:tcPr>
          <w:p w:rsidR="00386463" w:rsidP="003F30F6" w:rsidRDefault="00386463">
            <w:pPr>
              <w:pStyle w:val="IEcChartText"/>
              <w:jc w:val="center"/>
            </w:pPr>
            <w:r>
              <w:t>$0</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VSP</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10</w:t>
            </w:r>
          </w:p>
        </w:tc>
        <w:tc>
          <w:tcPr>
            <w:tcW w:w="465" w:type="pct"/>
            <w:shd w:val="clear" w:color="auto" w:fill="D9D9D9" w:themeFill="background1" w:themeFillShade="D9"/>
            <w:noWrap/>
            <w:vAlign w:val="center"/>
          </w:tcPr>
          <w:p w:rsidR="00386463" w:rsidP="003F30F6" w:rsidRDefault="00386463">
            <w:pPr>
              <w:pStyle w:val="IEcChartText"/>
              <w:jc w:val="center"/>
            </w:pPr>
            <w:r>
              <w:t>17</w:t>
            </w:r>
          </w:p>
        </w:tc>
        <w:tc>
          <w:tcPr>
            <w:tcW w:w="432" w:type="pct"/>
            <w:shd w:val="clear" w:color="auto" w:fill="D9D9D9" w:themeFill="background1" w:themeFillShade="D9"/>
            <w:noWrap/>
            <w:vAlign w:val="center"/>
          </w:tcPr>
          <w:p w:rsidR="00386463" w:rsidP="003F30F6" w:rsidRDefault="00386463">
            <w:pPr>
              <w:pStyle w:val="IEcChartText"/>
              <w:jc w:val="center"/>
            </w:pPr>
            <w:r>
              <w:t>1</w:t>
            </w:r>
          </w:p>
        </w:tc>
        <w:tc>
          <w:tcPr>
            <w:tcW w:w="486" w:type="pct"/>
            <w:shd w:val="clear" w:color="auto" w:fill="D9D9D9" w:themeFill="background1" w:themeFillShade="D9"/>
            <w:noWrap/>
            <w:vAlign w:val="center"/>
          </w:tcPr>
          <w:p w:rsidR="00386463" w:rsidP="003F30F6" w:rsidRDefault="00386463">
            <w:pPr>
              <w:pStyle w:val="IEcChartText"/>
              <w:jc w:val="center"/>
            </w:pPr>
            <w:r>
              <w:t>1.5</w:t>
            </w:r>
          </w:p>
        </w:tc>
        <w:tc>
          <w:tcPr>
            <w:tcW w:w="477" w:type="pct"/>
            <w:shd w:val="clear" w:color="auto" w:fill="D9D9D9" w:themeFill="background1" w:themeFillShade="D9"/>
            <w:vAlign w:val="center"/>
          </w:tcPr>
          <w:p w:rsidR="00386463" w:rsidP="003F30F6" w:rsidRDefault="00386463">
            <w:pPr>
              <w:pStyle w:val="IEcChartText"/>
              <w:jc w:val="center"/>
            </w:pPr>
            <w:r>
              <w:t>15</w:t>
            </w:r>
          </w:p>
        </w:tc>
        <w:tc>
          <w:tcPr>
            <w:tcW w:w="495" w:type="pct"/>
            <w:shd w:val="clear" w:color="auto" w:fill="D9D9D9" w:themeFill="background1" w:themeFillShade="D9"/>
            <w:vAlign w:val="center"/>
          </w:tcPr>
          <w:p w:rsidR="00386463" w:rsidP="003F30F6" w:rsidRDefault="00386463">
            <w:pPr>
              <w:pStyle w:val="IEcChartText"/>
              <w:jc w:val="center"/>
            </w:pPr>
            <w:r>
              <w:t>25</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$984</w:t>
            </w:r>
          </w:p>
        </w:tc>
        <w:tc>
          <w:tcPr>
            <w:tcW w:w="483" w:type="pct"/>
            <w:shd w:val="clear" w:color="auto" w:fill="D9D9D9" w:themeFill="background1" w:themeFillShade="D9"/>
            <w:noWrap/>
            <w:vAlign w:val="center"/>
          </w:tcPr>
          <w:p w:rsidR="00386463" w:rsidP="003F30F6" w:rsidRDefault="00386463">
            <w:pPr>
              <w:pStyle w:val="IEcChartText"/>
              <w:jc w:val="center"/>
            </w:pPr>
            <w:r>
              <w:t>$1,600</w:t>
            </w:r>
          </w:p>
        </w:tc>
      </w:tr>
      <w:tr w:rsidR="00386463" w:rsidTr="003F30F6">
        <w:trPr>
          <w:trHeight w:val="20"/>
        </w:trPr>
        <w:tc>
          <w:tcPr>
            <w:tcW w:w="396" w:type="pct"/>
            <w:vMerge/>
            <w:shd w:val="clear" w:color="auto" w:fill="auto"/>
            <w:noWrap/>
            <w:vAlign w:val="center"/>
          </w:tcPr>
          <w:p w:rsidR="00386463" w:rsidP="003F30F6" w:rsidRDefault="00386463">
            <w:pPr>
              <w:pStyle w:val="IEcChartText"/>
            </w:pPr>
          </w:p>
        </w:tc>
        <w:tc>
          <w:tcPr>
            <w:tcW w:w="325" w:type="pct"/>
            <w:shd w:val="clear" w:color="auto" w:fill="auto"/>
            <w:noWrap/>
            <w:vAlign w:val="bottom"/>
          </w:tcPr>
          <w:p w:rsidR="00386463" w:rsidP="003F30F6" w:rsidRDefault="00386463">
            <w:pPr>
              <w:pStyle w:val="IEcChartText"/>
            </w:pPr>
            <w:r>
              <w:t>Deep</w:t>
            </w:r>
          </w:p>
        </w:tc>
        <w:tc>
          <w:tcPr>
            <w:tcW w:w="465" w:type="pct"/>
            <w:shd w:val="clear" w:color="auto" w:fill="auto"/>
            <w:noWrap/>
            <w:vAlign w:val="center"/>
          </w:tcPr>
          <w:p w:rsidR="00386463" w:rsidP="003F30F6" w:rsidRDefault="00386463">
            <w:pPr>
              <w:pStyle w:val="IEcChartText"/>
              <w:jc w:val="center"/>
            </w:pPr>
            <w:r>
              <w:t>31</w:t>
            </w:r>
          </w:p>
        </w:tc>
        <w:tc>
          <w:tcPr>
            <w:tcW w:w="465" w:type="pct"/>
            <w:shd w:val="clear" w:color="auto" w:fill="auto"/>
            <w:noWrap/>
            <w:vAlign w:val="center"/>
          </w:tcPr>
          <w:p w:rsidR="00386463" w:rsidP="003F30F6" w:rsidRDefault="00386463">
            <w:pPr>
              <w:pStyle w:val="IEcChartText"/>
              <w:jc w:val="center"/>
            </w:pPr>
            <w:r>
              <w:t>47</w:t>
            </w:r>
          </w:p>
        </w:tc>
        <w:tc>
          <w:tcPr>
            <w:tcW w:w="432" w:type="pct"/>
            <w:shd w:val="clear" w:color="auto" w:fill="auto"/>
            <w:noWrap/>
            <w:vAlign w:val="center"/>
          </w:tcPr>
          <w:p w:rsidR="00386463" w:rsidP="003F30F6" w:rsidRDefault="00386463">
            <w:pPr>
              <w:pStyle w:val="IEcChartText"/>
              <w:jc w:val="center"/>
            </w:pPr>
            <w:r>
              <w:t>1</w:t>
            </w:r>
          </w:p>
        </w:tc>
        <w:tc>
          <w:tcPr>
            <w:tcW w:w="486" w:type="pct"/>
            <w:shd w:val="clear" w:color="auto" w:fill="auto"/>
            <w:noWrap/>
            <w:vAlign w:val="center"/>
          </w:tcPr>
          <w:p w:rsidR="00386463" w:rsidP="003F30F6" w:rsidRDefault="00386463">
            <w:pPr>
              <w:pStyle w:val="IEcChartText"/>
              <w:jc w:val="center"/>
            </w:pPr>
            <w:r>
              <w:t>0.5</w:t>
            </w:r>
          </w:p>
        </w:tc>
        <w:tc>
          <w:tcPr>
            <w:tcW w:w="477" w:type="pct"/>
            <w:vAlign w:val="center"/>
          </w:tcPr>
          <w:p w:rsidR="00386463" w:rsidP="003F30F6" w:rsidRDefault="00386463">
            <w:pPr>
              <w:pStyle w:val="IEcChartText"/>
              <w:jc w:val="center"/>
            </w:pPr>
            <w:r>
              <w:t>16</w:t>
            </w:r>
          </w:p>
        </w:tc>
        <w:tc>
          <w:tcPr>
            <w:tcW w:w="495" w:type="pct"/>
            <w:vAlign w:val="center"/>
          </w:tcPr>
          <w:p w:rsidR="00386463" w:rsidP="003F30F6" w:rsidRDefault="00386463">
            <w:pPr>
              <w:pStyle w:val="IEcChartText"/>
              <w:jc w:val="center"/>
            </w:pPr>
            <w:r>
              <w:t>23</w:t>
            </w:r>
          </w:p>
        </w:tc>
        <w:tc>
          <w:tcPr>
            <w:tcW w:w="522" w:type="pct"/>
            <w:shd w:val="clear" w:color="auto" w:fill="auto"/>
            <w:noWrap/>
            <w:vAlign w:val="center"/>
          </w:tcPr>
          <w:p w:rsidR="00386463" w:rsidP="003F30F6" w:rsidRDefault="00386463">
            <w:pPr>
              <w:pStyle w:val="IEcChartText"/>
              <w:jc w:val="center"/>
            </w:pPr>
            <w:r>
              <w:t>$63.54</w:t>
            </w:r>
          </w:p>
        </w:tc>
        <w:tc>
          <w:tcPr>
            <w:tcW w:w="454" w:type="pct"/>
            <w:vAlign w:val="center"/>
          </w:tcPr>
          <w:p w:rsidR="00386463" w:rsidP="003F30F6" w:rsidRDefault="00386463">
            <w:pPr>
              <w:pStyle w:val="IEcChartText"/>
              <w:jc w:val="center"/>
            </w:pPr>
            <w:r>
              <w:t>$990</w:t>
            </w:r>
          </w:p>
        </w:tc>
        <w:tc>
          <w:tcPr>
            <w:tcW w:w="483" w:type="pct"/>
            <w:shd w:val="clear" w:color="auto" w:fill="auto"/>
            <w:noWrap/>
            <w:vAlign w:val="center"/>
          </w:tcPr>
          <w:p w:rsidR="00386463" w:rsidP="003F30F6" w:rsidRDefault="00386463">
            <w:pPr>
              <w:pStyle w:val="IEcChartText"/>
              <w:jc w:val="center"/>
            </w:pPr>
            <w:r>
              <w:t>$1,480</w:t>
            </w:r>
          </w:p>
        </w:tc>
      </w:tr>
      <w:tr w:rsidR="00386463" w:rsidTr="003F30F6">
        <w:trPr>
          <w:trHeight w:val="20"/>
        </w:trPr>
        <w:tc>
          <w:tcPr>
            <w:tcW w:w="396" w:type="pct"/>
            <w:vMerge w:val="restart"/>
            <w:shd w:val="clear" w:color="auto" w:fill="auto"/>
            <w:noWrap/>
            <w:vAlign w:val="center"/>
          </w:tcPr>
          <w:p w:rsidR="00386463" w:rsidP="003F30F6" w:rsidRDefault="00386463">
            <w:pPr>
              <w:pStyle w:val="IEcChartText"/>
            </w:pPr>
            <w:r>
              <w:t>SWD</w:t>
            </w:r>
          </w:p>
        </w:tc>
        <w:tc>
          <w:tcPr>
            <w:tcW w:w="325" w:type="pct"/>
            <w:shd w:val="clear" w:color="auto" w:fill="D9D9D9" w:themeFill="background1" w:themeFillShade="D9"/>
            <w:noWrap/>
            <w:vAlign w:val="bottom"/>
          </w:tcPr>
          <w:p w:rsidR="00386463" w:rsidP="003F30F6" w:rsidRDefault="00386463">
            <w:pPr>
              <w:pStyle w:val="IEcChartText"/>
            </w:pPr>
            <w:r>
              <w:t>Shallow</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65" w:type="pct"/>
            <w:shd w:val="clear" w:color="auto" w:fill="D9D9D9" w:themeFill="background1" w:themeFillShade="D9"/>
            <w:noWrap/>
            <w:vAlign w:val="center"/>
          </w:tcPr>
          <w:p w:rsidR="00386463" w:rsidP="003F30F6" w:rsidRDefault="00386463">
            <w:pPr>
              <w:pStyle w:val="IEcChartText"/>
              <w:jc w:val="center"/>
            </w:pPr>
            <w:r>
              <w:t>0</w:t>
            </w:r>
          </w:p>
        </w:tc>
        <w:tc>
          <w:tcPr>
            <w:tcW w:w="432" w:type="pct"/>
            <w:shd w:val="clear" w:color="auto" w:fill="D9D9D9" w:themeFill="background1" w:themeFillShade="D9"/>
            <w:noWrap/>
            <w:vAlign w:val="center"/>
          </w:tcPr>
          <w:p w:rsidR="00386463" w:rsidP="003F30F6" w:rsidRDefault="00386463">
            <w:pPr>
              <w:pStyle w:val="IEcChartText"/>
              <w:jc w:val="center"/>
            </w:pPr>
            <w:r>
              <w:t>1</w:t>
            </w:r>
          </w:p>
        </w:tc>
        <w:tc>
          <w:tcPr>
            <w:tcW w:w="486" w:type="pct"/>
            <w:shd w:val="clear" w:color="auto" w:fill="D9D9D9" w:themeFill="background1" w:themeFillShade="D9"/>
            <w:noWrap/>
            <w:vAlign w:val="center"/>
          </w:tcPr>
          <w:p w:rsidR="00386463" w:rsidP="003F30F6" w:rsidRDefault="00386463">
            <w:pPr>
              <w:pStyle w:val="IEcChartText"/>
              <w:jc w:val="center"/>
            </w:pPr>
            <w:r>
              <w:t>1.5</w:t>
            </w:r>
          </w:p>
        </w:tc>
        <w:tc>
          <w:tcPr>
            <w:tcW w:w="477" w:type="pct"/>
            <w:shd w:val="clear" w:color="auto" w:fill="D9D9D9" w:themeFill="background1" w:themeFillShade="D9"/>
            <w:vAlign w:val="center"/>
          </w:tcPr>
          <w:p w:rsidR="00386463" w:rsidP="003F30F6" w:rsidRDefault="00386463">
            <w:pPr>
              <w:pStyle w:val="IEcChartText"/>
              <w:jc w:val="center"/>
            </w:pPr>
            <w:r>
              <w:t>0</w:t>
            </w:r>
          </w:p>
        </w:tc>
        <w:tc>
          <w:tcPr>
            <w:tcW w:w="495" w:type="pct"/>
            <w:shd w:val="clear" w:color="auto" w:fill="D9D9D9" w:themeFill="background1" w:themeFillShade="D9"/>
            <w:vAlign w:val="center"/>
          </w:tcPr>
          <w:p w:rsidR="00386463" w:rsidP="003F30F6" w:rsidRDefault="00386463">
            <w:pPr>
              <w:pStyle w:val="IEcChartText"/>
              <w:jc w:val="center"/>
            </w:pPr>
            <w:r>
              <w:t>0</w:t>
            </w:r>
          </w:p>
        </w:tc>
        <w:tc>
          <w:tcPr>
            <w:tcW w:w="522" w:type="pct"/>
            <w:shd w:val="clear" w:color="auto" w:fill="D9D9D9" w:themeFill="background1" w:themeFillShade="D9"/>
            <w:noWrap/>
            <w:vAlign w:val="center"/>
          </w:tcPr>
          <w:p w:rsidR="00386463" w:rsidP="003F30F6" w:rsidRDefault="00386463">
            <w:pPr>
              <w:pStyle w:val="IEcChartText"/>
              <w:jc w:val="center"/>
            </w:pPr>
            <w:r>
              <w:t>$63.54</w:t>
            </w:r>
          </w:p>
        </w:tc>
        <w:tc>
          <w:tcPr>
            <w:tcW w:w="454" w:type="pct"/>
            <w:shd w:val="clear" w:color="auto" w:fill="D9D9D9" w:themeFill="background1" w:themeFillShade="D9"/>
            <w:vAlign w:val="center"/>
          </w:tcPr>
          <w:p w:rsidR="00386463" w:rsidP="003F30F6" w:rsidRDefault="00386463">
            <w:pPr>
              <w:pStyle w:val="IEcChartText"/>
              <w:jc w:val="center"/>
            </w:pPr>
            <w:r>
              <w:t>$0</w:t>
            </w:r>
          </w:p>
        </w:tc>
        <w:tc>
          <w:tcPr>
            <w:tcW w:w="483" w:type="pct"/>
            <w:shd w:val="clear" w:color="auto" w:fill="D9D9D9" w:themeFill="background1" w:themeFillShade="D9"/>
            <w:noWrap/>
            <w:vAlign w:val="center"/>
          </w:tcPr>
          <w:p w:rsidR="00386463" w:rsidP="003F30F6" w:rsidRDefault="00386463">
            <w:pPr>
              <w:pStyle w:val="IEcChartText"/>
              <w:jc w:val="center"/>
            </w:pPr>
            <w:r>
              <w:t>$0</w:t>
            </w:r>
          </w:p>
        </w:tc>
      </w:tr>
      <w:tr w:rsidR="00386463" w:rsidTr="003F30F6">
        <w:trPr>
          <w:trHeight w:val="20"/>
        </w:trPr>
        <w:tc>
          <w:tcPr>
            <w:tcW w:w="396" w:type="pct"/>
            <w:vMerge/>
            <w:tcBorders>
              <w:bottom w:val="single" w:color="000000" w:themeColor="text1" w:sz="12" w:space="0"/>
            </w:tcBorders>
            <w:shd w:val="clear" w:color="auto" w:fill="auto"/>
            <w:noWrap/>
            <w:vAlign w:val="center"/>
          </w:tcPr>
          <w:p w:rsidR="00386463" w:rsidP="003F30F6" w:rsidRDefault="00386463">
            <w:pPr>
              <w:pStyle w:val="IEcChartText"/>
            </w:pPr>
          </w:p>
        </w:tc>
        <w:tc>
          <w:tcPr>
            <w:tcW w:w="325" w:type="pct"/>
            <w:tcBorders>
              <w:bottom w:val="single" w:color="000000" w:themeColor="text1" w:sz="12" w:space="0"/>
              <w:right w:val="single" w:color="auto" w:sz="4" w:space="0"/>
            </w:tcBorders>
            <w:shd w:val="clear" w:color="auto" w:fill="auto"/>
            <w:noWrap/>
            <w:vAlign w:val="bottom"/>
          </w:tcPr>
          <w:p w:rsidR="00386463" w:rsidP="003F30F6" w:rsidRDefault="00386463">
            <w:pPr>
              <w:pStyle w:val="IEcChartText"/>
            </w:pPr>
            <w:r>
              <w:t>Deep</w:t>
            </w:r>
          </w:p>
        </w:tc>
        <w:tc>
          <w:tcPr>
            <w:tcW w:w="465" w:type="pct"/>
            <w:tcBorders>
              <w:left w:val="single" w:color="auto" w:sz="4" w:space="0"/>
              <w:bottom w:val="single" w:color="000000" w:themeColor="text1" w:sz="12" w:space="0"/>
              <w:right w:val="single" w:color="auto" w:sz="4" w:space="0"/>
            </w:tcBorders>
            <w:shd w:val="clear" w:color="auto" w:fill="auto"/>
            <w:noWrap/>
            <w:vAlign w:val="center"/>
          </w:tcPr>
          <w:p w:rsidR="00386463" w:rsidP="003F30F6" w:rsidRDefault="00386463">
            <w:pPr>
              <w:pStyle w:val="IEcChartText"/>
              <w:jc w:val="center"/>
            </w:pPr>
            <w:r>
              <w:t>6</w:t>
            </w:r>
          </w:p>
        </w:tc>
        <w:tc>
          <w:tcPr>
            <w:tcW w:w="465" w:type="pct"/>
            <w:tcBorders>
              <w:left w:val="single" w:color="auto" w:sz="4" w:space="0"/>
              <w:bottom w:val="single" w:color="000000" w:themeColor="text1" w:sz="12" w:space="0"/>
              <w:right w:val="single" w:color="auto" w:sz="4" w:space="0"/>
            </w:tcBorders>
            <w:shd w:val="clear" w:color="auto" w:fill="auto"/>
            <w:noWrap/>
            <w:vAlign w:val="center"/>
          </w:tcPr>
          <w:p w:rsidR="00386463" w:rsidP="003F30F6" w:rsidRDefault="00386463">
            <w:pPr>
              <w:pStyle w:val="IEcChartText"/>
              <w:jc w:val="center"/>
            </w:pPr>
            <w:r>
              <w:t>11</w:t>
            </w:r>
          </w:p>
        </w:tc>
        <w:tc>
          <w:tcPr>
            <w:tcW w:w="432" w:type="pct"/>
            <w:tcBorders>
              <w:left w:val="single" w:color="auto" w:sz="4" w:space="0"/>
              <w:bottom w:val="single" w:color="000000" w:themeColor="text1" w:sz="12" w:space="0"/>
              <w:right w:val="single" w:color="auto" w:sz="4" w:space="0"/>
            </w:tcBorders>
            <w:shd w:val="clear" w:color="auto" w:fill="auto"/>
            <w:noWrap/>
            <w:vAlign w:val="center"/>
          </w:tcPr>
          <w:p w:rsidR="00386463" w:rsidP="003F30F6" w:rsidRDefault="00386463">
            <w:pPr>
              <w:pStyle w:val="IEcChartText"/>
              <w:jc w:val="center"/>
            </w:pPr>
            <w:r>
              <w:t>1</w:t>
            </w:r>
          </w:p>
        </w:tc>
        <w:tc>
          <w:tcPr>
            <w:tcW w:w="486" w:type="pct"/>
            <w:tcBorders>
              <w:left w:val="single" w:color="auto" w:sz="4" w:space="0"/>
              <w:bottom w:val="single" w:color="000000" w:themeColor="text1" w:sz="12" w:space="0"/>
              <w:right w:val="single" w:color="auto" w:sz="4" w:space="0"/>
            </w:tcBorders>
            <w:shd w:val="clear" w:color="auto" w:fill="auto"/>
            <w:noWrap/>
            <w:vAlign w:val="center"/>
          </w:tcPr>
          <w:p w:rsidR="00386463" w:rsidP="003F30F6" w:rsidRDefault="00386463">
            <w:pPr>
              <w:pStyle w:val="IEcChartText"/>
              <w:jc w:val="center"/>
            </w:pPr>
            <w:r>
              <w:t>0.5</w:t>
            </w:r>
          </w:p>
        </w:tc>
        <w:tc>
          <w:tcPr>
            <w:tcW w:w="477" w:type="pct"/>
            <w:tcBorders>
              <w:left w:val="single" w:color="auto" w:sz="4" w:space="0"/>
              <w:bottom w:val="single" w:color="000000" w:themeColor="text1" w:sz="12" w:space="0"/>
              <w:right w:val="single" w:color="auto" w:sz="4" w:space="0"/>
            </w:tcBorders>
            <w:vAlign w:val="center"/>
          </w:tcPr>
          <w:p w:rsidR="00386463" w:rsidP="003F30F6" w:rsidRDefault="00386463">
            <w:pPr>
              <w:pStyle w:val="IEcChartText"/>
              <w:jc w:val="center"/>
            </w:pPr>
            <w:r>
              <w:t>3</w:t>
            </w:r>
          </w:p>
        </w:tc>
        <w:tc>
          <w:tcPr>
            <w:tcW w:w="495" w:type="pct"/>
            <w:tcBorders>
              <w:left w:val="single" w:color="auto" w:sz="4" w:space="0"/>
              <w:bottom w:val="single" w:color="000000" w:themeColor="text1" w:sz="12" w:space="0"/>
              <w:right w:val="single" w:color="auto" w:sz="4" w:space="0"/>
            </w:tcBorders>
            <w:vAlign w:val="center"/>
          </w:tcPr>
          <w:p w:rsidR="00386463" w:rsidP="003F30F6" w:rsidRDefault="00386463">
            <w:pPr>
              <w:pStyle w:val="IEcChartText"/>
              <w:jc w:val="center"/>
            </w:pPr>
            <w:r>
              <w:t>5</w:t>
            </w:r>
          </w:p>
        </w:tc>
        <w:tc>
          <w:tcPr>
            <w:tcW w:w="522" w:type="pct"/>
            <w:tcBorders>
              <w:left w:val="single" w:color="auto" w:sz="4" w:space="0"/>
              <w:bottom w:val="single" w:color="000000" w:themeColor="text1" w:sz="12" w:space="0"/>
            </w:tcBorders>
            <w:shd w:val="clear" w:color="auto" w:fill="auto"/>
            <w:noWrap/>
            <w:vAlign w:val="center"/>
          </w:tcPr>
          <w:p w:rsidR="00386463" w:rsidP="003F30F6" w:rsidRDefault="00386463">
            <w:pPr>
              <w:pStyle w:val="IEcChartText"/>
              <w:jc w:val="center"/>
            </w:pPr>
            <w:r>
              <w:t>$63.54</w:t>
            </w:r>
          </w:p>
        </w:tc>
        <w:tc>
          <w:tcPr>
            <w:tcW w:w="454" w:type="pct"/>
            <w:tcBorders>
              <w:bottom w:val="single" w:color="000000" w:themeColor="text1" w:sz="12" w:space="0"/>
            </w:tcBorders>
            <w:vAlign w:val="center"/>
          </w:tcPr>
          <w:p w:rsidR="00386463" w:rsidP="003F30F6" w:rsidRDefault="00386463">
            <w:pPr>
              <w:pStyle w:val="IEcChartText"/>
              <w:jc w:val="center"/>
            </w:pPr>
            <w:r>
              <w:t>$179</w:t>
            </w:r>
          </w:p>
        </w:tc>
        <w:tc>
          <w:tcPr>
            <w:tcW w:w="483" w:type="pct"/>
            <w:tcBorders>
              <w:bottom w:val="single" w:color="000000" w:themeColor="text1" w:sz="12" w:space="0"/>
            </w:tcBorders>
            <w:shd w:val="clear" w:color="auto" w:fill="auto"/>
            <w:noWrap/>
            <w:vAlign w:val="center"/>
          </w:tcPr>
          <w:p w:rsidR="00386463" w:rsidP="003F30F6" w:rsidRDefault="00386463">
            <w:pPr>
              <w:pStyle w:val="IEcChartText"/>
              <w:jc w:val="center"/>
            </w:pPr>
            <w:r>
              <w:t>$341</w:t>
            </w:r>
          </w:p>
        </w:tc>
      </w:tr>
      <w:tr w:rsidR="00386463" w:rsidTr="003F30F6">
        <w:trPr>
          <w:trHeight w:val="20"/>
        </w:trPr>
        <w:tc>
          <w:tcPr>
            <w:tcW w:w="721" w:type="pct"/>
            <w:gridSpan w:val="2"/>
            <w:tcBorders>
              <w:top w:val="single" w:color="000000" w:themeColor="text1" w:sz="12" w:space="0"/>
              <w:bottom w:val="single" w:color="002060" w:sz="4" w:space="0"/>
              <w:right w:val="single" w:color="auto" w:sz="4" w:space="0"/>
            </w:tcBorders>
            <w:shd w:val="clear" w:color="000000" w:fill="D9D9D9"/>
            <w:noWrap/>
            <w:vAlign w:val="bottom"/>
            <w:hideMark/>
          </w:tcPr>
          <w:p w:rsidR="00386463" w:rsidP="003F30F6" w:rsidRDefault="00386463">
            <w:pPr>
              <w:pStyle w:val="IEcChartText"/>
              <w:jc w:val="right"/>
              <w:rPr>
                <w:b/>
              </w:rPr>
            </w:pPr>
            <w:r>
              <w:rPr>
                <w:b/>
              </w:rPr>
              <w:t>Total Annual PRA Burden (Govt) </w:t>
            </w:r>
          </w:p>
        </w:tc>
        <w:tc>
          <w:tcPr>
            <w:tcW w:w="465" w:type="pct"/>
            <w:tcBorders>
              <w:top w:val="single" w:color="000000" w:themeColor="text1" w:sz="12" w:space="0"/>
              <w:bottom w:val="single" w:color="002060" w:sz="4" w:space="0"/>
              <w:right w:val="single" w:color="auto" w:sz="4" w:space="0"/>
            </w:tcBorders>
            <w:shd w:val="clear" w:color="000000" w:fill="D9D9D9"/>
            <w:vAlign w:val="center"/>
          </w:tcPr>
          <w:p w:rsidR="00386463" w:rsidP="003F30F6" w:rsidRDefault="00386463">
            <w:pPr>
              <w:pStyle w:val="IEcChartText"/>
              <w:jc w:val="center"/>
              <w:rPr>
                <w:b/>
              </w:rPr>
            </w:pPr>
            <w:r>
              <w:rPr>
                <w:b/>
              </w:rPr>
              <w:t>95</w:t>
            </w:r>
          </w:p>
        </w:tc>
        <w:tc>
          <w:tcPr>
            <w:tcW w:w="465" w:type="pct"/>
            <w:tcBorders>
              <w:top w:val="single" w:color="000000" w:themeColor="text1" w:sz="12" w:space="0"/>
              <w:left w:val="single" w:color="auto" w:sz="4" w:space="0"/>
              <w:bottom w:val="single" w:color="002060" w:sz="4" w:space="0"/>
            </w:tcBorders>
            <w:shd w:val="clear" w:color="000000" w:fill="D9D9D9"/>
            <w:vAlign w:val="center"/>
          </w:tcPr>
          <w:p w:rsidR="00386463" w:rsidP="003F30F6" w:rsidRDefault="00386463">
            <w:pPr>
              <w:pStyle w:val="IEcChartText"/>
              <w:jc w:val="center"/>
              <w:rPr>
                <w:b/>
              </w:rPr>
            </w:pPr>
            <w:r>
              <w:rPr>
                <w:b/>
              </w:rPr>
              <w:t>151</w:t>
            </w:r>
          </w:p>
        </w:tc>
        <w:tc>
          <w:tcPr>
            <w:tcW w:w="432" w:type="pct"/>
            <w:tcBorders>
              <w:top w:val="single" w:color="000000" w:themeColor="text1" w:sz="12" w:space="0"/>
              <w:left w:val="single" w:color="auto" w:sz="4" w:space="0"/>
              <w:bottom w:val="single" w:color="002060" w:sz="4" w:space="0"/>
            </w:tcBorders>
            <w:shd w:val="clear" w:color="000000" w:fill="D9D9D9"/>
            <w:vAlign w:val="center"/>
          </w:tcPr>
          <w:p w:rsidR="00386463" w:rsidP="003F30F6" w:rsidRDefault="00386463">
            <w:pPr>
              <w:pStyle w:val="IEcChartText"/>
              <w:jc w:val="center"/>
              <w:rPr>
                <w:b/>
              </w:rPr>
            </w:pPr>
            <w:r>
              <w:rPr>
                <w:b/>
              </w:rPr>
              <w:t>n/a</w:t>
            </w:r>
          </w:p>
        </w:tc>
        <w:tc>
          <w:tcPr>
            <w:tcW w:w="486" w:type="pct"/>
            <w:tcBorders>
              <w:top w:val="single" w:color="000000" w:themeColor="text1" w:sz="12" w:space="0"/>
              <w:left w:val="single" w:color="auto" w:sz="4" w:space="0"/>
              <w:bottom w:val="single" w:color="002060" w:sz="4" w:space="0"/>
            </w:tcBorders>
            <w:shd w:val="clear" w:color="000000" w:fill="D9D9D9"/>
            <w:vAlign w:val="center"/>
          </w:tcPr>
          <w:p w:rsidR="00386463" w:rsidP="003F30F6" w:rsidRDefault="00386463">
            <w:pPr>
              <w:pStyle w:val="IEcChartText"/>
              <w:jc w:val="center"/>
              <w:rPr>
                <w:b/>
              </w:rPr>
            </w:pPr>
            <w:r>
              <w:rPr>
                <w:b/>
              </w:rPr>
              <w:t>n/a</w:t>
            </w:r>
          </w:p>
        </w:tc>
        <w:tc>
          <w:tcPr>
            <w:tcW w:w="477" w:type="pct"/>
            <w:tcBorders>
              <w:top w:val="single" w:color="000000" w:themeColor="text1" w:sz="12" w:space="0"/>
              <w:left w:val="single" w:color="auto" w:sz="4" w:space="0"/>
              <w:bottom w:val="single" w:color="002060" w:sz="4" w:space="0"/>
            </w:tcBorders>
            <w:shd w:val="clear" w:color="000000" w:fill="D9D9D9"/>
            <w:vAlign w:val="center"/>
          </w:tcPr>
          <w:p w:rsidR="00386463" w:rsidP="003F30F6" w:rsidRDefault="00386463">
            <w:pPr>
              <w:pStyle w:val="IEcChartText"/>
              <w:jc w:val="center"/>
              <w:rPr>
                <w:b/>
              </w:rPr>
            </w:pPr>
            <w:r>
              <w:rPr>
                <w:b/>
              </w:rPr>
              <w:t>89</w:t>
            </w:r>
          </w:p>
        </w:tc>
        <w:tc>
          <w:tcPr>
            <w:tcW w:w="495" w:type="pct"/>
            <w:tcBorders>
              <w:top w:val="single" w:color="000000" w:themeColor="text1" w:sz="12" w:space="0"/>
              <w:left w:val="single" w:color="auto" w:sz="4" w:space="0"/>
              <w:bottom w:val="single" w:color="002060" w:sz="4" w:space="0"/>
            </w:tcBorders>
            <w:shd w:val="clear" w:color="000000" w:fill="D9D9D9"/>
            <w:vAlign w:val="center"/>
          </w:tcPr>
          <w:p w:rsidR="00386463" w:rsidP="003F30F6" w:rsidRDefault="00386463">
            <w:pPr>
              <w:pStyle w:val="IEcChartText"/>
              <w:jc w:val="center"/>
              <w:rPr>
                <w:b/>
              </w:rPr>
            </w:pPr>
            <w:r>
              <w:rPr>
                <w:b/>
              </w:rPr>
              <w:t>200</w:t>
            </w:r>
          </w:p>
        </w:tc>
        <w:tc>
          <w:tcPr>
            <w:tcW w:w="522" w:type="pct"/>
            <w:tcBorders>
              <w:top w:val="single" w:color="000000" w:themeColor="text1" w:sz="12" w:space="0"/>
              <w:left w:val="single" w:color="auto" w:sz="4" w:space="0"/>
              <w:bottom w:val="single" w:color="002060" w:sz="4" w:space="0"/>
            </w:tcBorders>
            <w:shd w:val="clear" w:color="000000" w:fill="D9D9D9"/>
            <w:vAlign w:val="center"/>
          </w:tcPr>
          <w:p w:rsidR="00386463" w:rsidP="003F30F6" w:rsidRDefault="00386463">
            <w:pPr>
              <w:pStyle w:val="IEcChartText"/>
              <w:jc w:val="center"/>
              <w:rPr>
                <w:b/>
              </w:rPr>
            </w:pPr>
            <w:r>
              <w:rPr>
                <w:b/>
              </w:rPr>
              <w:t>n/a</w:t>
            </w:r>
          </w:p>
        </w:tc>
        <w:tc>
          <w:tcPr>
            <w:tcW w:w="454" w:type="pct"/>
            <w:tcBorders>
              <w:top w:val="single" w:color="000000" w:themeColor="text1" w:sz="12" w:space="0"/>
              <w:bottom w:val="single" w:color="002060" w:sz="4" w:space="0"/>
            </w:tcBorders>
            <w:shd w:val="clear" w:color="000000" w:fill="D9D9D9"/>
            <w:vAlign w:val="center"/>
          </w:tcPr>
          <w:p w:rsidR="00386463" w:rsidP="003F30F6" w:rsidRDefault="00386463">
            <w:pPr>
              <w:pStyle w:val="IEcChartText"/>
              <w:jc w:val="center"/>
              <w:rPr>
                <w:b/>
              </w:rPr>
            </w:pPr>
            <w:r>
              <w:rPr>
                <w:b/>
              </w:rPr>
              <w:t>$5,660</w:t>
            </w:r>
          </w:p>
        </w:tc>
        <w:tc>
          <w:tcPr>
            <w:tcW w:w="483" w:type="pct"/>
            <w:tcBorders>
              <w:top w:val="single" w:color="000000" w:themeColor="text1" w:sz="12" w:space="0"/>
              <w:bottom w:val="single" w:color="002060" w:sz="4" w:space="0"/>
            </w:tcBorders>
            <w:shd w:val="clear" w:color="000000" w:fill="D9D9D9"/>
            <w:vAlign w:val="center"/>
          </w:tcPr>
          <w:p w:rsidR="00386463" w:rsidP="003F30F6" w:rsidRDefault="00386463">
            <w:pPr>
              <w:pStyle w:val="IEcChartText"/>
              <w:jc w:val="center"/>
              <w:rPr>
                <w:b/>
              </w:rPr>
            </w:pPr>
            <w:r>
              <w:rPr>
                <w:b/>
              </w:rPr>
              <w:t>$12,700</w:t>
            </w:r>
          </w:p>
        </w:tc>
      </w:tr>
    </w:tbl>
    <w:p w:rsidR="00386463" w:rsidP="00386463" w:rsidRDefault="00386463">
      <w:pPr>
        <w:pStyle w:val="IEcChartText"/>
      </w:pPr>
      <w:r>
        <w:rPr>
          <w:vertAlign w:val="superscript"/>
        </w:rPr>
        <w:t xml:space="preserve">1 </w:t>
      </w:r>
      <w:r>
        <w:rPr>
          <w:rStyle w:val="IEcChartTextChar"/>
        </w:rPr>
        <w:t>Refer to Section 4.2.2 and Exhibit 4-15 for additional details about the forecasts for the number of surveys that are anticipated.</w:t>
      </w:r>
    </w:p>
    <w:p w:rsidR="00386463" w:rsidP="00386463" w:rsidRDefault="00386463">
      <w:pPr>
        <w:pStyle w:val="IEcChartText"/>
      </w:pPr>
      <w:r>
        <w:rPr>
          <w:vertAlign w:val="superscript"/>
        </w:rPr>
        <w:t xml:space="preserve">2 </w:t>
      </w:r>
      <w:r>
        <w:t>Assumes that a bi-weekly report will be prepared by PSOs. This column reflects the number of these reports that would be prepared given each survey duration.</w:t>
      </w:r>
    </w:p>
    <w:p w:rsidR="00386463" w:rsidP="00386463" w:rsidRDefault="00386463">
      <w:pPr>
        <w:pStyle w:val="IEcChartText"/>
      </w:pPr>
      <w:r>
        <w:rPr>
          <w:vertAlign w:val="superscript"/>
        </w:rPr>
        <w:t xml:space="preserve">3 </w:t>
      </w:r>
      <w:r>
        <w:t>Assumes that government agency review will be required for all survey reports. Assumes 0.5 incremental hours for review of new PAM records, and 1.0 hours for review of PSO reports.</w:t>
      </w:r>
    </w:p>
    <w:p w:rsidR="00386463" w:rsidP="00386463" w:rsidRDefault="00386463">
      <w:pPr>
        <w:pStyle w:val="IEcChartText"/>
      </w:pPr>
      <w:r>
        <w:rPr>
          <w:vertAlign w:val="superscript"/>
        </w:rPr>
        <w:t>4</w:t>
      </w:r>
      <w:r>
        <w:t xml:space="preserve"> Government wage rate is a Basic, Step 5, GS-13 rate multiplied by 1.526 to reflect fringe benefits and overhead. Accessed </w:t>
      </w:r>
      <w:hyperlink w:history="1" r:id="rId11">
        <w:r>
          <w:rPr>
            <w:rStyle w:val="Hyperlink"/>
          </w:rPr>
          <w:t>https://www.opm.gov/policy-data-oversight/pay-leave/salaries-wages/salary-tables/pdf/2019/GS_h.pdf</w:t>
        </w:r>
      </w:hyperlink>
      <w:r>
        <w:t xml:space="preserve"> on May 12, 2020.</w:t>
      </w:r>
    </w:p>
    <w:p w:rsidR="00386463" w:rsidP="00386463" w:rsidRDefault="00386463">
      <w:pPr>
        <w:pStyle w:val="IEcChartHeading"/>
        <w:outlineLvl w:val="9"/>
      </w:pPr>
      <w:r>
        <w:lastRenderedPageBreak/>
        <w:t>E</w:t>
      </w:r>
      <w:r>
        <w:rPr>
          <w:bCs/>
          <w:noProof/>
          <w:spacing w:val="20"/>
          <w:kern w:val="8"/>
        </w:rPr>
        <w:t>xhibit C-5.</w:t>
      </w:r>
      <w:r>
        <w:rPr>
          <w:bCs/>
          <w:noProof/>
          <w:spacing w:val="20"/>
          <w:kern w:val="8"/>
        </w:rPr>
        <w:tab/>
        <w:t>Total Expected paperwork BURDEN (Industry and Government) (2019$)</w:t>
      </w:r>
    </w:p>
    <w:tbl>
      <w:tblPr>
        <w:tblW w:w="5164" w:type="pct"/>
        <w:tblBorders>
          <w:top w:val="single" w:color="002060" w:sz="4" w:space="0"/>
          <w:left w:val="single" w:color="002060" w:sz="4" w:space="0"/>
          <w:bottom w:val="single" w:color="002060" w:sz="4" w:space="0"/>
          <w:right w:val="single" w:color="002060" w:sz="4" w:space="0"/>
          <w:insideH w:val="single" w:color="A6A6A6" w:themeColor="background1" w:themeShade="A6" w:sz="4" w:space="0"/>
          <w:insideV w:val="single" w:color="002060" w:sz="4" w:space="0"/>
        </w:tblBorders>
        <w:tblLayout w:type="fixed"/>
        <w:tblLook w:val="04A0" w:firstRow="1" w:lastRow="0" w:firstColumn="1" w:lastColumn="0" w:noHBand="0" w:noVBand="1"/>
      </w:tblPr>
      <w:tblGrid>
        <w:gridCol w:w="1168"/>
        <w:gridCol w:w="1120"/>
        <w:gridCol w:w="1385"/>
        <w:gridCol w:w="1386"/>
        <w:gridCol w:w="1386"/>
        <w:gridCol w:w="1386"/>
        <w:gridCol w:w="1386"/>
        <w:gridCol w:w="1386"/>
        <w:gridCol w:w="1386"/>
        <w:gridCol w:w="1386"/>
      </w:tblGrid>
      <w:tr w:rsidR="00386463" w:rsidTr="003F30F6">
        <w:trPr>
          <w:trHeight w:val="782"/>
        </w:trPr>
        <w:tc>
          <w:tcPr>
            <w:tcW w:w="437" w:type="pct"/>
            <w:vMerge w:val="restart"/>
            <w:tcBorders>
              <w:top w:val="single" w:color="002060" w:sz="4" w:space="0"/>
            </w:tcBorders>
            <w:shd w:val="clear" w:color="000000" w:fill="DDEBF9"/>
            <w:vAlign w:val="bottom"/>
          </w:tcPr>
          <w:p w:rsidR="00386463" w:rsidP="003F30F6" w:rsidRDefault="00386463">
            <w:pPr>
              <w:pStyle w:val="IEcChartHeading"/>
              <w:jc w:val="center"/>
            </w:pPr>
            <w:r>
              <w:t>Survey Type</w:t>
            </w:r>
          </w:p>
        </w:tc>
        <w:tc>
          <w:tcPr>
            <w:tcW w:w="419" w:type="pct"/>
            <w:vMerge w:val="restart"/>
            <w:tcBorders>
              <w:top w:val="single" w:color="002060" w:sz="4" w:space="0"/>
            </w:tcBorders>
            <w:shd w:val="clear" w:color="000000" w:fill="DDEBF9"/>
            <w:vAlign w:val="bottom"/>
          </w:tcPr>
          <w:p w:rsidR="00386463" w:rsidP="003F30F6" w:rsidRDefault="00386463">
            <w:pPr>
              <w:pStyle w:val="IEcChartHeading"/>
              <w:jc w:val="center"/>
            </w:pPr>
            <w:r>
              <w:t>Water Depth</w:t>
            </w:r>
          </w:p>
        </w:tc>
        <w:tc>
          <w:tcPr>
            <w:tcW w:w="1036" w:type="pct"/>
            <w:gridSpan w:val="2"/>
            <w:tcBorders>
              <w:top w:val="single" w:color="002060" w:sz="4" w:space="0"/>
              <w:bottom w:val="single" w:color="A6A6A6" w:themeColor="background1" w:themeShade="A6" w:sz="4" w:space="0"/>
            </w:tcBorders>
            <w:shd w:val="clear" w:color="000000" w:fill="DDEBF9"/>
            <w:vAlign w:val="bottom"/>
          </w:tcPr>
          <w:p w:rsidR="00386463" w:rsidP="003F30F6" w:rsidRDefault="00386463">
            <w:pPr>
              <w:pStyle w:val="IEcChartHeading"/>
              <w:jc w:val="center"/>
            </w:pPr>
            <w:r>
              <w:t xml:space="preserve">Average Annual Hours </w:t>
            </w:r>
          </w:p>
        </w:tc>
        <w:tc>
          <w:tcPr>
            <w:tcW w:w="1036" w:type="pct"/>
            <w:gridSpan w:val="2"/>
            <w:tcBorders>
              <w:top w:val="single" w:color="002060" w:sz="4" w:space="0"/>
              <w:bottom w:val="single" w:color="A6A6A6" w:themeColor="background1" w:themeShade="A6" w:sz="4" w:space="0"/>
            </w:tcBorders>
            <w:shd w:val="clear" w:color="000000" w:fill="DDEBF9"/>
            <w:vAlign w:val="bottom"/>
          </w:tcPr>
          <w:p w:rsidR="00386463" w:rsidP="003F30F6" w:rsidRDefault="00386463">
            <w:pPr>
              <w:pStyle w:val="IEcChartHeading"/>
              <w:jc w:val="center"/>
            </w:pPr>
            <w:r>
              <w:t>Average Annual PRA Costs</w:t>
            </w:r>
          </w:p>
        </w:tc>
        <w:tc>
          <w:tcPr>
            <w:tcW w:w="1036" w:type="pct"/>
            <w:gridSpan w:val="2"/>
            <w:tcBorders>
              <w:top w:val="single" w:color="002060" w:sz="4" w:space="0"/>
              <w:bottom w:val="single" w:color="A6A6A6" w:themeColor="background1" w:themeShade="A6" w:sz="4" w:space="0"/>
            </w:tcBorders>
            <w:shd w:val="clear" w:color="000000" w:fill="DDEBF9"/>
            <w:vAlign w:val="bottom"/>
          </w:tcPr>
          <w:p w:rsidR="00386463" w:rsidP="003F30F6" w:rsidRDefault="00386463">
            <w:pPr>
              <w:pStyle w:val="IEcChartHeading"/>
              <w:jc w:val="center"/>
            </w:pPr>
            <w:r>
              <w:t>Expected PRA Costs, Annualized (3 percent)</w:t>
            </w:r>
          </w:p>
        </w:tc>
        <w:tc>
          <w:tcPr>
            <w:tcW w:w="1036" w:type="pct"/>
            <w:gridSpan w:val="2"/>
            <w:tcBorders>
              <w:top w:val="single" w:color="002060" w:sz="4" w:space="0"/>
              <w:bottom w:val="single" w:color="A6A6A6" w:themeColor="background1" w:themeShade="A6" w:sz="4" w:space="0"/>
            </w:tcBorders>
            <w:shd w:val="clear" w:color="000000" w:fill="DDEBF9"/>
            <w:vAlign w:val="bottom"/>
          </w:tcPr>
          <w:p w:rsidR="00386463" w:rsidP="003F30F6" w:rsidRDefault="00386463">
            <w:pPr>
              <w:pStyle w:val="IEcChartHeading"/>
              <w:jc w:val="center"/>
            </w:pPr>
            <w:r>
              <w:t xml:space="preserve">Expected PRA Costs, Annualized (7 percent) </w:t>
            </w:r>
          </w:p>
        </w:tc>
      </w:tr>
      <w:tr w:rsidR="00386463" w:rsidTr="003F30F6">
        <w:trPr>
          <w:trHeight w:val="340"/>
        </w:trPr>
        <w:tc>
          <w:tcPr>
            <w:tcW w:w="437" w:type="pct"/>
            <w:vMerge/>
            <w:tcBorders>
              <w:bottom w:val="single" w:color="000000" w:themeColor="text1" w:sz="12" w:space="0"/>
            </w:tcBorders>
            <w:shd w:val="clear" w:color="000000" w:fill="DDEBF9"/>
            <w:vAlign w:val="bottom"/>
          </w:tcPr>
          <w:p w:rsidR="00386463" w:rsidP="003F30F6" w:rsidRDefault="00386463">
            <w:pPr>
              <w:pStyle w:val="IEcChartHeading"/>
              <w:jc w:val="center"/>
            </w:pPr>
          </w:p>
        </w:tc>
        <w:tc>
          <w:tcPr>
            <w:tcW w:w="419" w:type="pct"/>
            <w:vMerge/>
            <w:tcBorders>
              <w:bottom w:val="single" w:color="000000" w:themeColor="text1" w:sz="12" w:space="0"/>
            </w:tcBorders>
            <w:shd w:val="clear" w:color="000000" w:fill="DDEBF9"/>
            <w:vAlign w:val="bottom"/>
          </w:tcPr>
          <w:p w:rsidR="00386463" w:rsidP="003F30F6" w:rsidRDefault="00386463">
            <w:pPr>
              <w:pStyle w:val="IEcChartHeading"/>
              <w:jc w:val="center"/>
            </w:pP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Low</w:t>
            </w:r>
          </w:p>
        </w:tc>
        <w:tc>
          <w:tcPr>
            <w:tcW w:w="518" w:type="pct"/>
            <w:tcBorders>
              <w:top w:val="single" w:color="A6A6A6" w:themeColor="background1" w:themeShade="A6" w:sz="4" w:space="0"/>
              <w:bottom w:val="single" w:color="000000" w:themeColor="text1" w:sz="12" w:space="0"/>
            </w:tcBorders>
            <w:shd w:val="clear" w:color="000000" w:fill="DDEBF9"/>
            <w:vAlign w:val="bottom"/>
          </w:tcPr>
          <w:p w:rsidR="00386463" w:rsidP="003F30F6" w:rsidRDefault="00386463">
            <w:pPr>
              <w:pStyle w:val="IEcChartSubHead"/>
              <w:jc w:val="center"/>
            </w:pPr>
            <w:r>
              <w:t>High</w:t>
            </w:r>
          </w:p>
        </w:tc>
      </w:tr>
      <w:tr w:rsidR="00386463" w:rsidTr="003F30F6">
        <w:trPr>
          <w:trHeight w:val="20"/>
        </w:trPr>
        <w:tc>
          <w:tcPr>
            <w:tcW w:w="437" w:type="pct"/>
            <w:vMerge w:val="restart"/>
            <w:tcBorders>
              <w:top w:val="single" w:color="000000" w:themeColor="text1" w:sz="12" w:space="0"/>
            </w:tcBorders>
            <w:shd w:val="clear" w:color="auto" w:fill="auto"/>
            <w:noWrap/>
            <w:vAlign w:val="center"/>
          </w:tcPr>
          <w:p w:rsidR="00386463" w:rsidP="003F30F6" w:rsidRDefault="00386463">
            <w:pPr>
              <w:pStyle w:val="IEcChartText"/>
            </w:pPr>
            <w:r>
              <w:t>Non-airgun HRG</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5,851</w:t>
            </w:r>
          </w:p>
        </w:tc>
        <w:tc>
          <w:tcPr>
            <w:tcW w:w="518" w:type="pct"/>
            <w:tcBorders>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8,071</w:t>
            </w:r>
          </w:p>
        </w:tc>
        <w:tc>
          <w:tcPr>
            <w:tcW w:w="518" w:type="pct"/>
            <w:tcBorders>
              <w:bottom w:val="single" w:color="A6A6A6" w:themeColor="background1" w:themeShade="A6" w:sz="4" w:space="0"/>
            </w:tcBorders>
            <w:shd w:val="clear" w:color="auto" w:fill="auto"/>
            <w:noWrap/>
            <w:vAlign w:val="center"/>
          </w:tcPr>
          <w:p w:rsidR="00386463" w:rsidP="003F30F6" w:rsidRDefault="00386463">
            <w:pPr>
              <w:pStyle w:val="IEcChartText"/>
              <w:jc w:val="center"/>
            </w:pPr>
            <w:r>
              <w:t>$105,000</w:t>
            </w:r>
          </w:p>
        </w:tc>
        <w:tc>
          <w:tcPr>
            <w:tcW w:w="518" w:type="pct"/>
            <w:tcBorders>
              <w:bottom w:val="single" w:color="A6A6A6" w:themeColor="background1" w:themeShade="A6" w:sz="4" w:space="0"/>
            </w:tcBorders>
            <w:shd w:val="clear" w:color="auto" w:fill="auto"/>
            <w:noWrap/>
            <w:vAlign w:val="center"/>
          </w:tcPr>
          <w:p w:rsidR="00386463" w:rsidP="003F30F6" w:rsidRDefault="00386463">
            <w:pPr>
              <w:pStyle w:val="IEcChartText"/>
              <w:jc w:val="center"/>
            </w:pPr>
            <w:r>
              <w:t>$358,000</w:t>
            </w:r>
          </w:p>
        </w:tc>
        <w:tc>
          <w:tcPr>
            <w:tcW w:w="518" w:type="pct"/>
            <w:tcBorders>
              <w:bottom w:val="single" w:color="A6A6A6" w:themeColor="background1" w:themeShade="A6" w:sz="4" w:space="0"/>
            </w:tcBorders>
            <w:vAlign w:val="center"/>
          </w:tcPr>
          <w:p w:rsidR="00386463" w:rsidP="003F30F6" w:rsidRDefault="00386463">
            <w:pPr>
              <w:pStyle w:val="IEcChartText"/>
              <w:jc w:val="center"/>
            </w:pPr>
            <w:r>
              <w:t>$90,500</w:t>
            </w:r>
          </w:p>
        </w:tc>
        <w:tc>
          <w:tcPr>
            <w:tcW w:w="518" w:type="pct"/>
            <w:tcBorders>
              <w:bottom w:val="single" w:color="A6A6A6" w:themeColor="background1" w:themeShade="A6" w:sz="4" w:space="0"/>
            </w:tcBorders>
            <w:vAlign w:val="center"/>
          </w:tcPr>
          <w:p w:rsidR="00386463" w:rsidP="003F30F6" w:rsidRDefault="00386463">
            <w:pPr>
              <w:pStyle w:val="IEcChartText"/>
              <w:jc w:val="center"/>
            </w:pPr>
            <w:r>
              <w:t>$316,000</w:t>
            </w:r>
          </w:p>
        </w:tc>
        <w:tc>
          <w:tcPr>
            <w:tcW w:w="518" w:type="pct"/>
            <w:tcBorders>
              <w:bottom w:val="single" w:color="A6A6A6" w:themeColor="background1" w:themeShade="A6" w:sz="4" w:space="0"/>
            </w:tcBorders>
            <w:vAlign w:val="center"/>
          </w:tcPr>
          <w:p w:rsidR="00386463" w:rsidP="003F30F6" w:rsidRDefault="00386463">
            <w:pPr>
              <w:pStyle w:val="IEcChartText"/>
              <w:jc w:val="center"/>
            </w:pPr>
            <w:r>
              <w:t>$101,000</w:t>
            </w:r>
          </w:p>
        </w:tc>
        <w:tc>
          <w:tcPr>
            <w:tcW w:w="518" w:type="pct"/>
            <w:tcBorders>
              <w:bottom w:val="single" w:color="A6A6A6" w:themeColor="background1" w:themeShade="A6" w:sz="4" w:space="0"/>
            </w:tcBorders>
            <w:vAlign w:val="center"/>
          </w:tcPr>
          <w:p w:rsidR="00386463" w:rsidP="003F30F6" w:rsidRDefault="00386463">
            <w:pPr>
              <w:pStyle w:val="IEcChartText"/>
              <w:jc w:val="center"/>
            </w:pPr>
            <w:r>
              <w:t>$353,000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2D</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9,584</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$509,000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$455,000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$508,000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2D-OBN</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2,607</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$138,000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$124,000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$138,000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3D</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9,771</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$472,000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$427,000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$477,000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3,635</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9,817</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$96,600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$521,000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$90,800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$475,000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$101,000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$531,000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3D-OBN</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30,147</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$1,460,000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$1,320,000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$1,470,000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3,742</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30,296</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$99,500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$1,610,000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$93,500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$1,470,000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$104,000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$1,640,000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WAZ</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22,902</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$1,110,000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$987,000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$1,100,000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35,642</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174,034</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$947,000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$9,240,000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$854,000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$8,350,000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$954,000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$9,330,000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Airgun HRG</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250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384</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$4,450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$17,000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$3,970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$15,300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$4,430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$17,100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VSP</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4,801</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7,811</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$105,000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$378,000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$65,700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$227,000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$73,400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$253,000</w:t>
            </w:r>
          </w:p>
        </w:tc>
      </w:tr>
      <w:tr w:rsidR="00386463" w:rsidTr="003F30F6">
        <w:trPr>
          <w:trHeight w:val="288"/>
        </w:trPr>
        <w:tc>
          <w:tcPr>
            <w:tcW w:w="437" w:type="pct"/>
            <w:vMerge/>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6,613</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bottom"/>
          </w:tcPr>
          <w:p w:rsidR="00386463" w:rsidP="003F30F6" w:rsidRDefault="00386463">
            <w:pPr>
              <w:pStyle w:val="IEcChartText"/>
              <w:jc w:val="center"/>
            </w:pPr>
            <w:r>
              <w:rPr>
                <w:rFonts w:cs="Calibri"/>
                <w:color w:val="000000"/>
                <w:szCs w:val="18"/>
              </w:rPr>
              <w:t>9,871</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$176,000</w:t>
            </w:r>
          </w:p>
        </w:tc>
        <w:tc>
          <w:tcPr>
            <w:tcW w:w="518" w:type="pct"/>
            <w:tcBorders>
              <w:top w:val="single" w:color="A6A6A6" w:themeColor="background1" w:themeShade="A6" w:sz="4" w:space="0"/>
              <w:bottom w:val="single" w:color="A6A6A6" w:themeColor="background1" w:themeShade="A6" w:sz="4" w:space="0"/>
            </w:tcBorders>
            <w:shd w:val="clear" w:color="auto" w:fill="auto"/>
            <w:noWrap/>
            <w:vAlign w:val="center"/>
          </w:tcPr>
          <w:p w:rsidR="00386463" w:rsidP="003F30F6" w:rsidRDefault="00386463">
            <w:pPr>
              <w:pStyle w:val="IEcChartText"/>
              <w:jc w:val="center"/>
            </w:pPr>
            <w:r>
              <w:t>$524,000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$156,000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$471,000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$175,000</w:t>
            </w:r>
          </w:p>
        </w:tc>
        <w:tc>
          <w:tcPr>
            <w:tcW w:w="518" w:type="pct"/>
            <w:tcBorders>
              <w:top w:val="single" w:color="A6A6A6" w:themeColor="background1" w:themeShade="A6" w:sz="4" w:space="0"/>
              <w:bottom w:val="single" w:color="A6A6A6" w:themeColor="background1" w:themeShade="A6" w:sz="4" w:space="0"/>
            </w:tcBorders>
            <w:vAlign w:val="center"/>
          </w:tcPr>
          <w:p w:rsidR="00386463" w:rsidP="003F30F6" w:rsidRDefault="00386463">
            <w:pPr>
              <w:pStyle w:val="IEcChartText"/>
              <w:jc w:val="center"/>
            </w:pPr>
            <w:r>
              <w:t>$526,000</w:t>
            </w:r>
          </w:p>
        </w:tc>
      </w:tr>
      <w:tr w:rsidR="00386463" w:rsidTr="003F30F6">
        <w:trPr>
          <w:trHeight w:val="288"/>
        </w:trPr>
        <w:tc>
          <w:tcPr>
            <w:tcW w:w="437" w:type="pct"/>
            <w:vMerge w:val="restart"/>
            <w:shd w:val="clear" w:color="auto" w:fill="auto"/>
            <w:noWrap/>
            <w:vAlign w:val="center"/>
          </w:tcPr>
          <w:p w:rsidR="00386463" w:rsidP="003F30F6" w:rsidRDefault="00386463">
            <w:pPr>
              <w:pStyle w:val="IEcChartText"/>
            </w:pPr>
            <w:r>
              <w:t>SWD</w:t>
            </w:r>
          </w:p>
        </w:tc>
        <w:tc>
          <w:tcPr>
            <w:tcW w:w="419"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pPr>
            <w:r>
              <w:t>Shallow</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bottom"/>
          </w:tcPr>
          <w:p w:rsidR="00386463" w:rsidP="003F30F6" w:rsidRDefault="00386463">
            <w:pPr>
              <w:pStyle w:val="IEcChartText"/>
              <w:jc w:val="center"/>
            </w:pPr>
            <w:r>
              <w:rPr>
                <w:rFonts w:cs="Calibri"/>
                <w:color w:val="000000"/>
                <w:szCs w:val="18"/>
              </w:rP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noWrap/>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c>
          <w:tcPr>
            <w:tcW w:w="518" w:type="pct"/>
            <w:tcBorders>
              <w:top w:val="single" w:color="A6A6A6" w:themeColor="background1" w:themeShade="A6" w:sz="4" w:space="0"/>
              <w:bottom w:val="single" w:color="A6A6A6" w:themeColor="background1" w:themeShade="A6" w:sz="4" w:space="0"/>
            </w:tcBorders>
            <w:shd w:val="clear" w:color="auto" w:fill="D9D9D9" w:themeFill="background1" w:themeFillShade="D9"/>
            <w:vAlign w:val="center"/>
          </w:tcPr>
          <w:p w:rsidR="00386463" w:rsidP="003F30F6" w:rsidRDefault="00386463">
            <w:pPr>
              <w:pStyle w:val="IEcChartText"/>
              <w:jc w:val="center"/>
            </w:pPr>
            <w:r>
              <w:t>$0</w:t>
            </w:r>
          </w:p>
        </w:tc>
      </w:tr>
      <w:tr w:rsidR="00386463" w:rsidTr="003F30F6">
        <w:trPr>
          <w:trHeight w:val="288"/>
        </w:trPr>
        <w:tc>
          <w:tcPr>
            <w:tcW w:w="437" w:type="pct"/>
            <w:vMerge/>
            <w:tcBorders>
              <w:bottom w:val="single" w:color="000000" w:themeColor="text1" w:sz="12" w:space="0"/>
            </w:tcBorders>
            <w:shd w:val="clear" w:color="auto" w:fill="auto"/>
            <w:noWrap/>
            <w:vAlign w:val="center"/>
          </w:tcPr>
          <w:p w:rsidR="00386463" w:rsidP="003F30F6" w:rsidRDefault="00386463">
            <w:pPr>
              <w:pStyle w:val="IEcChartText"/>
            </w:pPr>
          </w:p>
        </w:tc>
        <w:tc>
          <w:tcPr>
            <w:tcW w:w="419" w:type="pct"/>
            <w:tcBorders>
              <w:top w:val="single" w:color="A6A6A6" w:themeColor="background1" w:themeShade="A6" w:sz="4" w:space="0"/>
              <w:bottom w:val="single" w:color="000000" w:themeColor="text1" w:sz="12" w:space="0"/>
              <w:right w:val="single" w:color="auto" w:sz="4" w:space="0"/>
            </w:tcBorders>
            <w:shd w:val="clear" w:color="auto" w:fill="auto"/>
            <w:noWrap/>
            <w:vAlign w:val="bottom"/>
          </w:tcPr>
          <w:p w:rsidR="00386463" w:rsidP="003F30F6" w:rsidRDefault="00386463">
            <w:pPr>
              <w:pStyle w:val="IEcChartText"/>
            </w:pPr>
            <w:r>
              <w:t>Deep</w:t>
            </w:r>
          </w:p>
        </w:tc>
        <w:tc>
          <w:tcPr>
            <w:tcW w:w="518" w:type="pct"/>
            <w:tcBorders>
              <w:top w:val="single" w:color="A6A6A6" w:themeColor="background1" w:themeShade="A6" w:sz="4" w:space="0"/>
              <w:left w:val="single" w:color="auto" w:sz="4" w:space="0"/>
              <w:bottom w:val="single" w:color="000000" w:themeColor="text1" w:sz="12" w:space="0"/>
              <w:right w:val="single" w:color="auto" w:sz="4" w:space="0"/>
            </w:tcBorders>
            <w:shd w:val="clear" w:color="auto" w:fill="auto"/>
            <w:noWrap/>
            <w:vAlign w:val="bottom"/>
          </w:tcPr>
          <w:p w:rsidR="00386463" w:rsidP="003F30F6" w:rsidRDefault="00386463">
            <w:pPr>
              <w:pStyle w:val="IEcChartText"/>
              <w:jc w:val="center"/>
            </w:pPr>
            <w:r>
              <w:rPr>
                <w:rFonts w:cs="Calibri"/>
                <w:color w:val="000000"/>
                <w:szCs w:val="18"/>
              </w:rPr>
              <w:t>1,195</w:t>
            </w:r>
          </w:p>
        </w:tc>
        <w:tc>
          <w:tcPr>
            <w:tcW w:w="518" w:type="pct"/>
            <w:tcBorders>
              <w:top w:val="single" w:color="A6A6A6" w:themeColor="background1" w:themeShade="A6" w:sz="4" w:space="0"/>
              <w:left w:val="single" w:color="auto" w:sz="4" w:space="0"/>
              <w:bottom w:val="single" w:color="000000" w:themeColor="text1" w:sz="12" w:space="0"/>
            </w:tcBorders>
            <w:shd w:val="clear" w:color="auto" w:fill="auto"/>
            <w:noWrap/>
            <w:vAlign w:val="bottom"/>
          </w:tcPr>
          <w:p w:rsidR="00386463" w:rsidP="003F30F6" w:rsidRDefault="00386463">
            <w:pPr>
              <w:pStyle w:val="IEcChartText"/>
              <w:jc w:val="center"/>
            </w:pPr>
            <w:r>
              <w:rPr>
                <w:rFonts w:cs="Calibri"/>
                <w:color w:val="000000"/>
                <w:szCs w:val="18"/>
              </w:rPr>
              <w:t>2,278</w:t>
            </w:r>
          </w:p>
        </w:tc>
        <w:tc>
          <w:tcPr>
            <w:tcW w:w="518" w:type="pct"/>
            <w:tcBorders>
              <w:top w:val="single" w:color="A6A6A6" w:themeColor="background1" w:themeShade="A6" w:sz="4" w:space="0"/>
              <w:bottom w:val="single" w:color="000000" w:themeColor="text1" w:sz="12" w:space="0"/>
            </w:tcBorders>
            <w:shd w:val="clear" w:color="auto" w:fill="auto"/>
            <w:noWrap/>
            <w:vAlign w:val="center"/>
          </w:tcPr>
          <w:p w:rsidR="00386463" w:rsidP="003F30F6" w:rsidRDefault="00386463">
            <w:pPr>
              <w:pStyle w:val="IEcChartText"/>
              <w:jc w:val="center"/>
            </w:pPr>
            <w:r>
              <w:t>$31,800</w:t>
            </w:r>
          </w:p>
        </w:tc>
        <w:tc>
          <w:tcPr>
            <w:tcW w:w="518" w:type="pct"/>
            <w:tcBorders>
              <w:top w:val="single" w:color="A6A6A6" w:themeColor="background1" w:themeShade="A6" w:sz="4" w:space="0"/>
              <w:bottom w:val="single" w:color="000000" w:themeColor="text1" w:sz="12" w:space="0"/>
            </w:tcBorders>
            <w:shd w:val="clear" w:color="auto" w:fill="auto"/>
            <w:noWrap/>
            <w:vAlign w:val="center"/>
          </w:tcPr>
          <w:p w:rsidR="00386463" w:rsidP="003F30F6" w:rsidRDefault="00386463">
            <w:pPr>
              <w:pStyle w:val="IEcChartText"/>
              <w:jc w:val="center"/>
            </w:pPr>
            <w:r>
              <w:t>$121,000</w:t>
            </w:r>
          </w:p>
        </w:tc>
        <w:tc>
          <w:tcPr>
            <w:tcW w:w="518" w:type="pct"/>
            <w:tcBorders>
              <w:top w:val="single" w:color="A6A6A6" w:themeColor="background1" w:themeShade="A6" w:sz="4" w:space="0"/>
              <w:bottom w:val="single" w:color="000000" w:themeColor="text1" w:sz="12" w:space="0"/>
            </w:tcBorders>
            <w:vAlign w:val="center"/>
          </w:tcPr>
          <w:p w:rsidR="00386463" w:rsidP="003F30F6" w:rsidRDefault="00386463">
            <w:pPr>
              <w:pStyle w:val="IEcChartText"/>
              <w:jc w:val="center"/>
            </w:pPr>
            <w:r>
              <w:t>$28,300</w:t>
            </w:r>
          </w:p>
        </w:tc>
        <w:tc>
          <w:tcPr>
            <w:tcW w:w="518" w:type="pct"/>
            <w:tcBorders>
              <w:top w:val="single" w:color="A6A6A6" w:themeColor="background1" w:themeShade="A6" w:sz="4" w:space="0"/>
              <w:bottom w:val="single" w:color="000000" w:themeColor="text1" w:sz="12" w:space="0"/>
            </w:tcBorders>
            <w:vAlign w:val="center"/>
          </w:tcPr>
          <w:p w:rsidR="00386463" w:rsidP="003F30F6" w:rsidRDefault="00386463">
            <w:pPr>
              <w:pStyle w:val="IEcChartText"/>
              <w:jc w:val="center"/>
            </w:pPr>
            <w:r>
              <w:t>$108,000</w:t>
            </w:r>
          </w:p>
        </w:tc>
        <w:tc>
          <w:tcPr>
            <w:tcW w:w="518" w:type="pct"/>
            <w:tcBorders>
              <w:top w:val="single" w:color="A6A6A6" w:themeColor="background1" w:themeShade="A6" w:sz="4" w:space="0"/>
              <w:bottom w:val="single" w:color="000000" w:themeColor="text1" w:sz="12" w:space="0"/>
            </w:tcBorders>
            <w:vAlign w:val="center"/>
          </w:tcPr>
          <w:p w:rsidR="00386463" w:rsidP="003F30F6" w:rsidRDefault="00386463">
            <w:pPr>
              <w:pStyle w:val="IEcChartText"/>
              <w:jc w:val="center"/>
            </w:pPr>
            <w:r>
              <w:t>$31,600</w:t>
            </w:r>
          </w:p>
        </w:tc>
        <w:tc>
          <w:tcPr>
            <w:tcW w:w="518" w:type="pct"/>
            <w:tcBorders>
              <w:top w:val="single" w:color="A6A6A6" w:themeColor="background1" w:themeShade="A6" w:sz="4" w:space="0"/>
              <w:bottom w:val="single" w:color="000000" w:themeColor="text1" w:sz="12" w:space="0"/>
            </w:tcBorders>
            <w:vAlign w:val="center"/>
          </w:tcPr>
          <w:p w:rsidR="00386463" w:rsidP="003F30F6" w:rsidRDefault="00386463">
            <w:pPr>
              <w:pStyle w:val="IEcChartText"/>
              <w:jc w:val="center"/>
            </w:pPr>
            <w:r>
              <w:t>$121,000</w:t>
            </w:r>
          </w:p>
        </w:tc>
      </w:tr>
      <w:tr w:rsidR="00386463" w:rsidTr="003F30F6">
        <w:trPr>
          <w:trHeight w:val="290"/>
        </w:trPr>
        <w:tc>
          <w:tcPr>
            <w:tcW w:w="855" w:type="pct"/>
            <w:gridSpan w:val="2"/>
            <w:tcBorders>
              <w:top w:val="single" w:color="000000" w:themeColor="text1" w:sz="12" w:space="0"/>
              <w:bottom w:val="single" w:color="002060" w:sz="4" w:space="0"/>
              <w:right w:val="single" w:color="auto" w:sz="4" w:space="0"/>
            </w:tcBorders>
            <w:shd w:val="clear" w:color="000000" w:fill="D9D9D9"/>
            <w:noWrap/>
            <w:vAlign w:val="center"/>
            <w:hideMark/>
          </w:tcPr>
          <w:p w:rsidR="00386463" w:rsidP="003F30F6" w:rsidRDefault="00386463">
            <w:pPr>
              <w:pStyle w:val="IEcChartText"/>
              <w:rPr>
                <w:b/>
              </w:rPr>
            </w:pPr>
            <w:r>
              <w:rPr>
                <w:b/>
              </w:rPr>
              <w:t>Total Annual PRA Burden (Govt + Industry) </w:t>
            </w:r>
          </w:p>
        </w:tc>
        <w:tc>
          <w:tcPr>
            <w:tcW w:w="518" w:type="pct"/>
            <w:tcBorders>
              <w:top w:val="single" w:color="000000" w:themeColor="text1" w:sz="12" w:space="0"/>
              <w:bottom w:val="single" w:color="002060" w:sz="4" w:space="0"/>
              <w:right w:val="single" w:color="auto" w:sz="4" w:space="0"/>
            </w:tcBorders>
            <w:shd w:val="clear" w:color="000000" w:fill="D9D9D9"/>
            <w:vAlign w:val="center"/>
          </w:tcPr>
          <w:p w:rsidRPr="0003148D" w:rsidR="00386463" w:rsidP="003F30F6" w:rsidRDefault="00386463">
            <w:pPr>
              <w:pStyle w:val="IEcChartText"/>
              <w:jc w:val="center"/>
              <w:rPr>
                <w:b/>
                <w:bCs/>
              </w:rPr>
            </w:pPr>
            <w:r w:rsidRPr="003A77D6">
              <w:rPr>
                <w:rFonts w:cs="Calibri"/>
                <w:b/>
                <w:bCs/>
                <w:color w:val="000000"/>
                <w:szCs w:val="18"/>
              </w:rPr>
              <w:t>61,727</w:t>
            </w:r>
          </w:p>
        </w:tc>
        <w:tc>
          <w:tcPr>
            <w:tcW w:w="518" w:type="pct"/>
            <w:tcBorders>
              <w:top w:val="single" w:color="000000" w:themeColor="text1" w:sz="12" w:space="0"/>
              <w:left w:val="single" w:color="auto" w:sz="4" w:space="0"/>
              <w:bottom w:val="single" w:color="002060" w:sz="4" w:space="0"/>
            </w:tcBorders>
            <w:shd w:val="clear" w:color="000000" w:fill="D9D9D9"/>
            <w:vAlign w:val="center"/>
          </w:tcPr>
          <w:p w:rsidRPr="0003148D" w:rsidR="00386463" w:rsidP="003F30F6" w:rsidRDefault="00386463">
            <w:pPr>
              <w:pStyle w:val="IEcChartText"/>
              <w:jc w:val="center"/>
              <w:rPr>
                <w:b/>
                <w:bCs/>
              </w:rPr>
            </w:pPr>
            <w:r w:rsidRPr="003A77D6">
              <w:rPr>
                <w:rFonts w:cs="Calibri"/>
                <w:b/>
                <w:bCs/>
                <w:color w:val="000000"/>
                <w:szCs w:val="18"/>
              </w:rPr>
              <w:t>317,575</w:t>
            </w:r>
          </w:p>
        </w:tc>
        <w:tc>
          <w:tcPr>
            <w:tcW w:w="518" w:type="pct"/>
            <w:tcBorders>
              <w:top w:val="single" w:color="000000" w:themeColor="text1" w:sz="12" w:space="0"/>
              <w:bottom w:val="single" w:color="002060" w:sz="4" w:space="0"/>
            </w:tcBorders>
            <w:shd w:val="clear" w:color="000000" w:fill="D9D9D9"/>
            <w:noWrap/>
            <w:vAlign w:val="center"/>
          </w:tcPr>
          <w:p w:rsidR="00386463" w:rsidP="003F30F6" w:rsidRDefault="00386463">
            <w:pPr>
              <w:pStyle w:val="IEcChartText"/>
              <w:jc w:val="center"/>
              <w:rPr>
                <w:b/>
              </w:rPr>
            </w:pPr>
            <w:r>
              <w:rPr>
                <w:b/>
              </w:rPr>
              <w:t>$1,570,000</w:t>
            </w:r>
          </w:p>
        </w:tc>
        <w:tc>
          <w:tcPr>
            <w:tcW w:w="518" w:type="pct"/>
            <w:tcBorders>
              <w:top w:val="single" w:color="000000" w:themeColor="text1" w:sz="12" w:space="0"/>
              <w:bottom w:val="single" w:color="002060" w:sz="4" w:space="0"/>
            </w:tcBorders>
            <w:shd w:val="clear" w:color="000000" w:fill="D9D9D9"/>
            <w:vAlign w:val="center"/>
          </w:tcPr>
          <w:p w:rsidR="00386463" w:rsidP="003F30F6" w:rsidRDefault="00386463">
            <w:pPr>
              <w:pStyle w:val="IEcChartText"/>
              <w:jc w:val="center"/>
              <w:rPr>
                <w:b/>
              </w:rPr>
            </w:pPr>
            <w:r>
              <w:rPr>
                <w:b/>
              </w:rPr>
              <w:t>$16,400,000</w:t>
            </w:r>
          </w:p>
        </w:tc>
        <w:tc>
          <w:tcPr>
            <w:tcW w:w="518" w:type="pct"/>
            <w:tcBorders>
              <w:top w:val="single" w:color="000000" w:themeColor="text1" w:sz="12" w:space="0"/>
              <w:bottom w:val="single" w:color="002060" w:sz="4" w:space="0"/>
            </w:tcBorders>
            <w:shd w:val="clear" w:color="000000" w:fill="D9D9D9"/>
            <w:vAlign w:val="center"/>
          </w:tcPr>
          <w:p w:rsidR="00386463" w:rsidP="003F30F6" w:rsidRDefault="00386463">
            <w:pPr>
              <w:pStyle w:val="IEcChartText"/>
              <w:jc w:val="center"/>
              <w:rPr>
                <w:b/>
              </w:rPr>
            </w:pPr>
            <w:r>
              <w:rPr>
                <w:b/>
              </w:rPr>
              <w:t>$1,380,000</w:t>
            </w:r>
          </w:p>
        </w:tc>
        <w:tc>
          <w:tcPr>
            <w:tcW w:w="518" w:type="pct"/>
            <w:tcBorders>
              <w:top w:val="single" w:color="000000" w:themeColor="text1" w:sz="12" w:space="0"/>
              <w:bottom w:val="single" w:color="002060" w:sz="4" w:space="0"/>
            </w:tcBorders>
            <w:shd w:val="clear" w:color="000000" w:fill="D9D9D9"/>
            <w:vAlign w:val="center"/>
          </w:tcPr>
          <w:p w:rsidR="00386463" w:rsidP="003F30F6" w:rsidRDefault="00386463">
            <w:pPr>
              <w:pStyle w:val="IEcChartText"/>
              <w:jc w:val="center"/>
              <w:rPr>
                <w:b/>
              </w:rPr>
            </w:pPr>
            <w:r>
              <w:rPr>
                <w:b/>
              </w:rPr>
              <w:t>$14,700,000</w:t>
            </w:r>
          </w:p>
        </w:tc>
        <w:tc>
          <w:tcPr>
            <w:tcW w:w="518" w:type="pct"/>
            <w:tcBorders>
              <w:top w:val="single" w:color="000000" w:themeColor="text1" w:sz="12" w:space="0"/>
              <w:bottom w:val="single" w:color="002060" w:sz="4" w:space="0"/>
            </w:tcBorders>
            <w:shd w:val="clear" w:color="000000" w:fill="D9D9D9"/>
            <w:vAlign w:val="center"/>
          </w:tcPr>
          <w:p w:rsidR="00386463" w:rsidP="003F30F6" w:rsidRDefault="00386463">
            <w:pPr>
              <w:pStyle w:val="IEcChartText"/>
              <w:jc w:val="center"/>
              <w:rPr>
                <w:b/>
              </w:rPr>
            </w:pPr>
            <w:r>
              <w:rPr>
                <w:b/>
              </w:rPr>
              <w:t>$1,540,000</w:t>
            </w:r>
          </w:p>
        </w:tc>
        <w:tc>
          <w:tcPr>
            <w:tcW w:w="518" w:type="pct"/>
            <w:tcBorders>
              <w:top w:val="single" w:color="000000" w:themeColor="text1" w:sz="12" w:space="0"/>
              <w:bottom w:val="single" w:color="002060" w:sz="4" w:space="0"/>
            </w:tcBorders>
            <w:shd w:val="clear" w:color="000000" w:fill="D9D9D9"/>
            <w:vAlign w:val="center"/>
          </w:tcPr>
          <w:p w:rsidR="00386463" w:rsidP="003F30F6" w:rsidRDefault="00386463">
            <w:pPr>
              <w:pStyle w:val="IEcChartText"/>
              <w:jc w:val="center"/>
              <w:rPr>
                <w:b/>
              </w:rPr>
            </w:pPr>
            <w:r>
              <w:rPr>
                <w:b/>
              </w:rPr>
              <w:t>$16,500,000</w:t>
            </w:r>
          </w:p>
        </w:tc>
      </w:tr>
    </w:tbl>
    <w:p w:rsidR="00386463" w:rsidP="00386463" w:rsidRDefault="00386463">
      <w:pPr>
        <w:pStyle w:val="IEcNormalText"/>
      </w:pPr>
    </w:p>
    <w:p w:rsidR="00386463" w:rsidP="00386463" w:rsidRDefault="00386463">
      <w:pPr>
        <w:pStyle w:val="para"/>
        <w:ind w:firstLine="0"/>
        <w:rPr>
          <w:b/>
        </w:rPr>
        <w:sectPr w:rsidR="00386463">
          <w:headerReference w:type="default" r:id="rId12"/>
          <w:footerReference w:type="default" r:id="rId13"/>
          <w:headerReference w:type="first" r:id="rId14"/>
          <w:footerReference w:type="first" r:id="rId15"/>
          <w:pgSz w:w="15840" w:h="12240" w:orient="landscape"/>
          <w:pgMar w:top="1440" w:right="1440" w:bottom="1440" w:left="1440" w:header="576" w:footer="576" w:gutter="0"/>
          <w:cols w:space="720"/>
          <w:titlePg/>
          <w:docGrid w:linePitch="299"/>
        </w:sectPr>
      </w:pPr>
    </w:p>
    <w:p w:rsidR="00386463" w:rsidP="00386463" w:rsidRDefault="00386463">
      <w:pPr>
        <w:pStyle w:val="Heading3"/>
        <w:ind w:left="1440"/>
      </w:pPr>
      <w:bookmarkStart w:name="_Toc464037363" w:id="2"/>
      <w:r>
        <w:lastRenderedPageBreak/>
        <w:t>Burden Statement</w:t>
      </w:r>
      <w:bookmarkEnd w:id="2"/>
    </w:p>
    <w:p w:rsidR="00386463" w:rsidP="00386463" w:rsidRDefault="00386463">
      <w:pPr>
        <w:pStyle w:val="IEcNormalText"/>
        <w:rPr>
          <w:rStyle w:val="bodytext"/>
          <w:szCs w:val="22"/>
        </w:rPr>
      </w:pPr>
      <w:r>
        <w:rPr>
          <w:rStyle w:val="bodytext"/>
          <w:szCs w:val="22"/>
        </w:rPr>
        <w:t>This rule contains a collection-of-information requirement subject to the Paperwork Reduction Act (PRA) and which has been approved by OMB under control number (</w:t>
      </w:r>
      <w:r>
        <w:rPr>
          <w:rStyle w:val="Emphasis"/>
          <w:szCs w:val="22"/>
        </w:rPr>
        <w:t>0648-</w:t>
      </w:r>
      <w:r>
        <w:rPr>
          <w:rStyle w:val="bodytext"/>
          <w:szCs w:val="22"/>
        </w:rPr>
        <w:t xml:space="preserve">0151). The public reporting burden for </w:t>
      </w:r>
      <w:r>
        <w:rPr>
          <w:rStyle w:val="bodytext"/>
          <w:iCs/>
          <w:szCs w:val="22"/>
        </w:rPr>
        <w:t>this Final Rule</w:t>
      </w:r>
      <w:r>
        <w:rPr>
          <w:rStyle w:val="bodytext"/>
          <w:szCs w:val="22"/>
        </w:rPr>
        <w:t xml:space="preserve"> is estimated to include PSO time and PAM operator time collecting data, as well as an average of </w:t>
      </w:r>
      <w:r>
        <w:rPr>
          <w:rStyle w:val="Emphasis"/>
          <w:szCs w:val="22"/>
        </w:rPr>
        <w:t>approximately four hours per survey</w:t>
      </w:r>
      <w:r>
        <w:rPr>
          <w:rStyle w:val="bodytext"/>
          <w:szCs w:val="22"/>
        </w:rPr>
        <w:t xml:space="preserve"> for other information collection tasks, including reviewing instructions, searching existing data sources, gathering and maintaining the data needed, and completing and reviewing the collection of information.</w:t>
      </w:r>
    </w:p>
    <w:p w:rsidR="00386463" w:rsidP="00386463" w:rsidRDefault="00386463">
      <w:pPr>
        <w:pStyle w:val="IEcNormalText"/>
        <w:rPr>
          <w:color w:val="0000FF"/>
          <w:szCs w:val="22"/>
          <w:u w:val="single"/>
        </w:rPr>
      </w:pPr>
      <w:r>
        <w:t xml:space="preserve">Notwithstanding any other provision of the law, no person is required to respond to, nor shall any person be subject to a penalty for failure to comply with, a collection of information subject to the requirements of the PRA, unless that collection of information displays a currently valid OMB Control Number. All currently approved NOAA collections of information may be viewed at: </w:t>
      </w:r>
      <w:hyperlink w:history="1" r:id="rId16">
        <w:r>
          <w:rPr>
            <w:rStyle w:val="Hyperlink"/>
            <w:szCs w:val="22"/>
          </w:rPr>
          <w:t>http://www.cio.noaa.gov/services_programs/prasubs.html</w:t>
        </w:r>
      </w:hyperlink>
      <w:r>
        <w:rPr>
          <w:rStyle w:val="Hyperlink"/>
          <w:szCs w:val="22"/>
        </w:rPr>
        <w:t xml:space="preserve"> </w:t>
      </w:r>
    </w:p>
    <w:p w:rsidR="00386463" w:rsidP="00386463" w:rsidRDefault="00386463">
      <w:pPr>
        <w:pStyle w:val="Heading1"/>
      </w:pPr>
      <w:r>
        <w:t>C.3</w:t>
      </w:r>
      <w:r>
        <w:tab/>
        <w:t>Unfunded Mandates Reform Act</w:t>
      </w:r>
    </w:p>
    <w:p w:rsidR="00386463" w:rsidP="00386463" w:rsidRDefault="00386463">
      <w:pPr>
        <w:pStyle w:val="IEcNormalText"/>
      </w:pPr>
      <w:r>
        <w:t xml:space="preserve">Signed into law on March 22, 1995, </w:t>
      </w:r>
      <w:r>
        <w:rPr>
          <w:rStyle w:val="IEcTextBold"/>
        </w:rPr>
        <w:t>Unfunded</w:t>
      </w:r>
      <w:r>
        <w:rPr>
          <w:rStyle w:val="IEcTextBold"/>
          <w:sz w:val="24"/>
          <w:szCs w:val="24"/>
        </w:rPr>
        <w:t xml:space="preserve"> </w:t>
      </w:r>
      <w:r>
        <w:t>Mandates Reform Act (UMRA) (2 USC 1501 et seq.)</w:t>
      </w:r>
      <w:r>
        <w:rPr>
          <w:sz w:val="24"/>
          <w:szCs w:val="24"/>
        </w:rPr>
        <w:t xml:space="preserve"> </w:t>
      </w:r>
      <w:r>
        <w:t>places certain requirements on federal agencies that issue significant regulations that generate unfunded mandates. These include the preparation of a statement supporting the need to issue the regulation, and a description of prior consultation with representatives of affected state, local, and tribal governments. Requirements in the UMRA apply only to those federal regulations containing a “significant unfunded mandate.” The UMRA defines a significant unfunded mandate as a federal rule that either:</w:t>
      </w:r>
    </w:p>
    <w:p w:rsidR="00386463" w:rsidP="00386463" w:rsidRDefault="00386463">
      <w:pPr>
        <w:pStyle w:val="IEcBulletText"/>
      </w:pPr>
      <w:r>
        <w:t>Results in estimated costs to state, local, and tribal governments, in aggregate, of $100 million or more in any one year; or</w:t>
      </w:r>
    </w:p>
    <w:p w:rsidR="00386463" w:rsidP="00386463" w:rsidRDefault="00386463">
      <w:pPr>
        <w:pStyle w:val="IEcBulletText"/>
      </w:pPr>
      <w:r>
        <w:t>Results in estimated annual costs to the private sector of $100 million or more in any one year.</w:t>
      </w:r>
    </w:p>
    <w:p w:rsidR="00386463" w:rsidP="00386463" w:rsidRDefault="00386463">
      <w:pPr>
        <w:pStyle w:val="IEcNormalText"/>
      </w:pPr>
      <w:r>
        <w:t>Federal rules are exempt from the UMRA requirements if:</w:t>
      </w:r>
    </w:p>
    <w:p w:rsidR="00386463" w:rsidP="00386463" w:rsidRDefault="00386463">
      <w:pPr>
        <w:pStyle w:val="IEcBulletText"/>
      </w:pPr>
      <w:r>
        <w:t>The rule implements requirements specifically set forth in law; or</w:t>
      </w:r>
    </w:p>
    <w:p w:rsidR="00386463" w:rsidP="00386463" w:rsidRDefault="00386463">
      <w:pPr>
        <w:pStyle w:val="IEcBulletText"/>
      </w:pPr>
      <w:r>
        <w:t>Compliance with the rule is voluntary for state and local governmental entities.</w:t>
      </w:r>
    </w:p>
    <w:p w:rsidR="00386463" w:rsidP="00386463" w:rsidRDefault="00386463">
      <w:pPr>
        <w:pStyle w:val="IEcNormalText"/>
      </w:pPr>
      <w:r>
        <w:t>Based on these criteria set forth by the UMRA, we do not expect the Final Rule to generate a significant unfunded mandate. The rule does not have a significant or unique effect on State, local or Tribal governments, or the private sector. As such, a statement containing the information required by UMRA (2 U.S.C. §§ 1531et seq.) is not required.</w:t>
      </w:r>
    </w:p>
    <w:p w:rsidR="00386463" w:rsidP="00386463" w:rsidRDefault="00386463">
      <w:pPr>
        <w:pStyle w:val="Heading1"/>
      </w:pPr>
      <w:r>
        <w:t>C.4</w:t>
      </w:r>
      <w:r>
        <w:tab/>
        <w:t>Environmental Justice Analysis</w:t>
      </w:r>
    </w:p>
    <w:p w:rsidR="00386463" w:rsidP="00386463" w:rsidRDefault="00386463">
      <w:pPr>
        <w:pStyle w:val="IEcNormalText"/>
        <w:rPr>
          <w:b/>
        </w:rPr>
      </w:pPr>
      <w:r>
        <w:t xml:space="preserve">Executive Order 12898, “Federal Actions to Address Environmental Justice in Minority Populations and Low-Income Populations” (February 11, 1994), requires federal agencies to identify disproportionately large and adverse human health or environmental effects of their programs, policies, and activities on </w:t>
      </w:r>
      <w:r>
        <w:lastRenderedPageBreak/>
        <w:t>minority and low-income populations.</w:t>
      </w:r>
      <w:r>
        <w:rPr>
          <w:rStyle w:val="FootnoteReference"/>
        </w:rPr>
        <w:footnoteReference w:id="10"/>
      </w:r>
      <w:r>
        <w:rPr>
          <w:vertAlign w:val="superscript"/>
        </w:rPr>
        <w:t>,</w:t>
      </w:r>
      <w:r>
        <w:rPr>
          <w:rStyle w:val="FootnoteReference"/>
        </w:rPr>
        <w:footnoteReference w:id="11"/>
      </w:r>
      <w:r>
        <w:t xml:space="preserve"> Among other actions, agencies are directed to improve research and data collection regarding health and environmental effects in minority and low-income communities. </w:t>
      </w:r>
      <w:r>
        <w:rPr>
          <w:shd w:val="clear" w:color="auto" w:fill="FFFFFF"/>
        </w:rPr>
        <w:t>BOEM provides this analysis in the FEIS.</w:t>
      </w:r>
    </w:p>
    <w:p w:rsidR="00386463" w:rsidP="00386463" w:rsidRDefault="00386463">
      <w:pPr>
        <w:pStyle w:val="Heading1"/>
      </w:pPr>
      <w:r>
        <w:t>C.5</w:t>
      </w:r>
      <w:r>
        <w:tab/>
        <w:t>Property Takings (Executive Order 12630)</w:t>
      </w:r>
    </w:p>
    <w:p w:rsidR="00386463" w:rsidP="00386463" w:rsidRDefault="00386463">
      <w:pPr>
        <w:pStyle w:val="IEcNormalText"/>
      </w:pPr>
      <w:r>
        <w:t>Executive Order 12630 states that governmental officials should be sensitive to and anticipate, and account for obligations imposed by the Just Compensation Clause of the Fifth Amendment in planning and carrying out government actions. Actions which result in a physical invasion or occupancy of private property may constitute a taking of property, even if that invasion is temporary. Because the area to be affected by this Final Rule is Federal waters, no property takings is anticipated.</w:t>
      </w:r>
    </w:p>
    <w:p w:rsidR="00386463" w:rsidP="00386463" w:rsidRDefault="00386463">
      <w:pPr>
        <w:pStyle w:val="Heading1"/>
      </w:pPr>
      <w:r>
        <w:t>C.6</w:t>
      </w:r>
      <w:r>
        <w:tab/>
        <w:t>Children’s Health Protection</w:t>
      </w:r>
    </w:p>
    <w:p w:rsidR="00386463" w:rsidP="00386463" w:rsidRDefault="00386463">
      <w:pPr>
        <w:pStyle w:val="IEcNormalText"/>
        <w:rPr>
          <w:b/>
        </w:rPr>
      </w:pPr>
      <w:r>
        <w:t>Executive Order 13045, “Protection of Children from Environmental Health Risks and Safety Risks” (April 21, 1997), directs federal agencies and departments to evaluate the health effects of health-related or risk-related regulations on children.</w:t>
      </w:r>
      <w:r>
        <w:rPr>
          <w:rStyle w:val="FootnoteReference"/>
        </w:rPr>
        <w:footnoteReference w:id="12"/>
      </w:r>
      <w:r>
        <w:t xml:space="preserve"> For economically significant rules concerning an environmental health or safety risk that may disproportionately affect children, Executive Order 13045 also requires an explanation as to why the planned regulation is preferable to other potentially effective and feasible alternatives.</w:t>
      </w:r>
      <w:r>
        <w:rPr>
          <w:rStyle w:val="FootnoteReference"/>
        </w:rPr>
        <w:footnoteReference w:id="13"/>
      </w:r>
      <w:r>
        <w:t xml:space="preserve">  The Final Rule is not subject to E.O. 13045 because it does not involve decisions on environmental health or safety risks that may disproportionately affect children</w:t>
      </w:r>
      <w:r>
        <w:rPr>
          <w:b/>
        </w:rPr>
        <w:t>.</w:t>
      </w:r>
    </w:p>
    <w:p w:rsidR="00386463" w:rsidP="00386463" w:rsidRDefault="00386463">
      <w:pPr>
        <w:pStyle w:val="Heading1"/>
      </w:pPr>
      <w:r>
        <w:t>C.7</w:t>
      </w:r>
      <w:r>
        <w:tab/>
        <w:t>Tribal Government Analysis</w:t>
      </w:r>
    </w:p>
    <w:p w:rsidR="00386463" w:rsidP="00386463" w:rsidRDefault="00386463">
      <w:pPr>
        <w:pStyle w:val="IEcNormalText"/>
      </w:pPr>
      <w:r>
        <w:t>Executive Order 13175: Consultation and Coordination with Indian Tribal Governments (65 FR 67249, November 9, 2000), requires NMFS to develop an accountable process to ensure “meaningful and timely input by tribal officials in the development of regulatory policies that have tribal implications.” Because this rule will be implemented in Federal waters, NMFS believes that it does not have tribal implications and therefore is not further evaluated.</w:t>
      </w:r>
    </w:p>
    <w:p w:rsidR="00386463" w:rsidP="00386463" w:rsidRDefault="00386463">
      <w:pPr>
        <w:pStyle w:val="Heading1"/>
      </w:pPr>
      <w:r>
        <w:t>C.8</w:t>
      </w:r>
      <w:r>
        <w:tab/>
        <w:t xml:space="preserve">Federalism Analysis </w:t>
      </w:r>
    </w:p>
    <w:p w:rsidR="00386463" w:rsidP="00386463" w:rsidRDefault="00386463">
      <w:pPr>
        <w:pStyle w:val="IEcNormalText"/>
      </w:pPr>
      <w:r>
        <w:t xml:space="preserve">Executive Order 13132, entitled “Federalism” (64 FR 43255, August 10, 1999), requires NMFS to develop a process to ensure “meaningful and timely input by State and local officials in the development </w:t>
      </w:r>
      <w:r>
        <w:lastRenderedPageBreak/>
        <w:t>of regulatory policies that have federalism implications.” Policies that have federalism implications are defined in the Executive Order to include regulations that have “substantial direct effects on the States [in terms of compliance costs], on the relationship between the national government and the States, or on the distribution of power and responsibilities among the various levels of government." In addition, policies have federalism implications if they preempt State law. In terms of compliance costs, the Federal government must provide the necessary funds to pay the direct costs incurred by State and local governments in complying with the regulation if the rule:</w:t>
      </w:r>
    </w:p>
    <w:p w:rsidR="00386463" w:rsidP="00386463" w:rsidRDefault="00386463">
      <w:pPr>
        <w:pStyle w:val="IEcBulletText"/>
        <w:numPr>
          <w:ilvl w:val="0"/>
          <w:numId w:val="12"/>
        </w:numPr>
      </w:pPr>
      <w:r>
        <w:t>Results in direct expenditures to state and local governments in aggregate of $25 million in any one year; or</w:t>
      </w:r>
    </w:p>
    <w:p w:rsidR="00386463" w:rsidP="00386463" w:rsidRDefault="00386463">
      <w:pPr>
        <w:pStyle w:val="IEcBulletText"/>
        <w:numPr>
          <w:ilvl w:val="0"/>
          <w:numId w:val="12"/>
        </w:numPr>
      </w:pPr>
      <w:r>
        <w:t>Results in expenditures greater to state and local governments greater than one percent of their annual revenues in any one year</w:t>
      </w:r>
    </w:p>
    <w:p w:rsidR="00386463" w:rsidP="00386463" w:rsidRDefault="00386463">
      <w:pPr>
        <w:pStyle w:val="IEcNormalText"/>
      </w:pPr>
      <w:r>
        <w:t xml:space="preserve">We do not anticipate that this rule will result in significantly greater compliance costs for the States above the thresholds listed above. We also do not expect this rule to impact the relationship between the Federal government and the States or on the distribution of power and responsibilities among the various levels of government, as specified in the Order. Thus, Executive Order 13132 does not apply to this rule. </w:t>
      </w:r>
    </w:p>
    <w:p w:rsidR="00386463" w:rsidP="00386463" w:rsidRDefault="00386463">
      <w:pPr>
        <w:pStyle w:val="Heading1"/>
      </w:pPr>
      <w:r>
        <w:t>C.9</w:t>
      </w:r>
      <w:r>
        <w:tab/>
        <w:t xml:space="preserve">Cumulative Impacts Analysis </w:t>
      </w:r>
    </w:p>
    <w:p w:rsidR="000D00A8" w:rsidP="00386463" w:rsidRDefault="00386463">
      <w:r>
        <w:t>Executive Order 12866, entitled “Regulatory Planning and Review” (October 4, 1993), and Executive Order 13563, entitled “Improving Regulation and Regulatory Review” (January 21, 2011), require NMFS to “tailor its regulations to impose the least burden on society, consistent with obtaining regulatory objectives, taking into account, among other things, and to the extent practicable, the costs of cumulative regulations.” For a more detailed assessment of the cumulative impacts of alternative rule elements considered in the development of the Final Rule, please refer to the EIS.</w:t>
      </w:r>
      <w:bookmarkStart w:name="_GoBack" w:id="3"/>
      <w:bookmarkEnd w:id="3"/>
    </w:p>
    <w:sectPr w:rsidR="000D00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463" w:rsidRDefault="00386463" w:rsidP="00386463">
      <w:pPr>
        <w:spacing w:after="0" w:line="240" w:lineRule="auto"/>
      </w:pPr>
      <w:r>
        <w:separator/>
      </w:r>
    </w:p>
  </w:endnote>
  <w:endnote w:type="continuationSeparator" w:id="0">
    <w:p w:rsidR="00386463" w:rsidRDefault="00386463" w:rsidP="0038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KFDLE+TimesNewRoman">
    <w:altName w:val="Times New Roman"/>
    <w:panose1 w:val="00000000000000000000"/>
    <w:charset w:val="00"/>
    <w:family w:val="roman"/>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IEcPage"/>
      <w:ind w:left="0" w:right="14" w:firstLine="0"/>
      <w:rPr>
        <w:color w:val="808080"/>
        <w:sz w:val="14"/>
      </w:rPr>
    </w:pPr>
    <w:r>
      <w:rPr>
        <w:noProof/>
      </w:rPr>
      <mc:AlternateContent>
        <mc:Choice Requires="wps">
          <w:drawing>
            <wp:anchor distT="0" distB="0" distL="114300" distR="114300" simplePos="0" relativeHeight="251663360" behindDoc="0" locked="0" layoutInCell="1" allowOverlap="1" wp14:anchorId="17FE6FD7" wp14:editId="17154AB9">
              <wp:simplePos x="0" y="0"/>
              <wp:positionH relativeFrom="column">
                <wp:posOffset>-77638</wp:posOffset>
              </wp:positionH>
              <wp:positionV relativeFrom="paragraph">
                <wp:posOffset>67369</wp:posOffset>
              </wp:positionV>
              <wp:extent cx="5033645" cy="0"/>
              <wp:effectExtent l="0" t="0" r="14605" b="19050"/>
              <wp:wrapNone/>
              <wp:docPr id="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18508" id="Line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3pt" to="390.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" strokecolor="#7796b2"/>
          </w:pict>
        </mc:Fallback>
      </mc:AlternateContent>
    </w:r>
  </w:p>
  <w:p w:rsidR="00386463" w:rsidRDefault="00386463">
    <w:pPr>
      <w:tabs>
        <w:tab w:val="left" w:pos="1440"/>
        <w:tab w:val="right" w:pos="7830"/>
      </w:tabs>
      <w:spacing w:line="240" w:lineRule="exact"/>
      <w:ind w:left="1440" w:right="101" w:hanging="2160"/>
    </w:pPr>
    <w:r>
      <w:rPr>
        <w:noProof/>
      </w:rPr>
      <w:drawing>
        <wp:inline distT="0" distB="0" distL="0" distR="0" wp14:anchorId="26E056DA" wp14:editId="0770B327">
          <wp:extent cx="2219325" cy="95250"/>
          <wp:effectExtent l="0" t="0" r="9525" b="0"/>
          <wp:docPr id="42" name="Picture 42"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5250"/>
                  </a:xfrm>
                  <a:prstGeom prst="rect">
                    <a:avLst/>
                  </a:prstGeom>
                  <a:noFill/>
                  <a:ln>
                    <a:noFill/>
                  </a:ln>
                </pic:spPr>
              </pic:pic>
            </a:graphicData>
          </a:graphic>
        </wp:inline>
      </w:drawing>
    </w:r>
    <w:r>
      <w:tab/>
    </w:r>
    <w:r>
      <w:rPr>
        <w:rFonts w:ascii="Trebuchet MS" w:hAnsi="Trebuchet MS"/>
        <w:noProof/>
        <w:color w:val="800000"/>
        <w:sz w:val="17"/>
      </w:rPr>
      <w:t>C-</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Pr>
        <w:rFonts w:ascii="Trebuchet MS" w:hAnsi="Trebuchet MS"/>
        <w:noProof/>
        <w:color w:val="800000"/>
        <w:sz w:val="17"/>
      </w:rPr>
      <w:t>1</w:t>
    </w:r>
    <w:r>
      <w:rPr>
        <w:rFonts w:ascii="Trebuchet MS" w:hAnsi="Trebuchet MS"/>
        <w:color w:val="800000"/>
        <w:sz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IEcPage"/>
      <w:ind w:left="0" w:right="14" w:firstLine="0"/>
      <w:rPr>
        <w:color w:val="808080"/>
        <w:sz w:val="14"/>
      </w:rPr>
    </w:pPr>
    <w:r>
      <w:rPr>
        <w:noProof/>
      </w:rPr>
      <mc:AlternateContent>
        <mc:Choice Requires="wps">
          <w:drawing>
            <wp:anchor distT="0" distB="0" distL="114300" distR="114300" simplePos="0" relativeHeight="251662336" behindDoc="0" locked="0" layoutInCell="1" allowOverlap="1" wp14:anchorId="04F8A7CB" wp14:editId="5249CDD1">
              <wp:simplePos x="0" y="0"/>
              <wp:positionH relativeFrom="column">
                <wp:posOffset>0</wp:posOffset>
              </wp:positionH>
              <wp:positionV relativeFrom="paragraph">
                <wp:posOffset>6985</wp:posOffset>
              </wp:positionV>
              <wp:extent cx="5033645" cy="0"/>
              <wp:effectExtent l="9525" t="6985" r="5080" b="12065"/>
              <wp:wrapNone/>
              <wp:docPr id="5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CDA41" id="Line 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39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" strokecolor="#7796b2"/>
          </w:pict>
        </mc:Fallback>
      </mc:AlternateContent>
    </w:r>
  </w:p>
  <w:p w:rsidR="00386463" w:rsidRDefault="00386463">
    <w:pPr>
      <w:tabs>
        <w:tab w:val="left" w:pos="1440"/>
        <w:tab w:val="right" w:pos="7830"/>
      </w:tabs>
      <w:spacing w:line="240" w:lineRule="exact"/>
      <w:ind w:left="1440" w:right="101" w:hanging="2160"/>
    </w:pPr>
    <w:r>
      <w:rPr>
        <w:noProof/>
      </w:rPr>
      <w:drawing>
        <wp:inline distT="0" distB="0" distL="0" distR="0" wp14:anchorId="7469B82B" wp14:editId="16CB4362">
          <wp:extent cx="2219325" cy="95250"/>
          <wp:effectExtent l="0" t="0" r="9525" b="0"/>
          <wp:docPr id="45" name="Picture 45"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5250"/>
                  </a:xfrm>
                  <a:prstGeom prst="rect">
                    <a:avLst/>
                  </a:prstGeom>
                  <a:noFill/>
                  <a:ln>
                    <a:noFill/>
                  </a:ln>
                </pic:spPr>
              </pic:pic>
            </a:graphicData>
          </a:graphic>
        </wp:inline>
      </w:drawing>
    </w:r>
    <w:r>
      <w:tab/>
    </w:r>
    <w:r>
      <w:rPr>
        <w:rFonts w:ascii="Trebuchet MS" w:hAnsi="Trebuchet MS"/>
        <w:noProof/>
        <w:color w:val="800000"/>
        <w:sz w:val="17"/>
      </w:rPr>
      <w:t>C-</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Pr>
        <w:rFonts w:ascii="Trebuchet MS" w:hAnsi="Trebuchet MS"/>
        <w:noProof/>
        <w:color w:val="800000"/>
        <w:sz w:val="17"/>
      </w:rPr>
      <w:t>1</w:t>
    </w:r>
    <w:r>
      <w:rPr>
        <w:rFonts w:ascii="Trebuchet MS" w:hAnsi="Trebuchet MS"/>
        <w:color w:val="800000"/>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IEcPage"/>
      <w:ind w:left="0" w:right="14" w:firstLine="0"/>
      <w:rPr>
        <w:color w:val="808080"/>
        <w:sz w:val="14"/>
      </w:rPr>
    </w:pPr>
    <w:r>
      <w:rPr>
        <w:noProof/>
      </w:rPr>
      <mc:AlternateContent>
        <mc:Choice Requires="wps">
          <w:drawing>
            <wp:anchor distT="0" distB="0" distL="114300" distR="114300" simplePos="0" relativeHeight="251665408" behindDoc="0" locked="0" layoutInCell="1" allowOverlap="1" wp14:anchorId="295EFD2D" wp14:editId="3C236F81">
              <wp:simplePos x="0" y="0"/>
              <wp:positionH relativeFrom="column">
                <wp:posOffset>2898475</wp:posOffset>
              </wp:positionH>
              <wp:positionV relativeFrom="paragraph">
                <wp:posOffset>6985</wp:posOffset>
              </wp:positionV>
              <wp:extent cx="5033645" cy="0"/>
              <wp:effectExtent l="0" t="0" r="14605" b="19050"/>
              <wp:wrapNone/>
              <wp:docPr id="6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B2285" id="Line 4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5pt,.55pt" to="624.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" strokecolor="#7796b2"/>
          </w:pict>
        </mc:Fallback>
      </mc:AlternateContent>
    </w:r>
  </w:p>
  <w:p w:rsidR="00386463" w:rsidRDefault="00386463">
    <w:pPr>
      <w:tabs>
        <w:tab w:val="left" w:pos="1440"/>
        <w:tab w:val="right" w:pos="7830"/>
      </w:tabs>
      <w:spacing w:line="240" w:lineRule="exact"/>
      <w:ind w:left="1440" w:right="101" w:hanging="2160"/>
    </w:pPr>
    <w:r>
      <w:rPr>
        <w:noProof/>
      </w:rPr>
      <w:drawing>
        <wp:inline distT="0" distB="0" distL="0" distR="0" wp14:anchorId="36797EA2" wp14:editId="6DFBCD5D">
          <wp:extent cx="2219325" cy="95250"/>
          <wp:effectExtent l="0" t="0" r="9525" b="0"/>
          <wp:docPr id="52" name="Picture 52"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5250"/>
                  </a:xfrm>
                  <a:prstGeom prst="rect">
                    <a:avLst/>
                  </a:prstGeom>
                  <a:noFill/>
                  <a:ln>
                    <a:noFill/>
                  </a:ln>
                </pic:spPr>
              </pic:pic>
            </a:graphicData>
          </a:graphic>
        </wp:inline>
      </w:drawing>
    </w:r>
    <w:r>
      <w:tab/>
    </w:r>
    <w:r>
      <w:tab/>
    </w:r>
    <w:r>
      <w:tab/>
    </w:r>
    <w:r>
      <w:tab/>
    </w:r>
    <w:r>
      <w:tab/>
    </w:r>
    <w:r>
      <w:tab/>
    </w:r>
    <w:r>
      <w:tab/>
    </w:r>
    <w:r>
      <w:tab/>
    </w:r>
    <w:r>
      <w:rPr>
        <w:rFonts w:ascii="Trebuchet MS" w:hAnsi="Trebuchet MS"/>
        <w:noProof/>
        <w:color w:val="800000"/>
        <w:sz w:val="17"/>
      </w:rPr>
      <w:t>C-</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Pr>
        <w:rFonts w:ascii="Trebuchet MS" w:hAnsi="Trebuchet MS"/>
        <w:noProof/>
        <w:color w:val="800000"/>
        <w:sz w:val="17"/>
      </w:rPr>
      <w:t>12</w:t>
    </w:r>
    <w:r>
      <w:rPr>
        <w:rFonts w:ascii="Trebuchet MS" w:hAnsi="Trebuchet MS"/>
        <w:color w:val="800000"/>
        <w:sz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IEcPage"/>
      <w:ind w:left="0" w:right="14" w:firstLine="0"/>
      <w:rPr>
        <w:color w:val="808080"/>
        <w:sz w:val="14"/>
      </w:rPr>
    </w:pPr>
    <w:r>
      <w:rPr>
        <w:noProof/>
      </w:rPr>
      <mc:AlternateContent>
        <mc:Choice Requires="wps">
          <w:drawing>
            <wp:anchor distT="0" distB="0" distL="114300" distR="114300" simplePos="0" relativeHeight="251664384" behindDoc="0" locked="0" layoutInCell="1" allowOverlap="1" wp14:anchorId="5D742098" wp14:editId="4B13615A">
              <wp:simplePos x="0" y="0"/>
              <wp:positionH relativeFrom="column">
                <wp:posOffset>2889849</wp:posOffset>
              </wp:positionH>
              <wp:positionV relativeFrom="paragraph">
                <wp:posOffset>6985</wp:posOffset>
              </wp:positionV>
              <wp:extent cx="5033645" cy="0"/>
              <wp:effectExtent l="0" t="0" r="14605" b="19050"/>
              <wp:wrapNone/>
              <wp:docPr id="6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3D8CC" id="Line 4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5pt,.55pt" to="623.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" strokecolor="#7796b2"/>
          </w:pict>
        </mc:Fallback>
      </mc:AlternateContent>
    </w:r>
  </w:p>
  <w:p w:rsidR="00386463" w:rsidRDefault="00386463">
    <w:pPr>
      <w:tabs>
        <w:tab w:val="left" w:pos="1440"/>
        <w:tab w:val="right" w:pos="7830"/>
      </w:tabs>
      <w:spacing w:line="240" w:lineRule="exact"/>
      <w:ind w:left="1440" w:right="101" w:hanging="2160"/>
    </w:pPr>
    <w:r>
      <w:rPr>
        <w:noProof/>
      </w:rPr>
      <w:drawing>
        <wp:inline distT="0" distB="0" distL="0" distR="0" wp14:anchorId="418A9662" wp14:editId="7CB7FB86">
          <wp:extent cx="2219325" cy="95250"/>
          <wp:effectExtent l="0" t="0" r="9525" b="0"/>
          <wp:docPr id="54" name="Picture 54"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5250"/>
                  </a:xfrm>
                  <a:prstGeom prst="rect">
                    <a:avLst/>
                  </a:prstGeom>
                  <a:noFill/>
                  <a:ln>
                    <a:noFill/>
                  </a:ln>
                </pic:spPr>
              </pic:pic>
            </a:graphicData>
          </a:graphic>
        </wp:inline>
      </w:drawing>
    </w:r>
    <w:r>
      <w:tab/>
    </w:r>
    <w:r>
      <w:tab/>
    </w:r>
    <w:r>
      <w:tab/>
    </w:r>
    <w:r>
      <w:tab/>
    </w:r>
    <w:r>
      <w:tab/>
    </w:r>
    <w:r>
      <w:tab/>
    </w:r>
    <w:r>
      <w:tab/>
    </w:r>
    <w:r>
      <w:tab/>
    </w:r>
    <w:r>
      <w:rPr>
        <w:rFonts w:ascii="Trebuchet MS" w:hAnsi="Trebuchet MS"/>
        <w:noProof/>
        <w:color w:val="800000"/>
        <w:sz w:val="17"/>
      </w:rPr>
      <w:t>C-</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Pr>
        <w:rFonts w:ascii="Trebuchet MS" w:hAnsi="Trebuchet MS"/>
        <w:noProof/>
        <w:color w:val="800000"/>
        <w:sz w:val="17"/>
      </w:rPr>
      <w:t>8</w:t>
    </w:r>
    <w:r>
      <w:rPr>
        <w:rFonts w:ascii="Trebuchet MS" w:hAnsi="Trebuchet MS"/>
        <w:color w:val="800000"/>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463" w:rsidRDefault="00386463" w:rsidP="00386463">
      <w:pPr>
        <w:spacing w:after="0" w:line="240" w:lineRule="auto"/>
      </w:pPr>
      <w:r>
        <w:separator/>
      </w:r>
    </w:p>
  </w:footnote>
  <w:footnote w:type="continuationSeparator" w:id="0">
    <w:p w:rsidR="00386463" w:rsidRDefault="00386463" w:rsidP="00386463">
      <w:pPr>
        <w:spacing w:after="0" w:line="240" w:lineRule="auto"/>
      </w:pPr>
      <w:r>
        <w:continuationSeparator/>
      </w:r>
    </w:p>
  </w:footnote>
  <w:footnote w:id="1">
    <w:p w:rsidR="00386463" w:rsidRDefault="00386463" w:rsidP="00386463">
      <w:pPr>
        <w:pStyle w:val="IEcFootnoteText"/>
      </w:pPr>
      <w:r>
        <w:rPr>
          <w:rStyle w:val="FootnoteReference"/>
          <w:szCs w:val="14"/>
        </w:rPr>
        <w:footnoteRef/>
      </w:r>
      <w:r>
        <w:rPr>
          <w:szCs w:val="14"/>
        </w:rPr>
        <w:t xml:space="preserve"> </w:t>
      </w:r>
      <w:r>
        <w:t xml:space="preserve">OMB. 2001. Memorandum For Heads of Executive Department Agencies, and Independent Regulatory Agencies, Guidance For Implementing E.O. 13211, M-01-27. </w:t>
      </w:r>
      <w:hyperlink r:id="rId1" w:history="1">
        <w:r>
          <w:rPr>
            <w:rStyle w:val="Hyperlink"/>
          </w:rPr>
          <w:t>http://www.whitehouse.gov/omb/memoranda/m01-27.html</w:t>
        </w:r>
      </w:hyperlink>
      <w:r>
        <w:t xml:space="preserve"> </w:t>
      </w:r>
    </w:p>
  </w:footnote>
  <w:footnote w:id="2">
    <w:p w:rsidR="00386463" w:rsidRDefault="00386463" w:rsidP="00386463">
      <w:pPr>
        <w:pStyle w:val="IEcFootnoteText"/>
      </w:pPr>
      <w:r>
        <w:rPr>
          <w:rStyle w:val="FootnoteReference"/>
          <w:szCs w:val="14"/>
        </w:rPr>
        <w:footnoteRef/>
      </w:r>
      <w:r>
        <w:rPr>
          <w:szCs w:val="14"/>
        </w:rPr>
        <w:t xml:space="preserve"> </w:t>
      </w:r>
      <w:r>
        <w:t>All monetized cost estimates are presented in 2018 US dollars.</w:t>
      </w:r>
    </w:p>
  </w:footnote>
  <w:footnote w:id="3">
    <w:p w:rsidR="00386463" w:rsidRDefault="00386463" w:rsidP="00386463">
      <w:pPr>
        <w:pStyle w:val="IEcFootnoteText"/>
      </w:pPr>
      <w:r>
        <w:rPr>
          <w:rStyle w:val="FootnoteReference"/>
        </w:rPr>
        <w:footnoteRef/>
      </w:r>
      <w:r>
        <w:t xml:space="preserve"> Quest Offshore. (2014). “ The Economic Benefits of Increasing U.S. Access to Offshore Oil and Natural Gas Resources in the Eastern Gulf of Mexico.” Prepared for the American Petroleum Institute (API) and the National Ocean Industries Association (NOIA).</w:t>
      </w:r>
    </w:p>
  </w:footnote>
  <w:footnote w:id="4">
    <w:p w:rsidR="00386463" w:rsidRDefault="00386463" w:rsidP="00386463">
      <w:pPr>
        <w:pStyle w:val="IEcFootnoteText"/>
      </w:pPr>
      <w:r>
        <w:rPr>
          <w:rStyle w:val="FootnoteReference"/>
        </w:rPr>
        <w:footnoteRef/>
      </w:r>
      <w:r>
        <w:t xml:space="preserve"> Quest Offshore project spending for each of the following activity types: Seismic (G&amp;G), SURF, Platforms, Installation, Drilling, Engineering, and Operating Expenditures. </w:t>
      </w:r>
    </w:p>
  </w:footnote>
  <w:footnote w:id="5">
    <w:p w:rsidR="00386463" w:rsidRDefault="00386463" w:rsidP="00386463">
      <w:pPr>
        <w:pStyle w:val="IEcFootnoteText"/>
      </w:pPr>
      <w:r>
        <w:rPr>
          <w:rStyle w:val="FootnoteReference"/>
          <w:szCs w:val="14"/>
        </w:rPr>
        <w:footnoteRef/>
      </w:r>
      <w:r>
        <w:t xml:space="preserve"> For instance, Exhibit 4-2 shows that the baseline high-end total cost for a WAZ survey is $181,000,000, and Exhibit 4-13 shows that the incremental compliance cost for a WAZ survey under the Final Rule is up to $12,200,000. This represents a 6.7 percent increase in total survey costs. All other survey types under the Final Rule see lower percent cost increases.</w:t>
      </w:r>
    </w:p>
  </w:footnote>
  <w:footnote w:id="6">
    <w:p w:rsidR="00386463" w:rsidRDefault="00386463" w:rsidP="00386463">
      <w:pPr>
        <w:pStyle w:val="IEcFootnoteText"/>
      </w:pPr>
      <w:r>
        <w:rPr>
          <w:rStyle w:val="FootnoteReference"/>
          <w:szCs w:val="14"/>
        </w:rPr>
        <w:footnoteRef/>
      </w:r>
      <w:r>
        <w:rPr>
          <w:rStyle w:val="FootnoteReference"/>
          <w:szCs w:val="14"/>
        </w:rPr>
        <w:t xml:space="preserve"> </w:t>
      </w:r>
      <w:r>
        <w:t>Personal communication between IEc, IAGC, and API. December 15, 2016.</w:t>
      </w:r>
    </w:p>
  </w:footnote>
  <w:footnote w:id="7">
    <w:p w:rsidR="00386463" w:rsidRDefault="00386463" w:rsidP="00386463">
      <w:pPr>
        <w:pStyle w:val="IEcFootnoteText"/>
      </w:pPr>
      <w:r>
        <w:rPr>
          <w:rStyle w:val="FootnoteReference"/>
        </w:rPr>
        <w:footnoteRef/>
      </w:r>
      <w:r>
        <w:rPr>
          <w:vertAlign w:val="superscript"/>
        </w:rPr>
        <w:t xml:space="preserve"> </w:t>
      </w:r>
      <w:r>
        <w:t xml:space="preserve">Government wage rate is a Basic, Step 5, GS-13 rate multiplied by 1.526 to reflect fringe benefits and overhead. Accessed at </w:t>
      </w:r>
      <w:r>
        <w:rPr>
          <w:rStyle w:val="Hyperlink"/>
        </w:rPr>
        <w:t>https://www.opm.gov/policy-data-oversight/pay-leave/salaries-wages/salary-tables/pdf/2019/GS_h.pdf</w:t>
      </w:r>
      <w:r>
        <w:t xml:space="preserve">   on May 12, 2020. </w:t>
      </w:r>
    </w:p>
  </w:footnote>
  <w:footnote w:id="8">
    <w:p w:rsidR="00386463" w:rsidRDefault="00386463" w:rsidP="00386463">
      <w:pPr>
        <w:pStyle w:val="IEcFootnoteReference"/>
      </w:pPr>
      <w:r>
        <w:rPr>
          <w:rStyle w:val="FootnoteReference"/>
        </w:rPr>
        <w:footnoteRef/>
      </w:r>
      <w:r>
        <w:t xml:space="preserve"> Government wage rate is a Basic, Step 5, GS-13 rate multiplied by 1.526 to reflect fringe benefits and overhead. Accessed at </w:t>
      </w:r>
      <w:hyperlink r:id="rId2" w:history="1">
        <w:r>
          <w:rPr>
            <w:rStyle w:val="Hyperlink"/>
          </w:rPr>
          <w:t>https://www.opm.gov/policy-data-oversight/pay-leave/salaries-wages/salary-tables/pdf/2019/GS_h.pdf</w:t>
        </w:r>
      </w:hyperlink>
      <w:r>
        <w:t xml:space="preserve">   on May 12, 2020. </w:t>
      </w:r>
    </w:p>
  </w:footnote>
  <w:footnote w:id="9">
    <w:p w:rsidR="00386463" w:rsidRDefault="00386463" w:rsidP="00386463">
      <w:pPr>
        <w:pStyle w:val="IEcFootnoteReference"/>
      </w:pPr>
      <w:r>
        <w:rPr>
          <w:rStyle w:val="FootnoteReference"/>
        </w:rPr>
        <w:footnoteRef/>
      </w:r>
      <w:r>
        <w:t xml:space="preserve"> Government wage rate is a Basic, Step 5, GS-13 rate multiplied by 1.526 to reflect fringe benefits and overhead. Accessed at </w:t>
      </w:r>
      <w:hyperlink w:history="1"/>
      <w:r>
        <w:rPr>
          <w:rStyle w:val="Hyperlink"/>
        </w:rPr>
        <w:t>https://www.opm.gov/policy-data-oversight/pay-leave/salaries-wages/salary-tables/pdf/2019/GS_h.pdf</w:t>
      </w:r>
      <w:r>
        <w:t xml:space="preserve">   on May 12, 2020. </w:t>
      </w:r>
    </w:p>
  </w:footnote>
  <w:footnote w:id="10">
    <w:p w:rsidR="00386463" w:rsidRDefault="00386463" w:rsidP="00386463">
      <w:pPr>
        <w:pStyle w:val="IEcFootnoteText"/>
      </w:pPr>
      <w:r>
        <w:rPr>
          <w:rStyle w:val="FootnoteReference"/>
          <w:szCs w:val="14"/>
        </w:rPr>
        <w:footnoteRef/>
      </w:r>
      <w:r>
        <w:t xml:space="preserve"> As stated in Executive Order 12898, a minority is an individual who is a member of one of the following population groups: American Indian or Alaskan Native; Asian or Pacific Islander; Black, not of Hispanic origin; or Hispanic.</w:t>
      </w:r>
    </w:p>
  </w:footnote>
  <w:footnote w:id="11">
    <w:p w:rsidR="00386463" w:rsidRDefault="00386463" w:rsidP="00386463">
      <w:pPr>
        <w:pStyle w:val="IEcFootnoteText"/>
      </w:pPr>
      <w:r>
        <w:rPr>
          <w:rStyle w:val="FootnoteReference"/>
          <w:szCs w:val="14"/>
        </w:rPr>
        <w:footnoteRef/>
      </w:r>
      <w:r>
        <w:t xml:space="preserve"> As stated in Executive Order 12898, low-income populations are identified using the annual statistical poverty thresholds from the Census Bureau’s Current Population Reports on Income and Poverty.</w:t>
      </w:r>
    </w:p>
  </w:footnote>
  <w:footnote w:id="12">
    <w:p w:rsidR="00386463" w:rsidRDefault="00386463" w:rsidP="00386463">
      <w:pPr>
        <w:pStyle w:val="IEcFootnoteText"/>
      </w:pPr>
      <w:r>
        <w:rPr>
          <w:rStyle w:val="FootnoteReference"/>
          <w:szCs w:val="14"/>
        </w:rPr>
        <w:footnoteRef/>
      </w:r>
      <w:r>
        <w:rPr>
          <w:szCs w:val="14"/>
        </w:rPr>
        <w:t xml:space="preserve"> </w:t>
      </w:r>
      <w:r>
        <w:t xml:space="preserve">In addition, two separate directives issued by EPA, “Policy on Evaluating Health Risks to Children” (October 1995) and “National Agenda to Protect Children's Health from Environmental Threats” (October 1996), call for consideration of children's health within risk assessments and other components of regulatory analyses. </w:t>
      </w:r>
    </w:p>
  </w:footnote>
  <w:footnote w:id="13">
    <w:p w:rsidR="00386463" w:rsidRDefault="00386463" w:rsidP="00386463">
      <w:pPr>
        <w:pStyle w:val="IEcFootnoteText"/>
      </w:pPr>
      <w:r>
        <w:rPr>
          <w:rStyle w:val="FootnoteReference"/>
          <w:szCs w:val="14"/>
        </w:rPr>
        <w:footnoteRef/>
      </w:r>
      <w:r>
        <w:t xml:space="preserve"> As defined in Executive Order 13045, an economically significant rule is any rulemaking that has an annual effect on the economy of $100 million or more, or would adversely affect in a material way the economy, a sector of the economy, productivity, competition, jobs, the environment, public health or safety, or state, local or tribal governments or communities.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Header"/>
      <w:tabs>
        <w:tab w:val="left" w:pos="2250"/>
        <w:tab w:val="right" w:pos="7934"/>
      </w:tabs>
      <w:spacing w:after="0" w:line="240" w:lineRule="auto"/>
      <w:jc w:val="right"/>
      <w:rPr>
        <w:rFonts w:ascii="Trebuchet MS" w:hAnsi="Trebuchet MS"/>
        <w:i/>
        <w:sz w:val="20"/>
      </w:rPr>
    </w:pPr>
    <w:r>
      <w:rPr>
        <w:rFonts w:ascii="Trebuchet MS" w:hAnsi="Trebuchet MS"/>
        <w:sz w:val="20"/>
      </w:rPr>
      <w:tab/>
    </w:r>
    <w:r>
      <w:rPr>
        <w:rFonts w:ascii="Trebuchet MS" w:hAnsi="Trebuchet MS"/>
        <w:sz w:val="20"/>
      </w:rPr>
      <w:tab/>
    </w:r>
    <w:r>
      <w:rPr>
        <w:i/>
        <w:noProof/>
        <w:color w:val="808080"/>
      </w:rPr>
      <w:drawing>
        <wp:anchor distT="0" distB="0" distL="114300" distR="114300" simplePos="0" relativeHeight="251666432" behindDoc="1" locked="0" layoutInCell="1" allowOverlap="1" wp14:anchorId="5D4939AE" wp14:editId="5D36BD06">
          <wp:simplePos x="0" y="0"/>
          <wp:positionH relativeFrom="column">
            <wp:posOffset>-1086485</wp:posOffset>
          </wp:positionH>
          <wp:positionV relativeFrom="paragraph">
            <wp:posOffset>-9525</wp:posOffset>
          </wp:positionV>
          <wp:extent cx="381000" cy="219075"/>
          <wp:effectExtent l="0" t="0" r="0" b="9525"/>
          <wp:wrapNone/>
          <wp:docPr id="27" name="Picture 27"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ort_header_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i/>
        <w:color w:val="808080"/>
        <w:sz w:val="2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Header"/>
      <w:tabs>
        <w:tab w:val="left" w:pos="2250"/>
        <w:tab w:val="right" w:pos="7934"/>
      </w:tabs>
      <w:jc w:val="right"/>
      <w:rPr>
        <w:rFonts w:ascii="Trebuchet MS" w:hAnsi="Trebuchet MS"/>
        <w:i/>
        <w:color w:val="808080"/>
        <w:sz w:val="20"/>
      </w:rPr>
    </w:pPr>
    <w:r>
      <w:rPr>
        <w:rFonts w:ascii="Trebuchet MS" w:hAnsi="Trebuchet MS"/>
        <w:sz w:val="20"/>
      </w:rPr>
      <w:tab/>
    </w:r>
    <w:r>
      <w:rPr>
        <w:rFonts w:ascii="Trebuchet MS" w:hAnsi="Trebuchet MS"/>
        <w:sz w:val="20"/>
      </w:rPr>
      <w:tab/>
    </w:r>
    <w:r>
      <w:rPr>
        <w:noProof/>
      </w:rPr>
      <w:drawing>
        <wp:anchor distT="0" distB="0" distL="114300" distR="114300" simplePos="0" relativeHeight="251659264" behindDoc="1" locked="0" layoutInCell="1" allowOverlap="1" wp14:anchorId="09959D5D" wp14:editId="4BC2A31F">
          <wp:simplePos x="0" y="0"/>
          <wp:positionH relativeFrom="column">
            <wp:posOffset>-1086485</wp:posOffset>
          </wp:positionH>
          <wp:positionV relativeFrom="paragraph">
            <wp:posOffset>-9525</wp:posOffset>
          </wp:positionV>
          <wp:extent cx="381000" cy="219075"/>
          <wp:effectExtent l="0" t="0" r="0" b="9525"/>
          <wp:wrapNone/>
          <wp:docPr id="43" name="Picture 43"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i/>
        <w:color w:val="808080"/>
        <w:sz w:val="20"/>
      </w:rPr>
      <w:t>Preliminary Draft Report – Do Not Cite or Quote</w:t>
    </w:r>
    <w:r>
      <w:rPr>
        <w:rFonts w:ascii="Trebuchet MS" w:hAnsi="Trebuchet MS"/>
        <w:i/>
        <w:color w:val="808080"/>
        <w:sz w:val="20"/>
      </w:rPr>
      <w:br/>
      <w:t>October 3,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Header"/>
      <w:tabs>
        <w:tab w:val="left" w:pos="2250"/>
        <w:tab w:val="right" w:pos="7934"/>
      </w:tabs>
      <w:jc w:val="right"/>
      <w:rPr>
        <w:rFonts w:ascii="Trebuchet MS" w:hAnsi="Trebuchet MS"/>
        <w:i/>
        <w:color w:val="808080"/>
        <w:sz w:val="20"/>
      </w:rPr>
    </w:pPr>
    <w:r>
      <w:rPr>
        <w:noProof/>
      </w:rPr>
      <w:drawing>
        <wp:anchor distT="0" distB="0" distL="114300" distR="114300" simplePos="0" relativeHeight="251661312" behindDoc="1" locked="0" layoutInCell="1" allowOverlap="1" wp14:anchorId="0EE4C086" wp14:editId="78BA97D0">
          <wp:simplePos x="0" y="0"/>
          <wp:positionH relativeFrom="column">
            <wp:posOffset>71565</wp:posOffset>
          </wp:positionH>
          <wp:positionV relativeFrom="paragraph">
            <wp:posOffset>1905</wp:posOffset>
          </wp:positionV>
          <wp:extent cx="381000" cy="219075"/>
          <wp:effectExtent l="0" t="0" r="0" b="9525"/>
          <wp:wrapNone/>
          <wp:docPr id="49" name="Picture 49"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sz w:val="20"/>
      </w:rPr>
      <w:tab/>
    </w:r>
    <w:r>
      <w:rPr>
        <w:rFonts w:ascii="Trebuchet MS" w:hAnsi="Trebuchet MS"/>
        <w:sz w:val="20"/>
      </w:rPr>
      <w:tab/>
    </w:r>
    <w:r>
      <w:rPr>
        <w:rFonts w:ascii="Trebuchet MS" w:hAnsi="Trebuchet MS"/>
        <w:i/>
        <w:color w:val="808080"/>
        <w:sz w:val="20"/>
      </w:rP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63" w:rsidRDefault="00386463">
    <w:pPr>
      <w:pStyle w:val="Header"/>
      <w:tabs>
        <w:tab w:val="left" w:pos="2250"/>
        <w:tab w:val="right" w:pos="7934"/>
      </w:tabs>
      <w:jc w:val="right"/>
      <w:rPr>
        <w:rFonts w:ascii="Trebuchet MS" w:hAnsi="Trebuchet MS"/>
        <w:i/>
        <w:color w:val="808080"/>
        <w:sz w:val="20"/>
      </w:rPr>
    </w:pPr>
    <w:r>
      <w:rPr>
        <w:noProof/>
      </w:rPr>
      <w:drawing>
        <wp:anchor distT="0" distB="0" distL="114300" distR="114300" simplePos="0" relativeHeight="251660288" behindDoc="1" locked="0" layoutInCell="1" allowOverlap="1" wp14:anchorId="700251AF" wp14:editId="24048BCE">
          <wp:simplePos x="0" y="0"/>
          <wp:positionH relativeFrom="column">
            <wp:posOffset>-96965</wp:posOffset>
          </wp:positionH>
          <wp:positionV relativeFrom="paragraph">
            <wp:posOffset>-9525</wp:posOffset>
          </wp:positionV>
          <wp:extent cx="381000" cy="219075"/>
          <wp:effectExtent l="0" t="0" r="0" b="9525"/>
          <wp:wrapNone/>
          <wp:docPr id="53" name="Picture 53"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sz w:val="20"/>
      </w:rPr>
      <w:tab/>
    </w:r>
    <w:r>
      <w:rPr>
        <w:rFonts w:ascii="Trebuchet MS" w:hAnsi="Trebuchet MS"/>
        <w:sz w:val="20"/>
      </w:rPr>
      <w:tab/>
    </w:r>
    <w:r>
      <w:rPr>
        <w:rFonts w:ascii="Trebuchet MS" w:hAnsi="Trebuchet MS"/>
        <w:i/>
        <w:color w:val="808080"/>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914"/>
    <w:multiLevelType w:val="hybridMultilevel"/>
    <w:tmpl w:val="6C4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47C6"/>
    <w:multiLevelType w:val="hybridMultilevel"/>
    <w:tmpl w:val="76144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C60C2"/>
    <w:multiLevelType w:val="hybridMultilevel"/>
    <w:tmpl w:val="64B2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D5C84"/>
    <w:multiLevelType w:val="hybridMultilevel"/>
    <w:tmpl w:val="BF024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A4110B"/>
    <w:multiLevelType w:val="hybridMultilevel"/>
    <w:tmpl w:val="5F9A0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C0E1C"/>
    <w:multiLevelType w:val="hybridMultilevel"/>
    <w:tmpl w:val="0662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C7163"/>
    <w:multiLevelType w:val="hybridMultilevel"/>
    <w:tmpl w:val="485C6B9A"/>
    <w:lvl w:ilvl="0" w:tplc="6D782AA0">
      <w:start w:val="1"/>
      <w:numFmt w:val="bullet"/>
      <w:pStyle w:val="IEcBulletText"/>
      <w:lvlText w:val=""/>
      <w:lvlJc w:val="left"/>
      <w:pPr>
        <w:tabs>
          <w:tab w:val="num" w:pos="806"/>
        </w:tabs>
        <w:ind w:left="648" w:hanging="202"/>
      </w:pPr>
      <w:rPr>
        <w:rFonts w:ascii="Symbol" w:hAnsi="Symbol" w:hint="default"/>
        <w:position w:val="2"/>
        <w:sz w:val="16"/>
      </w:rPr>
    </w:lvl>
    <w:lvl w:ilvl="1" w:tplc="FFFFFFFF">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24C00A18"/>
    <w:multiLevelType w:val="hybridMultilevel"/>
    <w:tmpl w:val="47E0AFC2"/>
    <w:lvl w:ilvl="0" w:tplc="46989582">
      <w:start w:val="1"/>
      <w:numFmt w:val="bullet"/>
      <w:pStyle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264147EB"/>
    <w:multiLevelType w:val="hybridMultilevel"/>
    <w:tmpl w:val="929E50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4D7478"/>
    <w:multiLevelType w:val="hybridMultilevel"/>
    <w:tmpl w:val="6C4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06C37"/>
    <w:multiLevelType w:val="hybridMultilevel"/>
    <w:tmpl w:val="22E2B2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575884"/>
    <w:multiLevelType w:val="hybridMultilevel"/>
    <w:tmpl w:val="138C60BC"/>
    <w:lvl w:ilvl="0" w:tplc="493609DC">
      <w:start w:val="1"/>
      <w:numFmt w:val="decimal"/>
      <w:lvlText w:val="%1."/>
      <w:lvlJc w:val="left"/>
      <w:pPr>
        <w:ind w:left="12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E01DC"/>
    <w:multiLevelType w:val="hybridMultilevel"/>
    <w:tmpl w:val="C98CA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D36646"/>
    <w:multiLevelType w:val="hybridMultilevel"/>
    <w:tmpl w:val="063EC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A43BB2"/>
    <w:multiLevelType w:val="hybridMultilevel"/>
    <w:tmpl w:val="99F27398"/>
    <w:lvl w:ilvl="0" w:tplc="0409001B">
      <w:start w:val="1"/>
      <w:numFmt w:val="lowerRoman"/>
      <w:lvlText w:val="%1."/>
      <w:lvlJc w:val="righ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 w15:restartNumberingAfterBreak="0">
    <w:nsid w:val="6052061A"/>
    <w:multiLevelType w:val="hybridMultilevel"/>
    <w:tmpl w:val="6C4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A4623"/>
    <w:multiLevelType w:val="hybridMultilevel"/>
    <w:tmpl w:val="22E2B2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181078"/>
    <w:multiLevelType w:val="hybridMultilevel"/>
    <w:tmpl w:val="4D24D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CE3733"/>
    <w:multiLevelType w:val="hybridMultilevel"/>
    <w:tmpl w:val="B094CA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283293"/>
    <w:multiLevelType w:val="hybridMultilevel"/>
    <w:tmpl w:val="9716A11E"/>
    <w:lvl w:ilvl="0" w:tplc="7D98A364">
      <w:start w:val="1"/>
      <w:numFmt w:val="bullet"/>
      <w:lvlText w:val=""/>
      <w:lvlJc w:val="left"/>
      <w:pPr>
        <w:tabs>
          <w:tab w:val="num" w:pos="878"/>
        </w:tabs>
        <w:ind w:left="878"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0" w15:restartNumberingAfterBreak="0">
    <w:nsid w:val="7BA07BBD"/>
    <w:multiLevelType w:val="hybridMultilevel"/>
    <w:tmpl w:val="9B4AE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09099F"/>
    <w:multiLevelType w:val="hybridMultilevel"/>
    <w:tmpl w:val="7C4E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21"/>
  </w:num>
  <w:num w:numId="5">
    <w:abstractNumId w:val="0"/>
  </w:num>
  <w:num w:numId="6">
    <w:abstractNumId w:val="12"/>
  </w:num>
  <w:num w:numId="7">
    <w:abstractNumId w:val="3"/>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
  </w:num>
  <w:num w:numId="13">
    <w:abstractNumId w:val="7"/>
  </w:num>
  <w:num w:numId="14">
    <w:abstractNumId w:val="16"/>
  </w:num>
  <w:num w:numId="15">
    <w:abstractNumId w:val="10"/>
  </w:num>
  <w:num w:numId="16">
    <w:abstractNumId w:val="13"/>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19"/>
  </w:num>
  <w:num w:numId="19">
    <w:abstractNumId w:val="2"/>
  </w:num>
  <w:num w:numId="20">
    <w:abstractNumId w:val="20"/>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63"/>
    <w:rsid w:val="000D00A8"/>
    <w:rsid w:val="0038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E0C1D-0E6D-4BF8-BB37-4AD99EDA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463"/>
    <w:pPr>
      <w:spacing w:after="120" w:line="280" w:lineRule="exact"/>
    </w:pPr>
    <w:rPr>
      <w:rFonts w:ascii="Times New Roman" w:eastAsia="Times" w:hAnsi="Times New Roman" w:cs="Times New Roman"/>
      <w:szCs w:val="20"/>
    </w:rPr>
  </w:style>
  <w:style w:type="paragraph" w:styleId="Heading1">
    <w:name w:val="heading 1"/>
    <w:basedOn w:val="IEcHeadingAintext"/>
    <w:next w:val="Normal"/>
    <w:link w:val="Heading1Char"/>
    <w:qFormat/>
    <w:rsid w:val="00386463"/>
    <w:pPr>
      <w:keepNext/>
      <w:spacing w:before="360" w:after="120"/>
      <w:ind w:left="720" w:hanging="720"/>
      <w:outlineLvl w:val="0"/>
    </w:pPr>
  </w:style>
  <w:style w:type="paragraph" w:styleId="Heading2">
    <w:name w:val="heading 2"/>
    <w:basedOn w:val="Normal"/>
    <w:next w:val="Normal"/>
    <w:link w:val="Heading2Char"/>
    <w:qFormat/>
    <w:rsid w:val="00386463"/>
    <w:pPr>
      <w:keepNext/>
      <w:spacing w:before="240" w:line="290" w:lineRule="exact"/>
      <w:ind w:left="720" w:hanging="720"/>
      <w:outlineLvl w:val="1"/>
    </w:pPr>
    <w:rPr>
      <w:rFonts w:ascii="Trebuchet MS" w:hAnsi="Trebuchet MS"/>
      <w:b/>
      <w:caps/>
      <w:noProof/>
      <w:color w:val="003366"/>
      <w:spacing w:val="20"/>
      <w:kern w:val="8"/>
      <w:sz w:val="17"/>
    </w:rPr>
  </w:style>
  <w:style w:type="paragraph" w:styleId="Heading3">
    <w:name w:val="heading 3"/>
    <w:basedOn w:val="IEcHeadingC"/>
    <w:next w:val="Normal"/>
    <w:link w:val="Heading3Char"/>
    <w:qFormat/>
    <w:rsid w:val="00386463"/>
    <w:pPr>
      <w:keepNext/>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463"/>
    <w:rPr>
      <w:rFonts w:ascii="Trebuchet MS" w:eastAsia="Times" w:hAnsi="Trebuchet MS" w:cs="Times New Roman"/>
      <w:b/>
      <w:caps/>
      <w:noProof/>
      <w:color w:val="800000"/>
      <w:spacing w:val="20"/>
      <w:kern w:val="8"/>
      <w:sz w:val="17"/>
      <w:szCs w:val="20"/>
    </w:rPr>
  </w:style>
  <w:style w:type="character" w:customStyle="1" w:styleId="Heading2Char">
    <w:name w:val="Heading 2 Char"/>
    <w:basedOn w:val="DefaultParagraphFont"/>
    <w:link w:val="Heading2"/>
    <w:rsid w:val="00386463"/>
    <w:rPr>
      <w:rFonts w:ascii="Trebuchet MS" w:eastAsia="Times" w:hAnsi="Trebuchet MS" w:cs="Times New Roman"/>
      <w:b/>
      <w:caps/>
      <w:noProof/>
      <w:color w:val="003366"/>
      <w:spacing w:val="20"/>
      <w:kern w:val="8"/>
      <w:sz w:val="17"/>
      <w:szCs w:val="20"/>
    </w:rPr>
  </w:style>
  <w:style w:type="character" w:customStyle="1" w:styleId="Heading3Char">
    <w:name w:val="Heading 3 Char"/>
    <w:basedOn w:val="DefaultParagraphFont"/>
    <w:link w:val="Heading3"/>
    <w:rsid w:val="00386463"/>
    <w:rPr>
      <w:rFonts w:ascii="Trebuchet MS" w:eastAsia="Times" w:hAnsi="Trebuchet MS" w:cs="Times New Roman"/>
      <w:noProof/>
      <w:color w:val="003366"/>
      <w:spacing w:val="20"/>
      <w:kern w:val="8"/>
      <w:sz w:val="16"/>
      <w:szCs w:val="20"/>
    </w:rPr>
  </w:style>
  <w:style w:type="paragraph" w:customStyle="1" w:styleId="IEcNormalText">
    <w:name w:val="IEc Normal Text"/>
    <w:basedOn w:val="Normal"/>
    <w:link w:val="IEcNormalTextChar"/>
    <w:qFormat/>
    <w:rsid w:val="00386463"/>
    <w:pPr>
      <w:spacing w:line="290" w:lineRule="exact"/>
    </w:pPr>
  </w:style>
  <w:style w:type="character" w:customStyle="1" w:styleId="IEcNormalTextChar">
    <w:name w:val="IEc Normal Text Char"/>
    <w:link w:val="IEcNormalText"/>
    <w:rsid w:val="00386463"/>
    <w:rPr>
      <w:rFonts w:ascii="Times New Roman" w:eastAsia="Times" w:hAnsi="Times New Roman" w:cs="Times New Roman"/>
      <w:szCs w:val="20"/>
    </w:rPr>
  </w:style>
  <w:style w:type="paragraph" w:customStyle="1" w:styleId="IEcHeadingAintext">
    <w:name w:val="IEc Heading A in text"/>
    <w:basedOn w:val="Normal"/>
    <w:qFormat/>
    <w:rsid w:val="00386463"/>
    <w:pPr>
      <w:spacing w:after="0" w:line="290" w:lineRule="exact"/>
    </w:pPr>
    <w:rPr>
      <w:rFonts w:ascii="Trebuchet MS" w:hAnsi="Trebuchet MS"/>
      <w:b/>
      <w:caps/>
      <w:noProof/>
      <w:color w:val="800000"/>
      <w:spacing w:val="20"/>
      <w:kern w:val="8"/>
      <w:sz w:val="17"/>
    </w:rPr>
  </w:style>
  <w:style w:type="paragraph" w:customStyle="1" w:styleId="IEcHeadingB">
    <w:name w:val="IEc Heading B"/>
    <w:basedOn w:val="IEcExhibitTitle"/>
    <w:qFormat/>
    <w:rsid w:val="00386463"/>
    <w:pPr>
      <w:spacing w:before="240" w:after="0"/>
    </w:pPr>
  </w:style>
  <w:style w:type="paragraph" w:customStyle="1" w:styleId="IEcExhibitTitle">
    <w:name w:val="IEc Exhibit Title"/>
    <w:basedOn w:val="Normal"/>
    <w:link w:val="IEcExhibitTitleChar"/>
    <w:rsid w:val="00386463"/>
    <w:pPr>
      <w:spacing w:after="240" w:line="290" w:lineRule="exact"/>
      <w:ind w:hanging="1440"/>
    </w:pPr>
    <w:rPr>
      <w:rFonts w:ascii="Trebuchet MS" w:hAnsi="Trebuchet MS"/>
      <w:b/>
      <w:caps/>
      <w:noProof/>
      <w:color w:val="003366"/>
      <w:spacing w:val="20"/>
      <w:kern w:val="8"/>
      <w:sz w:val="17"/>
    </w:rPr>
  </w:style>
  <w:style w:type="character" w:customStyle="1" w:styleId="IEcExhibitTitleChar">
    <w:name w:val="IEc Exhibit Title Char"/>
    <w:link w:val="IEcExhibitTitle"/>
    <w:rsid w:val="00386463"/>
    <w:rPr>
      <w:rFonts w:ascii="Trebuchet MS" w:eastAsia="Times" w:hAnsi="Trebuchet MS" w:cs="Times New Roman"/>
      <w:b/>
      <w:caps/>
      <w:noProof/>
      <w:color w:val="003366"/>
      <w:spacing w:val="20"/>
      <w:kern w:val="8"/>
      <w:sz w:val="17"/>
      <w:szCs w:val="20"/>
    </w:rPr>
  </w:style>
  <w:style w:type="paragraph" w:customStyle="1" w:styleId="IEcHeadingC">
    <w:name w:val="IEc Heading C"/>
    <w:basedOn w:val="IEcExhibitTitle"/>
    <w:qFormat/>
    <w:rsid w:val="00386463"/>
    <w:pPr>
      <w:spacing w:before="240" w:after="0"/>
    </w:pPr>
    <w:rPr>
      <w:b w:val="0"/>
      <w:caps w:val="0"/>
    </w:rPr>
  </w:style>
  <w:style w:type="paragraph" w:customStyle="1" w:styleId="IEcHeadingACallout">
    <w:name w:val="IEc Heading A Callout"/>
    <w:basedOn w:val="Normal"/>
    <w:rsid w:val="00386463"/>
    <w:pPr>
      <w:spacing w:after="0" w:line="290" w:lineRule="exact"/>
      <w:jc w:val="right"/>
    </w:pPr>
    <w:rPr>
      <w:rFonts w:ascii="Trebuchet MS" w:hAnsi="Trebuchet MS"/>
      <w:b/>
      <w:caps/>
      <w:noProof/>
      <w:color w:val="800000"/>
      <w:spacing w:val="20"/>
      <w:kern w:val="8"/>
      <w:sz w:val="17"/>
    </w:rPr>
  </w:style>
  <w:style w:type="paragraph" w:customStyle="1" w:styleId="IEcFooterText">
    <w:name w:val="IEc Footer Text"/>
    <w:basedOn w:val="Normal"/>
    <w:rsid w:val="00386463"/>
    <w:pPr>
      <w:tabs>
        <w:tab w:val="left" w:pos="1440"/>
      </w:tabs>
      <w:spacing w:line="240" w:lineRule="exact"/>
      <w:ind w:left="43" w:right="101" w:hanging="2448"/>
    </w:pPr>
    <w:rPr>
      <w:rFonts w:ascii="Trebuchet MS" w:hAnsi="Trebuchet MS"/>
      <w:color w:val="808080"/>
      <w:sz w:val="14"/>
    </w:rPr>
  </w:style>
  <w:style w:type="paragraph" w:customStyle="1" w:styleId="IEcCoverTitle">
    <w:name w:val="IEc Cover Title"/>
    <w:basedOn w:val="Normal"/>
    <w:rsid w:val="00386463"/>
    <w:pPr>
      <w:keepNext/>
      <w:spacing w:line="400" w:lineRule="exact"/>
      <w:ind w:left="1080"/>
      <w:outlineLvl w:val="0"/>
    </w:pPr>
    <w:rPr>
      <w:rFonts w:ascii="Trebuchet MS" w:hAnsi="Trebuchet MS"/>
      <w:color w:val="003366"/>
      <w:spacing w:val="20"/>
      <w:kern w:val="8"/>
      <w:sz w:val="26"/>
    </w:rPr>
  </w:style>
  <w:style w:type="paragraph" w:customStyle="1" w:styleId="IEcFootnoteText">
    <w:name w:val="IEc Footnote Text"/>
    <w:basedOn w:val="Normal"/>
    <w:link w:val="IEcFootnoteTextChar"/>
    <w:qFormat/>
    <w:rsid w:val="00386463"/>
    <w:pPr>
      <w:spacing w:line="220" w:lineRule="exact"/>
      <w:ind w:left="86" w:hanging="86"/>
    </w:pPr>
    <w:rPr>
      <w:rFonts w:ascii="Trebuchet MS" w:hAnsi="Trebuchet MS"/>
      <w:sz w:val="14"/>
    </w:rPr>
  </w:style>
  <w:style w:type="character" w:customStyle="1" w:styleId="IEcFootnoteTextChar">
    <w:name w:val="IEc Footnote Text Char"/>
    <w:link w:val="IEcFootnoteText"/>
    <w:rsid w:val="00386463"/>
    <w:rPr>
      <w:rFonts w:ascii="Trebuchet MS" w:eastAsia="Times" w:hAnsi="Trebuchet MS" w:cs="Times New Roman"/>
      <w:sz w:val="14"/>
      <w:szCs w:val="20"/>
    </w:rPr>
  </w:style>
  <w:style w:type="character" w:customStyle="1" w:styleId="IEcTOCPage">
    <w:name w:val="IEc TOC Page #"/>
    <w:rsid w:val="00386463"/>
    <w:rPr>
      <w:rFonts w:ascii="Trebuchet MS" w:hAnsi="Trebuchet MS"/>
      <w:i/>
      <w:color w:val="003366"/>
      <w:sz w:val="16"/>
    </w:rPr>
  </w:style>
  <w:style w:type="paragraph" w:customStyle="1" w:styleId="IEcChapterHead">
    <w:name w:val="IEc Chapter Head"/>
    <w:basedOn w:val="Normal"/>
    <w:rsid w:val="00386463"/>
    <w:pPr>
      <w:keepNext/>
      <w:spacing w:after="1800" w:line="290" w:lineRule="exact"/>
      <w:outlineLvl w:val="0"/>
    </w:pPr>
    <w:rPr>
      <w:rFonts w:ascii="Trebuchet MS" w:hAnsi="Trebuchet MS"/>
      <w:b/>
      <w:caps/>
      <w:spacing w:val="20"/>
      <w:kern w:val="8"/>
    </w:rPr>
  </w:style>
  <w:style w:type="paragraph" w:customStyle="1" w:styleId="IEcFootnoteReference">
    <w:name w:val="IEc Footnote Reference"/>
    <w:basedOn w:val="IEcFootnoteText"/>
    <w:rsid w:val="00386463"/>
    <w:rPr>
      <w:position w:val="6"/>
    </w:rPr>
  </w:style>
  <w:style w:type="character" w:customStyle="1" w:styleId="IEcTextBold">
    <w:name w:val="IEc Text Bold"/>
    <w:rsid w:val="00386463"/>
    <w:rPr>
      <w:rFonts w:ascii="Times New Roman" w:hAnsi="Times New Roman"/>
      <w:b/>
      <w:dstrike w:val="0"/>
      <w:color w:val="auto"/>
      <w:sz w:val="21"/>
      <w:u w:val="none"/>
      <w:vertAlign w:val="baseline"/>
    </w:rPr>
  </w:style>
  <w:style w:type="paragraph" w:styleId="Header">
    <w:name w:val="header"/>
    <w:basedOn w:val="Normal"/>
    <w:link w:val="HeaderChar"/>
    <w:uiPriority w:val="99"/>
    <w:rsid w:val="00386463"/>
    <w:pPr>
      <w:tabs>
        <w:tab w:val="center" w:pos="4320"/>
        <w:tab w:val="right" w:pos="8640"/>
      </w:tabs>
    </w:pPr>
  </w:style>
  <w:style w:type="character" w:customStyle="1" w:styleId="HeaderChar">
    <w:name w:val="Header Char"/>
    <w:basedOn w:val="DefaultParagraphFont"/>
    <w:link w:val="Header"/>
    <w:uiPriority w:val="99"/>
    <w:rsid w:val="00386463"/>
    <w:rPr>
      <w:rFonts w:ascii="Times New Roman" w:eastAsia="Times" w:hAnsi="Times New Roman" w:cs="Times New Roman"/>
      <w:szCs w:val="20"/>
    </w:rPr>
  </w:style>
  <w:style w:type="paragraph" w:customStyle="1" w:styleId="IEcBulletText">
    <w:name w:val="IEc Bullet Text"/>
    <w:basedOn w:val="Normal"/>
    <w:link w:val="IEcBulletTextChar"/>
    <w:rsid w:val="00386463"/>
    <w:pPr>
      <w:numPr>
        <w:numId w:val="1"/>
      </w:numPr>
      <w:tabs>
        <w:tab w:val="clear" w:pos="806"/>
      </w:tabs>
      <w:spacing w:line="290" w:lineRule="exact"/>
    </w:pPr>
  </w:style>
  <w:style w:type="character" w:customStyle="1" w:styleId="IEcBulletTextChar">
    <w:name w:val="IEc Bullet Text Char"/>
    <w:link w:val="IEcBulletText"/>
    <w:rsid w:val="00386463"/>
    <w:rPr>
      <w:rFonts w:ascii="Times New Roman" w:eastAsia="Times" w:hAnsi="Times New Roman" w:cs="Times New Roman"/>
      <w:szCs w:val="20"/>
    </w:rPr>
  </w:style>
  <w:style w:type="paragraph" w:customStyle="1" w:styleId="IECCoverDate">
    <w:name w:val="IEC Cover Date"/>
    <w:basedOn w:val="Normal"/>
    <w:rsid w:val="00386463"/>
    <w:pPr>
      <w:keepNext/>
      <w:spacing w:line="320" w:lineRule="exact"/>
      <w:ind w:left="1138" w:right="7"/>
      <w:outlineLvl w:val="0"/>
    </w:pPr>
    <w:rPr>
      <w:rFonts w:ascii="Trebuchet MS" w:hAnsi="Trebuchet MS"/>
      <w:color w:val="607C8C"/>
      <w:kern w:val="8"/>
      <w:sz w:val="24"/>
    </w:rPr>
  </w:style>
  <w:style w:type="paragraph" w:customStyle="1" w:styleId="IECCoverPrepared">
    <w:name w:val="IEC Cover Prepared"/>
    <w:basedOn w:val="Normal"/>
    <w:rsid w:val="00386463"/>
    <w:rPr>
      <w:rFonts w:ascii="Trebuchet MS" w:hAnsi="Trebuchet MS"/>
      <w:color w:val="808080"/>
      <w:sz w:val="16"/>
    </w:rPr>
  </w:style>
  <w:style w:type="paragraph" w:customStyle="1" w:styleId="IECTOCHead">
    <w:name w:val="IEC TOC Head"/>
    <w:basedOn w:val="Normal"/>
    <w:rsid w:val="00386463"/>
    <w:pPr>
      <w:spacing w:after="0" w:line="320" w:lineRule="exact"/>
    </w:pPr>
    <w:rPr>
      <w:rFonts w:ascii="Trebuchet MS" w:hAnsi="Trebuchet MS"/>
      <w:b/>
      <w:caps/>
      <w:noProof/>
      <w:spacing w:val="20"/>
      <w:kern w:val="8"/>
    </w:rPr>
  </w:style>
  <w:style w:type="paragraph" w:customStyle="1" w:styleId="IEcTOCChapterTitle">
    <w:name w:val="IEc TOC Chapter Title"/>
    <w:basedOn w:val="Normal"/>
    <w:rsid w:val="00386463"/>
    <w:pPr>
      <w:spacing w:after="0" w:line="320" w:lineRule="exact"/>
    </w:pPr>
    <w:rPr>
      <w:rFonts w:ascii="Trebuchet MS" w:hAnsi="Trebuchet MS"/>
      <w:b/>
      <w:caps/>
      <w:noProof/>
      <w:color w:val="003366"/>
      <w:spacing w:val="20"/>
      <w:kern w:val="8"/>
      <w:sz w:val="20"/>
    </w:rPr>
  </w:style>
  <w:style w:type="paragraph" w:customStyle="1" w:styleId="IEcTOCChapter">
    <w:name w:val="IEc TOC Chapter #"/>
    <w:basedOn w:val="Normal"/>
    <w:rsid w:val="00386463"/>
    <w:pPr>
      <w:spacing w:line="320" w:lineRule="exact"/>
      <w:jc w:val="right"/>
    </w:pPr>
    <w:rPr>
      <w:rFonts w:ascii="Trebuchet MS" w:hAnsi="Trebuchet MS"/>
      <w:b/>
      <w:caps/>
      <w:noProof/>
      <w:color w:val="800000"/>
      <w:spacing w:val="20"/>
      <w:kern w:val="8"/>
      <w:sz w:val="20"/>
    </w:rPr>
  </w:style>
  <w:style w:type="paragraph" w:customStyle="1" w:styleId="IEcTOCLevelA">
    <w:name w:val="IEc TOC Level A"/>
    <w:basedOn w:val="Normal"/>
    <w:rsid w:val="00386463"/>
    <w:pPr>
      <w:tabs>
        <w:tab w:val="left" w:pos="259"/>
      </w:tabs>
      <w:spacing w:after="0" w:line="320" w:lineRule="exact"/>
    </w:pPr>
    <w:rPr>
      <w:color w:val="808080"/>
    </w:rPr>
  </w:style>
  <w:style w:type="paragraph" w:customStyle="1" w:styleId="IEcTOCLevelB">
    <w:name w:val="IEc TOC Level B"/>
    <w:basedOn w:val="Normal"/>
    <w:rsid w:val="00386463"/>
    <w:pPr>
      <w:tabs>
        <w:tab w:val="left" w:pos="259"/>
        <w:tab w:val="left" w:pos="1800"/>
      </w:tabs>
      <w:spacing w:after="0" w:line="320" w:lineRule="exact"/>
    </w:pPr>
    <w:rPr>
      <w:color w:val="808080"/>
      <w:sz w:val="19"/>
    </w:rPr>
  </w:style>
  <w:style w:type="paragraph" w:customStyle="1" w:styleId="IEcExhibitCallout">
    <w:name w:val="IEc Exhibit # Callout"/>
    <w:basedOn w:val="Normal"/>
    <w:rsid w:val="00386463"/>
    <w:pPr>
      <w:spacing w:after="0" w:line="290" w:lineRule="exact"/>
      <w:jc w:val="right"/>
    </w:pPr>
    <w:rPr>
      <w:rFonts w:ascii="Trebuchet MS" w:hAnsi="Trebuchet MS"/>
      <w:b/>
      <w:caps/>
      <w:color w:val="003366"/>
      <w:spacing w:val="20"/>
      <w:kern w:val="8"/>
      <w:sz w:val="17"/>
    </w:rPr>
  </w:style>
  <w:style w:type="paragraph" w:customStyle="1" w:styleId="IEcTextboxText">
    <w:name w:val="IEc Textbox Text"/>
    <w:basedOn w:val="Normal"/>
    <w:rsid w:val="00386463"/>
    <w:pPr>
      <w:spacing w:line="290" w:lineRule="exact"/>
      <w:ind w:left="792" w:right="346"/>
    </w:pPr>
    <w:rPr>
      <w:rFonts w:ascii="Trebuchet MS" w:hAnsi="Trebuchet MS"/>
      <w:sz w:val="20"/>
    </w:rPr>
  </w:style>
  <w:style w:type="paragraph" w:customStyle="1" w:styleId="IEcTextboxFooter">
    <w:name w:val="IEc Textbox Footer"/>
    <w:basedOn w:val="Normal"/>
    <w:rsid w:val="00386463"/>
    <w:pPr>
      <w:spacing w:line="220" w:lineRule="exact"/>
      <w:ind w:left="792" w:right="374"/>
    </w:pPr>
    <w:rPr>
      <w:rFonts w:ascii="Trebuchet MS" w:hAnsi="Trebuchet MS"/>
      <w:sz w:val="14"/>
    </w:rPr>
  </w:style>
  <w:style w:type="paragraph" w:customStyle="1" w:styleId="IEcPage">
    <w:name w:val="IEc Page #"/>
    <w:basedOn w:val="IEcFooterText"/>
    <w:rsid w:val="00386463"/>
    <w:pPr>
      <w:tabs>
        <w:tab w:val="left" w:pos="2340"/>
      </w:tabs>
    </w:pPr>
    <w:rPr>
      <w:color w:val="800000"/>
      <w:sz w:val="17"/>
    </w:rPr>
  </w:style>
  <w:style w:type="paragraph" w:styleId="Footer">
    <w:name w:val="footer"/>
    <w:basedOn w:val="Normal"/>
    <w:link w:val="FooterChar"/>
    <w:uiPriority w:val="99"/>
    <w:rsid w:val="00386463"/>
    <w:pPr>
      <w:tabs>
        <w:tab w:val="center" w:pos="4320"/>
        <w:tab w:val="right" w:pos="8640"/>
      </w:tabs>
    </w:pPr>
  </w:style>
  <w:style w:type="character" w:customStyle="1" w:styleId="FooterChar">
    <w:name w:val="Footer Char"/>
    <w:basedOn w:val="DefaultParagraphFont"/>
    <w:link w:val="Footer"/>
    <w:uiPriority w:val="99"/>
    <w:rsid w:val="00386463"/>
    <w:rPr>
      <w:rFonts w:ascii="Times New Roman" w:eastAsia="Times" w:hAnsi="Times New Roman" w:cs="Times New Roman"/>
      <w:szCs w:val="20"/>
    </w:rPr>
  </w:style>
  <w:style w:type="paragraph" w:customStyle="1" w:styleId="IEcChartSubHead">
    <w:name w:val="IEc Chart SubHead"/>
    <w:basedOn w:val="Normal"/>
    <w:rsid w:val="00386463"/>
    <w:pPr>
      <w:spacing w:before="80" w:after="40" w:line="220" w:lineRule="exact"/>
    </w:pPr>
    <w:rPr>
      <w:rFonts w:ascii="Trebuchet MS" w:hAnsi="Trebuchet MS"/>
      <w:b/>
      <w:caps/>
      <w:sz w:val="15"/>
    </w:rPr>
  </w:style>
  <w:style w:type="paragraph" w:customStyle="1" w:styleId="IEcChartText">
    <w:name w:val="IEc Chart Text"/>
    <w:basedOn w:val="Normal"/>
    <w:link w:val="IEcChartTextChar"/>
    <w:rsid w:val="00386463"/>
    <w:pPr>
      <w:spacing w:before="20" w:after="20" w:line="240" w:lineRule="auto"/>
    </w:pPr>
    <w:rPr>
      <w:rFonts w:ascii="Trebuchet MS" w:hAnsi="Trebuchet MS"/>
      <w:sz w:val="18"/>
    </w:rPr>
  </w:style>
  <w:style w:type="character" w:customStyle="1" w:styleId="IEcChartTextChar">
    <w:name w:val="IEc Chart Text Char"/>
    <w:link w:val="IEcChartText"/>
    <w:rsid w:val="00386463"/>
    <w:rPr>
      <w:rFonts w:ascii="Trebuchet MS" w:eastAsia="Times" w:hAnsi="Trebuchet MS" w:cs="Times New Roman"/>
      <w:sz w:val="18"/>
      <w:szCs w:val="20"/>
    </w:rPr>
  </w:style>
  <w:style w:type="paragraph" w:customStyle="1" w:styleId="IEcChartSubHeadGrey">
    <w:name w:val="IEc Chart SubHead Grey"/>
    <w:basedOn w:val="IEcChartSubHead"/>
    <w:rsid w:val="00386463"/>
    <w:rPr>
      <w:color w:val="808080"/>
    </w:rPr>
  </w:style>
  <w:style w:type="paragraph" w:customStyle="1" w:styleId="IEcChartHeading">
    <w:name w:val="IEc Chart Heading"/>
    <w:basedOn w:val="Normal"/>
    <w:rsid w:val="00386463"/>
    <w:pPr>
      <w:keepNext/>
      <w:spacing w:before="120" w:line="290" w:lineRule="exact"/>
      <w:outlineLvl w:val="0"/>
    </w:pPr>
    <w:rPr>
      <w:rFonts w:ascii="Trebuchet MS" w:hAnsi="Trebuchet MS"/>
      <w:b/>
      <w:caps/>
      <w:color w:val="003366"/>
      <w:sz w:val="17"/>
    </w:rPr>
  </w:style>
  <w:style w:type="paragraph" w:customStyle="1" w:styleId="IEcAlternativeHeadingB">
    <w:name w:val="IEc Alternative Heading B"/>
    <w:basedOn w:val="IEcHeadingB"/>
    <w:rsid w:val="00386463"/>
    <w:rPr>
      <w:caps w:val="0"/>
    </w:rPr>
  </w:style>
  <w:style w:type="character" w:customStyle="1" w:styleId="IEcHeaderText">
    <w:name w:val="IEc Header Text"/>
    <w:rsid w:val="00386463"/>
    <w:rPr>
      <w:rFonts w:ascii="Trebuchet MS" w:hAnsi="Trebuchet MS"/>
      <w:color w:val="808080"/>
      <w:sz w:val="20"/>
    </w:rPr>
  </w:style>
  <w:style w:type="paragraph" w:customStyle="1" w:styleId="IECREFHead">
    <w:name w:val="IEC REF Head"/>
    <w:basedOn w:val="IECTOCHead"/>
    <w:rsid w:val="00386463"/>
    <w:pPr>
      <w:spacing w:before="240" w:after="600"/>
    </w:pPr>
  </w:style>
  <w:style w:type="paragraph" w:customStyle="1" w:styleId="IEcRefText">
    <w:name w:val="IEc Ref Text"/>
    <w:basedOn w:val="IEcNormalText"/>
    <w:rsid w:val="00386463"/>
    <w:pPr>
      <w:ind w:left="432" w:hanging="432"/>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IEcFootnoteText"/>
    <w:link w:val="FootnoteTextChar"/>
    <w:rsid w:val="00386463"/>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386463"/>
    <w:rPr>
      <w:rFonts w:ascii="Trebuchet MS" w:eastAsia="Times" w:hAnsi="Trebuchet MS" w:cs="Times New Roman"/>
      <w:sz w:val="14"/>
      <w:szCs w:val="20"/>
    </w:rPr>
  </w:style>
  <w:style w:type="character" w:styleId="FootnoteReference">
    <w:name w:val="footnote reference"/>
    <w:rsid w:val="00386463"/>
    <w:rPr>
      <w:position w:val="6"/>
      <w:vertAlign w:val="superscript"/>
    </w:rPr>
  </w:style>
  <w:style w:type="paragraph" w:styleId="BodyTextIndent">
    <w:name w:val="Body Text Indent"/>
    <w:basedOn w:val="Normal"/>
    <w:link w:val="BodyTextIndentChar"/>
    <w:rsid w:val="00386463"/>
    <w:pPr>
      <w:spacing w:after="240" w:line="240" w:lineRule="auto"/>
      <w:ind w:firstLine="720"/>
      <w:jc w:val="both"/>
    </w:pPr>
    <w:rPr>
      <w:rFonts w:eastAsia="Times New Roman"/>
      <w:sz w:val="24"/>
    </w:rPr>
  </w:style>
  <w:style w:type="character" w:customStyle="1" w:styleId="BodyTextIndentChar">
    <w:name w:val="Body Text Indent Char"/>
    <w:basedOn w:val="DefaultParagraphFont"/>
    <w:link w:val="BodyTextIndent"/>
    <w:rsid w:val="00386463"/>
    <w:rPr>
      <w:rFonts w:ascii="Times New Roman" w:eastAsia="Times New Roman" w:hAnsi="Times New Roman" w:cs="Times New Roman"/>
      <w:sz w:val="24"/>
      <w:szCs w:val="20"/>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386463"/>
    <w:pPr>
      <w:spacing w:after="0" w:line="240" w:lineRule="auto"/>
      <w:ind w:left="720"/>
    </w:pPr>
    <w:rPr>
      <w:rFonts w:eastAsia="Times New Roman"/>
      <w:sz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386463"/>
    <w:rPr>
      <w:rFonts w:ascii="Times New Roman" w:eastAsia="Times New Roman" w:hAnsi="Times New Roman" w:cs="Times New Roman"/>
      <w:sz w:val="24"/>
      <w:szCs w:val="20"/>
    </w:rPr>
  </w:style>
  <w:style w:type="paragraph" w:styleId="BalloonText">
    <w:name w:val="Balloon Text"/>
    <w:basedOn w:val="Normal"/>
    <w:link w:val="BalloonTextChar"/>
    <w:rsid w:val="00386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86463"/>
    <w:rPr>
      <w:rFonts w:ascii="Tahoma" w:eastAsia="Times" w:hAnsi="Tahoma" w:cs="Tahoma"/>
      <w:sz w:val="16"/>
      <w:szCs w:val="16"/>
    </w:rPr>
  </w:style>
  <w:style w:type="character" w:styleId="CommentReference">
    <w:name w:val="annotation reference"/>
    <w:basedOn w:val="DefaultParagraphFont"/>
    <w:uiPriority w:val="99"/>
    <w:rsid w:val="00386463"/>
    <w:rPr>
      <w:sz w:val="16"/>
      <w:szCs w:val="16"/>
    </w:rPr>
  </w:style>
  <w:style w:type="paragraph" w:styleId="CommentText">
    <w:name w:val="annotation text"/>
    <w:basedOn w:val="Normal"/>
    <w:link w:val="CommentTextChar"/>
    <w:uiPriority w:val="99"/>
    <w:rsid w:val="00386463"/>
    <w:pPr>
      <w:spacing w:line="240" w:lineRule="auto"/>
    </w:pPr>
    <w:rPr>
      <w:sz w:val="20"/>
    </w:rPr>
  </w:style>
  <w:style w:type="character" w:customStyle="1" w:styleId="CommentTextChar">
    <w:name w:val="Comment Text Char"/>
    <w:basedOn w:val="DefaultParagraphFont"/>
    <w:link w:val="CommentText"/>
    <w:uiPriority w:val="99"/>
    <w:rsid w:val="00386463"/>
    <w:rPr>
      <w:rFonts w:ascii="Times New Roman" w:eastAsia="Times" w:hAnsi="Times New Roman" w:cs="Times New Roman"/>
      <w:sz w:val="20"/>
      <w:szCs w:val="20"/>
    </w:rPr>
  </w:style>
  <w:style w:type="paragraph" w:styleId="CommentSubject">
    <w:name w:val="annotation subject"/>
    <w:basedOn w:val="CommentText"/>
    <w:next w:val="CommentText"/>
    <w:link w:val="CommentSubjectChar"/>
    <w:rsid w:val="00386463"/>
    <w:rPr>
      <w:b/>
      <w:bCs/>
    </w:rPr>
  </w:style>
  <w:style w:type="character" w:customStyle="1" w:styleId="CommentSubjectChar">
    <w:name w:val="Comment Subject Char"/>
    <w:basedOn w:val="CommentTextChar"/>
    <w:link w:val="CommentSubject"/>
    <w:rsid w:val="00386463"/>
    <w:rPr>
      <w:rFonts w:ascii="Times New Roman" w:eastAsia="Times" w:hAnsi="Times New Roman" w:cs="Times New Roman"/>
      <w:b/>
      <w:bCs/>
      <w:sz w:val="20"/>
      <w:szCs w:val="20"/>
    </w:rPr>
  </w:style>
  <w:style w:type="character" w:styleId="Hyperlink">
    <w:name w:val="Hyperlink"/>
    <w:basedOn w:val="DefaultParagraphFont"/>
    <w:unhideWhenUsed/>
    <w:rsid w:val="00386463"/>
    <w:rPr>
      <w:color w:val="0563C1" w:themeColor="hyperlink"/>
      <w:u w:val="single"/>
    </w:rPr>
  </w:style>
  <w:style w:type="character" w:styleId="FollowedHyperlink">
    <w:name w:val="FollowedHyperlink"/>
    <w:basedOn w:val="DefaultParagraphFont"/>
    <w:semiHidden/>
    <w:unhideWhenUsed/>
    <w:rsid w:val="00386463"/>
    <w:rPr>
      <w:color w:val="954F72" w:themeColor="followedHyperlink"/>
      <w:u w:val="single"/>
    </w:rPr>
  </w:style>
  <w:style w:type="paragraph" w:styleId="Revision">
    <w:name w:val="Revision"/>
    <w:hidden/>
    <w:uiPriority w:val="99"/>
    <w:semiHidden/>
    <w:rsid w:val="00386463"/>
    <w:pPr>
      <w:spacing w:after="0" w:line="240" w:lineRule="auto"/>
    </w:pPr>
    <w:rPr>
      <w:rFonts w:ascii="Times New Roman" w:eastAsia="Times" w:hAnsi="Times New Roman" w:cs="Times New Roman"/>
      <w:szCs w:val="20"/>
    </w:rPr>
  </w:style>
  <w:style w:type="paragraph" w:customStyle="1" w:styleId="Heading3under2">
    <w:name w:val="Heading 3 under 2"/>
    <w:basedOn w:val="Normal"/>
    <w:next w:val="BodyTextIndent"/>
    <w:rsid w:val="00386463"/>
    <w:pPr>
      <w:keepNext/>
      <w:spacing w:after="240"/>
      <w:ind w:left="360" w:hanging="360"/>
    </w:pPr>
    <w:rPr>
      <w:b/>
      <w:sz w:val="24"/>
    </w:rPr>
  </w:style>
  <w:style w:type="character" w:customStyle="1" w:styleId="IEcFootnoteTextChar3">
    <w:name w:val="IEc Footnote Text Char3"/>
    <w:rsid w:val="00386463"/>
    <w:rPr>
      <w:rFonts w:ascii="Trebuchet MS" w:hAnsi="Trebuchet MS"/>
      <w:sz w:val="14"/>
    </w:rPr>
  </w:style>
  <w:style w:type="table" w:styleId="TableGrid">
    <w:name w:val="Table Grid"/>
    <w:basedOn w:val="TableNormal"/>
    <w:rsid w:val="00386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6463"/>
    <w:pPr>
      <w:spacing w:before="100" w:beforeAutospacing="1" w:after="100" w:afterAutospacing="1" w:line="240" w:lineRule="auto"/>
    </w:pPr>
    <w:rPr>
      <w:rFonts w:eastAsiaTheme="minorEastAsia"/>
      <w:sz w:val="24"/>
      <w:szCs w:val="24"/>
    </w:rPr>
  </w:style>
  <w:style w:type="paragraph" w:customStyle="1" w:styleId="par">
    <w:name w:val="par"/>
    <w:basedOn w:val="Normal"/>
    <w:link w:val="parChar"/>
    <w:qFormat/>
    <w:rsid w:val="00386463"/>
    <w:pPr>
      <w:spacing w:after="200" w:line="276" w:lineRule="auto"/>
    </w:pPr>
    <w:rPr>
      <w:rFonts w:eastAsia="Calibri"/>
      <w:szCs w:val="22"/>
    </w:rPr>
  </w:style>
  <w:style w:type="character" w:customStyle="1" w:styleId="parChar">
    <w:name w:val="par Char"/>
    <w:basedOn w:val="DefaultParagraphFont"/>
    <w:link w:val="par"/>
    <w:rsid w:val="00386463"/>
    <w:rPr>
      <w:rFonts w:ascii="Times New Roman" w:eastAsia="Calibri" w:hAnsi="Times New Roman" w:cs="Times New Roman"/>
    </w:rPr>
  </w:style>
  <w:style w:type="paragraph" w:customStyle="1" w:styleId="para">
    <w:name w:val="para"/>
    <w:basedOn w:val="Normal"/>
    <w:link w:val="paraChar"/>
    <w:qFormat/>
    <w:rsid w:val="00386463"/>
    <w:pPr>
      <w:spacing w:line="276" w:lineRule="auto"/>
      <w:ind w:firstLine="720"/>
    </w:pPr>
    <w:rPr>
      <w:sz w:val="24"/>
      <w:szCs w:val="24"/>
    </w:rPr>
  </w:style>
  <w:style w:type="character" w:customStyle="1" w:styleId="paraChar">
    <w:name w:val="para Char"/>
    <w:basedOn w:val="DefaultParagraphFont"/>
    <w:link w:val="para"/>
    <w:rsid w:val="00386463"/>
    <w:rPr>
      <w:rFonts w:ascii="Times New Roman" w:eastAsia="Times" w:hAnsi="Times New Roman" w:cs="Times New Roman"/>
      <w:sz w:val="24"/>
      <w:szCs w:val="24"/>
    </w:rPr>
  </w:style>
  <w:style w:type="paragraph" w:customStyle="1" w:styleId="bullet">
    <w:name w:val="bullet"/>
    <w:basedOn w:val="ListParagraph"/>
    <w:link w:val="bulletChar"/>
    <w:qFormat/>
    <w:rsid w:val="00386463"/>
    <w:pPr>
      <w:numPr>
        <w:numId w:val="13"/>
      </w:numPr>
      <w:spacing w:after="120" w:line="276" w:lineRule="auto"/>
      <w:ind w:left="1080"/>
      <w:contextualSpacing/>
    </w:pPr>
    <w:rPr>
      <w:rFonts w:eastAsia="Times"/>
      <w:szCs w:val="24"/>
    </w:rPr>
  </w:style>
  <w:style w:type="character" w:customStyle="1" w:styleId="bulletChar">
    <w:name w:val="bullet Char"/>
    <w:basedOn w:val="DefaultParagraphFont"/>
    <w:link w:val="bullet"/>
    <w:rsid w:val="00386463"/>
    <w:rPr>
      <w:rFonts w:ascii="Times New Roman" w:eastAsia="Times" w:hAnsi="Times New Roman" w:cs="Times New Roman"/>
      <w:sz w:val="24"/>
      <w:szCs w:val="24"/>
    </w:rPr>
  </w:style>
  <w:style w:type="character" w:customStyle="1" w:styleId="bodytext">
    <w:name w:val="bodytext"/>
    <w:basedOn w:val="DefaultParagraphFont"/>
    <w:rsid w:val="00386463"/>
  </w:style>
  <w:style w:type="character" w:styleId="Emphasis">
    <w:name w:val="Emphasis"/>
    <w:basedOn w:val="DefaultParagraphFont"/>
    <w:uiPriority w:val="20"/>
    <w:qFormat/>
    <w:rsid w:val="00386463"/>
    <w:rPr>
      <w:i/>
      <w:iCs/>
    </w:rPr>
  </w:style>
  <w:style w:type="paragraph" w:customStyle="1" w:styleId="bodytext1">
    <w:name w:val="bodytext1"/>
    <w:basedOn w:val="Normal"/>
    <w:rsid w:val="00386463"/>
    <w:pPr>
      <w:spacing w:before="100" w:beforeAutospacing="1" w:after="100" w:afterAutospacing="1" w:line="240" w:lineRule="auto"/>
    </w:pPr>
    <w:rPr>
      <w:rFonts w:eastAsia="Times New Roman"/>
      <w:sz w:val="24"/>
      <w:szCs w:val="24"/>
    </w:rPr>
  </w:style>
  <w:style w:type="character" w:customStyle="1" w:styleId="UnresolvedMention1">
    <w:name w:val="Unresolved Mention1"/>
    <w:basedOn w:val="DefaultParagraphFont"/>
    <w:uiPriority w:val="99"/>
    <w:semiHidden/>
    <w:unhideWhenUsed/>
    <w:rsid w:val="00386463"/>
    <w:rPr>
      <w:color w:val="605E5C"/>
      <w:shd w:val="clear" w:color="auto" w:fill="E1DFDD"/>
    </w:rPr>
  </w:style>
  <w:style w:type="character" w:styleId="PageNumber">
    <w:name w:val="page number"/>
    <w:basedOn w:val="DefaultParagraphFont"/>
    <w:rsid w:val="00386463"/>
  </w:style>
  <w:style w:type="paragraph" w:customStyle="1" w:styleId="IEcHeadingAinreport">
    <w:name w:val="IEc Heading A in report"/>
    <w:basedOn w:val="Normal"/>
    <w:rsid w:val="00386463"/>
    <w:pPr>
      <w:spacing w:after="0" w:line="290" w:lineRule="exact"/>
    </w:pPr>
    <w:rPr>
      <w:rFonts w:ascii="Trebuchet MS" w:hAnsi="Trebuchet MS"/>
      <w:b/>
      <w:caps/>
      <w:color w:val="800000"/>
      <w:spacing w:val="20"/>
      <w:kern w:val="8"/>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io.noaa.gov/services_programs/prasub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18/GS_h.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8/GS_h.pdf" TargetMode="External"/><Relationship Id="rId1" Type="http://schemas.openxmlformats.org/officeDocument/2006/relationships/hyperlink" Target="http://www.whitehouse.gov/omb/memoranda/m01-2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Adrienne.Thomas</dc:creator>
  <cp:keywords/>
  <dc:description/>
  <cp:lastModifiedBy>Adrienne.Thomas</cp:lastModifiedBy>
  <cp:revision>1</cp:revision>
  <dcterms:created xsi:type="dcterms:W3CDTF">2021-04-16T16:08:00Z</dcterms:created>
  <dcterms:modified xsi:type="dcterms:W3CDTF">2021-04-16T16:10:00Z</dcterms:modified>
</cp:coreProperties>
</file>