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5602" w:rsidR="00FC59FF" w:rsidP="00FC59FF" w:rsidRDefault="00FC59FF" w14:paraId="437D2155" w14:textId="77777777">
      <w:pPr>
        <w:jc w:val="center"/>
        <w:rPr>
          <w:b/>
          <w:sz w:val="22"/>
          <w:szCs w:val="22"/>
        </w:rPr>
      </w:pPr>
      <w:r w:rsidRPr="005C5602">
        <w:rPr>
          <w:b/>
          <w:sz w:val="22"/>
          <w:szCs w:val="22"/>
        </w:rPr>
        <w:t xml:space="preserve">SUPPORTING STATEMENT </w:t>
      </w:r>
    </w:p>
    <w:p w:rsidRPr="005C5602" w:rsidR="00FC59FF" w:rsidP="00FC59FF" w:rsidRDefault="00FC59FF" w14:paraId="32749C69" w14:textId="77777777">
      <w:pPr>
        <w:rPr>
          <w:sz w:val="22"/>
          <w:szCs w:val="22"/>
        </w:rPr>
      </w:pPr>
    </w:p>
    <w:p w:rsidRPr="00B74272" w:rsidR="00FC59FF" w:rsidP="00FC59FF" w:rsidRDefault="00FC59FF" w14:paraId="3EA13C84" w14:textId="77777777">
      <w:pPr>
        <w:rPr>
          <w:b/>
          <w:sz w:val="22"/>
          <w:szCs w:val="22"/>
          <w:u w:val="single"/>
        </w:rPr>
      </w:pPr>
      <w:r w:rsidRPr="00B74272">
        <w:rPr>
          <w:b/>
          <w:sz w:val="22"/>
          <w:szCs w:val="22"/>
        </w:rPr>
        <w:t xml:space="preserve">A.  </w:t>
      </w:r>
      <w:r w:rsidRPr="00B74272">
        <w:rPr>
          <w:b/>
          <w:sz w:val="22"/>
          <w:szCs w:val="22"/>
          <w:u w:val="single"/>
        </w:rPr>
        <w:t>Justification</w:t>
      </w:r>
    </w:p>
    <w:p w:rsidRPr="00B74272" w:rsidR="00FC59FF" w:rsidP="00FC59FF" w:rsidRDefault="00FE12A1" w14:paraId="4A9B5BA9" w14:textId="61A508A1">
      <w:pPr>
        <w:rPr>
          <w:sz w:val="22"/>
          <w:szCs w:val="22"/>
          <w:u w:val="single"/>
        </w:rPr>
      </w:pPr>
      <w:r>
        <w:rPr>
          <w:sz w:val="22"/>
          <w:szCs w:val="22"/>
          <w:u w:val="single"/>
        </w:rPr>
        <w:t xml:space="preserve"> </w:t>
      </w:r>
    </w:p>
    <w:p w:rsidRPr="00B74272" w:rsidR="0026787C" w:rsidP="0013411F" w:rsidRDefault="00F33C1E" w14:paraId="2B66F04E" w14:textId="2EF4262A">
      <w:pPr>
        <w:rPr>
          <w:sz w:val="22"/>
          <w:szCs w:val="22"/>
        </w:rPr>
      </w:pPr>
      <w:r w:rsidRPr="00B74272">
        <w:rPr>
          <w:sz w:val="22"/>
          <w:szCs w:val="22"/>
        </w:rPr>
        <w:t>1.</w:t>
      </w:r>
      <w:r w:rsidRPr="00B74272" w:rsidR="0026787C">
        <w:rPr>
          <w:sz w:val="22"/>
          <w:szCs w:val="22"/>
        </w:rPr>
        <w:t xml:space="preserve">  </w:t>
      </w:r>
      <w:r w:rsidRPr="00705E70" w:rsidR="0026787C">
        <w:rPr>
          <w:sz w:val="22"/>
          <w:szCs w:val="22"/>
        </w:rPr>
        <w:t xml:space="preserve">On </w:t>
      </w:r>
      <w:r w:rsidRPr="00705E70" w:rsidR="00BE569A">
        <w:rPr>
          <w:sz w:val="22"/>
          <w:szCs w:val="22"/>
        </w:rPr>
        <w:t xml:space="preserve">October 25, </w:t>
      </w:r>
      <w:r w:rsidRPr="00705E70" w:rsidR="0026787C">
        <w:rPr>
          <w:sz w:val="22"/>
          <w:szCs w:val="22"/>
        </w:rPr>
        <w:t>201</w:t>
      </w:r>
      <w:r w:rsidRPr="00705E70" w:rsidR="00BE569A">
        <w:rPr>
          <w:sz w:val="22"/>
          <w:szCs w:val="22"/>
        </w:rPr>
        <w:t>7</w:t>
      </w:r>
      <w:r w:rsidRPr="00705E70" w:rsidR="0026787C">
        <w:rPr>
          <w:sz w:val="22"/>
          <w:szCs w:val="22"/>
        </w:rPr>
        <w:t xml:space="preserve">, </w:t>
      </w:r>
      <w:r w:rsidRPr="00705E70" w:rsidR="00586FD6">
        <w:rPr>
          <w:sz w:val="22"/>
          <w:szCs w:val="22"/>
        </w:rPr>
        <w:t xml:space="preserve">the Federal Communications Commission (Commission) adopted </w:t>
      </w:r>
      <w:r w:rsidRPr="001520F6" w:rsidR="006A0551">
        <w:rPr>
          <w:i/>
          <w:sz w:val="22"/>
          <w:szCs w:val="22"/>
        </w:rPr>
        <w:t xml:space="preserve">Rules and Policies Regarding Calling Number Identification Service – Caller ID; Waiver of Federal Communications Commission Regulations at 47 C.F.R. § 64.1601(b) on Behalf of Jewish </w:t>
      </w:r>
      <w:r w:rsidRPr="000937F2" w:rsidR="000937F2">
        <w:rPr>
          <w:i/>
          <w:sz w:val="22"/>
          <w:szCs w:val="22"/>
        </w:rPr>
        <w:t xml:space="preserve">Community Centers, </w:t>
      </w:r>
      <w:r w:rsidRPr="001520F6" w:rsidR="006A0551">
        <w:rPr>
          <w:sz w:val="22"/>
          <w:szCs w:val="22"/>
        </w:rPr>
        <w:t xml:space="preserve">Report and Order, </w:t>
      </w:r>
      <w:r w:rsidRPr="001520F6" w:rsidR="00641282">
        <w:rPr>
          <w:sz w:val="22"/>
          <w:szCs w:val="22"/>
        </w:rPr>
        <w:t>published at 82 FR</w:t>
      </w:r>
      <w:r w:rsidRPr="001520F6" w:rsidR="0026787C">
        <w:rPr>
          <w:sz w:val="22"/>
          <w:szCs w:val="22"/>
        </w:rPr>
        <w:t xml:space="preserve"> </w:t>
      </w:r>
      <w:r w:rsidRPr="001520F6" w:rsidR="00832080">
        <w:rPr>
          <w:sz w:val="22"/>
          <w:szCs w:val="22"/>
        </w:rPr>
        <w:t>56909, December 1, 2017</w:t>
      </w:r>
      <w:r w:rsidR="000937F2">
        <w:rPr>
          <w:sz w:val="22"/>
          <w:szCs w:val="22"/>
        </w:rPr>
        <w:t xml:space="preserve"> (</w:t>
      </w:r>
      <w:r w:rsidRPr="001520F6" w:rsidR="000937F2">
        <w:rPr>
          <w:i/>
          <w:sz w:val="22"/>
          <w:szCs w:val="22"/>
        </w:rPr>
        <w:t>Caller ID Report and Order</w:t>
      </w:r>
      <w:r w:rsidR="000937F2">
        <w:rPr>
          <w:sz w:val="22"/>
          <w:szCs w:val="22"/>
        </w:rPr>
        <w:t>)</w:t>
      </w:r>
      <w:r w:rsidRPr="001520F6" w:rsidR="00D142A3">
        <w:rPr>
          <w:sz w:val="22"/>
          <w:szCs w:val="22"/>
        </w:rPr>
        <w:t>.  The purpose of this Paperwork Reduction Act (PRA) submission is to obtain approval for this new</w:t>
      </w:r>
      <w:r w:rsidR="003E50FE">
        <w:rPr>
          <w:sz w:val="22"/>
          <w:szCs w:val="22"/>
        </w:rPr>
        <w:t xml:space="preserve"> </w:t>
      </w:r>
      <w:r w:rsidRPr="001520F6" w:rsidR="00D142A3">
        <w:rPr>
          <w:sz w:val="22"/>
          <w:szCs w:val="22"/>
        </w:rPr>
        <w:t>information collection.</w:t>
      </w:r>
      <w:r w:rsidRPr="00B74272">
        <w:rPr>
          <w:sz w:val="22"/>
          <w:szCs w:val="22"/>
        </w:rPr>
        <w:t xml:space="preserve">  </w:t>
      </w:r>
    </w:p>
    <w:p w:rsidRPr="000A1B44" w:rsidR="0026787C" w:rsidP="0013411F" w:rsidRDefault="0026787C" w14:paraId="3ACC9E66" w14:textId="77777777">
      <w:pPr>
        <w:rPr>
          <w:sz w:val="22"/>
          <w:szCs w:val="22"/>
        </w:rPr>
      </w:pPr>
    </w:p>
    <w:p w:rsidRPr="00B74272" w:rsidR="00BE569A" w:rsidP="0013411F" w:rsidRDefault="00BE569A" w14:paraId="6757A9A5" w14:textId="1F1FAE68">
      <w:pPr>
        <w:rPr>
          <w:b/>
          <w:sz w:val="22"/>
          <w:szCs w:val="22"/>
        </w:rPr>
      </w:pPr>
      <w:r w:rsidRPr="001520F6">
        <w:rPr>
          <w:b/>
          <w:sz w:val="22"/>
          <w:szCs w:val="22"/>
        </w:rPr>
        <w:t>History:</w:t>
      </w:r>
    </w:p>
    <w:p w:rsidRPr="001520F6" w:rsidR="00BE569A" w:rsidP="0013411F" w:rsidRDefault="00BE569A" w14:paraId="1D728F12" w14:textId="77777777">
      <w:pPr>
        <w:rPr>
          <w:b/>
          <w:sz w:val="22"/>
          <w:szCs w:val="22"/>
        </w:rPr>
      </w:pPr>
    </w:p>
    <w:p w:rsidRPr="00F93962" w:rsidR="0013411F" w:rsidP="0013411F" w:rsidRDefault="00BE569A" w14:paraId="4C483526" w14:textId="7436F5CC">
      <w:pPr>
        <w:rPr>
          <w:sz w:val="22"/>
          <w:szCs w:val="22"/>
        </w:rPr>
      </w:pPr>
      <w:r>
        <w:rPr>
          <w:sz w:val="22"/>
          <w:szCs w:val="22"/>
        </w:rPr>
        <w:t>I</w:t>
      </w:r>
      <w:r w:rsidRPr="00F93962" w:rsidR="0013411F">
        <w:rPr>
          <w:sz w:val="22"/>
          <w:szCs w:val="22"/>
        </w:rPr>
        <w:t>n 1994, the Commission adopted rules that require common carriers using Signaling System 7 (SS7) to transmit the Calling Party Number (CPN)</w:t>
      </w:r>
      <w:r w:rsidRPr="00F93962" w:rsidR="0013411F">
        <w:rPr>
          <w:sz w:val="22"/>
          <w:szCs w:val="22"/>
          <w:vertAlign w:val="superscript"/>
        </w:rPr>
        <w:footnoteReference w:id="2"/>
      </w:r>
      <w:r w:rsidRPr="00F93962" w:rsidR="0013411F">
        <w:rPr>
          <w:sz w:val="22"/>
          <w:szCs w:val="22"/>
        </w:rPr>
        <w:t xml:space="preserve"> on interstate calls to interconnecting carriers.</w:t>
      </w:r>
      <w:r w:rsidRPr="00F93962" w:rsidR="0013411F">
        <w:rPr>
          <w:rStyle w:val="FootnoteReference"/>
          <w:sz w:val="22"/>
          <w:szCs w:val="22"/>
        </w:rPr>
        <w:footnoteReference w:id="3"/>
      </w:r>
      <w:r w:rsidRPr="00F93962" w:rsidR="0013411F">
        <w:rPr>
          <w:sz w:val="22"/>
          <w:szCs w:val="22"/>
        </w:rPr>
        <w:t xml:space="preserve">  The Commission</w:t>
      </w:r>
      <w:r w:rsidR="000414B0">
        <w:rPr>
          <w:sz w:val="22"/>
          <w:szCs w:val="22"/>
        </w:rPr>
        <w:t>,</w:t>
      </w:r>
      <w:r w:rsidRPr="00F93962" w:rsidR="0013411F">
        <w:rPr>
          <w:sz w:val="22"/>
          <w:szCs w:val="22"/>
        </w:rPr>
        <w:t xml:space="preserve"> recogniz</w:t>
      </w:r>
      <w:r w:rsidR="000414B0">
        <w:rPr>
          <w:sz w:val="22"/>
          <w:szCs w:val="22"/>
        </w:rPr>
        <w:t>ing</w:t>
      </w:r>
      <w:r w:rsidRPr="00F93962" w:rsidR="0013411F">
        <w:rPr>
          <w:sz w:val="22"/>
          <w:szCs w:val="22"/>
        </w:rPr>
        <w:t xml:space="preserve"> that unrestricted CPN transmission could intrude upon the privacy interests of calling parties wishing to remain anonymous</w:t>
      </w:r>
      <w:r w:rsidR="000414B0">
        <w:rPr>
          <w:sz w:val="22"/>
          <w:szCs w:val="22"/>
        </w:rPr>
        <w:t>,</w:t>
      </w:r>
      <w:r w:rsidRPr="00F93962" w:rsidR="0013411F">
        <w:rPr>
          <w:sz w:val="22"/>
          <w:szCs w:val="22"/>
          <w:vertAlign w:val="superscript"/>
        </w:rPr>
        <w:footnoteReference w:id="4"/>
      </w:r>
      <w:r w:rsidRPr="00F93962" w:rsidR="0013411F">
        <w:rPr>
          <w:sz w:val="22"/>
          <w:szCs w:val="22"/>
        </w:rPr>
        <w:t xml:space="preserve"> established privacy options to allow callers to restrict the transmission of their telephone numbers.</w:t>
      </w:r>
      <w:r w:rsidRPr="00F93962" w:rsidR="0013411F">
        <w:rPr>
          <w:sz w:val="22"/>
          <w:szCs w:val="22"/>
          <w:vertAlign w:val="superscript"/>
        </w:rPr>
        <w:footnoteReference w:id="5"/>
      </w:r>
      <w:r w:rsidRPr="00F93962" w:rsidR="0013411F">
        <w:rPr>
          <w:sz w:val="22"/>
          <w:szCs w:val="22"/>
        </w:rPr>
        <w:t xml:space="preserve">  For example, the Commission’s rules require carriers using SS7 to recognize the dialing of *67 as a request that the carrier not pass the calling party’s number.</w:t>
      </w:r>
      <w:r w:rsidRPr="00F93962" w:rsidR="0013411F">
        <w:rPr>
          <w:sz w:val="22"/>
          <w:szCs w:val="22"/>
          <w:vertAlign w:val="superscript"/>
        </w:rPr>
        <w:footnoteReference w:id="6"/>
      </w:r>
      <w:r w:rsidRPr="00F93962" w:rsidR="0013411F">
        <w:rPr>
          <w:sz w:val="22"/>
          <w:szCs w:val="22"/>
        </w:rPr>
        <w:t xml:space="preserve">  Section 64.1601(b) of the Commission’s rules provides that “[n]o common carrier subscribing to or offering any service that delivers CPN may override the privacy indicator associated with an interstate call.”</w:t>
      </w:r>
      <w:r w:rsidRPr="00F93962" w:rsidR="0013411F">
        <w:rPr>
          <w:rStyle w:val="FootnoteReference"/>
          <w:sz w:val="22"/>
          <w:szCs w:val="22"/>
        </w:rPr>
        <w:footnoteReference w:id="7"/>
      </w:r>
      <w:r w:rsidRPr="00F93962" w:rsidR="0013411F">
        <w:rPr>
          <w:sz w:val="22"/>
          <w:szCs w:val="22"/>
        </w:rPr>
        <w:t xml:space="preserve"> </w:t>
      </w:r>
    </w:p>
    <w:p w:rsidRPr="00F93962" w:rsidR="000C4542" w:rsidP="0013411F" w:rsidRDefault="000C4542" w14:paraId="611F9EDA" w14:textId="77777777">
      <w:pPr>
        <w:rPr>
          <w:sz w:val="22"/>
          <w:szCs w:val="22"/>
        </w:rPr>
      </w:pPr>
    </w:p>
    <w:p w:rsidRPr="00A338D3" w:rsidR="0013411F" w:rsidP="0013411F" w:rsidRDefault="0013411F" w14:paraId="092BD078" w14:textId="151E0DE1">
      <w:pPr>
        <w:rPr>
          <w:sz w:val="22"/>
          <w:szCs w:val="22"/>
        </w:rPr>
      </w:pPr>
      <w:r w:rsidRPr="00F93962">
        <w:rPr>
          <w:sz w:val="22"/>
          <w:szCs w:val="22"/>
        </w:rPr>
        <w:t xml:space="preserve">Previously, the former Common Carrier Bureau and the Consumer and Governmental Affairs Bureau (CGB or the Bureau) granted limited waivers of the CPN privacy options in specific instances where </w:t>
      </w:r>
      <w:r w:rsidRPr="00A338D3">
        <w:rPr>
          <w:sz w:val="22"/>
          <w:szCs w:val="22"/>
        </w:rPr>
        <w:lastRenderedPageBreak/>
        <w:t>requesting parties have demonstrated that such waivers serve the public interest.</w:t>
      </w:r>
      <w:r w:rsidRPr="00A338D3">
        <w:rPr>
          <w:rStyle w:val="FootnoteReference"/>
          <w:sz w:val="22"/>
          <w:szCs w:val="22"/>
        </w:rPr>
        <w:footnoteReference w:id="8"/>
      </w:r>
      <w:r w:rsidRPr="00F93962">
        <w:rPr>
          <w:sz w:val="22"/>
          <w:szCs w:val="22"/>
        </w:rPr>
        <w:t xml:space="preserve">  For example, the Bureau </w:t>
      </w:r>
      <w:r w:rsidRPr="00A338D3">
        <w:rPr>
          <w:sz w:val="22"/>
          <w:szCs w:val="22"/>
        </w:rPr>
        <w:t>waived the rule in response to requests from school districts that had received bomb threats, while at the same time ensuring that access to CPNs would be very limited.</w:t>
      </w:r>
      <w:r w:rsidRPr="00A338D3">
        <w:rPr>
          <w:rStyle w:val="FootnoteReference"/>
          <w:sz w:val="22"/>
          <w:szCs w:val="22"/>
        </w:rPr>
        <w:footnoteReference w:id="9"/>
      </w:r>
      <w:r w:rsidRPr="00A338D3">
        <w:rPr>
          <w:sz w:val="22"/>
          <w:szCs w:val="22"/>
        </w:rPr>
        <w:t xml:space="preserve">  </w:t>
      </w:r>
      <w:r w:rsidRPr="00F93962">
        <w:rPr>
          <w:sz w:val="22"/>
          <w:szCs w:val="22"/>
        </w:rPr>
        <w:t xml:space="preserve">In addition, the Commission </w:t>
      </w:r>
      <w:r w:rsidRPr="00A338D3">
        <w:rPr>
          <w:sz w:val="22"/>
          <w:szCs w:val="22"/>
        </w:rPr>
        <w:t>found that in certain limited circumstances, the privacy requirements for CPN-based services should not apply to delivery of the CPN to a public agency’s emergency line, a poison control line, or in conjunction with 911 emergency services.</w:t>
      </w:r>
      <w:r w:rsidRPr="00A338D3">
        <w:rPr>
          <w:rStyle w:val="FootnoteReference"/>
          <w:sz w:val="22"/>
          <w:szCs w:val="22"/>
        </w:rPr>
        <w:footnoteReference w:id="10"/>
      </w:r>
      <w:r w:rsidRPr="00A338D3">
        <w:rPr>
          <w:sz w:val="22"/>
          <w:szCs w:val="22"/>
        </w:rPr>
        <w:t xml:space="preserve">  </w:t>
      </w:r>
    </w:p>
    <w:p w:rsidRPr="00A338D3" w:rsidR="000C4542" w:rsidP="0013411F" w:rsidRDefault="000C4542" w14:paraId="3D072DCE" w14:textId="77777777">
      <w:pPr>
        <w:rPr>
          <w:sz w:val="22"/>
          <w:szCs w:val="22"/>
        </w:rPr>
      </w:pPr>
    </w:p>
    <w:p w:rsidRPr="00A338D3" w:rsidR="0013411F" w:rsidP="0013411F" w:rsidRDefault="0013411F" w14:paraId="70E94104" w14:textId="2023D82C">
      <w:pPr>
        <w:pStyle w:val="ParaNum"/>
        <w:numPr>
          <w:ilvl w:val="0"/>
          <w:numId w:val="0"/>
        </w:numPr>
        <w:rPr>
          <w:szCs w:val="22"/>
        </w:rPr>
      </w:pPr>
      <w:r w:rsidRPr="00A338D3">
        <w:rPr>
          <w:szCs w:val="22"/>
        </w:rPr>
        <w:t xml:space="preserve">On February 28, 2017, Senator Charles E. Schumer submitted a letter to the Commission expressing concern regarding recent bomb threats made via </w:t>
      </w:r>
      <w:r w:rsidR="000414B0">
        <w:rPr>
          <w:szCs w:val="22"/>
        </w:rPr>
        <w:t>tele</w:t>
      </w:r>
      <w:r w:rsidRPr="00A338D3">
        <w:rPr>
          <w:szCs w:val="22"/>
        </w:rPr>
        <w:t>phone against various Jewish Community Centers (JCCs) in New York and across the nation.</w:t>
      </w:r>
      <w:r w:rsidRPr="00A338D3">
        <w:rPr>
          <w:szCs w:val="22"/>
          <w:vertAlign w:val="superscript"/>
        </w:rPr>
        <w:footnoteReference w:id="11"/>
      </w:r>
      <w:r w:rsidRPr="00A338D3">
        <w:rPr>
          <w:szCs w:val="22"/>
        </w:rPr>
        <w:t xml:space="preserve">  Senator Schumer suggested consideration of the grant of a waiver.</w:t>
      </w:r>
      <w:r w:rsidRPr="00A338D3">
        <w:rPr>
          <w:rStyle w:val="FootnoteReference"/>
          <w:sz w:val="22"/>
          <w:szCs w:val="22"/>
        </w:rPr>
        <w:footnoteReference w:id="12"/>
      </w:r>
      <w:r w:rsidRPr="00A338D3">
        <w:rPr>
          <w:szCs w:val="22"/>
        </w:rPr>
        <w:t xml:space="preserve">  On March 3, 2017, CGB granted to JCCs, and any carriers that serve JCCs, a temporary, emergency waiver of section 64.1601(b) of the Commission’s rules.</w:t>
      </w:r>
      <w:r w:rsidRPr="00A338D3">
        <w:rPr>
          <w:rStyle w:val="FootnoteReference"/>
          <w:sz w:val="22"/>
          <w:szCs w:val="22"/>
        </w:rPr>
        <w:footnoteReference w:id="13"/>
      </w:r>
      <w:r w:rsidRPr="00A338D3">
        <w:rPr>
          <w:szCs w:val="22"/>
        </w:rPr>
        <w:t xml:space="preserve">  In so doing, CGB indicated that this temporary waiver would remain in effect until the Commission determined whether the waiver should be made permanent.</w:t>
      </w:r>
      <w:r w:rsidRPr="00A338D3">
        <w:rPr>
          <w:rStyle w:val="FootnoteReference"/>
          <w:sz w:val="22"/>
          <w:szCs w:val="22"/>
        </w:rPr>
        <w:footnoteReference w:id="14"/>
      </w:r>
      <w:r w:rsidRPr="00A338D3">
        <w:rPr>
          <w:szCs w:val="22"/>
        </w:rPr>
        <w:t xml:space="preserve">  CGB </w:t>
      </w:r>
      <w:r w:rsidR="000414B0">
        <w:rPr>
          <w:szCs w:val="22"/>
        </w:rPr>
        <w:t xml:space="preserve">also </w:t>
      </w:r>
      <w:r w:rsidRPr="00A338D3">
        <w:rPr>
          <w:szCs w:val="22"/>
        </w:rPr>
        <w:t>sought comment on whether to make this waiver permanent.</w:t>
      </w:r>
      <w:r w:rsidRPr="00A338D3">
        <w:rPr>
          <w:rStyle w:val="FootnoteReference"/>
          <w:sz w:val="22"/>
          <w:szCs w:val="22"/>
        </w:rPr>
        <w:footnoteReference w:id="15"/>
      </w:r>
      <w:r w:rsidRPr="00A338D3">
        <w:rPr>
          <w:szCs w:val="22"/>
        </w:rPr>
        <w:t xml:space="preserve"> </w:t>
      </w:r>
      <w:r w:rsidR="000414B0">
        <w:rPr>
          <w:szCs w:val="22"/>
        </w:rPr>
        <w:t xml:space="preserve"> </w:t>
      </w:r>
    </w:p>
    <w:p w:rsidRPr="00A338D3" w:rsidR="0013411F" w:rsidP="0013411F" w:rsidRDefault="0013411F" w14:paraId="3F7023D9" w14:textId="6FBD087C">
      <w:pPr>
        <w:pStyle w:val="ParaNum"/>
        <w:widowControl/>
        <w:numPr>
          <w:ilvl w:val="0"/>
          <w:numId w:val="0"/>
        </w:numPr>
        <w:rPr>
          <w:szCs w:val="22"/>
        </w:rPr>
      </w:pPr>
      <w:r w:rsidRPr="00A338D3">
        <w:rPr>
          <w:szCs w:val="22"/>
        </w:rPr>
        <w:t xml:space="preserve">Following the </w:t>
      </w:r>
      <w:r w:rsidR="00223DC3">
        <w:rPr>
          <w:szCs w:val="22"/>
        </w:rPr>
        <w:t xml:space="preserve">grant of the temporary emergency </w:t>
      </w:r>
      <w:r w:rsidRPr="00A338D3">
        <w:rPr>
          <w:szCs w:val="22"/>
        </w:rPr>
        <w:t>waiver for the JCC</w:t>
      </w:r>
      <w:r w:rsidR="00223DC3">
        <w:rPr>
          <w:szCs w:val="22"/>
        </w:rPr>
        <w:t>s</w:t>
      </w:r>
      <w:r w:rsidRPr="00A338D3">
        <w:rPr>
          <w:szCs w:val="22"/>
        </w:rPr>
        <w:t xml:space="preserve">, </w:t>
      </w:r>
      <w:r w:rsidR="00223DC3">
        <w:rPr>
          <w:szCs w:val="22"/>
        </w:rPr>
        <w:t xml:space="preserve">the </w:t>
      </w:r>
      <w:r w:rsidRPr="00A338D3">
        <w:rPr>
          <w:szCs w:val="22"/>
        </w:rPr>
        <w:t>Commission determined to streamline the process, and help security and law enforcement personnel obtain quick access to blocked Caller ID information needed to identify and thwart threatening callers.</w:t>
      </w:r>
      <w:r w:rsidRPr="00A338D3">
        <w:rPr>
          <w:rStyle w:val="FootnoteReference"/>
          <w:sz w:val="22"/>
          <w:szCs w:val="22"/>
        </w:rPr>
        <w:footnoteReference w:id="16"/>
      </w:r>
      <w:r w:rsidRPr="00A338D3">
        <w:rPr>
          <w:szCs w:val="22"/>
        </w:rPr>
        <w:t xml:space="preserve">  The Commission amended rule 47 C.F.R. </w:t>
      </w:r>
      <w:r w:rsidRPr="00A338D3">
        <w:rPr>
          <w:color w:val="000000"/>
          <w:szCs w:val="22"/>
        </w:rPr>
        <w:t>§ 64.1601</w:t>
      </w:r>
      <w:r w:rsidRPr="00A338D3">
        <w:rPr>
          <w:szCs w:val="22"/>
        </w:rPr>
        <w:t>(f)</w:t>
      </w:r>
      <w:r w:rsidRPr="00A338D3">
        <w:rPr>
          <w:color w:val="000000"/>
          <w:szCs w:val="22"/>
        </w:rPr>
        <w:t xml:space="preserve"> to state that</w:t>
      </w:r>
      <w:r w:rsidRPr="00A338D3">
        <w:rPr>
          <w:szCs w:val="22"/>
        </w:rPr>
        <w:t xml:space="preserve"> Section 64.1601(b) shall not apply when CPN delivery is made in connection with a threatening call.</w:t>
      </w:r>
      <w:r w:rsidRPr="00A338D3">
        <w:rPr>
          <w:rStyle w:val="FootnoteReference"/>
          <w:sz w:val="22"/>
          <w:szCs w:val="22"/>
        </w:rPr>
        <w:footnoteReference w:id="17"/>
      </w:r>
      <w:r w:rsidRPr="00A338D3">
        <w:rPr>
          <w:szCs w:val="22"/>
        </w:rPr>
        <w:t xml:space="preserve">  Upon report of such a threatening call by law enforcement on behalf of the threatened party, the carrier will provide any CPN of the calling party to law enforcement and, as directed by law enforcement, to security personnel for the called party for the purpose of identifying the party responsible for the threatening call.  </w:t>
      </w:r>
      <w:r w:rsidRPr="00A338D3" w:rsidR="00E93F83">
        <w:rPr>
          <w:szCs w:val="22"/>
        </w:rPr>
        <w:t xml:space="preserve">Carriers now have a </w:t>
      </w:r>
      <w:r w:rsidR="00A775EF">
        <w:rPr>
          <w:szCs w:val="22"/>
        </w:rPr>
        <w:t>reporting requirement</w:t>
      </w:r>
      <w:r w:rsidRPr="00A338D3" w:rsidR="00E93F83">
        <w:rPr>
          <w:szCs w:val="22"/>
        </w:rPr>
        <w:t xml:space="preserve"> to </w:t>
      </w:r>
      <w:r w:rsidR="00223DC3">
        <w:rPr>
          <w:szCs w:val="22"/>
        </w:rPr>
        <w:t xml:space="preserve">quickly </w:t>
      </w:r>
      <w:r w:rsidRPr="00A338D3" w:rsidR="00E93F83">
        <w:rPr>
          <w:szCs w:val="22"/>
        </w:rPr>
        <w:t xml:space="preserve">provide law enforcement with information relating to </w:t>
      </w:r>
      <w:r w:rsidRPr="00A338D3" w:rsidR="00A338D3">
        <w:rPr>
          <w:szCs w:val="22"/>
        </w:rPr>
        <w:t xml:space="preserve">threatening calls.  </w:t>
      </w:r>
    </w:p>
    <w:p w:rsidRPr="00A338D3" w:rsidR="0013411F" w:rsidP="001520F6" w:rsidRDefault="0013411F" w14:paraId="4C1C1D2A" w14:textId="77777777">
      <w:pPr>
        <w:pStyle w:val="ParaNum"/>
        <w:widowControl/>
        <w:numPr>
          <w:ilvl w:val="0"/>
          <w:numId w:val="0"/>
        </w:numPr>
        <w:spacing w:after="0"/>
        <w:rPr>
          <w:szCs w:val="22"/>
        </w:rPr>
      </w:pPr>
    </w:p>
    <w:p w:rsidR="0013411F" w:rsidP="0013411F" w:rsidRDefault="00223DC3" w14:paraId="6D97AC39" w14:textId="78344F0E">
      <w:pPr>
        <w:rPr>
          <w:sz w:val="22"/>
          <w:szCs w:val="22"/>
        </w:rPr>
      </w:pPr>
      <w:r>
        <w:rPr>
          <w:sz w:val="22"/>
          <w:szCs w:val="22"/>
        </w:rPr>
        <w:t>T</w:t>
      </w:r>
      <w:r w:rsidRPr="00A338D3" w:rsidR="0013411F">
        <w:rPr>
          <w:sz w:val="22"/>
          <w:szCs w:val="22"/>
        </w:rPr>
        <w:t>he Commission also amend</w:t>
      </w:r>
      <w:r>
        <w:rPr>
          <w:sz w:val="22"/>
          <w:szCs w:val="22"/>
        </w:rPr>
        <w:t>ed</w:t>
      </w:r>
      <w:r w:rsidRPr="00A338D3" w:rsidR="0013411F">
        <w:rPr>
          <w:sz w:val="22"/>
          <w:szCs w:val="22"/>
        </w:rPr>
        <w:t xml:space="preserve"> rules to allow non-public emergency services to receive the CPN of all incoming calls from blocked numbers requesting assistance.  The Commission </w:t>
      </w:r>
      <w:r w:rsidRPr="00A338D3" w:rsidR="00A338D3">
        <w:rPr>
          <w:sz w:val="22"/>
          <w:szCs w:val="22"/>
        </w:rPr>
        <w:t>belie</w:t>
      </w:r>
      <w:r w:rsidRPr="00A338D3" w:rsidR="0013411F">
        <w:rPr>
          <w:sz w:val="22"/>
          <w:szCs w:val="22"/>
        </w:rPr>
        <w:t>ves amending its rules to allow non-public emergency services access to blocked Caller ID promotes the public interest by ensuring timely provision of emergency services without undermining any countervailing privacy interests.</w:t>
      </w:r>
      <w:r w:rsidRPr="00A338D3" w:rsidR="0013411F">
        <w:rPr>
          <w:rStyle w:val="FootnoteReference"/>
          <w:sz w:val="22"/>
          <w:szCs w:val="22"/>
        </w:rPr>
        <w:footnoteReference w:id="18"/>
      </w:r>
      <w:r w:rsidRPr="00A338D3" w:rsidR="0013411F">
        <w:rPr>
          <w:sz w:val="22"/>
          <w:szCs w:val="22"/>
        </w:rPr>
        <w:t xml:space="preserve">  </w:t>
      </w:r>
      <w:r w:rsidRPr="00A338D3" w:rsidR="00A338D3">
        <w:rPr>
          <w:sz w:val="22"/>
          <w:szCs w:val="22"/>
        </w:rPr>
        <w:t xml:space="preserve">Carriers now have a </w:t>
      </w:r>
      <w:r w:rsidR="00B92A87">
        <w:rPr>
          <w:sz w:val="22"/>
          <w:szCs w:val="22"/>
        </w:rPr>
        <w:t>reporting requirement to</w:t>
      </w:r>
      <w:r w:rsidRPr="00A338D3" w:rsidR="00A338D3">
        <w:rPr>
          <w:sz w:val="22"/>
          <w:szCs w:val="22"/>
        </w:rPr>
        <w:t xml:space="preserve"> provide emergency serve providers with the information they need to assist callers.</w:t>
      </w:r>
    </w:p>
    <w:p w:rsidR="00F81C7F" w:rsidP="0013411F" w:rsidRDefault="00F81C7F" w14:paraId="09C9C10D" w14:textId="24BC6A6C">
      <w:pPr>
        <w:rPr>
          <w:sz w:val="22"/>
          <w:szCs w:val="22"/>
        </w:rPr>
      </w:pPr>
    </w:p>
    <w:p w:rsidRPr="005031ED" w:rsidR="008300CF" w:rsidP="008300CF" w:rsidRDefault="008300CF" w14:paraId="42652DBF" w14:textId="27D72120">
      <w:pPr>
        <w:rPr>
          <w:b/>
          <w:i/>
          <w:color w:val="000000"/>
          <w:sz w:val="22"/>
          <w:szCs w:val="22"/>
        </w:rPr>
      </w:pPr>
      <w:r w:rsidRPr="005031ED">
        <w:rPr>
          <w:b/>
          <w:i/>
          <w:color w:val="000000"/>
          <w:sz w:val="22"/>
          <w:szCs w:val="22"/>
        </w:rPr>
        <w:t>Information Collection Requirements</w:t>
      </w:r>
      <w:r w:rsidRPr="007617C5">
        <w:rPr>
          <w:b/>
          <w:i/>
          <w:color w:val="000000"/>
          <w:sz w:val="22"/>
          <w:szCs w:val="22"/>
        </w:rPr>
        <w:t>:</w:t>
      </w:r>
    </w:p>
    <w:p w:rsidR="008C613F" w:rsidP="00FC59FF" w:rsidRDefault="008C613F" w14:paraId="3E98E09D" w14:textId="77777777">
      <w:pPr>
        <w:rPr>
          <w:b/>
        </w:rPr>
      </w:pPr>
    </w:p>
    <w:p w:rsidR="008300CF" w:rsidP="008300CF" w:rsidRDefault="008300CF" w14:paraId="09EDB3EA" w14:textId="7B5EC187">
      <w:pPr>
        <w:rPr>
          <w:sz w:val="22"/>
          <w:szCs w:val="22"/>
        </w:rPr>
      </w:pPr>
      <w:r>
        <w:rPr>
          <w:sz w:val="22"/>
          <w:szCs w:val="22"/>
        </w:rPr>
        <w:t>The Commission adopted the following rules, which now contain information collection requirements:</w:t>
      </w:r>
    </w:p>
    <w:p w:rsidR="008A240F" w:rsidP="008300CF" w:rsidRDefault="008A240F" w14:paraId="7F1BD96B" w14:textId="77777777">
      <w:pPr>
        <w:rPr>
          <w:sz w:val="22"/>
          <w:szCs w:val="22"/>
        </w:rPr>
      </w:pPr>
    </w:p>
    <w:p w:rsidRPr="00705E70" w:rsidR="003D51B8" w:rsidP="009D3C58" w:rsidRDefault="003D51B8" w14:paraId="6A70CDA9" w14:textId="7D33534C">
      <w:pPr>
        <w:numPr>
          <w:ilvl w:val="0"/>
          <w:numId w:val="3"/>
        </w:numPr>
        <w:rPr>
          <w:sz w:val="22"/>
          <w:szCs w:val="22"/>
        </w:rPr>
      </w:pPr>
      <w:r w:rsidRPr="00705E70">
        <w:rPr>
          <w:sz w:val="22"/>
          <w:szCs w:val="22"/>
        </w:rPr>
        <w:t xml:space="preserve">47 C.F.R. </w:t>
      </w:r>
      <w:r w:rsidRPr="00877E78">
        <w:rPr>
          <w:color w:val="000000"/>
          <w:sz w:val="22"/>
          <w:szCs w:val="22"/>
        </w:rPr>
        <w:t>§ 64.1601</w:t>
      </w:r>
      <w:r w:rsidRPr="00705E70">
        <w:rPr>
          <w:sz w:val="22"/>
          <w:szCs w:val="22"/>
        </w:rPr>
        <w:t>(d)(4)(ii)</w:t>
      </w:r>
      <w:r w:rsidRPr="00877E78" w:rsidR="002C2923">
        <w:rPr>
          <w:color w:val="000000"/>
          <w:sz w:val="22"/>
          <w:szCs w:val="22"/>
        </w:rPr>
        <w:t xml:space="preserve"> – </w:t>
      </w:r>
      <w:r w:rsidRPr="00705E70" w:rsidR="000C4542">
        <w:rPr>
          <w:sz w:val="22"/>
          <w:szCs w:val="22"/>
        </w:rPr>
        <w:t xml:space="preserve">[Section </w:t>
      </w:r>
      <w:r w:rsidRPr="00705E70" w:rsidR="0064264D">
        <w:rPr>
          <w:sz w:val="22"/>
          <w:szCs w:val="22"/>
        </w:rPr>
        <w:t>64.1601 (a) and (b) shall not apply when CPN delivery]</w:t>
      </w:r>
      <w:r w:rsidRPr="00705E70">
        <w:rPr>
          <w:sz w:val="22"/>
          <w:szCs w:val="22"/>
        </w:rPr>
        <w:t xml:space="preserve"> </w:t>
      </w:r>
      <w:r w:rsidRPr="00705E70" w:rsidR="0064264D">
        <w:rPr>
          <w:sz w:val="22"/>
          <w:szCs w:val="22"/>
        </w:rPr>
        <w:t>[i]</w:t>
      </w:r>
      <w:r w:rsidRPr="00705E70">
        <w:rPr>
          <w:sz w:val="22"/>
          <w:szCs w:val="22"/>
        </w:rPr>
        <w:t xml:space="preserve">s used on a public agency’s emergency telephone line or in conjunction with 911 emergency services, on a telephone line to contact non-public emergency services licensed by the state or municipality, or on any entity’s emergency </w:t>
      </w:r>
      <w:r w:rsidRPr="00877E78">
        <w:rPr>
          <w:color w:val="000000"/>
          <w:sz w:val="22"/>
          <w:szCs w:val="22"/>
        </w:rPr>
        <w:t>assistance</w:t>
      </w:r>
      <w:r w:rsidRPr="00705E70">
        <w:rPr>
          <w:sz w:val="22"/>
          <w:szCs w:val="22"/>
        </w:rPr>
        <w:t xml:space="preserve"> poison control telephone line; or</w:t>
      </w:r>
    </w:p>
    <w:p w:rsidRPr="00705E70" w:rsidR="009D3C58" w:rsidP="009D3C58" w:rsidRDefault="009D3C58" w14:paraId="048ECCE7" w14:textId="77777777">
      <w:pPr>
        <w:ind w:left="720"/>
        <w:rPr>
          <w:sz w:val="22"/>
          <w:szCs w:val="22"/>
        </w:rPr>
      </w:pPr>
    </w:p>
    <w:p w:rsidRPr="00705E70" w:rsidR="008A240F" w:rsidP="00195F20" w:rsidRDefault="00195F20" w14:paraId="75575ABC" w14:textId="77777777">
      <w:pPr>
        <w:pStyle w:val="ListParagraph"/>
        <w:numPr>
          <w:ilvl w:val="0"/>
          <w:numId w:val="3"/>
        </w:numPr>
        <w:rPr>
          <w:sz w:val="22"/>
          <w:szCs w:val="22"/>
        </w:rPr>
      </w:pPr>
      <w:r w:rsidRPr="00705E70">
        <w:rPr>
          <w:sz w:val="22"/>
          <w:szCs w:val="22"/>
        </w:rPr>
        <w:t xml:space="preserve">47 C.F.R. </w:t>
      </w:r>
      <w:r w:rsidRPr="00877E78">
        <w:rPr>
          <w:color w:val="000000"/>
          <w:sz w:val="22"/>
          <w:szCs w:val="22"/>
        </w:rPr>
        <w:t>§ 64.1601</w:t>
      </w:r>
      <w:r w:rsidRPr="00705E70" w:rsidR="008A240F">
        <w:rPr>
          <w:sz w:val="22"/>
          <w:szCs w:val="22"/>
        </w:rPr>
        <w:t>(f)</w:t>
      </w:r>
      <w:r w:rsidRPr="00877E78">
        <w:rPr>
          <w:color w:val="000000"/>
          <w:sz w:val="22"/>
          <w:szCs w:val="22"/>
        </w:rPr>
        <w:t xml:space="preserve"> – </w:t>
      </w:r>
      <w:r w:rsidRPr="00705E70" w:rsidR="008A240F">
        <w:rPr>
          <w:sz w:val="22"/>
          <w:szCs w:val="22"/>
        </w:rPr>
        <w:t>Section 64.1601(b) shall not apply when CPN delivery is made in connection with a threatening call.  Upon report of such a threatening call by law enforcement on behalf of the threatened party, the carrier will provide any CPN of the calling party to law enforcement and, as directed by law enforcement, to security personnel for the called party for the purpose of identifying the party responsible for the threatening call.</w:t>
      </w:r>
    </w:p>
    <w:p w:rsidRPr="00705E70" w:rsidR="009D3C58" w:rsidP="009D3C58" w:rsidRDefault="009D3C58" w14:paraId="3340CD91" w14:textId="77777777">
      <w:pPr>
        <w:rPr>
          <w:b/>
          <w:sz w:val="22"/>
          <w:szCs w:val="22"/>
        </w:rPr>
      </w:pPr>
    </w:p>
    <w:p w:rsidR="00546B3A" w:rsidP="00253BDE" w:rsidRDefault="00546B3A" w14:paraId="77359733" w14:textId="4948A108">
      <w:pPr>
        <w:rPr>
          <w:color w:val="000000"/>
          <w:sz w:val="22"/>
          <w:szCs w:val="22"/>
        </w:rPr>
      </w:pPr>
      <w:r w:rsidRPr="00F81C7F">
        <w:rPr>
          <w:sz w:val="22"/>
          <w:szCs w:val="22"/>
        </w:rPr>
        <w:t>The Commission is requesting OMB approval for a three</w:t>
      </w:r>
      <w:r>
        <w:rPr>
          <w:sz w:val="22"/>
          <w:szCs w:val="22"/>
        </w:rPr>
        <w:t>-</w:t>
      </w:r>
      <w:r w:rsidRPr="00F81C7F">
        <w:rPr>
          <w:sz w:val="22"/>
          <w:szCs w:val="22"/>
        </w:rPr>
        <w:t>year extension of this collection of information.</w:t>
      </w:r>
    </w:p>
    <w:p w:rsidR="00546B3A" w:rsidP="00253BDE" w:rsidRDefault="00546B3A" w14:paraId="52B4B018" w14:textId="77777777">
      <w:pPr>
        <w:rPr>
          <w:color w:val="000000"/>
          <w:sz w:val="22"/>
          <w:szCs w:val="22"/>
        </w:rPr>
      </w:pPr>
    </w:p>
    <w:p w:rsidR="00546B3A" w:rsidP="00546B3A" w:rsidRDefault="00546B3A" w14:paraId="77C457C8" w14:textId="77777777">
      <w:pPr>
        <w:tabs>
          <w:tab w:val="num" w:pos="360"/>
        </w:tabs>
        <w:rPr>
          <w:sz w:val="22"/>
          <w:szCs w:val="22"/>
        </w:rPr>
      </w:pPr>
      <w:r>
        <w:rPr>
          <w:sz w:val="22"/>
          <w:szCs w:val="22"/>
        </w:rPr>
        <w:t>T</w:t>
      </w:r>
      <w:r w:rsidRPr="00043DE6">
        <w:rPr>
          <w:sz w:val="22"/>
          <w:szCs w:val="22"/>
        </w:rPr>
        <w:t>his information collection does not affect individuals or household</w:t>
      </w:r>
      <w:r>
        <w:rPr>
          <w:sz w:val="22"/>
          <w:szCs w:val="22"/>
        </w:rPr>
        <w:t>s</w:t>
      </w:r>
      <w:r w:rsidRPr="00043DE6">
        <w:rPr>
          <w:sz w:val="22"/>
          <w:szCs w:val="22"/>
        </w:rPr>
        <w:t xml:space="preserve">; thus, there </w:t>
      </w:r>
      <w:r>
        <w:rPr>
          <w:sz w:val="22"/>
          <w:szCs w:val="22"/>
        </w:rPr>
        <w:t>is</w:t>
      </w:r>
      <w:r w:rsidRPr="00043DE6">
        <w:rPr>
          <w:sz w:val="22"/>
          <w:szCs w:val="22"/>
        </w:rPr>
        <w:t xml:space="preserve"> no impact under the Privacy Act</w:t>
      </w:r>
      <w:r>
        <w:rPr>
          <w:sz w:val="22"/>
          <w:szCs w:val="22"/>
        </w:rPr>
        <w:t>.</w:t>
      </w:r>
    </w:p>
    <w:p w:rsidR="00546B3A" w:rsidP="00253BDE" w:rsidRDefault="00546B3A" w14:paraId="3E5FAEDE" w14:textId="77777777">
      <w:pPr>
        <w:rPr>
          <w:color w:val="000000"/>
          <w:sz w:val="22"/>
          <w:szCs w:val="22"/>
        </w:rPr>
      </w:pPr>
    </w:p>
    <w:p w:rsidRPr="00C80E2B" w:rsidR="00253BDE" w:rsidP="00253BDE" w:rsidRDefault="00253BDE" w14:paraId="5FE2AF7B" w14:textId="5464E986">
      <w:pPr>
        <w:rPr>
          <w:color w:val="000000"/>
          <w:sz w:val="22"/>
          <w:szCs w:val="22"/>
        </w:rPr>
      </w:pPr>
      <w:r w:rsidRPr="00C80E2B">
        <w:rPr>
          <w:color w:val="000000"/>
          <w:sz w:val="22"/>
          <w:szCs w:val="22"/>
        </w:rPr>
        <w:t xml:space="preserve">The statutory authority for the information collection requirements is found </w:t>
      </w:r>
      <w:r>
        <w:rPr>
          <w:color w:val="000000"/>
          <w:sz w:val="22"/>
          <w:szCs w:val="22"/>
        </w:rPr>
        <w:t xml:space="preserve">at section 201(b) of the Communications Act of 1934, as amended, 47 U.S.C. § 201(b), and section 222, 47 U.S.C. § 222.  The Commission’s implementing rules are codified at 47 C.F.R. §§ 64.1600-01. </w:t>
      </w:r>
    </w:p>
    <w:p w:rsidR="00115C88" w:rsidP="00FC59FF" w:rsidRDefault="00115C88" w14:paraId="1F6123F5" w14:textId="3764323E">
      <w:pPr>
        <w:rPr>
          <w:b/>
        </w:rPr>
      </w:pPr>
    </w:p>
    <w:p w:rsidRPr="00C54888" w:rsidR="00722088" w:rsidP="00FC59FF" w:rsidRDefault="00E04308" w14:paraId="1DEE60F1" w14:textId="5428CD70">
      <w:pPr>
        <w:rPr>
          <w:sz w:val="22"/>
          <w:szCs w:val="22"/>
        </w:rPr>
      </w:pPr>
      <w:r>
        <w:t xml:space="preserve">2. </w:t>
      </w:r>
      <w:r w:rsidRPr="00722088" w:rsidR="00571A0C">
        <w:rPr>
          <w:color w:val="000000"/>
          <w:sz w:val="22"/>
          <w:szCs w:val="22"/>
        </w:rPr>
        <w:t xml:space="preserve">The information collections primarily apply to </w:t>
      </w:r>
      <w:r w:rsidR="006C6BE6">
        <w:rPr>
          <w:color w:val="000000"/>
          <w:sz w:val="22"/>
          <w:szCs w:val="22"/>
        </w:rPr>
        <w:t>voice service providers</w:t>
      </w:r>
      <w:r w:rsidRPr="00722088" w:rsidR="00571A0C">
        <w:rPr>
          <w:color w:val="000000"/>
          <w:sz w:val="22"/>
          <w:szCs w:val="22"/>
        </w:rPr>
        <w:t xml:space="preserve">. </w:t>
      </w:r>
      <w:r w:rsidR="00B612E5">
        <w:rPr>
          <w:color w:val="000000"/>
          <w:sz w:val="22"/>
          <w:szCs w:val="22"/>
        </w:rPr>
        <w:t xml:space="preserve"> The information will be used by law enforcement personnel to </w:t>
      </w:r>
      <w:r w:rsidR="002C2923">
        <w:rPr>
          <w:color w:val="000000"/>
          <w:sz w:val="22"/>
          <w:szCs w:val="22"/>
        </w:rPr>
        <w:t>protect recipients of threatening calls</w:t>
      </w:r>
      <w:r w:rsidR="00B612E5">
        <w:rPr>
          <w:color w:val="000000"/>
          <w:sz w:val="22"/>
          <w:szCs w:val="22"/>
        </w:rPr>
        <w:t xml:space="preserve">.  </w:t>
      </w:r>
      <w:r w:rsidRPr="00C54888" w:rsidR="0065250C">
        <w:rPr>
          <w:sz w:val="22"/>
          <w:szCs w:val="22"/>
        </w:rPr>
        <w:t xml:space="preserve">The information collections, which require </w:t>
      </w:r>
      <w:r w:rsidR="006C6BE6">
        <w:rPr>
          <w:sz w:val="22"/>
          <w:szCs w:val="22"/>
        </w:rPr>
        <w:t>voice service providers</w:t>
      </w:r>
      <w:r w:rsidRPr="00C54888" w:rsidR="0065250C">
        <w:rPr>
          <w:sz w:val="22"/>
          <w:szCs w:val="22"/>
        </w:rPr>
        <w:t xml:space="preserve"> to reveal blocked Caller ID relating to a threatening call as directed by law enforcement, are necessary to provide for the rapid investigation of threatening calls in order to thwart potential attacks.  To ensure the exemption is not abused, a request for blocked Caller ID information associated with a threatening call must be made by law enforcement on b</w:t>
      </w:r>
      <w:r w:rsidRPr="00C54888" w:rsidR="00CA367B">
        <w:rPr>
          <w:sz w:val="22"/>
          <w:szCs w:val="22"/>
        </w:rPr>
        <w:t xml:space="preserve">ehalf of the threatened party.  </w:t>
      </w:r>
      <w:r w:rsidR="00D3651B">
        <w:rPr>
          <w:sz w:val="22"/>
          <w:szCs w:val="22"/>
        </w:rPr>
        <w:t>Voice service providers</w:t>
      </w:r>
      <w:r w:rsidRPr="00C54888" w:rsidR="00CA367B">
        <w:rPr>
          <w:sz w:val="22"/>
          <w:szCs w:val="22"/>
        </w:rPr>
        <w:t xml:space="preserve"> will only provide the information to law enforcement </w:t>
      </w:r>
      <w:r w:rsidRPr="00C54888" w:rsidR="00C54888">
        <w:rPr>
          <w:sz w:val="22"/>
          <w:szCs w:val="22"/>
        </w:rPr>
        <w:t xml:space="preserve">personnel and, as directed by law enforcement, others directly responsible for the safety and security of the threatened party. </w:t>
      </w:r>
      <w:r w:rsidR="0041210F">
        <w:rPr>
          <w:sz w:val="22"/>
          <w:szCs w:val="22"/>
        </w:rPr>
        <w:t xml:space="preserve"> </w:t>
      </w:r>
    </w:p>
    <w:p w:rsidRPr="00C54888" w:rsidR="00C54888" w:rsidP="00FC59FF" w:rsidRDefault="00C54888" w14:paraId="31C73474" w14:textId="42341D82">
      <w:pPr>
        <w:rPr>
          <w:sz w:val="22"/>
          <w:szCs w:val="22"/>
        </w:rPr>
      </w:pPr>
    </w:p>
    <w:p w:rsidRPr="00A4267C" w:rsidR="00EA14D7" w:rsidP="00EA14D7" w:rsidRDefault="00C54888" w14:paraId="1C55B804" w14:textId="0AA43650">
      <w:pPr>
        <w:rPr>
          <w:sz w:val="22"/>
        </w:rPr>
      </w:pPr>
      <w:r w:rsidRPr="00C54888">
        <w:rPr>
          <w:sz w:val="22"/>
          <w:szCs w:val="22"/>
        </w:rPr>
        <w:t xml:space="preserve">The information collections, which require </w:t>
      </w:r>
      <w:r w:rsidR="006C6BE6">
        <w:rPr>
          <w:sz w:val="22"/>
          <w:szCs w:val="22"/>
        </w:rPr>
        <w:t>voice service providers</w:t>
      </w:r>
      <w:r w:rsidRPr="00C54888">
        <w:rPr>
          <w:sz w:val="22"/>
          <w:szCs w:val="22"/>
        </w:rPr>
        <w:t xml:space="preserve"> to reveal blocked Caller ID to private ambulance companies when call</w:t>
      </w:r>
      <w:r w:rsidR="009A08DF">
        <w:rPr>
          <w:sz w:val="22"/>
          <w:szCs w:val="22"/>
        </w:rPr>
        <w:t>s</w:t>
      </w:r>
      <w:r w:rsidRPr="00C54888">
        <w:rPr>
          <w:sz w:val="22"/>
          <w:szCs w:val="22"/>
        </w:rPr>
        <w:t xml:space="preserve"> requesting assistance come from a number with a blocked Caller ID, are necessary to ensure the provision of emergency services. </w:t>
      </w:r>
      <w:r w:rsidR="009A08DF">
        <w:rPr>
          <w:sz w:val="22"/>
          <w:szCs w:val="22"/>
        </w:rPr>
        <w:t xml:space="preserve"> </w:t>
      </w:r>
      <w:r w:rsidRPr="00C54888">
        <w:rPr>
          <w:sz w:val="22"/>
          <w:szCs w:val="22"/>
        </w:rPr>
        <w:t xml:space="preserve">Allowing non-public emergency services access to blocked Caller ID promotes the public interest by ensuring timely provision of emergency services without undermining any countervailing privacy interests. </w:t>
      </w:r>
      <w:r w:rsidR="009A08DF">
        <w:rPr>
          <w:sz w:val="22"/>
          <w:szCs w:val="22"/>
        </w:rPr>
        <w:t xml:space="preserve"> </w:t>
      </w:r>
      <w:r w:rsidRPr="00C54888">
        <w:rPr>
          <w:sz w:val="22"/>
          <w:szCs w:val="22"/>
        </w:rPr>
        <w:t xml:space="preserve">The Commission previously concluded that </w:t>
      </w:r>
      <w:r w:rsidRPr="00C54888">
        <w:rPr>
          <w:sz w:val="22"/>
          <w:szCs w:val="22"/>
        </w:rPr>
        <w:lastRenderedPageBreak/>
        <w:t>“[t]o the extent that CPN-based services are used to deliver emergency services, we find that privacy requirements for CPN-based services should not apply to delivery of the CPN to a public agency’s emergency line, a poison control line, or in conjunction with 911 emergency services”</w:t>
      </w:r>
      <w:r w:rsidRPr="00C54888">
        <w:rPr>
          <w:rStyle w:val="FootnoteReference"/>
          <w:sz w:val="22"/>
          <w:szCs w:val="22"/>
        </w:rPr>
        <w:footnoteReference w:id="19"/>
      </w:r>
      <w:r w:rsidRPr="00C54888">
        <w:rPr>
          <w:sz w:val="22"/>
          <w:szCs w:val="22"/>
        </w:rPr>
        <w:t xml:space="preserve"> and has noted that “in an emergency, a caller is not likely to remember to dial or even know to dial an unblocking code.”</w:t>
      </w:r>
      <w:r w:rsidRPr="00C54888">
        <w:rPr>
          <w:rStyle w:val="FootnoteReference"/>
          <w:sz w:val="22"/>
          <w:szCs w:val="22"/>
        </w:rPr>
        <w:footnoteReference w:id="20"/>
      </w:r>
      <w:r w:rsidRPr="00C54888">
        <w:rPr>
          <w:sz w:val="22"/>
          <w:szCs w:val="22"/>
        </w:rPr>
        <w:t xml:space="preserve">  Here we take the Commission’s previous conclusions a logical step further by amending the rules to allow non-public emergency services to retrieve from</w:t>
      </w:r>
      <w:r w:rsidRPr="00C54888">
        <w:rPr>
          <w:sz w:val="22"/>
        </w:rPr>
        <w:t xml:space="preserve"> carriers the blocked Caller ID of callers seeking assistance.  </w:t>
      </w:r>
    </w:p>
    <w:p w:rsidR="00EA14D7" w:rsidP="00FC59FF" w:rsidRDefault="00EA14D7" w14:paraId="3E8AF713" w14:textId="1C52CC33">
      <w:pPr>
        <w:rPr>
          <w:sz w:val="22"/>
        </w:rPr>
      </w:pPr>
    </w:p>
    <w:p w:rsidR="0041210F" w:rsidP="00FC59FF" w:rsidRDefault="0041210F" w14:paraId="2F7077E7" w14:textId="6703DD60">
      <w:pPr>
        <w:rPr>
          <w:sz w:val="22"/>
        </w:rPr>
      </w:pPr>
      <w:r>
        <w:rPr>
          <w:sz w:val="22"/>
        </w:rPr>
        <w:t xml:space="preserve">3. The Commission has determined that most records will be kept electronically. </w:t>
      </w:r>
      <w:r w:rsidR="00417346">
        <w:rPr>
          <w:sz w:val="22"/>
        </w:rPr>
        <w:t xml:space="preserve"> As stated above, the information will be collected by </w:t>
      </w:r>
      <w:r w:rsidR="006A35EF">
        <w:rPr>
          <w:sz w:val="22"/>
        </w:rPr>
        <w:t xml:space="preserve">carriers and </w:t>
      </w:r>
      <w:r w:rsidR="002C2923">
        <w:rPr>
          <w:sz w:val="22"/>
        </w:rPr>
        <w:t>conveyed</w:t>
      </w:r>
      <w:r w:rsidR="006A35EF">
        <w:rPr>
          <w:sz w:val="22"/>
        </w:rPr>
        <w:t xml:space="preserve"> to </w:t>
      </w:r>
      <w:r w:rsidR="00490B49">
        <w:rPr>
          <w:sz w:val="22"/>
        </w:rPr>
        <w:t>law enforcement</w:t>
      </w:r>
      <w:r w:rsidR="00417346">
        <w:rPr>
          <w:sz w:val="22"/>
        </w:rPr>
        <w:t xml:space="preserve">, who will </w:t>
      </w:r>
      <w:r w:rsidR="00490B49">
        <w:rPr>
          <w:sz w:val="22"/>
        </w:rPr>
        <w:t xml:space="preserve">use the information to investigate threatening calls, and private ambulance companies who will use the information to </w:t>
      </w:r>
      <w:r w:rsidR="009274BD">
        <w:rPr>
          <w:sz w:val="22"/>
        </w:rPr>
        <w:t xml:space="preserve">provide emergency services.  </w:t>
      </w:r>
      <w:r w:rsidR="002C2923">
        <w:rPr>
          <w:sz w:val="22"/>
        </w:rPr>
        <w:t>Previously, t</w:t>
      </w:r>
      <w:r w:rsidR="00417346">
        <w:rPr>
          <w:sz w:val="22"/>
        </w:rPr>
        <w:t xml:space="preserve">hese parties generally collected and </w:t>
      </w:r>
      <w:r w:rsidR="00B92A87">
        <w:rPr>
          <w:sz w:val="22"/>
        </w:rPr>
        <w:t xml:space="preserve">reported </w:t>
      </w:r>
      <w:r w:rsidR="00417346">
        <w:rPr>
          <w:sz w:val="22"/>
        </w:rPr>
        <w:t>the information in the same manner</w:t>
      </w:r>
      <w:r w:rsidR="002C2923">
        <w:rPr>
          <w:sz w:val="22"/>
        </w:rPr>
        <w:t xml:space="preserve"> under with the Electronic Communications Privacy Act (ECPA)</w:t>
      </w:r>
      <w:r w:rsidR="002C2923">
        <w:rPr>
          <w:rStyle w:val="FootnoteReference"/>
        </w:rPr>
        <w:footnoteReference w:id="21"/>
      </w:r>
      <w:r w:rsidR="002C2923">
        <w:rPr>
          <w:sz w:val="22"/>
        </w:rPr>
        <w:t>; they will do so now under</w:t>
      </w:r>
      <w:r w:rsidR="00417346">
        <w:rPr>
          <w:sz w:val="22"/>
        </w:rPr>
        <w:t xml:space="preserve"> the Commission’s new rules necessitating the information collection</w:t>
      </w:r>
      <w:r w:rsidR="00490B49">
        <w:rPr>
          <w:sz w:val="22"/>
        </w:rPr>
        <w:t>.</w:t>
      </w:r>
      <w:r w:rsidR="002C2923">
        <w:rPr>
          <w:sz w:val="22"/>
        </w:rPr>
        <w:t xml:space="preserve"> </w:t>
      </w:r>
      <w:r w:rsidR="00490B49">
        <w:rPr>
          <w:sz w:val="22"/>
        </w:rPr>
        <w:t xml:space="preserve"> </w:t>
      </w:r>
      <w:r w:rsidR="00417346">
        <w:rPr>
          <w:sz w:val="22"/>
        </w:rPr>
        <w:t xml:space="preserve">Consequently, there is no additional burden on the </w:t>
      </w:r>
      <w:r w:rsidR="005200B3">
        <w:rPr>
          <w:sz w:val="22"/>
        </w:rPr>
        <w:t>parties’</w:t>
      </w:r>
      <w:r w:rsidR="00417346">
        <w:rPr>
          <w:sz w:val="22"/>
        </w:rPr>
        <w:t xml:space="preserve"> subject to the information collection.</w:t>
      </w:r>
    </w:p>
    <w:p w:rsidR="00D91F7C" w:rsidP="00FC59FF" w:rsidRDefault="00D91F7C" w14:paraId="7434142B" w14:textId="0CF6ADA9">
      <w:pPr>
        <w:rPr>
          <w:sz w:val="22"/>
        </w:rPr>
      </w:pPr>
    </w:p>
    <w:p w:rsidR="00D91F7C" w:rsidP="00FC59FF" w:rsidRDefault="00D91F7C" w14:paraId="6E70DF91" w14:textId="53FF75F0">
      <w:pPr>
        <w:rPr>
          <w:sz w:val="22"/>
        </w:rPr>
      </w:pPr>
      <w:r>
        <w:rPr>
          <w:sz w:val="22"/>
        </w:rPr>
        <w:t>4. The current information collection requirements are not duplicative of any currently existing federal regulatory obligation.  The FCC rules, with some exceptions, are generally consistent with the</w:t>
      </w:r>
      <w:r w:rsidR="00490B49">
        <w:rPr>
          <w:sz w:val="22"/>
        </w:rPr>
        <w:t xml:space="preserve"> </w:t>
      </w:r>
      <w:r>
        <w:rPr>
          <w:sz w:val="22"/>
        </w:rPr>
        <w:t>ECPA.</w:t>
      </w:r>
      <w:r w:rsidR="0096726B">
        <w:rPr>
          <w:rStyle w:val="FootnoteReference"/>
        </w:rPr>
        <w:footnoteReference w:id="22"/>
      </w:r>
      <w:r>
        <w:rPr>
          <w:sz w:val="22"/>
        </w:rPr>
        <w:t xml:space="preserve"> </w:t>
      </w:r>
    </w:p>
    <w:p w:rsidR="00D91F7C" w:rsidP="00FC59FF" w:rsidRDefault="00D91F7C" w14:paraId="340B8D03" w14:textId="3A2D72BF">
      <w:pPr>
        <w:rPr>
          <w:sz w:val="22"/>
        </w:rPr>
      </w:pPr>
    </w:p>
    <w:p w:rsidR="00D91F7C" w:rsidP="00FC59FF" w:rsidRDefault="00D91F7C" w14:paraId="7C97EE3D" w14:textId="0A5C6031">
      <w:pPr>
        <w:rPr>
          <w:sz w:val="22"/>
        </w:rPr>
      </w:pPr>
      <w:r>
        <w:rPr>
          <w:sz w:val="22"/>
        </w:rPr>
        <w:t>5. This information collection does not have a significant economic impact on small businesses.  Common carriers already have a disclosure requirement under ECPA,</w:t>
      </w:r>
      <w:r>
        <w:rPr>
          <w:rStyle w:val="FootnoteReference"/>
        </w:rPr>
        <w:footnoteReference w:id="23"/>
      </w:r>
      <w:r>
        <w:rPr>
          <w:sz w:val="22"/>
        </w:rPr>
        <w:t xml:space="preserve"> and no commenter mentioned an increased economic impact on small businesses.</w:t>
      </w:r>
      <w:r w:rsidR="00E30F51">
        <w:rPr>
          <w:rStyle w:val="FootnoteReference"/>
        </w:rPr>
        <w:footnoteReference w:id="24"/>
      </w:r>
      <w:r>
        <w:rPr>
          <w:sz w:val="22"/>
        </w:rPr>
        <w:t xml:space="preserve"> </w:t>
      </w:r>
      <w:r w:rsidR="00E314E6">
        <w:rPr>
          <w:sz w:val="22"/>
        </w:rPr>
        <w:t xml:space="preserve"> The Commission has attempted to minimize the burden on these entities by aligning the rules </w:t>
      </w:r>
      <w:r w:rsidR="00512EA9">
        <w:rPr>
          <w:sz w:val="22"/>
        </w:rPr>
        <w:t xml:space="preserve">as </w:t>
      </w:r>
      <w:r w:rsidR="00E314E6">
        <w:rPr>
          <w:sz w:val="22"/>
        </w:rPr>
        <w:t xml:space="preserve">much as possible with existing federal law. </w:t>
      </w:r>
    </w:p>
    <w:p w:rsidR="00760DCB" w:rsidP="00FC59FF" w:rsidRDefault="00760DCB" w14:paraId="3FB1873F" w14:textId="78A08A1A">
      <w:pPr>
        <w:rPr>
          <w:sz w:val="22"/>
        </w:rPr>
      </w:pPr>
    </w:p>
    <w:p w:rsidR="00760DCB" w:rsidP="00FC59FF" w:rsidRDefault="00760DCB" w14:paraId="41DEFD15" w14:textId="763B0C53">
      <w:pPr>
        <w:rPr>
          <w:sz w:val="22"/>
        </w:rPr>
      </w:pPr>
      <w:r w:rsidRPr="00760DCB">
        <w:rPr>
          <w:sz w:val="22"/>
        </w:rPr>
        <w:t xml:space="preserve">6. The information collection is necessary to protect recipients of threatening calls.  </w:t>
      </w:r>
      <w:r w:rsidR="00CF1CEF">
        <w:rPr>
          <w:sz w:val="22"/>
        </w:rPr>
        <w:t xml:space="preserve">There is no implication for </w:t>
      </w:r>
      <w:r w:rsidR="005F2064">
        <w:rPr>
          <w:sz w:val="22"/>
        </w:rPr>
        <w:t xml:space="preserve">federal programs. </w:t>
      </w:r>
    </w:p>
    <w:p w:rsidR="00760DCB" w:rsidP="00FC59FF" w:rsidRDefault="00760DCB" w14:paraId="643674EF" w14:textId="1830F04F">
      <w:pPr>
        <w:rPr>
          <w:sz w:val="22"/>
        </w:rPr>
      </w:pPr>
    </w:p>
    <w:p w:rsidR="00760DCB" w:rsidP="00FC59FF" w:rsidRDefault="00760DCB" w14:paraId="287FC75D" w14:textId="0EE37778">
      <w:pPr>
        <w:rPr>
          <w:sz w:val="22"/>
        </w:rPr>
      </w:pPr>
      <w:r>
        <w:rPr>
          <w:sz w:val="22"/>
        </w:rPr>
        <w:t>7. The collection is not conducted in any manner that is inconsistent with the guidelines in 5 C.F.R. § 1320.5</w:t>
      </w:r>
      <w:r w:rsidR="00661B91">
        <w:rPr>
          <w:sz w:val="22"/>
        </w:rPr>
        <w:t>(d)(2)</w:t>
      </w:r>
      <w:r>
        <w:rPr>
          <w:sz w:val="22"/>
        </w:rPr>
        <w:t xml:space="preserve">. </w:t>
      </w:r>
    </w:p>
    <w:p w:rsidR="00760DCB" w:rsidP="00FC59FF" w:rsidRDefault="00760DCB" w14:paraId="0FA10E3C" w14:textId="30ABC088">
      <w:pPr>
        <w:rPr>
          <w:sz w:val="22"/>
        </w:rPr>
      </w:pPr>
    </w:p>
    <w:p w:rsidR="00760DCB" w:rsidP="00FC59FF" w:rsidRDefault="00760DCB" w14:paraId="4805E5BE" w14:textId="42EDDF22">
      <w:pPr>
        <w:rPr>
          <w:sz w:val="22"/>
        </w:rPr>
      </w:pPr>
      <w:r>
        <w:rPr>
          <w:sz w:val="22"/>
        </w:rPr>
        <w:t xml:space="preserve">8. Pursuant to 5 CFR 1320.8(d), the Commission published a notice in the </w:t>
      </w:r>
      <w:r>
        <w:rPr>
          <w:i/>
          <w:sz w:val="22"/>
        </w:rPr>
        <w:t>Federal Register</w:t>
      </w:r>
      <w:r>
        <w:rPr>
          <w:sz w:val="22"/>
        </w:rPr>
        <w:t xml:space="preserve"> on </w:t>
      </w:r>
      <w:r w:rsidR="008206CC">
        <w:rPr>
          <w:sz w:val="22"/>
        </w:rPr>
        <w:t xml:space="preserve">February </w:t>
      </w:r>
      <w:bookmarkStart w:name="_GoBack" w:id="0"/>
      <w:bookmarkEnd w:id="0"/>
      <w:r w:rsidRPr="008206CC" w:rsidR="008206CC">
        <w:rPr>
          <w:sz w:val="22"/>
        </w:rPr>
        <w:t>26</w:t>
      </w:r>
      <w:r w:rsidRPr="008206CC" w:rsidR="00B33E6A">
        <w:rPr>
          <w:sz w:val="22"/>
        </w:rPr>
        <w:t>, 20</w:t>
      </w:r>
      <w:r w:rsidRPr="008206CC" w:rsidR="00E201CE">
        <w:rPr>
          <w:sz w:val="22"/>
        </w:rPr>
        <w:t>21</w:t>
      </w:r>
      <w:r w:rsidRPr="008206CC" w:rsidR="005200B3">
        <w:rPr>
          <w:sz w:val="22"/>
        </w:rPr>
        <w:t>,</w:t>
      </w:r>
      <w:r w:rsidRPr="008206CC" w:rsidR="00BA73B4">
        <w:rPr>
          <w:sz w:val="22"/>
        </w:rPr>
        <w:t xml:space="preserve"> at</w:t>
      </w:r>
      <w:r w:rsidRPr="008206CC" w:rsidR="006F4CED">
        <w:rPr>
          <w:sz w:val="22"/>
        </w:rPr>
        <w:t xml:space="preserve"> </w:t>
      </w:r>
      <w:r w:rsidRPr="008206CC" w:rsidR="008206CC">
        <w:rPr>
          <w:sz w:val="22"/>
        </w:rPr>
        <w:t xml:space="preserve">86 </w:t>
      </w:r>
      <w:r w:rsidRPr="008206CC">
        <w:rPr>
          <w:sz w:val="22"/>
        </w:rPr>
        <w:t xml:space="preserve">FR </w:t>
      </w:r>
      <w:r w:rsidRPr="008206CC" w:rsidR="008206CC">
        <w:rPr>
          <w:sz w:val="22"/>
        </w:rPr>
        <w:t>11767</w:t>
      </w:r>
      <w:r w:rsidRPr="008206CC">
        <w:rPr>
          <w:sz w:val="22"/>
        </w:rPr>
        <w:t>,</w:t>
      </w:r>
      <w:r>
        <w:rPr>
          <w:sz w:val="22"/>
        </w:rPr>
        <w:t xml:space="preserve"> seeking comment from the public on the information collection requirements contained in this supporting statement.  The Commission did not receive any comments in the response to the notice. </w:t>
      </w:r>
    </w:p>
    <w:p w:rsidR="00760DCB" w:rsidP="00FC59FF" w:rsidRDefault="00760DCB" w14:paraId="648F7E16" w14:textId="3C3AFBEC">
      <w:pPr>
        <w:rPr>
          <w:sz w:val="22"/>
        </w:rPr>
      </w:pPr>
    </w:p>
    <w:p w:rsidR="00760DCB" w:rsidP="00FC59FF" w:rsidRDefault="00760DCB" w14:paraId="3DDF6214" w14:textId="4A36AE93">
      <w:pPr>
        <w:rPr>
          <w:sz w:val="22"/>
        </w:rPr>
      </w:pPr>
      <w:r>
        <w:rPr>
          <w:sz w:val="22"/>
        </w:rPr>
        <w:t>9. The Commission does not anticipate providing any payment or gift to respondents.</w:t>
      </w:r>
    </w:p>
    <w:p w:rsidR="0076274F" w:rsidP="00FC59FF" w:rsidRDefault="0076274F" w14:paraId="7A6567F5" w14:textId="77777777">
      <w:pPr>
        <w:rPr>
          <w:sz w:val="22"/>
        </w:rPr>
      </w:pPr>
    </w:p>
    <w:p w:rsidR="00E77BE8" w:rsidP="00FC59FF" w:rsidRDefault="00161FB4" w14:paraId="2C845D18" w14:textId="5D11DE24">
      <w:pPr>
        <w:rPr>
          <w:sz w:val="22"/>
        </w:rPr>
      </w:pPr>
      <w:r>
        <w:rPr>
          <w:sz w:val="22"/>
        </w:rPr>
        <w:lastRenderedPageBreak/>
        <w:t>10</w:t>
      </w:r>
      <w:r w:rsidR="00E77BE8">
        <w:rPr>
          <w:sz w:val="22"/>
        </w:rPr>
        <w:t>.</w:t>
      </w:r>
      <w:r w:rsidR="0073419C">
        <w:rPr>
          <w:sz w:val="22"/>
        </w:rPr>
        <w:t xml:space="preserve"> The information collection requirements do not raise any que</w:t>
      </w:r>
      <w:r w:rsidR="00B8181B">
        <w:rPr>
          <w:sz w:val="22"/>
        </w:rPr>
        <w:t>stions or issues of a sensitive</w:t>
      </w:r>
      <w:r w:rsidR="0073419C">
        <w:rPr>
          <w:sz w:val="22"/>
        </w:rPr>
        <w:t xml:space="preserve"> nature. </w:t>
      </w:r>
    </w:p>
    <w:p w:rsidR="0073419C" w:rsidP="0073419C" w:rsidRDefault="0073419C" w14:paraId="504502A9" w14:textId="26D78A02">
      <w:pPr>
        <w:pStyle w:val="ListParagraph"/>
        <w:rPr>
          <w:sz w:val="22"/>
        </w:rPr>
      </w:pPr>
    </w:p>
    <w:p w:rsidRPr="005F3820" w:rsidR="00596FED" w:rsidP="00596FED" w:rsidRDefault="00596FED" w14:paraId="4A300FFA" w14:textId="2610AAA4">
      <w:pPr>
        <w:pStyle w:val="ListParagraph"/>
        <w:numPr>
          <w:ilvl w:val="0"/>
          <w:numId w:val="7"/>
        </w:numPr>
        <w:rPr>
          <w:sz w:val="22"/>
          <w:szCs w:val="22"/>
        </w:rPr>
      </w:pPr>
      <w:r w:rsidRPr="0073419C">
        <w:rPr>
          <w:sz w:val="22"/>
          <w:szCs w:val="22"/>
          <w:shd w:val="clear" w:color="auto" w:fill="FFFFFF"/>
        </w:rPr>
        <w:t>The information collected pertains to</w:t>
      </w:r>
      <w:r>
        <w:rPr>
          <w:sz w:val="22"/>
          <w:szCs w:val="22"/>
          <w:shd w:val="clear" w:color="auto" w:fill="FFFFFF"/>
        </w:rPr>
        <w:t xml:space="preserve"> blocked caller ID</w:t>
      </w:r>
      <w:r w:rsidRPr="0073419C">
        <w:rPr>
          <w:sz w:val="22"/>
          <w:szCs w:val="22"/>
          <w:shd w:val="clear" w:color="auto" w:fill="FFFFFF"/>
        </w:rPr>
        <w:t>, and do</w:t>
      </w:r>
      <w:r>
        <w:rPr>
          <w:sz w:val="22"/>
          <w:szCs w:val="22"/>
          <w:shd w:val="clear" w:color="auto" w:fill="FFFFFF"/>
        </w:rPr>
        <w:t>es</w:t>
      </w:r>
      <w:r w:rsidRPr="0073419C">
        <w:rPr>
          <w:sz w:val="22"/>
          <w:szCs w:val="22"/>
          <w:shd w:val="clear" w:color="auto" w:fill="FFFFFF"/>
        </w:rPr>
        <w:t xml:space="preserve"> not include personal information such as </w:t>
      </w:r>
      <w:r>
        <w:rPr>
          <w:sz w:val="22"/>
          <w:szCs w:val="22"/>
          <w:shd w:val="clear" w:color="auto" w:fill="FFFFFF"/>
        </w:rPr>
        <w:t>S</w:t>
      </w:r>
      <w:r w:rsidRPr="0073419C">
        <w:rPr>
          <w:sz w:val="22"/>
          <w:szCs w:val="22"/>
          <w:shd w:val="clear" w:color="auto" w:fill="FFFFFF"/>
        </w:rPr>
        <w:t xml:space="preserve">ocial </w:t>
      </w:r>
      <w:r>
        <w:rPr>
          <w:sz w:val="22"/>
          <w:szCs w:val="22"/>
          <w:shd w:val="clear" w:color="auto" w:fill="FFFFFF"/>
        </w:rPr>
        <w:t>S</w:t>
      </w:r>
      <w:r w:rsidRPr="0073419C">
        <w:rPr>
          <w:sz w:val="22"/>
          <w:szCs w:val="22"/>
          <w:shd w:val="clear" w:color="auto" w:fill="FFFFFF"/>
        </w:rPr>
        <w:t xml:space="preserve">ecurity numbers, credit card numbers, </w:t>
      </w:r>
      <w:r w:rsidRPr="0073419C">
        <w:rPr>
          <w:i/>
          <w:sz w:val="22"/>
          <w:szCs w:val="22"/>
          <w:shd w:val="clear" w:color="auto" w:fill="FFFFFF"/>
        </w:rPr>
        <w:t>etc</w:t>
      </w:r>
      <w:r w:rsidRPr="0073419C">
        <w:rPr>
          <w:sz w:val="22"/>
          <w:szCs w:val="22"/>
          <w:shd w:val="clear" w:color="auto" w:fill="FFFFFF"/>
        </w:rPr>
        <w:t>.</w:t>
      </w:r>
      <w:r w:rsidRPr="005F3820">
        <w:rPr>
          <w:sz w:val="22"/>
          <w:szCs w:val="22"/>
        </w:rPr>
        <w:t xml:space="preserve">, however, voice service providers will provide </w:t>
      </w:r>
      <w:r w:rsidR="009470B3">
        <w:rPr>
          <w:sz w:val="22"/>
          <w:szCs w:val="22"/>
        </w:rPr>
        <w:t>non-public emergency services with</w:t>
      </w:r>
      <w:r>
        <w:rPr>
          <w:sz w:val="22"/>
          <w:szCs w:val="22"/>
        </w:rPr>
        <w:t xml:space="preserve"> blocked Caller ID pertai</w:t>
      </w:r>
      <w:r w:rsidR="009470B3">
        <w:rPr>
          <w:sz w:val="22"/>
          <w:szCs w:val="22"/>
        </w:rPr>
        <w:t>ning to requests for emergency assistance</w:t>
      </w:r>
      <w:r>
        <w:rPr>
          <w:sz w:val="22"/>
          <w:szCs w:val="22"/>
        </w:rPr>
        <w:t xml:space="preserve"> and law enforcement</w:t>
      </w:r>
      <w:r w:rsidRPr="005F3820">
        <w:rPr>
          <w:sz w:val="22"/>
          <w:szCs w:val="22"/>
        </w:rPr>
        <w:t xml:space="preserve"> with</w:t>
      </w:r>
      <w:r>
        <w:rPr>
          <w:sz w:val="22"/>
          <w:szCs w:val="22"/>
        </w:rPr>
        <w:t xml:space="preserve"> </w:t>
      </w:r>
      <w:r w:rsidRPr="00596FED">
        <w:rPr>
          <w:sz w:val="22"/>
          <w:szCs w:val="22"/>
        </w:rPr>
        <w:t>blocked</w:t>
      </w:r>
      <w:r>
        <w:rPr>
          <w:sz w:val="22"/>
          <w:szCs w:val="22"/>
        </w:rPr>
        <w:t xml:space="preserve"> caller ID pertaining to threatening calls</w:t>
      </w:r>
      <w:r w:rsidRPr="005F3820">
        <w:rPr>
          <w:sz w:val="22"/>
          <w:szCs w:val="22"/>
        </w:rPr>
        <w:t xml:space="preserve">. </w:t>
      </w:r>
      <w:r>
        <w:rPr>
          <w:sz w:val="22"/>
          <w:szCs w:val="22"/>
        </w:rPr>
        <w:t xml:space="preserve">Voice service providers </w:t>
      </w:r>
      <w:r w:rsidRPr="00596FED">
        <w:rPr>
          <w:sz w:val="22"/>
          <w:szCs w:val="22"/>
        </w:rPr>
        <w:t>should have a system in plac</w:t>
      </w:r>
      <w:r w:rsidRPr="005F3820">
        <w:rPr>
          <w:sz w:val="22"/>
          <w:szCs w:val="22"/>
        </w:rPr>
        <w:t xml:space="preserve">e to protect </w:t>
      </w:r>
      <w:r>
        <w:rPr>
          <w:sz w:val="22"/>
          <w:szCs w:val="22"/>
        </w:rPr>
        <w:t xml:space="preserve">customer </w:t>
      </w:r>
      <w:r w:rsidRPr="00596FED">
        <w:rPr>
          <w:sz w:val="22"/>
          <w:szCs w:val="22"/>
        </w:rPr>
        <w:t>information under Commission rules</w:t>
      </w:r>
      <w:r w:rsidR="00595EF4">
        <w:rPr>
          <w:sz w:val="22"/>
          <w:szCs w:val="22"/>
        </w:rPr>
        <w:t xml:space="preserve"> in Section 222(a)</w:t>
      </w:r>
      <w:r w:rsidRPr="00596FED">
        <w:rPr>
          <w:sz w:val="22"/>
          <w:szCs w:val="22"/>
        </w:rPr>
        <w:t>.</w:t>
      </w:r>
      <w:r w:rsidR="00595EF4">
        <w:rPr>
          <w:rStyle w:val="FootnoteReference"/>
          <w:szCs w:val="22"/>
        </w:rPr>
        <w:footnoteReference w:id="25"/>
      </w:r>
    </w:p>
    <w:p w:rsidR="00B8181B" w:rsidP="0073419C" w:rsidRDefault="00B8181B" w14:paraId="60BF8B47" w14:textId="686F181D">
      <w:pPr>
        <w:pStyle w:val="ListParagraph"/>
        <w:numPr>
          <w:ilvl w:val="0"/>
          <w:numId w:val="7"/>
        </w:numPr>
        <w:rPr>
          <w:sz w:val="22"/>
          <w:szCs w:val="22"/>
        </w:rPr>
      </w:pPr>
      <w:r>
        <w:rPr>
          <w:sz w:val="22"/>
          <w:szCs w:val="22"/>
        </w:rPr>
        <w:t xml:space="preserve">The information is only to be </w:t>
      </w:r>
      <w:r w:rsidR="00211FBF">
        <w:rPr>
          <w:sz w:val="22"/>
          <w:szCs w:val="22"/>
        </w:rPr>
        <w:t xml:space="preserve">received </w:t>
      </w:r>
      <w:r>
        <w:rPr>
          <w:sz w:val="22"/>
          <w:szCs w:val="22"/>
        </w:rPr>
        <w:t xml:space="preserve">by </w:t>
      </w:r>
      <w:r w:rsidR="009470B3">
        <w:rPr>
          <w:sz w:val="22"/>
          <w:szCs w:val="22"/>
        </w:rPr>
        <w:t>non-public emergency services with blocked Caller ID pertaining to requests for emergency assistance and law enforcement</w:t>
      </w:r>
      <w:r w:rsidRPr="00A53C74" w:rsidR="009470B3">
        <w:rPr>
          <w:sz w:val="22"/>
          <w:szCs w:val="22"/>
        </w:rPr>
        <w:t xml:space="preserve"> with</w:t>
      </w:r>
      <w:r w:rsidR="009470B3">
        <w:rPr>
          <w:sz w:val="22"/>
          <w:szCs w:val="22"/>
        </w:rPr>
        <w:t xml:space="preserve"> </w:t>
      </w:r>
      <w:r w:rsidRPr="00596FED" w:rsidR="009470B3">
        <w:rPr>
          <w:sz w:val="22"/>
          <w:szCs w:val="22"/>
        </w:rPr>
        <w:t>blocked</w:t>
      </w:r>
      <w:r w:rsidR="009470B3">
        <w:rPr>
          <w:sz w:val="22"/>
          <w:szCs w:val="22"/>
        </w:rPr>
        <w:t xml:space="preserve"> caller ID pertaining to threatening calls</w:t>
      </w:r>
      <w:r w:rsidRPr="00A53C74" w:rsidR="009470B3">
        <w:rPr>
          <w:sz w:val="22"/>
          <w:szCs w:val="22"/>
        </w:rPr>
        <w:t xml:space="preserve">. </w:t>
      </w:r>
    </w:p>
    <w:p w:rsidRPr="00A4267C" w:rsidR="0073419C" w:rsidP="00A4267C" w:rsidRDefault="0073419C" w14:paraId="665C9B96" w14:textId="77777777">
      <w:pPr>
        <w:ind w:left="360"/>
        <w:rPr>
          <w:sz w:val="22"/>
          <w:shd w:val="clear" w:color="auto" w:fill="FFFFFF"/>
        </w:rPr>
      </w:pPr>
    </w:p>
    <w:p w:rsidR="00B8181B" w:rsidP="004B2154" w:rsidRDefault="00161FB4" w14:paraId="74FD6705" w14:textId="085F494D">
      <w:pPr>
        <w:rPr>
          <w:sz w:val="22"/>
          <w:szCs w:val="22"/>
          <w:shd w:val="clear" w:color="auto" w:fill="FFFFFF"/>
        </w:rPr>
      </w:pPr>
      <w:r w:rsidRPr="00A4267C">
        <w:rPr>
          <w:sz w:val="22"/>
          <w:shd w:val="clear" w:color="auto" w:fill="FFFFFF"/>
        </w:rPr>
        <w:t>11</w:t>
      </w:r>
      <w:r w:rsidRPr="00A4267C" w:rsidR="0073419C">
        <w:rPr>
          <w:sz w:val="22"/>
          <w:shd w:val="clear" w:color="auto" w:fill="FFFFFF"/>
        </w:rPr>
        <w:t>.</w:t>
      </w:r>
      <w:r w:rsidRPr="00A4267C" w:rsidR="00B8181B">
        <w:rPr>
          <w:sz w:val="22"/>
          <w:shd w:val="clear" w:color="auto" w:fill="FFFFFF"/>
        </w:rPr>
        <w:t xml:space="preserve"> </w:t>
      </w:r>
      <w:r w:rsidR="00B8181B">
        <w:rPr>
          <w:sz w:val="22"/>
          <w:szCs w:val="22"/>
          <w:shd w:val="clear" w:color="auto" w:fill="FFFFFF"/>
        </w:rPr>
        <w:t>The information collection requirements do not raise any questions or issues of a sensitive nature.</w:t>
      </w:r>
    </w:p>
    <w:p w:rsidR="00B8181B" w:rsidP="00A4267C" w:rsidRDefault="00B8181B" w14:paraId="4A8BB0FD" w14:textId="77777777">
      <w:pPr>
        <w:rPr>
          <w:sz w:val="22"/>
          <w:szCs w:val="22"/>
          <w:shd w:val="clear" w:color="auto" w:fill="FFFFFF"/>
        </w:rPr>
      </w:pPr>
    </w:p>
    <w:p w:rsidR="006E3CAA" w:rsidP="00546B3A" w:rsidRDefault="00B8181B" w14:paraId="652571B2" w14:textId="47D515C2">
      <w:pPr>
        <w:rPr>
          <w:sz w:val="22"/>
          <w:szCs w:val="22"/>
          <w:shd w:val="clear" w:color="auto" w:fill="FFFFFF"/>
        </w:rPr>
      </w:pPr>
      <w:r>
        <w:rPr>
          <w:sz w:val="22"/>
          <w:szCs w:val="22"/>
          <w:shd w:val="clear" w:color="auto" w:fill="FFFFFF"/>
        </w:rPr>
        <w:t xml:space="preserve">12. </w:t>
      </w:r>
      <w:r w:rsidR="0073419C">
        <w:rPr>
          <w:sz w:val="22"/>
          <w:szCs w:val="22"/>
          <w:shd w:val="clear" w:color="auto" w:fill="FFFFFF"/>
        </w:rPr>
        <w:t xml:space="preserve"> Estimates of the burden hours for the collection of information are as follows:</w:t>
      </w:r>
    </w:p>
    <w:p w:rsidR="00546B3A" w:rsidP="00546B3A" w:rsidRDefault="00546B3A" w14:paraId="54B07F74" w14:textId="77777777">
      <w:pPr>
        <w:rPr>
          <w:sz w:val="22"/>
          <w:szCs w:val="22"/>
          <w:shd w:val="clear" w:color="auto" w:fill="FFFFFF"/>
        </w:rPr>
      </w:pPr>
    </w:p>
    <w:p w:rsidRPr="005F3820" w:rsidR="0073419C" w:rsidP="00596FED" w:rsidRDefault="00596FED" w14:paraId="35D62414" w14:textId="1A509D9E">
      <w:pPr>
        <w:rPr>
          <w:sz w:val="22"/>
          <w:szCs w:val="22"/>
        </w:rPr>
      </w:pPr>
      <w:r w:rsidRPr="00596FED">
        <w:rPr>
          <w:sz w:val="22"/>
          <w:szCs w:val="22"/>
        </w:rPr>
        <w:t>1.</w:t>
      </w:r>
      <w:r>
        <w:rPr>
          <w:sz w:val="22"/>
          <w:szCs w:val="22"/>
        </w:rPr>
        <w:t xml:space="preserve"> </w:t>
      </w:r>
      <w:r w:rsidRPr="005F3820" w:rsidR="00402166">
        <w:rPr>
          <w:sz w:val="22"/>
          <w:szCs w:val="22"/>
          <w:u w:val="single"/>
        </w:rPr>
        <w:t>Section</w:t>
      </w:r>
      <w:r w:rsidRPr="005F3820" w:rsidR="00402166">
        <w:rPr>
          <w:color w:val="000000"/>
          <w:sz w:val="22"/>
          <w:szCs w:val="22"/>
          <w:u w:val="single"/>
        </w:rPr>
        <w:t xml:space="preserve"> 64.1601</w:t>
      </w:r>
      <w:r w:rsidRPr="005F3820" w:rsidR="00402166">
        <w:rPr>
          <w:sz w:val="22"/>
          <w:szCs w:val="22"/>
          <w:u w:val="single"/>
        </w:rPr>
        <w:t>(d)(4)(ii)</w:t>
      </w:r>
      <w:r w:rsidRPr="005F3820" w:rsidR="00402166">
        <w:rPr>
          <w:sz w:val="22"/>
          <w:szCs w:val="22"/>
        </w:rPr>
        <w:t xml:space="preserve"> Requirement that the carrier</w:t>
      </w:r>
      <w:r w:rsidRPr="005F3820" w:rsidR="00697BBA">
        <w:rPr>
          <w:sz w:val="22"/>
          <w:szCs w:val="22"/>
        </w:rPr>
        <w:t>s</w:t>
      </w:r>
      <w:r w:rsidRPr="005F3820" w:rsidR="00402166">
        <w:rPr>
          <w:sz w:val="22"/>
          <w:szCs w:val="22"/>
        </w:rPr>
        <w:t xml:space="preserve"> </w:t>
      </w:r>
      <w:r w:rsidR="00B92A87">
        <w:rPr>
          <w:sz w:val="22"/>
          <w:szCs w:val="22"/>
        </w:rPr>
        <w:t>report</w:t>
      </w:r>
      <w:r w:rsidRPr="005F3820" w:rsidR="00B92A87">
        <w:rPr>
          <w:sz w:val="22"/>
          <w:szCs w:val="22"/>
        </w:rPr>
        <w:t xml:space="preserve"> </w:t>
      </w:r>
      <w:r w:rsidRPr="005F3820" w:rsidR="00402166">
        <w:rPr>
          <w:sz w:val="22"/>
          <w:szCs w:val="22"/>
        </w:rPr>
        <w:t xml:space="preserve">the blocked Caller ID when it is used on a public agency’s emergency telephone line or in conjunction with 911 emergency services, on a telephone line to contact non-public emergency services licensed by the state or municipality, or on any entity’s emergency </w:t>
      </w:r>
      <w:r w:rsidRPr="005F3820" w:rsidR="00402166">
        <w:rPr>
          <w:color w:val="000000"/>
          <w:sz w:val="22"/>
          <w:szCs w:val="22"/>
        </w:rPr>
        <w:t>assistance</w:t>
      </w:r>
      <w:r w:rsidRPr="005F3820" w:rsidR="00402166">
        <w:rPr>
          <w:sz w:val="22"/>
          <w:szCs w:val="22"/>
        </w:rPr>
        <w:t xml:space="preserve"> poison control telephone line.</w:t>
      </w:r>
    </w:p>
    <w:p w:rsidRPr="00596FED" w:rsidR="00596FED" w:rsidP="00596FED" w:rsidRDefault="00596FED" w14:paraId="54B9FA57" w14:textId="77777777">
      <w:pPr>
        <w:rPr>
          <w:shd w:val="clear" w:color="auto" w:fill="FFFFFF"/>
        </w:rPr>
      </w:pPr>
    </w:p>
    <w:p w:rsidR="00402166" w:rsidP="00402166" w:rsidRDefault="00402166" w14:paraId="57413153" w14:textId="21BB85E6">
      <w:pPr>
        <w:rPr>
          <w:sz w:val="22"/>
          <w:szCs w:val="22"/>
          <w:shd w:val="clear" w:color="auto" w:fill="FFFFFF"/>
        </w:rPr>
      </w:pPr>
      <w:r>
        <w:rPr>
          <w:sz w:val="22"/>
          <w:szCs w:val="22"/>
          <w:shd w:val="clear" w:color="auto" w:fill="FFFFFF"/>
        </w:rPr>
        <w:t>The Commission estimates that approximately</w:t>
      </w:r>
      <w:r w:rsidR="001A2831">
        <w:rPr>
          <w:sz w:val="22"/>
          <w:szCs w:val="22"/>
          <w:shd w:val="clear" w:color="auto" w:fill="FFFFFF"/>
        </w:rPr>
        <w:t xml:space="preserve"> </w:t>
      </w:r>
      <w:r w:rsidR="00BF2956">
        <w:rPr>
          <w:sz w:val="22"/>
          <w:szCs w:val="22"/>
          <w:shd w:val="clear" w:color="auto" w:fill="FFFFFF"/>
        </w:rPr>
        <w:t>46,291</w:t>
      </w:r>
      <w:r w:rsidR="00517F35">
        <w:rPr>
          <w:sz w:val="22"/>
          <w:szCs w:val="22"/>
          <w:shd w:val="clear" w:color="auto" w:fill="FFFFFF"/>
        </w:rPr>
        <w:t xml:space="preserve"> </w:t>
      </w:r>
      <w:r w:rsidR="00D3651B">
        <w:rPr>
          <w:sz w:val="22"/>
          <w:szCs w:val="22"/>
          <w:shd w:val="clear" w:color="auto" w:fill="FFFFFF"/>
        </w:rPr>
        <w:t>voice service providers</w:t>
      </w:r>
      <w:r w:rsidR="004A294C">
        <w:rPr>
          <w:sz w:val="22"/>
          <w:szCs w:val="22"/>
          <w:shd w:val="clear" w:color="auto" w:fill="FFFFFF"/>
        </w:rPr>
        <w:t xml:space="preserve"> (respondents)</w:t>
      </w:r>
      <w:r w:rsidR="001D0F23">
        <w:rPr>
          <w:sz w:val="22"/>
          <w:szCs w:val="22"/>
          <w:shd w:val="clear" w:color="auto" w:fill="FFFFFF"/>
        </w:rPr>
        <w:t xml:space="preserve"> will </w:t>
      </w:r>
      <w:r w:rsidR="00B92A87">
        <w:rPr>
          <w:sz w:val="22"/>
          <w:szCs w:val="22"/>
          <w:shd w:val="clear" w:color="auto" w:fill="FFFFFF"/>
        </w:rPr>
        <w:t xml:space="preserve">report </w:t>
      </w:r>
      <w:r w:rsidR="001D0F23">
        <w:rPr>
          <w:sz w:val="22"/>
          <w:szCs w:val="22"/>
          <w:shd w:val="clear" w:color="auto" w:fill="FFFFFF"/>
        </w:rPr>
        <w:t xml:space="preserve">calls from blocked numbers to </w:t>
      </w:r>
      <w:r w:rsidR="00271936">
        <w:rPr>
          <w:sz w:val="22"/>
          <w:szCs w:val="22"/>
          <w:shd w:val="clear" w:color="auto" w:fill="FFFFFF"/>
        </w:rPr>
        <w:t xml:space="preserve">non-public </w:t>
      </w:r>
      <w:r w:rsidR="001D0F23">
        <w:rPr>
          <w:sz w:val="22"/>
          <w:szCs w:val="22"/>
          <w:shd w:val="clear" w:color="auto" w:fill="FFFFFF"/>
        </w:rPr>
        <w:t>emergency services.</w:t>
      </w:r>
      <w:r w:rsidR="00F772EC">
        <w:rPr>
          <w:rStyle w:val="FootnoteReference"/>
          <w:szCs w:val="22"/>
          <w:shd w:val="clear" w:color="auto" w:fill="FFFFFF"/>
        </w:rPr>
        <w:footnoteReference w:id="26"/>
      </w:r>
      <w:r w:rsidR="004B2154">
        <w:rPr>
          <w:sz w:val="22"/>
          <w:szCs w:val="22"/>
          <w:shd w:val="clear" w:color="auto" w:fill="FFFFFF"/>
        </w:rPr>
        <w:t xml:space="preserve"> </w:t>
      </w:r>
      <w:r w:rsidR="00B92A87">
        <w:rPr>
          <w:sz w:val="22"/>
          <w:szCs w:val="22"/>
          <w:shd w:val="clear" w:color="auto" w:fill="FFFFFF"/>
        </w:rPr>
        <w:t xml:space="preserve"> </w:t>
      </w:r>
      <w:r w:rsidR="004B2154">
        <w:rPr>
          <w:sz w:val="22"/>
          <w:szCs w:val="22"/>
          <w:shd w:val="clear" w:color="auto" w:fill="FFFFFF"/>
        </w:rPr>
        <w:t>The Commission assumes that</w:t>
      </w:r>
      <w:r w:rsidR="0053149D">
        <w:rPr>
          <w:sz w:val="22"/>
          <w:szCs w:val="22"/>
          <w:shd w:val="clear" w:color="auto" w:fill="FFFFFF"/>
        </w:rPr>
        <w:t xml:space="preserve"> out of the 46,291, potentially 1</w:t>
      </w:r>
      <w:r w:rsidR="004B2154">
        <w:rPr>
          <w:sz w:val="22"/>
          <w:szCs w:val="22"/>
          <w:shd w:val="clear" w:color="auto" w:fill="FFFFFF"/>
        </w:rPr>
        <w:t xml:space="preserve"> respondent </w:t>
      </w:r>
      <w:r w:rsidR="0058528A">
        <w:rPr>
          <w:sz w:val="22"/>
          <w:szCs w:val="22"/>
          <w:shd w:val="clear" w:color="auto" w:fill="FFFFFF"/>
        </w:rPr>
        <w:t>will</w:t>
      </w:r>
      <w:r w:rsidR="005F2064">
        <w:rPr>
          <w:sz w:val="22"/>
          <w:szCs w:val="22"/>
          <w:shd w:val="clear" w:color="auto" w:fill="FFFFFF"/>
        </w:rPr>
        <w:t xml:space="preserve"> receive</w:t>
      </w:r>
      <w:r w:rsidR="0058528A">
        <w:rPr>
          <w:sz w:val="22"/>
          <w:szCs w:val="22"/>
          <w:shd w:val="clear" w:color="auto" w:fill="FFFFFF"/>
        </w:rPr>
        <w:t xml:space="preserve"> </w:t>
      </w:r>
      <w:r w:rsidR="009C5ACD">
        <w:rPr>
          <w:sz w:val="22"/>
          <w:szCs w:val="22"/>
          <w:shd w:val="clear" w:color="auto" w:fill="FFFFFF"/>
        </w:rPr>
        <w:t xml:space="preserve">no </w:t>
      </w:r>
      <w:r w:rsidR="0058528A">
        <w:rPr>
          <w:sz w:val="22"/>
          <w:szCs w:val="22"/>
          <w:shd w:val="clear" w:color="auto" w:fill="FFFFFF"/>
        </w:rPr>
        <w:t xml:space="preserve">more </w:t>
      </w:r>
      <w:r w:rsidR="00FE10EA">
        <w:rPr>
          <w:sz w:val="22"/>
          <w:szCs w:val="22"/>
          <w:shd w:val="clear" w:color="auto" w:fill="FFFFFF"/>
        </w:rPr>
        <w:t xml:space="preserve">than 1 request </w:t>
      </w:r>
      <w:r w:rsidR="00AA74B1">
        <w:rPr>
          <w:sz w:val="22"/>
          <w:szCs w:val="22"/>
          <w:shd w:val="clear" w:color="auto" w:fill="FFFFFF"/>
        </w:rPr>
        <w:t xml:space="preserve">per </w:t>
      </w:r>
      <w:r w:rsidR="00373AF7">
        <w:rPr>
          <w:sz w:val="22"/>
          <w:szCs w:val="22"/>
          <w:shd w:val="clear" w:color="auto" w:fill="FFFFFF"/>
        </w:rPr>
        <w:t>mont</w:t>
      </w:r>
      <w:r w:rsidR="00AA74B1">
        <w:rPr>
          <w:sz w:val="22"/>
          <w:szCs w:val="22"/>
          <w:shd w:val="clear" w:color="auto" w:fill="FFFFFF"/>
        </w:rPr>
        <w:t>h</w:t>
      </w:r>
      <w:r w:rsidR="00373AF7">
        <w:rPr>
          <w:sz w:val="22"/>
          <w:szCs w:val="22"/>
          <w:shd w:val="clear" w:color="auto" w:fill="FFFFFF"/>
        </w:rPr>
        <w:t xml:space="preserve"> </w:t>
      </w:r>
      <w:r w:rsidR="009C5ACD">
        <w:rPr>
          <w:sz w:val="22"/>
          <w:szCs w:val="22"/>
          <w:shd w:val="clear" w:color="auto" w:fill="FFFFFF"/>
        </w:rPr>
        <w:t xml:space="preserve">of a record of call from blocked numbers </w:t>
      </w:r>
      <w:r w:rsidR="00A02752">
        <w:rPr>
          <w:sz w:val="22"/>
          <w:szCs w:val="22"/>
          <w:shd w:val="clear" w:color="auto" w:fill="FFFFFF"/>
        </w:rPr>
        <w:t>from non-public emergency service</w:t>
      </w:r>
      <w:r w:rsidR="009C5ACD">
        <w:rPr>
          <w:sz w:val="22"/>
          <w:szCs w:val="22"/>
          <w:shd w:val="clear" w:color="auto" w:fill="FFFFFF"/>
        </w:rPr>
        <w:t>s,</w:t>
      </w:r>
      <w:r w:rsidR="00552991">
        <w:rPr>
          <w:rStyle w:val="FootnoteReference"/>
          <w:szCs w:val="22"/>
          <w:shd w:val="clear" w:color="auto" w:fill="FFFFFF"/>
        </w:rPr>
        <w:footnoteReference w:id="27"/>
      </w:r>
      <w:r w:rsidR="00FE10EA">
        <w:rPr>
          <w:sz w:val="22"/>
          <w:szCs w:val="22"/>
          <w:shd w:val="clear" w:color="auto" w:fill="FFFFFF"/>
        </w:rPr>
        <w:t xml:space="preserve"> requiring</w:t>
      </w:r>
      <w:r w:rsidR="004A75FC">
        <w:rPr>
          <w:sz w:val="22"/>
          <w:szCs w:val="22"/>
          <w:shd w:val="clear" w:color="auto" w:fill="FFFFFF"/>
        </w:rPr>
        <w:t xml:space="preserve"> </w:t>
      </w:r>
      <w:r w:rsidR="0058528A">
        <w:rPr>
          <w:sz w:val="22"/>
          <w:szCs w:val="22"/>
          <w:shd w:val="clear" w:color="auto" w:fill="FFFFFF"/>
        </w:rPr>
        <w:t xml:space="preserve">fewer </w:t>
      </w:r>
      <w:r w:rsidR="004A75FC">
        <w:rPr>
          <w:sz w:val="22"/>
          <w:szCs w:val="22"/>
          <w:shd w:val="clear" w:color="auto" w:fill="FFFFFF"/>
        </w:rPr>
        <w:t xml:space="preserve">than 5 </w:t>
      </w:r>
      <w:r w:rsidR="00552991">
        <w:rPr>
          <w:sz w:val="22"/>
          <w:szCs w:val="22"/>
          <w:shd w:val="clear" w:color="auto" w:fill="FFFFFF"/>
        </w:rPr>
        <w:t xml:space="preserve">minutes per request to process.  </w:t>
      </w:r>
    </w:p>
    <w:p w:rsidR="00552991" w:rsidP="00402166" w:rsidRDefault="00552991" w14:paraId="0664A894" w14:textId="5EA3F9CD">
      <w:pPr>
        <w:rPr>
          <w:sz w:val="22"/>
          <w:szCs w:val="22"/>
          <w:shd w:val="clear" w:color="auto" w:fill="FFFFFF"/>
        </w:rPr>
      </w:pPr>
    </w:p>
    <w:p w:rsidR="008C647C" w:rsidP="00402166" w:rsidRDefault="008C647C" w14:paraId="4438AD9B" w14:textId="4108DF9A">
      <w:pPr>
        <w:rPr>
          <w:b/>
          <w:sz w:val="22"/>
          <w:szCs w:val="22"/>
          <w:shd w:val="clear" w:color="auto" w:fill="FFFFFF"/>
        </w:rPr>
      </w:pPr>
      <w:r>
        <w:rPr>
          <w:b/>
          <w:sz w:val="22"/>
          <w:szCs w:val="22"/>
          <w:shd w:val="clear" w:color="auto" w:fill="FFFFFF"/>
        </w:rPr>
        <w:t xml:space="preserve">Annual Number of Respondents:  </w:t>
      </w:r>
      <w:r w:rsidR="00615F93">
        <w:rPr>
          <w:b/>
          <w:sz w:val="22"/>
          <w:szCs w:val="22"/>
          <w:shd w:val="clear" w:color="auto" w:fill="FFFFFF"/>
        </w:rPr>
        <w:t>46,291</w:t>
      </w:r>
    </w:p>
    <w:p w:rsidR="008C647C" w:rsidP="00402166" w:rsidRDefault="008C647C" w14:paraId="24369222" w14:textId="77777777">
      <w:pPr>
        <w:rPr>
          <w:b/>
          <w:sz w:val="22"/>
          <w:szCs w:val="22"/>
          <w:shd w:val="clear" w:color="auto" w:fill="FFFFFF"/>
        </w:rPr>
      </w:pPr>
    </w:p>
    <w:p w:rsidR="00552991" w:rsidP="00402166" w:rsidRDefault="00552991" w14:paraId="53B3049D" w14:textId="7ED34034">
      <w:pPr>
        <w:rPr>
          <w:b/>
          <w:sz w:val="22"/>
          <w:szCs w:val="22"/>
          <w:shd w:val="clear" w:color="auto" w:fill="FFFFFF"/>
        </w:rPr>
      </w:pPr>
      <w:bookmarkStart w:name="_Hlk507405078" w:id="1"/>
      <w:r>
        <w:rPr>
          <w:b/>
          <w:sz w:val="22"/>
          <w:szCs w:val="22"/>
          <w:shd w:val="clear" w:color="auto" w:fill="FFFFFF"/>
        </w:rPr>
        <w:t>Annual Number of Responses:</w:t>
      </w:r>
      <w:r>
        <w:rPr>
          <w:sz w:val="22"/>
          <w:szCs w:val="22"/>
          <w:shd w:val="clear" w:color="auto" w:fill="FFFFFF"/>
        </w:rPr>
        <w:t xml:space="preserve"> </w:t>
      </w:r>
      <w:r w:rsidR="008C5DEF">
        <w:rPr>
          <w:sz w:val="22"/>
          <w:szCs w:val="22"/>
          <w:shd w:val="clear" w:color="auto" w:fill="FFFFFF"/>
        </w:rPr>
        <w:t xml:space="preserve"> 1 request to reveal blocked number</w:t>
      </w:r>
      <w:r w:rsidR="00A35BAB">
        <w:rPr>
          <w:sz w:val="22"/>
          <w:szCs w:val="22"/>
          <w:shd w:val="clear" w:color="auto" w:fill="FFFFFF"/>
        </w:rPr>
        <w:t xml:space="preserve"> from non-public emergency services</w:t>
      </w:r>
      <w:r w:rsidR="008C5DEF">
        <w:rPr>
          <w:sz w:val="22"/>
          <w:szCs w:val="22"/>
          <w:shd w:val="clear" w:color="auto" w:fill="FFFFFF"/>
        </w:rPr>
        <w:t>/</w:t>
      </w:r>
      <w:r w:rsidR="00613266">
        <w:rPr>
          <w:sz w:val="22"/>
          <w:szCs w:val="22"/>
          <w:shd w:val="clear" w:color="auto" w:fill="FFFFFF"/>
        </w:rPr>
        <w:t>month</w:t>
      </w:r>
      <w:r w:rsidR="008C5DEF">
        <w:rPr>
          <w:sz w:val="22"/>
          <w:szCs w:val="22"/>
          <w:shd w:val="clear" w:color="auto" w:fill="FFFFFF"/>
        </w:rPr>
        <w:t xml:space="preserve"> x </w:t>
      </w:r>
      <w:r w:rsidR="00613266">
        <w:rPr>
          <w:sz w:val="22"/>
          <w:szCs w:val="22"/>
          <w:shd w:val="clear" w:color="auto" w:fill="FFFFFF"/>
        </w:rPr>
        <w:t>12</w:t>
      </w:r>
      <w:r w:rsidR="00271936">
        <w:rPr>
          <w:sz w:val="22"/>
          <w:szCs w:val="22"/>
          <w:shd w:val="clear" w:color="auto" w:fill="FFFFFF"/>
        </w:rPr>
        <w:t xml:space="preserve"> </w:t>
      </w:r>
      <w:r w:rsidR="00613266">
        <w:rPr>
          <w:sz w:val="22"/>
          <w:szCs w:val="22"/>
          <w:shd w:val="clear" w:color="auto" w:fill="FFFFFF"/>
        </w:rPr>
        <w:t>month</w:t>
      </w:r>
      <w:r w:rsidR="003A145A">
        <w:rPr>
          <w:sz w:val="22"/>
          <w:szCs w:val="22"/>
          <w:shd w:val="clear" w:color="auto" w:fill="FFFFFF"/>
        </w:rPr>
        <w:t>s</w:t>
      </w:r>
      <w:r w:rsidR="008C5DEF">
        <w:rPr>
          <w:sz w:val="22"/>
          <w:szCs w:val="22"/>
          <w:shd w:val="clear" w:color="auto" w:fill="FFFFFF"/>
        </w:rPr>
        <w:t xml:space="preserve"> = </w:t>
      </w:r>
      <w:r w:rsidR="00613266">
        <w:rPr>
          <w:b/>
          <w:sz w:val="22"/>
          <w:szCs w:val="22"/>
          <w:shd w:val="clear" w:color="auto" w:fill="FFFFFF"/>
        </w:rPr>
        <w:t>12</w:t>
      </w:r>
      <w:r w:rsidR="008C5DEF">
        <w:rPr>
          <w:b/>
          <w:sz w:val="22"/>
          <w:szCs w:val="22"/>
          <w:shd w:val="clear" w:color="auto" w:fill="FFFFFF"/>
        </w:rPr>
        <w:t xml:space="preserve"> responses/year</w:t>
      </w:r>
    </w:p>
    <w:bookmarkEnd w:id="1"/>
    <w:p w:rsidR="004A75FC" w:rsidP="00402166" w:rsidRDefault="004A75FC" w14:paraId="3E180B3F" w14:textId="3B7455A4">
      <w:pPr>
        <w:rPr>
          <w:b/>
          <w:sz w:val="22"/>
          <w:szCs w:val="22"/>
          <w:shd w:val="clear" w:color="auto" w:fill="FFFFFF"/>
        </w:rPr>
      </w:pPr>
    </w:p>
    <w:p w:rsidR="004A75FC" w:rsidP="00402166" w:rsidRDefault="004A75FC" w14:paraId="790641AD" w14:textId="16C467C5">
      <w:pPr>
        <w:rPr>
          <w:b/>
          <w:sz w:val="22"/>
          <w:szCs w:val="22"/>
          <w:shd w:val="clear" w:color="auto" w:fill="FFFFFF"/>
        </w:rPr>
      </w:pPr>
      <w:r>
        <w:rPr>
          <w:b/>
          <w:sz w:val="22"/>
          <w:szCs w:val="22"/>
          <w:shd w:val="clear" w:color="auto" w:fill="FFFFFF"/>
        </w:rPr>
        <w:t>Annual Burden Hours:</w:t>
      </w:r>
      <w:r>
        <w:rPr>
          <w:sz w:val="22"/>
          <w:szCs w:val="22"/>
          <w:shd w:val="clear" w:color="auto" w:fill="FFFFFF"/>
        </w:rPr>
        <w:t xml:space="preserve"> 1</w:t>
      </w:r>
      <w:r w:rsidR="00B43FD2">
        <w:rPr>
          <w:sz w:val="22"/>
          <w:szCs w:val="22"/>
          <w:shd w:val="clear" w:color="auto" w:fill="FFFFFF"/>
        </w:rPr>
        <w:t>2</w:t>
      </w:r>
      <w:r>
        <w:rPr>
          <w:sz w:val="22"/>
          <w:szCs w:val="22"/>
          <w:shd w:val="clear" w:color="auto" w:fill="FFFFFF"/>
        </w:rPr>
        <w:t xml:space="preserve"> request</w:t>
      </w:r>
      <w:r w:rsidR="00B43FD2">
        <w:rPr>
          <w:sz w:val="22"/>
          <w:szCs w:val="22"/>
          <w:shd w:val="clear" w:color="auto" w:fill="FFFFFF"/>
        </w:rPr>
        <w:t>s</w:t>
      </w:r>
      <w:r>
        <w:rPr>
          <w:sz w:val="22"/>
          <w:szCs w:val="22"/>
          <w:shd w:val="clear" w:color="auto" w:fill="FFFFFF"/>
        </w:rPr>
        <w:t xml:space="preserve"> to reveal blocked number (response</w:t>
      </w:r>
      <w:r w:rsidR="001F72DA">
        <w:rPr>
          <w:sz w:val="22"/>
          <w:szCs w:val="22"/>
          <w:shd w:val="clear" w:color="auto" w:fill="FFFFFF"/>
        </w:rPr>
        <w:t>s</w:t>
      </w:r>
      <w:r>
        <w:rPr>
          <w:sz w:val="22"/>
          <w:szCs w:val="22"/>
          <w:shd w:val="clear" w:color="auto" w:fill="FFFFFF"/>
        </w:rPr>
        <w:t>)/</w:t>
      </w:r>
      <w:r w:rsidR="001F72DA">
        <w:rPr>
          <w:sz w:val="22"/>
          <w:szCs w:val="22"/>
          <w:shd w:val="clear" w:color="auto" w:fill="FFFFFF"/>
        </w:rPr>
        <w:t>year</w:t>
      </w:r>
      <w:r>
        <w:rPr>
          <w:sz w:val="22"/>
          <w:szCs w:val="22"/>
          <w:shd w:val="clear" w:color="auto" w:fill="FFFFFF"/>
        </w:rPr>
        <w:t xml:space="preserve"> x .083 hours (5 minutes) = </w:t>
      </w:r>
      <w:r w:rsidR="00D372E9">
        <w:rPr>
          <w:sz w:val="22"/>
          <w:szCs w:val="22"/>
          <w:shd w:val="clear" w:color="auto" w:fill="FFFFFF"/>
        </w:rPr>
        <w:t>0.996</w:t>
      </w:r>
      <w:r w:rsidR="00BB6F6C">
        <w:rPr>
          <w:sz w:val="22"/>
          <w:szCs w:val="22"/>
          <w:shd w:val="clear" w:color="auto" w:fill="FFFFFF"/>
        </w:rPr>
        <w:t xml:space="preserve"> </w:t>
      </w:r>
      <w:r w:rsidRPr="004B5DAC">
        <w:rPr>
          <w:sz w:val="22"/>
          <w:szCs w:val="22"/>
          <w:shd w:val="clear" w:color="auto" w:fill="FFFFFF"/>
        </w:rPr>
        <w:t>hours</w:t>
      </w:r>
      <w:r w:rsidR="00D3204D">
        <w:rPr>
          <w:b/>
          <w:sz w:val="22"/>
          <w:szCs w:val="22"/>
          <w:shd w:val="clear" w:color="auto" w:fill="FFFFFF"/>
        </w:rPr>
        <w:t xml:space="preserve"> (1 hour</w:t>
      </w:r>
      <w:r w:rsidR="00A063E6">
        <w:rPr>
          <w:b/>
          <w:sz w:val="22"/>
          <w:szCs w:val="22"/>
          <w:shd w:val="clear" w:color="auto" w:fill="FFFFFF"/>
        </w:rPr>
        <w:t xml:space="preserve"> rounded</w:t>
      </w:r>
      <w:r w:rsidR="00D3204D">
        <w:rPr>
          <w:b/>
          <w:sz w:val="22"/>
          <w:szCs w:val="22"/>
          <w:shd w:val="clear" w:color="auto" w:fill="FFFFFF"/>
        </w:rPr>
        <w:t>)</w:t>
      </w:r>
    </w:p>
    <w:p w:rsidR="004A75FC" w:rsidP="00402166" w:rsidRDefault="004A75FC" w14:paraId="04D3BDCC" w14:textId="4A24FCE5">
      <w:pPr>
        <w:rPr>
          <w:b/>
          <w:sz w:val="22"/>
          <w:szCs w:val="22"/>
          <w:shd w:val="clear" w:color="auto" w:fill="FFFFFF"/>
        </w:rPr>
      </w:pPr>
    </w:p>
    <w:p w:rsidR="004A75FC" w:rsidP="00402166" w:rsidRDefault="004A75FC" w14:paraId="0806C977" w14:textId="0054C8B4">
      <w:pPr>
        <w:rPr>
          <w:sz w:val="22"/>
          <w:szCs w:val="22"/>
          <w:shd w:val="clear" w:color="auto" w:fill="FFFFFF"/>
        </w:rPr>
      </w:pPr>
      <w:r>
        <w:rPr>
          <w:b/>
          <w:sz w:val="22"/>
          <w:szCs w:val="22"/>
          <w:shd w:val="clear" w:color="auto" w:fill="FFFFFF"/>
        </w:rPr>
        <w:t xml:space="preserve">Annual “In-House” Cost: </w:t>
      </w:r>
      <w:r>
        <w:rPr>
          <w:sz w:val="22"/>
          <w:szCs w:val="22"/>
          <w:shd w:val="clear" w:color="auto" w:fill="FFFFFF"/>
        </w:rPr>
        <w:t xml:space="preserve"> The Commission assumes that respondents use “in-house” personnel to record do-not-call requests, whose pay is comparable to a federal employee GS-4/5.  Thus, the Commission estimates respondents’ cost to be about $</w:t>
      </w:r>
      <w:r w:rsidR="009762CE">
        <w:rPr>
          <w:sz w:val="22"/>
          <w:szCs w:val="22"/>
          <w:shd w:val="clear" w:color="auto" w:fill="FFFFFF"/>
        </w:rPr>
        <w:t>1</w:t>
      </w:r>
      <w:r w:rsidR="00E201CE">
        <w:rPr>
          <w:sz w:val="22"/>
          <w:szCs w:val="22"/>
          <w:shd w:val="clear" w:color="auto" w:fill="FFFFFF"/>
        </w:rPr>
        <w:t>9</w:t>
      </w:r>
      <w:r w:rsidR="009762CE">
        <w:rPr>
          <w:sz w:val="22"/>
          <w:szCs w:val="22"/>
          <w:shd w:val="clear" w:color="auto" w:fill="FFFFFF"/>
        </w:rPr>
        <w:t>.</w:t>
      </w:r>
      <w:r w:rsidR="00E201CE">
        <w:rPr>
          <w:sz w:val="22"/>
          <w:szCs w:val="22"/>
          <w:shd w:val="clear" w:color="auto" w:fill="FFFFFF"/>
        </w:rPr>
        <w:t>26</w:t>
      </w:r>
      <w:r>
        <w:rPr>
          <w:sz w:val="22"/>
          <w:szCs w:val="22"/>
          <w:shd w:val="clear" w:color="auto" w:fill="FFFFFF"/>
        </w:rPr>
        <w:t xml:space="preserve"> an hour to comply with the requirement:</w:t>
      </w:r>
    </w:p>
    <w:p w:rsidR="00BC1B2A" w:rsidP="00402166" w:rsidRDefault="00BC1B2A" w14:paraId="3A7BC1E9" w14:textId="38CAE275">
      <w:pPr>
        <w:rPr>
          <w:sz w:val="22"/>
          <w:szCs w:val="22"/>
          <w:shd w:val="clear" w:color="auto" w:fill="FFFFFF"/>
        </w:rPr>
      </w:pPr>
    </w:p>
    <w:p w:rsidR="00BC1B2A" w:rsidP="00402166" w:rsidRDefault="00BC1B2A" w14:paraId="5A5E8209" w14:textId="6B20AFD3">
      <w:pPr>
        <w:rPr>
          <w:sz w:val="22"/>
          <w:szCs w:val="22"/>
          <w:shd w:val="clear" w:color="auto" w:fill="FFFFFF"/>
        </w:rPr>
      </w:pPr>
      <w:r>
        <w:rPr>
          <w:sz w:val="22"/>
          <w:szCs w:val="22"/>
          <w:shd w:val="clear" w:color="auto" w:fill="FFFFFF"/>
        </w:rPr>
        <w:t>1</w:t>
      </w:r>
      <w:r w:rsidR="00956F10">
        <w:rPr>
          <w:sz w:val="22"/>
          <w:szCs w:val="22"/>
          <w:shd w:val="clear" w:color="auto" w:fill="FFFFFF"/>
        </w:rPr>
        <w:t xml:space="preserve"> hour</w:t>
      </w:r>
      <w:r w:rsidDel="00956F10" w:rsidR="00956F10">
        <w:rPr>
          <w:sz w:val="22"/>
          <w:szCs w:val="22"/>
          <w:shd w:val="clear" w:color="auto" w:fill="FFFFFF"/>
        </w:rPr>
        <w:t xml:space="preserve"> </w:t>
      </w:r>
      <w:r w:rsidR="001D5CB5">
        <w:rPr>
          <w:sz w:val="22"/>
          <w:szCs w:val="22"/>
          <w:shd w:val="clear" w:color="auto" w:fill="FFFFFF"/>
        </w:rPr>
        <w:t>/</w:t>
      </w:r>
      <w:r w:rsidR="00956F10">
        <w:rPr>
          <w:sz w:val="22"/>
          <w:szCs w:val="22"/>
          <w:shd w:val="clear" w:color="auto" w:fill="FFFFFF"/>
        </w:rPr>
        <w:t xml:space="preserve">year </w:t>
      </w:r>
      <w:r w:rsidR="009762CE">
        <w:rPr>
          <w:sz w:val="22"/>
          <w:szCs w:val="22"/>
          <w:shd w:val="clear" w:color="auto" w:fill="FFFFFF"/>
        </w:rPr>
        <w:t>x $1</w:t>
      </w:r>
      <w:r w:rsidR="00E201CE">
        <w:rPr>
          <w:sz w:val="22"/>
          <w:szCs w:val="22"/>
          <w:shd w:val="clear" w:color="auto" w:fill="FFFFFF"/>
        </w:rPr>
        <w:t>9</w:t>
      </w:r>
      <w:r w:rsidR="009762CE">
        <w:rPr>
          <w:sz w:val="22"/>
          <w:szCs w:val="22"/>
          <w:shd w:val="clear" w:color="auto" w:fill="FFFFFF"/>
        </w:rPr>
        <w:t>.</w:t>
      </w:r>
      <w:r w:rsidR="00E201CE">
        <w:rPr>
          <w:sz w:val="22"/>
          <w:szCs w:val="22"/>
          <w:shd w:val="clear" w:color="auto" w:fill="FFFFFF"/>
        </w:rPr>
        <w:t>26</w:t>
      </w:r>
      <w:r w:rsidR="00F767B6">
        <w:rPr>
          <w:sz w:val="22"/>
          <w:szCs w:val="22"/>
          <w:shd w:val="clear" w:color="auto" w:fill="FFFFFF"/>
        </w:rPr>
        <w:t>/</w:t>
      </w:r>
      <w:r>
        <w:rPr>
          <w:sz w:val="22"/>
          <w:szCs w:val="22"/>
          <w:shd w:val="clear" w:color="auto" w:fill="FFFFFF"/>
        </w:rPr>
        <w:t xml:space="preserve">per hour = </w:t>
      </w:r>
      <w:r>
        <w:rPr>
          <w:b/>
          <w:sz w:val="22"/>
          <w:szCs w:val="22"/>
          <w:shd w:val="clear" w:color="auto" w:fill="FFFFFF"/>
        </w:rPr>
        <w:t>$</w:t>
      </w:r>
      <w:r w:rsidR="001D5CB5">
        <w:rPr>
          <w:b/>
          <w:sz w:val="22"/>
          <w:szCs w:val="22"/>
          <w:shd w:val="clear" w:color="auto" w:fill="FFFFFF"/>
        </w:rPr>
        <w:t>1</w:t>
      </w:r>
      <w:r w:rsidR="00E201CE">
        <w:rPr>
          <w:b/>
          <w:sz w:val="22"/>
          <w:szCs w:val="22"/>
          <w:shd w:val="clear" w:color="auto" w:fill="FFFFFF"/>
        </w:rPr>
        <w:t>9</w:t>
      </w:r>
      <w:r w:rsidR="00F767B6">
        <w:rPr>
          <w:b/>
          <w:sz w:val="22"/>
          <w:szCs w:val="22"/>
          <w:shd w:val="clear" w:color="auto" w:fill="FFFFFF"/>
        </w:rPr>
        <w:t>.</w:t>
      </w:r>
      <w:r w:rsidR="00E201CE">
        <w:rPr>
          <w:b/>
          <w:sz w:val="22"/>
          <w:szCs w:val="22"/>
          <w:shd w:val="clear" w:color="auto" w:fill="FFFFFF"/>
        </w:rPr>
        <w:t>26</w:t>
      </w:r>
    </w:p>
    <w:p w:rsidR="00BC1B2A" w:rsidP="00402166" w:rsidRDefault="00BC1B2A" w14:paraId="7EFC47AB" w14:textId="2F5668DA">
      <w:pPr>
        <w:rPr>
          <w:sz w:val="22"/>
          <w:szCs w:val="22"/>
          <w:shd w:val="clear" w:color="auto" w:fill="FFFFFF"/>
        </w:rPr>
      </w:pPr>
    </w:p>
    <w:p w:rsidRPr="009F71D6" w:rsidR="00BC1B2A" w:rsidP="00402166" w:rsidRDefault="00EE2D3A" w14:paraId="2101453E" w14:textId="00E093FF">
      <w:pPr>
        <w:rPr>
          <w:sz w:val="22"/>
          <w:szCs w:val="22"/>
        </w:rPr>
      </w:pPr>
      <w:r w:rsidRPr="009F71D6">
        <w:rPr>
          <w:sz w:val="22"/>
          <w:szCs w:val="22"/>
          <w:shd w:val="clear" w:color="auto" w:fill="FFFFFF"/>
        </w:rPr>
        <w:t xml:space="preserve">2. </w:t>
      </w:r>
      <w:r w:rsidRPr="009F71D6" w:rsidR="00CE632C">
        <w:rPr>
          <w:sz w:val="22"/>
          <w:szCs w:val="22"/>
          <w:u w:val="single"/>
        </w:rPr>
        <w:t>Section</w:t>
      </w:r>
      <w:r w:rsidRPr="009F71D6" w:rsidR="00CE632C">
        <w:rPr>
          <w:color w:val="000000"/>
          <w:sz w:val="22"/>
          <w:szCs w:val="22"/>
          <w:u w:val="single"/>
        </w:rPr>
        <w:t xml:space="preserve"> 64.1601</w:t>
      </w:r>
      <w:r w:rsidRPr="009F71D6" w:rsidR="00CE632C">
        <w:rPr>
          <w:sz w:val="22"/>
          <w:szCs w:val="22"/>
          <w:u w:val="single"/>
        </w:rPr>
        <w:t>(f)</w:t>
      </w:r>
      <w:r w:rsidRPr="009F71D6" w:rsidR="00CE632C">
        <w:rPr>
          <w:sz w:val="22"/>
          <w:szCs w:val="22"/>
        </w:rPr>
        <w:t xml:space="preserve"> Requirement that the carrier reveals the blocked Caller ID when CPN delivery is made in connection with a threatening call.  Upon report of such a threatening call by law enforcement on </w:t>
      </w:r>
      <w:r w:rsidRPr="009F71D6" w:rsidR="00CE632C">
        <w:rPr>
          <w:sz w:val="22"/>
          <w:szCs w:val="22"/>
        </w:rPr>
        <w:lastRenderedPageBreak/>
        <w:t>behalf of the threatened party, the carrier will provide any CPN of the calling party to law enforcement and, as directed by law enforcement, to security personnel for the called party for the purpose of identifying the party responsible for the threatening call.</w:t>
      </w:r>
    </w:p>
    <w:p w:rsidRPr="009F71D6" w:rsidR="00CE632C" w:rsidP="00402166" w:rsidRDefault="00CE632C" w14:paraId="036B4400" w14:textId="451C544B">
      <w:pPr>
        <w:rPr>
          <w:sz w:val="22"/>
          <w:szCs w:val="22"/>
        </w:rPr>
      </w:pPr>
    </w:p>
    <w:p w:rsidR="004A294C" w:rsidP="004A294C" w:rsidRDefault="00CE632C" w14:paraId="0EB7574B" w14:textId="6CE98293">
      <w:pPr>
        <w:rPr>
          <w:sz w:val="22"/>
          <w:szCs w:val="22"/>
          <w:shd w:val="clear" w:color="auto" w:fill="FFFFFF"/>
        </w:rPr>
      </w:pPr>
      <w:r w:rsidRPr="009F71D6">
        <w:rPr>
          <w:sz w:val="22"/>
          <w:szCs w:val="22"/>
        </w:rPr>
        <w:t xml:space="preserve">The Commission has amended a rule to require that voice service providers reveal blocked Caller ID made in connection with a threatening call to law enforcement and, as directed by law enforcement, to security personnel for the called party for the purpose of identifying the party responsible for the threatening call.  </w:t>
      </w:r>
      <w:r w:rsidR="003D607A">
        <w:rPr>
          <w:sz w:val="22"/>
          <w:szCs w:val="22"/>
        </w:rPr>
        <w:t>The third</w:t>
      </w:r>
      <w:r w:rsidR="000A7A17">
        <w:rPr>
          <w:sz w:val="22"/>
          <w:szCs w:val="22"/>
        </w:rPr>
        <w:t>-</w:t>
      </w:r>
      <w:r w:rsidR="003D607A">
        <w:rPr>
          <w:sz w:val="22"/>
          <w:szCs w:val="22"/>
        </w:rPr>
        <w:t xml:space="preserve">party disclosure to law enforcement and, as directed by law enforcement, security personnel is the </w:t>
      </w:r>
      <w:r w:rsidR="00B92A87">
        <w:rPr>
          <w:sz w:val="22"/>
          <w:szCs w:val="22"/>
        </w:rPr>
        <w:t>reporting</w:t>
      </w:r>
      <w:r w:rsidR="003D607A">
        <w:rPr>
          <w:sz w:val="22"/>
          <w:szCs w:val="22"/>
        </w:rPr>
        <w:t xml:space="preserve"> requirement. </w:t>
      </w:r>
      <w:r w:rsidRPr="009F71D6">
        <w:rPr>
          <w:sz w:val="22"/>
          <w:szCs w:val="22"/>
        </w:rPr>
        <w:t xml:space="preserve">Only law enforcement, on behalf of the threatened party may request the blocked Caller ID.  The Commission estimates that all voice service providers could potentially receive a request to reveal blocked Caller ID associated with a threatening call.  </w:t>
      </w:r>
      <w:r w:rsidR="003D42D4">
        <w:rPr>
          <w:sz w:val="22"/>
          <w:szCs w:val="22"/>
        </w:rPr>
        <w:t>On average</w:t>
      </w:r>
      <w:r w:rsidR="002E24FB">
        <w:rPr>
          <w:sz w:val="22"/>
          <w:szCs w:val="22"/>
        </w:rPr>
        <w:t>,</w:t>
      </w:r>
      <w:r w:rsidR="003D42D4">
        <w:rPr>
          <w:sz w:val="22"/>
          <w:szCs w:val="22"/>
        </w:rPr>
        <w:t xml:space="preserve"> it has been reported </w:t>
      </w:r>
      <w:r w:rsidRPr="009F71D6">
        <w:rPr>
          <w:sz w:val="22"/>
          <w:szCs w:val="22"/>
        </w:rPr>
        <w:t>there were 1,693 reported bomb threat incidents.</w:t>
      </w:r>
      <w:r w:rsidRPr="009F71D6">
        <w:rPr>
          <w:rStyle w:val="FootnoteReference"/>
          <w:sz w:val="22"/>
          <w:szCs w:val="22"/>
        </w:rPr>
        <w:footnoteReference w:id="28"/>
      </w:r>
      <w:r w:rsidRPr="009F71D6">
        <w:rPr>
          <w:sz w:val="22"/>
          <w:szCs w:val="22"/>
          <w:shd w:val="clear" w:color="auto" w:fill="FFFFFF"/>
        </w:rPr>
        <w:t xml:space="preserve">  </w:t>
      </w:r>
      <w:r w:rsidRPr="009F71D6" w:rsidR="004A294C">
        <w:rPr>
          <w:sz w:val="22"/>
          <w:szCs w:val="22"/>
          <w:shd w:val="clear" w:color="auto" w:fill="FFFFFF"/>
        </w:rPr>
        <w:t xml:space="preserve">The Commission estimates that </w:t>
      </w:r>
      <w:r w:rsidR="00690D62">
        <w:rPr>
          <w:sz w:val="22"/>
          <w:szCs w:val="22"/>
          <w:shd w:val="clear" w:color="auto" w:fill="FFFFFF"/>
        </w:rPr>
        <w:t>46,291</w:t>
      </w:r>
      <w:r w:rsidR="00B9248E">
        <w:rPr>
          <w:sz w:val="22"/>
          <w:szCs w:val="22"/>
          <w:shd w:val="clear" w:color="auto" w:fill="FFFFFF"/>
        </w:rPr>
        <w:t xml:space="preserve"> voice service providers</w:t>
      </w:r>
      <w:r w:rsidRPr="009F71D6" w:rsidR="002120E7">
        <w:rPr>
          <w:sz w:val="22"/>
          <w:szCs w:val="22"/>
          <w:shd w:val="clear" w:color="auto" w:fill="FFFFFF"/>
        </w:rPr>
        <w:t xml:space="preserve"> </w:t>
      </w:r>
      <w:r w:rsidRPr="009F71D6" w:rsidR="004A294C">
        <w:rPr>
          <w:sz w:val="22"/>
          <w:szCs w:val="22"/>
          <w:shd w:val="clear" w:color="auto" w:fill="FFFFFF"/>
        </w:rPr>
        <w:t xml:space="preserve">(respondents) will </w:t>
      </w:r>
      <w:r w:rsidR="00D46345">
        <w:rPr>
          <w:sz w:val="22"/>
          <w:szCs w:val="22"/>
          <w:shd w:val="clear" w:color="auto" w:fill="FFFFFF"/>
        </w:rPr>
        <w:t>provide</w:t>
      </w:r>
      <w:r w:rsidR="00A775EF">
        <w:rPr>
          <w:sz w:val="22"/>
          <w:szCs w:val="22"/>
          <w:shd w:val="clear" w:color="auto" w:fill="FFFFFF"/>
        </w:rPr>
        <w:t>,</w:t>
      </w:r>
      <w:r w:rsidR="00D46345">
        <w:rPr>
          <w:sz w:val="22"/>
          <w:szCs w:val="22"/>
          <w:shd w:val="clear" w:color="auto" w:fill="FFFFFF"/>
        </w:rPr>
        <w:t xml:space="preserve"> if requested by law enforcement</w:t>
      </w:r>
      <w:r w:rsidR="00A775EF">
        <w:rPr>
          <w:sz w:val="22"/>
          <w:szCs w:val="22"/>
          <w:shd w:val="clear" w:color="auto" w:fill="FFFFFF"/>
        </w:rPr>
        <w:t>,</w:t>
      </w:r>
      <w:r w:rsidR="00D46345">
        <w:rPr>
          <w:sz w:val="22"/>
          <w:szCs w:val="22"/>
          <w:shd w:val="clear" w:color="auto" w:fill="FFFFFF"/>
        </w:rPr>
        <w:t xml:space="preserve"> </w:t>
      </w:r>
      <w:r w:rsidR="00846BA4">
        <w:rPr>
          <w:sz w:val="22"/>
          <w:szCs w:val="22"/>
          <w:shd w:val="clear" w:color="auto" w:fill="FFFFFF"/>
        </w:rPr>
        <w:t>an estimate of 1,693</w:t>
      </w:r>
      <w:r w:rsidRPr="009F71D6" w:rsidR="004A294C">
        <w:rPr>
          <w:sz w:val="22"/>
          <w:szCs w:val="22"/>
          <w:shd w:val="clear" w:color="auto" w:fill="FFFFFF"/>
        </w:rPr>
        <w:t xml:space="preserve"> </w:t>
      </w:r>
      <w:r w:rsidR="00B92A87">
        <w:rPr>
          <w:sz w:val="22"/>
          <w:szCs w:val="22"/>
          <w:shd w:val="clear" w:color="auto" w:fill="FFFFFF"/>
        </w:rPr>
        <w:t xml:space="preserve">blocked Caller IDs associated with threatening calls </w:t>
      </w:r>
      <w:r w:rsidRPr="009F71D6" w:rsidR="004A294C">
        <w:rPr>
          <w:sz w:val="22"/>
          <w:szCs w:val="22"/>
          <w:shd w:val="clear" w:color="auto" w:fill="FFFFFF"/>
        </w:rPr>
        <w:t>demonstrating their compliance with the Caller ID rules</w:t>
      </w:r>
      <w:r w:rsidR="004601D7">
        <w:rPr>
          <w:sz w:val="22"/>
          <w:szCs w:val="22"/>
          <w:shd w:val="clear" w:color="auto" w:fill="FFFFFF"/>
        </w:rPr>
        <w:t xml:space="preserve"> on an on-going basis</w:t>
      </w:r>
      <w:r w:rsidRPr="009F71D6" w:rsidR="004A294C">
        <w:rPr>
          <w:sz w:val="22"/>
          <w:szCs w:val="22"/>
          <w:shd w:val="clear" w:color="auto" w:fill="FFFFFF"/>
        </w:rPr>
        <w:t>.</w:t>
      </w:r>
    </w:p>
    <w:p w:rsidRPr="009F71D6" w:rsidR="00B9248E" w:rsidP="004A294C" w:rsidRDefault="00B9248E" w14:paraId="2B2E5D27" w14:textId="77777777">
      <w:pPr>
        <w:rPr>
          <w:sz w:val="22"/>
          <w:szCs w:val="22"/>
          <w:shd w:val="clear" w:color="auto" w:fill="FFFFFF"/>
        </w:rPr>
      </w:pPr>
    </w:p>
    <w:p w:rsidR="004A294C" w:rsidP="00402166" w:rsidRDefault="00CE632C" w14:paraId="1976F551" w14:textId="55433876">
      <w:pPr>
        <w:rPr>
          <w:sz w:val="22"/>
          <w:szCs w:val="22"/>
          <w:shd w:val="clear" w:color="auto" w:fill="FFFFFF"/>
        </w:rPr>
      </w:pPr>
      <w:r>
        <w:rPr>
          <w:sz w:val="22"/>
          <w:szCs w:val="22"/>
          <w:shd w:val="clear" w:color="auto" w:fill="FFFFFF"/>
        </w:rPr>
        <w:t xml:space="preserve">We estimate </w:t>
      </w:r>
      <w:r w:rsidR="006B62A1">
        <w:rPr>
          <w:sz w:val="22"/>
          <w:szCs w:val="22"/>
          <w:shd w:val="clear" w:color="auto" w:fill="FFFFFF"/>
        </w:rPr>
        <w:t xml:space="preserve">that the providers’ compliance with this recordkeeping requirement will account for 5 minutes of </w:t>
      </w:r>
      <w:r w:rsidR="006A6C85">
        <w:rPr>
          <w:sz w:val="22"/>
          <w:szCs w:val="22"/>
          <w:shd w:val="clear" w:color="auto" w:fill="FFFFFF"/>
        </w:rPr>
        <w:t>reporting</w:t>
      </w:r>
      <w:r w:rsidR="006B62A1">
        <w:rPr>
          <w:sz w:val="22"/>
          <w:szCs w:val="22"/>
          <w:shd w:val="clear" w:color="auto" w:fill="FFFFFF"/>
        </w:rPr>
        <w:t xml:space="preserve"> burden per caller. </w:t>
      </w:r>
    </w:p>
    <w:p w:rsidR="006B62A1" w:rsidP="00402166" w:rsidRDefault="006B62A1" w14:paraId="2DA2B15A" w14:textId="557A9D2A">
      <w:pPr>
        <w:rPr>
          <w:sz w:val="22"/>
          <w:szCs w:val="22"/>
          <w:shd w:val="clear" w:color="auto" w:fill="FFFFFF"/>
        </w:rPr>
      </w:pPr>
    </w:p>
    <w:p w:rsidR="00204C6F" w:rsidP="00402166" w:rsidRDefault="00911A10" w14:paraId="63F320E0" w14:textId="6C1A96D3">
      <w:pPr>
        <w:rPr>
          <w:b/>
          <w:sz w:val="22"/>
          <w:szCs w:val="22"/>
          <w:shd w:val="clear" w:color="auto" w:fill="FFFFFF"/>
        </w:rPr>
      </w:pPr>
      <w:r>
        <w:rPr>
          <w:b/>
          <w:sz w:val="22"/>
          <w:szCs w:val="22"/>
          <w:shd w:val="clear" w:color="auto" w:fill="FFFFFF"/>
        </w:rPr>
        <w:t xml:space="preserve">Annual Number of Respondents:  </w:t>
      </w:r>
      <w:r w:rsidR="003D42D4">
        <w:rPr>
          <w:b/>
          <w:sz w:val="22"/>
          <w:szCs w:val="22"/>
          <w:shd w:val="clear" w:color="auto" w:fill="FFFFFF"/>
        </w:rPr>
        <w:t>46</w:t>
      </w:r>
      <w:r w:rsidR="008221C2">
        <w:rPr>
          <w:b/>
          <w:sz w:val="22"/>
          <w:szCs w:val="22"/>
          <w:shd w:val="clear" w:color="auto" w:fill="FFFFFF"/>
        </w:rPr>
        <w:t>,</w:t>
      </w:r>
      <w:r w:rsidR="003D42D4">
        <w:rPr>
          <w:b/>
          <w:sz w:val="22"/>
          <w:szCs w:val="22"/>
          <w:shd w:val="clear" w:color="auto" w:fill="FFFFFF"/>
        </w:rPr>
        <w:t xml:space="preserve">291 </w:t>
      </w:r>
    </w:p>
    <w:p w:rsidR="00911A10" w:rsidP="00402166" w:rsidRDefault="00911A10" w14:paraId="5F617885" w14:textId="77777777">
      <w:pPr>
        <w:rPr>
          <w:b/>
          <w:sz w:val="22"/>
          <w:szCs w:val="22"/>
          <w:shd w:val="clear" w:color="auto" w:fill="FFFFFF"/>
        </w:rPr>
      </w:pPr>
    </w:p>
    <w:p w:rsidR="006B62A1" w:rsidP="00402166" w:rsidRDefault="00787626" w14:paraId="5BEC3B6F" w14:textId="36CA215D">
      <w:pPr>
        <w:rPr>
          <w:sz w:val="22"/>
          <w:szCs w:val="22"/>
          <w:shd w:val="clear" w:color="auto" w:fill="FFFFFF"/>
        </w:rPr>
      </w:pPr>
      <w:r>
        <w:rPr>
          <w:b/>
          <w:sz w:val="22"/>
          <w:szCs w:val="22"/>
          <w:shd w:val="clear" w:color="auto" w:fill="FFFFFF"/>
        </w:rPr>
        <w:t>Annual Number of Responses:</w:t>
      </w:r>
      <w:r>
        <w:rPr>
          <w:sz w:val="22"/>
          <w:szCs w:val="22"/>
          <w:shd w:val="clear" w:color="auto" w:fill="FFFFFF"/>
        </w:rPr>
        <w:t xml:space="preserve"> </w:t>
      </w:r>
      <w:r w:rsidRPr="004B5DAC" w:rsidR="00846BA4">
        <w:rPr>
          <w:b/>
          <w:sz w:val="22"/>
          <w:szCs w:val="22"/>
          <w:shd w:val="clear" w:color="auto" w:fill="FFFFFF"/>
        </w:rPr>
        <w:t xml:space="preserve">1,693 </w:t>
      </w:r>
      <w:r w:rsidRPr="004B5DAC" w:rsidR="00741BBE">
        <w:rPr>
          <w:b/>
          <w:sz w:val="22"/>
          <w:szCs w:val="22"/>
          <w:shd w:val="clear" w:color="auto" w:fill="FFFFFF"/>
        </w:rPr>
        <w:t>responses</w:t>
      </w:r>
      <w:r w:rsidDel="00741BBE" w:rsidR="00741BBE">
        <w:rPr>
          <w:sz w:val="22"/>
          <w:szCs w:val="22"/>
          <w:shd w:val="clear" w:color="auto" w:fill="FFFFFF"/>
        </w:rPr>
        <w:t xml:space="preserve"> </w:t>
      </w:r>
    </w:p>
    <w:p w:rsidR="00787626" w:rsidP="00402166" w:rsidRDefault="00787626" w14:paraId="1F65C0AB" w14:textId="1D9D250F">
      <w:pPr>
        <w:rPr>
          <w:sz w:val="22"/>
          <w:szCs w:val="22"/>
          <w:shd w:val="clear" w:color="auto" w:fill="FFFFFF"/>
        </w:rPr>
      </w:pPr>
    </w:p>
    <w:p w:rsidR="00787626" w:rsidP="00402166" w:rsidRDefault="00787626" w14:paraId="30A3681F" w14:textId="5757F05C">
      <w:pPr>
        <w:rPr>
          <w:sz w:val="22"/>
          <w:szCs w:val="22"/>
          <w:shd w:val="clear" w:color="auto" w:fill="FFFFFF"/>
        </w:rPr>
      </w:pPr>
      <w:r>
        <w:rPr>
          <w:b/>
          <w:sz w:val="22"/>
          <w:szCs w:val="22"/>
          <w:shd w:val="clear" w:color="auto" w:fill="FFFFFF"/>
        </w:rPr>
        <w:t>Annual Burden Hours</w:t>
      </w:r>
      <w:r>
        <w:rPr>
          <w:sz w:val="22"/>
          <w:szCs w:val="22"/>
          <w:shd w:val="clear" w:color="auto" w:fill="FFFFFF"/>
        </w:rPr>
        <w:t xml:space="preserve">: </w:t>
      </w:r>
      <w:r w:rsidR="00F65A90">
        <w:rPr>
          <w:sz w:val="22"/>
          <w:szCs w:val="22"/>
          <w:shd w:val="clear" w:color="auto" w:fill="FFFFFF"/>
        </w:rPr>
        <w:t>1,693 re</w:t>
      </w:r>
      <w:r w:rsidR="00947FBA">
        <w:rPr>
          <w:sz w:val="22"/>
          <w:szCs w:val="22"/>
          <w:shd w:val="clear" w:color="auto" w:fill="FFFFFF"/>
        </w:rPr>
        <w:t>ports</w:t>
      </w:r>
      <w:r w:rsidR="00741BBE">
        <w:rPr>
          <w:sz w:val="22"/>
          <w:szCs w:val="22"/>
          <w:shd w:val="clear" w:color="auto" w:fill="FFFFFF"/>
        </w:rPr>
        <w:t xml:space="preserve"> </w:t>
      </w:r>
      <w:r w:rsidR="00F65A90">
        <w:rPr>
          <w:sz w:val="22"/>
          <w:szCs w:val="22"/>
          <w:shd w:val="clear" w:color="auto" w:fill="FFFFFF"/>
        </w:rPr>
        <w:t>x .083 hour</w:t>
      </w:r>
      <w:r w:rsidR="00017B30">
        <w:rPr>
          <w:sz w:val="22"/>
          <w:szCs w:val="22"/>
          <w:shd w:val="clear" w:color="auto" w:fill="FFFFFF"/>
        </w:rPr>
        <w:t xml:space="preserve"> (5 minutes)</w:t>
      </w:r>
      <w:r w:rsidR="00F65A90">
        <w:rPr>
          <w:sz w:val="22"/>
          <w:szCs w:val="22"/>
          <w:shd w:val="clear" w:color="auto" w:fill="FFFFFF"/>
        </w:rPr>
        <w:t xml:space="preserve"> = </w:t>
      </w:r>
      <w:r w:rsidR="00A063E6">
        <w:rPr>
          <w:sz w:val="22"/>
          <w:szCs w:val="22"/>
          <w:shd w:val="clear" w:color="auto" w:fill="FFFFFF"/>
        </w:rPr>
        <w:t>140.519 (</w:t>
      </w:r>
      <w:r w:rsidR="00F65A90">
        <w:rPr>
          <w:b/>
          <w:sz w:val="22"/>
          <w:szCs w:val="22"/>
          <w:shd w:val="clear" w:color="auto" w:fill="FFFFFF"/>
        </w:rPr>
        <w:t>14</w:t>
      </w:r>
      <w:r w:rsidR="00A063E6">
        <w:rPr>
          <w:b/>
          <w:sz w:val="22"/>
          <w:szCs w:val="22"/>
          <w:shd w:val="clear" w:color="auto" w:fill="FFFFFF"/>
        </w:rPr>
        <w:t>1</w:t>
      </w:r>
      <w:r w:rsidR="00F65A90">
        <w:rPr>
          <w:b/>
          <w:sz w:val="22"/>
          <w:szCs w:val="22"/>
          <w:shd w:val="clear" w:color="auto" w:fill="FFFFFF"/>
        </w:rPr>
        <w:t xml:space="preserve"> hours</w:t>
      </w:r>
      <w:r w:rsidR="00A063E6">
        <w:rPr>
          <w:b/>
          <w:sz w:val="22"/>
          <w:szCs w:val="22"/>
          <w:shd w:val="clear" w:color="auto" w:fill="FFFFFF"/>
        </w:rPr>
        <w:t xml:space="preserve"> rounded</w:t>
      </w:r>
      <w:r w:rsidR="005A2DC6">
        <w:rPr>
          <w:b/>
          <w:sz w:val="22"/>
          <w:szCs w:val="22"/>
          <w:shd w:val="clear" w:color="auto" w:fill="FFFFFF"/>
        </w:rPr>
        <w:t>)</w:t>
      </w:r>
    </w:p>
    <w:p w:rsidR="00F65A90" w:rsidP="00402166" w:rsidRDefault="00F65A90" w14:paraId="14431DC3" w14:textId="6DD96B46">
      <w:pPr>
        <w:rPr>
          <w:sz w:val="22"/>
          <w:szCs w:val="22"/>
          <w:shd w:val="clear" w:color="auto" w:fill="FFFFFF"/>
        </w:rPr>
      </w:pPr>
    </w:p>
    <w:p w:rsidR="00F65A90" w:rsidP="00402166" w:rsidRDefault="00F65A90" w14:paraId="48F5476D" w14:textId="7541536A">
      <w:pPr>
        <w:rPr>
          <w:sz w:val="22"/>
          <w:szCs w:val="22"/>
          <w:shd w:val="clear" w:color="auto" w:fill="FFFFFF"/>
        </w:rPr>
      </w:pPr>
      <w:r>
        <w:rPr>
          <w:b/>
          <w:sz w:val="22"/>
          <w:szCs w:val="22"/>
          <w:shd w:val="clear" w:color="auto" w:fill="FFFFFF"/>
        </w:rPr>
        <w:t>Annual “In-House” Cost:</w:t>
      </w:r>
      <w:r>
        <w:rPr>
          <w:sz w:val="22"/>
          <w:szCs w:val="22"/>
          <w:shd w:val="clear" w:color="auto" w:fill="FFFFFF"/>
        </w:rPr>
        <w:t xml:space="preserve"> The Commission assumes that respondents would use “in-house” person</w:t>
      </w:r>
      <w:r w:rsidR="00A775EF">
        <w:rPr>
          <w:sz w:val="22"/>
          <w:szCs w:val="22"/>
          <w:shd w:val="clear" w:color="auto" w:fill="FFFFFF"/>
        </w:rPr>
        <w:t>ne</w:t>
      </w:r>
      <w:r>
        <w:rPr>
          <w:sz w:val="22"/>
          <w:szCs w:val="22"/>
          <w:shd w:val="clear" w:color="auto" w:fill="FFFFFF"/>
        </w:rPr>
        <w:t xml:space="preserve">l to ensure responses to requests for blocked Caller ID </w:t>
      </w:r>
      <w:r w:rsidR="00A775EF">
        <w:rPr>
          <w:sz w:val="22"/>
          <w:szCs w:val="22"/>
          <w:shd w:val="clear" w:color="auto" w:fill="FFFFFF"/>
        </w:rPr>
        <w:t>reports</w:t>
      </w:r>
      <w:r>
        <w:rPr>
          <w:sz w:val="22"/>
          <w:szCs w:val="22"/>
          <w:shd w:val="clear" w:color="auto" w:fill="FFFFFF"/>
        </w:rPr>
        <w:t>.  The pay of such personnel is comparable to a federal employee GS-4/5.  Thus, the Commission estimates respondents’ cost to be about $</w:t>
      </w:r>
      <w:r w:rsidR="000B764A">
        <w:rPr>
          <w:sz w:val="22"/>
          <w:szCs w:val="22"/>
          <w:shd w:val="clear" w:color="auto" w:fill="FFFFFF"/>
        </w:rPr>
        <w:t>1</w:t>
      </w:r>
      <w:r w:rsidR="00E201CE">
        <w:rPr>
          <w:sz w:val="22"/>
          <w:szCs w:val="22"/>
          <w:shd w:val="clear" w:color="auto" w:fill="FFFFFF"/>
        </w:rPr>
        <w:t>9</w:t>
      </w:r>
      <w:r w:rsidR="000B764A">
        <w:rPr>
          <w:sz w:val="22"/>
          <w:szCs w:val="22"/>
          <w:shd w:val="clear" w:color="auto" w:fill="FFFFFF"/>
        </w:rPr>
        <w:t>.</w:t>
      </w:r>
      <w:r w:rsidR="00E201CE">
        <w:rPr>
          <w:sz w:val="22"/>
          <w:szCs w:val="22"/>
          <w:shd w:val="clear" w:color="auto" w:fill="FFFFFF"/>
        </w:rPr>
        <w:t>26</w:t>
      </w:r>
      <w:r>
        <w:rPr>
          <w:sz w:val="22"/>
          <w:szCs w:val="22"/>
          <w:shd w:val="clear" w:color="auto" w:fill="FFFFFF"/>
        </w:rPr>
        <w:t xml:space="preserve"> per hour to comply with the requirement:</w:t>
      </w:r>
    </w:p>
    <w:p w:rsidR="00F65A90" w:rsidP="00402166" w:rsidRDefault="00F65A90" w14:paraId="4B23F8B6" w14:textId="3E093D6D">
      <w:pPr>
        <w:rPr>
          <w:sz w:val="22"/>
          <w:szCs w:val="22"/>
          <w:shd w:val="clear" w:color="auto" w:fill="FFFFFF"/>
        </w:rPr>
      </w:pPr>
    </w:p>
    <w:p w:rsidR="00F65A90" w:rsidP="00402166" w:rsidRDefault="005A2DC6" w14:paraId="03865A3D" w14:textId="223B2FCE">
      <w:pPr>
        <w:rPr>
          <w:b/>
          <w:sz w:val="22"/>
          <w:szCs w:val="22"/>
          <w:shd w:val="clear" w:color="auto" w:fill="FFFFFF"/>
        </w:rPr>
      </w:pPr>
      <w:r>
        <w:rPr>
          <w:sz w:val="22"/>
          <w:szCs w:val="22"/>
          <w:shd w:val="clear" w:color="auto" w:fill="FFFFFF"/>
        </w:rPr>
        <w:t xml:space="preserve">141 hours </w:t>
      </w:r>
      <w:r w:rsidR="00A775EF">
        <w:rPr>
          <w:sz w:val="22"/>
          <w:szCs w:val="22"/>
          <w:shd w:val="clear" w:color="auto" w:fill="FFFFFF"/>
        </w:rPr>
        <w:t xml:space="preserve">report </w:t>
      </w:r>
      <w:r w:rsidR="00051670">
        <w:rPr>
          <w:sz w:val="22"/>
          <w:szCs w:val="22"/>
          <w:shd w:val="clear" w:color="auto" w:fill="FFFFFF"/>
        </w:rPr>
        <w:t>record x $1</w:t>
      </w:r>
      <w:r w:rsidR="00E201CE">
        <w:rPr>
          <w:sz w:val="22"/>
          <w:szCs w:val="22"/>
          <w:shd w:val="clear" w:color="auto" w:fill="FFFFFF"/>
        </w:rPr>
        <w:t>9</w:t>
      </w:r>
      <w:r w:rsidR="00051670">
        <w:rPr>
          <w:sz w:val="22"/>
          <w:szCs w:val="22"/>
          <w:shd w:val="clear" w:color="auto" w:fill="FFFFFF"/>
        </w:rPr>
        <w:t>.</w:t>
      </w:r>
      <w:r w:rsidR="00E201CE">
        <w:rPr>
          <w:sz w:val="22"/>
          <w:szCs w:val="22"/>
          <w:shd w:val="clear" w:color="auto" w:fill="FFFFFF"/>
        </w:rPr>
        <w:t>26</w:t>
      </w:r>
      <w:r w:rsidR="00F65A90">
        <w:rPr>
          <w:sz w:val="22"/>
          <w:szCs w:val="22"/>
          <w:shd w:val="clear" w:color="auto" w:fill="FFFFFF"/>
        </w:rPr>
        <w:t xml:space="preserve"> =</w:t>
      </w:r>
      <w:r w:rsidR="00F65A90">
        <w:rPr>
          <w:b/>
          <w:sz w:val="22"/>
          <w:szCs w:val="22"/>
          <w:shd w:val="clear" w:color="auto" w:fill="FFFFFF"/>
        </w:rPr>
        <w:t xml:space="preserve"> $</w:t>
      </w:r>
      <w:r w:rsidR="009762CE">
        <w:rPr>
          <w:b/>
          <w:sz w:val="22"/>
          <w:szCs w:val="22"/>
          <w:shd w:val="clear" w:color="auto" w:fill="FFFFFF"/>
        </w:rPr>
        <w:t>2</w:t>
      </w:r>
      <w:r w:rsidR="005C4B83">
        <w:rPr>
          <w:b/>
          <w:sz w:val="22"/>
          <w:szCs w:val="22"/>
          <w:shd w:val="clear" w:color="auto" w:fill="FFFFFF"/>
        </w:rPr>
        <w:t>,</w:t>
      </w:r>
      <w:r w:rsidR="00342FC6">
        <w:rPr>
          <w:b/>
          <w:sz w:val="22"/>
          <w:szCs w:val="22"/>
          <w:shd w:val="clear" w:color="auto" w:fill="FFFFFF"/>
        </w:rPr>
        <w:t>715.66</w:t>
      </w:r>
      <w:r w:rsidR="009762CE">
        <w:rPr>
          <w:b/>
          <w:sz w:val="22"/>
          <w:szCs w:val="22"/>
          <w:shd w:val="clear" w:color="auto" w:fill="FFFFFF"/>
        </w:rPr>
        <w:t xml:space="preserve"> </w:t>
      </w:r>
    </w:p>
    <w:p w:rsidR="009762CE" w:rsidP="00402166" w:rsidRDefault="009762CE" w14:paraId="58070CDC" w14:textId="4A685807">
      <w:pPr>
        <w:rPr>
          <w:b/>
          <w:sz w:val="22"/>
          <w:szCs w:val="22"/>
          <w:shd w:val="clear" w:color="auto" w:fill="FFFFFF"/>
        </w:rPr>
      </w:pPr>
    </w:p>
    <w:p w:rsidR="009762CE" w:rsidP="00402166" w:rsidRDefault="009762CE" w14:paraId="2005EDD2" w14:textId="26B2148A">
      <w:pPr>
        <w:rPr>
          <w:sz w:val="22"/>
          <w:szCs w:val="22"/>
          <w:shd w:val="clear" w:color="auto" w:fill="FFFFFF"/>
        </w:rPr>
      </w:pPr>
      <w:r>
        <w:rPr>
          <w:b/>
          <w:i/>
          <w:sz w:val="22"/>
          <w:szCs w:val="22"/>
          <w:u w:val="single"/>
          <w:shd w:val="clear" w:color="auto" w:fill="FFFFFF"/>
        </w:rPr>
        <w:t>Cumulative Totals for Information Collection Requirements</w:t>
      </w:r>
      <w:r>
        <w:rPr>
          <w:sz w:val="22"/>
          <w:szCs w:val="22"/>
          <w:shd w:val="clear" w:color="auto" w:fill="FFFFFF"/>
        </w:rPr>
        <w:t>:</w:t>
      </w:r>
    </w:p>
    <w:p w:rsidR="009762CE" w:rsidP="00402166" w:rsidRDefault="009762CE" w14:paraId="18CAB3B3" w14:textId="335C8B08">
      <w:pPr>
        <w:rPr>
          <w:sz w:val="22"/>
          <w:szCs w:val="22"/>
          <w:shd w:val="clear" w:color="auto" w:fill="FFFFFF"/>
        </w:rPr>
      </w:pPr>
    </w:p>
    <w:p w:rsidR="009762CE" w:rsidP="00402166" w:rsidRDefault="00D1550B" w14:paraId="004E83CF" w14:textId="6287F6BC">
      <w:pPr>
        <w:rPr>
          <w:sz w:val="22"/>
          <w:szCs w:val="22"/>
          <w:shd w:val="clear" w:color="auto" w:fill="FFFFFF"/>
        </w:rPr>
      </w:pPr>
      <w:r>
        <w:rPr>
          <w:b/>
          <w:sz w:val="22"/>
          <w:szCs w:val="22"/>
          <w:shd w:val="clear" w:color="auto" w:fill="FFFFFF"/>
        </w:rPr>
        <w:t xml:space="preserve">Total </w:t>
      </w:r>
      <w:r w:rsidR="009762CE">
        <w:rPr>
          <w:b/>
          <w:sz w:val="22"/>
          <w:szCs w:val="22"/>
          <w:shd w:val="clear" w:color="auto" w:fill="FFFFFF"/>
        </w:rPr>
        <w:t>Number of Respondents:</w:t>
      </w:r>
      <w:r w:rsidR="002120E7">
        <w:rPr>
          <w:sz w:val="22"/>
          <w:szCs w:val="22"/>
          <w:shd w:val="clear" w:color="auto" w:fill="FFFFFF"/>
        </w:rPr>
        <w:t xml:space="preserve"> </w:t>
      </w:r>
      <w:r w:rsidRPr="003273A2" w:rsidR="00690D62">
        <w:rPr>
          <w:b/>
          <w:sz w:val="22"/>
          <w:szCs w:val="22"/>
          <w:shd w:val="clear" w:color="auto" w:fill="FFFFFF"/>
        </w:rPr>
        <w:t>46,291</w:t>
      </w:r>
    </w:p>
    <w:p w:rsidR="004A294C" w:rsidP="00402166" w:rsidRDefault="004A294C" w14:paraId="5C2E2602" w14:textId="7174FC48">
      <w:pPr>
        <w:rPr>
          <w:sz w:val="22"/>
          <w:szCs w:val="22"/>
          <w:shd w:val="clear" w:color="auto" w:fill="FFFFFF"/>
        </w:rPr>
      </w:pPr>
    </w:p>
    <w:p w:rsidR="004A294C" w:rsidP="00402166" w:rsidRDefault="004A294C" w14:paraId="2FFF4307" w14:textId="6F6EC552">
      <w:pPr>
        <w:rPr>
          <w:b/>
          <w:sz w:val="22"/>
          <w:szCs w:val="22"/>
          <w:shd w:val="clear" w:color="auto" w:fill="FFFFFF"/>
        </w:rPr>
      </w:pPr>
      <w:r>
        <w:rPr>
          <w:b/>
          <w:sz w:val="22"/>
          <w:szCs w:val="22"/>
          <w:shd w:val="clear" w:color="auto" w:fill="FFFFFF"/>
        </w:rPr>
        <w:t>Total Number of Responses:</w:t>
      </w:r>
      <w:r w:rsidR="00D1550B">
        <w:rPr>
          <w:b/>
          <w:sz w:val="22"/>
          <w:szCs w:val="22"/>
          <w:shd w:val="clear" w:color="auto" w:fill="FFFFFF"/>
        </w:rPr>
        <w:t xml:space="preserve"> </w:t>
      </w:r>
    </w:p>
    <w:p w:rsidR="004A294C" w:rsidP="00402166" w:rsidRDefault="004A294C" w14:paraId="05E3B892" w14:textId="38340DC4">
      <w:pPr>
        <w:rPr>
          <w:b/>
          <w:sz w:val="22"/>
          <w:szCs w:val="22"/>
          <w:shd w:val="clear" w:color="auto" w:fill="FFFFFF"/>
        </w:rPr>
      </w:pPr>
    </w:p>
    <w:p w:rsidR="000B764A" w:rsidP="00402166" w:rsidRDefault="000B764A" w14:paraId="4000FC15" w14:textId="4AB70EFD">
      <w:pPr>
        <w:rPr>
          <w:sz w:val="22"/>
          <w:szCs w:val="22"/>
          <w:shd w:val="clear" w:color="auto" w:fill="FFFFFF"/>
        </w:rPr>
      </w:pPr>
      <w:r>
        <w:rPr>
          <w:sz w:val="22"/>
          <w:szCs w:val="22"/>
          <w:shd w:val="clear" w:color="auto" w:fill="FFFFFF"/>
        </w:rPr>
        <w:t>1</w:t>
      </w:r>
      <w:r w:rsidR="00D372E9">
        <w:rPr>
          <w:sz w:val="22"/>
          <w:szCs w:val="22"/>
          <w:shd w:val="clear" w:color="auto" w:fill="FFFFFF"/>
        </w:rPr>
        <w:t>2</w:t>
      </w:r>
      <w:r w:rsidR="002E66B4">
        <w:rPr>
          <w:sz w:val="22"/>
          <w:szCs w:val="22"/>
          <w:shd w:val="clear" w:color="auto" w:fill="FFFFFF"/>
        </w:rPr>
        <w:t xml:space="preserve"> +</w:t>
      </w:r>
      <w:r w:rsidR="009B07BE">
        <w:rPr>
          <w:sz w:val="22"/>
          <w:szCs w:val="22"/>
          <w:shd w:val="clear" w:color="auto" w:fill="FFFFFF"/>
        </w:rPr>
        <w:t xml:space="preserve"> </w:t>
      </w:r>
      <w:r>
        <w:rPr>
          <w:sz w:val="22"/>
          <w:szCs w:val="22"/>
          <w:shd w:val="clear" w:color="auto" w:fill="FFFFFF"/>
        </w:rPr>
        <w:t xml:space="preserve">1,693 = </w:t>
      </w:r>
      <w:r w:rsidR="00DA2DEF">
        <w:rPr>
          <w:b/>
          <w:sz w:val="22"/>
          <w:szCs w:val="22"/>
          <w:shd w:val="clear" w:color="auto" w:fill="FFFFFF"/>
        </w:rPr>
        <w:t>1</w:t>
      </w:r>
      <w:r w:rsidR="00D372E9">
        <w:rPr>
          <w:b/>
          <w:sz w:val="22"/>
          <w:szCs w:val="22"/>
          <w:shd w:val="clear" w:color="auto" w:fill="FFFFFF"/>
        </w:rPr>
        <w:t>,705</w:t>
      </w:r>
      <w:r>
        <w:rPr>
          <w:b/>
          <w:sz w:val="22"/>
          <w:szCs w:val="22"/>
          <w:shd w:val="clear" w:color="auto" w:fill="FFFFFF"/>
        </w:rPr>
        <w:t xml:space="preserve"> responses </w:t>
      </w:r>
    </w:p>
    <w:p w:rsidR="000B764A" w:rsidP="00402166" w:rsidRDefault="000B764A" w14:paraId="6DEC174F" w14:textId="15471F19">
      <w:pPr>
        <w:rPr>
          <w:sz w:val="22"/>
          <w:szCs w:val="22"/>
          <w:shd w:val="clear" w:color="auto" w:fill="FFFFFF"/>
        </w:rPr>
      </w:pPr>
    </w:p>
    <w:p w:rsidR="000B764A" w:rsidP="00402166" w:rsidRDefault="000B764A" w14:paraId="6480BD0C" w14:textId="3DD0D832">
      <w:pPr>
        <w:rPr>
          <w:b/>
          <w:sz w:val="22"/>
          <w:szCs w:val="22"/>
          <w:shd w:val="clear" w:color="auto" w:fill="FFFFFF"/>
        </w:rPr>
      </w:pPr>
      <w:r>
        <w:rPr>
          <w:b/>
          <w:sz w:val="22"/>
          <w:szCs w:val="22"/>
          <w:shd w:val="clear" w:color="auto" w:fill="FFFFFF"/>
        </w:rPr>
        <w:t>Total Burden Hours:</w:t>
      </w:r>
    </w:p>
    <w:p w:rsidR="000B764A" w:rsidP="00402166" w:rsidRDefault="000B764A" w14:paraId="1002C1B2" w14:textId="54CD80BC">
      <w:pPr>
        <w:rPr>
          <w:b/>
          <w:sz w:val="22"/>
          <w:szCs w:val="22"/>
          <w:shd w:val="clear" w:color="auto" w:fill="FFFFFF"/>
        </w:rPr>
      </w:pPr>
    </w:p>
    <w:p w:rsidR="000B764A" w:rsidP="00402166" w:rsidRDefault="00E667C8" w14:paraId="6AD0998A" w14:textId="4CB8C568">
      <w:pPr>
        <w:rPr>
          <w:sz w:val="22"/>
          <w:szCs w:val="22"/>
          <w:shd w:val="clear" w:color="auto" w:fill="FFFFFF"/>
        </w:rPr>
      </w:pPr>
      <w:r>
        <w:rPr>
          <w:sz w:val="22"/>
          <w:szCs w:val="22"/>
          <w:shd w:val="clear" w:color="auto" w:fill="FFFFFF"/>
        </w:rPr>
        <w:t xml:space="preserve">1 </w:t>
      </w:r>
      <w:r w:rsidR="000B764A">
        <w:rPr>
          <w:sz w:val="22"/>
          <w:szCs w:val="22"/>
          <w:shd w:val="clear" w:color="auto" w:fill="FFFFFF"/>
        </w:rPr>
        <w:t>+ 14</w:t>
      </w:r>
      <w:r>
        <w:rPr>
          <w:sz w:val="22"/>
          <w:szCs w:val="22"/>
          <w:shd w:val="clear" w:color="auto" w:fill="FFFFFF"/>
        </w:rPr>
        <w:t>1</w:t>
      </w:r>
      <w:r w:rsidR="000B764A">
        <w:rPr>
          <w:sz w:val="22"/>
          <w:szCs w:val="22"/>
          <w:shd w:val="clear" w:color="auto" w:fill="FFFFFF"/>
        </w:rPr>
        <w:t xml:space="preserve"> = </w:t>
      </w:r>
      <w:r w:rsidR="00D372E9">
        <w:rPr>
          <w:b/>
          <w:sz w:val="22"/>
          <w:szCs w:val="22"/>
          <w:shd w:val="clear" w:color="auto" w:fill="FFFFFF"/>
        </w:rPr>
        <w:t>14</w:t>
      </w:r>
      <w:r>
        <w:rPr>
          <w:b/>
          <w:sz w:val="22"/>
          <w:szCs w:val="22"/>
          <w:shd w:val="clear" w:color="auto" w:fill="FFFFFF"/>
        </w:rPr>
        <w:t>2</w:t>
      </w:r>
      <w:r w:rsidR="000B764A">
        <w:rPr>
          <w:sz w:val="22"/>
          <w:szCs w:val="22"/>
          <w:shd w:val="clear" w:color="auto" w:fill="FFFFFF"/>
        </w:rPr>
        <w:t xml:space="preserve"> </w:t>
      </w:r>
    </w:p>
    <w:p w:rsidR="000B764A" w:rsidP="00402166" w:rsidRDefault="000B764A" w14:paraId="70C40219" w14:textId="2A91632F">
      <w:pPr>
        <w:rPr>
          <w:sz w:val="22"/>
          <w:szCs w:val="22"/>
          <w:shd w:val="clear" w:color="auto" w:fill="FFFFFF"/>
        </w:rPr>
      </w:pPr>
    </w:p>
    <w:p w:rsidR="000B764A" w:rsidP="00402166" w:rsidRDefault="000B764A" w14:paraId="2696BD58" w14:textId="10BD4D30">
      <w:pPr>
        <w:rPr>
          <w:sz w:val="22"/>
          <w:szCs w:val="22"/>
          <w:shd w:val="clear" w:color="auto" w:fill="FFFFFF"/>
        </w:rPr>
      </w:pPr>
      <w:r>
        <w:rPr>
          <w:b/>
          <w:sz w:val="22"/>
          <w:szCs w:val="22"/>
          <w:shd w:val="clear" w:color="auto" w:fill="FFFFFF"/>
        </w:rPr>
        <w:t>Total Annual “In-House” Costs</w:t>
      </w:r>
      <w:r w:rsidRPr="006F4CED">
        <w:rPr>
          <w:bCs/>
          <w:sz w:val="22"/>
          <w:szCs w:val="22"/>
          <w:shd w:val="clear" w:color="auto" w:fill="FFFFFF"/>
        </w:rPr>
        <w:t>:  $</w:t>
      </w:r>
      <w:r w:rsidRPr="006F4CED" w:rsidR="000702C9">
        <w:rPr>
          <w:bCs/>
          <w:sz w:val="22"/>
          <w:szCs w:val="22"/>
          <w:shd w:val="clear" w:color="auto" w:fill="FFFFFF"/>
        </w:rPr>
        <w:t>1</w:t>
      </w:r>
      <w:r w:rsidRPr="006F4CED" w:rsidR="00342FC6">
        <w:rPr>
          <w:bCs/>
          <w:sz w:val="22"/>
          <w:szCs w:val="22"/>
          <w:shd w:val="clear" w:color="auto" w:fill="FFFFFF"/>
        </w:rPr>
        <w:t>9</w:t>
      </w:r>
      <w:r w:rsidRPr="006F4CED" w:rsidR="000702C9">
        <w:rPr>
          <w:bCs/>
          <w:sz w:val="22"/>
          <w:szCs w:val="22"/>
          <w:shd w:val="clear" w:color="auto" w:fill="FFFFFF"/>
        </w:rPr>
        <w:t>.</w:t>
      </w:r>
      <w:r w:rsidRPr="006F4CED" w:rsidR="00342FC6">
        <w:rPr>
          <w:bCs/>
          <w:sz w:val="22"/>
          <w:szCs w:val="22"/>
          <w:shd w:val="clear" w:color="auto" w:fill="FFFFFF"/>
        </w:rPr>
        <w:t>26</w:t>
      </w:r>
      <w:r>
        <w:rPr>
          <w:b/>
          <w:sz w:val="22"/>
          <w:szCs w:val="22"/>
          <w:shd w:val="clear" w:color="auto" w:fill="FFFFFF"/>
        </w:rPr>
        <w:t xml:space="preserve">+ </w:t>
      </w:r>
      <w:r>
        <w:rPr>
          <w:sz w:val="22"/>
          <w:szCs w:val="22"/>
          <w:shd w:val="clear" w:color="auto" w:fill="FFFFFF"/>
        </w:rPr>
        <w:t>$2,</w:t>
      </w:r>
      <w:r w:rsidR="00342FC6">
        <w:rPr>
          <w:sz w:val="22"/>
          <w:szCs w:val="22"/>
          <w:shd w:val="clear" w:color="auto" w:fill="FFFFFF"/>
        </w:rPr>
        <w:t>715</w:t>
      </w:r>
      <w:r>
        <w:rPr>
          <w:sz w:val="22"/>
          <w:szCs w:val="22"/>
          <w:shd w:val="clear" w:color="auto" w:fill="FFFFFF"/>
        </w:rPr>
        <w:t>.</w:t>
      </w:r>
      <w:r w:rsidR="00342FC6">
        <w:rPr>
          <w:sz w:val="22"/>
          <w:szCs w:val="22"/>
          <w:shd w:val="clear" w:color="auto" w:fill="FFFFFF"/>
        </w:rPr>
        <w:t>66</w:t>
      </w:r>
      <w:r>
        <w:rPr>
          <w:sz w:val="22"/>
          <w:szCs w:val="22"/>
          <w:shd w:val="clear" w:color="auto" w:fill="FFFFFF"/>
        </w:rPr>
        <w:t xml:space="preserve"> = </w:t>
      </w:r>
      <w:r>
        <w:rPr>
          <w:b/>
          <w:sz w:val="22"/>
          <w:szCs w:val="22"/>
          <w:shd w:val="clear" w:color="auto" w:fill="FFFFFF"/>
        </w:rPr>
        <w:t>$</w:t>
      </w:r>
      <w:r w:rsidR="008B67B7">
        <w:rPr>
          <w:b/>
          <w:sz w:val="22"/>
          <w:szCs w:val="22"/>
          <w:shd w:val="clear" w:color="auto" w:fill="FFFFFF"/>
        </w:rPr>
        <w:t>2</w:t>
      </w:r>
      <w:r w:rsidR="005D0C60">
        <w:rPr>
          <w:b/>
          <w:sz w:val="22"/>
          <w:szCs w:val="22"/>
          <w:shd w:val="clear" w:color="auto" w:fill="FFFFFF"/>
        </w:rPr>
        <w:t>,</w:t>
      </w:r>
      <w:r w:rsidR="00342FC6">
        <w:rPr>
          <w:b/>
          <w:sz w:val="22"/>
          <w:szCs w:val="22"/>
          <w:shd w:val="clear" w:color="auto" w:fill="FFFFFF"/>
        </w:rPr>
        <w:t>734</w:t>
      </w:r>
      <w:r w:rsidR="005D0C60">
        <w:rPr>
          <w:b/>
          <w:sz w:val="22"/>
          <w:szCs w:val="22"/>
          <w:shd w:val="clear" w:color="auto" w:fill="FFFFFF"/>
        </w:rPr>
        <w:t>.</w:t>
      </w:r>
      <w:r w:rsidR="00342FC6">
        <w:rPr>
          <w:b/>
          <w:sz w:val="22"/>
          <w:szCs w:val="22"/>
          <w:shd w:val="clear" w:color="auto" w:fill="FFFFFF"/>
        </w:rPr>
        <w:t>9</w:t>
      </w:r>
      <w:r w:rsidR="005D0C60">
        <w:rPr>
          <w:b/>
          <w:sz w:val="22"/>
          <w:szCs w:val="22"/>
          <w:shd w:val="clear" w:color="auto" w:fill="FFFFFF"/>
        </w:rPr>
        <w:t>2</w:t>
      </w:r>
    </w:p>
    <w:p w:rsidRPr="000B764A" w:rsidR="000B764A" w:rsidP="00402166" w:rsidRDefault="000B764A" w14:paraId="3E05D472" w14:textId="16A7EE1F">
      <w:pPr>
        <w:rPr>
          <w:sz w:val="22"/>
          <w:szCs w:val="22"/>
          <w:shd w:val="clear" w:color="auto" w:fill="FFFFFF"/>
        </w:rPr>
      </w:pPr>
    </w:p>
    <w:p w:rsidR="00A032BF" w:rsidP="00402166" w:rsidRDefault="0031378D" w14:paraId="7EAD4F82" w14:textId="77777777">
      <w:pPr>
        <w:rPr>
          <w:sz w:val="22"/>
          <w:szCs w:val="22"/>
          <w:shd w:val="clear" w:color="auto" w:fill="FFFFFF"/>
        </w:rPr>
      </w:pPr>
      <w:r>
        <w:rPr>
          <w:sz w:val="22"/>
          <w:szCs w:val="22"/>
          <w:shd w:val="clear" w:color="auto" w:fill="FFFFFF"/>
        </w:rPr>
        <w:t xml:space="preserve">13. </w:t>
      </w:r>
      <w:r w:rsidR="00A032BF">
        <w:rPr>
          <w:sz w:val="22"/>
          <w:szCs w:val="22"/>
          <w:shd w:val="clear" w:color="auto" w:fill="FFFFFF"/>
        </w:rPr>
        <w:t>The following represents the Commission’s estimate of cumulative annual cost burden to respondents resulting from the collections of information:</w:t>
      </w:r>
    </w:p>
    <w:p w:rsidR="00A032BF" w:rsidP="00402166" w:rsidRDefault="00A032BF" w14:paraId="3A44924F" w14:textId="77777777">
      <w:pPr>
        <w:rPr>
          <w:sz w:val="22"/>
          <w:szCs w:val="22"/>
          <w:shd w:val="clear" w:color="auto" w:fill="FFFFFF"/>
        </w:rPr>
      </w:pPr>
    </w:p>
    <w:p w:rsidR="000A1B44" w:rsidP="00A032BF" w:rsidRDefault="00A032BF" w14:paraId="359D0AA9" w14:textId="161CF0F7">
      <w:pPr>
        <w:rPr>
          <w:sz w:val="22"/>
          <w:szCs w:val="22"/>
          <w:shd w:val="clear" w:color="auto" w:fill="FFFFFF"/>
        </w:rPr>
      </w:pPr>
      <w:r>
        <w:rPr>
          <w:sz w:val="22"/>
          <w:szCs w:val="22"/>
          <w:shd w:val="clear" w:color="auto" w:fill="FFFFFF"/>
        </w:rPr>
        <w:t>The Commission estimates that carriers will not have to purchase or upgrade software or other capital equipment to comply with the Commission’s rules.  Carriers should already have equipment and personnel in place to comply with ECPA.</w:t>
      </w:r>
      <w:r w:rsidR="00231117">
        <w:rPr>
          <w:sz w:val="22"/>
          <w:szCs w:val="22"/>
          <w:shd w:val="clear" w:color="auto" w:fill="FFFFFF"/>
        </w:rPr>
        <w:t xml:space="preserve">  Therefore:</w:t>
      </w:r>
    </w:p>
    <w:p w:rsidR="000A1B44" w:rsidP="00A032BF" w:rsidRDefault="000A1B44" w14:paraId="20D847E7" w14:textId="77777777">
      <w:pPr>
        <w:rPr>
          <w:sz w:val="22"/>
          <w:szCs w:val="22"/>
          <w:shd w:val="clear" w:color="auto" w:fill="FFFFFF"/>
        </w:rPr>
      </w:pPr>
    </w:p>
    <w:p w:rsidR="00A032BF" w:rsidP="00A032BF" w:rsidRDefault="00904A01" w14:paraId="2857BED8" w14:textId="15118435">
      <w:pPr>
        <w:rPr>
          <w:sz w:val="22"/>
          <w:szCs w:val="22"/>
          <w:shd w:val="clear" w:color="auto" w:fill="FFFFFF"/>
        </w:rPr>
      </w:pPr>
      <w:r>
        <w:rPr>
          <w:sz w:val="22"/>
          <w:szCs w:val="22"/>
          <w:shd w:val="clear" w:color="auto" w:fill="FFFFFF"/>
        </w:rPr>
        <w:t xml:space="preserve">(a)  </w:t>
      </w:r>
      <w:r w:rsidR="00231117">
        <w:rPr>
          <w:sz w:val="22"/>
          <w:szCs w:val="22"/>
          <w:shd w:val="clear" w:color="auto" w:fill="FFFFFF"/>
        </w:rPr>
        <w:t>Total annualized capital/start-up costs: $0</w:t>
      </w:r>
      <w:r w:rsidR="00A032BF">
        <w:rPr>
          <w:sz w:val="22"/>
          <w:szCs w:val="22"/>
          <w:shd w:val="clear" w:color="auto" w:fill="FFFFFF"/>
        </w:rPr>
        <w:t xml:space="preserve"> </w:t>
      </w:r>
    </w:p>
    <w:p w:rsidR="00FC4BDB" w:rsidP="00A032BF" w:rsidRDefault="00FC4BDB" w14:paraId="303E3A94" w14:textId="5E5A1974">
      <w:pPr>
        <w:rPr>
          <w:sz w:val="22"/>
          <w:szCs w:val="22"/>
          <w:shd w:val="clear" w:color="auto" w:fill="FFFFFF"/>
        </w:rPr>
      </w:pPr>
    </w:p>
    <w:p w:rsidRPr="00A94EF3" w:rsidR="00FC4BDB" w:rsidP="00A94EF3" w:rsidRDefault="00904A01" w14:paraId="418F613D" w14:textId="6FCFBBA7">
      <w:pPr>
        <w:rPr>
          <w:sz w:val="22"/>
          <w:szCs w:val="22"/>
          <w:shd w:val="clear" w:color="auto" w:fill="FFFFFF"/>
        </w:rPr>
      </w:pPr>
      <w:r>
        <w:rPr>
          <w:sz w:val="22"/>
          <w:szCs w:val="22"/>
          <w:shd w:val="clear" w:color="auto" w:fill="FFFFFF"/>
        </w:rPr>
        <w:t xml:space="preserve">(b)  </w:t>
      </w:r>
      <w:r w:rsidRPr="00A94EF3" w:rsidR="00651953">
        <w:rPr>
          <w:sz w:val="22"/>
          <w:szCs w:val="22"/>
          <w:shd w:val="clear" w:color="auto" w:fill="FFFFFF"/>
        </w:rPr>
        <w:t>Total annual costs (operations and maintenance): $0</w:t>
      </w:r>
    </w:p>
    <w:p w:rsidR="00651953" w:rsidP="00651953" w:rsidRDefault="00651953" w14:paraId="55C81E05" w14:textId="77777777">
      <w:pPr>
        <w:pStyle w:val="ListParagraph"/>
        <w:ind w:left="780"/>
        <w:rPr>
          <w:sz w:val="22"/>
          <w:szCs w:val="22"/>
          <w:shd w:val="clear" w:color="auto" w:fill="FFFFFF"/>
        </w:rPr>
      </w:pPr>
    </w:p>
    <w:p w:rsidRPr="00A94EF3" w:rsidR="00651953" w:rsidP="00A94EF3" w:rsidRDefault="00904A01" w14:paraId="7D9C844D" w14:textId="0F5EF87F">
      <w:pPr>
        <w:spacing w:after="120"/>
        <w:rPr>
          <w:sz w:val="22"/>
          <w:szCs w:val="22"/>
          <w:shd w:val="clear" w:color="auto" w:fill="FFFFFF"/>
        </w:rPr>
      </w:pPr>
      <w:r>
        <w:rPr>
          <w:sz w:val="22"/>
          <w:szCs w:val="22"/>
          <w:shd w:val="clear" w:color="auto" w:fill="FFFFFF"/>
        </w:rPr>
        <w:t xml:space="preserve">(c)  </w:t>
      </w:r>
      <w:r w:rsidRPr="00A94EF3" w:rsidR="00651953">
        <w:rPr>
          <w:sz w:val="22"/>
          <w:szCs w:val="22"/>
          <w:shd w:val="clear" w:color="auto" w:fill="FFFFFF"/>
        </w:rPr>
        <w:t>Total annualized costs requested: $0</w:t>
      </w:r>
    </w:p>
    <w:p w:rsidR="0031378D" w:rsidP="00402166" w:rsidRDefault="0031378D" w14:paraId="47091E1D" w14:textId="43D50664">
      <w:pPr>
        <w:rPr>
          <w:sz w:val="22"/>
          <w:szCs w:val="22"/>
          <w:shd w:val="clear" w:color="auto" w:fill="FFFFFF"/>
        </w:rPr>
      </w:pPr>
    </w:p>
    <w:p w:rsidR="0031378D" w:rsidP="00402166" w:rsidRDefault="0031378D" w14:paraId="5E630B95" w14:textId="7E1BB57F">
      <w:pPr>
        <w:rPr>
          <w:sz w:val="22"/>
          <w:szCs w:val="22"/>
          <w:shd w:val="clear" w:color="auto" w:fill="FFFFFF"/>
        </w:rPr>
      </w:pPr>
      <w:r>
        <w:rPr>
          <w:sz w:val="22"/>
          <w:szCs w:val="22"/>
          <w:shd w:val="clear" w:color="auto" w:fill="FFFFFF"/>
        </w:rPr>
        <w:t xml:space="preserve">14. </w:t>
      </w:r>
      <w:r w:rsidR="00651953">
        <w:rPr>
          <w:sz w:val="22"/>
          <w:szCs w:val="22"/>
          <w:shd w:val="clear" w:color="auto" w:fill="FFFFFF"/>
        </w:rPr>
        <w:t>Estimates of annualized cost to the Federal Government are as follows:</w:t>
      </w:r>
    </w:p>
    <w:p w:rsidR="00651953" w:rsidP="00402166" w:rsidRDefault="00651953" w14:paraId="080ED196" w14:textId="3B8B1221">
      <w:pPr>
        <w:rPr>
          <w:sz w:val="22"/>
          <w:szCs w:val="22"/>
          <w:shd w:val="clear" w:color="auto" w:fill="FFFFFF"/>
        </w:rPr>
      </w:pPr>
    </w:p>
    <w:p w:rsidR="00651953" w:rsidP="00402166" w:rsidRDefault="00651953" w14:paraId="61433D06" w14:textId="5EA74A08">
      <w:pPr>
        <w:rPr>
          <w:sz w:val="22"/>
          <w:szCs w:val="22"/>
          <w:shd w:val="clear" w:color="auto" w:fill="FFFFFF"/>
        </w:rPr>
      </w:pPr>
      <w:r>
        <w:rPr>
          <w:sz w:val="22"/>
          <w:szCs w:val="22"/>
          <w:shd w:val="clear" w:color="auto" w:fill="FFFFFF"/>
        </w:rPr>
        <w:t>The Commission estimates that since carriers must only reveal blocked Caller ID information to law enforcement and security personnel, as directed by law enforcement, or private ambulance companies the Federal Government will have no direct costs to bear.  Thus, there are no costs to the federal government.</w:t>
      </w:r>
    </w:p>
    <w:p w:rsidR="00651953" w:rsidP="00402166" w:rsidRDefault="00651953" w14:paraId="52CFF005" w14:textId="0E37C4DD">
      <w:pPr>
        <w:rPr>
          <w:sz w:val="22"/>
          <w:szCs w:val="22"/>
          <w:shd w:val="clear" w:color="auto" w:fill="FFFFFF"/>
        </w:rPr>
      </w:pPr>
    </w:p>
    <w:p w:rsidRPr="00D8575B" w:rsidR="00D8575B" w:rsidP="00D8575B" w:rsidRDefault="00651953" w14:paraId="7A374D6A" w14:textId="77777777">
      <w:pPr>
        <w:rPr>
          <w:sz w:val="22"/>
          <w:szCs w:val="22"/>
          <w:shd w:val="clear" w:color="auto" w:fill="FFFFFF"/>
        </w:rPr>
      </w:pPr>
      <w:r>
        <w:rPr>
          <w:sz w:val="22"/>
          <w:szCs w:val="22"/>
          <w:shd w:val="clear" w:color="auto" w:fill="FFFFFF"/>
        </w:rPr>
        <w:t>15</w:t>
      </w:r>
      <w:r w:rsidRPr="00F20A17">
        <w:rPr>
          <w:sz w:val="22"/>
          <w:szCs w:val="22"/>
          <w:shd w:val="clear" w:color="auto" w:fill="FFFFFF"/>
        </w:rPr>
        <w:t xml:space="preserve">. </w:t>
      </w:r>
      <w:r w:rsidRPr="00F20A17" w:rsidR="00F20A17">
        <w:rPr>
          <w:sz w:val="22"/>
          <w:szCs w:val="22"/>
          <w:shd w:val="clear" w:color="auto" w:fill="FFFFFF"/>
        </w:rPr>
        <w:t xml:space="preserve"> </w:t>
      </w:r>
      <w:r w:rsidRPr="00D8575B" w:rsidR="00D8575B">
        <w:rPr>
          <w:sz w:val="22"/>
          <w:szCs w:val="22"/>
          <w:shd w:val="clear" w:color="auto" w:fill="FFFFFF"/>
        </w:rPr>
        <w:t xml:space="preserve">There are no program changes or adjustments to this information collection.    </w:t>
      </w:r>
    </w:p>
    <w:p w:rsidR="00651953" w:rsidP="00402166" w:rsidRDefault="00651953" w14:paraId="22CC3E98" w14:textId="108A123B">
      <w:pPr>
        <w:rPr>
          <w:sz w:val="22"/>
          <w:szCs w:val="22"/>
          <w:shd w:val="clear" w:color="auto" w:fill="FFFFFF"/>
        </w:rPr>
      </w:pPr>
    </w:p>
    <w:p w:rsidR="00651953" w:rsidP="00402166" w:rsidRDefault="00651953" w14:paraId="1BEA2014" w14:textId="3B585935">
      <w:pPr>
        <w:rPr>
          <w:sz w:val="22"/>
          <w:szCs w:val="22"/>
          <w:shd w:val="clear" w:color="auto" w:fill="FFFFFF"/>
        </w:rPr>
      </w:pPr>
      <w:r>
        <w:rPr>
          <w:sz w:val="22"/>
          <w:szCs w:val="22"/>
          <w:shd w:val="clear" w:color="auto" w:fill="FFFFFF"/>
        </w:rPr>
        <w:t xml:space="preserve">16. The Commission </w:t>
      </w:r>
      <w:r w:rsidR="009B07BE">
        <w:rPr>
          <w:sz w:val="22"/>
          <w:szCs w:val="22"/>
          <w:shd w:val="clear" w:color="auto" w:fill="FFFFFF"/>
        </w:rPr>
        <w:t xml:space="preserve">does not plan to publish the results of the information collection requirements. </w:t>
      </w:r>
    </w:p>
    <w:p w:rsidR="009B07BE" w:rsidP="00402166" w:rsidRDefault="009B07BE" w14:paraId="47631F0B" w14:textId="40AACC34">
      <w:pPr>
        <w:rPr>
          <w:sz w:val="22"/>
          <w:szCs w:val="22"/>
          <w:shd w:val="clear" w:color="auto" w:fill="FFFFFF"/>
        </w:rPr>
      </w:pPr>
    </w:p>
    <w:p w:rsidR="009B07BE" w:rsidP="00402166" w:rsidRDefault="009B07BE" w14:paraId="7368AD3F" w14:textId="0044BCBE">
      <w:pPr>
        <w:rPr>
          <w:sz w:val="22"/>
          <w:szCs w:val="22"/>
          <w:shd w:val="clear" w:color="auto" w:fill="FFFFFF"/>
        </w:rPr>
      </w:pPr>
      <w:r>
        <w:rPr>
          <w:sz w:val="22"/>
          <w:szCs w:val="22"/>
          <w:shd w:val="clear" w:color="auto" w:fill="FFFFFF"/>
        </w:rPr>
        <w:t xml:space="preserve">17. The Commission does not intend to seek approval not to display the expiration date for OMB approval of the information collection. </w:t>
      </w:r>
    </w:p>
    <w:p w:rsidR="009B07BE" w:rsidP="00402166" w:rsidRDefault="009B07BE" w14:paraId="680968C3" w14:textId="4C04F355">
      <w:pPr>
        <w:rPr>
          <w:sz w:val="22"/>
          <w:szCs w:val="22"/>
          <w:shd w:val="clear" w:color="auto" w:fill="FFFFFF"/>
        </w:rPr>
      </w:pPr>
    </w:p>
    <w:p w:rsidR="00DA2DEF" w:rsidP="00DA2DEF" w:rsidRDefault="009B07BE" w14:paraId="5F761E23" w14:textId="34AC217A">
      <w:pPr>
        <w:rPr>
          <w:sz w:val="22"/>
          <w:szCs w:val="22"/>
          <w:shd w:val="clear" w:color="auto" w:fill="FFFFFF"/>
        </w:rPr>
      </w:pPr>
      <w:r>
        <w:rPr>
          <w:sz w:val="22"/>
          <w:szCs w:val="22"/>
          <w:shd w:val="clear" w:color="auto" w:fill="FFFFFF"/>
        </w:rPr>
        <w:t xml:space="preserve">18. </w:t>
      </w:r>
      <w:r w:rsidR="00DA2DEF">
        <w:rPr>
          <w:sz w:val="22"/>
          <w:szCs w:val="22"/>
          <w:shd w:val="clear" w:color="auto" w:fill="FFFFFF"/>
        </w:rPr>
        <w:t>There are</w:t>
      </w:r>
      <w:r w:rsidR="006A1020">
        <w:rPr>
          <w:sz w:val="22"/>
          <w:szCs w:val="22"/>
          <w:shd w:val="clear" w:color="auto" w:fill="FFFFFF"/>
        </w:rPr>
        <w:t xml:space="preserve"> </w:t>
      </w:r>
      <w:r w:rsidR="00DA2DEF">
        <w:rPr>
          <w:sz w:val="22"/>
          <w:szCs w:val="22"/>
          <w:shd w:val="clear" w:color="auto" w:fill="FFFFFF"/>
        </w:rPr>
        <w:t>no</w:t>
      </w:r>
      <w:r w:rsidR="006A1020">
        <w:rPr>
          <w:sz w:val="22"/>
          <w:szCs w:val="22"/>
          <w:shd w:val="clear" w:color="auto" w:fill="FFFFFF"/>
        </w:rPr>
        <w:t xml:space="preserve"> </w:t>
      </w:r>
      <w:r w:rsidR="00DA2DEF">
        <w:rPr>
          <w:sz w:val="22"/>
          <w:szCs w:val="22"/>
          <w:shd w:val="clear" w:color="auto" w:fill="FFFFFF"/>
        </w:rPr>
        <w:t>exceptions to the Certification Statement</w:t>
      </w:r>
      <w:r w:rsidR="00C03473">
        <w:rPr>
          <w:sz w:val="22"/>
          <w:szCs w:val="22"/>
          <w:shd w:val="clear" w:color="auto" w:fill="FFFFFF"/>
        </w:rPr>
        <w:t xml:space="preserve">. </w:t>
      </w:r>
    </w:p>
    <w:p w:rsidR="009B07BE" w:rsidP="00402166" w:rsidRDefault="009B07BE" w14:paraId="74F7DAB8" w14:textId="0FA262C8">
      <w:pPr>
        <w:rPr>
          <w:sz w:val="22"/>
          <w:szCs w:val="22"/>
          <w:shd w:val="clear" w:color="auto" w:fill="FFFFFF"/>
        </w:rPr>
      </w:pPr>
    </w:p>
    <w:p w:rsidR="004A0188" w:rsidP="004A0188" w:rsidRDefault="004A0188" w14:paraId="63B45E8F" w14:textId="7360937B">
      <w:pPr>
        <w:pStyle w:val="ListParagraph"/>
        <w:numPr>
          <w:ilvl w:val="0"/>
          <w:numId w:val="15"/>
        </w:numPr>
        <w:rPr>
          <w:sz w:val="22"/>
          <w:szCs w:val="22"/>
          <w:shd w:val="clear" w:color="auto" w:fill="FFFFFF"/>
        </w:rPr>
      </w:pPr>
      <w:r>
        <w:rPr>
          <w:b/>
          <w:sz w:val="22"/>
          <w:szCs w:val="22"/>
          <w:shd w:val="clear" w:color="auto" w:fill="FFFFFF"/>
        </w:rPr>
        <w:t>Collections of Information Employ Statistical Methods</w:t>
      </w:r>
    </w:p>
    <w:p w:rsidR="004A0188" w:rsidP="004A0188" w:rsidRDefault="004A0188" w14:paraId="0AD0CAB5" w14:textId="208E2DCA">
      <w:pPr>
        <w:rPr>
          <w:sz w:val="22"/>
          <w:szCs w:val="22"/>
          <w:shd w:val="clear" w:color="auto" w:fill="FFFFFF"/>
        </w:rPr>
      </w:pPr>
    </w:p>
    <w:p w:rsidRPr="00A4267C" w:rsidR="004A0188" w:rsidP="00A4267C" w:rsidRDefault="004A0188" w14:paraId="097F71C8" w14:textId="36429AA2">
      <w:pPr>
        <w:ind w:left="360"/>
        <w:rPr>
          <w:sz w:val="22"/>
          <w:shd w:val="clear" w:color="auto" w:fill="FFFFFF"/>
        </w:rPr>
      </w:pPr>
      <w:r>
        <w:rPr>
          <w:sz w:val="22"/>
          <w:szCs w:val="22"/>
          <w:shd w:val="clear" w:color="auto" w:fill="FFFFFF"/>
        </w:rPr>
        <w:t xml:space="preserve">The information collection does not employ any statistical methods. </w:t>
      </w:r>
    </w:p>
    <w:sectPr w:rsidRPr="00A4267C" w:rsidR="004A0188" w:rsidSect="004B5DAC">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EB06C" w14:textId="77777777" w:rsidR="006326CA" w:rsidRDefault="006326CA" w:rsidP="00FC59FF">
      <w:r>
        <w:separator/>
      </w:r>
    </w:p>
  </w:endnote>
  <w:endnote w:type="continuationSeparator" w:id="0">
    <w:p w14:paraId="4A19B3C0" w14:textId="77777777" w:rsidR="006326CA" w:rsidRDefault="006326CA" w:rsidP="00FC59FF">
      <w:r>
        <w:continuationSeparator/>
      </w:r>
    </w:p>
  </w:endnote>
  <w:endnote w:type="continuationNotice" w:id="1">
    <w:p w14:paraId="59BB1157" w14:textId="77777777" w:rsidR="006326CA" w:rsidRDefault="00632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77654"/>
      <w:docPartObj>
        <w:docPartGallery w:val="Page Numbers (Bottom of Page)"/>
        <w:docPartUnique/>
      </w:docPartObj>
    </w:sdtPr>
    <w:sdtEndPr>
      <w:rPr>
        <w:noProof/>
      </w:rPr>
    </w:sdtEndPr>
    <w:sdtContent>
      <w:p w14:paraId="20093432" w14:textId="5E6FFD37" w:rsidR="005F3820" w:rsidRDefault="005F3820">
        <w:pPr>
          <w:pStyle w:val="Footer"/>
          <w:jc w:val="center"/>
        </w:pPr>
        <w:r>
          <w:fldChar w:fldCharType="begin"/>
        </w:r>
        <w:r>
          <w:instrText xml:space="preserve"> PAGE   \* MERGEFORMAT </w:instrText>
        </w:r>
        <w:r>
          <w:fldChar w:fldCharType="separate"/>
        </w:r>
        <w:r w:rsidR="007E77DE">
          <w:rPr>
            <w:noProof/>
          </w:rPr>
          <w:t>4</w:t>
        </w:r>
        <w:r>
          <w:rPr>
            <w:noProof/>
          </w:rPr>
          <w:fldChar w:fldCharType="end"/>
        </w:r>
      </w:p>
    </w:sdtContent>
  </w:sdt>
  <w:p w14:paraId="66AEAF2B" w14:textId="77777777" w:rsidR="005F3820" w:rsidRDefault="005F3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4A7AA" w14:textId="77777777" w:rsidR="006326CA" w:rsidRDefault="006326CA" w:rsidP="00FC59FF">
      <w:r>
        <w:separator/>
      </w:r>
    </w:p>
  </w:footnote>
  <w:footnote w:type="continuationSeparator" w:id="0">
    <w:p w14:paraId="4DC16BD9" w14:textId="77777777" w:rsidR="006326CA" w:rsidRDefault="006326CA" w:rsidP="00FC59FF">
      <w:r>
        <w:continuationSeparator/>
      </w:r>
    </w:p>
  </w:footnote>
  <w:footnote w:type="continuationNotice" w:id="1">
    <w:p w14:paraId="6720C23F" w14:textId="77777777" w:rsidR="006326CA" w:rsidRDefault="006326CA"/>
  </w:footnote>
  <w:footnote w:id="2">
    <w:p w14:paraId="6EB6E9FC" w14:textId="77777777" w:rsidR="0013411F" w:rsidRDefault="0013411F" w:rsidP="0013411F">
      <w:pPr>
        <w:pStyle w:val="FootnoteText"/>
      </w:pPr>
      <w:r>
        <w:rPr>
          <w:rStyle w:val="FootnoteReference"/>
        </w:rPr>
        <w:footnoteRef/>
      </w:r>
      <w:r>
        <w:t xml:space="preserve"> The Commission’s rules define CPN as “the subscriber line number or the directory number contained in the calling party number parameter of the call set-up message associated with an interstate call on a Signaling System 7 network.”  47 CFR § 64.1600(e).  Associated with the CPN is a Privacy Indicator “that indicates whether the calling party authorizes presentation of the calling party number to the called party.”  47 CFR § 64.1600(j).</w:t>
      </w:r>
    </w:p>
  </w:footnote>
  <w:footnote w:id="3">
    <w:p w14:paraId="7A3B5C4F" w14:textId="77777777" w:rsidR="0013411F" w:rsidRDefault="0013411F" w:rsidP="0013411F">
      <w:pPr>
        <w:pStyle w:val="FootnoteText"/>
      </w:pPr>
      <w:r>
        <w:rPr>
          <w:rStyle w:val="FootnoteReference"/>
        </w:rPr>
        <w:footnoteRef/>
      </w:r>
      <w:r>
        <w:t xml:space="preserve"> </w:t>
      </w:r>
      <w:r>
        <w:rPr>
          <w:i/>
        </w:rPr>
        <w:t>See</w:t>
      </w:r>
      <w:r>
        <w:t xml:space="preserve"> </w:t>
      </w:r>
      <w:r>
        <w:rPr>
          <w:i/>
        </w:rPr>
        <w:t>Rules and Policies Regarding Calling Number Identification Service – Caller ID</w:t>
      </w:r>
      <w:r>
        <w:t xml:space="preserve">, CC Docket No. 91-281, Report and Order and Further Notice of Proposed Rulemaking, 9 FCC </w:t>
      </w:r>
      <w:proofErr w:type="spellStart"/>
      <w:r>
        <w:t>Rcd</w:t>
      </w:r>
      <w:proofErr w:type="spellEnd"/>
      <w:r>
        <w:t xml:space="preserve"> 1764 (1994) (</w:t>
      </w:r>
      <w:r>
        <w:rPr>
          <w:i/>
        </w:rPr>
        <w:t>Caller ID Order</w:t>
      </w:r>
      <w:r>
        <w:t xml:space="preserve">); </w:t>
      </w:r>
      <w:r>
        <w:rPr>
          <w:i/>
        </w:rPr>
        <w:t>see also</w:t>
      </w:r>
      <w:r>
        <w:t xml:space="preserve"> 47 CFR § 64.1601(a).    </w:t>
      </w:r>
    </w:p>
  </w:footnote>
  <w:footnote w:id="4">
    <w:p w14:paraId="525134F7" w14:textId="77777777" w:rsidR="0013411F" w:rsidRDefault="0013411F" w:rsidP="0013411F">
      <w:pPr>
        <w:pStyle w:val="FootnoteText"/>
      </w:pPr>
      <w:r>
        <w:rPr>
          <w:rStyle w:val="FootnoteReference"/>
        </w:rPr>
        <w:footnoteRef/>
      </w:r>
      <w:r>
        <w:t xml:space="preserve"> </w:t>
      </w:r>
      <w:r>
        <w:rPr>
          <w:i/>
        </w:rPr>
        <w:t xml:space="preserve">Id. </w:t>
      </w:r>
      <w:r>
        <w:t xml:space="preserve">at 1769, para. 34. </w:t>
      </w:r>
    </w:p>
  </w:footnote>
  <w:footnote w:id="5">
    <w:p w14:paraId="1069C1B9" w14:textId="77777777" w:rsidR="0013411F" w:rsidRDefault="0013411F" w:rsidP="0013411F">
      <w:pPr>
        <w:pStyle w:val="FootnoteText"/>
      </w:pPr>
      <w:r>
        <w:rPr>
          <w:rStyle w:val="FootnoteReference"/>
        </w:rPr>
        <w:footnoteRef/>
      </w:r>
      <w:r>
        <w:t xml:space="preserve"> </w:t>
      </w:r>
      <w:r>
        <w:rPr>
          <w:i/>
        </w:rPr>
        <w:t>See</w:t>
      </w:r>
      <w:r>
        <w:t xml:space="preserve"> 47 CFR § 64.1601(b); </w:t>
      </w:r>
      <w:r>
        <w:rPr>
          <w:i/>
        </w:rPr>
        <w:t>see also Rules and Policies Regarding Calling Number Identification Service – Caller ID</w:t>
      </w:r>
      <w:r>
        <w:t xml:space="preserve">, Memorandum Opinion and Order on Reconsideration, Second Report and Order and Third Notice of Proposed Rulemaking, CC Docket No. 91-281, 10 FCC </w:t>
      </w:r>
      <w:proofErr w:type="spellStart"/>
      <w:r>
        <w:t>Rcd</w:t>
      </w:r>
      <w:proofErr w:type="spellEnd"/>
      <w:r>
        <w:t xml:space="preserve"> 11700, 11728-29, paras. 81-84 (1995) (</w:t>
      </w:r>
      <w:r>
        <w:rPr>
          <w:i/>
        </w:rPr>
        <w:t>Caller ID Reconsideration Order</w:t>
      </w:r>
      <w:r>
        <w:t>).</w:t>
      </w:r>
    </w:p>
  </w:footnote>
  <w:footnote w:id="6">
    <w:p w14:paraId="44398F74" w14:textId="77777777" w:rsidR="0013411F" w:rsidRDefault="0013411F" w:rsidP="0013411F">
      <w:pPr>
        <w:pStyle w:val="FootnoteText"/>
      </w:pPr>
      <w:r>
        <w:rPr>
          <w:rStyle w:val="FootnoteReference"/>
        </w:rPr>
        <w:footnoteRef/>
      </w:r>
      <w:r>
        <w:t xml:space="preserve"> 47 CFR § 64.1601(b).  In addition, carriers providing privacy on all calls dialed from a particular line will recognize dialing *82 as a caller’s request that the CPN be passed through on an interstate call.  </w:t>
      </w:r>
      <w:r>
        <w:rPr>
          <w:i/>
        </w:rPr>
        <w:t>See Caller ID Reconsideration Order</w:t>
      </w:r>
      <w:r>
        <w:t xml:space="preserve">, 10 FCC </w:t>
      </w:r>
      <w:proofErr w:type="spellStart"/>
      <w:r>
        <w:t>Rcd</w:t>
      </w:r>
      <w:proofErr w:type="spellEnd"/>
      <w:r>
        <w:t xml:space="preserve"> at 11728-29, paras. 81-84; </w:t>
      </w:r>
      <w:r>
        <w:rPr>
          <w:i/>
        </w:rPr>
        <w:t>see also</w:t>
      </w:r>
      <w:r>
        <w:t xml:space="preserve"> 47 CFR § 64.1601(b). </w:t>
      </w:r>
    </w:p>
  </w:footnote>
  <w:footnote w:id="7">
    <w:p w14:paraId="6F412649" w14:textId="77777777" w:rsidR="0013411F" w:rsidRDefault="0013411F" w:rsidP="0013411F">
      <w:pPr>
        <w:pStyle w:val="FootnoteText"/>
      </w:pPr>
      <w:r>
        <w:rPr>
          <w:rStyle w:val="FootnoteReference"/>
        </w:rPr>
        <w:footnoteRef/>
      </w:r>
      <w:r>
        <w:t xml:space="preserve"> Section 64.1601(b) also provides that, “[c]</w:t>
      </w:r>
      <w:proofErr w:type="spellStart"/>
      <w:r>
        <w:t>arriers</w:t>
      </w:r>
      <w:proofErr w:type="spellEnd"/>
      <w:r>
        <w:t xml:space="preserve"> must arrange their CPN-based services, and billing practices, in such a manner that when a caller requests that the CPN not be passed, a carrier may not reveal that caller’s number or name, nor may the carrier use the number or name to allow the called party to contact the calling party.”  47 CFR § 64.1601(b).</w:t>
      </w:r>
    </w:p>
  </w:footnote>
  <w:footnote w:id="8">
    <w:p w14:paraId="3166B3DC" w14:textId="77777777" w:rsidR="0013411F" w:rsidRDefault="0013411F" w:rsidP="0013411F">
      <w:pPr>
        <w:pStyle w:val="FootnoteText"/>
      </w:pPr>
      <w:r>
        <w:rPr>
          <w:rStyle w:val="FootnoteReference"/>
        </w:rPr>
        <w:footnoteRef/>
      </w:r>
      <w:r>
        <w:t xml:space="preserve"> </w:t>
      </w:r>
      <w:r>
        <w:rPr>
          <w:i/>
        </w:rPr>
        <w:t>See INSIGHT 100 Petition for Waiver of § 64.1601(b) Regarding the Transmission of Calling Party Number</w:t>
      </w:r>
      <w:r>
        <w:t xml:space="preserve">, CC Docket No. 91-281, Memorandum Opinion and Order, 17 FCC </w:t>
      </w:r>
      <w:proofErr w:type="spellStart"/>
      <w:r>
        <w:t>Rcd</w:t>
      </w:r>
      <w:proofErr w:type="spellEnd"/>
      <w:r>
        <w:t xml:space="preserve"> 223 (CCB 2002) (</w:t>
      </w:r>
      <w:r>
        <w:rPr>
          <w:i/>
        </w:rPr>
        <w:t>INSIGHT Order</w:t>
      </w:r>
      <w:r>
        <w:t xml:space="preserve">) (waiving section 64.1601(b) on behalf of certain universities and hospitals); </w:t>
      </w:r>
      <w:r>
        <w:rPr>
          <w:i/>
        </w:rPr>
        <w:t xml:space="preserve">Rules and Policies Regarding Calling Number Identification Service – Caller ID; Petition of </w:t>
      </w:r>
      <w:proofErr w:type="spellStart"/>
      <w:r>
        <w:rPr>
          <w:i/>
        </w:rPr>
        <w:t>Chevrah</w:t>
      </w:r>
      <w:proofErr w:type="spellEnd"/>
      <w:r>
        <w:rPr>
          <w:i/>
        </w:rPr>
        <w:t xml:space="preserve"> Hatzalah Volunteer Ambulance Corps Inc. for Waiver of Section 1601(b) of the Commission’s Rules – Blocked Telephone Numbers</w:t>
      </w:r>
      <w:r>
        <w:t xml:space="preserve">, CC Docket No. 91-281, Order, 28 FCC </w:t>
      </w:r>
      <w:proofErr w:type="spellStart"/>
      <w:r>
        <w:t>Rcd</w:t>
      </w:r>
      <w:proofErr w:type="spellEnd"/>
      <w:r>
        <w:t xml:space="preserve"> 1253 (CGB 2013) (</w:t>
      </w:r>
      <w:r>
        <w:rPr>
          <w:i/>
        </w:rPr>
        <w:t>Hatzalah Order</w:t>
      </w:r>
      <w:r>
        <w:t xml:space="preserve">); </w:t>
      </w:r>
      <w:r>
        <w:rPr>
          <w:i/>
        </w:rPr>
        <w:t>Petition of Liberty Public School District for Waiver of Federal Communications Commission Regulations at 47 CFR</w:t>
      </w:r>
      <w:r>
        <w:t xml:space="preserve"> </w:t>
      </w:r>
      <w:r>
        <w:rPr>
          <w:i/>
        </w:rPr>
        <w:t>§ 64.1601(b)</w:t>
      </w:r>
      <w:r>
        <w:t xml:space="preserve">, CC Docket No. 91-281, Memorandum Opinion and Order, 28 FCC </w:t>
      </w:r>
      <w:proofErr w:type="spellStart"/>
      <w:r>
        <w:t>Rcd</w:t>
      </w:r>
      <w:proofErr w:type="spellEnd"/>
      <w:r>
        <w:t xml:space="preserve"> 6412 (CGB 2013) (</w:t>
      </w:r>
      <w:r>
        <w:rPr>
          <w:i/>
        </w:rPr>
        <w:t>Liberty School Order</w:t>
      </w:r>
      <w:r>
        <w:t xml:space="preserve">); </w:t>
      </w:r>
      <w:r>
        <w:rPr>
          <w:i/>
        </w:rPr>
        <w:t>Middletown Order,</w:t>
      </w:r>
      <w:r>
        <w:t xml:space="preserve"> 31 FCC </w:t>
      </w:r>
      <w:proofErr w:type="spellStart"/>
      <w:r>
        <w:t>Rcd</w:t>
      </w:r>
      <w:proofErr w:type="spellEnd"/>
      <w:r>
        <w:t xml:space="preserve"> at 3565.</w:t>
      </w:r>
    </w:p>
  </w:footnote>
  <w:footnote w:id="9">
    <w:p w14:paraId="4C0EC3C8" w14:textId="77777777" w:rsidR="0013411F" w:rsidRDefault="0013411F" w:rsidP="0013411F">
      <w:pPr>
        <w:pStyle w:val="FootnoteText"/>
      </w:pPr>
      <w:r>
        <w:rPr>
          <w:rStyle w:val="FootnoteReference"/>
        </w:rPr>
        <w:footnoteRef/>
      </w:r>
      <w:r>
        <w:t xml:space="preserve"> </w:t>
      </w:r>
      <w:r>
        <w:rPr>
          <w:i/>
        </w:rPr>
        <w:t>See, e.g.</w:t>
      </w:r>
      <w:r>
        <w:t xml:space="preserve">, </w:t>
      </w:r>
      <w:r>
        <w:rPr>
          <w:i/>
        </w:rPr>
        <w:t>id.</w:t>
      </w:r>
      <w:r>
        <w:t xml:space="preserve">, 31 FCC </w:t>
      </w:r>
      <w:proofErr w:type="spellStart"/>
      <w:r>
        <w:t>Rcd</w:t>
      </w:r>
      <w:proofErr w:type="spellEnd"/>
      <w:r>
        <w:t xml:space="preserve"> at 3567-58, paras. 5-8; </w:t>
      </w:r>
      <w:r>
        <w:rPr>
          <w:i/>
        </w:rPr>
        <w:t>Liberty School Order</w:t>
      </w:r>
      <w:r>
        <w:t xml:space="preserve">, 28 FCC </w:t>
      </w:r>
      <w:proofErr w:type="spellStart"/>
      <w:r>
        <w:t>Rcd</w:t>
      </w:r>
      <w:proofErr w:type="spellEnd"/>
      <w:r>
        <w:t xml:space="preserve"> at 6414-15, paras. 5-6.</w:t>
      </w:r>
    </w:p>
  </w:footnote>
  <w:footnote w:id="10">
    <w:p w14:paraId="6D79A6B8" w14:textId="77777777" w:rsidR="0013411F" w:rsidRDefault="0013411F" w:rsidP="0013411F">
      <w:pPr>
        <w:pStyle w:val="FootnoteText"/>
      </w:pPr>
      <w:r>
        <w:rPr>
          <w:rStyle w:val="FootnoteReference"/>
        </w:rPr>
        <w:footnoteRef/>
      </w:r>
      <w:r>
        <w:t xml:space="preserve"> </w:t>
      </w:r>
      <w:r>
        <w:rPr>
          <w:i/>
        </w:rPr>
        <w:t>Caller ID Order</w:t>
      </w:r>
      <w:r>
        <w:t xml:space="preserve">, 9 FCC </w:t>
      </w:r>
      <w:proofErr w:type="spellStart"/>
      <w:r>
        <w:t>Rcd</w:t>
      </w:r>
      <w:proofErr w:type="spellEnd"/>
      <w:r>
        <w:t xml:space="preserve"> at 1770, para. 37; </w:t>
      </w:r>
      <w:r>
        <w:rPr>
          <w:i/>
        </w:rPr>
        <w:t>see also</w:t>
      </w:r>
      <w:r>
        <w:t xml:space="preserve"> 47 CFR § 64.1601(d)(4)(ii).  Our rules also exempt “legally authorized call tracing or trapping procedures specifically requested by a law enforcement agency.”  47 CFR § 64.1601(d)(4)(iii).</w:t>
      </w:r>
    </w:p>
  </w:footnote>
  <w:footnote w:id="11">
    <w:p w14:paraId="6EFDE397" w14:textId="77777777" w:rsidR="0013411F" w:rsidRDefault="0013411F" w:rsidP="0013411F">
      <w:pPr>
        <w:pStyle w:val="FootnoteText"/>
      </w:pPr>
      <w:r>
        <w:rPr>
          <w:rStyle w:val="FootnoteReference"/>
        </w:rPr>
        <w:footnoteRef/>
      </w:r>
      <w:r>
        <w:t xml:space="preserve"> </w:t>
      </w:r>
      <w:r>
        <w:rPr>
          <w:i/>
        </w:rPr>
        <w:t xml:space="preserve">See </w:t>
      </w:r>
      <w:r>
        <w:t>Letter from Senator Charles E. Schumer to Chairman Ajit Pai, FCC, dated Feb. 28, 2017 (Schumer Letter).</w:t>
      </w:r>
    </w:p>
  </w:footnote>
  <w:footnote w:id="12">
    <w:p w14:paraId="1D1116B6" w14:textId="77777777" w:rsidR="0013411F" w:rsidRDefault="0013411F" w:rsidP="0013411F">
      <w:pPr>
        <w:pStyle w:val="FootnoteText"/>
      </w:pPr>
      <w:r>
        <w:rPr>
          <w:rStyle w:val="FootnoteReference"/>
        </w:rPr>
        <w:footnoteRef/>
      </w:r>
      <w:r>
        <w:t xml:space="preserve"> </w:t>
      </w:r>
      <w:r>
        <w:rPr>
          <w:i/>
        </w:rPr>
        <w:t>Id.</w:t>
      </w:r>
    </w:p>
  </w:footnote>
  <w:footnote w:id="13">
    <w:p w14:paraId="33A10B86" w14:textId="77777777" w:rsidR="0013411F" w:rsidRDefault="0013411F" w:rsidP="0013411F">
      <w:pPr>
        <w:pStyle w:val="FootnoteText"/>
      </w:pPr>
      <w:r>
        <w:rPr>
          <w:rStyle w:val="FootnoteReference"/>
        </w:rPr>
        <w:footnoteRef/>
      </w:r>
      <w:r>
        <w:t xml:space="preserve"> </w:t>
      </w:r>
      <w:r>
        <w:rPr>
          <w:i/>
        </w:rPr>
        <w:t>See JCC Temporary Waiver Order</w:t>
      </w:r>
      <w:r>
        <w:t xml:space="preserve">, 32 FCC </w:t>
      </w:r>
      <w:proofErr w:type="spellStart"/>
      <w:r>
        <w:t>Rcd</w:t>
      </w:r>
      <w:proofErr w:type="spellEnd"/>
      <w:r>
        <w:t xml:space="preserve"> at 1559, para. 1.</w:t>
      </w:r>
    </w:p>
  </w:footnote>
  <w:footnote w:id="14">
    <w:p w14:paraId="4443F17D" w14:textId="77777777" w:rsidR="0013411F" w:rsidRDefault="0013411F" w:rsidP="0013411F">
      <w:pPr>
        <w:pStyle w:val="FootnoteText"/>
      </w:pPr>
      <w:r>
        <w:rPr>
          <w:rStyle w:val="FootnoteReference"/>
        </w:rPr>
        <w:footnoteRef/>
      </w:r>
      <w:r>
        <w:t xml:space="preserve"> </w:t>
      </w:r>
      <w:r>
        <w:rPr>
          <w:i/>
        </w:rPr>
        <w:t>Id</w:t>
      </w:r>
      <w:r>
        <w:t>. at 1564, para. 12.</w:t>
      </w:r>
    </w:p>
  </w:footnote>
  <w:footnote w:id="15">
    <w:p w14:paraId="7D943221" w14:textId="77777777" w:rsidR="0013411F" w:rsidRDefault="0013411F" w:rsidP="0013411F">
      <w:pPr>
        <w:pStyle w:val="FootnoteText"/>
        <w:rPr>
          <w:snapToGrid w:val="0"/>
          <w:kern w:val="28"/>
        </w:rPr>
      </w:pPr>
      <w:r>
        <w:rPr>
          <w:rStyle w:val="FootnoteReference"/>
        </w:rPr>
        <w:footnoteRef/>
      </w:r>
      <w:r>
        <w:t xml:space="preserve"> </w:t>
      </w:r>
      <w:r>
        <w:rPr>
          <w:i/>
        </w:rPr>
        <w:t>See</w:t>
      </w:r>
      <w:r>
        <w:rPr>
          <w:i/>
          <w:snapToGrid w:val="0"/>
          <w:kern w:val="28"/>
        </w:rPr>
        <w:t xml:space="preserve"> Consumer and Governmental Affairs Bureau Seeks Comment on Waiver Regarding Access to Calling Party Numbers Associated with Threatening Phone Calls Made to Jewish Community Centers</w:t>
      </w:r>
      <w:r>
        <w:rPr>
          <w:snapToGrid w:val="0"/>
          <w:kern w:val="28"/>
        </w:rPr>
        <w:t xml:space="preserve">, CC Docket No. 91-281, Public Notice, 32 FCC </w:t>
      </w:r>
      <w:proofErr w:type="spellStart"/>
      <w:r>
        <w:rPr>
          <w:snapToGrid w:val="0"/>
          <w:kern w:val="28"/>
        </w:rPr>
        <w:t>Rcd</w:t>
      </w:r>
      <w:proofErr w:type="spellEnd"/>
      <w:r>
        <w:rPr>
          <w:snapToGrid w:val="0"/>
          <w:kern w:val="28"/>
        </w:rPr>
        <w:t xml:space="preserve"> 1556, para. 1 (CGB 2017).</w:t>
      </w:r>
    </w:p>
  </w:footnote>
  <w:footnote w:id="16">
    <w:p w14:paraId="7ACC1193" w14:textId="77777777" w:rsidR="0013411F" w:rsidRPr="00DD09EC" w:rsidRDefault="0013411F" w:rsidP="0013411F">
      <w:pPr>
        <w:pStyle w:val="FootnoteText"/>
      </w:pPr>
      <w:r>
        <w:rPr>
          <w:rStyle w:val="FootnoteReference"/>
        </w:rPr>
        <w:footnoteRef/>
      </w:r>
      <w:r>
        <w:t xml:space="preserve"> </w:t>
      </w:r>
      <w:r>
        <w:rPr>
          <w:i/>
        </w:rPr>
        <w:t>See</w:t>
      </w:r>
      <w:r>
        <w:t xml:space="preserve"> </w:t>
      </w:r>
      <w:r>
        <w:rPr>
          <w:i/>
        </w:rPr>
        <w:t>Rules and Policies Regarding Calling Number Identification Service – Caller ID</w:t>
      </w:r>
      <w:r>
        <w:t>, CC Docket No. 91-281, Report and Order) 2017 WL4863850, para. 1 (2017) (</w:t>
      </w:r>
      <w:r>
        <w:rPr>
          <w:i/>
        </w:rPr>
        <w:t xml:space="preserve">Caller ID Order </w:t>
      </w:r>
      <w:r>
        <w:t>2017)</w:t>
      </w:r>
    </w:p>
  </w:footnote>
  <w:footnote w:id="17">
    <w:p w14:paraId="01CB331C" w14:textId="77777777" w:rsidR="0013411F" w:rsidRDefault="0013411F" w:rsidP="0013411F">
      <w:pPr>
        <w:pStyle w:val="FootnoteText"/>
      </w:pPr>
      <w:r>
        <w:rPr>
          <w:rStyle w:val="FootnoteReference"/>
        </w:rPr>
        <w:footnoteRef/>
      </w:r>
      <w:r>
        <w:t xml:space="preserve"> 47 C.F.R. </w:t>
      </w:r>
      <w:r w:rsidRPr="00195F20">
        <w:rPr>
          <w:color w:val="000000"/>
          <w:sz w:val="22"/>
          <w:szCs w:val="22"/>
        </w:rPr>
        <w:t>§ 64.1601</w:t>
      </w:r>
      <w:r>
        <w:t>(f)</w:t>
      </w:r>
    </w:p>
  </w:footnote>
  <w:footnote w:id="18">
    <w:p w14:paraId="6D5EE3A1" w14:textId="77777777" w:rsidR="0013411F" w:rsidRPr="007F4E2D" w:rsidRDefault="0013411F" w:rsidP="0013411F">
      <w:pPr>
        <w:pStyle w:val="FootnoteText"/>
      </w:pPr>
      <w:r>
        <w:rPr>
          <w:rStyle w:val="FootnoteReference"/>
        </w:rPr>
        <w:footnoteRef/>
      </w:r>
      <w:r>
        <w:t xml:space="preserve"> </w:t>
      </w:r>
      <w:r>
        <w:rPr>
          <w:i/>
        </w:rPr>
        <w:t>See</w:t>
      </w:r>
      <w:r>
        <w:t xml:space="preserve"> </w:t>
      </w:r>
      <w:r>
        <w:rPr>
          <w:rStyle w:val="Emphasis"/>
        </w:rPr>
        <w:t>Hatzalah Order</w:t>
      </w:r>
      <w:r>
        <w:t>.</w:t>
      </w:r>
    </w:p>
  </w:footnote>
  <w:footnote w:id="19">
    <w:p w14:paraId="677A5324" w14:textId="77777777" w:rsidR="00C54888" w:rsidRDefault="00C54888" w:rsidP="00C54888">
      <w:pPr>
        <w:pStyle w:val="FootnoteText"/>
      </w:pPr>
      <w:r>
        <w:rPr>
          <w:rStyle w:val="FootnoteReference"/>
        </w:rPr>
        <w:footnoteRef/>
      </w:r>
      <w:r>
        <w:t xml:space="preserve"> </w:t>
      </w:r>
      <w:r>
        <w:rPr>
          <w:i/>
        </w:rPr>
        <w:t>Caller ID Order</w:t>
      </w:r>
      <w:r>
        <w:t xml:space="preserve">, 9 FCC </w:t>
      </w:r>
      <w:proofErr w:type="spellStart"/>
      <w:r>
        <w:t>Rcd</w:t>
      </w:r>
      <w:proofErr w:type="spellEnd"/>
      <w:r>
        <w:t xml:space="preserve"> at 1770, para. 37; </w:t>
      </w:r>
      <w:r>
        <w:rPr>
          <w:i/>
        </w:rPr>
        <w:t>see also</w:t>
      </w:r>
      <w:r>
        <w:t xml:space="preserve"> 47 CFR § 64.1601(d)(4)(ii).  In addition, our rules exempt “legally authorized call tracing or trapping procedures specifically requested by a law enforcement agency.”  47 CFR § 64.1601(d)(4)(iii).</w:t>
      </w:r>
    </w:p>
  </w:footnote>
  <w:footnote w:id="20">
    <w:p w14:paraId="5AD46CBC" w14:textId="77777777" w:rsidR="00C54888" w:rsidRPr="00BC2758" w:rsidRDefault="00C54888" w:rsidP="00C54888">
      <w:pPr>
        <w:pStyle w:val="FootnoteText"/>
      </w:pPr>
      <w:r>
        <w:rPr>
          <w:rStyle w:val="FootnoteReference"/>
        </w:rPr>
        <w:footnoteRef/>
      </w:r>
      <w:r>
        <w:t xml:space="preserve"> </w:t>
      </w:r>
      <w:r>
        <w:rPr>
          <w:i/>
        </w:rPr>
        <w:t>Caller ID Order</w:t>
      </w:r>
      <w:r>
        <w:t xml:space="preserve">, 9 FCC </w:t>
      </w:r>
      <w:proofErr w:type="spellStart"/>
      <w:r>
        <w:t>Rcd</w:t>
      </w:r>
      <w:proofErr w:type="spellEnd"/>
      <w:r>
        <w:t xml:space="preserve"> at 1771, para. 43. </w:t>
      </w:r>
    </w:p>
  </w:footnote>
  <w:footnote w:id="21">
    <w:p w14:paraId="789E93DC" w14:textId="4C6663FF" w:rsidR="002C2923" w:rsidRDefault="002C2923">
      <w:pPr>
        <w:pStyle w:val="FootnoteText"/>
      </w:pPr>
      <w:r>
        <w:rPr>
          <w:rStyle w:val="FootnoteReference"/>
        </w:rPr>
        <w:footnoteRef/>
      </w:r>
      <w:r>
        <w:t xml:space="preserve"> 18 U.S.C. § 2702(c)(4).</w:t>
      </w:r>
    </w:p>
  </w:footnote>
  <w:footnote w:id="22">
    <w:p w14:paraId="44AFABEA" w14:textId="0DB0627E" w:rsidR="0096726B" w:rsidRDefault="0096726B">
      <w:pPr>
        <w:pStyle w:val="FootnoteText"/>
      </w:pPr>
      <w:r>
        <w:rPr>
          <w:rStyle w:val="FootnoteReference"/>
        </w:rPr>
        <w:footnoteRef/>
      </w:r>
      <w:r>
        <w:t xml:space="preserve"> 18 U.S.C. § 2702(c)(4).</w:t>
      </w:r>
    </w:p>
  </w:footnote>
  <w:footnote w:id="23">
    <w:p w14:paraId="7020D2C9" w14:textId="7BDE86AD" w:rsidR="00D91F7C" w:rsidRDefault="00D91F7C">
      <w:pPr>
        <w:pStyle w:val="FootnoteText"/>
      </w:pPr>
      <w:r>
        <w:rPr>
          <w:rStyle w:val="FootnoteReference"/>
        </w:rPr>
        <w:footnoteRef/>
      </w:r>
      <w:r>
        <w:t xml:space="preserve"> </w:t>
      </w:r>
      <w:r w:rsidR="0096726B">
        <w:t>18 U.S.C. § 2703</w:t>
      </w:r>
    </w:p>
  </w:footnote>
  <w:footnote w:id="24">
    <w:p w14:paraId="42809E35" w14:textId="295B9691" w:rsidR="00E30F51" w:rsidRPr="00E30F51" w:rsidRDefault="00E30F51" w:rsidP="00E30F51">
      <w:pPr>
        <w:tabs>
          <w:tab w:val="center" w:pos="4680"/>
        </w:tabs>
        <w:suppressAutoHyphens/>
        <w:rPr>
          <w:spacing w:val="-2"/>
          <w:sz w:val="20"/>
        </w:rPr>
      </w:pPr>
      <w:r w:rsidRPr="00E30F51">
        <w:rPr>
          <w:rStyle w:val="FootnoteReference"/>
        </w:rPr>
        <w:footnoteRef/>
      </w:r>
      <w:r w:rsidRPr="00E30F51">
        <w:rPr>
          <w:sz w:val="20"/>
        </w:rPr>
        <w:t xml:space="preserve"> </w:t>
      </w:r>
      <w:r w:rsidRPr="00E30F51">
        <w:rPr>
          <w:i/>
          <w:spacing w:val="-2"/>
          <w:sz w:val="20"/>
        </w:rPr>
        <w:t xml:space="preserve">In the Matter of Rules and Policies Regarding Calling Number Identification Service – Caller ID; </w:t>
      </w:r>
      <w:r w:rsidRPr="00E30F51">
        <w:rPr>
          <w:i/>
          <w:sz w:val="20"/>
        </w:rPr>
        <w:t>Waiver of Federal Communications Commission Regulations at 47 C.F.R. § 64.1601(b) on Be</w:t>
      </w:r>
      <w:r>
        <w:rPr>
          <w:i/>
          <w:sz w:val="20"/>
        </w:rPr>
        <w:t>half of Jewish Community Centers</w:t>
      </w:r>
      <w:r>
        <w:rPr>
          <w:sz w:val="20"/>
        </w:rPr>
        <w:t>, CC Docket No. 91-281, Re</w:t>
      </w:r>
      <w:r w:rsidR="00A94FFB">
        <w:rPr>
          <w:sz w:val="20"/>
        </w:rPr>
        <w:t>port and Order, FCC 17-132, Appendix C, para. 1</w:t>
      </w:r>
      <w:r w:rsidR="000178FE">
        <w:rPr>
          <w:sz w:val="20"/>
        </w:rPr>
        <w:t xml:space="preserve">0 (2017). </w:t>
      </w:r>
    </w:p>
  </w:footnote>
  <w:footnote w:id="25">
    <w:p w14:paraId="313C4F97" w14:textId="32F815B8" w:rsidR="00595EF4" w:rsidRDefault="00595EF4">
      <w:pPr>
        <w:pStyle w:val="FootnoteText"/>
      </w:pPr>
      <w:r>
        <w:rPr>
          <w:rStyle w:val="FootnoteReference"/>
        </w:rPr>
        <w:footnoteRef/>
      </w:r>
      <w:r>
        <w:t xml:space="preserve"> </w:t>
      </w:r>
      <w:r w:rsidR="00FB541C">
        <w:rPr>
          <w:rFonts w:ascii="TimesNewRoman" w:eastAsiaTheme="minorHAnsi" w:hAnsi="TimesNewRoman" w:cs="TimesNewRoman"/>
        </w:rPr>
        <w:t xml:space="preserve">47 U.S.C. § 222(a)/ </w:t>
      </w:r>
    </w:p>
  </w:footnote>
  <w:footnote w:id="26">
    <w:p w14:paraId="16940F3C" w14:textId="1A8F38BA" w:rsidR="00F772EC" w:rsidRPr="00690D62" w:rsidRDefault="00F772EC">
      <w:pPr>
        <w:pStyle w:val="FootnoteText"/>
      </w:pPr>
      <w:r w:rsidRPr="00690D62">
        <w:rPr>
          <w:rStyle w:val="FootnoteReference"/>
        </w:rPr>
        <w:footnoteRef/>
      </w:r>
      <w:r w:rsidRPr="00690D62">
        <w:t xml:space="preserve"> </w:t>
      </w:r>
      <w:r w:rsidR="00EF5F00">
        <w:rPr>
          <w:rStyle w:val="cosearchterm"/>
        </w:rPr>
        <w:t>FCC,</w:t>
      </w:r>
      <w:r w:rsidR="00690D62">
        <w:rPr>
          <w:rStyle w:val="cosearchterm"/>
        </w:rPr>
        <w:t xml:space="preserve"> Voice Telephone Services: Status as of June 30, 2016</w:t>
      </w:r>
      <w:r w:rsidR="00EF5F00">
        <w:rPr>
          <w:rStyle w:val="cosearchterm"/>
        </w:rPr>
        <w:t xml:space="preserve"> at 10-11</w:t>
      </w:r>
      <w:r w:rsidR="001212B3">
        <w:rPr>
          <w:rStyle w:val="cosearchterm"/>
        </w:rPr>
        <w:t xml:space="preserve"> (2017)</w:t>
      </w:r>
      <w:r w:rsidR="00EF5F00">
        <w:rPr>
          <w:rStyle w:val="cosearchterm"/>
        </w:rPr>
        <w:t xml:space="preserve"> </w:t>
      </w:r>
      <w:hyperlink r:id="rId1" w:history="1">
        <w:r w:rsidR="00EF5F00" w:rsidRPr="00260465">
          <w:rPr>
            <w:rStyle w:val="Hyperlink"/>
          </w:rPr>
          <w:t>https://www.fcc.gov/voice-telephone-services-report</w:t>
        </w:r>
      </w:hyperlink>
      <w:r w:rsidR="00EF5F00">
        <w:rPr>
          <w:rStyle w:val="cosearchterm"/>
        </w:rPr>
        <w:t xml:space="preserve">. </w:t>
      </w:r>
    </w:p>
  </w:footnote>
  <w:footnote w:id="27">
    <w:p w14:paraId="376A0CB6" w14:textId="4CCE895E" w:rsidR="00552991" w:rsidRPr="00552991" w:rsidRDefault="00552991">
      <w:pPr>
        <w:pStyle w:val="FootnoteText"/>
      </w:pPr>
      <w:r>
        <w:rPr>
          <w:rStyle w:val="FootnoteReference"/>
        </w:rPr>
        <w:footnoteRef/>
      </w:r>
      <w:r>
        <w:t xml:space="preserve"> </w:t>
      </w:r>
      <w:r>
        <w:rPr>
          <w:i/>
        </w:rPr>
        <w:t>See</w:t>
      </w:r>
      <w:r>
        <w:t xml:space="preserve"> </w:t>
      </w:r>
      <w:proofErr w:type="spellStart"/>
      <w:r w:rsidR="002120E7" w:rsidRPr="00F5628B">
        <w:t>Chevrah</w:t>
      </w:r>
      <w:proofErr w:type="spellEnd"/>
      <w:r w:rsidR="002120E7" w:rsidRPr="00F5628B">
        <w:t xml:space="preserve"> Hatzalah Volunteer Ambulance Corps Inc.</w:t>
      </w:r>
      <w:r w:rsidR="002120E7">
        <w:t xml:space="preserve"> Aug. 21, 2017</w:t>
      </w:r>
      <w:r w:rsidR="002120E7" w:rsidRPr="00F5628B">
        <w:t xml:space="preserve"> Comments</w:t>
      </w:r>
      <w:r w:rsidR="002120E7">
        <w:t xml:space="preserve"> at 3.</w:t>
      </w:r>
    </w:p>
  </w:footnote>
  <w:footnote w:id="28">
    <w:p w14:paraId="0708C354" w14:textId="621ADB16" w:rsidR="00CE632C" w:rsidRDefault="00CE632C">
      <w:pPr>
        <w:pStyle w:val="FootnoteText"/>
      </w:pPr>
      <w:r>
        <w:rPr>
          <w:rStyle w:val="FootnoteReference"/>
        </w:rPr>
        <w:footnoteRef/>
      </w:r>
      <w:r>
        <w:t xml:space="preserve"> United States Bomb Data Center, Bomb Threats across the U.S. (May 24, 2016), </w:t>
      </w:r>
      <w:hyperlink r:id="rId2" w:history="1">
        <w:r>
          <w:rPr>
            <w:rStyle w:val="Hyperlink"/>
          </w:rPr>
          <w:t>https://www.atf.gov/resource-center/docs/bomb-threats-across-us/download</w:t>
        </w:r>
      </w:hyperlink>
      <w:r>
        <w:t xml:space="preserve"> (finding an 84% increase in bomb threats to schools from 2010-2016 and an increase in bomb threats to residences) (ATF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EECA" w14:textId="41BC5D8E" w:rsidR="00F6286D" w:rsidRPr="00E51835" w:rsidRDefault="00E51835" w:rsidP="00546B3A">
    <w:pPr>
      <w:pStyle w:val="Header"/>
      <w:rPr>
        <w:b/>
      </w:rPr>
    </w:pPr>
    <w:r w:rsidRPr="00E51835">
      <w:rPr>
        <w:b/>
      </w:rPr>
      <w:t>3060-</w:t>
    </w:r>
    <w:r w:rsidR="006D568E">
      <w:rPr>
        <w:b/>
      </w:rPr>
      <w:t>1255</w:t>
    </w:r>
    <w:r w:rsidRPr="00E51835">
      <w:rPr>
        <w:b/>
      </w:rPr>
      <w:tab/>
    </w:r>
    <w:r w:rsidR="00546B3A">
      <w:rPr>
        <w:b/>
      </w:rPr>
      <w:tab/>
    </w:r>
    <w:r w:rsidR="003F593D">
      <w:rPr>
        <w:b/>
      </w:rPr>
      <w:t xml:space="preserve"> </w:t>
    </w:r>
    <w:r w:rsidRPr="00E51835">
      <w:rPr>
        <w:b/>
      </w:rPr>
      <w:t>20</w:t>
    </w:r>
    <w:r w:rsidR="006D568E">
      <w:rPr>
        <w:b/>
      </w:rPr>
      <w:t>21</w:t>
    </w:r>
  </w:p>
  <w:p w14:paraId="3682846C" w14:textId="0D669724" w:rsidR="00364082" w:rsidRDefault="0054521F">
    <w:pPr>
      <w:pStyle w:val="Header"/>
      <w:rPr>
        <w:b/>
        <w:sz w:val="22"/>
        <w:szCs w:val="22"/>
      </w:rPr>
    </w:pPr>
    <w:r w:rsidRPr="005F3820">
      <w:rPr>
        <w:b/>
        <w:sz w:val="22"/>
        <w:szCs w:val="22"/>
      </w:rPr>
      <w:t>Rules and Policies Regarding Calling Number Identification Service – Caller ID, CC Docket No. 91-281</w:t>
    </w:r>
  </w:p>
  <w:p w14:paraId="084B6475" w14:textId="77777777" w:rsidR="00400659" w:rsidRPr="00E51835" w:rsidRDefault="00400659">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C35A0" w14:textId="543FC0F4" w:rsidR="00400659" w:rsidRPr="00E51835" w:rsidRDefault="00400659" w:rsidP="003273A2">
    <w:pPr>
      <w:pStyle w:val="Header"/>
      <w:tabs>
        <w:tab w:val="left" w:pos="8250"/>
      </w:tabs>
      <w:rPr>
        <w:b/>
      </w:rPr>
    </w:pPr>
    <w:r w:rsidRPr="00E51835">
      <w:rPr>
        <w:b/>
      </w:rPr>
      <w:t>3060-</w:t>
    </w:r>
    <w:r w:rsidR="00E201CE">
      <w:rPr>
        <w:b/>
      </w:rPr>
      <w:t>1255</w:t>
    </w:r>
    <w:r w:rsidRPr="00E51835">
      <w:rPr>
        <w:b/>
      </w:rPr>
      <w:tab/>
    </w:r>
    <w:r w:rsidRPr="00E51835">
      <w:rPr>
        <w:b/>
      </w:rPr>
      <w:tab/>
    </w:r>
    <w:r w:rsidR="00601EBF">
      <w:rPr>
        <w:b/>
      </w:rPr>
      <w:t>April</w:t>
    </w:r>
    <w:r w:rsidR="003F593D">
      <w:rPr>
        <w:b/>
      </w:rPr>
      <w:t xml:space="preserve"> </w:t>
    </w:r>
    <w:r w:rsidRPr="00E51835">
      <w:rPr>
        <w:b/>
      </w:rPr>
      <w:t>20</w:t>
    </w:r>
    <w:r w:rsidR="00E201CE">
      <w:rPr>
        <w:b/>
      </w:rPr>
      <w:t>21</w:t>
    </w:r>
  </w:p>
  <w:p w14:paraId="48A29B0C" w14:textId="6094ACBC" w:rsidR="00400659" w:rsidRDefault="00400659" w:rsidP="00400659">
    <w:pPr>
      <w:pStyle w:val="Header"/>
      <w:rPr>
        <w:b/>
        <w:sz w:val="22"/>
        <w:szCs w:val="22"/>
      </w:rPr>
    </w:pPr>
    <w:r w:rsidRPr="005F3820">
      <w:rPr>
        <w:b/>
        <w:sz w:val="22"/>
        <w:szCs w:val="22"/>
      </w:rPr>
      <w:t>Rules and Policies Regarding Calling Number Identification Service – Caller ID, CC Docket No. 91-281</w:t>
    </w:r>
  </w:p>
  <w:p w14:paraId="42B39578" w14:textId="77777777" w:rsidR="00204F71" w:rsidRDefault="00204F71" w:rsidP="00400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1F80"/>
    <w:multiLevelType w:val="hybridMultilevel"/>
    <w:tmpl w:val="F25E7EFA"/>
    <w:lvl w:ilvl="0" w:tplc="7F02F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7A04"/>
    <w:multiLevelType w:val="hybridMultilevel"/>
    <w:tmpl w:val="04A80C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E3927"/>
    <w:multiLevelType w:val="hybridMultilevel"/>
    <w:tmpl w:val="A5703DE4"/>
    <w:lvl w:ilvl="0" w:tplc="8FEE4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06B4"/>
    <w:multiLevelType w:val="hybridMultilevel"/>
    <w:tmpl w:val="93D4D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E40E4"/>
    <w:multiLevelType w:val="hybridMultilevel"/>
    <w:tmpl w:val="6160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9970278"/>
    <w:multiLevelType w:val="hybridMultilevel"/>
    <w:tmpl w:val="B5CAAD5E"/>
    <w:lvl w:ilvl="0" w:tplc="73400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34B12"/>
    <w:multiLevelType w:val="hybridMultilevel"/>
    <w:tmpl w:val="7332E56C"/>
    <w:lvl w:ilvl="0" w:tplc="10EE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7708B"/>
    <w:multiLevelType w:val="hybridMultilevel"/>
    <w:tmpl w:val="82D6E4A8"/>
    <w:lvl w:ilvl="0" w:tplc="A18A975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BD7BA1"/>
    <w:multiLevelType w:val="hybridMultilevel"/>
    <w:tmpl w:val="17C66796"/>
    <w:lvl w:ilvl="0" w:tplc="15F0F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40044"/>
    <w:multiLevelType w:val="hybridMultilevel"/>
    <w:tmpl w:val="951825DA"/>
    <w:lvl w:ilvl="0" w:tplc="6D360EE6">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EF414E"/>
    <w:multiLevelType w:val="hybridMultilevel"/>
    <w:tmpl w:val="33F83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D529E"/>
    <w:multiLevelType w:val="hybridMultilevel"/>
    <w:tmpl w:val="069044F0"/>
    <w:lvl w:ilvl="0" w:tplc="FFFFFFFF">
      <w:start w:val="1"/>
      <w:numFmt w:val="upperLetter"/>
      <w:lvlText w:val="%1."/>
      <w:lvlJc w:val="left"/>
      <w:pPr>
        <w:tabs>
          <w:tab w:val="num" w:pos="720"/>
        </w:tabs>
        <w:ind w:left="720" w:hanging="3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4" w15:restartNumberingAfterBreak="0">
    <w:nsid w:val="637F4B33"/>
    <w:multiLevelType w:val="hybridMultilevel"/>
    <w:tmpl w:val="480686AC"/>
    <w:lvl w:ilvl="0" w:tplc="B882C35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63616"/>
    <w:multiLevelType w:val="hybridMultilevel"/>
    <w:tmpl w:val="A7D66A52"/>
    <w:lvl w:ilvl="0" w:tplc="B882C35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57A1016"/>
    <w:multiLevelType w:val="hybridMultilevel"/>
    <w:tmpl w:val="51DA7A5C"/>
    <w:lvl w:ilvl="0" w:tplc="08DAED2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12"/>
  </w:num>
  <w:num w:numId="5">
    <w:abstractNumId w:val="3"/>
  </w:num>
  <w:num w:numId="6">
    <w:abstractNumId w:val="14"/>
  </w:num>
  <w:num w:numId="7">
    <w:abstractNumId w:val="6"/>
  </w:num>
  <w:num w:numId="8">
    <w:abstractNumId w:val="9"/>
  </w:num>
  <w:num w:numId="9">
    <w:abstractNumId w:val="2"/>
  </w:num>
  <w:num w:numId="10">
    <w:abstractNumId w:val="7"/>
  </w:num>
  <w:num w:numId="11">
    <w:abstractNumId w:val="0"/>
  </w:num>
  <w:num w:numId="12">
    <w:abstractNumId w:val="16"/>
  </w:num>
  <w:num w:numId="13">
    <w:abstractNumId w:val="15"/>
  </w:num>
  <w:num w:numId="14">
    <w:abstractNumId w:val="8"/>
  </w:num>
  <w:num w:numId="15">
    <w:abstractNumId w:val="10"/>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F8"/>
    <w:rsid w:val="000026B2"/>
    <w:rsid w:val="000178FE"/>
    <w:rsid w:val="00017B30"/>
    <w:rsid w:val="00033031"/>
    <w:rsid w:val="000414B0"/>
    <w:rsid w:val="00046FF0"/>
    <w:rsid w:val="00051670"/>
    <w:rsid w:val="000702C9"/>
    <w:rsid w:val="00074F1D"/>
    <w:rsid w:val="000937F2"/>
    <w:rsid w:val="000A1019"/>
    <w:rsid w:val="000A1B44"/>
    <w:rsid w:val="000A25E2"/>
    <w:rsid w:val="000A7A17"/>
    <w:rsid w:val="000B764A"/>
    <w:rsid w:val="000C4542"/>
    <w:rsid w:val="000C571B"/>
    <w:rsid w:val="00115C88"/>
    <w:rsid w:val="001212B3"/>
    <w:rsid w:val="00121F9F"/>
    <w:rsid w:val="0012604B"/>
    <w:rsid w:val="0013411F"/>
    <w:rsid w:val="001449FF"/>
    <w:rsid w:val="0015171C"/>
    <w:rsid w:val="001520F6"/>
    <w:rsid w:val="001538FD"/>
    <w:rsid w:val="00161FB4"/>
    <w:rsid w:val="001655D9"/>
    <w:rsid w:val="001676F8"/>
    <w:rsid w:val="001724AD"/>
    <w:rsid w:val="00177EEF"/>
    <w:rsid w:val="00195F20"/>
    <w:rsid w:val="001A2831"/>
    <w:rsid w:val="001D0F23"/>
    <w:rsid w:val="001D2631"/>
    <w:rsid w:val="001D3785"/>
    <w:rsid w:val="001D5CB5"/>
    <w:rsid w:val="001E11F8"/>
    <w:rsid w:val="001F669B"/>
    <w:rsid w:val="001F72DA"/>
    <w:rsid w:val="00201E99"/>
    <w:rsid w:val="00204C6F"/>
    <w:rsid w:val="00204F71"/>
    <w:rsid w:val="0021184D"/>
    <w:rsid w:val="00211FBF"/>
    <w:rsid w:val="002120E7"/>
    <w:rsid w:val="00215190"/>
    <w:rsid w:val="00223DC3"/>
    <w:rsid w:val="00227383"/>
    <w:rsid w:val="00231117"/>
    <w:rsid w:val="0023671A"/>
    <w:rsid w:val="00242AE6"/>
    <w:rsid w:val="0024462C"/>
    <w:rsid w:val="00253BDE"/>
    <w:rsid w:val="0026787C"/>
    <w:rsid w:val="00271936"/>
    <w:rsid w:val="00273777"/>
    <w:rsid w:val="002C2923"/>
    <w:rsid w:val="002D2858"/>
    <w:rsid w:val="002D6759"/>
    <w:rsid w:val="002E24FB"/>
    <w:rsid w:val="002E66B4"/>
    <w:rsid w:val="0031378D"/>
    <w:rsid w:val="003204FC"/>
    <w:rsid w:val="003273A2"/>
    <w:rsid w:val="0034224F"/>
    <w:rsid w:val="00342FC6"/>
    <w:rsid w:val="00350AE4"/>
    <w:rsid w:val="00364082"/>
    <w:rsid w:val="00373AF7"/>
    <w:rsid w:val="003873BA"/>
    <w:rsid w:val="003A145A"/>
    <w:rsid w:val="003D42D4"/>
    <w:rsid w:val="003D51B8"/>
    <w:rsid w:val="003D607A"/>
    <w:rsid w:val="003E50FE"/>
    <w:rsid w:val="003F593D"/>
    <w:rsid w:val="003F7519"/>
    <w:rsid w:val="00400659"/>
    <w:rsid w:val="00402166"/>
    <w:rsid w:val="0041210F"/>
    <w:rsid w:val="00417346"/>
    <w:rsid w:val="004352EB"/>
    <w:rsid w:val="0044285F"/>
    <w:rsid w:val="004601D7"/>
    <w:rsid w:val="00482870"/>
    <w:rsid w:val="00490B49"/>
    <w:rsid w:val="0049761F"/>
    <w:rsid w:val="004A0188"/>
    <w:rsid w:val="004A294C"/>
    <w:rsid w:val="004A60A5"/>
    <w:rsid w:val="004A75FC"/>
    <w:rsid w:val="004B2154"/>
    <w:rsid w:val="004B5DAC"/>
    <w:rsid w:val="004D1C6F"/>
    <w:rsid w:val="00512EA9"/>
    <w:rsid w:val="00514415"/>
    <w:rsid w:val="005149A1"/>
    <w:rsid w:val="00517F35"/>
    <w:rsid w:val="005200B3"/>
    <w:rsid w:val="0053149D"/>
    <w:rsid w:val="0053269B"/>
    <w:rsid w:val="0054521F"/>
    <w:rsid w:val="00546B3A"/>
    <w:rsid w:val="00552991"/>
    <w:rsid w:val="005667AD"/>
    <w:rsid w:val="00571A0C"/>
    <w:rsid w:val="0058528A"/>
    <w:rsid w:val="005857EC"/>
    <w:rsid w:val="00586FD6"/>
    <w:rsid w:val="00587098"/>
    <w:rsid w:val="0059445A"/>
    <w:rsid w:val="00595EF4"/>
    <w:rsid w:val="00596FED"/>
    <w:rsid w:val="005A1746"/>
    <w:rsid w:val="005A2DC6"/>
    <w:rsid w:val="005C4B83"/>
    <w:rsid w:val="005C4E56"/>
    <w:rsid w:val="005D0C60"/>
    <w:rsid w:val="005D441D"/>
    <w:rsid w:val="005F2064"/>
    <w:rsid w:val="005F3820"/>
    <w:rsid w:val="00601EBF"/>
    <w:rsid w:val="00613266"/>
    <w:rsid w:val="00615F93"/>
    <w:rsid w:val="006326CA"/>
    <w:rsid w:val="00640199"/>
    <w:rsid w:val="00641282"/>
    <w:rsid w:val="0064264D"/>
    <w:rsid w:val="00651953"/>
    <w:rsid w:val="0065250C"/>
    <w:rsid w:val="00661B91"/>
    <w:rsid w:val="0068089A"/>
    <w:rsid w:val="00690D62"/>
    <w:rsid w:val="00697BBA"/>
    <w:rsid w:val="006A0551"/>
    <w:rsid w:val="006A1020"/>
    <w:rsid w:val="006A269C"/>
    <w:rsid w:val="006A35EF"/>
    <w:rsid w:val="006A6C85"/>
    <w:rsid w:val="006B62A1"/>
    <w:rsid w:val="006C04E7"/>
    <w:rsid w:val="006C6BE6"/>
    <w:rsid w:val="006D568E"/>
    <w:rsid w:val="006E3076"/>
    <w:rsid w:val="006E3CAA"/>
    <w:rsid w:val="006F42EF"/>
    <w:rsid w:val="006F4CED"/>
    <w:rsid w:val="007042FF"/>
    <w:rsid w:val="00705E70"/>
    <w:rsid w:val="00711BC3"/>
    <w:rsid w:val="00711E3C"/>
    <w:rsid w:val="00722088"/>
    <w:rsid w:val="0073259E"/>
    <w:rsid w:val="0073419C"/>
    <w:rsid w:val="00741BBE"/>
    <w:rsid w:val="00760DCB"/>
    <w:rsid w:val="0076274F"/>
    <w:rsid w:val="00787626"/>
    <w:rsid w:val="007979E5"/>
    <w:rsid w:val="007B5959"/>
    <w:rsid w:val="007D5DE0"/>
    <w:rsid w:val="007E77DE"/>
    <w:rsid w:val="007F6241"/>
    <w:rsid w:val="008105CE"/>
    <w:rsid w:val="008206CC"/>
    <w:rsid w:val="008221C2"/>
    <w:rsid w:val="008300CF"/>
    <w:rsid w:val="00832080"/>
    <w:rsid w:val="00846BA4"/>
    <w:rsid w:val="00860697"/>
    <w:rsid w:val="00877E78"/>
    <w:rsid w:val="008826FD"/>
    <w:rsid w:val="00883D7A"/>
    <w:rsid w:val="008911AC"/>
    <w:rsid w:val="008A240F"/>
    <w:rsid w:val="008A79B1"/>
    <w:rsid w:val="008B5DA9"/>
    <w:rsid w:val="008B67B7"/>
    <w:rsid w:val="008C5618"/>
    <w:rsid w:val="008C5DEF"/>
    <w:rsid w:val="008C613F"/>
    <w:rsid w:val="008C647C"/>
    <w:rsid w:val="008E23CE"/>
    <w:rsid w:val="008E78EF"/>
    <w:rsid w:val="00904A01"/>
    <w:rsid w:val="00910935"/>
    <w:rsid w:val="00911A10"/>
    <w:rsid w:val="009274BD"/>
    <w:rsid w:val="009470B3"/>
    <w:rsid w:val="00947FBA"/>
    <w:rsid w:val="00954085"/>
    <w:rsid w:val="00956F10"/>
    <w:rsid w:val="0096726B"/>
    <w:rsid w:val="00967C48"/>
    <w:rsid w:val="009762CE"/>
    <w:rsid w:val="00981DD8"/>
    <w:rsid w:val="009A08DF"/>
    <w:rsid w:val="009B07BE"/>
    <w:rsid w:val="009C5ACD"/>
    <w:rsid w:val="009C63CD"/>
    <w:rsid w:val="009D3C58"/>
    <w:rsid w:val="009F37A6"/>
    <w:rsid w:val="009F71D6"/>
    <w:rsid w:val="00A02752"/>
    <w:rsid w:val="00A032BF"/>
    <w:rsid w:val="00A057CA"/>
    <w:rsid w:val="00A063E6"/>
    <w:rsid w:val="00A20FFA"/>
    <w:rsid w:val="00A22DFD"/>
    <w:rsid w:val="00A3356F"/>
    <w:rsid w:val="00A338D3"/>
    <w:rsid w:val="00A35BAB"/>
    <w:rsid w:val="00A4267C"/>
    <w:rsid w:val="00A4331E"/>
    <w:rsid w:val="00A60DBB"/>
    <w:rsid w:val="00A775EF"/>
    <w:rsid w:val="00A824AD"/>
    <w:rsid w:val="00A94EF3"/>
    <w:rsid w:val="00A94FFB"/>
    <w:rsid w:val="00AA0739"/>
    <w:rsid w:val="00AA74B1"/>
    <w:rsid w:val="00AF5CCC"/>
    <w:rsid w:val="00B31E0F"/>
    <w:rsid w:val="00B32890"/>
    <w:rsid w:val="00B33685"/>
    <w:rsid w:val="00B33E6A"/>
    <w:rsid w:val="00B439E5"/>
    <w:rsid w:val="00B43FD2"/>
    <w:rsid w:val="00B50802"/>
    <w:rsid w:val="00B60CF2"/>
    <w:rsid w:val="00B612E5"/>
    <w:rsid w:val="00B74272"/>
    <w:rsid w:val="00B77D86"/>
    <w:rsid w:val="00B8181B"/>
    <w:rsid w:val="00B9248E"/>
    <w:rsid w:val="00B92A87"/>
    <w:rsid w:val="00B93962"/>
    <w:rsid w:val="00BA73B4"/>
    <w:rsid w:val="00BB5164"/>
    <w:rsid w:val="00BB6F6C"/>
    <w:rsid w:val="00BC1B2A"/>
    <w:rsid w:val="00BE569A"/>
    <w:rsid w:val="00BF2956"/>
    <w:rsid w:val="00C03473"/>
    <w:rsid w:val="00C54888"/>
    <w:rsid w:val="00C72C51"/>
    <w:rsid w:val="00C84DF0"/>
    <w:rsid w:val="00CA367B"/>
    <w:rsid w:val="00CB529E"/>
    <w:rsid w:val="00CE31D7"/>
    <w:rsid w:val="00CE38C6"/>
    <w:rsid w:val="00CE632C"/>
    <w:rsid w:val="00CE6969"/>
    <w:rsid w:val="00CF1CEF"/>
    <w:rsid w:val="00D0741F"/>
    <w:rsid w:val="00D10621"/>
    <w:rsid w:val="00D127E6"/>
    <w:rsid w:val="00D142A3"/>
    <w:rsid w:val="00D1550B"/>
    <w:rsid w:val="00D26677"/>
    <w:rsid w:val="00D3204D"/>
    <w:rsid w:val="00D3651B"/>
    <w:rsid w:val="00D372E9"/>
    <w:rsid w:val="00D46345"/>
    <w:rsid w:val="00D63C7C"/>
    <w:rsid w:val="00D641D3"/>
    <w:rsid w:val="00D76177"/>
    <w:rsid w:val="00D76A4E"/>
    <w:rsid w:val="00D8575B"/>
    <w:rsid w:val="00D91F7C"/>
    <w:rsid w:val="00DA2DEF"/>
    <w:rsid w:val="00DA5ACE"/>
    <w:rsid w:val="00DC07D4"/>
    <w:rsid w:val="00DC15F1"/>
    <w:rsid w:val="00DD09EC"/>
    <w:rsid w:val="00E00835"/>
    <w:rsid w:val="00E04308"/>
    <w:rsid w:val="00E1112B"/>
    <w:rsid w:val="00E201CE"/>
    <w:rsid w:val="00E30F51"/>
    <w:rsid w:val="00E314E6"/>
    <w:rsid w:val="00E51835"/>
    <w:rsid w:val="00E53274"/>
    <w:rsid w:val="00E554B4"/>
    <w:rsid w:val="00E57F8A"/>
    <w:rsid w:val="00E667C8"/>
    <w:rsid w:val="00E732EB"/>
    <w:rsid w:val="00E77BE8"/>
    <w:rsid w:val="00E81D2B"/>
    <w:rsid w:val="00E8628D"/>
    <w:rsid w:val="00E93F83"/>
    <w:rsid w:val="00EA14D7"/>
    <w:rsid w:val="00ED3C47"/>
    <w:rsid w:val="00ED71CA"/>
    <w:rsid w:val="00EE2D3A"/>
    <w:rsid w:val="00EF22D9"/>
    <w:rsid w:val="00EF5F00"/>
    <w:rsid w:val="00F1174E"/>
    <w:rsid w:val="00F163D9"/>
    <w:rsid w:val="00F20A17"/>
    <w:rsid w:val="00F235BB"/>
    <w:rsid w:val="00F33C1E"/>
    <w:rsid w:val="00F456AE"/>
    <w:rsid w:val="00F6286D"/>
    <w:rsid w:val="00F65A90"/>
    <w:rsid w:val="00F767B6"/>
    <w:rsid w:val="00F772EC"/>
    <w:rsid w:val="00F81C7F"/>
    <w:rsid w:val="00F85FA3"/>
    <w:rsid w:val="00F93962"/>
    <w:rsid w:val="00F97272"/>
    <w:rsid w:val="00FB541C"/>
    <w:rsid w:val="00FB7F84"/>
    <w:rsid w:val="00FC4BDB"/>
    <w:rsid w:val="00FC59FF"/>
    <w:rsid w:val="00FD1AFB"/>
    <w:rsid w:val="00FE10EA"/>
    <w:rsid w:val="00FE12A1"/>
    <w:rsid w:val="00FE36E8"/>
    <w:rsid w:val="00FE7AD5"/>
    <w:rsid w:val="00FF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B01612"/>
  <w15:chartTrackingRefBased/>
  <w15:docId w15:val="{144FCD47-C722-46C3-8B93-936B4E93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9F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FC59FF"/>
    <w:pPr>
      <w:widowControl w:val="0"/>
      <w:numPr>
        <w:numId w:val="1"/>
      </w:numPr>
      <w:tabs>
        <w:tab w:val="clear" w:pos="1080"/>
        <w:tab w:val="num" w:pos="1440"/>
      </w:tabs>
      <w:spacing w:after="120"/>
    </w:pPr>
    <w:rPr>
      <w:snapToGrid w:val="0"/>
      <w:kern w:val="28"/>
      <w:sz w:val="22"/>
    </w:rPr>
  </w:style>
  <w:style w:type="paragraph" w:styleId="FootnoteText">
    <w:name w:val="footnote text"/>
    <w:aliases w:val="Footnote Text Char3,Footnote Text Char2 Char,Footnote Text Char1 Char Char,Footnote Text Char Char Char Char,Footnote Text Char1 Char Char Char Char,Footnote Text Char Char Char Char Char Char,ALTS FOOTNOTE,fn,Footnote Text Char2,f,fn Ch"/>
    <w:link w:val="FootnoteTextChar"/>
    <w:uiPriority w:val="99"/>
    <w:rsid w:val="00FC59F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3 Char,Footnote Text Char2 Char Char,Footnote Text Char1 Char Char Char,Footnote Text Char Char Char Char Char,Footnote Text Char1 Char Char Char Char Char,Footnote Text Char Char Char Char Char Char Char,fn Char"/>
    <w:basedOn w:val="DefaultParagraphFont"/>
    <w:link w:val="FootnoteText"/>
    <w:uiPriority w:val="99"/>
    <w:rsid w:val="00FC59FF"/>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6,Style 17,Footnote Reference/,Style 7,Style 4,Footnote Reference1,Style 34,Style 9"/>
    <w:uiPriority w:val="99"/>
    <w:rsid w:val="00FC59FF"/>
    <w:rPr>
      <w:rFonts w:ascii="Times New Roman" w:hAnsi="Times New Roman"/>
      <w:dstrike w:val="0"/>
      <w:color w:val="auto"/>
      <w:sz w:val="20"/>
      <w:vertAlign w:val="superscript"/>
    </w:rPr>
  </w:style>
  <w:style w:type="character" w:customStyle="1" w:styleId="ParaNumChar">
    <w:name w:val="ParaNum Char"/>
    <w:link w:val="ParaNum"/>
    <w:locked/>
    <w:rsid w:val="00FC59FF"/>
    <w:rPr>
      <w:rFonts w:ascii="Times New Roman" w:eastAsia="Times New Roman" w:hAnsi="Times New Roman" w:cs="Times New Roman"/>
      <w:snapToGrid w:val="0"/>
      <w:kern w:val="28"/>
      <w:szCs w:val="20"/>
    </w:rPr>
  </w:style>
  <w:style w:type="character" w:styleId="Hyperlink">
    <w:name w:val="Hyperlink"/>
    <w:rsid w:val="008C613F"/>
    <w:rPr>
      <w:color w:val="0000FF"/>
      <w:u w:val="single"/>
    </w:rPr>
  </w:style>
  <w:style w:type="paragraph" w:styleId="ListParagraph">
    <w:name w:val="List Paragraph"/>
    <w:basedOn w:val="Normal"/>
    <w:uiPriority w:val="34"/>
    <w:qFormat/>
    <w:rsid w:val="00195F20"/>
    <w:pPr>
      <w:ind w:left="720"/>
      <w:contextualSpacing/>
    </w:pPr>
  </w:style>
  <w:style w:type="character" w:styleId="CommentReference">
    <w:name w:val="annotation reference"/>
    <w:basedOn w:val="DefaultParagraphFont"/>
    <w:uiPriority w:val="99"/>
    <w:semiHidden/>
    <w:unhideWhenUsed/>
    <w:rsid w:val="009D3C58"/>
    <w:rPr>
      <w:sz w:val="16"/>
      <w:szCs w:val="16"/>
    </w:rPr>
  </w:style>
  <w:style w:type="paragraph" w:styleId="CommentText">
    <w:name w:val="annotation text"/>
    <w:basedOn w:val="Normal"/>
    <w:link w:val="CommentTextChar"/>
    <w:uiPriority w:val="99"/>
    <w:semiHidden/>
    <w:unhideWhenUsed/>
    <w:rsid w:val="009D3C58"/>
    <w:rPr>
      <w:sz w:val="20"/>
    </w:rPr>
  </w:style>
  <w:style w:type="character" w:customStyle="1" w:styleId="CommentTextChar">
    <w:name w:val="Comment Text Char"/>
    <w:basedOn w:val="DefaultParagraphFont"/>
    <w:link w:val="CommentText"/>
    <w:uiPriority w:val="99"/>
    <w:semiHidden/>
    <w:rsid w:val="009D3C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3C58"/>
    <w:rPr>
      <w:b/>
      <w:bCs/>
    </w:rPr>
  </w:style>
  <w:style w:type="character" w:customStyle="1" w:styleId="CommentSubjectChar">
    <w:name w:val="Comment Subject Char"/>
    <w:basedOn w:val="CommentTextChar"/>
    <w:link w:val="CommentSubject"/>
    <w:uiPriority w:val="99"/>
    <w:semiHidden/>
    <w:rsid w:val="009D3C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3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C58"/>
    <w:rPr>
      <w:rFonts w:ascii="Segoe UI" w:eastAsia="Times New Roman" w:hAnsi="Segoe UI" w:cs="Segoe UI"/>
      <w:sz w:val="18"/>
      <w:szCs w:val="18"/>
    </w:rPr>
  </w:style>
  <w:style w:type="paragraph" w:styleId="EndnoteText">
    <w:name w:val="endnote text"/>
    <w:basedOn w:val="Normal"/>
    <w:link w:val="EndnoteTextChar"/>
    <w:semiHidden/>
    <w:rsid w:val="00E30F51"/>
    <w:pPr>
      <w:widowControl w:val="0"/>
    </w:pPr>
    <w:rPr>
      <w:snapToGrid w:val="0"/>
      <w:kern w:val="28"/>
      <w:sz w:val="20"/>
    </w:rPr>
  </w:style>
  <w:style w:type="character" w:customStyle="1" w:styleId="EndnoteTextChar">
    <w:name w:val="Endnote Text Char"/>
    <w:basedOn w:val="DefaultParagraphFont"/>
    <w:link w:val="EndnoteText"/>
    <w:semiHidden/>
    <w:rsid w:val="00E30F51"/>
    <w:rPr>
      <w:rFonts w:ascii="Times New Roman" w:eastAsia="Times New Roman" w:hAnsi="Times New Roman" w:cs="Times New Roman"/>
      <w:snapToGrid w:val="0"/>
      <w:kern w:val="28"/>
      <w:sz w:val="20"/>
      <w:szCs w:val="20"/>
    </w:rPr>
  </w:style>
  <w:style w:type="character" w:styleId="FollowedHyperlink">
    <w:name w:val="FollowedHyperlink"/>
    <w:basedOn w:val="DefaultParagraphFont"/>
    <w:uiPriority w:val="99"/>
    <w:semiHidden/>
    <w:unhideWhenUsed/>
    <w:rsid w:val="00CE632C"/>
    <w:rPr>
      <w:color w:val="954F72" w:themeColor="followedHyperlink"/>
      <w:u w:val="single"/>
    </w:rPr>
  </w:style>
  <w:style w:type="character" w:customStyle="1" w:styleId="cosearchterm">
    <w:name w:val="co_searchterm"/>
    <w:basedOn w:val="DefaultParagraphFont"/>
    <w:rsid w:val="00967C48"/>
  </w:style>
  <w:style w:type="character" w:styleId="Emphasis">
    <w:name w:val="Emphasis"/>
    <w:basedOn w:val="DefaultParagraphFont"/>
    <w:uiPriority w:val="20"/>
    <w:qFormat/>
    <w:rsid w:val="00967C48"/>
    <w:rPr>
      <w:i/>
      <w:iCs/>
    </w:rPr>
  </w:style>
  <w:style w:type="character" w:styleId="UnresolvedMention">
    <w:name w:val="Unresolved Mention"/>
    <w:basedOn w:val="DefaultParagraphFont"/>
    <w:uiPriority w:val="99"/>
    <w:semiHidden/>
    <w:unhideWhenUsed/>
    <w:rsid w:val="00EF5F00"/>
    <w:rPr>
      <w:color w:val="808080"/>
      <w:shd w:val="clear" w:color="auto" w:fill="E6E6E6"/>
    </w:rPr>
  </w:style>
  <w:style w:type="paragraph" w:styleId="Header">
    <w:name w:val="header"/>
    <w:basedOn w:val="Normal"/>
    <w:link w:val="HeaderChar"/>
    <w:uiPriority w:val="99"/>
    <w:unhideWhenUsed/>
    <w:rsid w:val="00364082"/>
    <w:pPr>
      <w:tabs>
        <w:tab w:val="center" w:pos="4680"/>
        <w:tab w:val="right" w:pos="9360"/>
      </w:tabs>
    </w:pPr>
  </w:style>
  <w:style w:type="character" w:customStyle="1" w:styleId="HeaderChar">
    <w:name w:val="Header Char"/>
    <w:basedOn w:val="DefaultParagraphFont"/>
    <w:link w:val="Header"/>
    <w:uiPriority w:val="99"/>
    <w:rsid w:val="003640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64082"/>
    <w:pPr>
      <w:tabs>
        <w:tab w:val="center" w:pos="4680"/>
        <w:tab w:val="right" w:pos="9360"/>
      </w:tabs>
    </w:pPr>
  </w:style>
  <w:style w:type="character" w:customStyle="1" w:styleId="FooterChar">
    <w:name w:val="Footer Char"/>
    <w:basedOn w:val="DefaultParagraphFont"/>
    <w:link w:val="Footer"/>
    <w:uiPriority w:val="99"/>
    <w:rsid w:val="00364082"/>
    <w:rPr>
      <w:rFonts w:ascii="Times New Roman" w:eastAsia="Times New Roman" w:hAnsi="Times New Roman" w:cs="Times New Roman"/>
      <w:sz w:val="24"/>
      <w:szCs w:val="20"/>
    </w:rPr>
  </w:style>
  <w:style w:type="paragraph" w:styleId="Revision">
    <w:name w:val="Revision"/>
    <w:hidden/>
    <w:uiPriority w:val="99"/>
    <w:semiHidden/>
    <w:rsid w:val="00A338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972542">
      <w:bodyDiv w:val="1"/>
      <w:marLeft w:val="0"/>
      <w:marRight w:val="0"/>
      <w:marTop w:val="0"/>
      <w:marBottom w:val="0"/>
      <w:divBdr>
        <w:top w:val="none" w:sz="0" w:space="0" w:color="auto"/>
        <w:left w:val="none" w:sz="0" w:space="0" w:color="auto"/>
        <w:bottom w:val="none" w:sz="0" w:space="0" w:color="auto"/>
        <w:right w:val="none" w:sz="0" w:space="0" w:color="auto"/>
      </w:divBdr>
      <w:divsChild>
        <w:div w:id="718672226">
          <w:marLeft w:val="432"/>
          <w:marRight w:val="0"/>
          <w:marTop w:val="0"/>
          <w:marBottom w:val="0"/>
          <w:divBdr>
            <w:top w:val="none" w:sz="0" w:space="0" w:color="auto"/>
            <w:left w:val="none" w:sz="0" w:space="0" w:color="auto"/>
            <w:bottom w:val="none" w:sz="0" w:space="0" w:color="auto"/>
            <w:right w:val="none" w:sz="0" w:space="0" w:color="auto"/>
          </w:divBdr>
          <w:divsChild>
            <w:div w:id="232467634">
              <w:marLeft w:val="0"/>
              <w:marRight w:val="0"/>
              <w:marTop w:val="0"/>
              <w:marBottom w:val="0"/>
              <w:divBdr>
                <w:top w:val="none" w:sz="0" w:space="0" w:color="auto"/>
                <w:left w:val="none" w:sz="0" w:space="0" w:color="auto"/>
                <w:bottom w:val="none" w:sz="0" w:space="0" w:color="auto"/>
                <w:right w:val="none" w:sz="0" w:space="0" w:color="auto"/>
              </w:divBdr>
              <w:divsChild>
                <w:div w:id="797800728">
                  <w:marLeft w:val="0"/>
                  <w:marRight w:val="0"/>
                  <w:marTop w:val="0"/>
                  <w:marBottom w:val="0"/>
                  <w:divBdr>
                    <w:top w:val="none" w:sz="0" w:space="0" w:color="auto"/>
                    <w:left w:val="none" w:sz="0" w:space="0" w:color="auto"/>
                    <w:bottom w:val="none" w:sz="0" w:space="0" w:color="auto"/>
                    <w:right w:val="none" w:sz="0" w:space="0" w:color="auto"/>
                  </w:divBdr>
                  <w:divsChild>
                    <w:div w:id="1323124872">
                      <w:marLeft w:val="0"/>
                      <w:marRight w:val="0"/>
                      <w:marTop w:val="0"/>
                      <w:marBottom w:val="0"/>
                      <w:divBdr>
                        <w:top w:val="none" w:sz="0" w:space="0" w:color="auto"/>
                        <w:left w:val="none" w:sz="0" w:space="0" w:color="auto"/>
                        <w:bottom w:val="none" w:sz="0" w:space="0" w:color="auto"/>
                        <w:right w:val="none" w:sz="0" w:space="0" w:color="auto"/>
                      </w:divBdr>
                      <w:divsChild>
                        <w:div w:id="499781082">
                          <w:marLeft w:val="0"/>
                          <w:marRight w:val="0"/>
                          <w:marTop w:val="0"/>
                          <w:marBottom w:val="0"/>
                          <w:divBdr>
                            <w:top w:val="none" w:sz="0" w:space="0" w:color="auto"/>
                            <w:left w:val="none" w:sz="0" w:space="0" w:color="auto"/>
                            <w:bottom w:val="none" w:sz="0" w:space="0" w:color="auto"/>
                            <w:right w:val="none" w:sz="0" w:space="0" w:color="auto"/>
                          </w:divBdr>
                        </w:div>
                        <w:div w:id="1716852923">
                          <w:marLeft w:val="0"/>
                          <w:marRight w:val="0"/>
                          <w:marTop w:val="0"/>
                          <w:marBottom w:val="0"/>
                          <w:divBdr>
                            <w:top w:val="none" w:sz="0" w:space="0" w:color="auto"/>
                            <w:left w:val="none" w:sz="0" w:space="0" w:color="auto"/>
                            <w:bottom w:val="none" w:sz="0" w:space="0" w:color="auto"/>
                            <w:right w:val="none" w:sz="0" w:space="0" w:color="auto"/>
                          </w:divBdr>
                        </w:div>
                        <w:div w:id="1275945201">
                          <w:marLeft w:val="0"/>
                          <w:marRight w:val="0"/>
                          <w:marTop w:val="0"/>
                          <w:marBottom w:val="0"/>
                          <w:divBdr>
                            <w:top w:val="none" w:sz="0" w:space="0" w:color="auto"/>
                            <w:left w:val="none" w:sz="0" w:space="0" w:color="auto"/>
                            <w:bottom w:val="none" w:sz="0" w:space="0" w:color="auto"/>
                            <w:right w:val="none" w:sz="0" w:space="0" w:color="auto"/>
                          </w:divBdr>
                        </w:div>
                        <w:div w:id="751396090">
                          <w:marLeft w:val="0"/>
                          <w:marRight w:val="0"/>
                          <w:marTop w:val="0"/>
                          <w:marBottom w:val="0"/>
                          <w:divBdr>
                            <w:top w:val="none" w:sz="0" w:space="0" w:color="auto"/>
                            <w:left w:val="none" w:sz="0" w:space="0" w:color="auto"/>
                            <w:bottom w:val="none" w:sz="0" w:space="0" w:color="auto"/>
                            <w:right w:val="none" w:sz="0" w:space="0" w:color="auto"/>
                          </w:divBdr>
                        </w:div>
                        <w:div w:id="2133591281">
                          <w:marLeft w:val="0"/>
                          <w:marRight w:val="0"/>
                          <w:marTop w:val="0"/>
                          <w:marBottom w:val="0"/>
                          <w:divBdr>
                            <w:top w:val="none" w:sz="0" w:space="0" w:color="auto"/>
                            <w:left w:val="none" w:sz="0" w:space="0" w:color="auto"/>
                            <w:bottom w:val="none" w:sz="0" w:space="0" w:color="auto"/>
                            <w:right w:val="none" w:sz="0" w:space="0" w:color="auto"/>
                          </w:divBdr>
                        </w:div>
                        <w:div w:id="333798348">
                          <w:marLeft w:val="0"/>
                          <w:marRight w:val="0"/>
                          <w:marTop w:val="0"/>
                          <w:marBottom w:val="0"/>
                          <w:divBdr>
                            <w:top w:val="none" w:sz="0" w:space="0" w:color="auto"/>
                            <w:left w:val="none" w:sz="0" w:space="0" w:color="auto"/>
                            <w:bottom w:val="none" w:sz="0" w:space="0" w:color="auto"/>
                            <w:right w:val="none" w:sz="0" w:space="0" w:color="auto"/>
                          </w:divBdr>
                        </w:div>
                        <w:div w:id="943851098">
                          <w:marLeft w:val="0"/>
                          <w:marRight w:val="0"/>
                          <w:marTop w:val="0"/>
                          <w:marBottom w:val="0"/>
                          <w:divBdr>
                            <w:top w:val="none" w:sz="0" w:space="0" w:color="auto"/>
                            <w:left w:val="none" w:sz="0" w:space="0" w:color="auto"/>
                            <w:bottom w:val="none" w:sz="0" w:space="0" w:color="auto"/>
                            <w:right w:val="none" w:sz="0" w:space="0" w:color="auto"/>
                          </w:divBdr>
                        </w:div>
                        <w:div w:id="689450891">
                          <w:marLeft w:val="0"/>
                          <w:marRight w:val="0"/>
                          <w:marTop w:val="0"/>
                          <w:marBottom w:val="0"/>
                          <w:divBdr>
                            <w:top w:val="none" w:sz="0" w:space="0" w:color="auto"/>
                            <w:left w:val="none" w:sz="0" w:space="0" w:color="auto"/>
                            <w:bottom w:val="none" w:sz="0" w:space="0" w:color="auto"/>
                            <w:right w:val="none" w:sz="0" w:space="0" w:color="auto"/>
                          </w:divBdr>
                        </w:div>
                        <w:div w:id="51663941">
                          <w:marLeft w:val="0"/>
                          <w:marRight w:val="0"/>
                          <w:marTop w:val="0"/>
                          <w:marBottom w:val="0"/>
                          <w:divBdr>
                            <w:top w:val="none" w:sz="0" w:space="0" w:color="auto"/>
                            <w:left w:val="none" w:sz="0" w:space="0" w:color="auto"/>
                            <w:bottom w:val="none" w:sz="0" w:space="0" w:color="auto"/>
                            <w:right w:val="none" w:sz="0" w:space="0" w:color="auto"/>
                          </w:divBdr>
                        </w:div>
                        <w:div w:id="30422786">
                          <w:marLeft w:val="0"/>
                          <w:marRight w:val="0"/>
                          <w:marTop w:val="0"/>
                          <w:marBottom w:val="0"/>
                          <w:divBdr>
                            <w:top w:val="none" w:sz="0" w:space="0" w:color="auto"/>
                            <w:left w:val="none" w:sz="0" w:space="0" w:color="auto"/>
                            <w:bottom w:val="none" w:sz="0" w:space="0" w:color="auto"/>
                            <w:right w:val="none" w:sz="0" w:space="0" w:color="auto"/>
                          </w:divBdr>
                        </w:div>
                        <w:div w:id="1625113796">
                          <w:marLeft w:val="0"/>
                          <w:marRight w:val="0"/>
                          <w:marTop w:val="0"/>
                          <w:marBottom w:val="0"/>
                          <w:divBdr>
                            <w:top w:val="none" w:sz="0" w:space="0" w:color="auto"/>
                            <w:left w:val="none" w:sz="0" w:space="0" w:color="auto"/>
                            <w:bottom w:val="none" w:sz="0" w:space="0" w:color="auto"/>
                            <w:right w:val="none" w:sz="0" w:space="0" w:color="auto"/>
                          </w:divBdr>
                        </w:div>
                        <w:div w:id="847719768">
                          <w:marLeft w:val="0"/>
                          <w:marRight w:val="0"/>
                          <w:marTop w:val="0"/>
                          <w:marBottom w:val="0"/>
                          <w:divBdr>
                            <w:top w:val="none" w:sz="0" w:space="0" w:color="auto"/>
                            <w:left w:val="none" w:sz="0" w:space="0" w:color="auto"/>
                            <w:bottom w:val="none" w:sz="0" w:space="0" w:color="auto"/>
                            <w:right w:val="none" w:sz="0" w:space="0" w:color="auto"/>
                          </w:divBdr>
                        </w:div>
                        <w:div w:id="500126455">
                          <w:marLeft w:val="0"/>
                          <w:marRight w:val="0"/>
                          <w:marTop w:val="0"/>
                          <w:marBottom w:val="0"/>
                          <w:divBdr>
                            <w:top w:val="none" w:sz="0" w:space="0" w:color="auto"/>
                            <w:left w:val="none" w:sz="0" w:space="0" w:color="auto"/>
                            <w:bottom w:val="none" w:sz="0" w:space="0" w:color="auto"/>
                            <w:right w:val="none" w:sz="0" w:space="0" w:color="auto"/>
                          </w:divBdr>
                        </w:div>
                        <w:div w:id="1962951608">
                          <w:marLeft w:val="0"/>
                          <w:marRight w:val="0"/>
                          <w:marTop w:val="0"/>
                          <w:marBottom w:val="0"/>
                          <w:divBdr>
                            <w:top w:val="none" w:sz="0" w:space="0" w:color="auto"/>
                            <w:left w:val="none" w:sz="0" w:space="0" w:color="auto"/>
                            <w:bottom w:val="none" w:sz="0" w:space="0" w:color="auto"/>
                            <w:right w:val="none" w:sz="0" w:space="0" w:color="auto"/>
                          </w:divBdr>
                        </w:div>
                        <w:div w:id="27268306">
                          <w:marLeft w:val="0"/>
                          <w:marRight w:val="0"/>
                          <w:marTop w:val="0"/>
                          <w:marBottom w:val="0"/>
                          <w:divBdr>
                            <w:top w:val="none" w:sz="0" w:space="0" w:color="auto"/>
                            <w:left w:val="none" w:sz="0" w:space="0" w:color="auto"/>
                            <w:bottom w:val="none" w:sz="0" w:space="0" w:color="auto"/>
                            <w:right w:val="none" w:sz="0" w:space="0" w:color="auto"/>
                          </w:divBdr>
                        </w:div>
                        <w:div w:id="958342417">
                          <w:marLeft w:val="0"/>
                          <w:marRight w:val="0"/>
                          <w:marTop w:val="0"/>
                          <w:marBottom w:val="0"/>
                          <w:divBdr>
                            <w:top w:val="none" w:sz="0" w:space="0" w:color="auto"/>
                            <w:left w:val="none" w:sz="0" w:space="0" w:color="auto"/>
                            <w:bottom w:val="none" w:sz="0" w:space="0" w:color="auto"/>
                            <w:right w:val="none" w:sz="0" w:space="0" w:color="auto"/>
                          </w:divBdr>
                        </w:div>
                        <w:div w:id="444497505">
                          <w:marLeft w:val="0"/>
                          <w:marRight w:val="0"/>
                          <w:marTop w:val="0"/>
                          <w:marBottom w:val="0"/>
                          <w:divBdr>
                            <w:top w:val="none" w:sz="0" w:space="0" w:color="auto"/>
                            <w:left w:val="none" w:sz="0" w:space="0" w:color="auto"/>
                            <w:bottom w:val="none" w:sz="0" w:space="0" w:color="auto"/>
                            <w:right w:val="none" w:sz="0" w:space="0" w:color="auto"/>
                          </w:divBdr>
                        </w:div>
                        <w:div w:id="2079670405">
                          <w:marLeft w:val="0"/>
                          <w:marRight w:val="0"/>
                          <w:marTop w:val="0"/>
                          <w:marBottom w:val="0"/>
                          <w:divBdr>
                            <w:top w:val="none" w:sz="0" w:space="0" w:color="auto"/>
                            <w:left w:val="none" w:sz="0" w:space="0" w:color="auto"/>
                            <w:bottom w:val="none" w:sz="0" w:space="0" w:color="auto"/>
                            <w:right w:val="none" w:sz="0" w:space="0" w:color="auto"/>
                          </w:divBdr>
                        </w:div>
                        <w:div w:id="1524126971">
                          <w:marLeft w:val="0"/>
                          <w:marRight w:val="0"/>
                          <w:marTop w:val="0"/>
                          <w:marBottom w:val="0"/>
                          <w:divBdr>
                            <w:top w:val="none" w:sz="0" w:space="0" w:color="auto"/>
                            <w:left w:val="none" w:sz="0" w:space="0" w:color="auto"/>
                            <w:bottom w:val="none" w:sz="0" w:space="0" w:color="auto"/>
                            <w:right w:val="none" w:sz="0" w:space="0" w:color="auto"/>
                          </w:divBdr>
                        </w:div>
                        <w:div w:id="1425227642">
                          <w:marLeft w:val="0"/>
                          <w:marRight w:val="0"/>
                          <w:marTop w:val="0"/>
                          <w:marBottom w:val="0"/>
                          <w:divBdr>
                            <w:top w:val="none" w:sz="0" w:space="0" w:color="auto"/>
                            <w:left w:val="none" w:sz="0" w:space="0" w:color="auto"/>
                            <w:bottom w:val="none" w:sz="0" w:space="0" w:color="auto"/>
                            <w:right w:val="none" w:sz="0" w:space="0" w:color="auto"/>
                          </w:divBdr>
                        </w:div>
                        <w:div w:id="893780026">
                          <w:marLeft w:val="0"/>
                          <w:marRight w:val="0"/>
                          <w:marTop w:val="0"/>
                          <w:marBottom w:val="0"/>
                          <w:divBdr>
                            <w:top w:val="none" w:sz="0" w:space="0" w:color="auto"/>
                            <w:left w:val="none" w:sz="0" w:space="0" w:color="auto"/>
                            <w:bottom w:val="none" w:sz="0" w:space="0" w:color="auto"/>
                            <w:right w:val="none" w:sz="0" w:space="0" w:color="auto"/>
                          </w:divBdr>
                        </w:div>
                        <w:div w:id="666447452">
                          <w:marLeft w:val="0"/>
                          <w:marRight w:val="0"/>
                          <w:marTop w:val="0"/>
                          <w:marBottom w:val="0"/>
                          <w:divBdr>
                            <w:top w:val="none" w:sz="0" w:space="0" w:color="auto"/>
                            <w:left w:val="none" w:sz="0" w:space="0" w:color="auto"/>
                            <w:bottom w:val="none" w:sz="0" w:space="0" w:color="auto"/>
                            <w:right w:val="none" w:sz="0" w:space="0" w:color="auto"/>
                          </w:divBdr>
                        </w:div>
                        <w:div w:id="166210933">
                          <w:marLeft w:val="0"/>
                          <w:marRight w:val="0"/>
                          <w:marTop w:val="0"/>
                          <w:marBottom w:val="0"/>
                          <w:divBdr>
                            <w:top w:val="none" w:sz="0" w:space="0" w:color="auto"/>
                            <w:left w:val="none" w:sz="0" w:space="0" w:color="auto"/>
                            <w:bottom w:val="none" w:sz="0" w:space="0" w:color="auto"/>
                            <w:right w:val="none" w:sz="0" w:space="0" w:color="auto"/>
                          </w:divBdr>
                        </w:div>
                        <w:div w:id="37777016">
                          <w:marLeft w:val="0"/>
                          <w:marRight w:val="0"/>
                          <w:marTop w:val="0"/>
                          <w:marBottom w:val="0"/>
                          <w:divBdr>
                            <w:top w:val="none" w:sz="0" w:space="0" w:color="auto"/>
                            <w:left w:val="none" w:sz="0" w:space="0" w:color="auto"/>
                            <w:bottom w:val="none" w:sz="0" w:space="0" w:color="auto"/>
                            <w:right w:val="none" w:sz="0" w:space="0" w:color="auto"/>
                          </w:divBdr>
                        </w:div>
                        <w:div w:id="703868198">
                          <w:marLeft w:val="0"/>
                          <w:marRight w:val="0"/>
                          <w:marTop w:val="0"/>
                          <w:marBottom w:val="0"/>
                          <w:divBdr>
                            <w:top w:val="none" w:sz="0" w:space="0" w:color="auto"/>
                            <w:left w:val="none" w:sz="0" w:space="0" w:color="auto"/>
                            <w:bottom w:val="none" w:sz="0" w:space="0" w:color="auto"/>
                            <w:right w:val="none" w:sz="0" w:space="0" w:color="auto"/>
                          </w:divBdr>
                        </w:div>
                        <w:div w:id="493227618">
                          <w:marLeft w:val="0"/>
                          <w:marRight w:val="0"/>
                          <w:marTop w:val="0"/>
                          <w:marBottom w:val="0"/>
                          <w:divBdr>
                            <w:top w:val="none" w:sz="0" w:space="0" w:color="auto"/>
                            <w:left w:val="none" w:sz="0" w:space="0" w:color="auto"/>
                            <w:bottom w:val="none" w:sz="0" w:space="0" w:color="auto"/>
                            <w:right w:val="none" w:sz="0" w:space="0" w:color="auto"/>
                          </w:divBdr>
                        </w:div>
                        <w:div w:id="1152134458">
                          <w:marLeft w:val="0"/>
                          <w:marRight w:val="0"/>
                          <w:marTop w:val="0"/>
                          <w:marBottom w:val="0"/>
                          <w:divBdr>
                            <w:top w:val="none" w:sz="0" w:space="0" w:color="auto"/>
                            <w:left w:val="none" w:sz="0" w:space="0" w:color="auto"/>
                            <w:bottom w:val="none" w:sz="0" w:space="0" w:color="auto"/>
                            <w:right w:val="none" w:sz="0" w:space="0" w:color="auto"/>
                          </w:divBdr>
                        </w:div>
                        <w:div w:id="607586687">
                          <w:marLeft w:val="0"/>
                          <w:marRight w:val="0"/>
                          <w:marTop w:val="0"/>
                          <w:marBottom w:val="0"/>
                          <w:divBdr>
                            <w:top w:val="none" w:sz="0" w:space="0" w:color="auto"/>
                            <w:left w:val="none" w:sz="0" w:space="0" w:color="auto"/>
                            <w:bottom w:val="none" w:sz="0" w:space="0" w:color="auto"/>
                            <w:right w:val="none" w:sz="0" w:space="0" w:color="auto"/>
                          </w:divBdr>
                        </w:div>
                        <w:div w:id="1515069511">
                          <w:marLeft w:val="0"/>
                          <w:marRight w:val="0"/>
                          <w:marTop w:val="0"/>
                          <w:marBottom w:val="0"/>
                          <w:divBdr>
                            <w:top w:val="none" w:sz="0" w:space="0" w:color="auto"/>
                            <w:left w:val="none" w:sz="0" w:space="0" w:color="auto"/>
                            <w:bottom w:val="none" w:sz="0" w:space="0" w:color="auto"/>
                            <w:right w:val="none" w:sz="0" w:space="0" w:color="auto"/>
                          </w:divBdr>
                        </w:div>
                        <w:div w:id="1498184415">
                          <w:marLeft w:val="0"/>
                          <w:marRight w:val="0"/>
                          <w:marTop w:val="0"/>
                          <w:marBottom w:val="0"/>
                          <w:divBdr>
                            <w:top w:val="none" w:sz="0" w:space="0" w:color="auto"/>
                            <w:left w:val="none" w:sz="0" w:space="0" w:color="auto"/>
                            <w:bottom w:val="none" w:sz="0" w:space="0" w:color="auto"/>
                            <w:right w:val="none" w:sz="0" w:space="0" w:color="auto"/>
                          </w:divBdr>
                        </w:div>
                        <w:div w:id="1565604532">
                          <w:marLeft w:val="0"/>
                          <w:marRight w:val="0"/>
                          <w:marTop w:val="0"/>
                          <w:marBottom w:val="0"/>
                          <w:divBdr>
                            <w:top w:val="none" w:sz="0" w:space="0" w:color="auto"/>
                            <w:left w:val="none" w:sz="0" w:space="0" w:color="auto"/>
                            <w:bottom w:val="none" w:sz="0" w:space="0" w:color="auto"/>
                            <w:right w:val="none" w:sz="0" w:space="0" w:color="auto"/>
                          </w:divBdr>
                        </w:div>
                        <w:div w:id="625625047">
                          <w:marLeft w:val="0"/>
                          <w:marRight w:val="0"/>
                          <w:marTop w:val="0"/>
                          <w:marBottom w:val="0"/>
                          <w:divBdr>
                            <w:top w:val="none" w:sz="0" w:space="0" w:color="auto"/>
                            <w:left w:val="none" w:sz="0" w:space="0" w:color="auto"/>
                            <w:bottom w:val="none" w:sz="0" w:space="0" w:color="auto"/>
                            <w:right w:val="none" w:sz="0" w:space="0" w:color="auto"/>
                          </w:divBdr>
                        </w:div>
                        <w:div w:id="342513785">
                          <w:marLeft w:val="0"/>
                          <w:marRight w:val="0"/>
                          <w:marTop w:val="0"/>
                          <w:marBottom w:val="0"/>
                          <w:divBdr>
                            <w:top w:val="none" w:sz="0" w:space="0" w:color="auto"/>
                            <w:left w:val="none" w:sz="0" w:space="0" w:color="auto"/>
                            <w:bottom w:val="none" w:sz="0" w:space="0" w:color="auto"/>
                            <w:right w:val="none" w:sz="0" w:space="0" w:color="auto"/>
                          </w:divBdr>
                        </w:div>
                        <w:div w:id="1268468314">
                          <w:marLeft w:val="0"/>
                          <w:marRight w:val="0"/>
                          <w:marTop w:val="0"/>
                          <w:marBottom w:val="0"/>
                          <w:divBdr>
                            <w:top w:val="none" w:sz="0" w:space="0" w:color="auto"/>
                            <w:left w:val="none" w:sz="0" w:space="0" w:color="auto"/>
                            <w:bottom w:val="none" w:sz="0" w:space="0" w:color="auto"/>
                            <w:right w:val="none" w:sz="0" w:space="0" w:color="auto"/>
                          </w:divBdr>
                        </w:div>
                        <w:div w:id="169102453">
                          <w:marLeft w:val="0"/>
                          <w:marRight w:val="0"/>
                          <w:marTop w:val="0"/>
                          <w:marBottom w:val="0"/>
                          <w:divBdr>
                            <w:top w:val="none" w:sz="0" w:space="0" w:color="auto"/>
                            <w:left w:val="none" w:sz="0" w:space="0" w:color="auto"/>
                            <w:bottom w:val="none" w:sz="0" w:space="0" w:color="auto"/>
                            <w:right w:val="none" w:sz="0" w:space="0" w:color="auto"/>
                          </w:divBdr>
                        </w:div>
                        <w:div w:id="1307706415">
                          <w:marLeft w:val="0"/>
                          <w:marRight w:val="0"/>
                          <w:marTop w:val="0"/>
                          <w:marBottom w:val="0"/>
                          <w:divBdr>
                            <w:top w:val="none" w:sz="0" w:space="0" w:color="auto"/>
                            <w:left w:val="none" w:sz="0" w:space="0" w:color="auto"/>
                            <w:bottom w:val="none" w:sz="0" w:space="0" w:color="auto"/>
                            <w:right w:val="none" w:sz="0" w:space="0" w:color="auto"/>
                          </w:divBdr>
                        </w:div>
                        <w:div w:id="233471439">
                          <w:marLeft w:val="0"/>
                          <w:marRight w:val="0"/>
                          <w:marTop w:val="0"/>
                          <w:marBottom w:val="0"/>
                          <w:divBdr>
                            <w:top w:val="none" w:sz="0" w:space="0" w:color="auto"/>
                            <w:left w:val="none" w:sz="0" w:space="0" w:color="auto"/>
                            <w:bottom w:val="none" w:sz="0" w:space="0" w:color="auto"/>
                            <w:right w:val="none" w:sz="0" w:space="0" w:color="auto"/>
                          </w:divBdr>
                        </w:div>
                        <w:div w:id="371227836">
                          <w:marLeft w:val="0"/>
                          <w:marRight w:val="0"/>
                          <w:marTop w:val="0"/>
                          <w:marBottom w:val="0"/>
                          <w:divBdr>
                            <w:top w:val="none" w:sz="0" w:space="0" w:color="auto"/>
                            <w:left w:val="none" w:sz="0" w:space="0" w:color="auto"/>
                            <w:bottom w:val="none" w:sz="0" w:space="0" w:color="auto"/>
                            <w:right w:val="none" w:sz="0" w:space="0" w:color="auto"/>
                          </w:divBdr>
                        </w:div>
                        <w:div w:id="1897282499">
                          <w:marLeft w:val="0"/>
                          <w:marRight w:val="0"/>
                          <w:marTop w:val="0"/>
                          <w:marBottom w:val="0"/>
                          <w:divBdr>
                            <w:top w:val="none" w:sz="0" w:space="0" w:color="auto"/>
                            <w:left w:val="none" w:sz="0" w:space="0" w:color="auto"/>
                            <w:bottom w:val="none" w:sz="0" w:space="0" w:color="auto"/>
                            <w:right w:val="none" w:sz="0" w:space="0" w:color="auto"/>
                          </w:divBdr>
                        </w:div>
                        <w:div w:id="1128278239">
                          <w:marLeft w:val="0"/>
                          <w:marRight w:val="0"/>
                          <w:marTop w:val="0"/>
                          <w:marBottom w:val="0"/>
                          <w:divBdr>
                            <w:top w:val="none" w:sz="0" w:space="0" w:color="auto"/>
                            <w:left w:val="none" w:sz="0" w:space="0" w:color="auto"/>
                            <w:bottom w:val="none" w:sz="0" w:space="0" w:color="auto"/>
                            <w:right w:val="none" w:sz="0" w:space="0" w:color="auto"/>
                          </w:divBdr>
                        </w:div>
                        <w:div w:id="1997805954">
                          <w:marLeft w:val="0"/>
                          <w:marRight w:val="0"/>
                          <w:marTop w:val="0"/>
                          <w:marBottom w:val="0"/>
                          <w:divBdr>
                            <w:top w:val="none" w:sz="0" w:space="0" w:color="auto"/>
                            <w:left w:val="none" w:sz="0" w:space="0" w:color="auto"/>
                            <w:bottom w:val="none" w:sz="0" w:space="0" w:color="auto"/>
                            <w:right w:val="none" w:sz="0" w:space="0" w:color="auto"/>
                          </w:divBdr>
                        </w:div>
                        <w:div w:id="759065747">
                          <w:marLeft w:val="0"/>
                          <w:marRight w:val="0"/>
                          <w:marTop w:val="0"/>
                          <w:marBottom w:val="0"/>
                          <w:divBdr>
                            <w:top w:val="none" w:sz="0" w:space="0" w:color="auto"/>
                            <w:left w:val="none" w:sz="0" w:space="0" w:color="auto"/>
                            <w:bottom w:val="none" w:sz="0" w:space="0" w:color="auto"/>
                            <w:right w:val="none" w:sz="0" w:space="0" w:color="auto"/>
                          </w:divBdr>
                        </w:div>
                        <w:div w:id="1499425711">
                          <w:marLeft w:val="0"/>
                          <w:marRight w:val="0"/>
                          <w:marTop w:val="0"/>
                          <w:marBottom w:val="0"/>
                          <w:divBdr>
                            <w:top w:val="none" w:sz="0" w:space="0" w:color="auto"/>
                            <w:left w:val="none" w:sz="0" w:space="0" w:color="auto"/>
                            <w:bottom w:val="none" w:sz="0" w:space="0" w:color="auto"/>
                            <w:right w:val="none" w:sz="0" w:space="0" w:color="auto"/>
                          </w:divBdr>
                        </w:div>
                        <w:div w:id="1215657086">
                          <w:marLeft w:val="0"/>
                          <w:marRight w:val="0"/>
                          <w:marTop w:val="0"/>
                          <w:marBottom w:val="0"/>
                          <w:divBdr>
                            <w:top w:val="none" w:sz="0" w:space="0" w:color="auto"/>
                            <w:left w:val="none" w:sz="0" w:space="0" w:color="auto"/>
                            <w:bottom w:val="none" w:sz="0" w:space="0" w:color="auto"/>
                            <w:right w:val="none" w:sz="0" w:space="0" w:color="auto"/>
                          </w:divBdr>
                        </w:div>
                        <w:div w:id="816458237">
                          <w:marLeft w:val="0"/>
                          <w:marRight w:val="0"/>
                          <w:marTop w:val="0"/>
                          <w:marBottom w:val="0"/>
                          <w:divBdr>
                            <w:top w:val="none" w:sz="0" w:space="0" w:color="auto"/>
                            <w:left w:val="none" w:sz="0" w:space="0" w:color="auto"/>
                            <w:bottom w:val="none" w:sz="0" w:space="0" w:color="auto"/>
                            <w:right w:val="none" w:sz="0" w:space="0" w:color="auto"/>
                          </w:divBdr>
                        </w:div>
                        <w:div w:id="1877232541">
                          <w:marLeft w:val="0"/>
                          <w:marRight w:val="0"/>
                          <w:marTop w:val="0"/>
                          <w:marBottom w:val="0"/>
                          <w:divBdr>
                            <w:top w:val="none" w:sz="0" w:space="0" w:color="auto"/>
                            <w:left w:val="none" w:sz="0" w:space="0" w:color="auto"/>
                            <w:bottom w:val="none" w:sz="0" w:space="0" w:color="auto"/>
                            <w:right w:val="none" w:sz="0" w:space="0" w:color="auto"/>
                          </w:divBdr>
                        </w:div>
                        <w:div w:id="1560824199">
                          <w:marLeft w:val="0"/>
                          <w:marRight w:val="0"/>
                          <w:marTop w:val="0"/>
                          <w:marBottom w:val="0"/>
                          <w:divBdr>
                            <w:top w:val="none" w:sz="0" w:space="0" w:color="auto"/>
                            <w:left w:val="none" w:sz="0" w:space="0" w:color="auto"/>
                            <w:bottom w:val="none" w:sz="0" w:space="0" w:color="auto"/>
                            <w:right w:val="none" w:sz="0" w:space="0" w:color="auto"/>
                          </w:divBdr>
                        </w:div>
                        <w:div w:id="1638146958">
                          <w:marLeft w:val="0"/>
                          <w:marRight w:val="0"/>
                          <w:marTop w:val="0"/>
                          <w:marBottom w:val="0"/>
                          <w:divBdr>
                            <w:top w:val="none" w:sz="0" w:space="0" w:color="auto"/>
                            <w:left w:val="none" w:sz="0" w:space="0" w:color="auto"/>
                            <w:bottom w:val="none" w:sz="0" w:space="0" w:color="auto"/>
                            <w:right w:val="none" w:sz="0" w:space="0" w:color="auto"/>
                          </w:divBdr>
                        </w:div>
                        <w:div w:id="2145462397">
                          <w:marLeft w:val="0"/>
                          <w:marRight w:val="0"/>
                          <w:marTop w:val="0"/>
                          <w:marBottom w:val="0"/>
                          <w:divBdr>
                            <w:top w:val="none" w:sz="0" w:space="0" w:color="auto"/>
                            <w:left w:val="none" w:sz="0" w:space="0" w:color="auto"/>
                            <w:bottom w:val="none" w:sz="0" w:space="0" w:color="auto"/>
                            <w:right w:val="none" w:sz="0" w:space="0" w:color="auto"/>
                          </w:divBdr>
                        </w:div>
                        <w:div w:id="1774520863">
                          <w:marLeft w:val="0"/>
                          <w:marRight w:val="0"/>
                          <w:marTop w:val="0"/>
                          <w:marBottom w:val="0"/>
                          <w:divBdr>
                            <w:top w:val="none" w:sz="0" w:space="0" w:color="auto"/>
                            <w:left w:val="none" w:sz="0" w:space="0" w:color="auto"/>
                            <w:bottom w:val="none" w:sz="0" w:space="0" w:color="auto"/>
                            <w:right w:val="none" w:sz="0" w:space="0" w:color="auto"/>
                          </w:divBdr>
                        </w:div>
                        <w:div w:id="1182433228">
                          <w:marLeft w:val="0"/>
                          <w:marRight w:val="0"/>
                          <w:marTop w:val="0"/>
                          <w:marBottom w:val="0"/>
                          <w:divBdr>
                            <w:top w:val="none" w:sz="0" w:space="0" w:color="auto"/>
                            <w:left w:val="none" w:sz="0" w:space="0" w:color="auto"/>
                            <w:bottom w:val="none" w:sz="0" w:space="0" w:color="auto"/>
                            <w:right w:val="none" w:sz="0" w:space="0" w:color="auto"/>
                          </w:divBdr>
                        </w:div>
                        <w:div w:id="1484279374">
                          <w:marLeft w:val="0"/>
                          <w:marRight w:val="0"/>
                          <w:marTop w:val="0"/>
                          <w:marBottom w:val="0"/>
                          <w:divBdr>
                            <w:top w:val="none" w:sz="0" w:space="0" w:color="auto"/>
                            <w:left w:val="none" w:sz="0" w:space="0" w:color="auto"/>
                            <w:bottom w:val="none" w:sz="0" w:space="0" w:color="auto"/>
                            <w:right w:val="none" w:sz="0" w:space="0" w:color="auto"/>
                          </w:divBdr>
                        </w:div>
                        <w:div w:id="918558221">
                          <w:marLeft w:val="0"/>
                          <w:marRight w:val="0"/>
                          <w:marTop w:val="0"/>
                          <w:marBottom w:val="0"/>
                          <w:divBdr>
                            <w:top w:val="none" w:sz="0" w:space="0" w:color="auto"/>
                            <w:left w:val="none" w:sz="0" w:space="0" w:color="auto"/>
                            <w:bottom w:val="none" w:sz="0" w:space="0" w:color="auto"/>
                            <w:right w:val="none" w:sz="0" w:space="0" w:color="auto"/>
                          </w:divBdr>
                        </w:div>
                        <w:div w:id="1845240060">
                          <w:marLeft w:val="0"/>
                          <w:marRight w:val="0"/>
                          <w:marTop w:val="0"/>
                          <w:marBottom w:val="0"/>
                          <w:divBdr>
                            <w:top w:val="none" w:sz="0" w:space="0" w:color="auto"/>
                            <w:left w:val="none" w:sz="0" w:space="0" w:color="auto"/>
                            <w:bottom w:val="none" w:sz="0" w:space="0" w:color="auto"/>
                            <w:right w:val="none" w:sz="0" w:space="0" w:color="auto"/>
                          </w:divBdr>
                        </w:div>
                        <w:div w:id="19015322">
                          <w:marLeft w:val="0"/>
                          <w:marRight w:val="0"/>
                          <w:marTop w:val="0"/>
                          <w:marBottom w:val="0"/>
                          <w:divBdr>
                            <w:top w:val="none" w:sz="0" w:space="0" w:color="auto"/>
                            <w:left w:val="none" w:sz="0" w:space="0" w:color="auto"/>
                            <w:bottom w:val="none" w:sz="0" w:space="0" w:color="auto"/>
                            <w:right w:val="none" w:sz="0" w:space="0" w:color="auto"/>
                          </w:divBdr>
                        </w:div>
                        <w:div w:id="2060468007">
                          <w:marLeft w:val="0"/>
                          <w:marRight w:val="0"/>
                          <w:marTop w:val="0"/>
                          <w:marBottom w:val="0"/>
                          <w:divBdr>
                            <w:top w:val="none" w:sz="0" w:space="0" w:color="auto"/>
                            <w:left w:val="none" w:sz="0" w:space="0" w:color="auto"/>
                            <w:bottom w:val="none" w:sz="0" w:space="0" w:color="auto"/>
                            <w:right w:val="none" w:sz="0" w:space="0" w:color="auto"/>
                          </w:divBdr>
                        </w:div>
                        <w:div w:id="1449856244">
                          <w:marLeft w:val="0"/>
                          <w:marRight w:val="0"/>
                          <w:marTop w:val="0"/>
                          <w:marBottom w:val="0"/>
                          <w:divBdr>
                            <w:top w:val="none" w:sz="0" w:space="0" w:color="auto"/>
                            <w:left w:val="none" w:sz="0" w:space="0" w:color="auto"/>
                            <w:bottom w:val="none" w:sz="0" w:space="0" w:color="auto"/>
                            <w:right w:val="none" w:sz="0" w:space="0" w:color="auto"/>
                          </w:divBdr>
                        </w:div>
                        <w:div w:id="1730154632">
                          <w:marLeft w:val="0"/>
                          <w:marRight w:val="0"/>
                          <w:marTop w:val="0"/>
                          <w:marBottom w:val="0"/>
                          <w:divBdr>
                            <w:top w:val="none" w:sz="0" w:space="0" w:color="auto"/>
                            <w:left w:val="none" w:sz="0" w:space="0" w:color="auto"/>
                            <w:bottom w:val="none" w:sz="0" w:space="0" w:color="auto"/>
                            <w:right w:val="none" w:sz="0" w:space="0" w:color="auto"/>
                          </w:divBdr>
                        </w:div>
                        <w:div w:id="1062560935">
                          <w:marLeft w:val="0"/>
                          <w:marRight w:val="0"/>
                          <w:marTop w:val="0"/>
                          <w:marBottom w:val="0"/>
                          <w:divBdr>
                            <w:top w:val="none" w:sz="0" w:space="0" w:color="auto"/>
                            <w:left w:val="none" w:sz="0" w:space="0" w:color="auto"/>
                            <w:bottom w:val="none" w:sz="0" w:space="0" w:color="auto"/>
                            <w:right w:val="none" w:sz="0" w:space="0" w:color="auto"/>
                          </w:divBdr>
                        </w:div>
                        <w:div w:id="2026401435">
                          <w:marLeft w:val="0"/>
                          <w:marRight w:val="0"/>
                          <w:marTop w:val="0"/>
                          <w:marBottom w:val="0"/>
                          <w:divBdr>
                            <w:top w:val="none" w:sz="0" w:space="0" w:color="auto"/>
                            <w:left w:val="none" w:sz="0" w:space="0" w:color="auto"/>
                            <w:bottom w:val="none" w:sz="0" w:space="0" w:color="auto"/>
                            <w:right w:val="none" w:sz="0" w:space="0" w:color="auto"/>
                          </w:divBdr>
                        </w:div>
                        <w:div w:id="1375426272">
                          <w:marLeft w:val="0"/>
                          <w:marRight w:val="0"/>
                          <w:marTop w:val="0"/>
                          <w:marBottom w:val="0"/>
                          <w:divBdr>
                            <w:top w:val="none" w:sz="0" w:space="0" w:color="auto"/>
                            <w:left w:val="none" w:sz="0" w:space="0" w:color="auto"/>
                            <w:bottom w:val="none" w:sz="0" w:space="0" w:color="auto"/>
                            <w:right w:val="none" w:sz="0" w:space="0" w:color="auto"/>
                          </w:divBdr>
                        </w:div>
                        <w:div w:id="1989936266">
                          <w:marLeft w:val="0"/>
                          <w:marRight w:val="0"/>
                          <w:marTop w:val="0"/>
                          <w:marBottom w:val="0"/>
                          <w:divBdr>
                            <w:top w:val="none" w:sz="0" w:space="0" w:color="auto"/>
                            <w:left w:val="none" w:sz="0" w:space="0" w:color="auto"/>
                            <w:bottom w:val="none" w:sz="0" w:space="0" w:color="auto"/>
                            <w:right w:val="none" w:sz="0" w:space="0" w:color="auto"/>
                          </w:divBdr>
                        </w:div>
                        <w:div w:id="982809409">
                          <w:marLeft w:val="0"/>
                          <w:marRight w:val="0"/>
                          <w:marTop w:val="0"/>
                          <w:marBottom w:val="0"/>
                          <w:divBdr>
                            <w:top w:val="none" w:sz="0" w:space="0" w:color="auto"/>
                            <w:left w:val="none" w:sz="0" w:space="0" w:color="auto"/>
                            <w:bottom w:val="none" w:sz="0" w:space="0" w:color="auto"/>
                            <w:right w:val="none" w:sz="0" w:space="0" w:color="auto"/>
                          </w:divBdr>
                        </w:div>
                        <w:div w:id="541941868">
                          <w:marLeft w:val="0"/>
                          <w:marRight w:val="0"/>
                          <w:marTop w:val="0"/>
                          <w:marBottom w:val="0"/>
                          <w:divBdr>
                            <w:top w:val="none" w:sz="0" w:space="0" w:color="auto"/>
                            <w:left w:val="none" w:sz="0" w:space="0" w:color="auto"/>
                            <w:bottom w:val="none" w:sz="0" w:space="0" w:color="auto"/>
                            <w:right w:val="none" w:sz="0" w:space="0" w:color="auto"/>
                          </w:divBdr>
                        </w:div>
                        <w:div w:id="1049186787">
                          <w:marLeft w:val="0"/>
                          <w:marRight w:val="0"/>
                          <w:marTop w:val="0"/>
                          <w:marBottom w:val="0"/>
                          <w:divBdr>
                            <w:top w:val="none" w:sz="0" w:space="0" w:color="auto"/>
                            <w:left w:val="none" w:sz="0" w:space="0" w:color="auto"/>
                            <w:bottom w:val="none" w:sz="0" w:space="0" w:color="auto"/>
                            <w:right w:val="none" w:sz="0" w:space="0" w:color="auto"/>
                          </w:divBdr>
                        </w:div>
                        <w:div w:id="422652549">
                          <w:marLeft w:val="0"/>
                          <w:marRight w:val="0"/>
                          <w:marTop w:val="0"/>
                          <w:marBottom w:val="0"/>
                          <w:divBdr>
                            <w:top w:val="none" w:sz="0" w:space="0" w:color="auto"/>
                            <w:left w:val="none" w:sz="0" w:space="0" w:color="auto"/>
                            <w:bottom w:val="none" w:sz="0" w:space="0" w:color="auto"/>
                            <w:right w:val="none" w:sz="0" w:space="0" w:color="auto"/>
                          </w:divBdr>
                        </w:div>
                        <w:div w:id="1311596652">
                          <w:marLeft w:val="0"/>
                          <w:marRight w:val="0"/>
                          <w:marTop w:val="0"/>
                          <w:marBottom w:val="0"/>
                          <w:divBdr>
                            <w:top w:val="none" w:sz="0" w:space="0" w:color="auto"/>
                            <w:left w:val="none" w:sz="0" w:space="0" w:color="auto"/>
                            <w:bottom w:val="none" w:sz="0" w:space="0" w:color="auto"/>
                            <w:right w:val="none" w:sz="0" w:space="0" w:color="auto"/>
                          </w:divBdr>
                        </w:div>
                        <w:div w:id="736172560">
                          <w:marLeft w:val="0"/>
                          <w:marRight w:val="0"/>
                          <w:marTop w:val="0"/>
                          <w:marBottom w:val="0"/>
                          <w:divBdr>
                            <w:top w:val="none" w:sz="0" w:space="0" w:color="auto"/>
                            <w:left w:val="none" w:sz="0" w:space="0" w:color="auto"/>
                            <w:bottom w:val="none" w:sz="0" w:space="0" w:color="auto"/>
                            <w:right w:val="none" w:sz="0" w:space="0" w:color="auto"/>
                          </w:divBdr>
                        </w:div>
                        <w:div w:id="1907641774">
                          <w:marLeft w:val="0"/>
                          <w:marRight w:val="0"/>
                          <w:marTop w:val="0"/>
                          <w:marBottom w:val="0"/>
                          <w:divBdr>
                            <w:top w:val="none" w:sz="0" w:space="0" w:color="auto"/>
                            <w:left w:val="none" w:sz="0" w:space="0" w:color="auto"/>
                            <w:bottom w:val="none" w:sz="0" w:space="0" w:color="auto"/>
                            <w:right w:val="none" w:sz="0" w:space="0" w:color="auto"/>
                          </w:divBdr>
                        </w:div>
                        <w:div w:id="895555673">
                          <w:marLeft w:val="0"/>
                          <w:marRight w:val="0"/>
                          <w:marTop w:val="0"/>
                          <w:marBottom w:val="0"/>
                          <w:divBdr>
                            <w:top w:val="none" w:sz="0" w:space="0" w:color="auto"/>
                            <w:left w:val="none" w:sz="0" w:space="0" w:color="auto"/>
                            <w:bottom w:val="none" w:sz="0" w:space="0" w:color="auto"/>
                            <w:right w:val="none" w:sz="0" w:space="0" w:color="auto"/>
                          </w:divBdr>
                        </w:div>
                        <w:div w:id="255793404">
                          <w:marLeft w:val="0"/>
                          <w:marRight w:val="0"/>
                          <w:marTop w:val="0"/>
                          <w:marBottom w:val="0"/>
                          <w:divBdr>
                            <w:top w:val="none" w:sz="0" w:space="0" w:color="auto"/>
                            <w:left w:val="none" w:sz="0" w:space="0" w:color="auto"/>
                            <w:bottom w:val="none" w:sz="0" w:space="0" w:color="auto"/>
                            <w:right w:val="none" w:sz="0" w:space="0" w:color="auto"/>
                          </w:divBdr>
                        </w:div>
                        <w:div w:id="106047309">
                          <w:marLeft w:val="0"/>
                          <w:marRight w:val="0"/>
                          <w:marTop w:val="0"/>
                          <w:marBottom w:val="0"/>
                          <w:divBdr>
                            <w:top w:val="none" w:sz="0" w:space="0" w:color="auto"/>
                            <w:left w:val="none" w:sz="0" w:space="0" w:color="auto"/>
                            <w:bottom w:val="none" w:sz="0" w:space="0" w:color="auto"/>
                            <w:right w:val="none" w:sz="0" w:space="0" w:color="auto"/>
                          </w:divBdr>
                        </w:div>
                        <w:div w:id="1448548838">
                          <w:marLeft w:val="0"/>
                          <w:marRight w:val="0"/>
                          <w:marTop w:val="0"/>
                          <w:marBottom w:val="0"/>
                          <w:divBdr>
                            <w:top w:val="none" w:sz="0" w:space="0" w:color="auto"/>
                            <w:left w:val="none" w:sz="0" w:space="0" w:color="auto"/>
                            <w:bottom w:val="none" w:sz="0" w:space="0" w:color="auto"/>
                            <w:right w:val="none" w:sz="0" w:space="0" w:color="auto"/>
                          </w:divBdr>
                        </w:div>
                        <w:div w:id="788667519">
                          <w:marLeft w:val="0"/>
                          <w:marRight w:val="0"/>
                          <w:marTop w:val="0"/>
                          <w:marBottom w:val="0"/>
                          <w:divBdr>
                            <w:top w:val="none" w:sz="0" w:space="0" w:color="auto"/>
                            <w:left w:val="none" w:sz="0" w:space="0" w:color="auto"/>
                            <w:bottom w:val="none" w:sz="0" w:space="0" w:color="auto"/>
                            <w:right w:val="none" w:sz="0" w:space="0" w:color="auto"/>
                          </w:divBdr>
                        </w:div>
                        <w:div w:id="1383018409">
                          <w:marLeft w:val="0"/>
                          <w:marRight w:val="0"/>
                          <w:marTop w:val="0"/>
                          <w:marBottom w:val="0"/>
                          <w:divBdr>
                            <w:top w:val="none" w:sz="0" w:space="0" w:color="auto"/>
                            <w:left w:val="none" w:sz="0" w:space="0" w:color="auto"/>
                            <w:bottom w:val="none" w:sz="0" w:space="0" w:color="auto"/>
                            <w:right w:val="none" w:sz="0" w:space="0" w:color="auto"/>
                          </w:divBdr>
                        </w:div>
                        <w:div w:id="23139951">
                          <w:marLeft w:val="0"/>
                          <w:marRight w:val="0"/>
                          <w:marTop w:val="0"/>
                          <w:marBottom w:val="0"/>
                          <w:divBdr>
                            <w:top w:val="none" w:sz="0" w:space="0" w:color="auto"/>
                            <w:left w:val="none" w:sz="0" w:space="0" w:color="auto"/>
                            <w:bottom w:val="none" w:sz="0" w:space="0" w:color="auto"/>
                            <w:right w:val="none" w:sz="0" w:space="0" w:color="auto"/>
                          </w:divBdr>
                        </w:div>
                        <w:div w:id="515733676">
                          <w:marLeft w:val="0"/>
                          <w:marRight w:val="0"/>
                          <w:marTop w:val="0"/>
                          <w:marBottom w:val="0"/>
                          <w:divBdr>
                            <w:top w:val="none" w:sz="0" w:space="0" w:color="auto"/>
                            <w:left w:val="none" w:sz="0" w:space="0" w:color="auto"/>
                            <w:bottom w:val="none" w:sz="0" w:space="0" w:color="auto"/>
                            <w:right w:val="none" w:sz="0" w:space="0" w:color="auto"/>
                          </w:divBdr>
                        </w:div>
                        <w:div w:id="63070272">
                          <w:marLeft w:val="0"/>
                          <w:marRight w:val="0"/>
                          <w:marTop w:val="0"/>
                          <w:marBottom w:val="0"/>
                          <w:divBdr>
                            <w:top w:val="none" w:sz="0" w:space="0" w:color="auto"/>
                            <w:left w:val="none" w:sz="0" w:space="0" w:color="auto"/>
                            <w:bottom w:val="none" w:sz="0" w:space="0" w:color="auto"/>
                            <w:right w:val="none" w:sz="0" w:space="0" w:color="auto"/>
                          </w:divBdr>
                        </w:div>
                        <w:div w:id="467162067">
                          <w:marLeft w:val="0"/>
                          <w:marRight w:val="0"/>
                          <w:marTop w:val="0"/>
                          <w:marBottom w:val="0"/>
                          <w:divBdr>
                            <w:top w:val="none" w:sz="0" w:space="0" w:color="auto"/>
                            <w:left w:val="none" w:sz="0" w:space="0" w:color="auto"/>
                            <w:bottom w:val="none" w:sz="0" w:space="0" w:color="auto"/>
                            <w:right w:val="none" w:sz="0" w:space="0" w:color="auto"/>
                          </w:divBdr>
                        </w:div>
                        <w:div w:id="2023049885">
                          <w:marLeft w:val="0"/>
                          <w:marRight w:val="0"/>
                          <w:marTop w:val="0"/>
                          <w:marBottom w:val="0"/>
                          <w:divBdr>
                            <w:top w:val="none" w:sz="0" w:space="0" w:color="auto"/>
                            <w:left w:val="none" w:sz="0" w:space="0" w:color="auto"/>
                            <w:bottom w:val="none" w:sz="0" w:space="0" w:color="auto"/>
                            <w:right w:val="none" w:sz="0" w:space="0" w:color="auto"/>
                          </w:divBdr>
                        </w:div>
                        <w:div w:id="354623667">
                          <w:marLeft w:val="0"/>
                          <w:marRight w:val="0"/>
                          <w:marTop w:val="0"/>
                          <w:marBottom w:val="0"/>
                          <w:divBdr>
                            <w:top w:val="none" w:sz="0" w:space="0" w:color="auto"/>
                            <w:left w:val="none" w:sz="0" w:space="0" w:color="auto"/>
                            <w:bottom w:val="none" w:sz="0" w:space="0" w:color="auto"/>
                            <w:right w:val="none" w:sz="0" w:space="0" w:color="auto"/>
                          </w:divBdr>
                        </w:div>
                        <w:div w:id="2021082238">
                          <w:marLeft w:val="0"/>
                          <w:marRight w:val="0"/>
                          <w:marTop w:val="0"/>
                          <w:marBottom w:val="0"/>
                          <w:divBdr>
                            <w:top w:val="none" w:sz="0" w:space="0" w:color="auto"/>
                            <w:left w:val="none" w:sz="0" w:space="0" w:color="auto"/>
                            <w:bottom w:val="none" w:sz="0" w:space="0" w:color="auto"/>
                            <w:right w:val="none" w:sz="0" w:space="0" w:color="auto"/>
                          </w:divBdr>
                        </w:div>
                        <w:div w:id="874464468">
                          <w:marLeft w:val="0"/>
                          <w:marRight w:val="0"/>
                          <w:marTop w:val="0"/>
                          <w:marBottom w:val="0"/>
                          <w:divBdr>
                            <w:top w:val="none" w:sz="0" w:space="0" w:color="auto"/>
                            <w:left w:val="none" w:sz="0" w:space="0" w:color="auto"/>
                            <w:bottom w:val="none" w:sz="0" w:space="0" w:color="auto"/>
                            <w:right w:val="none" w:sz="0" w:space="0" w:color="auto"/>
                          </w:divBdr>
                        </w:div>
                        <w:div w:id="600450224">
                          <w:marLeft w:val="0"/>
                          <w:marRight w:val="0"/>
                          <w:marTop w:val="0"/>
                          <w:marBottom w:val="0"/>
                          <w:divBdr>
                            <w:top w:val="none" w:sz="0" w:space="0" w:color="auto"/>
                            <w:left w:val="none" w:sz="0" w:space="0" w:color="auto"/>
                            <w:bottom w:val="none" w:sz="0" w:space="0" w:color="auto"/>
                            <w:right w:val="none" w:sz="0" w:space="0" w:color="auto"/>
                          </w:divBdr>
                        </w:div>
                        <w:div w:id="168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51649">
          <w:marLeft w:val="0"/>
          <w:marRight w:val="0"/>
          <w:marTop w:val="0"/>
          <w:marBottom w:val="0"/>
          <w:divBdr>
            <w:top w:val="none" w:sz="0" w:space="0" w:color="auto"/>
            <w:left w:val="none" w:sz="0" w:space="0" w:color="auto"/>
            <w:bottom w:val="none" w:sz="0" w:space="0" w:color="auto"/>
            <w:right w:val="none" w:sz="0" w:space="0" w:color="auto"/>
          </w:divBdr>
          <w:divsChild>
            <w:div w:id="1473790903">
              <w:marLeft w:val="0"/>
              <w:marRight w:val="0"/>
              <w:marTop w:val="0"/>
              <w:marBottom w:val="0"/>
              <w:divBdr>
                <w:top w:val="none" w:sz="0" w:space="0" w:color="auto"/>
                <w:left w:val="none" w:sz="0" w:space="0" w:color="auto"/>
                <w:bottom w:val="none" w:sz="0" w:space="0" w:color="auto"/>
                <w:right w:val="none" w:sz="0" w:space="0" w:color="auto"/>
              </w:divBdr>
            </w:div>
          </w:divsChild>
        </w:div>
        <w:div w:id="1400791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tf.gov/resource-center/docs/bomb-threats-across-us/download" TargetMode="External"/><Relationship Id="rId1" Type="http://schemas.openxmlformats.org/officeDocument/2006/relationships/hyperlink" Target="https://www.fcc.gov/voice-telephone-service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F42CD-22D0-4A57-87AA-9B0E777F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Foosaner</dc:creator>
  <cp:keywords/>
  <dc:description/>
  <cp:lastModifiedBy>Cathy Williams</cp:lastModifiedBy>
  <cp:revision>3</cp:revision>
  <cp:lastPrinted>2018-02-23T13:07:00Z</cp:lastPrinted>
  <dcterms:created xsi:type="dcterms:W3CDTF">2021-02-17T04:56:00Z</dcterms:created>
  <dcterms:modified xsi:type="dcterms:W3CDTF">2021-04-29T11:44:00Z</dcterms:modified>
</cp:coreProperties>
</file>