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70B7" w:rsidP="00C20018" w:rsidRDefault="005170B7" w14:paraId="3BD48370" w14:textId="2D557B69">
      <w:pPr>
        <w:jc w:val="center"/>
        <w:outlineLvl w:val="0"/>
        <w:rPr>
          <w:b/>
          <w:sz w:val="36"/>
          <w:szCs w:val="36"/>
        </w:rPr>
      </w:pPr>
      <w:r>
        <w:rPr>
          <w:b/>
          <w:sz w:val="36"/>
          <w:szCs w:val="36"/>
        </w:rPr>
        <w:t>Information Collection Request</w:t>
      </w:r>
      <w:r w:rsidR="004B57BE">
        <w:rPr>
          <w:b/>
          <w:sz w:val="36"/>
          <w:szCs w:val="36"/>
        </w:rPr>
        <w:t xml:space="preserve"> Renewal</w:t>
      </w:r>
    </w:p>
    <w:p w:rsidR="005170B7" w:rsidP="00C20018" w:rsidRDefault="005170B7" w14:paraId="62C3212C" w14:textId="3A48CDF1">
      <w:pPr>
        <w:jc w:val="center"/>
        <w:rPr>
          <w:b/>
          <w:sz w:val="36"/>
          <w:szCs w:val="36"/>
        </w:rPr>
      </w:pPr>
      <w:r>
        <w:rPr>
          <w:b/>
          <w:sz w:val="36"/>
          <w:szCs w:val="36"/>
        </w:rPr>
        <w:t>Supporting Statement</w:t>
      </w:r>
      <w:r w:rsidR="00191C53">
        <w:rPr>
          <w:b/>
          <w:sz w:val="36"/>
          <w:szCs w:val="36"/>
        </w:rPr>
        <w:t>:</w:t>
      </w:r>
      <w:r>
        <w:rPr>
          <w:b/>
          <w:sz w:val="36"/>
          <w:szCs w:val="36"/>
        </w:rPr>
        <w:t xml:space="preserve"> </w:t>
      </w:r>
    </w:p>
    <w:p w:rsidR="005170B7" w:rsidP="00C20018" w:rsidRDefault="00191C53" w14:paraId="72DC8BBE" w14:textId="325A08CF">
      <w:pPr>
        <w:jc w:val="center"/>
        <w:rPr>
          <w:b/>
          <w:sz w:val="36"/>
          <w:szCs w:val="36"/>
        </w:rPr>
      </w:pPr>
      <w:r>
        <w:rPr>
          <w:b/>
          <w:sz w:val="36"/>
          <w:szCs w:val="36"/>
        </w:rPr>
        <w:t xml:space="preserve">Implementation of the </w:t>
      </w:r>
      <w:r w:rsidR="005170B7">
        <w:rPr>
          <w:b/>
          <w:sz w:val="36"/>
          <w:szCs w:val="36"/>
        </w:rPr>
        <w:t>8-hour National Ambient Air Quality Standard</w:t>
      </w:r>
      <w:r>
        <w:rPr>
          <w:b/>
          <w:sz w:val="36"/>
          <w:szCs w:val="36"/>
        </w:rPr>
        <w:t>s</w:t>
      </w:r>
      <w:r w:rsidR="005170B7">
        <w:rPr>
          <w:b/>
          <w:sz w:val="36"/>
          <w:szCs w:val="36"/>
        </w:rPr>
        <w:t xml:space="preserve"> </w:t>
      </w:r>
      <w:r>
        <w:rPr>
          <w:b/>
          <w:sz w:val="36"/>
          <w:szCs w:val="36"/>
        </w:rPr>
        <w:t>for Ozone</w:t>
      </w:r>
    </w:p>
    <w:p w:rsidR="005170B7" w:rsidP="00C20018" w:rsidRDefault="005170B7" w14:paraId="11E9F468" w14:textId="7D2969F8">
      <w:pPr>
        <w:jc w:val="center"/>
        <w:outlineLvl w:val="0"/>
        <w:rPr>
          <w:b/>
          <w:sz w:val="36"/>
          <w:szCs w:val="36"/>
        </w:rPr>
      </w:pPr>
      <w:r>
        <w:rPr>
          <w:b/>
          <w:sz w:val="36"/>
          <w:szCs w:val="36"/>
        </w:rPr>
        <w:t xml:space="preserve">EPA ICR # </w:t>
      </w:r>
      <w:r w:rsidR="004B57BE">
        <w:rPr>
          <w:b/>
          <w:sz w:val="36"/>
          <w:szCs w:val="36"/>
        </w:rPr>
        <w:t>2347.04</w:t>
      </w:r>
    </w:p>
    <w:p w:rsidR="005170B7" w:rsidP="00C20018" w:rsidRDefault="00A32AD8" w14:paraId="57520156" w14:textId="4F50A619">
      <w:pPr>
        <w:jc w:val="center"/>
        <w:rPr>
          <w:b/>
          <w:sz w:val="36"/>
          <w:szCs w:val="36"/>
        </w:rPr>
      </w:pPr>
      <w:r>
        <w:rPr>
          <w:b/>
          <w:sz w:val="36"/>
          <w:szCs w:val="36"/>
        </w:rPr>
        <w:t xml:space="preserve"> </w:t>
      </w:r>
    </w:p>
    <w:p w:rsidR="005170B7" w:rsidP="00C20018" w:rsidRDefault="005170B7" w14:paraId="000A2BFE" w14:textId="77777777">
      <w:pPr>
        <w:jc w:val="center"/>
        <w:rPr>
          <w:b/>
          <w:sz w:val="36"/>
          <w:szCs w:val="36"/>
        </w:rPr>
      </w:pPr>
    </w:p>
    <w:p w:rsidR="005170B7" w:rsidP="00C20018" w:rsidRDefault="005170B7" w14:paraId="21466A65" w14:textId="77777777">
      <w:pPr>
        <w:jc w:val="center"/>
        <w:rPr>
          <w:b/>
          <w:sz w:val="36"/>
          <w:szCs w:val="36"/>
        </w:rPr>
      </w:pPr>
    </w:p>
    <w:p w:rsidR="005170B7" w:rsidP="00C20018" w:rsidRDefault="005170B7" w14:paraId="256C643C" w14:textId="77777777">
      <w:pPr>
        <w:jc w:val="center"/>
        <w:rPr>
          <w:b/>
          <w:sz w:val="36"/>
          <w:szCs w:val="36"/>
        </w:rPr>
      </w:pPr>
    </w:p>
    <w:p w:rsidR="005170B7" w:rsidP="00C20018" w:rsidRDefault="005170B7" w14:paraId="4A4E141C" w14:textId="77777777">
      <w:pPr>
        <w:jc w:val="center"/>
        <w:rPr>
          <w:b/>
          <w:sz w:val="36"/>
          <w:szCs w:val="36"/>
        </w:rPr>
      </w:pPr>
    </w:p>
    <w:p w:rsidR="005170B7" w:rsidP="00C20018" w:rsidRDefault="005170B7" w14:paraId="3066467F" w14:textId="77777777">
      <w:pPr>
        <w:jc w:val="center"/>
        <w:outlineLvl w:val="0"/>
        <w:rPr>
          <w:b/>
          <w:sz w:val="32"/>
          <w:szCs w:val="32"/>
        </w:rPr>
      </w:pPr>
      <w:r>
        <w:rPr>
          <w:b/>
          <w:sz w:val="32"/>
          <w:szCs w:val="32"/>
        </w:rPr>
        <w:t>Prepared by:</w:t>
      </w:r>
    </w:p>
    <w:p w:rsidR="005170B7" w:rsidP="00C20018" w:rsidRDefault="005170B7" w14:paraId="5EAB452F" w14:textId="77777777">
      <w:pPr>
        <w:jc w:val="center"/>
        <w:rPr>
          <w:b/>
          <w:sz w:val="32"/>
          <w:szCs w:val="32"/>
        </w:rPr>
      </w:pPr>
    </w:p>
    <w:p w:rsidR="005170B7" w:rsidP="00C20018" w:rsidRDefault="005170B7" w14:paraId="6B8A0E1D" w14:textId="77777777">
      <w:pPr>
        <w:jc w:val="center"/>
        <w:outlineLvl w:val="0"/>
        <w:rPr>
          <w:b/>
          <w:sz w:val="32"/>
          <w:szCs w:val="32"/>
        </w:rPr>
      </w:pPr>
      <w:r>
        <w:rPr>
          <w:b/>
          <w:sz w:val="32"/>
          <w:szCs w:val="32"/>
        </w:rPr>
        <w:t>Office of Air Quality Planning and Standards</w:t>
      </w:r>
    </w:p>
    <w:p w:rsidR="005170B7" w:rsidP="00C20018" w:rsidRDefault="005170B7" w14:paraId="2A4C59E9" w14:textId="77777777">
      <w:pPr>
        <w:jc w:val="center"/>
        <w:rPr>
          <w:b/>
          <w:sz w:val="32"/>
          <w:szCs w:val="32"/>
        </w:rPr>
      </w:pPr>
      <w:r>
        <w:rPr>
          <w:b/>
          <w:sz w:val="32"/>
          <w:szCs w:val="32"/>
        </w:rPr>
        <w:t>Office of Air and Radiation</w:t>
      </w:r>
    </w:p>
    <w:p w:rsidR="005170B7" w:rsidP="00C20018" w:rsidRDefault="005170B7" w14:paraId="4E21FE5C" w14:textId="77777777">
      <w:pPr>
        <w:jc w:val="center"/>
        <w:rPr>
          <w:b/>
          <w:sz w:val="32"/>
          <w:szCs w:val="32"/>
        </w:rPr>
      </w:pPr>
      <w:smartTag w:uri="urn:schemas-microsoft-com:office:smarttags" w:element="country-region">
        <w:smartTag w:uri="urn:schemas-microsoft-com:office:smarttags" w:element="place">
          <w:r>
            <w:rPr>
              <w:b/>
              <w:sz w:val="32"/>
              <w:szCs w:val="32"/>
            </w:rPr>
            <w:t>U.S.</w:t>
          </w:r>
        </w:smartTag>
      </w:smartTag>
      <w:r>
        <w:rPr>
          <w:b/>
          <w:sz w:val="32"/>
          <w:szCs w:val="32"/>
        </w:rPr>
        <w:t xml:space="preserve"> Environmental Protection Agency</w:t>
      </w:r>
    </w:p>
    <w:p w:rsidR="005170B7" w:rsidP="00C20018" w:rsidRDefault="005170B7" w14:paraId="0927EA8A" w14:textId="77777777">
      <w:pPr>
        <w:jc w:val="center"/>
        <w:rPr>
          <w:b/>
          <w:sz w:val="32"/>
          <w:szCs w:val="32"/>
        </w:rPr>
      </w:pPr>
      <w:smartTag w:uri="urn:schemas-microsoft-com:office:smarttags" w:element="State">
        <w:smartTag w:uri="urn:schemas-microsoft-com:office:smarttags" w:element="City">
          <w:r>
            <w:rPr>
              <w:b/>
              <w:sz w:val="32"/>
              <w:szCs w:val="32"/>
            </w:rPr>
            <w:t>Research Triangle Park</w:t>
          </w:r>
        </w:smartTag>
        <w:r>
          <w:rPr>
            <w:b/>
            <w:sz w:val="32"/>
            <w:szCs w:val="32"/>
          </w:rPr>
          <w:t xml:space="preserve">, </w:t>
        </w:r>
        <w:smartTag w:uri="urn:schemas-microsoft-com:office:smarttags" w:element="State">
          <w:r>
            <w:rPr>
              <w:b/>
              <w:sz w:val="32"/>
              <w:szCs w:val="32"/>
            </w:rPr>
            <w:t>North Carolina</w:t>
          </w:r>
        </w:smartTag>
        <w:r>
          <w:rPr>
            <w:b/>
            <w:sz w:val="32"/>
            <w:szCs w:val="32"/>
          </w:rPr>
          <w:t xml:space="preserve"> </w:t>
        </w:r>
        <w:smartTag w:uri="urn:schemas-microsoft-com:office:smarttags" w:element="State">
          <w:r>
            <w:rPr>
              <w:b/>
              <w:sz w:val="32"/>
              <w:szCs w:val="32"/>
            </w:rPr>
            <w:t>27711</w:t>
          </w:r>
        </w:smartTag>
      </w:smartTag>
    </w:p>
    <w:p w:rsidR="005170B7" w:rsidP="00C20018" w:rsidRDefault="005170B7" w14:paraId="5B5D5ED0" w14:textId="77777777">
      <w:pPr>
        <w:jc w:val="center"/>
        <w:rPr>
          <w:b/>
          <w:sz w:val="32"/>
          <w:szCs w:val="32"/>
        </w:rPr>
      </w:pPr>
    </w:p>
    <w:p w:rsidR="005170B7" w:rsidP="00C20018" w:rsidRDefault="005170B7" w14:paraId="280B319F" w14:textId="77777777">
      <w:pPr>
        <w:jc w:val="center"/>
        <w:rPr>
          <w:b/>
          <w:sz w:val="32"/>
          <w:szCs w:val="32"/>
        </w:rPr>
      </w:pPr>
    </w:p>
    <w:p w:rsidR="005170B7" w:rsidP="00C20018" w:rsidRDefault="005170B7" w14:paraId="507B755B" w14:textId="77777777">
      <w:pPr>
        <w:jc w:val="center"/>
        <w:rPr>
          <w:b/>
          <w:sz w:val="32"/>
          <w:szCs w:val="32"/>
        </w:rPr>
      </w:pPr>
    </w:p>
    <w:p w:rsidR="005170B7" w:rsidP="00C20018" w:rsidRDefault="005170B7" w14:paraId="2B5200AC" w14:textId="77777777">
      <w:pPr>
        <w:jc w:val="center"/>
        <w:rPr>
          <w:b/>
          <w:sz w:val="32"/>
          <w:szCs w:val="32"/>
        </w:rPr>
      </w:pPr>
    </w:p>
    <w:p w:rsidR="005170B7" w:rsidP="00C20018" w:rsidRDefault="005170B7" w14:paraId="03F08D72" w14:textId="77777777">
      <w:pPr>
        <w:jc w:val="center"/>
        <w:rPr>
          <w:b/>
          <w:sz w:val="32"/>
          <w:szCs w:val="32"/>
        </w:rPr>
      </w:pPr>
    </w:p>
    <w:p w:rsidR="005170B7" w:rsidP="00C20018" w:rsidRDefault="005170B7" w14:paraId="3E6F026A" w14:textId="77777777">
      <w:pPr>
        <w:jc w:val="center"/>
        <w:rPr>
          <w:b/>
          <w:sz w:val="32"/>
          <w:szCs w:val="32"/>
        </w:rPr>
      </w:pPr>
    </w:p>
    <w:p w:rsidR="005170B7" w:rsidP="00C20018" w:rsidRDefault="005170B7" w14:paraId="43BC7898" w14:textId="77777777">
      <w:pPr>
        <w:jc w:val="center"/>
        <w:rPr>
          <w:b/>
          <w:sz w:val="32"/>
          <w:szCs w:val="32"/>
        </w:rPr>
      </w:pPr>
    </w:p>
    <w:p w:rsidR="005170B7" w:rsidP="00C20018" w:rsidRDefault="005170B7" w14:paraId="306B4220" w14:textId="77777777">
      <w:pPr>
        <w:jc w:val="center"/>
        <w:rPr>
          <w:b/>
          <w:sz w:val="32"/>
          <w:szCs w:val="32"/>
        </w:rPr>
      </w:pPr>
    </w:p>
    <w:p w:rsidR="005170B7" w:rsidP="00C20018" w:rsidRDefault="005170B7" w14:paraId="1DD4967A" w14:textId="77777777">
      <w:pPr>
        <w:jc w:val="center"/>
        <w:rPr>
          <w:b/>
          <w:sz w:val="32"/>
          <w:szCs w:val="32"/>
        </w:rPr>
      </w:pPr>
    </w:p>
    <w:p w:rsidR="005170B7" w:rsidP="00EC1DF0" w:rsidRDefault="003D7EF1" w14:paraId="7F9D796B" w14:textId="0DCB0B9E">
      <w:pPr>
        <w:jc w:val="center"/>
        <w:rPr>
          <w:b/>
          <w:sz w:val="32"/>
          <w:szCs w:val="32"/>
        </w:rPr>
      </w:pPr>
      <w:r>
        <w:rPr>
          <w:b/>
          <w:sz w:val="32"/>
          <w:szCs w:val="32"/>
        </w:rPr>
        <w:t>February 18</w:t>
      </w:r>
      <w:r w:rsidR="004B57BE">
        <w:rPr>
          <w:b/>
          <w:sz w:val="32"/>
          <w:szCs w:val="32"/>
        </w:rPr>
        <w:t>, 202</w:t>
      </w:r>
      <w:r>
        <w:rPr>
          <w:b/>
          <w:sz w:val="32"/>
          <w:szCs w:val="32"/>
        </w:rPr>
        <w:t>1</w:t>
      </w:r>
    </w:p>
    <w:p w:rsidR="005170B7" w:rsidP="00C20018" w:rsidRDefault="005170B7" w14:paraId="5747F96D" w14:textId="77777777">
      <w:pPr>
        <w:jc w:val="center"/>
        <w:rPr>
          <w:b/>
          <w:sz w:val="32"/>
          <w:szCs w:val="32"/>
        </w:rPr>
      </w:pPr>
    </w:p>
    <w:p w:rsidR="005170B7" w:rsidP="00C20018" w:rsidRDefault="005170B7" w14:paraId="7F38B8AA" w14:textId="77777777">
      <w:pPr>
        <w:jc w:val="center"/>
        <w:rPr>
          <w:b/>
          <w:sz w:val="32"/>
          <w:szCs w:val="32"/>
        </w:rPr>
      </w:pPr>
    </w:p>
    <w:p w:rsidR="005170B7" w:rsidP="00C20018" w:rsidRDefault="005170B7" w14:paraId="3E114B71" w14:textId="77777777">
      <w:pPr>
        <w:jc w:val="center"/>
        <w:rPr>
          <w:b/>
          <w:sz w:val="36"/>
          <w:szCs w:val="36"/>
        </w:rPr>
      </w:pPr>
    </w:p>
    <w:p w:rsidR="005170B7" w:rsidP="00C20018" w:rsidRDefault="005170B7" w14:paraId="3888074B" w14:textId="77777777">
      <w:pPr>
        <w:jc w:val="center"/>
        <w:rPr>
          <w:b/>
          <w:sz w:val="36"/>
          <w:szCs w:val="36"/>
        </w:rPr>
      </w:pPr>
    </w:p>
    <w:p w:rsidR="005170B7" w:rsidP="00C20018" w:rsidRDefault="005170B7" w14:paraId="558C8889" w14:textId="79E0D4A7">
      <w:pPr>
        <w:jc w:val="center"/>
        <w:outlineLvl w:val="0"/>
        <w:rPr>
          <w:b/>
          <w:sz w:val="32"/>
          <w:szCs w:val="32"/>
        </w:rPr>
      </w:pPr>
      <w:r>
        <w:rPr>
          <w:b/>
          <w:sz w:val="32"/>
          <w:szCs w:val="32"/>
        </w:rPr>
        <w:t>EPA Information Collection Request</w:t>
      </w:r>
      <w:r w:rsidR="004B57BE">
        <w:rPr>
          <w:b/>
          <w:sz w:val="32"/>
          <w:szCs w:val="32"/>
        </w:rPr>
        <w:t xml:space="preserve"> Renewal</w:t>
      </w:r>
      <w:r>
        <w:rPr>
          <w:b/>
          <w:sz w:val="32"/>
          <w:szCs w:val="32"/>
        </w:rPr>
        <w:t xml:space="preserve"> for the</w:t>
      </w:r>
    </w:p>
    <w:p w:rsidR="005170B7" w:rsidP="00C20018" w:rsidRDefault="00191C53" w14:paraId="0B5EC3C5" w14:textId="60067AD8">
      <w:pPr>
        <w:jc w:val="center"/>
        <w:rPr>
          <w:b/>
          <w:sz w:val="32"/>
          <w:szCs w:val="32"/>
        </w:rPr>
      </w:pPr>
      <w:r>
        <w:rPr>
          <w:b/>
          <w:sz w:val="32"/>
          <w:szCs w:val="32"/>
        </w:rPr>
        <w:t xml:space="preserve">Implementation of the </w:t>
      </w:r>
      <w:r w:rsidR="005170B7">
        <w:rPr>
          <w:b/>
          <w:sz w:val="32"/>
          <w:szCs w:val="32"/>
        </w:rPr>
        <w:t>8-hour National Ambient Air Quality Standard</w:t>
      </w:r>
      <w:r>
        <w:rPr>
          <w:b/>
          <w:sz w:val="32"/>
          <w:szCs w:val="32"/>
        </w:rPr>
        <w:t>s for Ozone</w:t>
      </w:r>
    </w:p>
    <w:p w:rsidR="005170B7" w:rsidP="00115BDD" w:rsidRDefault="005170B7" w14:paraId="23510359" w14:textId="5B20E0C0">
      <w:pPr>
        <w:ind w:left="360"/>
        <w:sectPr w:rsidR="005170B7" w:rsidSect="00892D17">
          <w:headerReference w:type="default" r:id="rId12"/>
          <w:footerReference w:type="even" r:id="rId13"/>
          <w:footerReference w:type="default" r:id="rId14"/>
          <w:pgSz w:w="12240" w:h="15840"/>
          <w:pgMar w:top="1440" w:right="1800" w:bottom="1440" w:left="1800" w:header="720" w:footer="720" w:gutter="0"/>
          <w:cols w:space="720"/>
          <w:docGrid w:linePitch="360"/>
        </w:sectPr>
      </w:pPr>
    </w:p>
    <w:p w:rsidR="005170B7" w:rsidP="00115BDD" w:rsidRDefault="005170B7" w14:paraId="75FA4359" w14:textId="77777777">
      <w:pPr>
        <w:numPr>
          <w:ilvl w:val="0"/>
          <w:numId w:val="4"/>
        </w:numPr>
        <w:rPr>
          <w:b/>
          <w:sz w:val="28"/>
          <w:szCs w:val="28"/>
        </w:rPr>
      </w:pPr>
      <w:r>
        <w:rPr>
          <w:b/>
          <w:sz w:val="28"/>
          <w:szCs w:val="28"/>
        </w:rPr>
        <w:lastRenderedPageBreak/>
        <w:t>Identification of the Information Collection Request</w:t>
      </w:r>
    </w:p>
    <w:p w:rsidR="005170B7" w:rsidP="00115BDD" w:rsidRDefault="005170B7" w14:paraId="1CF69B41" w14:textId="77777777">
      <w:pPr>
        <w:ind w:left="360"/>
        <w:rPr>
          <w:b/>
          <w:sz w:val="28"/>
          <w:szCs w:val="28"/>
        </w:rPr>
      </w:pPr>
    </w:p>
    <w:p w:rsidR="005170B7" w:rsidP="00115BDD" w:rsidRDefault="005170B7" w14:paraId="3BAED213" w14:textId="77777777">
      <w:pPr>
        <w:ind w:left="360"/>
        <w:rPr>
          <w:b/>
        </w:rPr>
      </w:pPr>
      <w:r>
        <w:rPr>
          <w:b/>
        </w:rPr>
        <w:t>1(a)</w:t>
      </w:r>
      <w:r>
        <w:rPr>
          <w:b/>
        </w:rPr>
        <w:tab/>
        <w:t>Title of the Information Collection</w:t>
      </w:r>
    </w:p>
    <w:p w:rsidR="005170B7" w:rsidP="00115BDD" w:rsidRDefault="005170B7" w14:paraId="3CBDE4FD" w14:textId="77777777">
      <w:pPr>
        <w:ind w:left="360"/>
        <w:rPr>
          <w:b/>
        </w:rPr>
      </w:pPr>
    </w:p>
    <w:p w:rsidR="00766FB8" w:rsidP="00766FB8" w:rsidRDefault="005170B7" w14:paraId="39BD4C96" w14:textId="57691B1D">
      <w:pPr>
        <w:ind w:left="360" w:firstLine="360"/>
      </w:pPr>
      <w:r>
        <w:t xml:space="preserve">The title of the Information Collection Request </w:t>
      </w:r>
      <w:r w:rsidR="004B57BE">
        <w:t xml:space="preserve">Renewal </w:t>
      </w:r>
      <w:r w:rsidR="00CC5A6D">
        <w:t xml:space="preserve">is </w:t>
      </w:r>
      <w:r w:rsidR="00390840">
        <w:t>“</w:t>
      </w:r>
      <w:r w:rsidRPr="001D4C12" w:rsidR="003C19DC">
        <w:t xml:space="preserve">Implementation of the </w:t>
      </w:r>
      <w:r w:rsidR="003C19DC">
        <w:t>8-hour</w:t>
      </w:r>
      <w:r w:rsidRPr="001D4C12" w:rsidR="003C19DC">
        <w:t xml:space="preserve"> National Ambient Air Quality Standards for Ozone: State Implementation Plan Requirements</w:t>
      </w:r>
      <w:r>
        <w:t>,</w:t>
      </w:r>
      <w:r w:rsidR="00390840">
        <w:t>”</w:t>
      </w:r>
      <w:r>
        <w:t xml:space="preserve"> </w:t>
      </w:r>
      <w:r w:rsidR="00390840">
        <w:t xml:space="preserve">which is assigned </w:t>
      </w:r>
      <w:r>
        <w:t xml:space="preserve">ICR number </w:t>
      </w:r>
      <w:r w:rsidRPr="004B57BE" w:rsidR="004B57BE">
        <w:t>2347.0</w:t>
      </w:r>
      <w:r w:rsidR="004B57BE">
        <w:t>4</w:t>
      </w:r>
      <w:r>
        <w:t xml:space="preserve">, </w:t>
      </w:r>
      <w:r w:rsidRPr="00C60E84">
        <w:t xml:space="preserve">Office of Management and Budget (OMB) </w:t>
      </w:r>
      <w:r w:rsidR="00D60544">
        <w:rPr>
          <w:color w:val="000000" w:themeColor="text1"/>
        </w:rPr>
        <w:t>Reference</w:t>
      </w:r>
      <w:r w:rsidRPr="00C60E84" w:rsidR="00D60544">
        <w:t xml:space="preserve"> </w:t>
      </w:r>
      <w:r w:rsidRPr="00C60E84">
        <w:t xml:space="preserve">number </w:t>
      </w:r>
      <w:r w:rsidRPr="00535A99" w:rsidR="004B57BE">
        <w:t>2060-0695</w:t>
      </w:r>
      <w:r w:rsidRPr="00535A99">
        <w:t>.</w:t>
      </w:r>
      <w:r w:rsidRPr="00534248" w:rsidR="005550EA">
        <w:t xml:space="preserve"> The ICR No. 2347.01 and the renewals </w:t>
      </w:r>
      <w:r w:rsidRPr="00534248" w:rsidR="00191C53">
        <w:t xml:space="preserve">to date </w:t>
      </w:r>
      <w:r w:rsidRPr="00534248" w:rsidR="005550EA">
        <w:t>applied to the 2008 8-hour ozone NAAQS before the ozone NAAQS was revised in 2015.</w:t>
      </w:r>
      <w:r w:rsidRPr="00534248" w:rsidR="00766FB8">
        <w:t xml:space="preserve"> This proposed ICR renewal adds the burden of implementing the 2015 8-hour ozone NAAQS</w:t>
      </w:r>
      <w:r w:rsidRPr="00535A99" w:rsidR="00766FB8">
        <w:t xml:space="preserve"> </w:t>
      </w:r>
      <w:r w:rsidRPr="00535A99" w:rsidR="008350BC">
        <w:t>while</w:t>
      </w:r>
      <w:r w:rsidRPr="00534248" w:rsidR="00766FB8">
        <w:t xml:space="preserve"> continu</w:t>
      </w:r>
      <w:r w:rsidRPr="00534248" w:rsidR="008350BC">
        <w:t>ing</w:t>
      </w:r>
      <w:r w:rsidRPr="00534248" w:rsidR="00766FB8">
        <w:t xml:space="preserve"> to address </w:t>
      </w:r>
      <w:r w:rsidRPr="00534248" w:rsidR="008350BC">
        <w:t>ongoing</w:t>
      </w:r>
      <w:r w:rsidRPr="00534248" w:rsidR="00766FB8">
        <w:t xml:space="preserve"> requirements for the remaining 2008 ozone nonattainment area</w:t>
      </w:r>
      <w:r w:rsidRPr="00535A99" w:rsidR="00766FB8">
        <w:t>s</w:t>
      </w:r>
      <w:r w:rsidRPr="00535A99" w:rsidR="008350BC">
        <w:t xml:space="preserve">. It </w:t>
      </w:r>
      <w:r w:rsidRPr="00534248" w:rsidR="008350BC">
        <w:t>also includes the burden estimate for</w:t>
      </w:r>
      <w:r w:rsidRPr="00534248" w:rsidR="00766FB8">
        <w:t xml:space="preserve"> areas subject to ongoing requirements to implement the revoked 1997 ozone NAAQS</w:t>
      </w:r>
      <w:r w:rsidRPr="00535A99" w:rsidR="00766FB8">
        <w:t>.</w:t>
      </w:r>
    </w:p>
    <w:p w:rsidR="005170B7" w:rsidP="00844477" w:rsidRDefault="005170B7" w14:paraId="5C069FB1" w14:textId="2E2FD67B">
      <w:pPr>
        <w:ind w:left="360" w:firstLine="360"/>
      </w:pPr>
    </w:p>
    <w:p w:rsidR="005170B7" w:rsidP="00115BDD" w:rsidRDefault="005170B7" w14:paraId="16724B09" w14:textId="77777777">
      <w:pPr>
        <w:ind w:left="360"/>
        <w:rPr>
          <w:b/>
        </w:rPr>
      </w:pPr>
      <w:r>
        <w:rPr>
          <w:b/>
        </w:rPr>
        <w:t>1(b)</w:t>
      </w:r>
      <w:r>
        <w:rPr>
          <w:b/>
        </w:rPr>
        <w:tab/>
        <w:t>Abstract/Executive Summary</w:t>
      </w:r>
    </w:p>
    <w:p w:rsidR="005170B7" w:rsidP="00115BDD" w:rsidRDefault="005170B7" w14:paraId="39B567D8" w14:textId="77777777">
      <w:pPr>
        <w:ind w:left="360"/>
        <w:rPr>
          <w:b/>
        </w:rPr>
      </w:pPr>
    </w:p>
    <w:p w:rsidR="00210AF1" w:rsidP="00007BF6" w:rsidRDefault="005170B7" w14:paraId="6F2431B8" w14:textId="1BE9148D">
      <w:pPr>
        <w:autoSpaceDE w:val="0"/>
        <w:autoSpaceDN w:val="0"/>
        <w:adjustRightInd w:val="0"/>
        <w:ind w:left="360"/>
      </w:pPr>
      <w:r>
        <w:tab/>
        <w:t xml:space="preserve">The Paperwork Reduction Act requires the information found in this Information Collection Request (ICR) number </w:t>
      </w:r>
      <w:r w:rsidRPr="004B57BE" w:rsidR="004B57BE">
        <w:t>2347.0</w:t>
      </w:r>
      <w:r w:rsidR="004B57BE">
        <w:t>4</w:t>
      </w:r>
      <w:r>
        <w:t xml:space="preserve"> to assess the burden (in hours and dollars) of the </w:t>
      </w:r>
      <w:r w:rsidR="00604484">
        <w:t>i</w:t>
      </w:r>
      <w:r w:rsidRPr="008A41D5" w:rsidR="008A41D5">
        <w:t xml:space="preserve">mplementation of the </w:t>
      </w:r>
      <w:r w:rsidR="00601534">
        <w:t>8-hour</w:t>
      </w:r>
      <w:r w:rsidR="00390840">
        <w:t xml:space="preserve"> </w:t>
      </w:r>
      <w:r w:rsidRPr="008A41D5" w:rsidR="008A41D5">
        <w:t xml:space="preserve">National Ambient Air Quality Standards for </w:t>
      </w:r>
      <w:r w:rsidR="00604484">
        <w:t>o</w:t>
      </w:r>
      <w:r w:rsidRPr="008A41D5" w:rsidR="008A41D5">
        <w:t>zone</w:t>
      </w:r>
      <w:r w:rsidR="00601534">
        <w:t xml:space="preserve">, </w:t>
      </w:r>
      <w:r w:rsidR="006B4347">
        <w:t>initially promulgated</w:t>
      </w:r>
      <w:r w:rsidR="00601534">
        <w:t xml:space="preserve"> in 1997 and revised in 2008 and 2015. </w:t>
      </w:r>
      <w:r w:rsidR="00210AF1">
        <w:t xml:space="preserve"> </w:t>
      </w:r>
      <w:r w:rsidR="00132F49">
        <w:t>S</w:t>
      </w:r>
      <w:r w:rsidRPr="00210AF1" w:rsidR="00210AF1">
        <w:t xml:space="preserve">tates are implementing the 2008 ozone NAAQS pursuant to the CAA and implementation </w:t>
      </w:r>
      <w:r w:rsidR="006B4347">
        <w:t>regulations</w:t>
      </w:r>
      <w:r w:rsidRPr="00210AF1" w:rsidR="00210AF1">
        <w:t xml:space="preserve"> </w:t>
      </w:r>
      <w:r w:rsidR="006B4347">
        <w:t>(s</w:t>
      </w:r>
      <w:r w:rsidRPr="00210AF1" w:rsidR="00210AF1">
        <w:t xml:space="preserve">ee 77 FR 30160 for </w:t>
      </w:r>
      <w:r w:rsidR="006B4347">
        <w:t xml:space="preserve">the final </w:t>
      </w:r>
      <w:r w:rsidRPr="00210AF1" w:rsidR="00210AF1">
        <w:t xml:space="preserve">2008 ozone classifications rule and 80 FR 12264 for </w:t>
      </w:r>
      <w:r w:rsidR="006B4347">
        <w:t xml:space="preserve">the final </w:t>
      </w:r>
      <w:r w:rsidRPr="00210AF1" w:rsidR="00210AF1">
        <w:t xml:space="preserve">2008 ozone SIP Requirements </w:t>
      </w:r>
      <w:r w:rsidR="006B4347">
        <w:t>R</w:t>
      </w:r>
      <w:r w:rsidRPr="00210AF1" w:rsidR="00210AF1">
        <w:t>ule</w:t>
      </w:r>
      <w:r w:rsidR="00132F49">
        <w:t>)</w:t>
      </w:r>
      <w:r w:rsidRPr="00210AF1" w:rsidR="00210AF1">
        <w:t xml:space="preserve">. </w:t>
      </w:r>
      <w:r w:rsidRPr="00210AF1" w:rsidR="00132F49">
        <w:t xml:space="preserve">The current ICR for the period from </w:t>
      </w:r>
      <w:r w:rsidR="00303536">
        <w:t xml:space="preserve">April </w:t>
      </w:r>
      <w:r w:rsidRPr="00210AF1" w:rsidR="00132F49">
        <w:t xml:space="preserve">2018 to </w:t>
      </w:r>
      <w:r w:rsidR="00303536">
        <w:t>April</w:t>
      </w:r>
      <w:r w:rsidRPr="00210AF1" w:rsidR="00132F49">
        <w:t xml:space="preserve"> 2021 include</w:t>
      </w:r>
      <w:r w:rsidR="00132F49">
        <w:t>s</w:t>
      </w:r>
      <w:r w:rsidRPr="00210AF1" w:rsidR="00132F49">
        <w:t xml:space="preserve"> the burden for states to implement t</w:t>
      </w:r>
      <w:r w:rsidR="00132F49">
        <w:t>he</w:t>
      </w:r>
      <w:r w:rsidRPr="00210AF1" w:rsidR="00132F49">
        <w:t xml:space="preserve"> 2008 ozone NAAQS in areas of the country designated nonattainment for th</w:t>
      </w:r>
      <w:r w:rsidR="00132F49">
        <w:t>os</w:t>
      </w:r>
      <w:r w:rsidRPr="00210AF1" w:rsidR="00132F49">
        <w:t>e standard</w:t>
      </w:r>
      <w:r w:rsidR="00132F49">
        <w:t>s</w:t>
      </w:r>
      <w:r w:rsidRPr="00210AF1" w:rsidR="00132F49">
        <w:t xml:space="preserve">.  </w:t>
      </w:r>
      <w:r w:rsidR="00132F49">
        <w:t>S</w:t>
      </w:r>
      <w:r w:rsidRPr="00210AF1" w:rsidR="00210AF1">
        <w:t xml:space="preserve">tate activities include, but </w:t>
      </w:r>
      <w:r w:rsidR="00132F49">
        <w:t>are</w:t>
      </w:r>
      <w:r w:rsidRPr="00210AF1" w:rsidR="00191C53">
        <w:t xml:space="preserve"> </w:t>
      </w:r>
      <w:r w:rsidRPr="00210AF1" w:rsidR="00210AF1">
        <w:t xml:space="preserve">not limited to, submission of attainment demonstrations, reasonable further progress (RFP) plans, and reasonably available control technology (RACT) determinations. This </w:t>
      </w:r>
      <w:r w:rsidR="00132F49">
        <w:t xml:space="preserve">proposed </w:t>
      </w:r>
      <w:r w:rsidRPr="00210AF1" w:rsidR="00210AF1">
        <w:t xml:space="preserve">ICR renewal updates the </w:t>
      </w:r>
      <w:r w:rsidR="00132F49">
        <w:t xml:space="preserve">burden </w:t>
      </w:r>
      <w:r w:rsidRPr="00210AF1" w:rsidR="00210AF1">
        <w:t xml:space="preserve">estimates for </w:t>
      </w:r>
      <w:r w:rsidR="00132F49">
        <w:t xml:space="preserve">states </w:t>
      </w:r>
      <w:r w:rsidRPr="00210AF1" w:rsidR="00210AF1">
        <w:t xml:space="preserve">to meet the planning requirements </w:t>
      </w:r>
      <w:r w:rsidR="00132F49">
        <w:t>for</w:t>
      </w:r>
      <w:r w:rsidRPr="00210AF1" w:rsidR="00210AF1">
        <w:t xml:space="preserve"> remaining nonattainment areas for the 2008 ozone NAAQS</w:t>
      </w:r>
      <w:r w:rsidR="00132F49">
        <w:t xml:space="preserve"> over the next 3-year period, which</w:t>
      </w:r>
      <w:r w:rsidRPr="00210AF1" w:rsidR="00210AF1">
        <w:t xml:space="preserve"> </w:t>
      </w:r>
      <w:r w:rsidR="00132F49">
        <w:t>apply</w:t>
      </w:r>
      <w:r w:rsidRPr="00210AF1" w:rsidR="00132F49">
        <w:t xml:space="preserve"> </w:t>
      </w:r>
      <w:r w:rsidRPr="00210AF1" w:rsidR="00210AF1">
        <w:t xml:space="preserve">primarily </w:t>
      </w:r>
      <w:r w:rsidR="00132F49">
        <w:t xml:space="preserve">to </w:t>
      </w:r>
      <w:r w:rsidRPr="00210AF1" w:rsidR="00210AF1">
        <w:t xml:space="preserve">2008 ozone </w:t>
      </w:r>
      <w:r w:rsidR="00CB14AC">
        <w:t>S</w:t>
      </w:r>
      <w:r w:rsidR="00132F49">
        <w:t xml:space="preserve">erious </w:t>
      </w:r>
      <w:r w:rsidRPr="00210AF1" w:rsidR="00210AF1">
        <w:t xml:space="preserve">nonattainment areas that may miss their </w:t>
      </w:r>
      <w:r w:rsidR="006E28BF">
        <w:t xml:space="preserve">July 20, 2021 </w:t>
      </w:r>
      <w:r w:rsidRPr="00210AF1" w:rsidR="00210AF1">
        <w:t>attainment</w:t>
      </w:r>
      <w:r w:rsidR="006E28BF">
        <w:t xml:space="preserve"> </w:t>
      </w:r>
      <w:r w:rsidRPr="00210AF1" w:rsidR="00210AF1">
        <w:t xml:space="preserve">date and </w:t>
      </w:r>
      <w:r w:rsidR="00132F49">
        <w:t xml:space="preserve">may need to </w:t>
      </w:r>
      <w:r w:rsidRPr="00210AF1" w:rsidR="00210AF1">
        <w:t xml:space="preserve">be reclassified to a higher classification with new SIP revisions </w:t>
      </w:r>
      <w:r w:rsidR="00132F49">
        <w:t>due</w:t>
      </w:r>
      <w:r w:rsidRPr="00210AF1" w:rsidR="00132F49">
        <w:t xml:space="preserve"> </w:t>
      </w:r>
      <w:r w:rsidRPr="00210AF1" w:rsidR="00210AF1">
        <w:t>from the states.</w:t>
      </w:r>
    </w:p>
    <w:p w:rsidR="00210AF1" w:rsidP="00007BF6" w:rsidRDefault="00210AF1" w14:paraId="05DA04B4" w14:textId="77777777">
      <w:pPr>
        <w:autoSpaceDE w:val="0"/>
        <w:autoSpaceDN w:val="0"/>
        <w:adjustRightInd w:val="0"/>
        <w:ind w:left="360"/>
      </w:pPr>
    </w:p>
    <w:p w:rsidR="005170B7" w:rsidP="006E28BF" w:rsidRDefault="006E28BF" w14:paraId="7F5D9F8F" w14:textId="07644B67">
      <w:pPr>
        <w:autoSpaceDE w:val="0"/>
        <w:autoSpaceDN w:val="0"/>
        <w:adjustRightInd w:val="0"/>
        <w:ind w:left="360" w:firstLine="360"/>
        <w:rPr>
          <w:sz w:val="20"/>
          <w:szCs w:val="20"/>
        </w:rPr>
      </w:pPr>
      <w:r>
        <w:t xml:space="preserve">This </w:t>
      </w:r>
      <w:r w:rsidR="00604484">
        <w:t xml:space="preserve">proposed </w:t>
      </w:r>
      <w:r>
        <w:t>ICR renewal also include</w:t>
      </w:r>
      <w:r w:rsidR="00604484">
        <w:t>s</w:t>
      </w:r>
      <w:r>
        <w:t xml:space="preserve"> the burden estimate for activities to implement the new 2015 8-hour ozone standard and for SIP revisions due from states with second </w:t>
      </w:r>
      <w:r w:rsidR="00604484">
        <w:t xml:space="preserve">10-year </w:t>
      </w:r>
      <w:r>
        <w:t>maintenance plans due for their redesignated 1997 ozone and 2008 ozone areas. O</w:t>
      </w:r>
      <w:r w:rsidR="005170B7">
        <w:t xml:space="preserve">n </w:t>
      </w:r>
      <w:r w:rsidR="00A0761D">
        <w:t>October</w:t>
      </w:r>
      <w:r w:rsidR="005170B7">
        <w:t xml:space="preserve"> 1, 20</w:t>
      </w:r>
      <w:r w:rsidR="00A0761D">
        <w:t>15</w:t>
      </w:r>
      <w:r w:rsidR="005170B7">
        <w:t xml:space="preserve">, EPA strengthened the </w:t>
      </w:r>
      <w:r w:rsidR="00604484">
        <w:t xml:space="preserve">8-hour </w:t>
      </w:r>
      <w:r w:rsidR="005170B7">
        <w:t>NAAQS for ground-level ozone.  The EPA revised the primary and secondary</w:t>
      </w:r>
      <w:r w:rsidR="004B57BE">
        <w:t xml:space="preserve"> 2015</w:t>
      </w:r>
      <w:r w:rsidR="005170B7">
        <w:t xml:space="preserve"> 8-hour ozone NAAQS level to 0.07</w:t>
      </w:r>
      <w:r w:rsidR="00A0761D">
        <w:t>0</w:t>
      </w:r>
      <w:r w:rsidR="005170B7">
        <w:t xml:space="preserve"> parts per million (ppm) from the previous </w:t>
      </w:r>
      <w:r w:rsidR="00502571">
        <w:t xml:space="preserve">2008 8-hour ozone </w:t>
      </w:r>
      <w:r w:rsidR="005170B7">
        <w:t>standards of 0.0</w:t>
      </w:r>
      <w:r w:rsidR="00A0761D">
        <w:t>75</w:t>
      </w:r>
      <w:r w:rsidR="005170B7">
        <w:t xml:space="preserve"> ppm.</w:t>
      </w:r>
      <w:r w:rsidR="005170B7">
        <w:rPr>
          <w:sz w:val="20"/>
          <w:szCs w:val="20"/>
        </w:rPr>
        <w:t xml:space="preserve"> </w:t>
      </w:r>
      <w:r w:rsidR="00604484">
        <w:rPr>
          <w:sz w:val="20"/>
          <w:szCs w:val="20"/>
        </w:rPr>
        <w:t xml:space="preserve"> </w:t>
      </w:r>
      <w:r w:rsidR="00604484">
        <w:t xml:space="preserve">The primary and secondary ozone standards are designed to protect public health and the protection of sensitive trees and plants, respectively.  </w:t>
      </w:r>
    </w:p>
    <w:p w:rsidR="005170B7" w:rsidP="00007BF6" w:rsidRDefault="005170B7" w14:paraId="45BF25D6" w14:textId="77777777">
      <w:pPr>
        <w:autoSpaceDE w:val="0"/>
        <w:autoSpaceDN w:val="0"/>
        <w:adjustRightInd w:val="0"/>
        <w:ind w:left="360"/>
        <w:rPr>
          <w:sz w:val="20"/>
          <w:szCs w:val="20"/>
        </w:rPr>
      </w:pPr>
    </w:p>
    <w:p w:rsidR="00390840" w:rsidP="00831E2E" w:rsidRDefault="00831E2E" w14:paraId="53B2E6F8" w14:textId="2F8E06A3">
      <w:pPr>
        <w:ind w:left="360" w:firstLine="360"/>
      </w:pPr>
      <w:r w:rsidRPr="00831E2E">
        <w:t>The EPA subsequently issued two rules governing the implementation of th</w:t>
      </w:r>
      <w:r w:rsidR="00604484">
        <w:t>e 2015</w:t>
      </w:r>
      <w:r w:rsidRPr="00831E2E">
        <w:t xml:space="preserve"> NAAQS.  The first was a rule addressing classification of ozone nonattainment areas for the 2015 ozone NAAQS based on their air quality concentrations, which was </w:t>
      </w:r>
      <w:r w:rsidRPr="00831E2E">
        <w:lastRenderedPageBreak/>
        <w:t xml:space="preserve">finalized on March 9, 2018 (See 83 FR 10376).  The second was a rule governing the development of  State Implementation Plans (SIPs) under the Clean Air Act  (CAA) and addressing a range of other issues important for implementing the 2015 ozone NAAQS, referred to as the </w:t>
      </w:r>
      <w:r w:rsidR="00AD6FA3">
        <w:t xml:space="preserve">2015 ozone NAAQS SIP </w:t>
      </w:r>
      <w:r w:rsidRPr="00831E2E">
        <w:t>Requirements Rule, which was finalized on December 6, 2018 (See 83 FR 62998). The EPA issued these two implementation rules so that states may know which statutory requirements apply for purposes of developing SIPs to implement th</w:t>
      </w:r>
      <w:r w:rsidR="002719BA">
        <w:t>e</w:t>
      </w:r>
      <w:r w:rsidRPr="00831E2E">
        <w:t xml:space="preserve"> 2015 NAAQS.    </w:t>
      </w:r>
    </w:p>
    <w:p w:rsidR="00390840" w:rsidP="005140E4" w:rsidRDefault="00390840" w14:paraId="4F9EFDA6" w14:textId="39AD3779">
      <w:pPr>
        <w:ind w:left="360"/>
      </w:pPr>
    </w:p>
    <w:p w:rsidRPr="005C2D11" w:rsidR="005C2D11" w:rsidP="005C2D11" w:rsidRDefault="005C2D11" w14:paraId="67E97FC1" w14:textId="37F2BD02">
      <w:pPr>
        <w:ind w:left="360"/>
      </w:pPr>
      <w:r w:rsidRPr="005C2D11">
        <w:tab/>
        <w:t xml:space="preserve">In addition to the 2015 NAAQS, ozone standards that have been previously promulgated will remain in effect </w:t>
      </w:r>
      <w:r w:rsidR="002719BA">
        <w:t>unless</w:t>
      </w:r>
      <w:r w:rsidRPr="005C2D11" w:rsidR="002719BA">
        <w:t xml:space="preserve"> </w:t>
      </w:r>
      <w:r w:rsidRPr="005C2D11">
        <w:t>otherwise provided in a future EPA rulemaking. Accordingly, states are also implementing the 2008 ozone NAAQS and the</w:t>
      </w:r>
      <w:r w:rsidR="00052D5B">
        <w:t xml:space="preserve"> revoked</w:t>
      </w:r>
      <w:r w:rsidRPr="005C2D11">
        <w:t xml:space="preserve"> 1997 ozone NAAQS</w:t>
      </w:r>
      <w:r w:rsidR="00052D5B">
        <w:t>.</w:t>
      </w:r>
      <w:r w:rsidRPr="005C2D11">
        <w:t xml:space="preserve"> Certain planning obligations for the 2008 NAAQS remain in effect for many areas designated nonattainment for the 2008 standard</w:t>
      </w:r>
      <w:r w:rsidR="00052D5B">
        <w:t>s</w:t>
      </w:r>
      <w:r w:rsidRPr="005C2D11">
        <w:t xml:space="preserve">, including areas that were subsequently designated nonattainment for the 2015 standard.  Areas that are nonattainment for both standards, along with areas that make up the ozone transport region (OTR), are subject to SIP requirements for both standards, with parallel sets of requirements and due dates as specified in the CAA and in EPA’s suite of implementation rules. In addition, states are still implementing certain requirements for the 1997 ozone NAAQS.  Although this NAAQS is revoked, there are certain requirements that must still be met under the </w:t>
      </w:r>
      <w:r w:rsidR="00052D5B">
        <w:t>CAA’s</w:t>
      </w:r>
      <w:r w:rsidRPr="005C2D11">
        <w:t xml:space="preserve"> anti-backsliding provisions.      </w:t>
      </w:r>
    </w:p>
    <w:p w:rsidR="00831E2E" w:rsidP="005140E4" w:rsidRDefault="00831E2E" w14:paraId="4535E33D" w14:textId="77777777">
      <w:pPr>
        <w:ind w:left="360"/>
      </w:pPr>
    </w:p>
    <w:p w:rsidR="005C2D11" w:rsidP="005C2D11" w:rsidRDefault="005C2D11" w14:paraId="069699F6" w14:textId="44DFD5B7">
      <w:pPr>
        <w:ind w:left="360" w:firstLine="360"/>
      </w:pPr>
      <w:r w:rsidRPr="005C2D11">
        <w:t xml:space="preserve">This ICR estimates the </w:t>
      </w:r>
      <w:r w:rsidR="00F028C5">
        <w:t xml:space="preserve">implementation </w:t>
      </w:r>
      <w:r w:rsidRPr="005C2D11">
        <w:t>burden for the 3 years following the ICR approval date for all three NAAQS. The burden estimated for the 2008 NAAQS includes</w:t>
      </w:r>
      <w:r w:rsidR="00B62752">
        <w:t xml:space="preserve"> states with</w:t>
      </w:r>
      <w:r w:rsidRPr="005C2D11">
        <w:t xml:space="preserve"> </w:t>
      </w:r>
      <w:r w:rsidR="00B62752">
        <w:t>8</w:t>
      </w:r>
      <w:r w:rsidRPr="005C2D11">
        <w:t xml:space="preserve"> nonattainment areas currently classified as Serious that could be reclassified to Severe-15.  The estimate of </w:t>
      </w:r>
      <w:r w:rsidR="00B62752">
        <w:t>8</w:t>
      </w:r>
      <w:r w:rsidRPr="005C2D11">
        <w:t xml:space="preserve"> areas is based on preliminary 2020 air quality data.  The 2008 ozone Serious classification carries a statutory attainment date of July 20, 2021.  If an area fails to attain</w:t>
      </w:r>
      <w:r w:rsidR="00F028C5">
        <w:t xml:space="preserve"> by that date</w:t>
      </w:r>
      <w:r w:rsidRPr="005C2D11">
        <w:t>, the area will be reclassified as Severe-15 and a new Severe area SIP will be due within 12-24 months from the reclassification action, which is during the reporting period for this ICR</w:t>
      </w:r>
      <w:r w:rsidR="00F028C5">
        <w:t>.</w:t>
      </w:r>
      <w:r w:rsidRPr="005C2D11">
        <w:t xml:space="preserve"> The burden estimate for the 2015 NAAQS is associated with plan development and plan revisions related to ongoing implementation efforts in 52 areas originally designated nonattainment, and includes the requirements for the 12 states and the District of Columbia in the OTR. The 1997 NAAQS burden includes</w:t>
      </w:r>
      <w:r w:rsidR="00F028C5">
        <w:t xml:space="preserve"> development of</w:t>
      </w:r>
      <w:r w:rsidRPr="005C2D11">
        <w:t xml:space="preserve"> second </w:t>
      </w:r>
      <w:r w:rsidR="00F028C5">
        <w:t xml:space="preserve">10-year </w:t>
      </w:r>
      <w:r w:rsidRPr="005C2D11">
        <w:t>maintenance plans required from states</w:t>
      </w:r>
      <w:r w:rsidR="00F028C5">
        <w:t xml:space="preserve"> with maintenance areas for this NAAQS</w:t>
      </w:r>
      <w:r w:rsidRPr="005C2D11">
        <w:t>, which are due 8 years after the effective date of the first maintenance plans’ final approval by EPA.</w:t>
      </w:r>
    </w:p>
    <w:p w:rsidR="005C2D11" w:rsidP="005C2D11" w:rsidRDefault="005C2D11" w14:paraId="43C007A6" w14:textId="38F24837">
      <w:pPr>
        <w:ind w:left="360" w:firstLine="360"/>
      </w:pPr>
    </w:p>
    <w:p w:rsidRPr="005C2D11" w:rsidR="005C2D11" w:rsidP="005C2D11" w:rsidRDefault="005C2D11" w14:paraId="56D32308" w14:textId="441262C1">
      <w:pPr>
        <w:ind w:left="360" w:firstLine="360"/>
      </w:pPr>
      <w:r w:rsidRPr="005C2D11">
        <w:t xml:space="preserve">The estimates for a given planning cycle include both the state burden to develop and submit, and the EPA burden to review and to approve or disapprove, attainment plans to meet the requirements prescribed in CAA sections 110 and part D, subparts 1 and 2 of title I. An ozone NAAQS attainment plan contains rules and other measures designed to improve air quality and achieve the NAAQS by the deadlines established under the CAA. It also must address several additional CAA requirements related to demonstrating timely attainment and must contain contingency measures in the event the nonattainment area does not achieve </w:t>
      </w:r>
      <w:r w:rsidR="001D309B">
        <w:t>“</w:t>
      </w:r>
      <w:r w:rsidRPr="005C2D11">
        <w:t>reasonable further progress</w:t>
      </w:r>
      <w:r w:rsidR="001D309B">
        <w:t>”</w:t>
      </w:r>
      <w:r w:rsidRPr="005C2D11">
        <w:t xml:space="preserve"> </w:t>
      </w:r>
      <w:r w:rsidR="003A7DED">
        <w:t xml:space="preserve">(RFP) </w:t>
      </w:r>
      <w:r w:rsidR="001D309B">
        <w:t>during</w:t>
      </w:r>
      <w:r w:rsidRPr="005C2D11" w:rsidR="001D309B">
        <w:t xml:space="preserve"> </w:t>
      </w:r>
      <w:r w:rsidRPr="005C2D11">
        <w:lastRenderedPageBreak/>
        <w:t xml:space="preserve">the attainment period or in the event the area does not attain the NAAQS by its attainment date. States that have attained </w:t>
      </w:r>
      <w:r w:rsidR="001D309B">
        <w:t xml:space="preserve">the NAAQS </w:t>
      </w:r>
      <w:r w:rsidRPr="005C2D11">
        <w:t xml:space="preserve">by the applicable attainment date may be eligible to submit a redesignation request and maintenance plan to receive a redesignation from “nonattainment” to “attainment.” After a state submits an attainment or maintenance plan, the CAA requires the EPA to approve or disapprove the plan. Tribes may develop or submit attainment plans but are not required to do so. </w:t>
      </w:r>
    </w:p>
    <w:p w:rsidR="00403354" w:rsidP="005140E4" w:rsidRDefault="00403354" w14:paraId="2E9E98AC" w14:textId="77777777">
      <w:pPr>
        <w:ind w:left="360"/>
      </w:pPr>
    </w:p>
    <w:p w:rsidR="005170B7" w:rsidP="00CE6225" w:rsidRDefault="005140E4" w14:paraId="511B6A5E" w14:textId="388A7AFA">
      <w:pPr>
        <w:ind w:left="360" w:firstLine="360"/>
      </w:pPr>
      <w:r>
        <w:t xml:space="preserve">The original ICR </w:t>
      </w:r>
      <w:r w:rsidRPr="00B106EF">
        <w:t>#22</w:t>
      </w:r>
      <w:r>
        <w:t xml:space="preserve">37.01 applied </w:t>
      </w:r>
      <w:r w:rsidR="00403354">
        <w:t>to the</w:t>
      </w:r>
      <w:r w:rsidR="001A77BD">
        <w:t xml:space="preserve"> 2008 8-hour ozone NAAQS </w:t>
      </w:r>
      <w:r w:rsidR="00D37145">
        <w:t>after</w:t>
      </w:r>
      <w:r w:rsidR="001A77BD">
        <w:t xml:space="preserve"> the </w:t>
      </w:r>
      <w:r w:rsidRPr="00B106EF" w:rsidR="001A77BD">
        <w:t xml:space="preserve">ozone </w:t>
      </w:r>
      <w:r w:rsidR="001A77BD">
        <w:t>NAAQS was revised in 201</w:t>
      </w:r>
      <w:r w:rsidR="00D37145">
        <w:t>2</w:t>
      </w:r>
      <w:r w:rsidR="001A77BD">
        <w:t xml:space="preserve">. </w:t>
      </w:r>
      <w:r w:rsidR="00403354">
        <w:t>The ICR renew</w:t>
      </w:r>
      <w:r w:rsidR="001D309B">
        <w:t xml:space="preserve">al </w:t>
      </w:r>
      <w:r w:rsidR="00403354">
        <w:t># 2347.02</w:t>
      </w:r>
      <w:r w:rsidR="001D309B">
        <w:t xml:space="preserve"> applied</w:t>
      </w:r>
      <w:r w:rsidR="00403354">
        <w:t xml:space="preserve"> for the period February 1, 2015 through January 31, 2018.  </w:t>
      </w:r>
      <w:r w:rsidR="00797FCE">
        <w:t>The ICR</w:t>
      </w:r>
      <w:r w:rsidR="001D309B">
        <w:t xml:space="preserve"> renewal</w:t>
      </w:r>
      <w:r w:rsidR="00797FCE">
        <w:t xml:space="preserve"> # 2347.0</w:t>
      </w:r>
      <w:r w:rsidR="001D309B">
        <w:t>3</w:t>
      </w:r>
      <w:r w:rsidR="00797FCE">
        <w:t xml:space="preserve"> </w:t>
      </w:r>
      <w:r w:rsidR="001D309B">
        <w:t>applied</w:t>
      </w:r>
      <w:r w:rsidR="00797FCE">
        <w:t xml:space="preserve"> for </w:t>
      </w:r>
      <w:r w:rsidR="001D309B">
        <w:t xml:space="preserve">the </w:t>
      </w:r>
      <w:r w:rsidR="00797FCE">
        <w:t xml:space="preserve">period February 1, 2018, through </w:t>
      </w:r>
      <w:r w:rsidR="001D309B">
        <w:t>April 30</w:t>
      </w:r>
      <w:r w:rsidR="00797FCE">
        <w:t>,</w:t>
      </w:r>
      <w:r w:rsidR="001D309B">
        <w:t xml:space="preserve"> </w:t>
      </w:r>
      <w:r w:rsidR="00797FCE">
        <w:t xml:space="preserve">2021.  The ICR </w:t>
      </w:r>
      <w:r w:rsidRPr="00B106EF" w:rsidR="00797FCE">
        <w:t>#2</w:t>
      </w:r>
      <w:r w:rsidR="00797FCE">
        <w:t xml:space="preserve">347.01 and the renewals </w:t>
      </w:r>
      <w:r w:rsidR="001D309B">
        <w:t xml:space="preserve">to date </w:t>
      </w:r>
      <w:r w:rsidR="00797FCE">
        <w:t xml:space="preserve">applied to the 2008 8-hour ozone NAAQS before the </w:t>
      </w:r>
      <w:r w:rsidRPr="00B106EF" w:rsidR="00797FCE">
        <w:t xml:space="preserve">ozone </w:t>
      </w:r>
      <w:r w:rsidR="00797FCE">
        <w:t xml:space="preserve">NAAQS was revised in 2015.  </w:t>
      </w:r>
      <w:r w:rsidR="00403354">
        <w:t xml:space="preserve">This </w:t>
      </w:r>
      <w:r w:rsidR="006B3642">
        <w:t>new</w:t>
      </w:r>
      <w:r w:rsidR="00403354">
        <w:t xml:space="preserve"> ICR </w:t>
      </w:r>
      <w:r w:rsidR="00502571">
        <w:t xml:space="preserve">renewal </w:t>
      </w:r>
      <w:r w:rsidR="00601534">
        <w:t xml:space="preserve">adds the burden of </w:t>
      </w:r>
      <w:r w:rsidRPr="00B106EF" w:rsidR="005170B7">
        <w:t>implement</w:t>
      </w:r>
      <w:r w:rsidR="00601534">
        <w:t>ing</w:t>
      </w:r>
      <w:r w:rsidRPr="00B106EF" w:rsidR="005170B7">
        <w:t xml:space="preserve"> the </w:t>
      </w:r>
      <w:r w:rsidR="009250D8">
        <w:t>20</w:t>
      </w:r>
      <w:r w:rsidR="006B3642">
        <w:t>15</w:t>
      </w:r>
      <w:r w:rsidR="005170B7">
        <w:t xml:space="preserve"> 8-hour ozone NAAQS</w:t>
      </w:r>
      <w:r w:rsidR="00502571">
        <w:t xml:space="preserve"> and</w:t>
      </w:r>
      <w:r w:rsidR="00601534">
        <w:t xml:space="preserve"> address</w:t>
      </w:r>
      <w:r w:rsidR="001D309B">
        <w:t>es</w:t>
      </w:r>
      <w:r w:rsidR="00601534">
        <w:t xml:space="preserve"> any new</w:t>
      </w:r>
      <w:r w:rsidR="00502571">
        <w:t xml:space="preserve"> requirements for areas that continue as nonattainment for the 2008 ozone standards. </w:t>
      </w:r>
      <w:r w:rsidR="003C19DC">
        <w:t xml:space="preserve">It also provides new burden estimates for the information collection resulting from ongoing implementation of the revoked 1997 ozone NAAQS. </w:t>
      </w:r>
      <w:r>
        <w:t xml:space="preserve"> </w:t>
      </w:r>
      <w:bookmarkStart w:name="_Hlk46228885" w:id="0"/>
      <w:r w:rsidR="008F254C">
        <w:t xml:space="preserve">As such, it updates the ICR #2347.03 to renew and update the information collection for the 2008 NAAQS, while also adding in information collection for the 2015 </w:t>
      </w:r>
      <w:r w:rsidR="001D309B">
        <w:t xml:space="preserve">and revoked 1997 </w:t>
      </w:r>
      <w:r w:rsidR="008F254C">
        <w:t>NAAQS</w:t>
      </w:r>
      <w:bookmarkEnd w:id="0"/>
      <w:r w:rsidR="008F254C">
        <w:t xml:space="preserve">.  </w:t>
      </w:r>
      <w:r>
        <w:t>The ICR</w:t>
      </w:r>
      <w:r w:rsidR="00502571">
        <w:t xml:space="preserve"> renewal</w:t>
      </w:r>
      <w:r>
        <w:t xml:space="preserve"> </w:t>
      </w:r>
      <w:r w:rsidRPr="00B106EF" w:rsidR="005170B7">
        <w:t xml:space="preserve">will </w:t>
      </w:r>
      <w:r w:rsidR="006B3642">
        <w:t>be</w:t>
      </w:r>
      <w:r w:rsidRPr="00B106EF" w:rsidR="005170B7">
        <w:t xml:space="preserve"> effect</w:t>
      </w:r>
      <w:r w:rsidR="001D309B">
        <w:t>ive</w:t>
      </w:r>
      <w:r w:rsidRPr="00B106EF" w:rsidR="005170B7">
        <w:t xml:space="preserve"> through its 3-year period </w:t>
      </w:r>
      <w:r w:rsidR="006B3642">
        <w:t xml:space="preserve">from </w:t>
      </w:r>
      <w:r w:rsidR="003C19DC">
        <w:t>April 3</w:t>
      </w:r>
      <w:r w:rsidR="00CF5620">
        <w:t>0</w:t>
      </w:r>
      <w:r w:rsidR="00B4261E">
        <w:t>,</w:t>
      </w:r>
      <w:r w:rsidRPr="00D33B7C" w:rsidR="00B4261E">
        <w:t xml:space="preserve"> 202</w:t>
      </w:r>
      <w:r w:rsidR="00B4261E">
        <w:t>1</w:t>
      </w:r>
      <w:r w:rsidRPr="00D33B7C" w:rsidR="00B4261E">
        <w:t xml:space="preserve"> </w:t>
      </w:r>
      <w:r w:rsidR="00B4261E">
        <w:t>to</w:t>
      </w:r>
      <w:r w:rsidRPr="00D33B7C" w:rsidR="00B4261E">
        <w:t xml:space="preserve"> </w:t>
      </w:r>
      <w:r w:rsidR="003C19DC">
        <w:t>April 3</w:t>
      </w:r>
      <w:r w:rsidR="00CF5620">
        <w:t>0</w:t>
      </w:r>
      <w:r w:rsidRPr="00D33B7C" w:rsidR="00B4261E">
        <w:t>, 202</w:t>
      </w:r>
      <w:r w:rsidR="00B4261E">
        <w:t>4.</w:t>
      </w:r>
    </w:p>
    <w:p w:rsidRPr="00007BF6" w:rsidR="007C40FE" w:rsidP="00CE6225" w:rsidRDefault="007C40FE" w14:paraId="339CABBA" w14:textId="77777777">
      <w:pPr>
        <w:ind w:left="360" w:firstLine="360"/>
        <w:rPr>
          <w:sz w:val="20"/>
          <w:szCs w:val="20"/>
        </w:rPr>
      </w:pPr>
    </w:p>
    <w:p w:rsidR="005170B7" w:rsidP="005D3B18" w:rsidRDefault="005170B7" w14:paraId="72A5A33C" w14:textId="4EBD23BE">
      <w:pPr>
        <w:ind w:left="360" w:firstLine="360"/>
      </w:pPr>
      <w:r w:rsidRPr="005550EA">
        <w:t xml:space="preserve">The administrative burden for the areas and activities covered by this ICR </w:t>
      </w:r>
      <w:r w:rsidRPr="005550EA" w:rsidR="00461B9A">
        <w:t>reflects a</w:t>
      </w:r>
      <w:r w:rsidRPr="005550EA" w:rsidR="00F22B91">
        <w:t>n</w:t>
      </w:r>
      <w:r w:rsidRPr="005550EA" w:rsidR="00461B9A">
        <w:t xml:space="preserve"> increase for the 2008 NAAQS</w:t>
      </w:r>
      <w:r w:rsidR="00461B9A">
        <w:t xml:space="preserve">, and also reflects an increase for the 2015 NAAQS due to significant requirements coming due during the next three years. </w:t>
      </w:r>
      <w:r w:rsidR="005550EA">
        <w:t xml:space="preserve">Also, this ICR renewal estimates a small amount of additional burden to states to meet the anti-backsliding requirements for the revoked 1997 NAAQS. </w:t>
      </w:r>
      <w:r w:rsidR="00461B9A">
        <w:t xml:space="preserve"> However, the new burden </w:t>
      </w:r>
      <w:r>
        <w:t xml:space="preserve">is </w:t>
      </w:r>
      <w:r w:rsidR="00C51088">
        <w:t xml:space="preserve">generally </w:t>
      </w:r>
      <w:r>
        <w:t>mitigated by these factors.</w:t>
      </w:r>
    </w:p>
    <w:p w:rsidR="005170B7" w:rsidP="00115BDD" w:rsidRDefault="005170B7" w14:paraId="57742DCE" w14:textId="77777777">
      <w:pPr>
        <w:ind w:left="360"/>
      </w:pPr>
    </w:p>
    <w:p w:rsidR="005170B7" w:rsidP="00CE6225" w:rsidRDefault="005170B7" w14:paraId="7BCE543D" w14:textId="2C7774C4">
      <w:pPr>
        <w:numPr>
          <w:ilvl w:val="1"/>
          <w:numId w:val="4"/>
        </w:numPr>
      </w:pPr>
      <w:r>
        <w:t>Some promulgated federal rules reduce future emissions of ozone precursors.  As a consequence</w:t>
      </w:r>
      <w:r w:rsidR="00C51088">
        <w:t>, s</w:t>
      </w:r>
      <w:r>
        <w:t xml:space="preserve">ome designated nonattainment areas are projected to attain and maintain the 8-hour </w:t>
      </w:r>
      <w:r w:rsidR="00C51088">
        <w:t>o</w:t>
      </w:r>
      <w:r>
        <w:t>zone NAAQS</w:t>
      </w:r>
      <w:r w:rsidR="00C51088">
        <w:t xml:space="preserve"> without significant local controls</w:t>
      </w:r>
      <w:r w:rsidR="00517243">
        <w:t>, which may relieve them of the obligation to submit additional SIP elements</w:t>
      </w:r>
      <w:r w:rsidR="00C51088">
        <w:t>.</w:t>
      </w:r>
    </w:p>
    <w:p w:rsidR="00990A77" w:rsidP="00FD5C0E" w:rsidRDefault="00990A77" w14:paraId="52AC4936" w14:textId="2DFD2FAA">
      <w:pPr>
        <w:numPr>
          <w:ilvl w:val="1"/>
          <w:numId w:val="4"/>
        </w:numPr>
      </w:pPr>
      <w:r w:rsidRPr="00CE6225">
        <w:t>N</w:t>
      </w:r>
      <w:r w:rsidRPr="00CE6225" w:rsidR="005170B7">
        <w:t>onattainment</w:t>
      </w:r>
      <w:r w:rsidR="005170B7">
        <w:t xml:space="preserve"> areas </w:t>
      </w:r>
      <w:r>
        <w:t>classified</w:t>
      </w:r>
      <w:r w:rsidR="005170B7">
        <w:t xml:space="preserve"> </w:t>
      </w:r>
      <w:r w:rsidR="001D5907">
        <w:t>Marginal</w:t>
      </w:r>
      <w:r w:rsidR="005170B7">
        <w:t xml:space="preserve"> </w:t>
      </w:r>
      <w:r w:rsidR="00C51088">
        <w:t xml:space="preserve">for the 2015 ozone NAAQS </w:t>
      </w:r>
      <w:r w:rsidR="005170B7">
        <w:t xml:space="preserve">are not required to develop and adopt additional state rules to fulfill RFP requirements set forth by the </w:t>
      </w:r>
      <w:r w:rsidR="00C51088">
        <w:t>2015 ozone SIP Requirements R</w:t>
      </w:r>
      <w:r w:rsidR="005170B7">
        <w:t xml:space="preserve">ule.  </w:t>
      </w:r>
    </w:p>
    <w:p w:rsidR="005170B7" w:rsidP="00FD5C0E" w:rsidRDefault="005170B7" w14:paraId="35829B07" w14:textId="5204D696">
      <w:pPr>
        <w:numPr>
          <w:ilvl w:val="1"/>
          <w:numId w:val="4"/>
        </w:numPr>
      </w:pPr>
      <w:r>
        <w:t xml:space="preserve">For those areas </w:t>
      </w:r>
      <w:r w:rsidR="00990A77">
        <w:t>where states</w:t>
      </w:r>
      <w:r>
        <w:t xml:space="preserve"> must submit RFP SIPs, the emission reductions associated with federal emission reducing rules are creditable toward RFP requirements. </w:t>
      </w:r>
    </w:p>
    <w:p w:rsidR="005170B7" w:rsidP="00115BDD" w:rsidRDefault="005170B7" w14:paraId="6E82208D" w14:textId="6762E86A">
      <w:pPr>
        <w:numPr>
          <w:ilvl w:val="1"/>
          <w:numId w:val="4"/>
        </w:numPr>
      </w:pPr>
      <w:r>
        <w:t xml:space="preserve">Some </w:t>
      </w:r>
      <w:r w:rsidR="00C51088">
        <w:t>s</w:t>
      </w:r>
      <w:r>
        <w:t>tates already have experience developing SIPs for the 1-hour</w:t>
      </w:r>
      <w:r w:rsidR="00617622">
        <w:t>,</w:t>
      </w:r>
      <w:r>
        <w:t xml:space="preserve"> the 1997 8-hour </w:t>
      </w:r>
      <w:r w:rsidR="00C51088">
        <w:t>o</w:t>
      </w:r>
      <w:r>
        <w:t>zone NAAQS</w:t>
      </w:r>
      <w:r w:rsidR="00617622">
        <w:t xml:space="preserve"> and the 2008 8-hour </w:t>
      </w:r>
      <w:r w:rsidR="00C51088">
        <w:t>o</w:t>
      </w:r>
      <w:r w:rsidR="00617622">
        <w:t>zone NAAQS</w:t>
      </w:r>
      <w:r>
        <w:t xml:space="preserve">.  Hence, </w:t>
      </w:r>
      <w:r w:rsidR="00C51088">
        <w:t>they are familiar</w:t>
      </w:r>
      <w:r>
        <w:t xml:space="preserve"> with SIP </w:t>
      </w:r>
      <w:r w:rsidR="00990A77">
        <w:t xml:space="preserve">development </w:t>
      </w:r>
      <w:r>
        <w:t xml:space="preserve">activities for an </w:t>
      </w:r>
      <w:r w:rsidR="00C51088">
        <w:t>o</w:t>
      </w:r>
      <w:r>
        <w:t>zone NAAQS</w:t>
      </w:r>
      <w:r w:rsidR="00C51088">
        <w:t xml:space="preserve"> and likely have trained staff that can support such activities</w:t>
      </w:r>
      <w:r>
        <w:t xml:space="preserve">.  </w:t>
      </w:r>
    </w:p>
    <w:p w:rsidR="005170B7" w:rsidP="00115BDD" w:rsidRDefault="005170B7" w14:paraId="1127A63B" w14:textId="77777777">
      <w:pPr>
        <w:ind w:left="360"/>
      </w:pPr>
    </w:p>
    <w:p w:rsidRPr="006F537A" w:rsidR="005170B7" w:rsidP="00115BDD" w:rsidRDefault="005170B7" w14:paraId="3920D337" w14:textId="587B0F23">
      <w:pPr>
        <w:ind w:left="360"/>
      </w:pPr>
      <w:r>
        <w:lastRenderedPageBreak/>
        <w:tab/>
        <w:t xml:space="preserve">The Agency anticipates administrative burden for state governments </w:t>
      </w:r>
      <w:r w:rsidRPr="006F537A">
        <w:t xml:space="preserve">and the </w:t>
      </w:r>
      <w:r w:rsidR="001C5F1A">
        <w:t>EPA</w:t>
      </w:r>
      <w:r w:rsidRPr="006F537A" w:rsidR="001C5F1A">
        <w:t xml:space="preserve"> </w:t>
      </w:r>
      <w:r w:rsidRPr="008D165B">
        <w:t xml:space="preserve">of </w:t>
      </w:r>
      <w:r w:rsidR="00534425">
        <w:t>35</w:t>
      </w:r>
      <w:r w:rsidR="00F22B91">
        <w:t>7</w:t>
      </w:r>
      <w:r w:rsidR="00534425">
        <w:t>,</w:t>
      </w:r>
      <w:r w:rsidR="001329E3">
        <w:t>4</w:t>
      </w:r>
      <w:r w:rsidR="00534425">
        <w:t>00</w:t>
      </w:r>
      <w:r w:rsidRPr="008D165B">
        <w:t xml:space="preserve"> hours and </w:t>
      </w:r>
      <w:r w:rsidR="00534425">
        <w:t>6</w:t>
      </w:r>
      <w:r w:rsidR="00F22B91">
        <w:t>7</w:t>
      </w:r>
      <w:r w:rsidR="00534425">
        <w:t>,</w:t>
      </w:r>
      <w:r w:rsidR="00F22B91">
        <w:t>0</w:t>
      </w:r>
      <w:r w:rsidR="007A38E2">
        <w:t>3</w:t>
      </w:r>
      <w:r w:rsidR="00F22B91">
        <w:t>4</w:t>
      </w:r>
      <w:r w:rsidR="00534425">
        <w:t xml:space="preserve"> </w:t>
      </w:r>
      <w:r w:rsidRPr="008D165B">
        <w:t>hours,</w:t>
      </w:r>
      <w:r w:rsidRPr="006F537A">
        <w:t xml:space="preserve"> respectively. </w:t>
      </w:r>
      <w:r>
        <w:t>Fifty</w:t>
      </w:r>
      <w:r w:rsidRPr="006F537A">
        <w:t xml:space="preserve"> percent of the hours are </w:t>
      </w:r>
      <w:r w:rsidR="00562DB3">
        <w:t xml:space="preserve">estimated to be </w:t>
      </w:r>
      <w:r w:rsidRPr="006F537A">
        <w:t>expended in the 1</w:t>
      </w:r>
      <w:r w:rsidRPr="006F537A">
        <w:rPr>
          <w:vertAlign w:val="superscript"/>
        </w:rPr>
        <w:t>st</w:t>
      </w:r>
      <w:r w:rsidRPr="006F537A">
        <w:t xml:space="preserve"> year with the remainder spent in the 2</w:t>
      </w:r>
      <w:r w:rsidRPr="006F537A">
        <w:rPr>
          <w:vertAlign w:val="superscript"/>
        </w:rPr>
        <w:t>nd</w:t>
      </w:r>
      <w:r w:rsidRPr="006F537A">
        <w:t xml:space="preserve"> and 3</w:t>
      </w:r>
      <w:r w:rsidRPr="006F537A">
        <w:rPr>
          <w:vertAlign w:val="superscript"/>
        </w:rPr>
        <w:t>rd</w:t>
      </w:r>
      <w:r w:rsidRPr="006F537A">
        <w:t xml:space="preserve"> year of the ICR period.  Tribes are not required to conduct attainment demonstrations or submit RFP or RACT SIPs. </w:t>
      </w:r>
      <w:r>
        <w:t xml:space="preserve"> The burden to develop required SIPs for the two tribal areas located in California were included in the Agency burden hours.</w:t>
      </w:r>
      <w:r w:rsidR="00617622">
        <w:t xml:space="preserve">  The </w:t>
      </w:r>
      <w:r w:rsidR="00F22B91">
        <w:t>67,0</w:t>
      </w:r>
      <w:r w:rsidR="007A38E2">
        <w:t>34</w:t>
      </w:r>
      <w:r w:rsidR="00F22B91">
        <w:t xml:space="preserve"> </w:t>
      </w:r>
      <w:r w:rsidR="00617622">
        <w:t xml:space="preserve">hour burden for EPA includes </w:t>
      </w:r>
      <w:r w:rsidR="00534425">
        <w:t>25,</w:t>
      </w:r>
      <w:r w:rsidR="00F22B91">
        <w:t>2</w:t>
      </w:r>
      <w:r w:rsidR="00534425">
        <w:t>00</w:t>
      </w:r>
      <w:r w:rsidR="00617622">
        <w:t xml:space="preserve"> hours for EPA to</w:t>
      </w:r>
      <w:r w:rsidRPr="00617622" w:rsidR="00617622">
        <w:t xml:space="preserve"> develop the </w:t>
      </w:r>
      <w:r w:rsidR="00562DB3">
        <w:t>t</w:t>
      </w:r>
      <w:r w:rsidRPr="00617622" w:rsidR="00617622">
        <w:t>ribal planning and control requirements for the Morongo Band of Mission Indians and Pechanga Band of Luiseno</w:t>
      </w:r>
      <w:r w:rsidR="00874F0B">
        <w:t xml:space="preserve"> </w:t>
      </w:r>
      <w:r w:rsidRPr="00617622" w:rsidR="00874F0B">
        <w:t>Mission Indians</w:t>
      </w:r>
      <w:r w:rsidR="00874F0B">
        <w:t>.</w:t>
      </w:r>
    </w:p>
    <w:p w:rsidRPr="006F537A" w:rsidR="005170B7" w:rsidP="00115BDD" w:rsidRDefault="005170B7" w14:paraId="3B53BE25" w14:textId="77777777">
      <w:pPr>
        <w:ind w:left="360"/>
      </w:pPr>
    </w:p>
    <w:p w:rsidRPr="006F537A" w:rsidR="005170B7" w:rsidP="00115BDD" w:rsidRDefault="005170B7" w14:paraId="16B27121" w14:textId="03210913">
      <w:pPr>
        <w:ind w:left="360"/>
      </w:pPr>
      <w:r w:rsidRPr="006F537A">
        <w:tab/>
      </w:r>
      <w:r w:rsidRPr="00CD6A29">
        <w:t>The present value of the total additional costs for state governments (i.e., the respondents) is estimated at $</w:t>
      </w:r>
      <w:r w:rsidR="00534425">
        <w:t>25.2</w:t>
      </w:r>
      <w:r w:rsidRPr="00CD6A29" w:rsidR="00627E35">
        <w:t xml:space="preserve"> </w:t>
      </w:r>
      <w:r w:rsidRPr="00CD6A29">
        <w:t xml:space="preserve">million for the 3-year period.  This is equivalent to an equal annual </w:t>
      </w:r>
      <w:r w:rsidR="001C5F1A">
        <w:t xml:space="preserve">cost </w:t>
      </w:r>
      <w:r w:rsidRPr="00CD6A29">
        <w:t>stream of $</w:t>
      </w:r>
      <w:r w:rsidR="00534425">
        <w:t>8.4</w:t>
      </w:r>
      <w:r w:rsidRPr="00CD6A29">
        <w:t xml:space="preserve"> million per year during the 3-year period of th</w:t>
      </w:r>
      <w:r w:rsidR="001C5F1A">
        <w:t>is</w:t>
      </w:r>
      <w:r w:rsidRPr="00CD6A29">
        <w:t xml:space="preserve"> ICR.</w:t>
      </w:r>
      <w:r w:rsidRPr="006F537A">
        <w:t xml:space="preserve">    </w:t>
      </w:r>
    </w:p>
    <w:p w:rsidRPr="006F537A" w:rsidR="005170B7" w:rsidP="00115BDD" w:rsidRDefault="005170B7" w14:paraId="56AAB0BD" w14:textId="77777777">
      <w:pPr>
        <w:ind w:left="360"/>
      </w:pPr>
    </w:p>
    <w:p w:rsidR="005170B7" w:rsidP="00115BDD" w:rsidRDefault="005170B7" w14:paraId="6D4B33E0" w14:textId="4E5D1A1A">
      <w:pPr>
        <w:ind w:left="360"/>
      </w:pPr>
      <w:r w:rsidRPr="006F537A">
        <w:tab/>
        <w:t>The present value of the Agency administrative cost burden is estimated at $</w:t>
      </w:r>
      <w:r w:rsidR="00534425">
        <w:t>4.6</w:t>
      </w:r>
      <w:r w:rsidR="00914596">
        <w:t xml:space="preserve"> </w:t>
      </w:r>
      <w:r w:rsidRPr="006F537A">
        <w:t xml:space="preserve">million dollars.  This is equivalent to an equal annual stream of costs of </w:t>
      </w:r>
      <w:r w:rsidRPr="00A11F8A">
        <w:t>$</w:t>
      </w:r>
      <w:r w:rsidR="00534425">
        <w:t>1.5</w:t>
      </w:r>
      <w:r w:rsidR="00627E35">
        <w:t xml:space="preserve"> </w:t>
      </w:r>
      <w:r w:rsidRPr="006F537A">
        <w:t>million per year during the 3-year</w:t>
      </w:r>
      <w:r w:rsidRPr="00150462">
        <w:t xml:space="preserve"> period.</w:t>
      </w:r>
    </w:p>
    <w:p w:rsidR="005170B7" w:rsidP="00115BDD" w:rsidRDefault="005170B7" w14:paraId="791203D2" w14:textId="77777777">
      <w:pPr>
        <w:ind w:left="360"/>
      </w:pPr>
    </w:p>
    <w:p w:rsidRPr="00432F8C" w:rsidR="005170B7" w:rsidP="00115BDD" w:rsidRDefault="005170B7" w14:paraId="43297B69" w14:textId="77777777">
      <w:pPr>
        <w:numPr>
          <w:ilvl w:val="0"/>
          <w:numId w:val="4"/>
        </w:numPr>
        <w:rPr>
          <w:b/>
          <w:sz w:val="28"/>
          <w:szCs w:val="28"/>
        </w:rPr>
      </w:pPr>
      <w:r w:rsidRPr="00432F8C">
        <w:rPr>
          <w:b/>
          <w:sz w:val="28"/>
          <w:szCs w:val="28"/>
        </w:rPr>
        <w:t xml:space="preserve">Need </w:t>
      </w:r>
      <w:r>
        <w:rPr>
          <w:b/>
          <w:sz w:val="28"/>
          <w:szCs w:val="28"/>
        </w:rPr>
        <w:t>f</w:t>
      </w:r>
      <w:r w:rsidRPr="00432F8C">
        <w:rPr>
          <w:b/>
          <w:sz w:val="28"/>
          <w:szCs w:val="28"/>
        </w:rPr>
        <w:t>or and Use of the Collection</w:t>
      </w:r>
    </w:p>
    <w:p w:rsidR="005170B7" w:rsidP="00115BDD" w:rsidRDefault="005170B7" w14:paraId="2970492E" w14:textId="77777777">
      <w:pPr>
        <w:ind w:left="360"/>
        <w:rPr>
          <w:b/>
        </w:rPr>
      </w:pPr>
      <w:r>
        <w:rPr>
          <w:b/>
        </w:rPr>
        <w:t>2(a)</w:t>
      </w:r>
      <w:r>
        <w:rPr>
          <w:b/>
        </w:rPr>
        <w:tab/>
        <w:t>Need/Authority for the Collection</w:t>
      </w:r>
    </w:p>
    <w:p w:rsidR="005170B7" w:rsidP="00115BDD" w:rsidRDefault="005170B7" w14:paraId="53B441FA" w14:textId="77777777">
      <w:pPr>
        <w:ind w:left="360"/>
        <w:rPr>
          <w:b/>
        </w:rPr>
      </w:pPr>
    </w:p>
    <w:p w:rsidR="008175AF" w:rsidP="008175AF" w:rsidRDefault="005170B7" w14:paraId="3C09B058" w14:textId="72D33CE6">
      <w:pPr>
        <w:ind w:left="360"/>
      </w:pPr>
      <w:r>
        <w:tab/>
        <w:t xml:space="preserve">Part D of Title I of the CAA sets forth the plan (implementation) requirements for areas designated nonattainment with a promulgated NAAQS.  When the CAA </w:t>
      </w:r>
      <w:r w:rsidR="00562DB3">
        <w:t>A</w:t>
      </w:r>
      <w:r>
        <w:t xml:space="preserve">mendments of 1990 were enacted, the Subpart 2 provisions were specific to designated nonattainment areas for the 1-hour </w:t>
      </w:r>
      <w:r w:rsidR="00562DB3">
        <w:t>o</w:t>
      </w:r>
      <w:r>
        <w:t>zone NAAQS, but the ozone standard</w:t>
      </w:r>
      <w:r w:rsidR="00562DB3">
        <w:t>s</w:t>
      </w:r>
      <w:r>
        <w:t xml:space="preserve"> </w:t>
      </w:r>
      <w:r w:rsidR="00562DB3">
        <w:t xml:space="preserve">were </w:t>
      </w:r>
      <w:r>
        <w:t xml:space="preserve">revised in 1997. As a result of litigation and subsequent court decisions, </w:t>
      </w:r>
      <w:r w:rsidR="00562DB3">
        <w:t xml:space="preserve">a different </w:t>
      </w:r>
      <w:r>
        <w:t xml:space="preserve">implementation framework was developed for the </w:t>
      </w:r>
      <w:r w:rsidR="00562DB3">
        <w:t xml:space="preserve">1997 </w:t>
      </w:r>
      <w:r>
        <w:t xml:space="preserve">8-hour </w:t>
      </w:r>
      <w:r w:rsidR="00562DB3">
        <w:t>o</w:t>
      </w:r>
      <w:r>
        <w:t>zone NAAQS</w:t>
      </w:r>
      <w:r w:rsidR="00562DB3">
        <w:t xml:space="preserve">, set at </w:t>
      </w:r>
      <w:r w:rsidRPr="00FD578D" w:rsidR="00562DB3">
        <w:t>0.08 ppm.</w:t>
      </w:r>
      <w:r>
        <w:t xml:space="preserve"> </w:t>
      </w:r>
      <w:bookmarkStart w:name="_Hlk17872883" w:id="1"/>
      <w:r w:rsidR="00562DB3">
        <w:t>EPA’s</w:t>
      </w:r>
      <w:r>
        <w:t xml:space="preserve"> 1997 8-hour </w:t>
      </w:r>
      <w:r w:rsidR="00562DB3">
        <w:t>o</w:t>
      </w:r>
      <w:r>
        <w:t xml:space="preserve">zone NAAQS Implementation Rule was issued in two phases:  Phase 1 was published </w:t>
      </w:r>
      <w:r w:rsidR="00562DB3">
        <w:t xml:space="preserve">on </w:t>
      </w:r>
      <w:r>
        <w:t xml:space="preserve">April 30, 2004, and Phase 2 was published </w:t>
      </w:r>
      <w:r w:rsidR="00562DB3">
        <w:t xml:space="preserve">on </w:t>
      </w:r>
      <w:r>
        <w:t xml:space="preserve">November 29, 2005.  </w:t>
      </w:r>
      <w:bookmarkEnd w:id="1"/>
    </w:p>
    <w:p w:rsidR="008175AF" w:rsidP="008175AF" w:rsidRDefault="008175AF" w14:paraId="67FE9459" w14:textId="77777777">
      <w:pPr>
        <w:ind w:left="360"/>
      </w:pPr>
    </w:p>
    <w:p w:rsidR="001D5C20" w:rsidP="001D5C20" w:rsidRDefault="005170B7" w14:paraId="6D6BA8FE" w14:textId="3CC94BE0">
      <w:pPr>
        <w:ind w:left="360" w:firstLine="360"/>
      </w:pPr>
      <w:r>
        <w:t>O</w:t>
      </w:r>
      <w:r w:rsidRPr="00FD578D">
        <w:t>n March 12, 2008, EPA revis</w:t>
      </w:r>
      <w:r>
        <w:t>ed</w:t>
      </w:r>
      <w:r w:rsidRPr="00FD578D">
        <w:t xml:space="preserve"> the 8-hour primary</w:t>
      </w:r>
      <w:r w:rsidR="00562DB3">
        <w:t xml:space="preserve"> and secondary</w:t>
      </w:r>
      <w:r w:rsidRPr="00FD578D">
        <w:t xml:space="preserve"> ozone standard</w:t>
      </w:r>
      <w:r w:rsidR="00562DB3">
        <w:t>s</w:t>
      </w:r>
      <w:r w:rsidRPr="00FD578D">
        <w:t xml:space="preserve"> to a </w:t>
      </w:r>
      <w:r w:rsidR="00562DB3">
        <w:t xml:space="preserve">more stringent </w:t>
      </w:r>
      <w:r w:rsidRPr="00FD578D">
        <w:t>level of 0.07</w:t>
      </w:r>
      <w:r>
        <w:t>5</w:t>
      </w:r>
      <w:r w:rsidRPr="00FD578D">
        <w:t xml:space="preserve"> parts per million (ppm). </w:t>
      </w:r>
      <w:r>
        <w:t xml:space="preserve"> </w:t>
      </w:r>
      <w:r w:rsidR="00562DB3">
        <w:t>EPA then completed two rulemaking</w:t>
      </w:r>
      <w:r w:rsidR="00C3318D">
        <w:t>s</w:t>
      </w:r>
      <w:r w:rsidR="00562DB3">
        <w:t xml:space="preserve"> for implementing the </w:t>
      </w:r>
      <w:r w:rsidR="00BE6877">
        <w:t>2008</w:t>
      </w:r>
      <w:r w:rsidRPr="00BE6877" w:rsidR="00BE6877">
        <w:t xml:space="preserve"> 8-hour </w:t>
      </w:r>
      <w:r w:rsidR="00562DB3">
        <w:t>o</w:t>
      </w:r>
      <w:r w:rsidRPr="00BE6877" w:rsidR="00BE6877">
        <w:t>zone NAAQS</w:t>
      </w:r>
      <w:r w:rsidR="00562DB3">
        <w:t>:</w:t>
      </w:r>
    </w:p>
    <w:p w:rsidR="00D5505B" w:rsidP="00CE6225" w:rsidRDefault="00D5505B" w14:paraId="4DA49347" w14:textId="2FCDC4F9">
      <w:pPr>
        <w:numPr>
          <w:ilvl w:val="0"/>
          <w:numId w:val="37"/>
        </w:numPr>
        <w:shd w:val="clear" w:color="auto" w:fill="FFFFFF"/>
        <w:spacing w:before="100" w:beforeAutospacing="1" w:after="60"/>
        <w:rPr>
          <w:color w:val="212121"/>
        </w:rPr>
      </w:pPr>
      <w:r w:rsidRPr="00D5505B">
        <w:rPr>
          <w:color w:val="212121"/>
        </w:rPr>
        <w:t>Final Implementation of the 2008 National Ambient Air Quality Standards for Ozone: Nonattainment Area Classifications Approach, Attainment Deadlines and Revocation of the 1997 Ozone Standards for Transportation Conformity Purposes (</w:t>
      </w:r>
      <w:r w:rsidR="00562DB3">
        <w:rPr>
          <w:color w:val="212121"/>
        </w:rPr>
        <w:t>7</w:t>
      </w:r>
      <w:r w:rsidRPr="00562DB3" w:rsidR="00562DB3">
        <w:rPr>
          <w:color w:val="212121"/>
        </w:rPr>
        <w:t>7 FR 30160</w:t>
      </w:r>
      <w:r w:rsidR="00562DB3">
        <w:rPr>
          <w:color w:val="212121"/>
        </w:rPr>
        <w:t xml:space="preserve">, </w:t>
      </w:r>
      <w:r w:rsidRPr="00D5505B">
        <w:rPr>
          <w:color w:val="212121"/>
        </w:rPr>
        <w:t>May 21, 2012)</w:t>
      </w:r>
      <w:r w:rsidR="00562DB3">
        <w:rPr>
          <w:color w:val="212121"/>
        </w:rPr>
        <w:t>.</w:t>
      </w:r>
      <w:r w:rsidRPr="00D5505B" w:rsidDel="00562DB3" w:rsidR="00562DB3">
        <w:rPr>
          <w:color w:val="212121"/>
        </w:rPr>
        <w:t xml:space="preserve"> </w:t>
      </w:r>
    </w:p>
    <w:p w:rsidRPr="00CE6225" w:rsidR="00D5505B" w:rsidP="00CE6225" w:rsidRDefault="00D5505B" w14:paraId="130E0B9F" w14:textId="19440427">
      <w:pPr>
        <w:numPr>
          <w:ilvl w:val="0"/>
          <w:numId w:val="37"/>
        </w:numPr>
        <w:shd w:val="clear" w:color="auto" w:fill="FFFFFF"/>
        <w:spacing w:before="100" w:beforeAutospacing="1" w:after="60"/>
        <w:rPr>
          <w:rStyle w:val="Hyperlink"/>
          <w:color w:val="212121"/>
          <w:u w:val="none"/>
        </w:rPr>
      </w:pPr>
      <w:r w:rsidRPr="00D5505B">
        <w:rPr>
          <w:color w:val="212121"/>
        </w:rPr>
        <w:t>Final Implementation of the 2008 National Ambient Air Quality Standards for Ozone: State Implementation Plan Requirements; Revocation of the 1997 NAAQS (</w:t>
      </w:r>
      <w:hyperlink w:tgtFrame="_blank" w:history="1" r:id="rId15">
        <w:r w:rsidRPr="00D5505B" w:rsidR="00562DB3">
          <w:rPr>
            <w:rStyle w:val="Hyperlink"/>
            <w:color w:val="4C2C92"/>
          </w:rPr>
          <w:t>80 FR 12264</w:t>
        </w:r>
      </w:hyperlink>
      <w:r w:rsidR="00562DB3">
        <w:rPr>
          <w:rStyle w:val="Hyperlink"/>
          <w:color w:val="4C2C92"/>
        </w:rPr>
        <w:t xml:space="preserve">, </w:t>
      </w:r>
      <w:r w:rsidRPr="00D5505B">
        <w:rPr>
          <w:color w:val="212121"/>
        </w:rPr>
        <w:t>March 6, 2015</w:t>
      </w:r>
      <w:r w:rsidR="00562DB3">
        <w:rPr>
          <w:color w:val="212121"/>
        </w:rPr>
        <w:t>).</w:t>
      </w:r>
      <w:r w:rsidRPr="00D5505B">
        <w:rPr>
          <w:color w:val="212121"/>
        </w:rPr>
        <w:t> </w:t>
      </w:r>
    </w:p>
    <w:p w:rsidR="00562DB3" w:rsidP="001D5C20" w:rsidRDefault="00562DB3" w14:paraId="754BAAE1" w14:textId="77777777">
      <w:pPr>
        <w:autoSpaceDE w:val="0"/>
        <w:autoSpaceDN w:val="0"/>
        <w:adjustRightInd w:val="0"/>
        <w:ind w:left="360"/>
      </w:pPr>
    </w:p>
    <w:p w:rsidRPr="001D5C20" w:rsidR="00A0761D" w:rsidP="003F5E7B" w:rsidRDefault="001C5F1A" w14:paraId="589E8E3E" w14:textId="49DCD440">
      <w:pPr>
        <w:tabs>
          <w:tab w:val="left" w:pos="360"/>
        </w:tabs>
        <w:ind w:left="360" w:firstLine="720"/>
        <w:rPr>
          <w:sz w:val="20"/>
          <w:szCs w:val="20"/>
        </w:rPr>
      </w:pPr>
      <w:r>
        <w:tab/>
        <w:t xml:space="preserve">On October 1, 2015, EPA again strengthened the ozone NAAQS. Specifically, EPA set both the 8-hour primary and secondary ozone standards at a </w:t>
      </w:r>
      <w:r w:rsidRPr="00BD62B8" w:rsidR="00A0761D">
        <w:lastRenderedPageBreak/>
        <w:t>level</w:t>
      </w:r>
      <w:r w:rsidR="00A0761D">
        <w:t xml:space="preserve"> of 0.070 ppm.</w:t>
      </w:r>
      <w:r w:rsidR="00BE6877">
        <w:t xml:space="preserve"> For purposes of the 2015 ozone NAAQS, the EPA is generally applying the </w:t>
      </w:r>
      <w:r w:rsidR="00562DB3">
        <w:t xml:space="preserve">same </w:t>
      </w:r>
      <w:r w:rsidR="00BE6877">
        <w:t xml:space="preserve">overall framework and policy approach of the implementation provisions associated with the previous 8-hour NAAQS, with the exception of elements addressed in the adverse portions of the D.C. Circuit’s February 2018 decision in </w:t>
      </w:r>
      <w:r w:rsidR="00BE6877">
        <w:rPr>
          <w:i/>
        </w:rPr>
        <w:t xml:space="preserve">South Coast Air Quality Management District v. </w:t>
      </w:r>
      <w:r w:rsidR="009B4AEB">
        <w:rPr>
          <w:i/>
          <w:iCs/>
        </w:rPr>
        <w:t xml:space="preserve">EPA </w:t>
      </w:r>
      <w:r w:rsidR="009B4AEB">
        <w:t>, 882 F.3d 1138</w:t>
      </w:r>
      <w:r w:rsidR="009B4AEB">
        <w:rPr>
          <w:i/>
          <w:iCs/>
        </w:rPr>
        <w:t xml:space="preserve"> </w:t>
      </w:r>
      <w:r w:rsidR="009B4AEB">
        <w:t>(D.C. Cir. 2018)</w:t>
      </w:r>
      <w:r w:rsidR="00BE6877">
        <w:t xml:space="preserve">, to provide for regulatory certainty and consistent implementation across time. </w:t>
      </w:r>
      <w:r w:rsidR="00C3318D">
        <w:t>EPA completed two rulemakings for implementing t</w:t>
      </w:r>
      <w:r w:rsidR="00BE6877">
        <w:t xml:space="preserve">he 2015 8-hour </w:t>
      </w:r>
      <w:r w:rsidR="00C3318D">
        <w:t>o</w:t>
      </w:r>
      <w:r w:rsidR="00BE6877">
        <w:t xml:space="preserve">zone NAAQS:  </w:t>
      </w:r>
    </w:p>
    <w:p w:rsidR="00BE6877" w:rsidP="00BE6877" w:rsidRDefault="00BE6877" w14:paraId="5FBD4BFE" w14:textId="7C1944C2">
      <w:pPr>
        <w:ind w:left="360" w:firstLine="360"/>
      </w:pPr>
    </w:p>
    <w:p w:rsidRPr="00820DAA" w:rsidR="00820DAA" w:rsidP="00CE6225" w:rsidRDefault="00D5505B" w14:paraId="725D39D1" w14:textId="1B4587D4">
      <w:pPr>
        <w:numPr>
          <w:ilvl w:val="0"/>
          <w:numId w:val="38"/>
        </w:numPr>
      </w:pPr>
      <w:r w:rsidRPr="00D5505B">
        <w:rPr>
          <w:color w:val="212121"/>
          <w:shd w:val="clear" w:color="auto" w:fill="FFFFFF"/>
        </w:rPr>
        <w:t>Implementation of the 2015 National Ambient Air Quality Standards for Ozone: Nonattainment Area Classifications Approach (</w:t>
      </w:r>
      <w:r w:rsidR="00C3318D">
        <w:rPr>
          <w:color w:val="212121"/>
          <w:shd w:val="clear" w:color="auto" w:fill="FFFFFF"/>
        </w:rPr>
        <w:t xml:space="preserve">83 FR 10376, </w:t>
      </w:r>
      <w:r w:rsidRPr="00D5505B">
        <w:rPr>
          <w:color w:val="212121"/>
          <w:shd w:val="clear" w:color="auto" w:fill="FFFFFF"/>
        </w:rPr>
        <w:t xml:space="preserve">March 9, 2018). </w:t>
      </w:r>
    </w:p>
    <w:p w:rsidRPr="00BE6877" w:rsidR="00BE6877" w:rsidP="00CE6225" w:rsidRDefault="00BE6877" w14:paraId="6D2F9BE3" w14:textId="4276C49F">
      <w:pPr>
        <w:numPr>
          <w:ilvl w:val="0"/>
          <w:numId w:val="38"/>
        </w:numPr>
      </w:pPr>
      <w:r w:rsidRPr="00BE6877">
        <w:t>Implementation of the 2015 National Ambient Air Quality Standards for Ozone: Nonattainment Area State Implementation Plan Requirements (</w:t>
      </w:r>
      <w:r w:rsidR="00C3318D">
        <w:t xml:space="preserve">83 FR 62998 </w:t>
      </w:r>
      <w:r w:rsidRPr="00BE6877">
        <w:t>December 6, 2018)</w:t>
      </w:r>
      <w:r w:rsidR="00C3318D">
        <w:t>.</w:t>
      </w:r>
    </w:p>
    <w:p w:rsidR="005170B7" w:rsidP="0027437A" w:rsidRDefault="005170B7" w14:paraId="629B850F" w14:textId="77777777">
      <w:pPr>
        <w:ind w:left="360" w:firstLine="360"/>
      </w:pPr>
    </w:p>
    <w:p w:rsidR="008B4E7A" w:rsidP="0027437A" w:rsidRDefault="005170B7" w14:paraId="7E434E3F" w14:textId="61222CCB">
      <w:pPr>
        <w:ind w:left="360" w:firstLine="360"/>
      </w:pPr>
      <w:r w:rsidRPr="00FD578D">
        <w:t>EPA</w:t>
      </w:r>
      <w:r w:rsidR="00857833">
        <w:t xml:space="preserve"> </w:t>
      </w:r>
      <w:r w:rsidR="00DC4F5C">
        <w:t>promulgates</w:t>
      </w:r>
      <w:r w:rsidRPr="00FD578D">
        <w:t xml:space="preserve"> </w:t>
      </w:r>
      <w:r>
        <w:t xml:space="preserve">implementation </w:t>
      </w:r>
      <w:r w:rsidRPr="00FD578D">
        <w:t>rule</w:t>
      </w:r>
      <w:r w:rsidR="00857833">
        <w:t>s</w:t>
      </w:r>
      <w:r w:rsidRPr="00FD578D">
        <w:t xml:space="preserve"> so that</w:t>
      </w:r>
      <w:r>
        <w:t xml:space="preserve"> s</w:t>
      </w:r>
      <w:r w:rsidRPr="00FD578D">
        <w:t xml:space="preserve">tates may know </w:t>
      </w:r>
      <w:r w:rsidR="00DC4F5C">
        <w:t>how to interpret</w:t>
      </w:r>
      <w:r w:rsidRPr="00FD578D" w:rsidR="00DC4F5C">
        <w:t xml:space="preserve"> </w:t>
      </w:r>
      <w:r w:rsidRPr="00FD578D">
        <w:t>statutory requirements for purposes of</w:t>
      </w:r>
      <w:r>
        <w:t xml:space="preserve"> </w:t>
      </w:r>
      <w:r w:rsidRPr="00FD578D">
        <w:t xml:space="preserve">developing SIPs </w:t>
      </w:r>
      <w:r>
        <w:t>to</w:t>
      </w:r>
      <w:r w:rsidRPr="00FD578D">
        <w:t xml:space="preserve"> implement th</w:t>
      </w:r>
      <w:r>
        <w:t xml:space="preserve">e </w:t>
      </w:r>
      <w:r w:rsidR="00A0761D">
        <w:t>2015</w:t>
      </w:r>
      <w:r w:rsidRPr="00FD578D">
        <w:t xml:space="preserve"> 8-hour </w:t>
      </w:r>
      <w:r w:rsidR="00DC4F5C">
        <w:t>o</w:t>
      </w:r>
      <w:r w:rsidRPr="00FD578D">
        <w:t xml:space="preserve">zone NAAQS. </w:t>
      </w:r>
      <w:r>
        <w:t xml:space="preserve"> </w:t>
      </w:r>
      <w:r w:rsidRPr="00FD578D">
        <w:t>The intended effect of</w:t>
      </w:r>
      <w:r>
        <w:t xml:space="preserve"> </w:t>
      </w:r>
      <w:r w:rsidRPr="00FD578D">
        <w:t xml:space="preserve">the </w:t>
      </w:r>
      <w:r w:rsidR="00DC4F5C">
        <w:t>SIP Requirements R</w:t>
      </w:r>
      <w:r w:rsidRPr="00FD578D">
        <w:t xml:space="preserve">ule is to provide certainty to </w:t>
      </w:r>
      <w:r>
        <w:t>s</w:t>
      </w:r>
      <w:r w:rsidRPr="00FD578D">
        <w:t>tates regarding their planning</w:t>
      </w:r>
      <w:r>
        <w:t xml:space="preserve"> </w:t>
      </w:r>
      <w:r w:rsidRPr="00FD578D">
        <w:t xml:space="preserve">obligations such that </w:t>
      </w:r>
      <w:r>
        <w:t>s</w:t>
      </w:r>
      <w:r w:rsidRPr="00FD578D">
        <w:t>tates may begin SIP development upon</w:t>
      </w:r>
      <w:r>
        <w:t xml:space="preserve"> </w:t>
      </w:r>
      <w:r w:rsidRPr="00FD578D">
        <w:t>designation and classification of areas for that 8-hour standard</w:t>
      </w:r>
      <w:r w:rsidRPr="00130D7E">
        <w:t xml:space="preserve">. </w:t>
      </w:r>
      <w:r>
        <w:t xml:space="preserve"> </w:t>
      </w:r>
    </w:p>
    <w:p w:rsidRPr="00FD578D" w:rsidR="005170B7" w:rsidP="0027437A" w:rsidRDefault="008B4E7A" w14:paraId="034C8D82" w14:textId="3C4CE744">
      <w:pPr>
        <w:ind w:left="360" w:firstLine="360"/>
      </w:pPr>
      <w:r>
        <w:t xml:space="preserve">Because there are </w:t>
      </w:r>
      <w:r w:rsidR="00541350">
        <w:t xml:space="preserve">now three </w:t>
      </w:r>
      <w:r>
        <w:t xml:space="preserve">different </w:t>
      </w:r>
      <w:r w:rsidR="007C40FE">
        <w:t xml:space="preserve">8-hour ozone </w:t>
      </w:r>
      <w:r>
        <w:t xml:space="preserve">NAAQS currently in effect, with different planning timeframes and attainment dates, it is necessary to track information collection requirements for </w:t>
      </w:r>
      <w:r w:rsidR="00541350">
        <w:t xml:space="preserve">all </w:t>
      </w:r>
      <w:r>
        <w:t xml:space="preserve">NAAQS in parallel.  The burden information presented here consists of estimates for both the </w:t>
      </w:r>
      <w:r w:rsidR="00541350">
        <w:t xml:space="preserve">non-revoked </w:t>
      </w:r>
      <w:r>
        <w:t>2008 and 2015 ozone NAAQS</w:t>
      </w:r>
      <w:r w:rsidR="00541350">
        <w:t xml:space="preserve"> and</w:t>
      </w:r>
      <w:r w:rsidR="00820DAA">
        <w:t xml:space="preserve"> the </w:t>
      </w:r>
      <w:r w:rsidR="00541350">
        <w:t xml:space="preserve">revoked </w:t>
      </w:r>
      <w:r w:rsidR="00820DAA">
        <w:t xml:space="preserve">1997 ozone NAAQS.  The burden </w:t>
      </w:r>
      <w:r w:rsidR="007C40FE">
        <w:t xml:space="preserve">estimates </w:t>
      </w:r>
      <w:r w:rsidR="00820DAA">
        <w:t xml:space="preserve">for </w:t>
      </w:r>
      <w:r w:rsidR="007C40FE">
        <w:t xml:space="preserve">implementing each of </w:t>
      </w:r>
      <w:r w:rsidR="00820DAA">
        <w:t xml:space="preserve">the 3 </w:t>
      </w:r>
      <w:r w:rsidR="007C40FE">
        <w:t xml:space="preserve">8-hour </w:t>
      </w:r>
      <w:r w:rsidR="00820DAA">
        <w:t>ozone NAAQS</w:t>
      </w:r>
      <w:r>
        <w:t xml:space="preserve"> are then combined to determine the total burden for the 3-year period.</w:t>
      </w:r>
    </w:p>
    <w:p w:rsidR="005170B7" w:rsidP="00115BDD" w:rsidRDefault="005170B7" w14:paraId="2ADD6DC6" w14:textId="77777777">
      <w:pPr>
        <w:ind w:left="360"/>
      </w:pPr>
    </w:p>
    <w:p w:rsidR="005170B7" w:rsidP="00115BDD" w:rsidRDefault="005170B7" w14:paraId="0BC90B98" w14:textId="77777777">
      <w:pPr>
        <w:ind w:left="360"/>
      </w:pPr>
      <w:r>
        <w:tab/>
        <w:t>This ICR is developed in response to the implementation framework to fulfill requirements of the Paperwork Reduction Act.</w:t>
      </w:r>
    </w:p>
    <w:p w:rsidR="005170B7" w:rsidP="00115BDD" w:rsidRDefault="005170B7" w14:paraId="3ACE7559" w14:textId="77777777">
      <w:pPr>
        <w:ind w:left="360"/>
      </w:pPr>
    </w:p>
    <w:p w:rsidR="005170B7" w:rsidP="00115BDD" w:rsidRDefault="005170B7" w14:paraId="1D78BAD7" w14:textId="77777777">
      <w:pPr>
        <w:ind w:left="360"/>
        <w:rPr>
          <w:b/>
        </w:rPr>
      </w:pPr>
      <w:r>
        <w:rPr>
          <w:b/>
        </w:rPr>
        <w:t>2(b)</w:t>
      </w:r>
      <w:r>
        <w:rPr>
          <w:b/>
        </w:rPr>
        <w:tab/>
        <w:t>User/Users of the Data</w:t>
      </w:r>
      <w:r>
        <w:rPr>
          <w:rStyle w:val="FootnoteReference"/>
          <w:b/>
        </w:rPr>
        <w:footnoteReference w:id="2"/>
      </w:r>
      <w:r>
        <w:rPr>
          <w:b/>
        </w:rPr>
        <w:t xml:space="preserve"> </w:t>
      </w:r>
    </w:p>
    <w:p w:rsidR="005170B7" w:rsidP="00115BDD" w:rsidRDefault="005170B7" w14:paraId="3BA485F9" w14:textId="77777777">
      <w:pPr>
        <w:ind w:left="360"/>
        <w:rPr>
          <w:b/>
        </w:rPr>
      </w:pPr>
    </w:p>
    <w:p w:rsidR="005170B7" w:rsidP="00115BDD" w:rsidRDefault="005170B7" w14:paraId="31B48051" w14:textId="6DCD547B">
      <w:pPr>
        <w:ind w:left="360"/>
      </w:pPr>
      <w:r>
        <w:rPr>
          <w:b/>
        </w:rPr>
        <w:tab/>
      </w:r>
      <w:r w:rsidR="00FD7725">
        <w:t>The EPA and the public use the data collected from respondents to judge the adequacy of SIPs to meet the statutory purposes of attain</w:t>
      </w:r>
      <w:r w:rsidR="003A7DED">
        <w:t>ing</w:t>
      </w:r>
      <w:r w:rsidR="00FD7725">
        <w:t xml:space="preserve"> and maintaining the NAAQS.  In particular, EPA must approve or disapprove, through notice-and-comment rulemaking, state plan submittals. Accordingly, the </w:t>
      </w:r>
      <w:r>
        <w:t xml:space="preserve">data collected from respondents include </w:t>
      </w:r>
      <w:r w:rsidR="003A7DED">
        <w:t xml:space="preserve">modeled </w:t>
      </w:r>
      <w:r>
        <w:t>attainment demonstrations, RFP SIP submissions, and RACT SIP submissions.  The attainment demonstration indicate</w:t>
      </w:r>
      <w:r w:rsidR="00075E7C">
        <w:t>s</w:t>
      </w:r>
      <w:r>
        <w:t xml:space="preserve"> what emission</w:t>
      </w:r>
      <w:r w:rsidR="003A7DED">
        <w:t>s</w:t>
      </w:r>
      <w:r>
        <w:t xml:space="preserve"> reductions are necessary to attain and maintain the 8-hour </w:t>
      </w:r>
      <w:r w:rsidR="003A7DED">
        <w:t>o</w:t>
      </w:r>
      <w:r>
        <w:t xml:space="preserve">zone NAAQS.  The RFP SIP describes how the RFP obligation will be met by the affected nonattainment areas </w:t>
      </w:r>
      <w:r>
        <w:lastRenderedPageBreak/>
        <w:t>as emission reductions are phased in over time.  The RACT SIP identifies the assessment of present controls on affected sources of emissions to see if they meet RACT requirements</w:t>
      </w:r>
      <w:r w:rsidR="00075E7C">
        <w:t>,</w:t>
      </w:r>
      <w:r>
        <w:t xml:space="preserve"> and </w:t>
      </w:r>
      <w:r w:rsidR="00075E7C">
        <w:t xml:space="preserve">it </w:t>
      </w:r>
      <w:r>
        <w:t>identifies where additional measures and emission</w:t>
      </w:r>
      <w:r w:rsidR="00075E7C">
        <w:t>s</w:t>
      </w:r>
      <w:r>
        <w:t xml:space="preserve"> reduction</w:t>
      </w:r>
      <w:r w:rsidR="00075E7C">
        <w:t>s</w:t>
      </w:r>
      <w:r>
        <w:t xml:space="preserve"> are required.  The RACT requirements can be used to meet RFP requirements; the RACT and RFP requirements can also be used to satisfy the emission reduction requirements to attain and maintain the 8-hour </w:t>
      </w:r>
      <w:r w:rsidR="00075E7C">
        <w:t>o</w:t>
      </w:r>
      <w:r>
        <w:t>zone NAAQS.  The similarities between the RACT and RFP requirements may be reflected in the attainment demonstration.</w:t>
      </w:r>
    </w:p>
    <w:p w:rsidR="008370DB" w:rsidP="00115BDD" w:rsidRDefault="008370DB" w14:paraId="5D01EE5D" w14:textId="2E223EF4">
      <w:pPr>
        <w:ind w:left="360"/>
      </w:pPr>
    </w:p>
    <w:p w:rsidR="008370DB" w:rsidP="00C95EB7" w:rsidRDefault="00075E7C" w14:paraId="72D5CFF5" w14:textId="792EF295">
      <w:pPr>
        <w:ind w:left="360" w:firstLine="360"/>
      </w:pPr>
      <w:r>
        <w:t>R</w:t>
      </w:r>
      <w:r w:rsidR="008370DB">
        <w:t xml:space="preserve">egional and headquarters EPA </w:t>
      </w:r>
      <w:r>
        <w:t xml:space="preserve">offices </w:t>
      </w:r>
      <w:r w:rsidR="008370DB">
        <w:t>use the information as part of their review of attainment demonstration</w:t>
      </w:r>
      <w:r w:rsidR="00FA1815">
        <w:t>s</w:t>
      </w:r>
      <w:r w:rsidR="008370DB">
        <w:t>, RFP SIP</w:t>
      </w:r>
      <w:r w:rsidR="00FA1815">
        <w:t>s</w:t>
      </w:r>
      <w:r w:rsidR="008370DB">
        <w:t>, and RACT SIP</w:t>
      </w:r>
      <w:r w:rsidR="00FA1815">
        <w:t>s</w:t>
      </w:r>
      <w:r w:rsidR="008370DB">
        <w:t xml:space="preserve"> </w:t>
      </w:r>
      <w:r w:rsidR="00FA1815">
        <w:t xml:space="preserve">to determine their </w:t>
      </w:r>
      <w:r w:rsidR="008370DB">
        <w:t xml:space="preserve">adequacy.   Emission reducing regulations developed by the states and approved by the EPA are federally enforceable.   </w:t>
      </w:r>
    </w:p>
    <w:p w:rsidR="005170B7" w:rsidP="00115BDD" w:rsidRDefault="005170B7" w14:paraId="74AB7B9D" w14:textId="77777777">
      <w:pPr>
        <w:ind w:left="360"/>
      </w:pPr>
    </w:p>
    <w:p w:rsidR="005170B7" w:rsidP="00115BDD" w:rsidRDefault="005170B7" w14:paraId="71B22E38" w14:textId="29CFA11B">
      <w:pPr>
        <w:ind w:left="360"/>
      </w:pPr>
      <w:r>
        <w:tab/>
      </w:r>
      <w:r w:rsidR="00FA1815">
        <w:t>S</w:t>
      </w:r>
      <w:r>
        <w:t>tates use the attainment demonstrations, RFP SIP submissions, and RACT SIP submissions to inform their citizenry, including potentially regulated entities</w:t>
      </w:r>
      <w:r w:rsidR="00FA1815">
        <w:t>, of the control strategy to bring an area into attainment</w:t>
      </w:r>
      <w:r>
        <w:t xml:space="preserve">.  They also use this information and analysis to fulfill federal obligations under Title I, </w:t>
      </w:r>
      <w:r w:rsidR="00FA1815">
        <w:t>s</w:t>
      </w:r>
      <w:r>
        <w:t xml:space="preserve">ubpart D of the </w:t>
      </w:r>
      <w:r w:rsidR="00FA1815">
        <w:t>CAA</w:t>
      </w:r>
      <w:r>
        <w:t xml:space="preserve"> and </w:t>
      </w:r>
      <w:r w:rsidR="00FA1815">
        <w:t xml:space="preserve">EPA’s </w:t>
      </w:r>
      <w:r w:rsidR="00FD7725">
        <w:t xml:space="preserve">associated </w:t>
      </w:r>
      <w:r w:rsidR="003D6772">
        <w:t>implementation rule</w:t>
      </w:r>
      <w:r w:rsidR="00FD7725">
        <w:t>s.</w:t>
      </w:r>
      <w:r w:rsidR="003D6772">
        <w:t xml:space="preserve"> </w:t>
      </w:r>
    </w:p>
    <w:p w:rsidR="005170B7" w:rsidP="00115BDD" w:rsidRDefault="005170B7" w14:paraId="5BA401AB" w14:textId="77777777">
      <w:pPr>
        <w:ind w:left="360"/>
      </w:pPr>
    </w:p>
    <w:p w:rsidR="005170B7" w:rsidP="00115BDD" w:rsidRDefault="005170B7" w14:paraId="3DE0E98B" w14:textId="0F6618C6">
      <w:pPr>
        <w:ind w:left="360"/>
      </w:pPr>
      <w:r>
        <w:tab/>
        <w:t>The potentially regulated entities use this information in assessing future emission reduction requirements</w:t>
      </w:r>
      <w:r w:rsidR="00FA1815">
        <w:t xml:space="preserve"> and control measures</w:t>
      </w:r>
      <w:r>
        <w:t>.</w:t>
      </w:r>
    </w:p>
    <w:p w:rsidR="005170B7" w:rsidP="00115BDD" w:rsidRDefault="005170B7" w14:paraId="786C4CF7" w14:textId="77777777">
      <w:pPr>
        <w:ind w:left="360"/>
      </w:pPr>
    </w:p>
    <w:p w:rsidR="005170B7" w:rsidP="00115BDD" w:rsidRDefault="005170B7" w14:paraId="70F44AFD" w14:textId="77777777">
      <w:pPr>
        <w:numPr>
          <w:ilvl w:val="0"/>
          <w:numId w:val="4"/>
        </w:numPr>
        <w:rPr>
          <w:b/>
          <w:sz w:val="28"/>
          <w:szCs w:val="28"/>
        </w:rPr>
      </w:pPr>
      <w:r>
        <w:rPr>
          <w:b/>
          <w:sz w:val="28"/>
          <w:szCs w:val="28"/>
        </w:rPr>
        <w:t>Non-Duplication, Consultations, and Other Collection Criteria</w:t>
      </w:r>
    </w:p>
    <w:p w:rsidR="005170B7" w:rsidP="00115BDD" w:rsidRDefault="005170B7" w14:paraId="66EDB94E" w14:textId="77777777">
      <w:pPr>
        <w:ind w:left="360"/>
      </w:pPr>
    </w:p>
    <w:p w:rsidR="005170B7" w:rsidP="00115BDD" w:rsidRDefault="005170B7" w14:paraId="48EAC6AB" w14:textId="77777777">
      <w:pPr>
        <w:ind w:left="360"/>
        <w:rPr>
          <w:b/>
        </w:rPr>
      </w:pPr>
      <w:r>
        <w:rPr>
          <w:b/>
        </w:rPr>
        <w:t>3(a)</w:t>
      </w:r>
      <w:r>
        <w:rPr>
          <w:b/>
        </w:rPr>
        <w:tab/>
        <w:t>Non-Duplication</w:t>
      </w:r>
    </w:p>
    <w:p w:rsidR="005170B7" w:rsidP="00115BDD" w:rsidRDefault="005170B7" w14:paraId="71D46616" w14:textId="77777777">
      <w:pPr>
        <w:ind w:left="360"/>
        <w:rPr>
          <w:b/>
        </w:rPr>
      </w:pPr>
    </w:p>
    <w:p w:rsidR="005170B7" w:rsidP="00115BDD" w:rsidRDefault="005170B7" w14:paraId="7C5D3D45" w14:textId="6511D604">
      <w:pPr>
        <w:ind w:left="360"/>
      </w:pPr>
      <w:r>
        <w:rPr>
          <w:b/>
        </w:rPr>
        <w:tab/>
      </w:r>
      <w:r>
        <w:t xml:space="preserve">There are three </w:t>
      </w:r>
      <w:r w:rsidR="00500AF9">
        <w:t xml:space="preserve">primary requirements that apply to nonattainment areas for the 2008 ozone NAAQS and 2015 </w:t>
      </w:r>
      <w:r w:rsidR="00965D4C">
        <w:t>o</w:t>
      </w:r>
      <w:r w:rsidR="00500AF9">
        <w:t xml:space="preserve">zone NAAQS </w:t>
      </w:r>
      <w:r w:rsidR="009E15F8">
        <w:t xml:space="preserve">for which </w:t>
      </w:r>
      <w:r w:rsidR="00500AF9">
        <w:t xml:space="preserve">this proposed </w:t>
      </w:r>
      <w:r>
        <w:t>ICR</w:t>
      </w:r>
      <w:r w:rsidR="00500AF9">
        <w:t xml:space="preserve"> renewal</w:t>
      </w:r>
      <w:r w:rsidR="009E15F8">
        <w:t xml:space="preserve"> estimates the information collection burden</w:t>
      </w:r>
      <w:r>
        <w:t>: the attainment demonstration, the RFP SIP submission, and the RACT SIP submission.</w:t>
      </w:r>
      <w:r w:rsidR="00471827">
        <w:t xml:space="preserve"> Another small part is the second maintenance plan </w:t>
      </w:r>
      <w:r w:rsidR="00122DF3">
        <w:t>SIP revisions</w:t>
      </w:r>
      <w:r w:rsidR="00471827">
        <w:t xml:space="preserve"> for a small number of areas subject to ongoing requirements to implement the revoked 1997 ozone NAAQS</w:t>
      </w:r>
      <w:r w:rsidR="00C95EB7">
        <w:t xml:space="preserve"> and/or the 2008 ozone NAAQS</w:t>
      </w:r>
      <w:r w:rsidR="00471827">
        <w:t>.</w:t>
      </w:r>
    </w:p>
    <w:p w:rsidR="005170B7" w:rsidP="00115BDD" w:rsidRDefault="005170B7" w14:paraId="200473D5" w14:textId="77777777">
      <w:pPr>
        <w:ind w:left="360"/>
      </w:pPr>
    </w:p>
    <w:p w:rsidR="005170B7" w:rsidP="00115BDD" w:rsidRDefault="005170B7" w14:paraId="65DC7E47" w14:textId="33401656">
      <w:pPr>
        <w:ind w:left="360"/>
      </w:pPr>
      <w:r>
        <w:tab/>
      </w:r>
      <w:bookmarkStart w:name="_Hlk17888535" w:id="2"/>
      <w:r>
        <w:t xml:space="preserve">There are other activities covered by </w:t>
      </w:r>
      <w:r w:rsidR="00352AED">
        <w:t>separate</w:t>
      </w:r>
      <w:r w:rsidR="009E15F8">
        <w:t>,</w:t>
      </w:r>
      <w:r w:rsidR="00352AED">
        <w:t xml:space="preserve"> </w:t>
      </w:r>
      <w:r>
        <w:t xml:space="preserve">existing ICRs which complement the activities required for the attainment demonstration, RFP SIP submission, and RACT SIP submission.  One example is the </w:t>
      </w:r>
      <w:r w:rsidRPr="00323DE4" w:rsidR="00323DE4">
        <w:t>Air Emissions Reporting Rule (AERR)</w:t>
      </w:r>
      <w:r>
        <w:t xml:space="preserve">.  </w:t>
      </w:r>
      <w:bookmarkEnd w:id="2"/>
      <w:r>
        <w:t xml:space="preserve">Salient ICRs and their titles are identified below.     </w:t>
      </w:r>
    </w:p>
    <w:p w:rsidR="005170B7" w:rsidP="00115BDD" w:rsidRDefault="005170B7" w14:paraId="56E56A12" w14:textId="77777777">
      <w:pPr>
        <w:ind w:left="360"/>
      </w:pPr>
    </w:p>
    <w:p w:rsidR="005170B7" w:rsidP="00115BDD" w:rsidRDefault="005170B7" w14:paraId="3A230D2E" w14:textId="77777777">
      <w:pPr>
        <w:numPr>
          <w:ilvl w:val="0"/>
          <w:numId w:val="18"/>
        </w:numPr>
      </w:pPr>
      <w:r>
        <w:t>Requirements for Preparation, Adoption, and Submittal of Implementation Plans</w:t>
      </w:r>
    </w:p>
    <w:p w:rsidR="005170B7" w:rsidP="00115BDD" w:rsidRDefault="005170B7" w14:paraId="6DBD72FA" w14:textId="77777777">
      <w:pPr>
        <w:numPr>
          <w:ilvl w:val="1"/>
          <w:numId w:val="18"/>
        </w:numPr>
      </w:pPr>
      <w:r>
        <w:t>51.121-51.122  NOx SIP Call……………………………..2060-0445</w:t>
      </w:r>
    </w:p>
    <w:p w:rsidR="005170B7" w:rsidP="00115BDD" w:rsidRDefault="005170B7" w14:paraId="17F0D5C9" w14:textId="77777777">
      <w:pPr>
        <w:numPr>
          <w:ilvl w:val="1"/>
          <w:numId w:val="18"/>
        </w:numPr>
      </w:pPr>
      <w:r>
        <w:t>51.160-51.166  New Source Review.......................………2060-0003</w:t>
      </w:r>
    </w:p>
    <w:p w:rsidR="005170B7" w:rsidP="00115BDD" w:rsidRDefault="005170B7" w14:paraId="0D464854" w14:textId="77777777">
      <w:pPr>
        <w:numPr>
          <w:ilvl w:val="1"/>
          <w:numId w:val="18"/>
        </w:numPr>
      </w:pPr>
      <w:r>
        <w:t>51.321-51.323  Air Quality Data Reporting………………2060-0088</w:t>
      </w:r>
    </w:p>
    <w:p w:rsidR="005170B7" w:rsidP="00115BDD" w:rsidRDefault="005170B7" w14:paraId="5C517CDB" w14:textId="1F29B6E7">
      <w:pPr>
        <w:numPr>
          <w:ilvl w:val="1"/>
          <w:numId w:val="18"/>
        </w:numPr>
      </w:pPr>
      <w:r>
        <w:lastRenderedPageBreak/>
        <w:t xml:space="preserve">51.353-51.354  </w:t>
      </w:r>
      <w:r w:rsidR="00990A77">
        <w:t xml:space="preserve">Vehicle </w:t>
      </w:r>
      <w:r>
        <w:t>Inspection/Maintenance………….2060-0252</w:t>
      </w:r>
    </w:p>
    <w:p w:rsidR="005170B7" w:rsidP="00115BDD" w:rsidRDefault="005170B7" w14:paraId="3D2FBC32" w14:textId="1E5A88B9">
      <w:pPr>
        <w:numPr>
          <w:ilvl w:val="1"/>
          <w:numId w:val="18"/>
        </w:numPr>
      </w:pPr>
      <w:r>
        <w:t xml:space="preserve">51.365-51.366  </w:t>
      </w:r>
      <w:r w:rsidR="00990A77">
        <w:t xml:space="preserve">Vehicle </w:t>
      </w:r>
      <w:r>
        <w:t>Inspection/Maintenance………….2060-0252</w:t>
      </w:r>
    </w:p>
    <w:p w:rsidR="005170B7" w:rsidP="00115BDD" w:rsidRDefault="005170B7" w14:paraId="1F0BCA89" w14:textId="77777777">
      <w:pPr>
        <w:numPr>
          <w:ilvl w:val="0"/>
          <w:numId w:val="18"/>
        </w:numPr>
      </w:pPr>
      <w:r>
        <w:t>Ambient Air Monitoring Reference and Equivalent Methods</w:t>
      </w:r>
    </w:p>
    <w:p w:rsidR="005170B7" w:rsidP="00115BDD" w:rsidRDefault="005170B7" w14:paraId="2265AA36" w14:textId="77777777">
      <w:pPr>
        <w:numPr>
          <w:ilvl w:val="1"/>
          <w:numId w:val="18"/>
        </w:numPr>
      </w:pPr>
      <w:r>
        <w:t>53.4 ………………………………………………………..2080-0005</w:t>
      </w:r>
    </w:p>
    <w:p w:rsidR="005170B7" w:rsidP="00115BDD" w:rsidRDefault="005170B7" w14:paraId="313F9530" w14:textId="77777777">
      <w:pPr>
        <w:numPr>
          <w:ilvl w:val="1"/>
          <w:numId w:val="18"/>
        </w:numPr>
      </w:pPr>
      <w:r>
        <w:t>53.9(f),(h),(</w:t>
      </w:r>
      <w:proofErr w:type="spellStart"/>
      <w:r>
        <w:t>i</w:t>
      </w:r>
      <w:proofErr w:type="spellEnd"/>
      <w:r>
        <w:t>)……………………………………………….2080-0005</w:t>
      </w:r>
    </w:p>
    <w:p w:rsidR="005170B7" w:rsidP="00115BDD" w:rsidRDefault="005170B7" w14:paraId="6F4B156C" w14:textId="77777777">
      <w:pPr>
        <w:numPr>
          <w:ilvl w:val="1"/>
          <w:numId w:val="18"/>
        </w:numPr>
      </w:pPr>
      <w:r>
        <w:t>53.14……………………………………………………….2080-0005</w:t>
      </w:r>
    </w:p>
    <w:p w:rsidR="005170B7" w:rsidP="00115BDD" w:rsidRDefault="005170B7" w14:paraId="2E81B8E9" w14:textId="77777777">
      <w:pPr>
        <w:numPr>
          <w:ilvl w:val="1"/>
          <w:numId w:val="18"/>
        </w:numPr>
      </w:pPr>
      <w:r>
        <w:t>53.15 ………………………………………………………2080-0005</w:t>
      </w:r>
    </w:p>
    <w:p w:rsidR="005170B7" w:rsidP="00115BDD" w:rsidRDefault="005170B7" w14:paraId="419F930B" w14:textId="77777777">
      <w:pPr>
        <w:numPr>
          <w:ilvl w:val="1"/>
          <w:numId w:val="18"/>
        </w:numPr>
      </w:pPr>
      <w:r>
        <w:t>53.16(a)-(d),(f)……………………………………………..2080-0005</w:t>
      </w:r>
    </w:p>
    <w:p w:rsidR="005170B7" w:rsidP="00115BDD" w:rsidRDefault="005170B7" w14:paraId="21D8E304" w14:textId="77777777">
      <w:pPr>
        <w:numPr>
          <w:ilvl w:val="0"/>
          <w:numId w:val="18"/>
        </w:numPr>
      </w:pPr>
      <w:r>
        <w:t>Outer Continental Shelf Air Regulations</w:t>
      </w:r>
    </w:p>
    <w:p w:rsidR="005170B7" w:rsidP="00115BDD" w:rsidRDefault="005170B7" w14:paraId="1889D803" w14:textId="77777777">
      <w:pPr>
        <w:numPr>
          <w:ilvl w:val="1"/>
          <w:numId w:val="18"/>
        </w:numPr>
      </w:pPr>
      <w:r>
        <w:t>55.4-55.8 …………………………………………………..2060-0249</w:t>
      </w:r>
    </w:p>
    <w:p w:rsidR="005170B7" w:rsidP="00115BDD" w:rsidRDefault="005170B7" w14:paraId="7B30B078" w14:textId="77777777">
      <w:pPr>
        <w:numPr>
          <w:ilvl w:val="1"/>
          <w:numId w:val="18"/>
        </w:numPr>
      </w:pPr>
      <w:r>
        <w:t>55.11-55.14 ………………………………………………..2060-0249</w:t>
      </w:r>
    </w:p>
    <w:p w:rsidR="005170B7" w:rsidP="00115BDD" w:rsidRDefault="005170B7" w14:paraId="15EEF371" w14:textId="77777777">
      <w:pPr>
        <w:numPr>
          <w:ilvl w:val="0"/>
          <w:numId w:val="18"/>
        </w:numPr>
      </w:pPr>
      <w:r>
        <w:t>Ambient Air Quality Surveillance</w:t>
      </w:r>
    </w:p>
    <w:p w:rsidR="005170B7" w:rsidP="00115BDD" w:rsidRDefault="005170B7" w14:paraId="0AFDF5AB" w14:textId="77777777">
      <w:pPr>
        <w:numPr>
          <w:ilvl w:val="1"/>
          <w:numId w:val="18"/>
        </w:numPr>
      </w:pPr>
      <w:r>
        <w:t>58.11-58.14 ………………………………………………..2060-0084</w:t>
      </w:r>
    </w:p>
    <w:p w:rsidR="005170B7" w:rsidP="00115BDD" w:rsidRDefault="005170B7" w14:paraId="4BC65CC3" w14:textId="77777777">
      <w:pPr>
        <w:numPr>
          <w:ilvl w:val="1"/>
          <w:numId w:val="18"/>
        </w:numPr>
      </w:pPr>
      <w:r>
        <w:t>58.20-58.23 ………………………………………………..2060-0084</w:t>
      </w:r>
    </w:p>
    <w:p w:rsidR="005170B7" w:rsidP="00115BDD" w:rsidRDefault="005170B7" w14:paraId="13E19529" w14:textId="77777777">
      <w:pPr>
        <w:numPr>
          <w:ilvl w:val="1"/>
          <w:numId w:val="18"/>
        </w:numPr>
      </w:pPr>
      <w:r>
        <w:t>58.25-58.28 ………………………………………………..2060-0084</w:t>
      </w:r>
    </w:p>
    <w:p w:rsidR="005170B7" w:rsidP="00115BDD" w:rsidRDefault="005170B7" w14:paraId="50240416" w14:textId="77777777">
      <w:pPr>
        <w:numPr>
          <w:ilvl w:val="1"/>
          <w:numId w:val="18"/>
        </w:numPr>
      </w:pPr>
      <w:r>
        <w:t>58.30-58.31 ………………………………………………..2060-0084</w:t>
      </w:r>
    </w:p>
    <w:p w:rsidR="005170B7" w:rsidP="00115BDD" w:rsidRDefault="005170B7" w14:paraId="10BD90B1" w14:textId="77777777">
      <w:pPr>
        <w:numPr>
          <w:ilvl w:val="1"/>
          <w:numId w:val="18"/>
        </w:numPr>
      </w:pPr>
      <w:r>
        <w:t>58.33 ……………………………………………………….2060-0084</w:t>
      </w:r>
    </w:p>
    <w:p w:rsidR="005170B7" w:rsidP="00115BDD" w:rsidRDefault="005170B7" w14:paraId="5364A1D4" w14:textId="77777777">
      <w:pPr>
        <w:numPr>
          <w:ilvl w:val="1"/>
          <w:numId w:val="18"/>
        </w:numPr>
      </w:pPr>
      <w:r>
        <w:t>58.35 ……………………………………………………….2060-0084</w:t>
      </w:r>
    </w:p>
    <w:p w:rsidR="005170B7" w:rsidP="00115BDD" w:rsidRDefault="005170B7" w14:paraId="56A11F73" w14:textId="77777777">
      <w:pPr>
        <w:numPr>
          <w:ilvl w:val="1"/>
          <w:numId w:val="18"/>
        </w:numPr>
      </w:pPr>
      <w:r>
        <w:t>58.40-58.41 ………………………………………………...2060-0084</w:t>
      </w:r>
    </w:p>
    <w:p w:rsidR="005170B7" w:rsidP="00115BDD" w:rsidRDefault="005170B7" w14:paraId="7E406C05" w14:textId="77777777">
      <w:pPr>
        <w:numPr>
          <w:ilvl w:val="1"/>
          <w:numId w:val="18"/>
        </w:numPr>
      </w:pPr>
      <w:r>
        <w:t>58.43 ……………………………………………………….2060-0084</w:t>
      </w:r>
    </w:p>
    <w:p w:rsidR="005170B7" w:rsidP="00115BDD" w:rsidRDefault="005170B7" w14:paraId="087CF594" w14:textId="77777777">
      <w:pPr>
        <w:numPr>
          <w:ilvl w:val="1"/>
          <w:numId w:val="18"/>
        </w:numPr>
      </w:pPr>
      <w:r>
        <w:t>58.45 ……………………………………………………….2060-0084</w:t>
      </w:r>
    </w:p>
    <w:p w:rsidR="005170B7" w:rsidP="00115BDD" w:rsidRDefault="005170B7" w14:paraId="3CE5E8B0" w14:textId="08CFBF3A">
      <w:pPr>
        <w:numPr>
          <w:ilvl w:val="1"/>
          <w:numId w:val="18"/>
        </w:numPr>
      </w:pPr>
      <w:r>
        <w:t>58.50 ……………………………………………………….2060-0084</w:t>
      </w:r>
    </w:p>
    <w:p w:rsidR="00AB5B16" w:rsidP="00AB5B16" w:rsidRDefault="00AB5B16" w14:paraId="24C05DAE" w14:textId="77777777">
      <w:pPr>
        <w:numPr>
          <w:ilvl w:val="0"/>
          <w:numId w:val="18"/>
        </w:numPr>
      </w:pPr>
      <w:r w:rsidRPr="00AB5B16">
        <w:t xml:space="preserve">Air Emissions Reporting Requirements (AERR) </w:t>
      </w:r>
    </w:p>
    <w:p w:rsidR="000C0CFD" w:rsidP="00AB5B16" w:rsidRDefault="00AB5B16" w14:paraId="24E7BB43" w14:textId="7F5ACBA6">
      <w:pPr>
        <w:numPr>
          <w:ilvl w:val="1"/>
          <w:numId w:val="18"/>
        </w:numPr>
      </w:pPr>
      <w:r w:rsidRPr="00AB5B16">
        <w:t>ICR 2170.07</w:t>
      </w:r>
      <w:r>
        <w:t>……………………………………………….</w:t>
      </w:r>
      <w:r w:rsidRPr="0005179D" w:rsidR="0005179D">
        <w:t>2060-0580</w:t>
      </w:r>
    </w:p>
    <w:p w:rsidR="005170B7" w:rsidP="00115BDD" w:rsidRDefault="005170B7" w14:paraId="5B1C6B12" w14:textId="77777777">
      <w:pPr>
        <w:numPr>
          <w:ilvl w:val="0"/>
          <w:numId w:val="18"/>
        </w:numPr>
      </w:pPr>
      <w:r>
        <w:t>Determining Conformity of Federal Actions to State or Federal Implementation Plans</w:t>
      </w:r>
    </w:p>
    <w:p w:rsidR="005170B7" w:rsidP="00115BDD" w:rsidRDefault="005170B7" w14:paraId="6C448826" w14:textId="7411C466">
      <w:pPr>
        <w:numPr>
          <w:ilvl w:val="1"/>
          <w:numId w:val="18"/>
        </w:numPr>
      </w:pPr>
      <w:r>
        <w:t>91.150-93.160 ……………………………………………....2060-0279</w:t>
      </w:r>
    </w:p>
    <w:p w:rsidR="00145BBD" w:rsidP="00145BBD" w:rsidRDefault="00145BBD" w14:paraId="3E07EE93" w14:textId="77777777">
      <w:pPr>
        <w:numPr>
          <w:ilvl w:val="0"/>
          <w:numId w:val="18"/>
        </w:numPr>
      </w:pPr>
      <w:r>
        <w:t>Transportation Conformity Determinations for Federally Funded and Approved Transportation Plans, Programs, and Projects</w:t>
      </w:r>
    </w:p>
    <w:p w:rsidR="001C4FB7" w:rsidP="00145BBD" w:rsidRDefault="00145BBD" w14:paraId="68A87A8F" w14:textId="73DEA25C">
      <w:pPr>
        <w:numPr>
          <w:ilvl w:val="1"/>
          <w:numId w:val="18"/>
        </w:numPr>
      </w:pPr>
      <w:r>
        <w:t xml:space="preserve">ICR 2130.06 </w:t>
      </w:r>
      <w:r w:rsidR="00824AD7">
        <w:t>………………………………………………</w:t>
      </w:r>
      <w:r w:rsidRPr="00F14C03">
        <w:t>2060-0561</w:t>
      </w:r>
    </w:p>
    <w:p w:rsidR="005170B7" w:rsidP="00DE4E66" w:rsidRDefault="005170B7" w14:paraId="3A7FD3A6" w14:textId="170CCDC0">
      <w:pPr>
        <w:ind w:left="1080"/>
      </w:pPr>
    </w:p>
    <w:p w:rsidR="005170B7" w:rsidP="00130D7E" w:rsidRDefault="005170B7" w14:paraId="54E7571A" w14:textId="4C187122">
      <w:pPr>
        <w:ind w:left="360"/>
      </w:pPr>
      <w:r>
        <w:rPr>
          <w:color w:val="FF0000"/>
        </w:rPr>
        <w:tab/>
      </w:r>
      <w:r>
        <w:rPr>
          <w:b/>
        </w:rPr>
        <w:t xml:space="preserve">Attainment Demonstration.  </w:t>
      </w:r>
      <w:r>
        <w:t xml:space="preserve"> The attainment demonstration requirement would appear as revisions to 40 CFR 51.</w:t>
      </w:r>
      <w:r w:rsidR="00FC4E1D">
        <w:t>1108 and 51.</w:t>
      </w:r>
      <w:r w:rsidR="00590A5E">
        <w:t>1</w:t>
      </w:r>
      <w:r w:rsidR="00824AD7">
        <w:t>3</w:t>
      </w:r>
      <w:r w:rsidR="00E447F0">
        <w:t>08</w:t>
      </w:r>
      <w:r>
        <w:t xml:space="preserve">, which implements CAA subsections 172(c)(1), 182(b)(1)(A), and 182(c)(2)(B).  The attainment demonstration for the </w:t>
      </w:r>
      <w:r w:rsidR="00A0761D">
        <w:t>2015</w:t>
      </w:r>
      <w:r>
        <w:t xml:space="preserve"> 8-hour </w:t>
      </w:r>
      <w:r w:rsidR="00FC4E1D">
        <w:t>o</w:t>
      </w:r>
      <w:r>
        <w:t xml:space="preserve">zone NAAQS is unique and does not </w:t>
      </w:r>
      <w:r w:rsidR="008D3810">
        <w:t xml:space="preserve">directly </w:t>
      </w:r>
      <w:r>
        <w:t xml:space="preserve">duplicate other implementation plan requirements.  However, the states </w:t>
      </w:r>
      <w:r w:rsidR="00C058BA">
        <w:t xml:space="preserve">typically </w:t>
      </w:r>
      <w:r w:rsidR="0049041F">
        <w:t xml:space="preserve">(and </w:t>
      </w:r>
      <w:r>
        <w:t>are encouraged to</w:t>
      </w:r>
      <w:r w:rsidR="0049041F">
        <w:t>)</w:t>
      </w:r>
      <w:r>
        <w:t xml:space="preserve"> build upon related implementation planning processes they used for </w:t>
      </w:r>
      <w:r w:rsidRPr="00130D7E">
        <w:t xml:space="preserve">the </w:t>
      </w:r>
      <w:r w:rsidR="00E447F0">
        <w:t xml:space="preserve">2008 and </w:t>
      </w:r>
      <w:r>
        <w:t xml:space="preserve">1997 </w:t>
      </w:r>
      <w:r w:rsidRPr="00130D7E">
        <w:t>8-hour ozone attainment NAAQS demonstration</w:t>
      </w:r>
      <w:r w:rsidR="00E447F0">
        <w:t>s</w:t>
      </w:r>
      <w:r w:rsidRPr="00130D7E">
        <w:t>, the 1-hour</w:t>
      </w:r>
      <w:r>
        <w:t xml:space="preserve"> </w:t>
      </w:r>
      <w:r w:rsidR="00FC4E1D">
        <w:t>o</w:t>
      </w:r>
      <w:r>
        <w:t xml:space="preserve">zone NAAQS, </w:t>
      </w:r>
      <w:r w:rsidR="00DF7B99">
        <w:t>R</w:t>
      </w:r>
      <w:r>
        <w:t xml:space="preserve">egional </w:t>
      </w:r>
      <w:r w:rsidR="00DF7B99">
        <w:t>H</w:t>
      </w:r>
      <w:r>
        <w:t xml:space="preserve">aze rule, and/or </w:t>
      </w:r>
      <w:r w:rsidR="00FC4E1D">
        <w:t>fine particulate matter (PM</w:t>
      </w:r>
      <w:r w:rsidRPr="00350ACA" w:rsidR="00FC4E1D">
        <w:rPr>
          <w:vertAlign w:val="subscript"/>
        </w:rPr>
        <w:t>2.5</w:t>
      </w:r>
      <w:r w:rsidR="00FC4E1D">
        <w:t xml:space="preserve">) </w:t>
      </w:r>
      <w:r>
        <w:t>NAAQS.  Taking such steps, where appropriate, may reduce the incremental administrative burden and enable identification of control strategies that achieve requisite multi-pollutant environmental progress at a lower cost.</w:t>
      </w:r>
    </w:p>
    <w:p w:rsidR="005170B7" w:rsidP="00115BDD" w:rsidRDefault="005170B7" w14:paraId="4A056B71" w14:textId="77777777">
      <w:pPr>
        <w:ind w:left="360"/>
      </w:pPr>
    </w:p>
    <w:p w:rsidR="005170B7" w:rsidP="00115BDD" w:rsidRDefault="005170B7" w14:paraId="4CF7B693" w14:textId="28B6FEE8">
      <w:pPr>
        <w:ind w:left="360"/>
      </w:pPr>
      <w:r>
        <w:tab/>
      </w:r>
      <w:r>
        <w:rPr>
          <w:b/>
        </w:rPr>
        <w:t xml:space="preserve">RFP SIP Submission.  </w:t>
      </w:r>
      <w:r>
        <w:t>This requirement would be addressed as revisions to 40 CFR 51.</w:t>
      </w:r>
      <w:r w:rsidR="00FC4E1D">
        <w:t>1110 and 51.</w:t>
      </w:r>
      <w:r w:rsidR="00CD7B77">
        <w:t>1</w:t>
      </w:r>
      <w:r w:rsidR="006D1EDB">
        <w:t>3</w:t>
      </w:r>
      <w:r>
        <w:t xml:space="preserve">10.  Although the RFP submission does not duplicate other plan requirements, the RFP submission may complement them.  For example, the </w:t>
      </w:r>
      <w:r>
        <w:lastRenderedPageBreak/>
        <w:t xml:space="preserve">emission reductions associated with the RFP SIP also </w:t>
      </w:r>
      <w:r w:rsidR="0052612E">
        <w:t>contribute to the</w:t>
      </w:r>
      <w:r>
        <w:t xml:space="preserve"> attainment</w:t>
      </w:r>
      <w:r w:rsidR="0052612E">
        <w:t xml:space="preserve"> demonstration</w:t>
      </w:r>
      <w:r>
        <w:t xml:space="preserve">.  </w:t>
      </w:r>
    </w:p>
    <w:p w:rsidR="005170B7" w:rsidP="00115BDD" w:rsidRDefault="005170B7" w14:paraId="56240E27" w14:textId="77777777">
      <w:pPr>
        <w:ind w:left="360"/>
      </w:pPr>
    </w:p>
    <w:p w:rsidR="005170B7" w:rsidP="00115BDD" w:rsidRDefault="005170B7" w14:paraId="403FC576" w14:textId="70D1F785">
      <w:pPr>
        <w:ind w:left="360"/>
      </w:pPr>
      <w:r>
        <w:tab/>
      </w:r>
      <w:r w:rsidR="00FC4E1D">
        <w:t>S</w:t>
      </w:r>
      <w:r>
        <w:t>tates are encouraged to build upon related analyses for federal emission reducing rules as well as salient PM</w:t>
      </w:r>
      <w:r w:rsidRPr="00350ACA" w:rsidR="00DF7B99">
        <w:rPr>
          <w:vertAlign w:val="subscript"/>
        </w:rPr>
        <w:t>2.5</w:t>
      </w:r>
      <w:r>
        <w:t xml:space="preserve"> NAAQS and </w:t>
      </w:r>
      <w:r w:rsidR="00DF7B99">
        <w:t>R</w:t>
      </w:r>
      <w:r>
        <w:t xml:space="preserve">egional </w:t>
      </w:r>
      <w:r w:rsidR="00DF7B99">
        <w:t>H</w:t>
      </w:r>
      <w:r>
        <w:t xml:space="preserve">aze implementation requirements where appropriate.  Taking such steps may reduce the incremental administrative burden.   For example, the temporal and spatial nature of emission reductions associated with federal rules may be sufficient to meet the RFP requirements.  Hence, the need to identify additional emission reductions to meet RFP requirements may be mitigated in some instances.  </w:t>
      </w:r>
    </w:p>
    <w:p w:rsidR="005170B7" w:rsidP="00115BDD" w:rsidRDefault="005170B7" w14:paraId="69870ACB" w14:textId="77777777">
      <w:pPr>
        <w:ind w:left="360"/>
      </w:pPr>
    </w:p>
    <w:p w:rsidR="005170B7" w:rsidP="00115BDD" w:rsidRDefault="005170B7" w14:paraId="7CB60029" w14:textId="4012CE88">
      <w:pPr>
        <w:ind w:left="360"/>
      </w:pPr>
      <w:r>
        <w:tab/>
        <w:t xml:space="preserve">In addition, states are encouraged, where appropriate, to take into account similar analyses and planning efforts to meet certain </w:t>
      </w:r>
      <w:r w:rsidR="00DF7B99">
        <w:t>PM</w:t>
      </w:r>
      <w:r w:rsidRPr="00D352C7" w:rsidR="00DF7B99">
        <w:rPr>
          <w:vertAlign w:val="subscript"/>
        </w:rPr>
        <w:t>2.5</w:t>
      </w:r>
      <w:r>
        <w:t xml:space="preserve"> NAAQS and </w:t>
      </w:r>
      <w:r w:rsidR="00DF7B99">
        <w:t>R</w:t>
      </w:r>
      <w:r>
        <w:t xml:space="preserve">egional </w:t>
      </w:r>
      <w:r w:rsidR="00DF7B99">
        <w:t>H</w:t>
      </w:r>
      <w:r>
        <w:t xml:space="preserve">aze implementation requirements.  Such actions may result in RFP plans which achieve requisite multi-pollutant environmental progress at a lower cost.  </w:t>
      </w:r>
    </w:p>
    <w:p w:rsidR="005170B7" w:rsidP="00115BDD" w:rsidRDefault="005170B7" w14:paraId="6D310CBE" w14:textId="77777777">
      <w:pPr>
        <w:ind w:left="360"/>
      </w:pPr>
    </w:p>
    <w:p w:rsidR="005170B7" w:rsidP="00115BDD" w:rsidRDefault="005170B7" w14:paraId="0DC2CBF0" w14:textId="20298BB9">
      <w:pPr>
        <w:ind w:left="360"/>
      </w:pPr>
      <w:r>
        <w:tab/>
      </w:r>
      <w:r>
        <w:rPr>
          <w:b/>
        </w:rPr>
        <w:t xml:space="preserve">RACT SIP Submission.  </w:t>
      </w:r>
      <w:r>
        <w:t>This requirement would be addressed in revisions to 40 CFR 51.</w:t>
      </w:r>
      <w:r w:rsidR="00DF7B99">
        <w:t>1112 and 51.</w:t>
      </w:r>
      <w:r w:rsidR="00CD7B77">
        <w:t>1</w:t>
      </w:r>
      <w:r w:rsidR="004A53A3">
        <w:t>3</w:t>
      </w:r>
      <w:r>
        <w:t xml:space="preserve">12, which implement CAA subsections 172(c)(1) 182(b)(2),(c),(d), and (e).  </w:t>
      </w:r>
    </w:p>
    <w:p w:rsidR="0018574B" w:rsidP="00115BDD" w:rsidRDefault="0018574B" w14:paraId="74E1FD5D" w14:textId="1CC1CBBA">
      <w:pPr>
        <w:ind w:left="360"/>
      </w:pPr>
    </w:p>
    <w:p w:rsidR="0018574B" w:rsidP="00115BDD" w:rsidRDefault="0018574B" w14:paraId="51B16A9F" w14:textId="2BBF4B43">
      <w:pPr>
        <w:ind w:left="360"/>
      </w:pPr>
      <w:r>
        <w:tab/>
      </w:r>
      <w:r w:rsidRPr="0018574B">
        <w:rPr>
          <w:b/>
          <w:bCs/>
        </w:rPr>
        <w:t>Second 10-year maintenance plan.</w:t>
      </w:r>
      <w:r>
        <w:t xml:space="preserve"> This requirement stems from CAA section 175A(b).</w:t>
      </w:r>
    </w:p>
    <w:p w:rsidR="005170B7" w:rsidP="00115BDD" w:rsidRDefault="005170B7" w14:paraId="051673DB" w14:textId="77777777">
      <w:pPr>
        <w:ind w:left="360"/>
      </w:pPr>
    </w:p>
    <w:p w:rsidR="005170B7" w:rsidP="00115BDD" w:rsidRDefault="005170B7" w14:paraId="49675ED7" w14:textId="77777777">
      <w:pPr>
        <w:ind w:left="1440" w:hanging="1080"/>
        <w:rPr>
          <w:b/>
        </w:rPr>
      </w:pPr>
      <w:r>
        <w:rPr>
          <w:b/>
        </w:rPr>
        <w:t>3(b)</w:t>
      </w:r>
      <w:r>
        <w:rPr>
          <w:b/>
        </w:rPr>
        <w:tab/>
        <w:t>Public Notice Required Prior to ICR Submission to the Office of Management and Budget (OMB)</w:t>
      </w:r>
    </w:p>
    <w:p w:rsidR="005170B7" w:rsidP="00115BDD" w:rsidRDefault="005170B7" w14:paraId="1DAE467C" w14:textId="77777777">
      <w:pPr>
        <w:ind w:left="360"/>
        <w:rPr>
          <w:b/>
        </w:rPr>
      </w:pPr>
    </w:p>
    <w:p w:rsidR="005170B7" w:rsidP="00115BDD" w:rsidRDefault="005170B7" w14:paraId="41D2B77F" w14:textId="0BCFD334">
      <w:pPr>
        <w:ind w:left="360"/>
      </w:pPr>
      <w:r>
        <w:rPr>
          <w:b/>
        </w:rPr>
        <w:tab/>
      </w:r>
      <w:r>
        <w:t>Th</w:t>
      </w:r>
      <w:r w:rsidR="00C44C01">
        <w:t>e bulk of th</w:t>
      </w:r>
      <w:r>
        <w:t>is ICR</w:t>
      </w:r>
      <w:r w:rsidR="006D0FD0">
        <w:t xml:space="preserve"> is related to the implementation </w:t>
      </w:r>
      <w:r w:rsidR="00C44C01">
        <w:t xml:space="preserve">requirements that apply </w:t>
      </w:r>
      <w:r w:rsidR="006D0FD0">
        <w:t>for the 2015 ozone standard</w:t>
      </w:r>
      <w:r w:rsidR="00C44C01">
        <w:t>s</w:t>
      </w:r>
      <w:r w:rsidR="00F7175B">
        <w:t xml:space="preserve"> and the 2008 ozone standard</w:t>
      </w:r>
      <w:r w:rsidR="00C44C01">
        <w:t>s</w:t>
      </w:r>
      <w:r>
        <w:t xml:space="preserve">.  </w:t>
      </w:r>
      <w:r w:rsidR="004A53A3">
        <w:t>The</w:t>
      </w:r>
      <w:r w:rsidR="006D0FD0">
        <w:t xml:space="preserve"> EPA </w:t>
      </w:r>
      <w:r>
        <w:t>request</w:t>
      </w:r>
      <w:r w:rsidR="008175AF">
        <w:t>ed</w:t>
      </w:r>
      <w:r w:rsidR="006D0FD0">
        <w:t xml:space="preserve"> comments </w:t>
      </w:r>
      <w:r w:rsidR="00122DF3">
        <w:t xml:space="preserve">last </w:t>
      </w:r>
      <w:r w:rsidR="006D0FD0">
        <w:t>on the</w:t>
      </w:r>
      <w:r w:rsidR="00122DF3">
        <w:t xml:space="preserve"> 2015 ozone standard</w:t>
      </w:r>
      <w:r w:rsidR="006D0FD0">
        <w:t xml:space="preserve"> </w:t>
      </w:r>
      <w:r w:rsidR="009F6F67">
        <w:t xml:space="preserve">implementation </w:t>
      </w:r>
      <w:r w:rsidR="006D0FD0">
        <w:t>rule</w:t>
      </w:r>
      <w:r w:rsidR="009F6F67">
        <w:t xml:space="preserve">s </w:t>
      </w:r>
      <w:r w:rsidRPr="00FA3C63" w:rsidR="006D0FD0">
        <w:t>final</w:t>
      </w:r>
      <w:r w:rsidR="006D0FD0">
        <w:t>ized</w:t>
      </w:r>
      <w:r w:rsidR="009F6F67">
        <w:t xml:space="preserve"> for</w:t>
      </w:r>
      <w:r w:rsidRPr="00FA3C63" w:rsidR="006D0FD0">
        <w:t xml:space="preserve"> the classifications rule </w:t>
      </w:r>
      <w:r w:rsidR="006D0FD0">
        <w:t>on November 17, 2016 (</w:t>
      </w:r>
      <w:r w:rsidRPr="007D46F3" w:rsidR="006D0FD0">
        <w:t> </w:t>
      </w:r>
      <w:hyperlink w:tgtFrame="_blank" w:history="1" r:id="rId16">
        <w:r w:rsidRPr="007D46F3" w:rsidR="006D0FD0">
          <w:rPr>
            <w:rStyle w:val="Hyperlink"/>
          </w:rPr>
          <w:t>81 FR 81276</w:t>
        </w:r>
      </w:hyperlink>
      <w:r w:rsidR="006D0FD0">
        <w:t xml:space="preserve">) </w:t>
      </w:r>
      <w:r w:rsidR="009F6F67">
        <w:t xml:space="preserve"> and the</w:t>
      </w:r>
      <w:r w:rsidR="006D0FD0">
        <w:t xml:space="preserve"> </w:t>
      </w:r>
      <w:r w:rsidRPr="007D46F3" w:rsidR="006D0FD0">
        <w:t xml:space="preserve">Nonattainment Area State Implementation Plan Requirements </w:t>
      </w:r>
      <w:r w:rsidR="006D0FD0">
        <w:t xml:space="preserve">on </w:t>
      </w:r>
      <w:r w:rsidRPr="007D46F3" w:rsidR="006D0FD0">
        <w:t>December 6, 2018</w:t>
      </w:r>
      <w:r w:rsidR="006D0FD0">
        <w:t xml:space="preserve"> (</w:t>
      </w:r>
      <w:hyperlink w:tgtFrame="_blank" w:history="1" r:id="rId17">
        <w:r w:rsidRPr="001C2263" w:rsidR="006D0FD0">
          <w:rPr>
            <w:rStyle w:val="Hyperlink"/>
          </w:rPr>
          <w:t>83 FR 62998</w:t>
        </w:r>
      </w:hyperlink>
      <w:r w:rsidRPr="007D46F3" w:rsidR="006D0FD0">
        <w:t>)</w:t>
      </w:r>
      <w:r w:rsidR="009F6F67">
        <w:t>.</w:t>
      </w:r>
      <w:r>
        <w:t xml:space="preserve">  </w:t>
      </w:r>
    </w:p>
    <w:p w:rsidR="003D7EF1" w:rsidP="00115BDD" w:rsidRDefault="003D7EF1" w14:paraId="3EE62E6F" w14:textId="1F90292D">
      <w:pPr>
        <w:ind w:left="360"/>
      </w:pPr>
    </w:p>
    <w:p w:rsidR="003D7EF1" w:rsidP="00115BDD" w:rsidRDefault="003D7EF1" w14:paraId="78885672" w14:textId="1C3D6260">
      <w:pPr>
        <w:ind w:left="360"/>
      </w:pPr>
      <w:r>
        <w:tab/>
        <w:t>This proposed ICR renewal was published for</w:t>
      </w:r>
      <w:r w:rsidR="009B0B26">
        <w:t xml:space="preserve"> a</w:t>
      </w:r>
      <w:r w:rsidRPr="003D7EF1">
        <w:t xml:space="preserve"> 60 day</w:t>
      </w:r>
      <w:r w:rsidR="009B0B26">
        <w:t xml:space="preserve"> public</w:t>
      </w:r>
      <w:r w:rsidRPr="003D7EF1">
        <w:t xml:space="preserve"> </w:t>
      </w:r>
      <w:r w:rsidR="009B0B26">
        <w:t xml:space="preserve">comment period.  The </w:t>
      </w:r>
      <w:r w:rsidRPr="003D7EF1">
        <w:t>proposal FRN published on December 8</w:t>
      </w:r>
      <w:r w:rsidR="009B0B26">
        <w:t>, 2020</w:t>
      </w:r>
      <w:r w:rsidRPr="003D7EF1">
        <w:t xml:space="preserve"> -- https://www.govinfo.gov/content/pkg/FR-2020-12-08/pdf/2020-26872.pdf .  </w:t>
      </w:r>
      <w:r w:rsidR="009B0B26">
        <w:t>The c</w:t>
      </w:r>
      <w:r w:rsidRPr="003D7EF1">
        <w:t>omment period close</w:t>
      </w:r>
      <w:r w:rsidR="009B0B26">
        <w:t>d</w:t>
      </w:r>
      <w:r w:rsidRPr="003D7EF1">
        <w:t xml:space="preserve"> February 8</w:t>
      </w:r>
      <w:r w:rsidR="009B0B26">
        <w:t>, 2021 with n</w:t>
      </w:r>
      <w:r w:rsidRPr="003D7EF1">
        <w:t>o comments received</w:t>
      </w:r>
      <w:r w:rsidR="009B0B26">
        <w:t>.</w:t>
      </w:r>
      <w:r>
        <w:t xml:space="preserve"> </w:t>
      </w:r>
    </w:p>
    <w:p w:rsidR="005170B7" w:rsidP="00115BDD" w:rsidRDefault="005170B7" w14:paraId="4BD662AB" w14:textId="77777777">
      <w:pPr>
        <w:ind w:left="360"/>
      </w:pPr>
    </w:p>
    <w:p w:rsidR="005170B7" w:rsidP="00115BDD" w:rsidRDefault="005170B7" w14:paraId="7A942AA9" w14:textId="77777777">
      <w:pPr>
        <w:ind w:left="360"/>
        <w:rPr>
          <w:b/>
        </w:rPr>
      </w:pPr>
      <w:r>
        <w:rPr>
          <w:b/>
        </w:rPr>
        <w:t>3(c)</w:t>
      </w:r>
      <w:r>
        <w:rPr>
          <w:b/>
        </w:rPr>
        <w:tab/>
        <w:t>Consultations</w:t>
      </w:r>
    </w:p>
    <w:p w:rsidR="005170B7" w:rsidP="00115BDD" w:rsidRDefault="005170B7" w14:paraId="21358EDB" w14:textId="77777777">
      <w:pPr>
        <w:ind w:left="360"/>
        <w:rPr>
          <w:b/>
        </w:rPr>
      </w:pPr>
    </w:p>
    <w:p w:rsidR="005170B7" w:rsidP="00130D7E" w:rsidRDefault="005170B7" w14:paraId="1EB62BF8" w14:textId="77334CBD">
      <w:pPr>
        <w:ind w:left="360"/>
      </w:pPr>
      <w:r>
        <w:rPr>
          <w:b/>
        </w:rPr>
        <w:tab/>
      </w:r>
      <w:r w:rsidRPr="00C11FC0">
        <w:rPr>
          <w:highlight w:val="yellow"/>
        </w:rPr>
        <w:t>The EPA solicit</w:t>
      </w:r>
      <w:r w:rsidRPr="00C11FC0" w:rsidR="009F6F67">
        <w:rPr>
          <w:highlight w:val="yellow"/>
        </w:rPr>
        <w:t>ed</w:t>
      </w:r>
      <w:r w:rsidRPr="00C11FC0">
        <w:rPr>
          <w:highlight w:val="yellow"/>
        </w:rPr>
        <w:t xml:space="preserve"> comment on the proposed and final SIP Requirements Rule for the </w:t>
      </w:r>
      <w:r w:rsidRPr="00C11FC0" w:rsidR="00A0761D">
        <w:rPr>
          <w:highlight w:val="yellow"/>
        </w:rPr>
        <w:t>2015</w:t>
      </w:r>
      <w:r w:rsidRPr="00C11FC0">
        <w:rPr>
          <w:highlight w:val="yellow"/>
        </w:rPr>
        <w:t xml:space="preserve"> 8-hour NAAQS </w:t>
      </w:r>
      <w:r w:rsidRPr="00C11FC0" w:rsidR="009F6F67">
        <w:rPr>
          <w:highlight w:val="yellow"/>
        </w:rPr>
        <w:t xml:space="preserve">that </w:t>
      </w:r>
      <w:r w:rsidRPr="00C11FC0">
        <w:rPr>
          <w:highlight w:val="yellow"/>
        </w:rPr>
        <w:t>includ</w:t>
      </w:r>
      <w:r w:rsidRPr="00C11FC0" w:rsidR="009F6F67">
        <w:rPr>
          <w:highlight w:val="yellow"/>
        </w:rPr>
        <w:t>ed</w:t>
      </w:r>
      <w:r w:rsidRPr="00C11FC0">
        <w:rPr>
          <w:highlight w:val="yellow"/>
        </w:rPr>
        <w:t xml:space="preserve"> one public hearing.</w:t>
      </w:r>
      <w:r w:rsidRPr="00C11FC0" w:rsidR="00BF4888">
        <w:rPr>
          <w:highlight w:val="yellow"/>
        </w:rPr>
        <w:t xml:space="preserve"> The prior extension of the </w:t>
      </w:r>
      <w:r w:rsidRPr="00C11FC0" w:rsidR="00A70BBD">
        <w:rPr>
          <w:highlight w:val="yellow"/>
        </w:rPr>
        <w:t xml:space="preserve">current 8-hour ozone NAAQS implementation </w:t>
      </w:r>
      <w:r w:rsidRPr="00C11FC0" w:rsidR="00BF4888">
        <w:rPr>
          <w:highlight w:val="yellow"/>
        </w:rPr>
        <w:t>ICR (renewal through January 31, 2021) requested public comments via the Federal Register (82 FR 45843) on October 2, 2017 and (82 FR 51829) on November 8, 2017, during a 60-day comment period. The Office of Resources, Operations and Management requested public comments via 83 FR 2150</w:t>
      </w:r>
      <w:r w:rsidRPr="00C11FC0" w:rsidR="007209C5">
        <w:rPr>
          <w:highlight w:val="yellow"/>
        </w:rPr>
        <w:t xml:space="preserve"> on January 16, 2018.</w:t>
      </w:r>
    </w:p>
    <w:p w:rsidR="005170B7" w:rsidP="00115BDD" w:rsidRDefault="005170B7" w14:paraId="17A5E73C" w14:textId="77777777">
      <w:pPr>
        <w:ind w:left="360"/>
        <w:rPr>
          <w:b/>
        </w:rPr>
      </w:pPr>
      <w:r>
        <w:rPr>
          <w:b/>
        </w:rPr>
        <w:lastRenderedPageBreak/>
        <w:t>3(d)</w:t>
      </w:r>
      <w:r>
        <w:rPr>
          <w:b/>
        </w:rPr>
        <w:tab/>
        <w:t>Effects of Less Frequent Collection</w:t>
      </w:r>
    </w:p>
    <w:p w:rsidR="005170B7" w:rsidP="00115BDD" w:rsidRDefault="005170B7" w14:paraId="52A4989A" w14:textId="77777777">
      <w:pPr>
        <w:ind w:left="360"/>
        <w:rPr>
          <w:b/>
        </w:rPr>
      </w:pPr>
    </w:p>
    <w:p w:rsidR="005170B7" w:rsidP="00115BDD" w:rsidRDefault="005170B7" w14:paraId="0F7F2171" w14:textId="3A99B189">
      <w:pPr>
        <w:ind w:left="360"/>
      </w:pPr>
      <w:r>
        <w:rPr>
          <w:b/>
        </w:rPr>
        <w:tab/>
      </w:r>
      <w:r>
        <w:t>The collections under 40 CFR 51.</w:t>
      </w:r>
      <w:r w:rsidR="00366C4D">
        <w:t>1108 and 51.</w:t>
      </w:r>
      <w:r w:rsidR="00CD7B77">
        <w:t>1</w:t>
      </w:r>
      <w:r w:rsidR="009F6F67">
        <w:t>3</w:t>
      </w:r>
      <w:r w:rsidR="00CD7B77">
        <w:t>0</w:t>
      </w:r>
      <w:r>
        <w:t>8, 51.</w:t>
      </w:r>
      <w:r w:rsidR="00366C4D">
        <w:t>1110 and 51.</w:t>
      </w:r>
      <w:r w:rsidR="00CD7B77">
        <w:t>1</w:t>
      </w:r>
      <w:r w:rsidR="009F6F67">
        <w:t>3</w:t>
      </w:r>
      <w:r>
        <w:t>10, and 51.</w:t>
      </w:r>
      <w:r w:rsidR="00366C4D">
        <w:t>1112 and 51.</w:t>
      </w:r>
      <w:r w:rsidR="00CD7B77">
        <w:t>1</w:t>
      </w:r>
      <w:r w:rsidR="009F6F67">
        <w:t>3</w:t>
      </w:r>
      <w:r>
        <w:t>12 are necessary to provide assurances that identified level</w:t>
      </w:r>
      <w:r w:rsidR="00366C4D">
        <w:t>s</w:t>
      </w:r>
      <w:r>
        <w:t xml:space="preserve"> of emission reductions are adequate to ensure timely attainment and maintenance of the </w:t>
      </w:r>
      <w:r w:rsidR="00366C4D">
        <w:t>o</w:t>
      </w:r>
      <w:r>
        <w:t>zone NAAQS while adhering to the mandatory measures and requirements for all areas.</w:t>
      </w:r>
      <w:r w:rsidR="0049041F">
        <w:t xml:space="preserve"> The collections are generally one-time collections mandated by the Clean Air Act as part of the specific milestones the Act sets out for bringing nonattainment areas into attainment</w:t>
      </w:r>
      <w:r w:rsidR="005D1343">
        <w:t xml:space="preserve"> and are therefore not able to be collected less frequently</w:t>
      </w:r>
      <w:r w:rsidR="0049041F">
        <w:t>.</w:t>
      </w:r>
    </w:p>
    <w:p w:rsidR="005170B7" w:rsidP="00115BDD" w:rsidRDefault="005170B7" w14:paraId="1B32A932" w14:textId="77777777">
      <w:pPr>
        <w:ind w:left="360"/>
      </w:pPr>
    </w:p>
    <w:p w:rsidR="005170B7" w:rsidP="00115BDD" w:rsidRDefault="005170B7" w14:paraId="01919F09" w14:textId="77777777">
      <w:pPr>
        <w:ind w:left="360"/>
      </w:pPr>
      <w:r>
        <w:rPr>
          <w:b/>
        </w:rPr>
        <w:t xml:space="preserve">3(e) </w:t>
      </w:r>
      <w:r>
        <w:rPr>
          <w:b/>
        </w:rPr>
        <w:tab/>
        <w:t>General Guidelines</w:t>
      </w:r>
      <w:r>
        <w:t xml:space="preserve"> </w:t>
      </w:r>
    </w:p>
    <w:p w:rsidR="005170B7" w:rsidP="00115BDD" w:rsidRDefault="005170B7" w14:paraId="4A8ED4C4" w14:textId="77777777">
      <w:pPr>
        <w:ind w:left="360"/>
      </w:pPr>
    </w:p>
    <w:p w:rsidR="005170B7" w:rsidP="00115BDD" w:rsidRDefault="005170B7" w14:paraId="64853B65" w14:textId="4AFC70DB">
      <w:pPr>
        <w:ind w:left="360"/>
      </w:pPr>
      <w:r>
        <w:tab/>
        <w:t>The</w:t>
      </w:r>
      <w:r w:rsidR="00366C4D">
        <w:t xml:space="preserve"> associated</w:t>
      </w:r>
      <w:r>
        <w:t xml:space="preserve"> reporting </w:t>
      </w:r>
      <w:r w:rsidR="000A5BD8">
        <w:t xml:space="preserve">and </w:t>
      </w:r>
      <w:r>
        <w:t xml:space="preserve">recordkeeping requirements do not violate any of the regulations promulgated by OMB under 5 CFR 1320.5.  This </w:t>
      </w:r>
      <w:r w:rsidR="000A5BD8">
        <w:t xml:space="preserve">proposed renewal </w:t>
      </w:r>
      <w:r>
        <w:t xml:space="preserve">meets the current Paperwork Reduction Act guidelines set forth by OMB.  Those guidelines reflect the requirements of 5 CFR 1320.6.  The </w:t>
      </w:r>
      <w:r w:rsidR="00366C4D">
        <w:t>relevant ozone NAAQS</w:t>
      </w:r>
      <w:r>
        <w:t xml:space="preserve"> implementation rule</w:t>
      </w:r>
      <w:r w:rsidR="00366C4D">
        <w:t>s</w:t>
      </w:r>
      <w:r>
        <w:t xml:space="preserve"> do not require:</w:t>
      </w:r>
    </w:p>
    <w:p w:rsidR="005170B7" w:rsidP="00115BDD" w:rsidRDefault="005170B7" w14:paraId="66446EFA" w14:textId="77777777">
      <w:pPr>
        <w:ind w:left="360"/>
      </w:pPr>
    </w:p>
    <w:p w:rsidR="005170B7" w:rsidP="00115BDD" w:rsidRDefault="005170B7" w14:paraId="6A624C20" w14:textId="77777777">
      <w:pPr>
        <w:numPr>
          <w:ilvl w:val="0"/>
          <w:numId w:val="6"/>
        </w:numPr>
      </w:pPr>
      <w:r>
        <w:t>reporting more than once a year;</w:t>
      </w:r>
    </w:p>
    <w:p w:rsidR="005170B7" w:rsidP="00115BDD" w:rsidRDefault="005170B7" w14:paraId="580F69A0" w14:textId="77777777">
      <w:pPr>
        <w:numPr>
          <w:ilvl w:val="0"/>
          <w:numId w:val="6"/>
        </w:numPr>
      </w:pPr>
      <w:r>
        <w:t xml:space="preserve">respondents to participate in a statistical survey;  </w:t>
      </w:r>
    </w:p>
    <w:p w:rsidR="005170B7" w:rsidP="00115BDD" w:rsidRDefault="005170B7" w14:paraId="6253FE95" w14:textId="77777777">
      <w:pPr>
        <w:numPr>
          <w:ilvl w:val="0"/>
          <w:numId w:val="6"/>
        </w:numPr>
      </w:pPr>
      <w:r>
        <w:t>responses to Agency inquiries in less than 30 days;</w:t>
      </w:r>
    </w:p>
    <w:p w:rsidR="005170B7" w:rsidP="00115BDD" w:rsidRDefault="005170B7" w14:paraId="4B5A83B4" w14:textId="77777777">
      <w:pPr>
        <w:numPr>
          <w:ilvl w:val="0"/>
          <w:numId w:val="6"/>
        </w:numPr>
      </w:pPr>
      <w:r>
        <w:t xml:space="preserve">respondents to receive remuneration for preparation of reports; </w:t>
      </w:r>
    </w:p>
    <w:p w:rsidR="005170B7" w:rsidP="00115BDD" w:rsidRDefault="005170B7" w14:paraId="6A7B679B" w14:textId="77777777">
      <w:pPr>
        <w:numPr>
          <w:ilvl w:val="0"/>
          <w:numId w:val="6"/>
        </w:numPr>
      </w:pPr>
      <w:r>
        <w:t>records to be kept more than 3 years,</w:t>
      </w:r>
      <w:r>
        <w:rPr>
          <w:rStyle w:val="FootnoteReference"/>
        </w:rPr>
        <w:footnoteReference w:id="3"/>
      </w:r>
      <w:r>
        <w:t xml:space="preserve">and, </w:t>
      </w:r>
    </w:p>
    <w:p w:rsidR="005170B7" w:rsidP="00115BDD" w:rsidRDefault="005170B7" w14:paraId="1B428FA2" w14:textId="77777777">
      <w:pPr>
        <w:numPr>
          <w:ilvl w:val="0"/>
          <w:numId w:val="6"/>
        </w:numPr>
      </w:pPr>
      <w:r>
        <w:t>manual methods of reporting.</w:t>
      </w:r>
      <w:r>
        <w:rPr>
          <w:rStyle w:val="FootnoteReference"/>
        </w:rPr>
        <w:footnoteReference w:id="4"/>
      </w:r>
    </w:p>
    <w:p w:rsidR="005170B7" w:rsidP="00115BDD" w:rsidRDefault="005170B7" w14:paraId="638D0A06" w14:textId="77777777">
      <w:pPr>
        <w:ind w:left="360"/>
      </w:pPr>
    </w:p>
    <w:p w:rsidR="005170B7" w:rsidP="00115BDD" w:rsidRDefault="005170B7" w14:paraId="34C66FA8" w14:textId="77777777">
      <w:pPr>
        <w:ind w:left="360"/>
        <w:rPr>
          <w:b/>
        </w:rPr>
      </w:pPr>
      <w:r>
        <w:rPr>
          <w:b/>
        </w:rPr>
        <w:t>3(f)</w:t>
      </w:r>
      <w:r>
        <w:rPr>
          <w:b/>
        </w:rPr>
        <w:tab/>
      </w:r>
      <w:r>
        <w:rPr>
          <w:b/>
        </w:rPr>
        <w:tab/>
        <w:t>Confidentiality</w:t>
      </w:r>
    </w:p>
    <w:p w:rsidR="005170B7" w:rsidP="00115BDD" w:rsidRDefault="005170B7" w14:paraId="3BB653F4" w14:textId="77777777">
      <w:pPr>
        <w:ind w:left="360"/>
        <w:rPr>
          <w:b/>
        </w:rPr>
      </w:pPr>
    </w:p>
    <w:p w:rsidR="005170B7" w:rsidP="00115BDD" w:rsidRDefault="005170B7" w14:paraId="5CBF7BE6" w14:textId="2F9A9815">
      <w:pPr>
        <w:ind w:left="360"/>
      </w:pPr>
      <w:r>
        <w:rPr>
          <w:b/>
        </w:rPr>
        <w:tab/>
      </w:r>
      <w:r>
        <w:t xml:space="preserve">The information </w:t>
      </w:r>
      <w:r w:rsidR="000A5BD8">
        <w:t xml:space="preserve">accounted for in this proposed ICR renewal </w:t>
      </w:r>
      <w:r>
        <w:t xml:space="preserve">is requested from states. To fulfill the attainment demonstration, RFP SIP submission, and RACT SIP submission requirements, states </w:t>
      </w:r>
      <w:r w:rsidR="00A23E11">
        <w:t xml:space="preserve">may </w:t>
      </w:r>
      <w:r>
        <w:t xml:space="preserve">use emissions levels and control efficiency data provided by certain facilities in the private and public sector. This information is available from a variety of sources. It is the assimilation and analysis of </w:t>
      </w:r>
      <w:r w:rsidR="00F4234E">
        <w:t xml:space="preserve">such </w:t>
      </w:r>
      <w:r>
        <w:t>data that is required in the attainment demonstration, RFP SIP submittal, and the RACT SIP submittal.</w:t>
      </w:r>
    </w:p>
    <w:p w:rsidR="005170B7" w:rsidP="00115BDD" w:rsidRDefault="005170B7" w14:paraId="3901129A" w14:textId="77777777">
      <w:pPr>
        <w:ind w:left="360"/>
      </w:pPr>
    </w:p>
    <w:p w:rsidR="006E1B21" w:rsidP="006E5970" w:rsidRDefault="005170B7" w14:paraId="0493924F" w14:textId="76757F44">
      <w:pPr>
        <w:ind w:left="360"/>
      </w:pPr>
      <w:r>
        <w:tab/>
        <w:t xml:space="preserve">There </w:t>
      </w:r>
      <w:r w:rsidR="000A5BD8">
        <w:t xml:space="preserve">were </w:t>
      </w:r>
      <w:r w:rsidR="00CD7B77">
        <w:t>5</w:t>
      </w:r>
      <w:r w:rsidR="009F6F67">
        <w:t>2</w:t>
      </w:r>
      <w:r w:rsidR="00CD7B77">
        <w:t xml:space="preserve"> </w:t>
      </w:r>
      <w:r w:rsidR="000A5BD8">
        <w:t xml:space="preserve">initial </w:t>
      </w:r>
      <w:r>
        <w:t>nonattainment areas</w:t>
      </w:r>
      <w:r w:rsidR="008175AF">
        <w:t xml:space="preserve"> for the 2015 ozone standards</w:t>
      </w:r>
      <w:r w:rsidR="00A23E11">
        <w:t xml:space="preserve"> and an additional </w:t>
      </w:r>
      <w:r w:rsidR="009677BA">
        <w:t>8</w:t>
      </w:r>
      <w:r w:rsidR="00A23E11">
        <w:t xml:space="preserve"> nonattainment areas for the 2008 standards</w:t>
      </w:r>
      <w:r w:rsidR="009677BA">
        <w:t xml:space="preserve"> with SIP revisions </w:t>
      </w:r>
      <w:r w:rsidR="00F4234E">
        <w:t xml:space="preserve">expected to be </w:t>
      </w:r>
      <w:r w:rsidR="009677BA">
        <w:t>due from their respective states during th</w:t>
      </w:r>
      <w:r w:rsidR="000A5BD8">
        <w:t>is proposed ICR renewal’s applicable</w:t>
      </w:r>
      <w:r w:rsidR="009677BA">
        <w:t xml:space="preserve"> 3-year period. </w:t>
      </w:r>
      <w:r>
        <w:t xml:space="preserve">When considering the </w:t>
      </w:r>
      <w:r w:rsidR="00F4234E">
        <w:t xml:space="preserve">nonattainment </w:t>
      </w:r>
      <w:r>
        <w:t>areas</w:t>
      </w:r>
      <w:r w:rsidR="00121F7A">
        <w:t xml:space="preserve"> for the 2015 ozone standards</w:t>
      </w:r>
      <w:r>
        <w:t xml:space="preserve"> </w:t>
      </w:r>
      <w:r w:rsidR="00F4234E">
        <w:t xml:space="preserve">comprised of portions of two or more </w:t>
      </w:r>
      <w:r>
        <w:t xml:space="preserve">states, the </w:t>
      </w:r>
      <w:r w:rsidR="00CD7B77">
        <w:t>5</w:t>
      </w:r>
      <w:r w:rsidR="009F6F67">
        <w:t>2</w:t>
      </w:r>
      <w:r w:rsidR="00CD7B77">
        <w:t xml:space="preserve"> </w:t>
      </w:r>
      <w:r>
        <w:t xml:space="preserve">nonattainment areas result in </w:t>
      </w:r>
      <w:r w:rsidR="00CD7B77">
        <w:t>6</w:t>
      </w:r>
      <w:r w:rsidR="009F6F67">
        <w:t>2</w:t>
      </w:r>
      <w:r w:rsidRPr="00DF5BEA">
        <w:t xml:space="preserve"> </w:t>
      </w:r>
      <w:r>
        <w:t xml:space="preserve">total responses from states.  The </w:t>
      </w:r>
      <w:r w:rsidR="00CD7B77">
        <w:t>6</w:t>
      </w:r>
      <w:r w:rsidR="009F6F67">
        <w:t>2</w:t>
      </w:r>
      <w:r>
        <w:t xml:space="preserve"> responses do not include the 2 tribal nonattainment areas </w:t>
      </w:r>
      <w:r w:rsidR="00F4234E">
        <w:t xml:space="preserve">for which </w:t>
      </w:r>
      <w:r>
        <w:t xml:space="preserve">the </w:t>
      </w:r>
      <w:r w:rsidR="00F4234E">
        <w:t xml:space="preserve">affected </w:t>
      </w:r>
      <w:r>
        <w:t xml:space="preserve">EPA Regional Office will be required to develop the SIP response. </w:t>
      </w:r>
      <w:r w:rsidR="006E1B21">
        <w:t xml:space="preserve">The burden estimate for the 2008 NAAQS accounts for </w:t>
      </w:r>
      <w:r w:rsidR="006E1B21">
        <w:lastRenderedPageBreak/>
        <w:t>eight of the nine</w:t>
      </w:r>
      <w:r w:rsidRPr="00E54C73" w:rsidR="006E1B21">
        <w:t xml:space="preserve"> nonattainment areas currently classified as Serious </w:t>
      </w:r>
      <w:r w:rsidR="006E1B21">
        <w:t>that could</w:t>
      </w:r>
      <w:r w:rsidRPr="00E54C73" w:rsidR="006E1B21">
        <w:t xml:space="preserve"> </w:t>
      </w:r>
      <w:r w:rsidR="006E1B21">
        <w:t xml:space="preserve">be </w:t>
      </w:r>
      <w:r w:rsidRPr="00E54C73" w:rsidR="006E1B21">
        <w:t>reclassified to Severe-15</w:t>
      </w:r>
      <w:r w:rsidR="006E1B21">
        <w:t>, and thus subject to additional attainment planning requirements, if</w:t>
      </w:r>
      <w:r w:rsidRPr="00E54C73" w:rsidR="006E1B21">
        <w:t xml:space="preserve"> </w:t>
      </w:r>
      <w:r w:rsidR="006E1B21">
        <w:t xml:space="preserve">the </w:t>
      </w:r>
      <w:r w:rsidRPr="00E54C73" w:rsidR="006E1B21">
        <w:t>area</w:t>
      </w:r>
      <w:r w:rsidR="006E1B21">
        <w:t>s</w:t>
      </w:r>
      <w:r w:rsidRPr="00E54C73" w:rsidR="006E1B21">
        <w:t xml:space="preserve"> fail to attain</w:t>
      </w:r>
      <w:r w:rsidR="006E1B21">
        <w:t xml:space="preserve"> the NAAQS by the July 20, 2021, attainment date.</w:t>
      </w:r>
    </w:p>
    <w:p w:rsidR="006E1B21" w:rsidP="006E5970" w:rsidRDefault="006E1B21" w14:paraId="0D52B45B" w14:textId="77777777">
      <w:pPr>
        <w:ind w:left="360"/>
      </w:pPr>
    </w:p>
    <w:p w:rsidR="005170B7" w:rsidP="00350ACA" w:rsidRDefault="005170B7" w14:paraId="793374EF" w14:textId="5AE48F35">
      <w:pPr>
        <w:ind w:left="360" w:firstLine="360"/>
      </w:pPr>
      <w:r>
        <w:t xml:space="preserve">States should already have information from emission sources, as facilities should have provided this information to meet </w:t>
      </w:r>
      <w:r w:rsidR="00CD7B77">
        <w:t xml:space="preserve">prior 8-hour and </w:t>
      </w:r>
      <w:r>
        <w:t xml:space="preserve">1-hour </w:t>
      </w:r>
      <w:r w:rsidR="00F4234E">
        <w:t xml:space="preserve">ozone NAAQS </w:t>
      </w:r>
      <w:r>
        <w:t>SIP requirements, operating permits, and/or emissions reporting requirements.  Such information does not generally reveal the details of production processes.  But, to the extent it may, the affected facilities are protected.   Specifically, the completion of the emissions and control efficiency information that is confidential, proprietary, and trade secret is protected from disclosure under the requirements of subsections 503(e) and 114 (c) of the Clean Air Act.</w:t>
      </w:r>
    </w:p>
    <w:p w:rsidR="005170B7" w:rsidP="00115BDD" w:rsidRDefault="005170B7" w14:paraId="4619F09B" w14:textId="77777777">
      <w:pPr>
        <w:ind w:left="360"/>
      </w:pPr>
    </w:p>
    <w:p w:rsidR="005170B7" w:rsidP="00115BDD" w:rsidRDefault="005170B7" w14:paraId="6C3046D8" w14:textId="77777777">
      <w:pPr>
        <w:ind w:left="360"/>
        <w:rPr>
          <w:b/>
        </w:rPr>
      </w:pPr>
      <w:r>
        <w:rPr>
          <w:b/>
        </w:rPr>
        <w:t>3(g)</w:t>
      </w:r>
      <w:r>
        <w:rPr>
          <w:b/>
        </w:rPr>
        <w:tab/>
        <w:t>Sensitive Information</w:t>
      </w:r>
    </w:p>
    <w:p w:rsidR="005170B7" w:rsidP="00115BDD" w:rsidRDefault="005170B7" w14:paraId="131AB2D3" w14:textId="77777777">
      <w:pPr>
        <w:ind w:left="360"/>
        <w:rPr>
          <w:b/>
        </w:rPr>
      </w:pPr>
    </w:p>
    <w:p w:rsidR="005170B7" w:rsidP="00115BDD" w:rsidRDefault="005170B7" w14:paraId="024B00ED" w14:textId="26521308">
      <w:pPr>
        <w:ind w:left="360"/>
      </w:pPr>
      <w:r>
        <w:tab/>
        <w:t>The requested attainment demonstration, RFP SIP submission, and RACT SIP submission</w:t>
      </w:r>
      <w:r w:rsidR="009667C6">
        <w:t>, and second 10-year maintenance plan,</w:t>
      </w:r>
      <w:r>
        <w:t xml:space="preserve"> do not include questions whose answers would require sensitive information.</w:t>
      </w:r>
    </w:p>
    <w:p w:rsidR="005170B7" w:rsidP="00115BDD" w:rsidRDefault="005170B7" w14:paraId="126F4763" w14:textId="77777777">
      <w:pPr>
        <w:ind w:left="360"/>
        <w:rPr>
          <w:b/>
        </w:rPr>
      </w:pPr>
    </w:p>
    <w:p w:rsidR="005170B7" w:rsidP="00115BDD" w:rsidRDefault="005170B7" w14:paraId="521258CA" w14:textId="77777777">
      <w:pPr>
        <w:numPr>
          <w:ilvl w:val="0"/>
          <w:numId w:val="7"/>
        </w:numPr>
        <w:rPr>
          <w:b/>
          <w:sz w:val="28"/>
          <w:szCs w:val="28"/>
        </w:rPr>
      </w:pPr>
      <w:r>
        <w:rPr>
          <w:b/>
          <w:sz w:val="28"/>
          <w:szCs w:val="28"/>
        </w:rPr>
        <w:t>The Respondents and the Information Requested</w:t>
      </w:r>
    </w:p>
    <w:p w:rsidR="005170B7" w:rsidP="00115BDD" w:rsidRDefault="005170B7" w14:paraId="24E5143A" w14:textId="77777777">
      <w:pPr>
        <w:ind w:left="360"/>
        <w:rPr>
          <w:b/>
          <w:sz w:val="28"/>
          <w:szCs w:val="28"/>
        </w:rPr>
      </w:pPr>
    </w:p>
    <w:p w:rsidR="005170B7" w:rsidP="00115BDD" w:rsidRDefault="005170B7" w14:paraId="0345BC8E" w14:textId="56F57E6A">
      <w:pPr>
        <w:ind w:left="360"/>
        <w:rPr>
          <w:b/>
        </w:rPr>
      </w:pPr>
      <w:r>
        <w:rPr>
          <w:b/>
        </w:rPr>
        <w:t>4(a)</w:t>
      </w:r>
      <w:r>
        <w:rPr>
          <w:b/>
        </w:rPr>
        <w:tab/>
        <w:t>Respondents and Nonattainment areas</w:t>
      </w:r>
    </w:p>
    <w:p w:rsidR="005170B7" w:rsidP="00115BDD" w:rsidRDefault="005170B7" w14:paraId="255F5201" w14:textId="77777777">
      <w:pPr>
        <w:ind w:left="360"/>
        <w:rPr>
          <w:b/>
        </w:rPr>
      </w:pPr>
    </w:p>
    <w:p w:rsidR="002707CD" w:rsidP="00C11FC0" w:rsidRDefault="002707CD" w14:paraId="21E14E65" w14:textId="052CEC63">
      <w:pPr>
        <w:ind w:left="360"/>
      </w:pPr>
      <w:bookmarkStart w:name="_Hlk48198283" w:id="3"/>
      <w:r>
        <w:t xml:space="preserve">Table 1 lists </w:t>
      </w:r>
      <w:bookmarkStart w:name="_Hlk47366917" w:id="4"/>
      <w:r w:rsidR="00A32AD8">
        <w:t>8</w:t>
      </w:r>
      <w:r w:rsidR="005162CC">
        <w:t xml:space="preserve"> </w:t>
      </w:r>
      <w:r>
        <w:t>nonattainment areas for the 2008 ozone NAAQS currently classified as Serious that could be re</w:t>
      </w:r>
      <w:r w:rsidR="006E1B21">
        <w:t>-</w:t>
      </w:r>
      <w:r>
        <w:t>classified to Severe-15 based on preliminary 2020 air quality data.</w:t>
      </w:r>
      <w:r w:rsidR="00541229">
        <w:rPr>
          <w:rStyle w:val="FootnoteReference"/>
        </w:rPr>
        <w:footnoteReference w:id="5"/>
      </w:r>
      <w:r>
        <w:t xml:space="preserve">  The Serious classification has a statutory attainment date of July 20, 2021.  EPA is required to determine within 6 months whether these areas attained the NAAQS by the attainment date. If an area fails to attain it will be reclassified as Severe-15 and a new Severe area SIP will be</w:t>
      </w:r>
      <w:r w:rsidR="004C426B">
        <w:t>come</w:t>
      </w:r>
      <w:r>
        <w:t xml:space="preserve"> due</w:t>
      </w:r>
      <w:r>
        <w:rPr>
          <w:rStyle w:val="FootnoteReference"/>
        </w:rPr>
        <w:footnoteReference w:id="6"/>
      </w:r>
      <w:r>
        <w:t xml:space="preserve">, which </w:t>
      </w:r>
      <w:r w:rsidR="004C426B">
        <w:t>will likely be</w:t>
      </w:r>
      <w:r>
        <w:t xml:space="preserve"> during the reporting period for this ICR. </w:t>
      </w:r>
      <w:bookmarkEnd w:id="4"/>
      <w:r>
        <w:t>Accordingly, this analysis estimates the burden for each state in Table 2 to prepare and submit the SIP revisions required for their respective nonattainment areas</w:t>
      </w:r>
      <w:r w:rsidR="003324D8">
        <w:t>, or portions of nonattainment areas,</w:t>
      </w:r>
      <w:r>
        <w:t xml:space="preserve"> based on the area’s reclassification to Severe-15. </w:t>
      </w:r>
      <w:r w:rsidR="003324D8">
        <w:t>For the 8 nonattainment areas identified</w:t>
      </w:r>
      <w:r w:rsidR="005162CC">
        <w:t xml:space="preserve"> for which states would be required to develop and submit Severe area SIP revisions</w:t>
      </w:r>
      <w:r w:rsidR="003324D8">
        <w:t xml:space="preserve">, there are 2 multi-state nonattainment areas, each of which requires a submission from three affected states. </w:t>
      </w:r>
      <w:r>
        <w:t xml:space="preserve">The analysis estimates the state burden to prepare an attainment demonstration for the Severe-15 classification as well as submit an updated RFP and RACT SIP.    </w:t>
      </w:r>
    </w:p>
    <w:p w:rsidR="002707CD" w:rsidP="002707CD" w:rsidRDefault="002707CD" w14:paraId="5B894EA2" w14:textId="77777777"/>
    <w:p w:rsidRPr="00950360" w:rsidR="002707CD" w:rsidP="002707CD" w:rsidRDefault="002707CD" w14:paraId="3D9A83CE" w14:textId="23C374B1">
      <w:pPr>
        <w:ind w:left="360"/>
        <w:rPr>
          <w:b/>
          <w:bCs/>
        </w:rPr>
      </w:pPr>
      <w:r w:rsidRPr="00A06C92">
        <w:rPr>
          <w:b/>
        </w:rPr>
        <w:t xml:space="preserve">Table </w:t>
      </w:r>
      <w:r>
        <w:rPr>
          <w:b/>
        </w:rPr>
        <w:t>1</w:t>
      </w:r>
      <w:r w:rsidRPr="00A06C92">
        <w:rPr>
          <w:b/>
        </w:rPr>
        <w:t xml:space="preserve">.  </w:t>
      </w:r>
      <w:r w:rsidRPr="00950360">
        <w:rPr>
          <w:b/>
          <w:bCs/>
        </w:rPr>
        <w:t>20</w:t>
      </w:r>
      <w:r>
        <w:rPr>
          <w:b/>
          <w:bCs/>
        </w:rPr>
        <w:t>08</w:t>
      </w:r>
      <w:r w:rsidR="006878EF">
        <w:rPr>
          <w:b/>
          <w:bCs/>
        </w:rPr>
        <w:t xml:space="preserve"> Ozone NAAQS</w:t>
      </w:r>
      <w:r w:rsidRPr="00950360">
        <w:rPr>
          <w:b/>
          <w:bCs/>
        </w:rPr>
        <w:t xml:space="preserve"> Nonattainment Areas</w:t>
      </w:r>
      <w:r>
        <w:rPr>
          <w:b/>
          <w:bCs/>
        </w:rPr>
        <w:t xml:space="preserve"> Classified as Serious</w:t>
      </w:r>
      <w:r w:rsidR="00453AFD">
        <w:rPr>
          <w:b/>
          <w:bCs/>
        </w:rPr>
        <w:t xml:space="preserve"> that are not meeting NAAQS based on preliminary air quality data</w:t>
      </w:r>
      <w:r w:rsidR="00E8338D">
        <w:rPr>
          <w:b/>
          <w:bCs/>
        </w:rPr>
        <w:t xml:space="preserve"> as of</w:t>
      </w:r>
      <w:r w:rsidR="003E784F">
        <w:rPr>
          <w:b/>
          <w:bCs/>
        </w:rPr>
        <w:t xml:space="preserve"> September </w:t>
      </w:r>
      <w:r w:rsidR="00E8338D">
        <w:rPr>
          <w:b/>
          <w:bCs/>
        </w:rPr>
        <w:t>2020</w:t>
      </w:r>
    </w:p>
    <w:bookmarkEnd w:id="3"/>
    <w:p w:rsidR="002707CD" w:rsidP="002707CD" w:rsidRDefault="002707CD" w14:paraId="6BBF3F57" w14:textId="7CCBA2F4"/>
    <w:tbl>
      <w:tblPr>
        <w:tblW w:w="6000" w:type="dxa"/>
        <w:tblInd w:w="495" w:type="dxa"/>
        <w:tblLook w:val="00A0" w:firstRow="1" w:lastRow="0" w:firstColumn="1" w:lastColumn="0" w:noHBand="0" w:noVBand="0"/>
      </w:tblPr>
      <w:tblGrid>
        <w:gridCol w:w="4615"/>
        <w:gridCol w:w="1385"/>
      </w:tblGrid>
      <w:tr w:rsidRPr="003E784F" w:rsidR="003E784F" w:rsidTr="003E784F" w14:paraId="629C996C" w14:textId="77777777">
        <w:trPr>
          <w:trHeight w:val="885"/>
        </w:trPr>
        <w:tc>
          <w:tcPr>
            <w:tcW w:w="4615" w:type="dxa"/>
            <w:tcBorders>
              <w:top w:val="single" w:color="auto" w:sz="8" w:space="0"/>
              <w:left w:val="single" w:color="auto" w:sz="8" w:space="0"/>
              <w:bottom w:val="single" w:color="auto" w:sz="8" w:space="0"/>
              <w:right w:val="single" w:color="auto" w:sz="8" w:space="0"/>
            </w:tcBorders>
            <w:vAlign w:val="center"/>
          </w:tcPr>
          <w:p w:rsidRPr="003E784F" w:rsidR="003E784F" w:rsidP="00E226D9" w:rsidRDefault="003E784F" w14:paraId="26AACFB9" w14:textId="6172A301">
            <w:pPr>
              <w:jc w:val="center"/>
              <w:rPr>
                <w:b/>
                <w:bCs/>
                <w:sz w:val="20"/>
                <w:szCs w:val="20"/>
              </w:rPr>
            </w:pPr>
            <w:r w:rsidRPr="003E784F">
              <w:rPr>
                <w:b/>
                <w:bCs/>
                <w:sz w:val="20"/>
                <w:szCs w:val="20"/>
              </w:rPr>
              <w:t>2008 Ozone NAAQS Nonattainment Areas</w:t>
            </w:r>
          </w:p>
        </w:tc>
        <w:tc>
          <w:tcPr>
            <w:tcW w:w="1385" w:type="dxa"/>
            <w:tcBorders>
              <w:top w:val="single" w:color="auto" w:sz="8" w:space="0"/>
              <w:left w:val="single" w:color="auto" w:sz="8" w:space="0"/>
              <w:bottom w:val="single" w:color="auto" w:sz="8" w:space="0"/>
              <w:right w:val="single" w:color="auto" w:sz="8" w:space="0"/>
            </w:tcBorders>
            <w:vAlign w:val="center"/>
          </w:tcPr>
          <w:p w:rsidRPr="003E784F" w:rsidR="003E784F" w:rsidP="00E226D9" w:rsidRDefault="003E784F" w14:paraId="01EFABC0" w14:textId="77777777">
            <w:pPr>
              <w:jc w:val="center"/>
              <w:rPr>
                <w:b/>
                <w:bCs/>
                <w:sz w:val="20"/>
                <w:szCs w:val="20"/>
              </w:rPr>
            </w:pPr>
            <w:r w:rsidRPr="003E784F">
              <w:rPr>
                <w:b/>
                <w:bCs/>
                <w:sz w:val="20"/>
                <w:szCs w:val="20"/>
              </w:rPr>
              <w:t>EPA Region</w:t>
            </w:r>
          </w:p>
        </w:tc>
      </w:tr>
      <w:tr w:rsidRPr="003E784F" w:rsidR="003E784F" w:rsidTr="003E784F" w14:paraId="022F0047"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3E784F" w:rsidP="003E784F" w:rsidRDefault="003E784F" w14:paraId="2CB6B8AD" w14:textId="2DCD44A8">
            <w:pPr>
              <w:rPr>
                <w:sz w:val="20"/>
                <w:szCs w:val="20"/>
              </w:rPr>
            </w:pPr>
            <w:r w:rsidRPr="008D008C">
              <w:t>Chicago-Naperville, IL-IN-WI</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3E784F" w:rsidR="003E784F" w:rsidP="003E784F" w:rsidRDefault="003E784F" w14:paraId="78D799AA" w14:textId="226B11EE">
            <w:pPr>
              <w:jc w:val="center"/>
              <w:rPr>
                <w:sz w:val="20"/>
                <w:szCs w:val="20"/>
              </w:rPr>
            </w:pPr>
            <w:r>
              <w:rPr>
                <w:sz w:val="20"/>
                <w:szCs w:val="20"/>
              </w:rPr>
              <w:t>5</w:t>
            </w:r>
          </w:p>
        </w:tc>
      </w:tr>
      <w:tr w:rsidRPr="003E784F" w:rsidR="003E784F" w:rsidTr="003E784F" w14:paraId="6963CF8E"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3E784F" w:rsidP="003E784F" w:rsidRDefault="003E784F" w14:paraId="602A5E76" w14:textId="589761D3">
            <w:pPr>
              <w:rPr>
                <w:sz w:val="20"/>
                <w:szCs w:val="20"/>
              </w:rPr>
            </w:pPr>
            <w:r w:rsidRPr="008D008C">
              <w:t>Denver-Boulder-Greeley-Ft. Collins-Loveland, CO</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3E784F" w:rsidR="003E784F" w:rsidP="003E784F" w:rsidRDefault="003E784F" w14:paraId="5476B753" w14:textId="77777777">
            <w:pPr>
              <w:jc w:val="center"/>
              <w:rPr>
                <w:sz w:val="20"/>
                <w:szCs w:val="20"/>
              </w:rPr>
            </w:pPr>
            <w:r w:rsidRPr="003E784F">
              <w:rPr>
                <w:sz w:val="20"/>
                <w:szCs w:val="20"/>
              </w:rPr>
              <w:t>8</w:t>
            </w:r>
          </w:p>
        </w:tc>
      </w:tr>
      <w:tr w:rsidRPr="003E784F" w:rsidR="003E784F" w:rsidTr="003E784F" w14:paraId="6D68B126"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3E784F" w:rsidP="003E784F" w:rsidRDefault="003E784F" w14:paraId="351E63B6" w14:textId="43E8BBF2">
            <w:pPr>
              <w:rPr>
                <w:sz w:val="20"/>
                <w:szCs w:val="20"/>
              </w:rPr>
            </w:pPr>
            <w:r w:rsidRPr="008D008C">
              <w:t>Dallas-Fort Worth, TX</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3E784F" w:rsidR="003E784F" w:rsidP="003E784F" w:rsidRDefault="003E784F" w14:paraId="69E410E3" w14:textId="6E5E1A9E">
            <w:pPr>
              <w:jc w:val="center"/>
              <w:rPr>
                <w:sz w:val="20"/>
                <w:szCs w:val="20"/>
              </w:rPr>
            </w:pPr>
            <w:r>
              <w:rPr>
                <w:sz w:val="20"/>
                <w:szCs w:val="20"/>
              </w:rPr>
              <w:t>6</w:t>
            </w:r>
          </w:p>
        </w:tc>
      </w:tr>
      <w:tr w:rsidRPr="003E784F" w:rsidR="003E784F" w:rsidTr="003E784F" w14:paraId="11037AD5"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3E784F" w:rsidP="003E784F" w:rsidRDefault="003E784F" w14:paraId="6460F317" w14:textId="705B0B4C">
            <w:pPr>
              <w:rPr>
                <w:sz w:val="20"/>
                <w:szCs w:val="20"/>
              </w:rPr>
            </w:pPr>
            <w:r w:rsidRPr="008D008C">
              <w:t>Houston-Galveston-Brazoria, TX</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3E784F" w:rsidR="003E784F" w:rsidP="003E784F" w:rsidRDefault="003E784F" w14:paraId="765AB5F5" w14:textId="6FC35975">
            <w:pPr>
              <w:jc w:val="center"/>
              <w:rPr>
                <w:sz w:val="20"/>
                <w:szCs w:val="20"/>
              </w:rPr>
            </w:pPr>
            <w:r>
              <w:rPr>
                <w:sz w:val="20"/>
                <w:szCs w:val="20"/>
              </w:rPr>
              <w:t>6</w:t>
            </w:r>
          </w:p>
        </w:tc>
      </w:tr>
      <w:tr w:rsidRPr="003E784F" w:rsidR="003E784F" w:rsidTr="003E784F" w14:paraId="40D2C784"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3E784F" w:rsidP="003E784F" w:rsidRDefault="003E784F" w14:paraId="4D8BF68C" w14:textId="35155A28">
            <w:pPr>
              <w:rPr>
                <w:sz w:val="20"/>
                <w:szCs w:val="20"/>
              </w:rPr>
            </w:pPr>
            <w:r w:rsidRPr="008D008C">
              <w:t>Kern Co (Eastern Kern), CA</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3E784F" w:rsidR="003E784F" w:rsidP="003E784F" w:rsidRDefault="003E784F" w14:paraId="0D7E4968" w14:textId="59DF049B">
            <w:pPr>
              <w:jc w:val="center"/>
              <w:rPr>
                <w:sz w:val="20"/>
                <w:szCs w:val="20"/>
              </w:rPr>
            </w:pPr>
            <w:r>
              <w:rPr>
                <w:sz w:val="20"/>
                <w:szCs w:val="20"/>
              </w:rPr>
              <w:t>9</w:t>
            </w:r>
          </w:p>
        </w:tc>
      </w:tr>
      <w:tr w:rsidRPr="003E784F" w:rsidR="003E784F" w:rsidTr="003E784F" w14:paraId="3B00A0B7"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3E784F" w:rsidP="003E784F" w:rsidRDefault="003E784F" w14:paraId="713CD749" w14:textId="518D0EF6">
            <w:pPr>
              <w:rPr>
                <w:sz w:val="20"/>
                <w:szCs w:val="20"/>
              </w:rPr>
            </w:pPr>
            <w:r w:rsidRPr="008D008C">
              <w:t>Nevada Co. (Western part), CA</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3E784F" w:rsidR="003E784F" w:rsidP="003E784F" w:rsidRDefault="003E784F" w14:paraId="461BFE89" w14:textId="05B7FA05">
            <w:pPr>
              <w:jc w:val="center"/>
              <w:rPr>
                <w:sz w:val="20"/>
                <w:szCs w:val="20"/>
              </w:rPr>
            </w:pPr>
            <w:r>
              <w:rPr>
                <w:sz w:val="20"/>
                <w:szCs w:val="20"/>
              </w:rPr>
              <w:t>9</w:t>
            </w:r>
          </w:p>
        </w:tc>
      </w:tr>
      <w:tr w:rsidRPr="003E784F" w:rsidR="003E784F" w:rsidTr="003E784F" w14:paraId="46498EFE"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3E784F" w:rsidP="003E784F" w:rsidRDefault="003E784F" w14:paraId="2222693E" w14:textId="7D949732">
            <w:pPr>
              <w:rPr>
                <w:sz w:val="20"/>
                <w:szCs w:val="20"/>
              </w:rPr>
            </w:pPr>
            <w:r w:rsidRPr="008D008C">
              <w:t>New York-N. New Jersey-Long Island, NY-NJ-CT</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3E784F" w:rsidR="003E784F" w:rsidP="003E784F" w:rsidRDefault="003E784F" w14:paraId="1D2C446B" w14:textId="426CF863">
            <w:pPr>
              <w:jc w:val="center"/>
              <w:rPr>
                <w:sz w:val="20"/>
                <w:szCs w:val="20"/>
              </w:rPr>
            </w:pPr>
            <w:r>
              <w:rPr>
                <w:sz w:val="20"/>
                <w:szCs w:val="20"/>
              </w:rPr>
              <w:t>1</w:t>
            </w:r>
            <w:r w:rsidR="002052FF">
              <w:rPr>
                <w:sz w:val="20"/>
                <w:szCs w:val="20"/>
              </w:rPr>
              <w:t>, 2</w:t>
            </w:r>
          </w:p>
        </w:tc>
      </w:tr>
      <w:tr w:rsidRPr="003E784F" w:rsidR="003E784F" w:rsidTr="003E784F" w14:paraId="1FA91846"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3E784F" w:rsidP="003E784F" w:rsidRDefault="003E784F" w14:paraId="0EFF831D" w14:textId="6F699F4B">
            <w:pPr>
              <w:rPr>
                <w:sz w:val="20"/>
                <w:szCs w:val="20"/>
              </w:rPr>
            </w:pPr>
            <w:r w:rsidRPr="008D008C">
              <w:t>San Diego County, CA</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3E784F" w:rsidR="003E784F" w:rsidP="003E784F" w:rsidRDefault="003E784F" w14:paraId="7B55A508" w14:textId="105A106D">
            <w:pPr>
              <w:jc w:val="center"/>
              <w:rPr>
                <w:sz w:val="20"/>
                <w:szCs w:val="20"/>
              </w:rPr>
            </w:pPr>
            <w:r>
              <w:rPr>
                <w:sz w:val="20"/>
                <w:szCs w:val="20"/>
              </w:rPr>
              <w:t>9</w:t>
            </w:r>
          </w:p>
        </w:tc>
      </w:tr>
    </w:tbl>
    <w:p w:rsidR="003E784F" w:rsidP="002707CD" w:rsidRDefault="003E784F" w14:paraId="2B3768AC" w14:textId="07B7560B"/>
    <w:p w:rsidR="002707CD" w:rsidP="002707CD" w:rsidRDefault="002707CD" w14:paraId="4FB8DFC1" w14:textId="77777777">
      <w:pPr>
        <w:ind w:left="360"/>
        <w:outlineLvl w:val="0"/>
        <w:rPr>
          <w:b/>
        </w:rPr>
      </w:pPr>
    </w:p>
    <w:p w:rsidRPr="00827FE7" w:rsidR="002707CD" w:rsidP="002707CD" w:rsidRDefault="002707CD" w14:paraId="026CBCAB" w14:textId="37732B89">
      <w:pPr>
        <w:ind w:left="360"/>
        <w:outlineLvl w:val="0"/>
        <w:rPr>
          <w:b/>
        </w:rPr>
      </w:pPr>
      <w:r w:rsidRPr="00827FE7">
        <w:rPr>
          <w:b/>
        </w:rPr>
        <w:t xml:space="preserve">Table </w:t>
      </w:r>
      <w:r>
        <w:rPr>
          <w:b/>
        </w:rPr>
        <w:t>2</w:t>
      </w:r>
      <w:r w:rsidRPr="00827FE7">
        <w:rPr>
          <w:b/>
        </w:rPr>
        <w:t xml:space="preserve">.  Numbers of </w:t>
      </w:r>
      <w:r>
        <w:rPr>
          <w:b/>
        </w:rPr>
        <w:t>Nonattainment</w:t>
      </w:r>
      <w:r w:rsidRPr="00827FE7">
        <w:rPr>
          <w:b/>
        </w:rPr>
        <w:t xml:space="preserve"> Areas or Parts of Areas</w:t>
      </w:r>
      <w:r w:rsidR="006E1B21">
        <w:rPr>
          <w:b/>
        </w:rPr>
        <w:t xml:space="preserve"> that Potentially Could Be</w:t>
      </w:r>
      <w:r>
        <w:rPr>
          <w:b/>
        </w:rPr>
        <w:t xml:space="preserve"> Reclassified to Severe</w:t>
      </w:r>
      <w:r w:rsidR="00A4317C">
        <w:rPr>
          <w:b/>
        </w:rPr>
        <w:t xml:space="preserve"> </w:t>
      </w:r>
      <w:r>
        <w:rPr>
          <w:b/>
        </w:rPr>
        <w:t>15 for 2008 ozone NAAQS</w:t>
      </w:r>
      <w:r w:rsidRPr="00827FE7">
        <w:rPr>
          <w:b/>
        </w:rPr>
        <w:t xml:space="preserve"> </w:t>
      </w:r>
      <w:r w:rsidR="00E8338D">
        <w:rPr>
          <w:b/>
        </w:rPr>
        <w:t>by</w:t>
      </w:r>
      <w:r w:rsidRPr="00827FE7">
        <w:rPr>
          <w:b/>
        </w:rPr>
        <w:t xml:space="preserve"> State and EPA Regional Office</w:t>
      </w:r>
    </w:p>
    <w:p w:rsidR="002707CD" w:rsidP="002707CD" w:rsidRDefault="002707CD" w14:paraId="208E9F86" w14:textId="77777777">
      <w:pPr>
        <w:ind w:left="360"/>
        <w:outlineLvl w:val="0"/>
        <w:rPr>
          <w:b/>
          <w:sz w:val="20"/>
          <w:szCs w:val="20"/>
        </w:rPr>
      </w:pPr>
    </w:p>
    <w:tbl>
      <w:tblPr>
        <w:tblW w:w="6000" w:type="dxa"/>
        <w:tblInd w:w="495" w:type="dxa"/>
        <w:tblLook w:val="00A0" w:firstRow="1" w:lastRow="0" w:firstColumn="1" w:lastColumn="0" w:noHBand="0" w:noVBand="0"/>
      </w:tblPr>
      <w:tblGrid>
        <w:gridCol w:w="3200"/>
        <w:gridCol w:w="960"/>
        <w:gridCol w:w="1840"/>
      </w:tblGrid>
      <w:tr w:rsidRPr="00340670" w:rsidR="002707CD" w:rsidTr="00453AFD" w14:paraId="666B4EAC" w14:textId="77777777">
        <w:trPr>
          <w:trHeight w:val="885"/>
        </w:trPr>
        <w:tc>
          <w:tcPr>
            <w:tcW w:w="3200" w:type="dxa"/>
            <w:tcBorders>
              <w:top w:val="single" w:color="auto" w:sz="8" w:space="0"/>
              <w:left w:val="single" w:color="auto" w:sz="8" w:space="0"/>
              <w:bottom w:val="single" w:color="auto" w:sz="8" w:space="0"/>
              <w:right w:val="single" w:color="auto" w:sz="8" w:space="0"/>
            </w:tcBorders>
            <w:vAlign w:val="center"/>
          </w:tcPr>
          <w:p w:rsidRPr="003E784F" w:rsidR="002707CD" w:rsidP="00453AFD" w:rsidRDefault="002707CD" w14:paraId="1A8AA263" w14:textId="77777777">
            <w:pPr>
              <w:jc w:val="center"/>
              <w:rPr>
                <w:b/>
                <w:bCs/>
                <w:sz w:val="20"/>
                <w:szCs w:val="20"/>
              </w:rPr>
            </w:pPr>
            <w:r w:rsidRPr="003E784F">
              <w:rPr>
                <w:b/>
                <w:bCs/>
                <w:sz w:val="20"/>
                <w:szCs w:val="20"/>
              </w:rPr>
              <w:t>State</w:t>
            </w:r>
          </w:p>
        </w:tc>
        <w:tc>
          <w:tcPr>
            <w:tcW w:w="960" w:type="dxa"/>
            <w:tcBorders>
              <w:top w:val="single" w:color="auto" w:sz="8" w:space="0"/>
              <w:left w:val="single" w:color="auto" w:sz="8" w:space="0"/>
              <w:bottom w:val="single" w:color="auto" w:sz="8" w:space="0"/>
              <w:right w:val="single" w:color="auto" w:sz="8" w:space="0"/>
            </w:tcBorders>
            <w:vAlign w:val="center"/>
          </w:tcPr>
          <w:p w:rsidRPr="003E784F" w:rsidR="002707CD" w:rsidP="00453AFD" w:rsidRDefault="002707CD" w14:paraId="53847E1D" w14:textId="77777777">
            <w:pPr>
              <w:jc w:val="center"/>
              <w:rPr>
                <w:b/>
                <w:bCs/>
                <w:sz w:val="20"/>
                <w:szCs w:val="20"/>
              </w:rPr>
            </w:pPr>
            <w:r w:rsidRPr="003E784F">
              <w:rPr>
                <w:b/>
                <w:bCs/>
                <w:sz w:val="20"/>
                <w:szCs w:val="20"/>
              </w:rPr>
              <w:t>EPA Region</w:t>
            </w:r>
          </w:p>
        </w:tc>
        <w:tc>
          <w:tcPr>
            <w:tcW w:w="1840" w:type="dxa"/>
            <w:tcBorders>
              <w:top w:val="single" w:color="auto" w:sz="8" w:space="0"/>
              <w:left w:val="single" w:color="auto" w:sz="8" w:space="0"/>
              <w:bottom w:val="single" w:color="auto" w:sz="8" w:space="0"/>
              <w:right w:val="single" w:color="auto" w:sz="8" w:space="0"/>
            </w:tcBorders>
            <w:vAlign w:val="center"/>
          </w:tcPr>
          <w:p w:rsidRPr="003E784F" w:rsidR="002707CD" w:rsidP="00453AFD" w:rsidRDefault="002707CD" w14:paraId="1CE709AF" w14:textId="306FDBFE">
            <w:pPr>
              <w:jc w:val="center"/>
              <w:rPr>
                <w:b/>
                <w:bCs/>
                <w:sz w:val="20"/>
                <w:szCs w:val="20"/>
              </w:rPr>
            </w:pPr>
            <w:r w:rsidRPr="003E784F">
              <w:rPr>
                <w:b/>
                <w:bCs/>
                <w:sz w:val="20"/>
                <w:szCs w:val="20"/>
              </w:rPr>
              <w:t xml:space="preserve">Nonattainment Areas </w:t>
            </w:r>
            <w:r w:rsidRPr="003E784F" w:rsidR="00E8338D">
              <w:rPr>
                <w:b/>
                <w:bCs/>
                <w:sz w:val="20"/>
                <w:szCs w:val="20"/>
              </w:rPr>
              <w:t xml:space="preserve">(or Portions of Areas) </w:t>
            </w:r>
            <w:r w:rsidRPr="003E784F">
              <w:rPr>
                <w:b/>
                <w:bCs/>
                <w:sz w:val="20"/>
                <w:szCs w:val="20"/>
              </w:rPr>
              <w:t>in State</w:t>
            </w:r>
          </w:p>
        </w:tc>
      </w:tr>
      <w:tr w:rsidR="002707CD" w:rsidTr="00453AFD" w14:paraId="431CC545"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3E784F" w:rsidR="002707CD" w:rsidP="00453AFD" w:rsidRDefault="002707CD" w14:paraId="3DB5FCFE" w14:textId="77777777">
            <w:pPr>
              <w:rPr>
                <w:sz w:val="20"/>
                <w:szCs w:val="20"/>
              </w:rPr>
            </w:pPr>
            <w:r w:rsidRPr="003E784F">
              <w:rPr>
                <w:sz w:val="20"/>
                <w:szCs w:val="20"/>
              </w:rPr>
              <w:t xml:space="preserve"> California</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09B77451" w14:textId="77777777">
            <w:pPr>
              <w:jc w:val="right"/>
              <w:rPr>
                <w:sz w:val="20"/>
                <w:szCs w:val="20"/>
              </w:rPr>
            </w:pPr>
            <w:r w:rsidRPr="003E784F">
              <w:rPr>
                <w:sz w:val="20"/>
                <w:szCs w:val="20"/>
              </w:rPr>
              <w:t>9</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5DF60B4F" w14:textId="751CE87E">
            <w:pPr>
              <w:jc w:val="right"/>
              <w:rPr>
                <w:sz w:val="20"/>
                <w:szCs w:val="20"/>
              </w:rPr>
            </w:pPr>
            <w:r w:rsidRPr="003E784F">
              <w:rPr>
                <w:sz w:val="20"/>
                <w:szCs w:val="20"/>
              </w:rPr>
              <w:t>3</w:t>
            </w:r>
          </w:p>
        </w:tc>
      </w:tr>
      <w:tr w:rsidR="002707CD" w:rsidTr="00453AFD" w14:paraId="1DD41D5F"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3E784F" w:rsidR="002707CD" w:rsidP="00453AFD" w:rsidRDefault="002707CD" w14:paraId="41C8AD4D" w14:textId="77777777">
            <w:pPr>
              <w:rPr>
                <w:sz w:val="20"/>
                <w:szCs w:val="20"/>
              </w:rPr>
            </w:pPr>
            <w:r w:rsidRPr="003E784F">
              <w:rPr>
                <w:sz w:val="20"/>
                <w:szCs w:val="20"/>
              </w:rPr>
              <w:t xml:space="preserve"> Colorado</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4AAD3684" w14:textId="77777777">
            <w:pPr>
              <w:jc w:val="right"/>
              <w:rPr>
                <w:sz w:val="20"/>
                <w:szCs w:val="20"/>
              </w:rPr>
            </w:pPr>
            <w:r w:rsidRPr="003E784F">
              <w:rPr>
                <w:sz w:val="20"/>
                <w:szCs w:val="20"/>
              </w:rPr>
              <w:t>8</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72115418" w14:textId="77777777">
            <w:pPr>
              <w:jc w:val="right"/>
              <w:rPr>
                <w:sz w:val="20"/>
                <w:szCs w:val="20"/>
              </w:rPr>
            </w:pPr>
            <w:r w:rsidRPr="003E784F">
              <w:rPr>
                <w:sz w:val="20"/>
                <w:szCs w:val="20"/>
              </w:rPr>
              <w:t>1</w:t>
            </w:r>
          </w:p>
        </w:tc>
      </w:tr>
      <w:tr w:rsidR="002707CD" w:rsidTr="00453AFD" w14:paraId="30B43BCA"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3E784F" w:rsidR="002707CD" w:rsidP="00453AFD" w:rsidRDefault="002707CD" w14:paraId="6D779AB4" w14:textId="77777777">
            <w:pPr>
              <w:rPr>
                <w:sz w:val="20"/>
                <w:szCs w:val="20"/>
              </w:rPr>
            </w:pPr>
            <w:r w:rsidRPr="003E784F">
              <w:rPr>
                <w:sz w:val="20"/>
                <w:szCs w:val="20"/>
              </w:rPr>
              <w:t xml:space="preserve"> Connecticut </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2076D963" w14:textId="77777777">
            <w:pPr>
              <w:jc w:val="right"/>
              <w:rPr>
                <w:sz w:val="20"/>
                <w:szCs w:val="20"/>
              </w:rPr>
            </w:pPr>
            <w:r w:rsidRPr="003E784F">
              <w:rPr>
                <w:sz w:val="20"/>
                <w:szCs w:val="20"/>
              </w:rPr>
              <w:t>1</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0A7E7752" w14:textId="77777777">
            <w:pPr>
              <w:jc w:val="right"/>
              <w:rPr>
                <w:sz w:val="20"/>
                <w:szCs w:val="20"/>
              </w:rPr>
            </w:pPr>
            <w:r w:rsidRPr="003E784F">
              <w:rPr>
                <w:sz w:val="20"/>
                <w:szCs w:val="20"/>
              </w:rPr>
              <w:t>2</w:t>
            </w:r>
          </w:p>
        </w:tc>
      </w:tr>
      <w:tr w:rsidR="002707CD" w:rsidTr="00453AFD" w14:paraId="2821248F"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3E784F" w:rsidR="002707CD" w:rsidP="00453AFD" w:rsidRDefault="002707CD" w14:paraId="0D66744D" w14:textId="77777777">
            <w:pPr>
              <w:rPr>
                <w:sz w:val="20"/>
                <w:szCs w:val="20"/>
              </w:rPr>
            </w:pPr>
            <w:r w:rsidRPr="003E784F">
              <w:rPr>
                <w:sz w:val="20"/>
                <w:szCs w:val="20"/>
              </w:rPr>
              <w:t xml:space="preserve"> Illinois</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2E885F21" w14:textId="77777777">
            <w:pPr>
              <w:jc w:val="right"/>
              <w:rPr>
                <w:sz w:val="20"/>
                <w:szCs w:val="20"/>
              </w:rPr>
            </w:pPr>
            <w:r w:rsidRPr="003E784F">
              <w:rPr>
                <w:sz w:val="20"/>
                <w:szCs w:val="20"/>
              </w:rPr>
              <w:t>5</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40B62E75" w14:textId="77777777">
            <w:pPr>
              <w:jc w:val="right"/>
              <w:rPr>
                <w:sz w:val="20"/>
                <w:szCs w:val="20"/>
              </w:rPr>
            </w:pPr>
            <w:r w:rsidRPr="003E784F">
              <w:rPr>
                <w:sz w:val="20"/>
                <w:szCs w:val="20"/>
              </w:rPr>
              <w:t>1</w:t>
            </w:r>
          </w:p>
        </w:tc>
      </w:tr>
      <w:tr w:rsidR="002707CD" w:rsidTr="00453AFD" w14:paraId="638DB7B0"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3E784F" w:rsidR="002707CD" w:rsidP="00453AFD" w:rsidRDefault="002707CD" w14:paraId="1A844490" w14:textId="77777777">
            <w:pPr>
              <w:rPr>
                <w:sz w:val="20"/>
                <w:szCs w:val="20"/>
              </w:rPr>
            </w:pPr>
            <w:r w:rsidRPr="003E784F">
              <w:rPr>
                <w:sz w:val="20"/>
                <w:szCs w:val="20"/>
              </w:rPr>
              <w:t xml:space="preserve"> Indiana</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5F470E25" w14:textId="77777777">
            <w:pPr>
              <w:jc w:val="right"/>
              <w:rPr>
                <w:sz w:val="20"/>
                <w:szCs w:val="20"/>
              </w:rPr>
            </w:pPr>
            <w:r w:rsidRPr="003E784F">
              <w:rPr>
                <w:sz w:val="20"/>
                <w:szCs w:val="20"/>
              </w:rPr>
              <w:t>5</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43F6865F" w14:textId="77777777">
            <w:pPr>
              <w:jc w:val="right"/>
              <w:rPr>
                <w:sz w:val="20"/>
                <w:szCs w:val="20"/>
              </w:rPr>
            </w:pPr>
            <w:r w:rsidRPr="003E784F">
              <w:rPr>
                <w:sz w:val="20"/>
                <w:szCs w:val="20"/>
              </w:rPr>
              <w:t>1</w:t>
            </w:r>
          </w:p>
        </w:tc>
      </w:tr>
      <w:tr w:rsidR="002707CD" w:rsidTr="00453AFD" w14:paraId="3923A4D1"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3E784F" w:rsidR="002707CD" w:rsidP="00453AFD" w:rsidRDefault="002707CD" w14:paraId="4ECCB839" w14:textId="77777777">
            <w:pPr>
              <w:rPr>
                <w:sz w:val="20"/>
                <w:szCs w:val="20"/>
              </w:rPr>
            </w:pPr>
            <w:r w:rsidRPr="003E784F">
              <w:rPr>
                <w:sz w:val="20"/>
                <w:szCs w:val="20"/>
              </w:rPr>
              <w:t xml:space="preserve"> New Jersey</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1EC44205" w14:textId="77777777">
            <w:pPr>
              <w:jc w:val="right"/>
              <w:rPr>
                <w:sz w:val="20"/>
                <w:szCs w:val="20"/>
              </w:rPr>
            </w:pPr>
            <w:r w:rsidRPr="003E784F">
              <w:rPr>
                <w:sz w:val="20"/>
                <w:szCs w:val="20"/>
              </w:rPr>
              <w:t>2</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6A256F17" w14:textId="711015E4">
            <w:pPr>
              <w:jc w:val="right"/>
              <w:rPr>
                <w:sz w:val="20"/>
                <w:szCs w:val="20"/>
              </w:rPr>
            </w:pPr>
            <w:r w:rsidRPr="003E784F">
              <w:rPr>
                <w:sz w:val="20"/>
                <w:szCs w:val="20"/>
              </w:rPr>
              <w:t>1</w:t>
            </w:r>
          </w:p>
        </w:tc>
      </w:tr>
      <w:tr w:rsidR="002707CD" w:rsidTr="00453AFD" w14:paraId="3BD57D32"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3E784F" w:rsidR="002707CD" w:rsidP="00453AFD" w:rsidRDefault="002707CD" w14:paraId="2776A923" w14:textId="77777777">
            <w:pPr>
              <w:rPr>
                <w:sz w:val="20"/>
                <w:szCs w:val="20"/>
              </w:rPr>
            </w:pPr>
            <w:r w:rsidRPr="003E784F">
              <w:rPr>
                <w:sz w:val="20"/>
                <w:szCs w:val="20"/>
              </w:rPr>
              <w:t xml:space="preserve"> New York</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0E437AEF" w14:textId="77777777">
            <w:pPr>
              <w:jc w:val="right"/>
              <w:rPr>
                <w:sz w:val="20"/>
                <w:szCs w:val="20"/>
              </w:rPr>
            </w:pPr>
            <w:r w:rsidRPr="003E784F">
              <w:rPr>
                <w:sz w:val="20"/>
                <w:szCs w:val="20"/>
              </w:rPr>
              <w:t>2</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4DCFE6C9" w14:textId="77777777">
            <w:pPr>
              <w:jc w:val="right"/>
              <w:rPr>
                <w:sz w:val="20"/>
                <w:szCs w:val="20"/>
              </w:rPr>
            </w:pPr>
            <w:r w:rsidRPr="003E784F">
              <w:rPr>
                <w:sz w:val="20"/>
                <w:szCs w:val="20"/>
              </w:rPr>
              <w:t>1</w:t>
            </w:r>
          </w:p>
        </w:tc>
      </w:tr>
      <w:tr w:rsidR="002707CD" w:rsidTr="00453AFD" w14:paraId="755D65B4"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3E784F" w:rsidR="002707CD" w:rsidP="00453AFD" w:rsidRDefault="002707CD" w14:paraId="0830A848" w14:textId="77777777">
            <w:pPr>
              <w:rPr>
                <w:sz w:val="20"/>
                <w:szCs w:val="20"/>
              </w:rPr>
            </w:pPr>
            <w:r w:rsidRPr="003E784F">
              <w:rPr>
                <w:sz w:val="20"/>
                <w:szCs w:val="20"/>
              </w:rPr>
              <w:t xml:space="preserve"> Texas</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4DB47FB6" w14:textId="77777777">
            <w:pPr>
              <w:jc w:val="right"/>
              <w:rPr>
                <w:sz w:val="20"/>
                <w:szCs w:val="20"/>
              </w:rPr>
            </w:pPr>
            <w:r w:rsidRPr="003E784F">
              <w:rPr>
                <w:sz w:val="20"/>
                <w:szCs w:val="20"/>
              </w:rPr>
              <w:t>6</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209453BE" w14:textId="1124D03B">
            <w:pPr>
              <w:jc w:val="right"/>
              <w:rPr>
                <w:sz w:val="20"/>
                <w:szCs w:val="20"/>
              </w:rPr>
            </w:pPr>
            <w:r w:rsidRPr="003E784F">
              <w:rPr>
                <w:sz w:val="20"/>
                <w:szCs w:val="20"/>
              </w:rPr>
              <w:t>1</w:t>
            </w:r>
          </w:p>
        </w:tc>
      </w:tr>
      <w:tr w:rsidR="002707CD" w:rsidTr="00453AFD" w14:paraId="6710D2C1"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3E784F" w:rsidR="002707CD" w:rsidP="00453AFD" w:rsidRDefault="002707CD" w14:paraId="1B13A7C0" w14:textId="77777777">
            <w:pPr>
              <w:rPr>
                <w:sz w:val="20"/>
                <w:szCs w:val="20"/>
              </w:rPr>
            </w:pPr>
            <w:r w:rsidRPr="003E784F">
              <w:rPr>
                <w:sz w:val="20"/>
                <w:szCs w:val="20"/>
              </w:rPr>
              <w:t xml:space="preserve"> Wisconsin</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5C171FE1" w14:textId="77777777">
            <w:pPr>
              <w:jc w:val="right"/>
              <w:rPr>
                <w:sz w:val="20"/>
                <w:szCs w:val="20"/>
              </w:rPr>
            </w:pPr>
            <w:r w:rsidRPr="003E784F">
              <w:rPr>
                <w:sz w:val="20"/>
                <w:szCs w:val="20"/>
              </w:rPr>
              <w:t>5</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3E784F" w:rsidR="002707CD" w:rsidP="00453AFD" w:rsidRDefault="002707CD" w14:paraId="7E2EDE3D" w14:textId="4C551969">
            <w:pPr>
              <w:jc w:val="right"/>
              <w:rPr>
                <w:sz w:val="20"/>
                <w:szCs w:val="20"/>
              </w:rPr>
            </w:pPr>
            <w:r w:rsidRPr="003E784F">
              <w:rPr>
                <w:sz w:val="20"/>
                <w:szCs w:val="20"/>
              </w:rPr>
              <w:t>1</w:t>
            </w:r>
          </w:p>
        </w:tc>
      </w:tr>
    </w:tbl>
    <w:p w:rsidR="002707CD" w:rsidP="002707CD" w:rsidRDefault="002707CD" w14:paraId="0B72150D" w14:textId="77777777"/>
    <w:p w:rsidR="002707CD" w:rsidP="002707CD" w:rsidRDefault="002707CD" w14:paraId="329E4C85" w14:textId="77777777"/>
    <w:p w:rsidR="005170B7" w:rsidP="006F537A" w:rsidRDefault="005170B7" w14:paraId="54D9AF9B" w14:textId="183B39EA">
      <w:pPr>
        <w:ind w:left="360"/>
      </w:pPr>
      <w:r>
        <w:tab/>
        <w:t xml:space="preserve">Table </w:t>
      </w:r>
      <w:r w:rsidR="002707CD">
        <w:t>3</w:t>
      </w:r>
      <w:r>
        <w:t xml:space="preserve"> lists the </w:t>
      </w:r>
      <w:r w:rsidR="00CD7B77">
        <w:t>5</w:t>
      </w:r>
      <w:r w:rsidR="009F6F67">
        <w:t>2</w:t>
      </w:r>
      <w:r w:rsidR="00CD7B77">
        <w:t xml:space="preserve"> </w:t>
      </w:r>
      <w:r>
        <w:t>nonattainment areas</w:t>
      </w:r>
      <w:r w:rsidR="008175AF">
        <w:t xml:space="preserve"> for the 2015 ozone standards</w:t>
      </w:r>
      <w:r>
        <w:t>.</w:t>
      </w:r>
      <w:r w:rsidR="00950360">
        <w:t xml:space="preserve"> The analysis estimates the burden for each state to prepare and submit the SIP revisions required for their respective nonattainment areas</w:t>
      </w:r>
      <w:r w:rsidR="003324D8">
        <w:t>, or portions of nonattainment areas,</w:t>
      </w:r>
      <w:r w:rsidR="00950360">
        <w:t xml:space="preserve"> based on the area’s classification.</w:t>
      </w:r>
      <w:r w:rsidR="00544CC9">
        <w:rPr>
          <w:rStyle w:val="FootnoteReference"/>
        </w:rPr>
        <w:footnoteReference w:id="7"/>
      </w:r>
      <w:r w:rsidR="003324D8">
        <w:t xml:space="preserve"> For the 5</w:t>
      </w:r>
      <w:r w:rsidR="00544CC9">
        <w:t>0</w:t>
      </w:r>
      <w:r w:rsidR="003324D8">
        <w:t xml:space="preserve"> nonattainment areas identified</w:t>
      </w:r>
      <w:r w:rsidR="00544CC9">
        <w:t xml:space="preserve"> for which states are required to develop and submit SIP revisions for implementing the </w:t>
      </w:r>
      <w:r w:rsidR="00544CC9">
        <w:lastRenderedPageBreak/>
        <w:t>2015 ozone NAAQS</w:t>
      </w:r>
      <w:r w:rsidR="003324D8">
        <w:t>, there are 7 multi-state nonattainment areas, each of which requires a submission from multiple affected states.</w:t>
      </w:r>
      <w:r w:rsidR="00950360">
        <w:t xml:space="preserve"> The estimate also includes the requirements for the </w:t>
      </w:r>
      <w:r w:rsidR="001178F7">
        <w:t xml:space="preserve">12 </w:t>
      </w:r>
      <w:r w:rsidR="00950360">
        <w:t>states</w:t>
      </w:r>
      <w:r w:rsidR="001178F7">
        <w:t xml:space="preserve"> and the District of Columbia</w:t>
      </w:r>
      <w:r w:rsidR="00950360">
        <w:t xml:space="preserve"> in the OTR to determine if RACT is satisfied by </w:t>
      </w:r>
      <w:r w:rsidR="00F8612A">
        <w:t xml:space="preserve">a </w:t>
      </w:r>
      <w:r w:rsidR="00996DA4">
        <w:t>previously-</w:t>
      </w:r>
      <w:r w:rsidR="00977BFA">
        <w:t xml:space="preserve">approved </w:t>
      </w:r>
      <w:r w:rsidR="00950360">
        <w:t xml:space="preserve">state SIP. </w:t>
      </w:r>
      <w:r>
        <w:t xml:space="preserve"> The analysis estimates the areas that must prepare an attainment demonstration as well as submit RFP and RACT SIP</w:t>
      </w:r>
      <w:r w:rsidR="00F8612A">
        <w:t>s</w:t>
      </w:r>
      <w:r>
        <w:t xml:space="preserve"> based on the areas</w:t>
      </w:r>
      <w:r w:rsidR="00F8612A">
        <w:t>’</w:t>
      </w:r>
      <w:r>
        <w:t xml:space="preserve"> original classification</w:t>
      </w:r>
      <w:r w:rsidR="009F6F67">
        <w:t>.</w:t>
      </w:r>
      <w:r>
        <w:t xml:space="preserve">  The states with areas classified Moderate or higher are </w:t>
      </w:r>
      <w:r w:rsidR="00F8612A">
        <w:t>subject to</w:t>
      </w:r>
      <w:r>
        <w:t xml:space="preserve"> the </w:t>
      </w:r>
      <w:r w:rsidRPr="00B775C7">
        <w:t>attainment</w:t>
      </w:r>
      <w:r>
        <w:t xml:space="preserve"> demonstration</w:t>
      </w:r>
      <w:r w:rsidR="003961D7">
        <w:rPr>
          <w:rStyle w:val="FootnoteReference"/>
        </w:rPr>
        <w:footnoteReference w:id="8"/>
      </w:r>
      <w:r>
        <w:t xml:space="preserve">, </w:t>
      </w:r>
      <w:r w:rsidR="0021371E">
        <w:t>RACT</w:t>
      </w:r>
      <w:r>
        <w:t xml:space="preserve"> SIP submission, and </w:t>
      </w:r>
      <w:r w:rsidR="0021371E">
        <w:t>RFP</w:t>
      </w:r>
      <w:r>
        <w:t xml:space="preserve"> SIP submission</w:t>
      </w:r>
      <w:r w:rsidR="00F8612A">
        <w:t xml:space="preserve"> requirements</w:t>
      </w:r>
      <w:r>
        <w:t xml:space="preserve">.  </w:t>
      </w:r>
    </w:p>
    <w:p w:rsidR="005170B7" w:rsidP="00115BDD" w:rsidRDefault="005170B7" w14:paraId="0BE5D5A5" w14:textId="77777777">
      <w:pPr>
        <w:ind w:left="360"/>
      </w:pPr>
    </w:p>
    <w:p w:rsidR="005170B7" w:rsidP="00115BDD" w:rsidRDefault="005170B7" w14:paraId="0B41CCC6" w14:textId="621C64F9">
      <w:pPr>
        <w:ind w:left="360"/>
      </w:pPr>
      <w:r>
        <w:tab/>
        <w:t xml:space="preserve">There are other entities that may be indirectly affected by </w:t>
      </w:r>
      <w:r w:rsidR="00947619">
        <w:t>state SIP submissions</w:t>
      </w:r>
      <w:r>
        <w:t xml:space="preserve">, as they may comment on the draft submissions before they are forwarded to EPA’s Regional Offices.  These include potentially regulated entities, representatives of special interest groups, and individuals.  Consideration of the burden on these entities is beyond the scope of the Paperwork Reduction Act. </w:t>
      </w:r>
    </w:p>
    <w:p w:rsidR="005170B7" w:rsidP="00115BDD" w:rsidRDefault="005170B7" w14:paraId="76597363" w14:textId="77777777">
      <w:pPr>
        <w:ind w:left="360"/>
        <w:rPr>
          <w:b/>
        </w:rPr>
      </w:pPr>
    </w:p>
    <w:p w:rsidRPr="00950360" w:rsidR="00950360" w:rsidP="00950360" w:rsidRDefault="005170B7" w14:paraId="4BD4CA8E" w14:textId="19892B33">
      <w:pPr>
        <w:ind w:left="360"/>
        <w:rPr>
          <w:b/>
          <w:bCs/>
        </w:rPr>
      </w:pPr>
      <w:r w:rsidRPr="00A06C92">
        <w:rPr>
          <w:b/>
        </w:rPr>
        <w:t xml:space="preserve">Table </w:t>
      </w:r>
      <w:r w:rsidR="002707CD">
        <w:rPr>
          <w:b/>
        </w:rPr>
        <w:t>3</w:t>
      </w:r>
      <w:r w:rsidRPr="00A06C92">
        <w:rPr>
          <w:b/>
        </w:rPr>
        <w:t xml:space="preserve">.  Classifications </w:t>
      </w:r>
      <w:r w:rsidR="00950360">
        <w:rPr>
          <w:b/>
        </w:rPr>
        <w:t xml:space="preserve">of </w:t>
      </w:r>
      <w:r w:rsidRPr="00950360" w:rsidR="00950360">
        <w:rPr>
          <w:b/>
          <w:bCs/>
        </w:rPr>
        <w:t>8-Hour Ozone (2015) Nonattainment Areas</w:t>
      </w:r>
      <w:r w:rsidR="004E5076">
        <w:rPr>
          <w:rStyle w:val="FootnoteReference"/>
          <w:b/>
          <w:bCs/>
        </w:rPr>
        <w:footnoteReference w:id="9"/>
      </w:r>
    </w:p>
    <w:p w:rsidRPr="00950360" w:rsidR="00950360" w:rsidP="00950360" w:rsidRDefault="00950360" w14:paraId="638C1384" w14:textId="77777777">
      <w:pPr>
        <w:pStyle w:val="HTMLPreformatted"/>
        <w:ind w:left="720"/>
        <w:rPr>
          <w:rFonts w:ascii="Times New Roman" w:hAnsi="Times New Roman" w:cs="Times New Roman"/>
          <w:b/>
          <w:bCs/>
          <w:sz w:val="24"/>
          <w:szCs w:val="24"/>
        </w:rPr>
      </w:pPr>
    </w:p>
    <w:tbl>
      <w:tblPr>
        <w:tblW w:w="8125" w:type="dxa"/>
        <w:tblInd w:w="495" w:type="dxa"/>
        <w:tblLook w:val="00A0" w:firstRow="1" w:lastRow="0" w:firstColumn="1" w:lastColumn="0" w:noHBand="0" w:noVBand="0"/>
      </w:tblPr>
      <w:tblGrid>
        <w:gridCol w:w="4615"/>
        <w:gridCol w:w="3510"/>
      </w:tblGrid>
      <w:tr w:rsidRPr="003E784F" w:rsidR="005D3B18" w:rsidTr="00D50655" w14:paraId="1DD92E88" w14:textId="4F6C5E7B">
        <w:trPr>
          <w:trHeight w:val="610"/>
        </w:trPr>
        <w:tc>
          <w:tcPr>
            <w:tcW w:w="4615" w:type="dxa"/>
            <w:tcBorders>
              <w:top w:val="single" w:color="auto" w:sz="8" w:space="0"/>
              <w:left w:val="single" w:color="auto" w:sz="8" w:space="0"/>
              <w:bottom w:val="single" w:color="auto" w:sz="8" w:space="0"/>
              <w:right w:val="single" w:color="auto" w:sz="8" w:space="0"/>
            </w:tcBorders>
            <w:vAlign w:val="center"/>
          </w:tcPr>
          <w:p w:rsidRPr="003E784F" w:rsidR="005D3B18" w:rsidP="00E226D9" w:rsidRDefault="005D3B18" w14:paraId="378F4528" w14:textId="2D82C970">
            <w:pPr>
              <w:jc w:val="center"/>
              <w:rPr>
                <w:b/>
                <w:bCs/>
                <w:sz w:val="20"/>
                <w:szCs w:val="20"/>
              </w:rPr>
            </w:pPr>
            <w:r w:rsidRPr="003E784F">
              <w:rPr>
                <w:b/>
                <w:bCs/>
                <w:sz w:val="20"/>
                <w:szCs w:val="20"/>
              </w:rPr>
              <w:t>20</w:t>
            </w:r>
            <w:r>
              <w:rPr>
                <w:b/>
                <w:bCs/>
                <w:sz w:val="20"/>
                <w:szCs w:val="20"/>
              </w:rPr>
              <w:t>15</w:t>
            </w:r>
            <w:r w:rsidRPr="003E784F">
              <w:rPr>
                <w:b/>
                <w:bCs/>
                <w:sz w:val="20"/>
                <w:szCs w:val="20"/>
              </w:rPr>
              <w:t xml:space="preserve"> Ozone NAAQS Nonattainment Areas</w:t>
            </w:r>
          </w:p>
        </w:tc>
        <w:tc>
          <w:tcPr>
            <w:tcW w:w="3510" w:type="dxa"/>
            <w:tcBorders>
              <w:top w:val="single" w:color="auto" w:sz="8" w:space="0"/>
              <w:left w:val="single" w:color="auto" w:sz="8" w:space="0"/>
              <w:bottom w:val="single" w:color="auto" w:sz="8" w:space="0"/>
              <w:right w:val="single" w:color="auto" w:sz="8" w:space="0"/>
            </w:tcBorders>
          </w:tcPr>
          <w:p w:rsidR="005D3B18" w:rsidP="005D3B18" w:rsidRDefault="005D3B18" w14:paraId="6A8280E8" w14:textId="77777777">
            <w:pPr>
              <w:jc w:val="center"/>
              <w:rPr>
                <w:b/>
                <w:bCs/>
                <w:sz w:val="20"/>
                <w:szCs w:val="20"/>
              </w:rPr>
            </w:pPr>
          </w:p>
          <w:p w:rsidRPr="003E784F" w:rsidR="005D3B18" w:rsidP="005D3B18" w:rsidRDefault="005D3B18" w14:paraId="0B717CC3" w14:textId="7BCF9A46">
            <w:pPr>
              <w:jc w:val="center"/>
              <w:rPr>
                <w:b/>
                <w:bCs/>
                <w:sz w:val="20"/>
                <w:szCs w:val="20"/>
              </w:rPr>
            </w:pPr>
            <w:r w:rsidRPr="003E784F">
              <w:rPr>
                <w:b/>
                <w:bCs/>
                <w:sz w:val="20"/>
                <w:szCs w:val="20"/>
              </w:rPr>
              <w:t>20</w:t>
            </w:r>
            <w:r>
              <w:rPr>
                <w:b/>
                <w:bCs/>
                <w:sz w:val="20"/>
                <w:szCs w:val="20"/>
              </w:rPr>
              <w:t>15</w:t>
            </w:r>
            <w:r w:rsidRPr="003E784F">
              <w:rPr>
                <w:b/>
                <w:bCs/>
                <w:sz w:val="20"/>
                <w:szCs w:val="20"/>
              </w:rPr>
              <w:t xml:space="preserve"> Ozone NAAQS </w:t>
            </w:r>
            <w:r>
              <w:rPr>
                <w:b/>
                <w:bCs/>
                <w:sz w:val="20"/>
                <w:szCs w:val="20"/>
              </w:rPr>
              <w:t>Classification</w:t>
            </w:r>
          </w:p>
        </w:tc>
      </w:tr>
      <w:tr w:rsidRPr="003E784F" w:rsidR="005D3B18" w:rsidTr="005D3B18" w14:paraId="16913E32" w14:textId="6109C3BB">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5D3B18" w:rsidP="00250675" w:rsidRDefault="005D3B18" w14:paraId="50B52EA9" w14:textId="65B22BBB">
            <w:pPr>
              <w:rPr>
                <w:sz w:val="20"/>
                <w:szCs w:val="20"/>
              </w:rPr>
            </w:pPr>
            <w:r w:rsidRPr="0013109A">
              <w:rPr>
                <w:bCs/>
              </w:rPr>
              <w:t>Los Angeles-South Coast Air Basin, CA</w:t>
            </w:r>
          </w:p>
        </w:tc>
        <w:tc>
          <w:tcPr>
            <w:tcW w:w="3510" w:type="dxa"/>
            <w:tcBorders>
              <w:top w:val="single" w:color="auto" w:sz="8" w:space="0"/>
              <w:left w:val="single" w:color="auto" w:sz="4" w:space="0"/>
              <w:bottom w:val="single" w:color="auto" w:sz="4" w:space="0"/>
              <w:right w:val="single" w:color="auto" w:sz="4" w:space="0"/>
            </w:tcBorders>
          </w:tcPr>
          <w:p w:rsidRPr="0013109A" w:rsidR="005D3B18" w:rsidP="00250675" w:rsidRDefault="005D3B18" w14:paraId="4EA6CC5A" w14:textId="0D55909D">
            <w:pPr>
              <w:rPr>
                <w:bCs/>
              </w:rPr>
            </w:pPr>
            <w:r>
              <w:rPr>
                <w:bCs/>
              </w:rPr>
              <w:t>Extreme</w:t>
            </w:r>
          </w:p>
        </w:tc>
      </w:tr>
      <w:tr w:rsidRPr="003E784F" w:rsidR="005D3B18" w:rsidTr="005D3B18" w14:paraId="3DEBCE4C" w14:textId="4145B7F0">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5D3B18" w:rsidP="00250675" w:rsidRDefault="005D3B18" w14:paraId="5D0BBBFC" w14:textId="05B70CF5">
            <w:pPr>
              <w:rPr>
                <w:sz w:val="20"/>
                <w:szCs w:val="20"/>
              </w:rPr>
            </w:pPr>
            <w:r w:rsidRPr="0013109A">
              <w:rPr>
                <w:bCs/>
              </w:rPr>
              <w:t>San Joaquin Valley, CA</w:t>
            </w:r>
          </w:p>
        </w:tc>
        <w:tc>
          <w:tcPr>
            <w:tcW w:w="3510" w:type="dxa"/>
            <w:tcBorders>
              <w:top w:val="single" w:color="auto" w:sz="8" w:space="0"/>
              <w:left w:val="single" w:color="auto" w:sz="4" w:space="0"/>
              <w:bottom w:val="single" w:color="auto" w:sz="4" w:space="0"/>
              <w:right w:val="single" w:color="auto" w:sz="4" w:space="0"/>
            </w:tcBorders>
          </w:tcPr>
          <w:p w:rsidRPr="0013109A" w:rsidR="005D3B18" w:rsidP="00250675" w:rsidRDefault="005D3B18" w14:paraId="2AAE5A90" w14:textId="3EA49BF5">
            <w:pPr>
              <w:rPr>
                <w:bCs/>
              </w:rPr>
            </w:pPr>
            <w:r>
              <w:rPr>
                <w:bCs/>
              </w:rPr>
              <w:t>Extreme</w:t>
            </w:r>
          </w:p>
        </w:tc>
      </w:tr>
      <w:tr w:rsidRPr="003E784F" w:rsidR="005D3B18" w:rsidTr="005D3B18" w14:paraId="2E2F0DD3" w14:textId="1FC297A3">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5D3B18" w:rsidP="00250675" w:rsidRDefault="005D3B18" w14:paraId="42FF1D38" w14:textId="31FA14BC">
            <w:pPr>
              <w:rPr>
                <w:sz w:val="20"/>
                <w:szCs w:val="20"/>
              </w:rPr>
            </w:pPr>
            <w:r w:rsidRPr="0013109A">
              <w:rPr>
                <w:bCs/>
              </w:rPr>
              <w:t>Los Angeles-San Bernardino Counties (West Mojave Desert), CA</w:t>
            </w:r>
          </w:p>
        </w:tc>
        <w:tc>
          <w:tcPr>
            <w:tcW w:w="3510" w:type="dxa"/>
            <w:tcBorders>
              <w:top w:val="single" w:color="auto" w:sz="8" w:space="0"/>
              <w:left w:val="single" w:color="auto" w:sz="4" w:space="0"/>
              <w:bottom w:val="single" w:color="auto" w:sz="4" w:space="0"/>
              <w:right w:val="single" w:color="auto" w:sz="4" w:space="0"/>
            </w:tcBorders>
          </w:tcPr>
          <w:p w:rsidRPr="0013109A" w:rsidR="005D3B18" w:rsidP="00250675" w:rsidRDefault="00FF2FAB" w14:paraId="07400164" w14:textId="5094DD08">
            <w:pPr>
              <w:rPr>
                <w:bCs/>
              </w:rPr>
            </w:pPr>
            <w:r>
              <w:rPr>
                <w:bCs/>
              </w:rPr>
              <w:t>Severe 15</w:t>
            </w:r>
          </w:p>
        </w:tc>
      </w:tr>
      <w:tr w:rsidRPr="003E784F" w:rsidR="005D3B18" w:rsidTr="005D3B18" w14:paraId="6C034AB9" w14:textId="309A3D78">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3E784F" w:rsidR="005D3B18" w:rsidP="00250675" w:rsidRDefault="005D3B18" w14:paraId="5E3232EA" w14:textId="5A796CB2">
            <w:pPr>
              <w:rPr>
                <w:sz w:val="20"/>
                <w:szCs w:val="20"/>
              </w:rPr>
            </w:pPr>
            <w:r w:rsidRPr="0013109A">
              <w:rPr>
                <w:bCs/>
              </w:rPr>
              <w:t>Riverside County (Coachella Valley), CA</w:t>
            </w:r>
          </w:p>
        </w:tc>
        <w:tc>
          <w:tcPr>
            <w:tcW w:w="3510" w:type="dxa"/>
            <w:tcBorders>
              <w:top w:val="single" w:color="auto" w:sz="8" w:space="0"/>
              <w:left w:val="single" w:color="auto" w:sz="4" w:space="0"/>
              <w:bottom w:val="single" w:color="auto" w:sz="4" w:space="0"/>
              <w:right w:val="single" w:color="auto" w:sz="4" w:space="0"/>
            </w:tcBorders>
          </w:tcPr>
          <w:p w:rsidRPr="0013109A" w:rsidR="005D3B18" w:rsidP="00250675" w:rsidRDefault="00FF2FAB" w14:paraId="2834F13F" w14:textId="4767CF2C">
            <w:pPr>
              <w:rPr>
                <w:bCs/>
              </w:rPr>
            </w:pPr>
            <w:r>
              <w:rPr>
                <w:bCs/>
              </w:rPr>
              <w:t>Severe 15</w:t>
            </w:r>
          </w:p>
        </w:tc>
      </w:tr>
      <w:tr w:rsidRPr="003E784F" w:rsidR="005D3B18" w:rsidTr="005D3B18" w14:paraId="77A66395" w14:textId="38F8FE8E">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5D3B18" w:rsidP="00250675" w:rsidRDefault="005D3B18" w14:paraId="261998F1" w14:textId="110C1F61">
            <w:pPr>
              <w:rPr>
                <w:b/>
                <w:bCs/>
              </w:rPr>
            </w:pPr>
            <w:r w:rsidRPr="0062130E">
              <w:rPr>
                <w:bCs/>
              </w:rPr>
              <w:t>Morongo Band of Mission Indians, CA</w:t>
            </w:r>
          </w:p>
        </w:tc>
        <w:tc>
          <w:tcPr>
            <w:tcW w:w="3510" w:type="dxa"/>
            <w:tcBorders>
              <w:top w:val="single" w:color="auto" w:sz="8" w:space="0"/>
              <w:left w:val="single" w:color="auto" w:sz="4" w:space="0"/>
              <w:bottom w:val="single" w:color="auto" w:sz="8" w:space="0"/>
              <w:right w:val="single" w:color="auto" w:sz="4" w:space="0"/>
            </w:tcBorders>
          </w:tcPr>
          <w:p w:rsidRPr="0062130E" w:rsidR="005D3B18" w:rsidP="00250675" w:rsidRDefault="00FF2FAB" w14:paraId="434A64BA" w14:textId="2443E8F5">
            <w:pPr>
              <w:rPr>
                <w:bCs/>
              </w:rPr>
            </w:pPr>
            <w:r>
              <w:rPr>
                <w:bCs/>
              </w:rPr>
              <w:t>Serious</w:t>
            </w:r>
          </w:p>
        </w:tc>
      </w:tr>
      <w:tr w:rsidRPr="003E784F" w:rsidR="005D3B18" w:rsidTr="005D3B18" w14:paraId="51E69F26" w14:textId="2B8A216E">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5D3B18" w:rsidP="00250675" w:rsidRDefault="005D3B18" w14:paraId="770C4183" w14:textId="191C893C">
            <w:pPr>
              <w:rPr>
                <w:b/>
                <w:bCs/>
              </w:rPr>
            </w:pPr>
            <w:r w:rsidRPr="0062130E">
              <w:rPr>
                <w:bCs/>
              </w:rPr>
              <w:t>Ventura County, CA</w:t>
            </w:r>
          </w:p>
        </w:tc>
        <w:tc>
          <w:tcPr>
            <w:tcW w:w="3510" w:type="dxa"/>
            <w:tcBorders>
              <w:top w:val="single" w:color="auto" w:sz="8" w:space="0"/>
              <w:left w:val="single" w:color="auto" w:sz="4" w:space="0"/>
              <w:bottom w:val="single" w:color="auto" w:sz="8" w:space="0"/>
              <w:right w:val="single" w:color="auto" w:sz="4" w:space="0"/>
            </w:tcBorders>
          </w:tcPr>
          <w:p w:rsidRPr="0062130E" w:rsidR="005D3B18" w:rsidP="00250675" w:rsidRDefault="00FF2FAB" w14:paraId="6D315066" w14:textId="46E74686">
            <w:pPr>
              <w:rPr>
                <w:bCs/>
              </w:rPr>
            </w:pPr>
            <w:r>
              <w:rPr>
                <w:bCs/>
              </w:rPr>
              <w:t>Serious</w:t>
            </w:r>
          </w:p>
        </w:tc>
      </w:tr>
      <w:tr w:rsidRPr="003E784F" w:rsidR="005D3B18" w:rsidTr="005D3B18" w14:paraId="37C761AB" w14:textId="66996984">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5D3B18" w:rsidP="00250675" w:rsidRDefault="005D3B18" w14:paraId="3D483660" w14:textId="12337BEE">
            <w:pPr>
              <w:rPr>
                <w:b/>
                <w:bCs/>
              </w:rPr>
            </w:pPr>
            <w:r w:rsidRPr="0062130E">
              <w:rPr>
                <w:bCs/>
              </w:rPr>
              <w:t>Kern County (Eastern Kern), CA</w:t>
            </w:r>
          </w:p>
        </w:tc>
        <w:tc>
          <w:tcPr>
            <w:tcW w:w="3510" w:type="dxa"/>
            <w:tcBorders>
              <w:top w:val="single" w:color="auto" w:sz="8" w:space="0"/>
              <w:left w:val="single" w:color="auto" w:sz="4" w:space="0"/>
              <w:bottom w:val="single" w:color="auto" w:sz="8" w:space="0"/>
              <w:right w:val="single" w:color="auto" w:sz="4" w:space="0"/>
            </w:tcBorders>
          </w:tcPr>
          <w:p w:rsidRPr="0062130E" w:rsidR="005D3B18" w:rsidP="00250675" w:rsidRDefault="00FF2FAB" w14:paraId="2671CF1C" w14:textId="2F5E74D2">
            <w:pPr>
              <w:rPr>
                <w:bCs/>
              </w:rPr>
            </w:pPr>
            <w:r>
              <w:rPr>
                <w:bCs/>
              </w:rPr>
              <w:t>Moderate</w:t>
            </w:r>
          </w:p>
        </w:tc>
      </w:tr>
      <w:tr w:rsidRPr="003E784F" w:rsidR="005D3B18" w:rsidTr="005D3B18" w14:paraId="2F3EB86E" w14:textId="451C7C12">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5D3B18" w:rsidP="00250675" w:rsidRDefault="005D3B18" w14:paraId="76FAB54F" w14:textId="5C260BF6">
            <w:pPr>
              <w:rPr>
                <w:b/>
                <w:bCs/>
              </w:rPr>
            </w:pPr>
            <w:r w:rsidRPr="0062130E">
              <w:rPr>
                <w:bCs/>
              </w:rPr>
              <w:t>Nevada County (Western part), CA</w:t>
            </w:r>
          </w:p>
        </w:tc>
        <w:tc>
          <w:tcPr>
            <w:tcW w:w="3510" w:type="dxa"/>
            <w:tcBorders>
              <w:top w:val="single" w:color="auto" w:sz="8" w:space="0"/>
              <w:left w:val="single" w:color="auto" w:sz="4" w:space="0"/>
              <w:bottom w:val="single" w:color="auto" w:sz="8" w:space="0"/>
              <w:right w:val="single" w:color="auto" w:sz="4" w:space="0"/>
            </w:tcBorders>
          </w:tcPr>
          <w:p w:rsidRPr="0062130E" w:rsidR="005D3B18" w:rsidP="00250675" w:rsidRDefault="00FF2FAB" w14:paraId="70D0A962" w14:textId="498E85D1">
            <w:pPr>
              <w:rPr>
                <w:bCs/>
              </w:rPr>
            </w:pPr>
            <w:r>
              <w:rPr>
                <w:bCs/>
              </w:rPr>
              <w:t>Moderate</w:t>
            </w:r>
          </w:p>
        </w:tc>
      </w:tr>
      <w:tr w:rsidRPr="003E784F" w:rsidR="005D3B18" w:rsidTr="005D3B18" w14:paraId="11ABDF2C" w14:textId="11ECFB65">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5D3B18" w:rsidP="00250675" w:rsidRDefault="005D3B18" w14:paraId="4CC1029B" w14:textId="3AA5C68B">
            <w:pPr>
              <w:rPr>
                <w:b/>
                <w:bCs/>
              </w:rPr>
            </w:pPr>
            <w:r w:rsidRPr="0062130E">
              <w:rPr>
                <w:bCs/>
              </w:rPr>
              <w:t>New York-Northern New Jersey-Long Island, NY-NJ-CT</w:t>
            </w:r>
          </w:p>
        </w:tc>
        <w:tc>
          <w:tcPr>
            <w:tcW w:w="3510" w:type="dxa"/>
            <w:tcBorders>
              <w:top w:val="single" w:color="auto" w:sz="8" w:space="0"/>
              <w:left w:val="single" w:color="auto" w:sz="4" w:space="0"/>
              <w:bottom w:val="single" w:color="auto" w:sz="8" w:space="0"/>
              <w:right w:val="single" w:color="auto" w:sz="4" w:space="0"/>
            </w:tcBorders>
          </w:tcPr>
          <w:p w:rsidRPr="0062130E" w:rsidR="005D3B18" w:rsidP="00250675" w:rsidRDefault="00FF2FAB" w14:paraId="4B751F8B" w14:textId="7BB06CE1">
            <w:pPr>
              <w:rPr>
                <w:bCs/>
              </w:rPr>
            </w:pPr>
            <w:r>
              <w:rPr>
                <w:bCs/>
              </w:rPr>
              <w:t>Moderate</w:t>
            </w:r>
          </w:p>
        </w:tc>
      </w:tr>
      <w:tr w:rsidRPr="003E784F" w:rsidR="005D3B18" w:rsidTr="005D3B18" w14:paraId="4481FDD0" w14:textId="0ADF34D1">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5D3B18" w:rsidP="00250675" w:rsidRDefault="005D3B18" w14:paraId="19A1A596" w14:textId="04BE84BD">
            <w:pPr>
              <w:rPr>
                <w:b/>
                <w:bCs/>
              </w:rPr>
            </w:pPr>
            <w:r w:rsidRPr="0062130E">
              <w:rPr>
                <w:bCs/>
              </w:rPr>
              <w:t>Sacramento Metro, CA</w:t>
            </w:r>
          </w:p>
        </w:tc>
        <w:tc>
          <w:tcPr>
            <w:tcW w:w="3510" w:type="dxa"/>
            <w:tcBorders>
              <w:top w:val="single" w:color="auto" w:sz="8" w:space="0"/>
              <w:left w:val="single" w:color="auto" w:sz="4" w:space="0"/>
              <w:bottom w:val="single" w:color="auto" w:sz="8" w:space="0"/>
              <w:right w:val="single" w:color="auto" w:sz="4" w:space="0"/>
            </w:tcBorders>
          </w:tcPr>
          <w:p w:rsidRPr="0062130E" w:rsidR="005D3B18" w:rsidP="00250675" w:rsidRDefault="00FF2FAB" w14:paraId="2FF9F5B1" w14:textId="3A4DEF4C">
            <w:pPr>
              <w:rPr>
                <w:bCs/>
              </w:rPr>
            </w:pPr>
            <w:r>
              <w:rPr>
                <w:bCs/>
              </w:rPr>
              <w:t>Moderate</w:t>
            </w:r>
          </w:p>
        </w:tc>
      </w:tr>
      <w:tr w:rsidRPr="003E784F" w:rsidR="005D3B18" w:rsidTr="005D3B18" w14:paraId="33073FC0" w14:textId="552FA3DD">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250675" w:rsidR="005D3B18" w:rsidP="00250675" w:rsidRDefault="005D3B18" w14:paraId="49F2F332" w14:textId="17F267CC">
            <w:r w:rsidRPr="00250675">
              <w:t>San Diego County, CA</w:t>
            </w:r>
          </w:p>
        </w:tc>
        <w:tc>
          <w:tcPr>
            <w:tcW w:w="3510" w:type="dxa"/>
            <w:tcBorders>
              <w:top w:val="single" w:color="auto" w:sz="8" w:space="0"/>
              <w:left w:val="single" w:color="auto" w:sz="4" w:space="0"/>
              <w:bottom w:val="single" w:color="auto" w:sz="8" w:space="0"/>
              <w:right w:val="single" w:color="auto" w:sz="4" w:space="0"/>
            </w:tcBorders>
          </w:tcPr>
          <w:p w:rsidRPr="00250675" w:rsidR="005D3B18" w:rsidP="00250675" w:rsidRDefault="00FF2FAB" w14:paraId="1FAE454E" w14:textId="5AE1FE50">
            <w:r>
              <w:rPr>
                <w:bCs/>
              </w:rPr>
              <w:t>Moderate</w:t>
            </w:r>
          </w:p>
        </w:tc>
      </w:tr>
      <w:tr w:rsidRPr="003E784F" w:rsidR="005D3B18" w:rsidTr="005D3B18" w14:paraId="0D64D19F" w14:textId="1B01EEB1">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5D3B18" w:rsidP="00250675" w:rsidRDefault="005D3B18" w14:paraId="78EA0364" w14:textId="6BFB07C6">
            <w:pPr>
              <w:rPr>
                <w:b/>
                <w:bCs/>
              </w:rPr>
            </w:pPr>
            <w:r w:rsidRPr="00EA7AD9">
              <w:rPr>
                <w:bCs/>
              </w:rPr>
              <w:t>Allegan County, MI</w:t>
            </w:r>
          </w:p>
        </w:tc>
        <w:tc>
          <w:tcPr>
            <w:tcW w:w="3510" w:type="dxa"/>
            <w:tcBorders>
              <w:top w:val="single" w:color="auto" w:sz="8" w:space="0"/>
              <w:left w:val="single" w:color="auto" w:sz="4" w:space="0"/>
              <w:bottom w:val="single" w:color="auto" w:sz="8" w:space="0"/>
              <w:right w:val="single" w:color="auto" w:sz="4" w:space="0"/>
            </w:tcBorders>
          </w:tcPr>
          <w:p w:rsidRPr="00EA7AD9" w:rsidR="005D3B18" w:rsidP="00250675" w:rsidRDefault="00FF2FAB" w14:paraId="342EADAE" w14:textId="7144C98B">
            <w:pPr>
              <w:rPr>
                <w:bCs/>
              </w:rPr>
            </w:pPr>
            <w:r>
              <w:rPr>
                <w:bCs/>
              </w:rPr>
              <w:t>Marginal</w:t>
            </w:r>
          </w:p>
        </w:tc>
      </w:tr>
      <w:tr w:rsidRPr="003E784F" w:rsidR="00FF2FAB" w:rsidTr="005D3B18" w14:paraId="2764CF5D" w14:textId="2D165CE3">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6FCA774F" w14:textId="1866363C">
            <w:pPr>
              <w:rPr>
                <w:b/>
                <w:bCs/>
              </w:rPr>
            </w:pPr>
            <w:r w:rsidRPr="00EA7AD9">
              <w:rPr>
                <w:bCs/>
              </w:rPr>
              <w:t>Amador County, CA</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4DF632B3" w14:textId="35E16C07">
            <w:pPr>
              <w:rPr>
                <w:bCs/>
              </w:rPr>
            </w:pPr>
            <w:r w:rsidRPr="008B1D0F">
              <w:rPr>
                <w:bCs/>
              </w:rPr>
              <w:t>Marginal</w:t>
            </w:r>
          </w:p>
        </w:tc>
      </w:tr>
      <w:tr w:rsidRPr="003E784F" w:rsidR="00FF2FAB" w:rsidTr="005D3B18" w14:paraId="234964D9" w14:textId="1D6CEF68">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6173E0F9" w14:textId="243B66A7">
            <w:pPr>
              <w:rPr>
                <w:b/>
                <w:bCs/>
              </w:rPr>
            </w:pPr>
            <w:r w:rsidRPr="00EA7AD9">
              <w:rPr>
                <w:bCs/>
              </w:rPr>
              <w:t>Atlanta, GA</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772918E2" w14:textId="23FA28E7">
            <w:pPr>
              <w:rPr>
                <w:bCs/>
              </w:rPr>
            </w:pPr>
            <w:r w:rsidRPr="008B1D0F">
              <w:rPr>
                <w:bCs/>
              </w:rPr>
              <w:t>Marginal</w:t>
            </w:r>
          </w:p>
        </w:tc>
      </w:tr>
      <w:tr w:rsidRPr="003E784F" w:rsidR="00FF2FAB" w:rsidTr="005D3B18" w14:paraId="689E3D46" w14:textId="160D1FB7">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3A3E3ECE" w14:textId="15DDD9C1">
            <w:pPr>
              <w:rPr>
                <w:b/>
                <w:bCs/>
              </w:rPr>
            </w:pPr>
            <w:r w:rsidRPr="00EA7AD9">
              <w:rPr>
                <w:bCs/>
              </w:rPr>
              <w:t>Baltimore, MD</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10865CBE" w14:textId="4EFFF005">
            <w:pPr>
              <w:rPr>
                <w:bCs/>
              </w:rPr>
            </w:pPr>
            <w:r w:rsidRPr="008B1D0F">
              <w:rPr>
                <w:bCs/>
              </w:rPr>
              <w:t>Marginal</w:t>
            </w:r>
          </w:p>
        </w:tc>
      </w:tr>
      <w:tr w:rsidRPr="003E784F" w:rsidR="00FF2FAB" w:rsidTr="005D3B18" w14:paraId="5FE46058" w14:textId="204D918F">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2DF284AF" w14:textId="7AF786B8">
            <w:pPr>
              <w:rPr>
                <w:b/>
                <w:bCs/>
              </w:rPr>
            </w:pPr>
            <w:r w:rsidRPr="00EA7AD9">
              <w:rPr>
                <w:bCs/>
              </w:rPr>
              <w:t>Berrien County, MI</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5AD5D817" w14:textId="4BA7E24E">
            <w:pPr>
              <w:rPr>
                <w:bCs/>
              </w:rPr>
            </w:pPr>
            <w:r w:rsidRPr="008B1D0F">
              <w:rPr>
                <w:bCs/>
              </w:rPr>
              <w:t>Marginal</w:t>
            </w:r>
          </w:p>
        </w:tc>
      </w:tr>
      <w:tr w:rsidRPr="003E784F" w:rsidR="00FF2FAB" w:rsidTr="005D3B18" w14:paraId="35176FEB" w14:textId="0EEAD5E4">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5750E815" w14:textId="04F8373C">
            <w:pPr>
              <w:rPr>
                <w:b/>
                <w:bCs/>
              </w:rPr>
            </w:pPr>
            <w:r w:rsidRPr="00EA7AD9">
              <w:rPr>
                <w:bCs/>
              </w:rPr>
              <w:t>Butte County, CA</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621C3749" w14:textId="02A1B929">
            <w:pPr>
              <w:rPr>
                <w:bCs/>
              </w:rPr>
            </w:pPr>
            <w:r w:rsidRPr="008B1D0F">
              <w:rPr>
                <w:bCs/>
              </w:rPr>
              <w:t>Marginal</w:t>
            </w:r>
          </w:p>
        </w:tc>
      </w:tr>
      <w:tr w:rsidRPr="003E784F" w:rsidR="00FF2FAB" w:rsidTr="005D3B18" w14:paraId="177A6ACC" w14:textId="4693E294">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5F2D4FFA" w14:textId="416BABF9">
            <w:pPr>
              <w:rPr>
                <w:b/>
                <w:bCs/>
              </w:rPr>
            </w:pPr>
            <w:r w:rsidRPr="00EA7AD9">
              <w:rPr>
                <w:bCs/>
              </w:rPr>
              <w:t>Calaveras County, CA</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32681AA3" w14:textId="1148FFD0">
            <w:pPr>
              <w:rPr>
                <w:bCs/>
              </w:rPr>
            </w:pPr>
            <w:r w:rsidRPr="008B1D0F">
              <w:rPr>
                <w:bCs/>
              </w:rPr>
              <w:t>Marginal</w:t>
            </w:r>
          </w:p>
        </w:tc>
      </w:tr>
      <w:tr w:rsidRPr="003E784F" w:rsidR="00FF2FAB" w:rsidTr="005D3B18" w14:paraId="46D2D242" w14:textId="707ED8C4">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4E5FC9E8" w14:textId="5AB14B9E">
            <w:pPr>
              <w:rPr>
                <w:b/>
                <w:bCs/>
              </w:rPr>
            </w:pPr>
            <w:r w:rsidRPr="00EA7AD9">
              <w:rPr>
                <w:bCs/>
              </w:rPr>
              <w:lastRenderedPageBreak/>
              <w:t>Chicago, IL-IN-WI</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4D4EDDEC" w14:textId="388A7E98">
            <w:pPr>
              <w:rPr>
                <w:bCs/>
              </w:rPr>
            </w:pPr>
            <w:r w:rsidRPr="008B1D0F">
              <w:rPr>
                <w:bCs/>
              </w:rPr>
              <w:t>Marginal</w:t>
            </w:r>
          </w:p>
        </w:tc>
      </w:tr>
      <w:tr w:rsidRPr="003E784F" w:rsidR="00FF2FAB" w:rsidTr="005D3B18" w14:paraId="44EFFCF9" w14:textId="5734C60D">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20D907D1" w14:textId="5EAED645">
            <w:pPr>
              <w:rPr>
                <w:b/>
                <w:bCs/>
              </w:rPr>
            </w:pPr>
            <w:r w:rsidRPr="00EA7AD9">
              <w:rPr>
                <w:bCs/>
              </w:rPr>
              <w:t>Cincinnati, OH-KY</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1E9ED431" w14:textId="75448E02">
            <w:pPr>
              <w:rPr>
                <w:bCs/>
              </w:rPr>
            </w:pPr>
            <w:r w:rsidRPr="0041222B">
              <w:rPr>
                <w:bCs/>
              </w:rPr>
              <w:t>Marginal</w:t>
            </w:r>
          </w:p>
        </w:tc>
      </w:tr>
      <w:tr w:rsidRPr="003E784F" w:rsidR="00FF2FAB" w:rsidTr="005D3B18" w14:paraId="0913AD7F" w14:textId="5DAA85C2">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45C8AAAF" w14:textId="745F0827">
            <w:pPr>
              <w:rPr>
                <w:b/>
                <w:bCs/>
              </w:rPr>
            </w:pPr>
            <w:r w:rsidRPr="00EA7AD9">
              <w:rPr>
                <w:bCs/>
              </w:rPr>
              <w:t>Cleveland, OH</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71DA4674" w14:textId="6208CBA0">
            <w:pPr>
              <w:rPr>
                <w:bCs/>
              </w:rPr>
            </w:pPr>
            <w:r w:rsidRPr="0041222B">
              <w:rPr>
                <w:bCs/>
              </w:rPr>
              <w:t>Marginal</w:t>
            </w:r>
          </w:p>
        </w:tc>
      </w:tr>
      <w:tr w:rsidRPr="003E784F" w:rsidR="00FF2FAB" w:rsidTr="005D3B18" w14:paraId="3BCA06DE" w14:textId="7778EEEB">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52F39BA8" w14:textId="525CFA8C">
            <w:pPr>
              <w:rPr>
                <w:b/>
                <w:bCs/>
              </w:rPr>
            </w:pPr>
            <w:r w:rsidRPr="00EA7AD9">
              <w:rPr>
                <w:bCs/>
              </w:rPr>
              <w:t>Columbus, OH</w:t>
            </w:r>
            <w:r w:rsidRPr="00EA7AD9">
              <w:rPr>
                <w:rStyle w:val="FootnoteReference"/>
                <w:bCs/>
              </w:rPr>
              <w:footnoteReference w:id="10"/>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757297D7" w14:textId="06789E5B">
            <w:pPr>
              <w:rPr>
                <w:bCs/>
              </w:rPr>
            </w:pPr>
            <w:r w:rsidRPr="0041222B">
              <w:rPr>
                <w:bCs/>
              </w:rPr>
              <w:t>Marginal</w:t>
            </w:r>
          </w:p>
        </w:tc>
      </w:tr>
      <w:tr w:rsidRPr="003E784F" w:rsidR="00FF2FAB" w:rsidTr="005D3B18" w14:paraId="7F42678E" w14:textId="5F04E66E">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50763DBA" w14:textId="5416D4B2">
            <w:pPr>
              <w:rPr>
                <w:b/>
                <w:bCs/>
              </w:rPr>
            </w:pPr>
            <w:r w:rsidRPr="00EA7AD9">
              <w:rPr>
                <w:bCs/>
              </w:rPr>
              <w:t>Dallas-Fort Worth, TX</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5A08E9CB" w14:textId="5C5FCBBE">
            <w:pPr>
              <w:rPr>
                <w:bCs/>
              </w:rPr>
            </w:pPr>
            <w:r w:rsidRPr="0041222B">
              <w:rPr>
                <w:bCs/>
              </w:rPr>
              <w:t>Marginal</w:t>
            </w:r>
          </w:p>
        </w:tc>
      </w:tr>
      <w:tr w:rsidRPr="003E784F" w:rsidR="00FF2FAB" w:rsidTr="005D3B18" w14:paraId="3E53F408" w14:textId="7021E6D3">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318BAA19" w14:textId="0AEA8D0E">
            <w:pPr>
              <w:rPr>
                <w:b/>
                <w:bCs/>
              </w:rPr>
            </w:pPr>
            <w:r w:rsidRPr="00EA7AD9">
              <w:rPr>
                <w:bCs/>
              </w:rPr>
              <w:t>Denver Metro/North Front Range, CO</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5FA11194" w14:textId="62182B30">
            <w:pPr>
              <w:rPr>
                <w:bCs/>
              </w:rPr>
            </w:pPr>
            <w:r w:rsidRPr="0041222B">
              <w:rPr>
                <w:bCs/>
              </w:rPr>
              <w:t>Marginal</w:t>
            </w:r>
          </w:p>
        </w:tc>
      </w:tr>
      <w:tr w:rsidRPr="003E784F" w:rsidR="00FF2FAB" w:rsidTr="005D3B18" w14:paraId="5A93583C" w14:textId="19A393F7">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35C59BEB" w14:textId="63320423">
            <w:pPr>
              <w:rPr>
                <w:b/>
                <w:bCs/>
              </w:rPr>
            </w:pPr>
            <w:r w:rsidRPr="00EA7AD9">
              <w:rPr>
                <w:bCs/>
              </w:rPr>
              <w:t>Detroit, MI</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33702061" w14:textId="543DB13E">
            <w:pPr>
              <w:rPr>
                <w:bCs/>
              </w:rPr>
            </w:pPr>
            <w:r w:rsidRPr="0041222B">
              <w:rPr>
                <w:bCs/>
              </w:rPr>
              <w:t>Marginal</w:t>
            </w:r>
          </w:p>
        </w:tc>
      </w:tr>
      <w:tr w:rsidRPr="003E784F" w:rsidR="00FF2FAB" w:rsidTr="005D3B18" w14:paraId="43389BBB" w14:textId="304B50AB">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61ACCF09" w14:textId="10D59972">
            <w:pPr>
              <w:rPr>
                <w:b/>
                <w:bCs/>
              </w:rPr>
            </w:pPr>
            <w:r w:rsidRPr="00EA7AD9">
              <w:rPr>
                <w:bCs/>
              </w:rPr>
              <w:t>Dona Ana County (Sunland Park Area), NM</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54627069" w14:textId="5DC58B70">
            <w:pPr>
              <w:rPr>
                <w:bCs/>
              </w:rPr>
            </w:pPr>
            <w:r w:rsidRPr="0041222B">
              <w:rPr>
                <w:bCs/>
              </w:rPr>
              <w:t>Marginal</w:t>
            </w:r>
          </w:p>
        </w:tc>
      </w:tr>
      <w:tr w:rsidRPr="003E784F" w:rsidR="00FF2FAB" w:rsidTr="005D3B18" w14:paraId="736BCBBA" w14:textId="50FD4843">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6DBB2029" w14:textId="6D6C5F03">
            <w:pPr>
              <w:rPr>
                <w:b/>
                <w:bCs/>
              </w:rPr>
            </w:pPr>
            <w:r w:rsidRPr="00EA7AD9">
              <w:rPr>
                <w:bCs/>
              </w:rPr>
              <w:t>Greater Connecticut, CT</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1FCA09B5" w14:textId="7E832173">
            <w:pPr>
              <w:rPr>
                <w:bCs/>
              </w:rPr>
            </w:pPr>
            <w:r w:rsidRPr="0041222B">
              <w:rPr>
                <w:bCs/>
              </w:rPr>
              <w:t>Marginal</w:t>
            </w:r>
          </w:p>
        </w:tc>
      </w:tr>
      <w:tr w:rsidRPr="003E784F" w:rsidR="00FF2FAB" w:rsidTr="005D3B18" w14:paraId="5800C37F" w14:textId="13B711CF">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09739DCD" w14:textId="7185E38F">
            <w:pPr>
              <w:rPr>
                <w:b/>
                <w:bCs/>
              </w:rPr>
            </w:pPr>
            <w:r w:rsidRPr="00EA7AD9">
              <w:rPr>
                <w:bCs/>
              </w:rPr>
              <w:t>Houston-Galveston-Brazoria, TX</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7132FF13" w14:textId="07A729D9">
            <w:pPr>
              <w:rPr>
                <w:bCs/>
              </w:rPr>
            </w:pPr>
            <w:r w:rsidRPr="0041222B">
              <w:rPr>
                <w:bCs/>
              </w:rPr>
              <w:t>Marginal</w:t>
            </w:r>
          </w:p>
        </w:tc>
      </w:tr>
      <w:tr w:rsidRPr="003E784F" w:rsidR="00FF2FAB" w:rsidTr="005D3B18" w14:paraId="16A3A344" w14:textId="1742F497">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3058C69D" w14:textId="3877CD53">
            <w:pPr>
              <w:rPr>
                <w:b/>
                <w:bCs/>
              </w:rPr>
            </w:pPr>
            <w:r w:rsidRPr="00EA7AD9">
              <w:rPr>
                <w:bCs/>
              </w:rPr>
              <w:t>Imperial County, CA</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7EAE07EA" w14:textId="32FD210E">
            <w:pPr>
              <w:rPr>
                <w:bCs/>
              </w:rPr>
            </w:pPr>
            <w:r w:rsidRPr="0041222B">
              <w:rPr>
                <w:bCs/>
              </w:rPr>
              <w:t>Marginal</w:t>
            </w:r>
          </w:p>
        </w:tc>
      </w:tr>
      <w:tr w:rsidRPr="003E784F" w:rsidR="00FF2FAB" w:rsidTr="005D3B18" w14:paraId="73F65D6B" w14:textId="11AB6741">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1EBB2D64" w14:textId="670CC40A">
            <w:pPr>
              <w:rPr>
                <w:b/>
                <w:bCs/>
              </w:rPr>
            </w:pPr>
            <w:r w:rsidRPr="00EA7AD9">
              <w:rPr>
                <w:bCs/>
              </w:rPr>
              <w:t>Las Vegas, NV</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77A4EF7E" w14:textId="33E9EAE8">
            <w:pPr>
              <w:rPr>
                <w:bCs/>
              </w:rPr>
            </w:pPr>
            <w:r w:rsidRPr="0041222B">
              <w:rPr>
                <w:bCs/>
              </w:rPr>
              <w:t>Marginal</w:t>
            </w:r>
          </w:p>
        </w:tc>
      </w:tr>
      <w:tr w:rsidRPr="003E784F" w:rsidR="00FF2FAB" w:rsidTr="005D3B18" w14:paraId="18E248BB" w14:textId="49848470">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4D6AD4C5" w14:textId="6FC99A22">
            <w:pPr>
              <w:rPr>
                <w:b/>
                <w:bCs/>
              </w:rPr>
            </w:pPr>
            <w:r w:rsidRPr="00EA7AD9">
              <w:rPr>
                <w:bCs/>
              </w:rPr>
              <w:t>Louisville, KY-IN</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7BD98CEF" w14:textId="2FE59170">
            <w:pPr>
              <w:rPr>
                <w:bCs/>
              </w:rPr>
            </w:pPr>
            <w:r w:rsidRPr="0041222B">
              <w:rPr>
                <w:bCs/>
              </w:rPr>
              <w:t>Marginal</w:t>
            </w:r>
          </w:p>
        </w:tc>
      </w:tr>
      <w:tr w:rsidRPr="003E784F" w:rsidR="00FF2FAB" w:rsidTr="005D3B18" w14:paraId="46831612" w14:textId="7E294A05">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4BFE7D32" w14:textId="242AF6C6">
            <w:pPr>
              <w:rPr>
                <w:b/>
                <w:bCs/>
              </w:rPr>
            </w:pPr>
            <w:r w:rsidRPr="00EA7AD9">
              <w:rPr>
                <w:bCs/>
              </w:rPr>
              <w:t>Manitowoc County, WI</w:t>
            </w:r>
          </w:p>
        </w:tc>
        <w:tc>
          <w:tcPr>
            <w:tcW w:w="3510" w:type="dxa"/>
            <w:tcBorders>
              <w:top w:val="single" w:color="auto" w:sz="8" w:space="0"/>
              <w:left w:val="single" w:color="auto" w:sz="4" w:space="0"/>
              <w:bottom w:val="single" w:color="auto" w:sz="8" w:space="0"/>
              <w:right w:val="single" w:color="auto" w:sz="4" w:space="0"/>
            </w:tcBorders>
          </w:tcPr>
          <w:p w:rsidRPr="00EA7AD9" w:rsidR="00FF2FAB" w:rsidP="00FF2FAB" w:rsidRDefault="00FF2FAB" w14:paraId="1109A877" w14:textId="15093049">
            <w:pPr>
              <w:rPr>
                <w:bCs/>
              </w:rPr>
            </w:pPr>
            <w:r w:rsidRPr="0041222B">
              <w:rPr>
                <w:bCs/>
              </w:rPr>
              <w:t>Marginal</w:t>
            </w:r>
          </w:p>
        </w:tc>
      </w:tr>
      <w:tr w:rsidRPr="003E784F" w:rsidR="00FF2FAB" w:rsidTr="005D3B18" w14:paraId="7A37CE53" w14:textId="01F9A908">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4D33E805" w14:textId="4E68AADE">
            <w:pPr>
              <w:rPr>
                <w:b/>
                <w:bCs/>
              </w:rPr>
            </w:pPr>
            <w:r w:rsidRPr="007E70D5">
              <w:rPr>
                <w:bCs/>
              </w:rPr>
              <w:t>Mariposa County, CA</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61D641B7" w14:textId="1C8E15A5">
            <w:pPr>
              <w:rPr>
                <w:bCs/>
              </w:rPr>
            </w:pPr>
            <w:r w:rsidRPr="0041222B">
              <w:rPr>
                <w:bCs/>
              </w:rPr>
              <w:t>Marginal</w:t>
            </w:r>
          </w:p>
        </w:tc>
      </w:tr>
      <w:tr w:rsidRPr="003E784F" w:rsidR="00FF2FAB" w:rsidTr="005D3B18" w14:paraId="0538DB98" w14:textId="3E0552BB">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49F33186" w14:textId="019ECF15">
            <w:pPr>
              <w:rPr>
                <w:b/>
                <w:bCs/>
              </w:rPr>
            </w:pPr>
            <w:r w:rsidRPr="007E70D5">
              <w:rPr>
                <w:bCs/>
              </w:rPr>
              <w:t>Muskegon County, MI</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6D439D7B" w14:textId="11E12C77">
            <w:pPr>
              <w:rPr>
                <w:bCs/>
              </w:rPr>
            </w:pPr>
            <w:r w:rsidRPr="0041222B">
              <w:rPr>
                <w:bCs/>
              </w:rPr>
              <w:t>Marginal</w:t>
            </w:r>
          </w:p>
        </w:tc>
      </w:tr>
      <w:tr w:rsidRPr="003E784F" w:rsidR="00FF2FAB" w:rsidTr="005D3B18" w14:paraId="4FAD1AC7" w14:textId="6E769AF4">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714D04E5" w14:textId="3FEDF516">
            <w:pPr>
              <w:rPr>
                <w:b/>
                <w:bCs/>
              </w:rPr>
            </w:pPr>
            <w:r w:rsidRPr="007E70D5">
              <w:rPr>
                <w:bCs/>
              </w:rPr>
              <w:t>Northern Milwaukee/Ozaukee Shoreline, WI</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57236EC3" w14:textId="297C38F9">
            <w:pPr>
              <w:rPr>
                <w:bCs/>
              </w:rPr>
            </w:pPr>
            <w:r w:rsidRPr="00C51BEE">
              <w:rPr>
                <w:bCs/>
              </w:rPr>
              <w:t>Marginal</w:t>
            </w:r>
          </w:p>
        </w:tc>
      </w:tr>
      <w:tr w:rsidRPr="003E784F" w:rsidR="00FF2FAB" w:rsidTr="005D3B18" w14:paraId="0AD08D31" w14:textId="3A81FD5E">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3EE92ED7" w14:textId="7E25033B">
            <w:pPr>
              <w:rPr>
                <w:b/>
                <w:bCs/>
              </w:rPr>
            </w:pPr>
            <w:r w:rsidRPr="007E70D5">
              <w:rPr>
                <w:bCs/>
              </w:rPr>
              <w:t>Northern Wasatch Front, UT</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27E1E25B" w14:textId="1DA26FB8">
            <w:pPr>
              <w:rPr>
                <w:bCs/>
              </w:rPr>
            </w:pPr>
            <w:r w:rsidRPr="00C51BEE">
              <w:rPr>
                <w:bCs/>
              </w:rPr>
              <w:t>Marginal</w:t>
            </w:r>
          </w:p>
        </w:tc>
      </w:tr>
      <w:tr w:rsidRPr="003E784F" w:rsidR="00FF2FAB" w:rsidTr="005D3B18" w14:paraId="7B7E1AC4" w14:textId="5FE649E3">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7DC53F7A" w14:textId="3EC039D4">
            <w:pPr>
              <w:rPr>
                <w:b/>
                <w:bCs/>
              </w:rPr>
            </w:pPr>
            <w:r w:rsidRPr="007E70D5">
              <w:rPr>
                <w:bCs/>
              </w:rPr>
              <w:t>Pechanga Band of Luiseno Mission Indians of the Pechanga Reservation, CA</w:t>
            </w:r>
            <w:r w:rsidR="0090404F">
              <w:rPr>
                <w:bCs/>
              </w:rPr>
              <w:t xml:space="preserve"> </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20AD6960" w14:textId="7BA49ADA">
            <w:pPr>
              <w:rPr>
                <w:bCs/>
              </w:rPr>
            </w:pPr>
            <w:r w:rsidRPr="00C51BEE">
              <w:rPr>
                <w:bCs/>
              </w:rPr>
              <w:t>Marginal</w:t>
            </w:r>
          </w:p>
        </w:tc>
      </w:tr>
      <w:tr w:rsidRPr="003E784F" w:rsidR="00FF2FAB" w:rsidTr="005D3B18" w14:paraId="076FF4E0" w14:textId="7B947C8B">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2FD5BBC1" w14:textId="6B072857">
            <w:pPr>
              <w:rPr>
                <w:b/>
                <w:bCs/>
              </w:rPr>
            </w:pPr>
            <w:r w:rsidRPr="007E70D5">
              <w:rPr>
                <w:bCs/>
              </w:rPr>
              <w:t>Philadelphia-Wilmington-Atlantic City, PA-NJ-MD-DE</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0A7AE846" w14:textId="74D59DCF">
            <w:pPr>
              <w:rPr>
                <w:bCs/>
              </w:rPr>
            </w:pPr>
            <w:r w:rsidRPr="00C51BEE">
              <w:rPr>
                <w:bCs/>
              </w:rPr>
              <w:t>Marginal</w:t>
            </w:r>
          </w:p>
        </w:tc>
      </w:tr>
      <w:tr w:rsidRPr="003E784F" w:rsidR="00FF2FAB" w:rsidTr="005D3B18" w14:paraId="3A975910" w14:textId="1B7B81E7">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6D11DBD0" w14:textId="79EF8603">
            <w:pPr>
              <w:rPr>
                <w:b/>
                <w:bCs/>
              </w:rPr>
            </w:pPr>
            <w:r w:rsidRPr="007E70D5">
              <w:rPr>
                <w:bCs/>
              </w:rPr>
              <w:t>Phoenix-Mesa, AZ</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6C333CA1" w14:textId="4213F321">
            <w:pPr>
              <w:rPr>
                <w:bCs/>
              </w:rPr>
            </w:pPr>
            <w:r w:rsidRPr="00C51BEE">
              <w:rPr>
                <w:bCs/>
              </w:rPr>
              <w:t>Marginal</w:t>
            </w:r>
          </w:p>
        </w:tc>
      </w:tr>
      <w:tr w:rsidRPr="003E784F" w:rsidR="00FF2FAB" w:rsidTr="005D3B18" w14:paraId="669B251A" w14:textId="5B4E9219">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5B409493" w14:textId="74F51D05">
            <w:pPr>
              <w:rPr>
                <w:b/>
                <w:bCs/>
              </w:rPr>
            </w:pPr>
            <w:r w:rsidRPr="007E70D5">
              <w:rPr>
                <w:bCs/>
              </w:rPr>
              <w:t>San Antonio, TX</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7047AA44" w14:textId="1263063E">
            <w:pPr>
              <w:rPr>
                <w:bCs/>
              </w:rPr>
            </w:pPr>
            <w:r w:rsidRPr="00C51BEE">
              <w:rPr>
                <w:bCs/>
              </w:rPr>
              <w:t>Marginal</w:t>
            </w:r>
          </w:p>
        </w:tc>
      </w:tr>
      <w:tr w:rsidRPr="003E784F" w:rsidR="00FF2FAB" w:rsidTr="005D3B18" w14:paraId="6D6BF4B4" w14:textId="590A5A62">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68EB4AA8" w14:textId="7A673370">
            <w:pPr>
              <w:rPr>
                <w:b/>
                <w:bCs/>
              </w:rPr>
            </w:pPr>
            <w:r w:rsidRPr="007E70D5">
              <w:rPr>
                <w:bCs/>
              </w:rPr>
              <w:t>San Francisco Bay Area, CA</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7D3A4FAB" w14:textId="7BF33669">
            <w:pPr>
              <w:rPr>
                <w:bCs/>
              </w:rPr>
            </w:pPr>
            <w:r w:rsidRPr="00C51BEE">
              <w:rPr>
                <w:bCs/>
              </w:rPr>
              <w:t>Marginal</w:t>
            </w:r>
          </w:p>
        </w:tc>
      </w:tr>
      <w:tr w:rsidRPr="003E784F" w:rsidR="00FF2FAB" w:rsidTr="005D3B18" w14:paraId="1DC743A8" w14:textId="0B60438F">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61977C66" w14:textId="642D3BCF">
            <w:pPr>
              <w:rPr>
                <w:b/>
                <w:bCs/>
              </w:rPr>
            </w:pPr>
            <w:r w:rsidRPr="007E70D5">
              <w:rPr>
                <w:bCs/>
              </w:rPr>
              <w:t>San Luis Obispo (Eastern part), CA</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070C7296" w14:textId="3C7B5BB2">
            <w:pPr>
              <w:rPr>
                <w:bCs/>
              </w:rPr>
            </w:pPr>
            <w:r w:rsidRPr="00C51BEE">
              <w:rPr>
                <w:bCs/>
              </w:rPr>
              <w:t>Marginal</w:t>
            </w:r>
          </w:p>
        </w:tc>
      </w:tr>
      <w:tr w:rsidRPr="003E784F" w:rsidR="00FF2FAB" w:rsidTr="005D3B18" w14:paraId="7ACEB32B" w14:textId="44BF7D1C">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007B45BF" w14:textId="365C523C">
            <w:pPr>
              <w:rPr>
                <w:b/>
                <w:bCs/>
              </w:rPr>
            </w:pPr>
            <w:r w:rsidRPr="007E70D5">
              <w:rPr>
                <w:bCs/>
              </w:rPr>
              <w:t>Sheboygan County, WI</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012F8041" w14:textId="637997C0">
            <w:pPr>
              <w:rPr>
                <w:bCs/>
              </w:rPr>
            </w:pPr>
            <w:r w:rsidRPr="00C51BEE">
              <w:rPr>
                <w:bCs/>
              </w:rPr>
              <w:t>Marginal</w:t>
            </w:r>
          </w:p>
        </w:tc>
      </w:tr>
      <w:tr w:rsidRPr="003E784F" w:rsidR="00FF2FAB" w:rsidTr="005D3B18" w14:paraId="63AD66BB" w14:textId="73B4E693">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66BC732A" w14:textId="0ECBA011">
            <w:pPr>
              <w:rPr>
                <w:b/>
                <w:bCs/>
              </w:rPr>
            </w:pPr>
            <w:r w:rsidRPr="007E70D5">
              <w:rPr>
                <w:bCs/>
              </w:rPr>
              <w:t>Southern Wasatch Front, UT</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7DFE789B" w14:textId="4ABF83A8">
            <w:pPr>
              <w:rPr>
                <w:bCs/>
              </w:rPr>
            </w:pPr>
            <w:r w:rsidRPr="00C51BEE">
              <w:rPr>
                <w:bCs/>
              </w:rPr>
              <w:t>Marginal</w:t>
            </w:r>
          </w:p>
        </w:tc>
      </w:tr>
      <w:tr w:rsidRPr="003E784F" w:rsidR="00FF2FAB" w:rsidTr="005D3B18" w14:paraId="3E247498" w14:textId="476DE107">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0E4AFD5C" w14:textId="34C85E9B">
            <w:pPr>
              <w:rPr>
                <w:b/>
                <w:bCs/>
              </w:rPr>
            </w:pPr>
            <w:r w:rsidRPr="007E70D5">
              <w:rPr>
                <w:bCs/>
              </w:rPr>
              <w:t>St. Louis, MO-IL</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5D5EA554" w14:textId="58822D07">
            <w:pPr>
              <w:rPr>
                <w:bCs/>
              </w:rPr>
            </w:pPr>
            <w:r w:rsidRPr="00A82714">
              <w:rPr>
                <w:bCs/>
              </w:rPr>
              <w:t>Marginal</w:t>
            </w:r>
          </w:p>
        </w:tc>
      </w:tr>
      <w:tr w:rsidRPr="003E784F" w:rsidR="00FF2FAB" w:rsidTr="005D3B18" w14:paraId="434843BD" w14:textId="303121CA">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1799BAB8" w14:textId="05E21D27">
            <w:pPr>
              <w:rPr>
                <w:b/>
                <w:bCs/>
              </w:rPr>
            </w:pPr>
            <w:r w:rsidRPr="007E70D5">
              <w:rPr>
                <w:bCs/>
              </w:rPr>
              <w:t>Sutter Buttes, CA</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67E9FF4C" w14:textId="150657E3">
            <w:pPr>
              <w:rPr>
                <w:bCs/>
              </w:rPr>
            </w:pPr>
            <w:r w:rsidRPr="00A82714">
              <w:rPr>
                <w:bCs/>
              </w:rPr>
              <w:t>Marginal</w:t>
            </w:r>
          </w:p>
        </w:tc>
      </w:tr>
      <w:tr w:rsidRPr="003E784F" w:rsidR="00FF2FAB" w:rsidTr="005D3B18" w14:paraId="49C6C0B1" w14:textId="39B66272">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465B90FC" w14:textId="4E852786">
            <w:pPr>
              <w:rPr>
                <w:b/>
                <w:bCs/>
              </w:rPr>
            </w:pPr>
            <w:r w:rsidRPr="007E70D5">
              <w:rPr>
                <w:bCs/>
              </w:rPr>
              <w:t>Tuolumne County, CA</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24EB8BCD" w14:textId="2F6659FC">
            <w:pPr>
              <w:rPr>
                <w:bCs/>
              </w:rPr>
            </w:pPr>
            <w:r w:rsidRPr="00A82714">
              <w:rPr>
                <w:bCs/>
              </w:rPr>
              <w:t>Marginal</w:t>
            </w:r>
          </w:p>
        </w:tc>
      </w:tr>
      <w:tr w:rsidRPr="003E784F" w:rsidR="00FF2FAB" w:rsidTr="005D3B18" w14:paraId="7D8DBDA9" w14:textId="2EB758D7">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68DB3199" w14:textId="654A2F05">
            <w:pPr>
              <w:rPr>
                <w:b/>
                <w:bCs/>
              </w:rPr>
            </w:pPr>
            <w:r w:rsidRPr="007E70D5">
              <w:rPr>
                <w:bCs/>
              </w:rPr>
              <w:t>Uinta Basin, UT</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4AD7FE2E" w14:textId="0496ED12">
            <w:pPr>
              <w:rPr>
                <w:bCs/>
              </w:rPr>
            </w:pPr>
            <w:r w:rsidRPr="00A82714">
              <w:rPr>
                <w:bCs/>
              </w:rPr>
              <w:t>Marginal</w:t>
            </w:r>
          </w:p>
        </w:tc>
      </w:tr>
      <w:tr w:rsidRPr="003E784F" w:rsidR="00FF2FAB" w:rsidTr="005D3B18" w14:paraId="4850575A" w14:textId="18D34D7F">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13109A" w:rsidR="00FF2FAB" w:rsidP="00FF2FAB" w:rsidRDefault="00FF2FAB" w14:paraId="4C72A498" w14:textId="69FACFDF">
            <w:pPr>
              <w:rPr>
                <w:b/>
                <w:bCs/>
              </w:rPr>
            </w:pPr>
            <w:r w:rsidRPr="007E70D5">
              <w:rPr>
                <w:bCs/>
              </w:rPr>
              <w:t>Washington, DC-MD-VA</w:t>
            </w:r>
          </w:p>
        </w:tc>
        <w:tc>
          <w:tcPr>
            <w:tcW w:w="3510" w:type="dxa"/>
            <w:tcBorders>
              <w:top w:val="single" w:color="auto" w:sz="8" w:space="0"/>
              <w:left w:val="single" w:color="auto" w:sz="4" w:space="0"/>
              <w:bottom w:val="single" w:color="auto" w:sz="8" w:space="0"/>
              <w:right w:val="single" w:color="auto" w:sz="4" w:space="0"/>
            </w:tcBorders>
          </w:tcPr>
          <w:p w:rsidRPr="007E70D5" w:rsidR="00FF2FAB" w:rsidP="00FF2FAB" w:rsidRDefault="00FF2FAB" w14:paraId="7D50B655" w14:textId="2D117AD2">
            <w:pPr>
              <w:rPr>
                <w:bCs/>
              </w:rPr>
            </w:pPr>
            <w:r w:rsidRPr="00A82714">
              <w:rPr>
                <w:bCs/>
              </w:rPr>
              <w:t>Marginal</w:t>
            </w:r>
          </w:p>
        </w:tc>
      </w:tr>
      <w:tr w:rsidRPr="003E784F" w:rsidR="00FF2FAB" w:rsidTr="005D3B18" w14:paraId="3ACF9331" w14:textId="5B207F33">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7E70D5" w:rsidR="00FF2FAB" w:rsidP="00FF2FAB" w:rsidRDefault="00FF2FAB" w14:paraId="71500905" w14:textId="17BBFD77">
            <w:pPr>
              <w:rPr>
                <w:bCs/>
              </w:rPr>
            </w:pPr>
            <w:r w:rsidRPr="003B5713">
              <w:rPr>
                <w:bCs/>
              </w:rPr>
              <w:t>Yuma, AZ</w:t>
            </w:r>
          </w:p>
        </w:tc>
        <w:tc>
          <w:tcPr>
            <w:tcW w:w="3510" w:type="dxa"/>
            <w:tcBorders>
              <w:top w:val="single" w:color="auto" w:sz="8" w:space="0"/>
              <w:left w:val="single" w:color="auto" w:sz="4" w:space="0"/>
              <w:bottom w:val="single" w:color="auto" w:sz="8" w:space="0"/>
              <w:right w:val="single" w:color="auto" w:sz="4" w:space="0"/>
            </w:tcBorders>
          </w:tcPr>
          <w:p w:rsidRPr="003B5713" w:rsidR="00FF2FAB" w:rsidP="00FF2FAB" w:rsidRDefault="00FF2FAB" w14:paraId="08BCB141" w14:textId="12A1955F">
            <w:pPr>
              <w:rPr>
                <w:bCs/>
              </w:rPr>
            </w:pPr>
            <w:r w:rsidRPr="00A82714">
              <w:rPr>
                <w:bCs/>
              </w:rPr>
              <w:t>Marginal</w:t>
            </w:r>
          </w:p>
        </w:tc>
      </w:tr>
      <w:tr w:rsidRPr="003E784F" w:rsidR="005D3B18" w:rsidTr="005D3B18" w14:paraId="312E7C62" w14:textId="5A2065B5">
        <w:trPr>
          <w:trHeight w:val="255"/>
        </w:trPr>
        <w:tc>
          <w:tcPr>
            <w:tcW w:w="4615" w:type="dxa"/>
            <w:tcBorders>
              <w:top w:val="single" w:color="auto" w:sz="8" w:space="0"/>
              <w:left w:val="single" w:color="auto" w:sz="4" w:space="0"/>
              <w:bottom w:val="single" w:color="auto" w:sz="8" w:space="0"/>
              <w:right w:val="single" w:color="auto" w:sz="4" w:space="0"/>
            </w:tcBorders>
            <w:shd w:val="clear" w:color="auto" w:fill="auto"/>
            <w:noWrap/>
          </w:tcPr>
          <w:p w:rsidRPr="007E70D5" w:rsidR="005D3B18" w:rsidP="00250675" w:rsidRDefault="005D3B18" w14:paraId="090257B9" w14:textId="3D8A56AC">
            <w:pPr>
              <w:rPr>
                <w:bCs/>
              </w:rPr>
            </w:pPr>
            <w:r w:rsidRPr="003B5713">
              <w:rPr>
                <w:bCs/>
              </w:rPr>
              <w:t xml:space="preserve">Door County, WI </w:t>
            </w:r>
            <w:r w:rsidRPr="003B5713">
              <w:rPr>
                <w:rStyle w:val="FootnoteReference"/>
                <w:bCs/>
              </w:rPr>
              <w:footnoteReference w:id="11"/>
            </w:r>
          </w:p>
        </w:tc>
        <w:tc>
          <w:tcPr>
            <w:tcW w:w="3510" w:type="dxa"/>
            <w:tcBorders>
              <w:top w:val="single" w:color="auto" w:sz="8" w:space="0"/>
              <w:left w:val="single" w:color="auto" w:sz="4" w:space="0"/>
              <w:bottom w:val="single" w:color="auto" w:sz="8" w:space="0"/>
              <w:right w:val="single" w:color="auto" w:sz="4" w:space="0"/>
            </w:tcBorders>
          </w:tcPr>
          <w:p w:rsidRPr="003B5713" w:rsidR="005D3B18" w:rsidP="00250675" w:rsidRDefault="00FF2FAB" w14:paraId="27EAC1AC" w14:textId="36F891B0">
            <w:pPr>
              <w:rPr>
                <w:bCs/>
              </w:rPr>
            </w:pPr>
            <w:r>
              <w:rPr>
                <w:bCs/>
              </w:rPr>
              <w:t>Marginal (Rural Transport)</w:t>
            </w:r>
          </w:p>
        </w:tc>
      </w:tr>
      <w:tr w:rsidRPr="003E784F" w:rsidR="00FF2FAB" w:rsidTr="005D3B18" w14:paraId="30FD85CA" w14:textId="2621CF19">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tcPr>
          <w:p w:rsidRPr="007E70D5" w:rsidR="00FF2FAB" w:rsidP="00FF2FAB" w:rsidRDefault="00FF2FAB" w14:paraId="26B6532A" w14:textId="52197B05">
            <w:pPr>
              <w:rPr>
                <w:bCs/>
              </w:rPr>
            </w:pPr>
            <w:r w:rsidRPr="003B5713">
              <w:rPr>
                <w:bCs/>
              </w:rPr>
              <w:t>Tuscan Buttes, CA</w:t>
            </w:r>
          </w:p>
        </w:tc>
        <w:tc>
          <w:tcPr>
            <w:tcW w:w="3510" w:type="dxa"/>
            <w:tcBorders>
              <w:top w:val="single" w:color="auto" w:sz="8" w:space="0"/>
              <w:left w:val="single" w:color="auto" w:sz="4" w:space="0"/>
              <w:bottom w:val="single" w:color="auto" w:sz="4" w:space="0"/>
              <w:right w:val="single" w:color="auto" w:sz="4" w:space="0"/>
            </w:tcBorders>
          </w:tcPr>
          <w:p w:rsidRPr="003B5713" w:rsidR="00FF2FAB" w:rsidP="00FF2FAB" w:rsidRDefault="00FF2FAB" w14:paraId="7A12BA4F" w14:textId="50AEC99A">
            <w:pPr>
              <w:rPr>
                <w:bCs/>
              </w:rPr>
            </w:pPr>
            <w:r>
              <w:rPr>
                <w:bCs/>
              </w:rPr>
              <w:t>Marginal (Rural Transport)</w:t>
            </w:r>
          </w:p>
        </w:tc>
      </w:tr>
    </w:tbl>
    <w:p w:rsidR="00250675" w:rsidP="00950360" w:rsidRDefault="00250675" w14:paraId="303D24D0" w14:textId="77777777">
      <w:pPr>
        <w:pStyle w:val="HTMLPreformatted"/>
        <w:ind w:left="720"/>
        <w:rPr>
          <w:rFonts w:ascii="Times New Roman" w:hAnsi="Times New Roman" w:cs="Times New Roman"/>
          <w:b/>
          <w:bCs/>
          <w:sz w:val="24"/>
          <w:szCs w:val="24"/>
        </w:rPr>
      </w:pPr>
    </w:p>
    <w:p w:rsidRPr="00E7066B" w:rsidR="005170B7" w:rsidP="00115BDD" w:rsidRDefault="005170B7" w14:paraId="1C21B1C9" w14:textId="196F5B88">
      <w:pPr>
        <w:ind w:left="360"/>
      </w:pPr>
      <w:r>
        <w:tab/>
        <w:t>As</w:t>
      </w:r>
      <w:r w:rsidR="003324D8">
        <w:t xml:space="preserve"> stated earlier and as</w:t>
      </w:r>
      <w:r>
        <w:t xml:space="preserve"> indicated in Table </w:t>
      </w:r>
      <w:r w:rsidR="00270429">
        <w:t>3</w:t>
      </w:r>
      <w:r>
        <w:t xml:space="preserve">, some </w:t>
      </w:r>
      <w:r w:rsidR="003324D8">
        <w:t xml:space="preserve">nonattainment </w:t>
      </w:r>
      <w:r>
        <w:t xml:space="preserve">areas have </w:t>
      </w:r>
      <w:r w:rsidR="003324D8">
        <w:t xml:space="preserve">portions </w:t>
      </w:r>
      <w:r>
        <w:t xml:space="preserve">in more than one state. Furthermore, sometimes these multi-state areas span more than one EPA Region.  For </w:t>
      </w:r>
      <w:r w:rsidRPr="00E7066B">
        <w:t xml:space="preserve">example, </w:t>
      </w:r>
      <w:r w:rsidRPr="00EC3C4C">
        <w:t xml:space="preserve">the </w:t>
      </w:r>
      <w:r w:rsidRPr="005C3255">
        <w:rPr>
          <w:bCs/>
        </w:rPr>
        <w:t>Philadelphia-Wilmington-Atl</w:t>
      </w:r>
      <w:r>
        <w:rPr>
          <w:bCs/>
        </w:rPr>
        <w:t>antic</w:t>
      </w:r>
      <w:r w:rsidRPr="005C3255">
        <w:rPr>
          <w:bCs/>
        </w:rPr>
        <w:t xml:space="preserve"> City</w:t>
      </w:r>
      <w:r w:rsidRPr="00EC3C4C">
        <w:t xml:space="preserve"> </w:t>
      </w:r>
      <w:r>
        <w:lastRenderedPageBreak/>
        <w:t>nonattainment</w:t>
      </w:r>
      <w:r w:rsidRPr="00EC3C4C">
        <w:t xml:space="preserve"> area encompasses part of Pennsylvania, Maryland, New Jersey, and Delaware.  Pennsylvania, Maryland and Delaware are in EPA Region 3 jurisdiction, while New Jersey is in EPA Region 2 jurisdiction.</w:t>
      </w:r>
      <w:r w:rsidRPr="00E7066B">
        <w:t xml:space="preserve">  This could increase the administrative burden of the </w:t>
      </w:r>
      <w:r>
        <w:t>required</w:t>
      </w:r>
      <w:r w:rsidRPr="00E7066B">
        <w:t xml:space="preserve"> SIP submission</w:t>
      </w:r>
      <w:r>
        <w:t>s</w:t>
      </w:r>
      <w:r w:rsidRPr="00E7066B">
        <w:t>.</w:t>
      </w:r>
    </w:p>
    <w:p w:rsidR="005170B7" w:rsidP="00115BDD" w:rsidRDefault="005170B7" w14:paraId="53AE1BD3" w14:textId="77777777">
      <w:pPr>
        <w:ind w:left="360"/>
      </w:pPr>
      <w:r>
        <w:tab/>
      </w:r>
    </w:p>
    <w:p w:rsidRPr="006F537A" w:rsidR="005170B7" w:rsidP="00827FE7" w:rsidRDefault="005170B7" w14:paraId="596E4325" w14:textId="3ADC06F1">
      <w:pPr>
        <w:ind w:left="360"/>
      </w:pPr>
      <w:r>
        <w:tab/>
        <w:t xml:space="preserve">The numbers of </w:t>
      </w:r>
      <w:r w:rsidR="006878EF">
        <w:t xml:space="preserve">2015 ozone NAAQS initial </w:t>
      </w:r>
      <w:r>
        <w:t>nonattainment areas</w:t>
      </w:r>
      <w:r w:rsidR="006878EF">
        <w:t>,</w:t>
      </w:r>
      <w:r>
        <w:t xml:space="preserve"> or </w:t>
      </w:r>
      <w:r w:rsidR="003324D8">
        <w:t xml:space="preserve">portions </w:t>
      </w:r>
      <w:r>
        <w:t>of areas</w:t>
      </w:r>
      <w:r w:rsidR="006878EF">
        <w:t>,</w:t>
      </w:r>
      <w:r>
        <w:t xml:space="preserve"> in each state and the associated EPA Regional Office are presented in Table </w:t>
      </w:r>
      <w:r w:rsidR="00270429">
        <w:t>4</w:t>
      </w:r>
      <w:r>
        <w:t xml:space="preserve">.  When considering the areas with </w:t>
      </w:r>
      <w:r w:rsidR="003324D8">
        <w:t xml:space="preserve">portions in </w:t>
      </w:r>
      <w:r>
        <w:t xml:space="preserve">multiple states, </w:t>
      </w:r>
      <w:r w:rsidR="006878EF">
        <w:t xml:space="preserve">EPA anticipates </w:t>
      </w:r>
      <w:r w:rsidR="00A12967">
        <w:t>66</w:t>
      </w:r>
      <w:r w:rsidRPr="00DF5BEA">
        <w:t xml:space="preserve"> </w:t>
      </w:r>
      <w:r>
        <w:t xml:space="preserve">total responses from the states that are potentially affected by </w:t>
      </w:r>
      <w:r w:rsidR="003324D8">
        <w:t>planning requirements for the 2015 ozone NAAQS</w:t>
      </w:r>
      <w:r>
        <w:t xml:space="preserve">. </w:t>
      </w:r>
      <w:r w:rsidR="003324D8">
        <w:t>As stated earlier, t</w:t>
      </w:r>
      <w:r w:rsidRPr="006F537A">
        <w:t xml:space="preserve">ribes are not required to </w:t>
      </w:r>
      <w:r w:rsidR="003324D8">
        <w:t>develop</w:t>
      </w:r>
      <w:r w:rsidRPr="006F537A" w:rsidR="003324D8">
        <w:t xml:space="preserve"> </w:t>
      </w:r>
      <w:r w:rsidRPr="006F537A">
        <w:t xml:space="preserve">attainment demonstrations or submit </w:t>
      </w:r>
      <w:r w:rsidR="0021371E">
        <w:t>RACT</w:t>
      </w:r>
      <w:r w:rsidRPr="006F537A">
        <w:t xml:space="preserve"> or </w:t>
      </w:r>
      <w:r w:rsidR="0021371E">
        <w:t xml:space="preserve">RFP </w:t>
      </w:r>
      <w:r w:rsidRPr="006F537A">
        <w:t xml:space="preserve">SIPs. </w:t>
      </w:r>
      <w:r>
        <w:t>The burden to develop required SIPs for the two tribal areas located in California were included in the Agency burden hours.</w:t>
      </w:r>
    </w:p>
    <w:p w:rsidR="005170B7" w:rsidP="00115BDD" w:rsidRDefault="005170B7" w14:paraId="7612C5F1" w14:textId="77777777">
      <w:pPr>
        <w:ind w:left="360"/>
      </w:pPr>
    </w:p>
    <w:p w:rsidRPr="00827FE7" w:rsidR="005170B7" w:rsidP="007867E2" w:rsidRDefault="005170B7" w14:paraId="4940B725" w14:textId="06058B23">
      <w:pPr>
        <w:ind w:left="360"/>
        <w:outlineLvl w:val="0"/>
        <w:rPr>
          <w:b/>
        </w:rPr>
      </w:pPr>
      <w:r w:rsidRPr="00827FE7">
        <w:rPr>
          <w:b/>
        </w:rPr>
        <w:t xml:space="preserve">Table </w:t>
      </w:r>
      <w:r w:rsidR="001971FA">
        <w:rPr>
          <w:b/>
        </w:rPr>
        <w:t>4</w:t>
      </w:r>
      <w:r w:rsidRPr="00827FE7">
        <w:rPr>
          <w:b/>
        </w:rPr>
        <w:t xml:space="preserve">. </w:t>
      </w:r>
      <w:r w:rsidR="003324D8">
        <w:rPr>
          <w:b/>
        </w:rPr>
        <w:t>N</w:t>
      </w:r>
      <w:r w:rsidRPr="00827FE7">
        <w:rPr>
          <w:b/>
        </w:rPr>
        <w:t xml:space="preserve">umbers of </w:t>
      </w:r>
      <w:r>
        <w:rPr>
          <w:b/>
        </w:rPr>
        <w:t>Nonattainment</w:t>
      </w:r>
      <w:r w:rsidRPr="00827FE7">
        <w:rPr>
          <w:b/>
        </w:rPr>
        <w:t xml:space="preserve"> Areas or </w:t>
      </w:r>
      <w:r w:rsidR="003324D8">
        <w:rPr>
          <w:b/>
        </w:rPr>
        <w:t xml:space="preserve">Portions </w:t>
      </w:r>
      <w:r w:rsidRPr="00827FE7">
        <w:rPr>
          <w:b/>
        </w:rPr>
        <w:t xml:space="preserve">of Areas </w:t>
      </w:r>
      <w:r w:rsidR="006878EF">
        <w:rPr>
          <w:b/>
        </w:rPr>
        <w:t>for 2015 ozone NAAQS</w:t>
      </w:r>
      <w:r w:rsidRPr="00827FE7" w:rsidDel="003324D8" w:rsidR="006878EF">
        <w:rPr>
          <w:b/>
        </w:rPr>
        <w:t xml:space="preserve"> </w:t>
      </w:r>
      <w:r w:rsidR="003324D8">
        <w:rPr>
          <w:b/>
        </w:rPr>
        <w:t xml:space="preserve">by </w:t>
      </w:r>
      <w:r w:rsidRPr="00827FE7">
        <w:rPr>
          <w:b/>
        </w:rPr>
        <w:t>State and EPA Regional Office</w:t>
      </w:r>
    </w:p>
    <w:p w:rsidR="005170B7" w:rsidP="007867E2" w:rsidRDefault="005170B7" w14:paraId="52BEE560" w14:textId="77777777">
      <w:pPr>
        <w:ind w:left="360"/>
        <w:outlineLvl w:val="0"/>
        <w:rPr>
          <w:b/>
          <w:sz w:val="20"/>
          <w:szCs w:val="20"/>
        </w:rPr>
      </w:pPr>
    </w:p>
    <w:tbl>
      <w:tblPr>
        <w:tblW w:w="6000" w:type="dxa"/>
        <w:tblInd w:w="495" w:type="dxa"/>
        <w:tblLook w:val="00A0" w:firstRow="1" w:lastRow="0" w:firstColumn="1" w:lastColumn="0" w:noHBand="0" w:noVBand="0"/>
      </w:tblPr>
      <w:tblGrid>
        <w:gridCol w:w="3200"/>
        <w:gridCol w:w="960"/>
        <w:gridCol w:w="1840"/>
      </w:tblGrid>
      <w:tr w:rsidRPr="00340670" w:rsidR="005170B7" w:rsidTr="00AE556E" w14:paraId="2A1FA209" w14:textId="77777777">
        <w:trPr>
          <w:trHeight w:val="885"/>
        </w:trPr>
        <w:tc>
          <w:tcPr>
            <w:tcW w:w="3200" w:type="dxa"/>
            <w:tcBorders>
              <w:top w:val="single" w:color="auto" w:sz="8" w:space="0"/>
              <w:left w:val="single" w:color="auto" w:sz="8" w:space="0"/>
              <w:bottom w:val="single" w:color="auto" w:sz="8" w:space="0"/>
              <w:right w:val="single" w:color="auto" w:sz="8" w:space="0"/>
            </w:tcBorders>
            <w:vAlign w:val="center"/>
          </w:tcPr>
          <w:p w:rsidRPr="004E5076" w:rsidR="005170B7" w:rsidP="007867E2" w:rsidRDefault="005170B7" w14:paraId="0072730A" w14:textId="77777777">
            <w:pPr>
              <w:jc w:val="center"/>
              <w:rPr>
                <w:b/>
                <w:bCs/>
              </w:rPr>
            </w:pPr>
            <w:r w:rsidRPr="004E5076">
              <w:rPr>
                <w:b/>
                <w:bCs/>
              </w:rPr>
              <w:t>State</w:t>
            </w:r>
          </w:p>
        </w:tc>
        <w:tc>
          <w:tcPr>
            <w:tcW w:w="960" w:type="dxa"/>
            <w:tcBorders>
              <w:top w:val="single" w:color="auto" w:sz="8" w:space="0"/>
              <w:left w:val="single" w:color="auto" w:sz="8" w:space="0"/>
              <w:bottom w:val="single" w:color="auto" w:sz="8" w:space="0"/>
              <w:right w:val="single" w:color="auto" w:sz="8" w:space="0"/>
            </w:tcBorders>
            <w:vAlign w:val="center"/>
          </w:tcPr>
          <w:p w:rsidRPr="004E5076" w:rsidR="005170B7" w:rsidP="007867E2" w:rsidRDefault="005170B7" w14:paraId="41B3EDF8" w14:textId="77777777">
            <w:pPr>
              <w:jc w:val="center"/>
              <w:rPr>
                <w:b/>
                <w:bCs/>
              </w:rPr>
            </w:pPr>
            <w:r w:rsidRPr="004E5076">
              <w:rPr>
                <w:b/>
                <w:bCs/>
              </w:rPr>
              <w:t>EPA Region</w:t>
            </w:r>
          </w:p>
        </w:tc>
        <w:tc>
          <w:tcPr>
            <w:tcW w:w="1840" w:type="dxa"/>
            <w:tcBorders>
              <w:top w:val="single" w:color="auto" w:sz="8" w:space="0"/>
              <w:left w:val="single" w:color="auto" w:sz="8" w:space="0"/>
              <w:bottom w:val="single" w:color="auto" w:sz="8" w:space="0"/>
              <w:right w:val="single" w:color="auto" w:sz="8" w:space="0"/>
            </w:tcBorders>
            <w:vAlign w:val="center"/>
          </w:tcPr>
          <w:p w:rsidRPr="004E5076" w:rsidR="005170B7" w:rsidP="007867E2" w:rsidRDefault="005170B7" w14:paraId="2EBD2ACC" w14:textId="21840AC9">
            <w:pPr>
              <w:jc w:val="center"/>
              <w:rPr>
                <w:b/>
                <w:bCs/>
              </w:rPr>
            </w:pPr>
            <w:r w:rsidRPr="004E5076">
              <w:rPr>
                <w:b/>
                <w:bCs/>
              </w:rPr>
              <w:t xml:space="preserve">Nonattainment Areas </w:t>
            </w:r>
            <w:r w:rsidRPr="004E5076" w:rsidR="003324D8">
              <w:rPr>
                <w:b/>
                <w:bCs/>
              </w:rPr>
              <w:t xml:space="preserve">(or Portions of Areas) </w:t>
            </w:r>
            <w:r w:rsidRPr="004E5076">
              <w:rPr>
                <w:b/>
                <w:bCs/>
              </w:rPr>
              <w:t>in State</w:t>
            </w:r>
          </w:p>
        </w:tc>
      </w:tr>
      <w:tr w:rsidR="00206883" w:rsidTr="00BB246E" w14:paraId="3FFA53A0"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4F939222" w14:textId="14CA9609">
            <w:r w:rsidRPr="004E5076">
              <w:t xml:space="preserve"> Arizona</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6B59F9F1" w14:textId="56156DD0">
            <w:pPr>
              <w:jc w:val="right"/>
            </w:pPr>
            <w:r w:rsidRPr="004E5076">
              <w:t>9</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75D67959" w14:textId="3E6E63BA">
            <w:pPr>
              <w:jc w:val="right"/>
            </w:pPr>
            <w:r w:rsidRPr="004E5076">
              <w:t>2</w:t>
            </w:r>
          </w:p>
        </w:tc>
      </w:tr>
      <w:tr w:rsidR="00206883" w:rsidTr="00BB246E" w14:paraId="6CD75010"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01670A8E" w14:textId="663FF0E2">
            <w:r w:rsidRPr="004E5076">
              <w:t xml:space="preserve"> California</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690C8C80" w14:textId="782109ED">
            <w:pPr>
              <w:jc w:val="right"/>
            </w:pPr>
            <w:r w:rsidRPr="004E5076">
              <w:t>9</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2176FD12" w14:textId="18C084EF">
            <w:pPr>
              <w:jc w:val="right"/>
            </w:pPr>
            <w:r w:rsidRPr="004E5076">
              <w:t>19</w:t>
            </w:r>
          </w:p>
        </w:tc>
      </w:tr>
      <w:tr w:rsidR="00206883" w:rsidTr="00BB246E" w14:paraId="3C323421"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1B275C51" w14:textId="3D590338">
            <w:r w:rsidRPr="004E5076">
              <w:t xml:space="preserve"> Colorado</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500D557C" w14:textId="3A1686DB">
            <w:pPr>
              <w:jc w:val="right"/>
            </w:pPr>
            <w:r w:rsidRPr="004E5076">
              <w:t>8</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2A954985" w14:textId="788D1168">
            <w:pPr>
              <w:jc w:val="right"/>
            </w:pPr>
            <w:r w:rsidRPr="004E5076">
              <w:t>1</w:t>
            </w:r>
          </w:p>
        </w:tc>
      </w:tr>
      <w:tr w:rsidR="00206883" w:rsidTr="00BB246E" w14:paraId="559A46FB"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6D06B465" w14:textId="2A7897F5">
            <w:r w:rsidRPr="004E5076">
              <w:t xml:space="preserve"> Connecticut </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354381CD" w14:textId="5FB83AA6">
            <w:pPr>
              <w:jc w:val="right"/>
            </w:pPr>
            <w:r w:rsidRPr="004E5076">
              <w:t>1</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79D759BB" w14:textId="050514A6">
            <w:pPr>
              <w:jc w:val="right"/>
            </w:pPr>
            <w:r w:rsidRPr="004E5076">
              <w:t>2</w:t>
            </w:r>
          </w:p>
        </w:tc>
      </w:tr>
      <w:tr w:rsidR="00206883" w:rsidTr="00BB246E" w14:paraId="6B7A1D6A"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1AA1E254" w14:textId="26A37981">
            <w:r w:rsidRPr="004E5076">
              <w:t xml:space="preserve"> Delaware</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4F746D82" w14:textId="08E5D2E1">
            <w:pPr>
              <w:jc w:val="right"/>
            </w:pPr>
            <w:r w:rsidRPr="004E5076">
              <w:t>3</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4099E885" w14:textId="350AD3C2">
            <w:pPr>
              <w:jc w:val="right"/>
            </w:pPr>
            <w:r w:rsidRPr="004E5076">
              <w:t>1</w:t>
            </w:r>
          </w:p>
        </w:tc>
      </w:tr>
      <w:tr w:rsidR="00206883" w:rsidTr="00BB246E" w14:paraId="57F6E9B5"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46C76950" w14:textId="4029F88D">
            <w:r w:rsidRPr="004E5076">
              <w:t xml:space="preserve"> Georgia</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6B1FFB00" w14:textId="648D3750">
            <w:pPr>
              <w:jc w:val="right"/>
            </w:pPr>
            <w:r w:rsidRPr="004E5076">
              <w:t>4</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44ED2024" w14:textId="63FAF3FB">
            <w:pPr>
              <w:jc w:val="right"/>
            </w:pPr>
            <w:r w:rsidRPr="004E5076">
              <w:t>1</w:t>
            </w:r>
          </w:p>
        </w:tc>
      </w:tr>
      <w:tr w:rsidR="00206883" w:rsidTr="00BB246E" w14:paraId="59E9FEB0"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36709C6C" w14:textId="0DF82CC9">
            <w:r w:rsidRPr="004E5076">
              <w:t xml:space="preserve"> Illinois</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192DA2A5" w14:textId="5816FC7B">
            <w:pPr>
              <w:jc w:val="right"/>
            </w:pPr>
            <w:r w:rsidRPr="004E5076">
              <w:t>5</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06C54B64" w14:textId="433CC836">
            <w:pPr>
              <w:jc w:val="right"/>
            </w:pPr>
            <w:r w:rsidRPr="004E5076">
              <w:t>2</w:t>
            </w:r>
          </w:p>
        </w:tc>
      </w:tr>
      <w:tr w:rsidR="00206883" w:rsidTr="00BB246E" w14:paraId="35578C9B"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00DC8B18" w14:textId="6DBEC7BF">
            <w:r w:rsidRPr="004E5076">
              <w:t xml:space="preserve"> Indiana</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27D0D370" w14:textId="201C1C70">
            <w:pPr>
              <w:jc w:val="right"/>
            </w:pPr>
            <w:r w:rsidRPr="004E5076">
              <w:t>5</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114C409D" w14:textId="3167B3FD">
            <w:pPr>
              <w:jc w:val="right"/>
            </w:pPr>
            <w:r w:rsidRPr="004E5076">
              <w:t>2</w:t>
            </w:r>
          </w:p>
        </w:tc>
      </w:tr>
      <w:tr w:rsidR="00206883" w:rsidTr="00BB246E" w14:paraId="79A98410"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7AB9F607" w14:textId="6BA63EDA">
            <w:r w:rsidRPr="004E5076">
              <w:t xml:space="preserve"> Kentucky</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4B205953" w14:textId="428208E9">
            <w:pPr>
              <w:jc w:val="right"/>
            </w:pPr>
            <w:r w:rsidRPr="004E5076">
              <w:t>4</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330FA13E" w14:textId="40AC1893">
            <w:pPr>
              <w:jc w:val="right"/>
            </w:pPr>
            <w:r w:rsidRPr="004E5076">
              <w:t>2</w:t>
            </w:r>
          </w:p>
        </w:tc>
      </w:tr>
      <w:tr w:rsidR="00206883" w:rsidTr="00BB246E" w14:paraId="147DCF1C"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773C5105" w14:textId="61D087C1">
            <w:r w:rsidRPr="004E5076">
              <w:t xml:space="preserve"> Maryland</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5FFD2CB8" w14:textId="26D8889D">
            <w:pPr>
              <w:jc w:val="right"/>
            </w:pPr>
            <w:r w:rsidRPr="004E5076">
              <w:t>3</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0EA96B15" w14:textId="31AB6F93">
            <w:pPr>
              <w:jc w:val="right"/>
            </w:pPr>
            <w:r w:rsidRPr="004E5076">
              <w:t>3</w:t>
            </w:r>
          </w:p>
        </w:tc>
      </w:tr>
      <w:tr w:rsidR="00206883" w:rsidTr="00BB246E" w14:paraId="7BCCC005"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397F2DC7" w14:textId="044230E2">
            <w:r w:rsidRPr="004E5076">
              <w:t xml:space="preserve"> Michigan</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5F0C0581" w14:textId="691846A7">
            <w:pPr>
              <w:jc w:val="right"/>
            </w:pPr>
            <w:r w:rsidRPr="004E5076">
              <w:t>5</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6B3C1A60" w14:textId="439D0358">
            <w:pPr>
              <w:jc w:val="right"/>
            </w:pPr>
            <w:r w:rsidRPr="004E5076">
              <w:t>4</w:t>
            </w:r>
          </w:p>
        </w:tc>
      </w:tr>
      <w:tr w:rsidR="00206883" w:rsidTr="00BB246E" w14:paraId="571ED381"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78EF766D" w14:textId="0E2DC59E">
            <w:r w:rsidRPr="004E5076">
              <w:t xml:space="preserve"> Missouri</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159F221F" w14:textId="465EE087">
            <w:pPr>
              <w:jc w:val="right"/>
            </w:pPr>
            <w:r w:rsidRPr="004E5076">
              <w:t>7</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14ECAFBE" w14:textId="4B988D4F">
            <w:pPr>
              <w:jc w:val="right"/>
            </w:pPr>
            <w:r w:rsidRPr="004E5076">
              <w:t>1</w:t>
            </w:r>
          </w:p>
        </w:tc>
      </w:tr>
      <w:tr w:rsidR="00206883" w:rsidTr="00BB246E" w14:paraId="393BC5B8"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54A4E0A4" w14:textId="48E5BE27">
            <w:r w:rsidRPr="004E5076">
              <w:t xml:space="preserve"> New Jersey</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544AD92E" w14:textId="532B338D">
            <w:pPr>
              <w:jc w:val="right"/>
            </w:pPr>
            <w:r w:rsidRPr="004E5076">
              <w:t>2</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567A9F3D" w14:textId="43D3481A">
            <w:pPr>
              <w:jc w:val="right"/>
            </w:pPr>
            <w:r w:rsidRPr="004E5076">
              <w:t>2</w:t>
            </w:r>
          </w:p>
        </w:tc>
      </w:tr>
      <w:tr w:rsidR="00206883" w:rsidTr="00BB246E" w14:paraId="2658DFF2"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451D0686" w14:textId="5F5986CC">
            <w:r w:rsidRPr="004E5076">
              <w:t xml:space="preserve"> New Mexico</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059024FD" w14:textId="5C8CBFE0">
            <w:pPr>
              <w:jc w:val="right"/>
            </w:pPr>
            <w:r w:rsidRPr="004E5076">
              <w:t>6</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05E7BD61" w14:textId="77FEF01C">
            <w:pPr>
              <w:jc w:val="right"/>
            </w:pPr>
            <w:r w:rsidRPr="004E5076">
              <w:t>1</w:t>
            </w:r>
          </w:p>
        </w:tc>
      </w:tr>
      <w:tr w:rsidR="00206883" w:rsidTr="00BB246E" w14:paraId="6F53B2AF"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3A94191C" w14:textId="7957EEB1">
            <w:r w:rsidRPr="004E5076">
              <w:t xml:space="preserve"> Nevada</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5E942AFA" w14:textId="1808DF3B">
            <w:pPr>
              <w:jc w:val="right"/>
            </w:pPr>
            <w:r w:rsidRPr="004E5076">
              <w:t>9</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7541908F" w14:textId="7588623B">
            <w:pPr>
              <w:jc w:val="right"/>
            </w:pPr>
            <w:r w:rsidRPr="004E5076">
              <w:t>1</w:t>
            </w:r>
          </w:p>
        </w:tc>
      </w:tr>
      <w:tr w:rsidR="00206883" w:rsidTr="00BB246E" w14:paraId="34557040"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78FAE3C6" w14:textId="43E0C93E">
            <w:r w:rsidRPr="004E5076">
              <w:t xml:space="preserve"> New York</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4C011B0A" w14:textId="7485ADC1">
            <w:pPr>
              <w:jc w:val="right"/>
            </w:pPr>
            <w:r w:rsidRPr="004E5076">
              <w:t>2</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61772F10" w14:textId="6FFE8924">
            <w:pPr>
              <w:jc w:val="right"/>
            </w:pPr>
            <w:r w:rsidRPr="004E5076">
              <w:t>1</w:t>
            </w:r>
          </w:p>
        </w:tc>
      </w:tr>
      <w:tr w:rsidR="00206883" w:rsidTr="00BB246E" w14:paraId="38CA48DE"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4CC00F41" w14:textId="3D557762">
            <w:r w:rsidRPr="004E5076">
              <w:t xml:space="preserve"> Ohio</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7F161FCE" w14:textId="13AF1D22">
            <w:pPr>
              <w:jc w:val="right"/>
            </w:pPr>
            <w:r w:rsidRPr="004E5076">
              <w:t>5</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0ECF10F5" w14:textId="7480FCA0">
            <w:pPr>
              <w:jc w:val="right"/>
            </w:pPr>
            <w:r w:rsidRPr="004E5076">
              <w:t>3</w:t>
            </w:r>
          </w:p>
        </w:tc>
      </w:tr>
      <w:tr w:rsidR="00206883" w:rsidTr="00BB246E" w14:paraId="687710F6"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435A3986" w14:textId="29A8D0DA">
            <w:r w:rsidRPr="004E5076">
              <w:t xml:space="preserve"> Pennsylvania</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775DB174" w14:textId="3FD61575">
            <w:pPr>
              <w:jc w:val="right"/>
            </w:pPr>
            <w:r w:rsidRPr="004E5076">
              <w:t>3</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606D9EEF" w14:textId="4C3C1BB0">
            <w:pPr>
              <w:jc w:val="right"/>
            </w:pPr>
            <w:r w:rsidRPr="004E5076">
              <w:t>1</w:t>
            </w:r>
          </w:p>
        </w:tc>
      </w:tr>
      <w:tr w:rsidR="00206883" w:rsidTr="00BB246E" w14:paraId="4600ACF6"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3AD29AEA" w14:textId="2B93255F">
            <w:r w:rsidRPr="004E5076">
              <w:t xml:space="preserve"> Texas</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3C8DCBEA" w14:textId="6A3CD9D3">
            <w:pPr>
              <w:jc w:val="right"/>
            </w:pPr>
            <w:r w:rsidRPr="004E5076">
              <w:t>6</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26D49FBC" w14:textId="568A8D76">
            <w:pPr>
              <w:jc w:val="right"/>
            </w:pPr>
            <w:r w:rsidRPr="004E5076">
              <w:t>3</w:t>
            </w:r>
          </w:p>
        </w:tc>
      </w:tr>
      <w:tr w:rsidR="00206883" w:rsidTr="00BB246E" w14:paraId="59894687"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22F84604" w14:textId="7130C1CE">
            <w:r w:rsidRPr="004E5076">
              <w:t xml:space="preserve"> Utah</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29A2C977" w14:textId="5972823D">
            <w:pPr>
              <w:jc w:val="right"/>
            </w:pPr>
            <w:r w:rsidRPr="004E5076">
              <w:t>8</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6517B50B" w14:textId="7A8313F1">
            <w:pPr>
              <w:jc w:val="right"/>
            </w:pPr>
            <w:r w:rsidRPr="004E5076">
              <w:t>3</w:t>
            </w:r>
          </w:p>
        </w:tc>
      </w:tr>
      <w:tr w:rsidR="00206883" w:rsidTr="00BB246E" w14:paraId="7FF85E74"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02639997" w14:textId="68E9F5BD">
            <w:r w:rsidRPr="004E5076">
              <w:t xml:space="preserve"> Wisconsin</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4207E296" w14:textId="7C711F2D">
            <w:pPr>
              <w:jc w:val="right"/>
            </w:pPr>
            <w:r w:rsidRPr="004E5076">
              <w:t>5</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438C7F31" w14:textId="35C0F7CE">
            <w:pPr>
              <w:jc w:val="right"/>
            </w:pPr>
            <w:r w:rsidRPr="004E5076">
              <w:t>5</w:t>
            </w:r>
          </w:p>
        </w:tc>
      </w:tr>
      <w:tr w:rsidR="00206883" w:rsidTr="00BB246E" w14:paraId="1D36E3C4"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764C784E" w14:textId="66EE56CA">
            <w:r w:rsidRPr="004E5076">
              <w:t xml:space="preserve"> District of Columbia</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6EB04564" w14:textId="563D48B9">
            <w:pPr>
              <w:jc w:val="right"/>
            </w:pPr>
            <w:r w:rsidRPr="004E5076">
              <w:t>3</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7B62ED4F" w14:textId="2E6184D0">
            <w:pPr>
              <w:jc w:val="right"/>
            </w:pPr>
            <w:r w:rsidRPr="004E5076">
              <w:t>1</w:t>
            </w:r>
          </w:p>
        </w:tc>
      </w:tr>
      <w:tr w:rsidR="00206883" w:rsidTr="00BB246E" w14:paraId="7E9821B6" w14:textId="77777777">
        <w:trPr>
          <w:trHeight w:val="255"/>
        </w:trPr>
        <w:tc>
          <w:tcPr>
            <w:tcW w:w="3200"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206883" w:rsidP="00206883" w:rsidRDefault="00206883" w14:paraId="5DCC979D" w14:textId="6572B1E5">
            <w:r w:rsidRPr="004E5076">
              <w:t xml:space="preserve"> Virginia</w:t>
            </w:r>
          </w:p>
        </w:tc>
        <w:tc>
          <w:tcPr>
            <w:tcW w:w="96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0CE151D5" w14:textId="5ECB16E3">
            <w:pPr>
              <w:jc w:val="right"/>
            </w:pPr>
            <w:r w:rsidRPr="004E5076">
              <w:t>3</w:t>
            </w:r>
          </w:p>
        </w:tc>
        <w:tc>
          <w:tcPr>
            <w:tcW w:w="1840" w:type="dxa"/>
            <w:tcBorders>
              <w:top w:val="single" w:color="auto" w:sz="8" w:space="0"/>
              <w:left w:val="nil"/>
              <w:bottom w:val="single" w:color="auto" w:sz="4" w:space="0"/>
              <w:right w:val="single" w:color="auto" w:sz="4" w:space="0"/>
            </w:tcBorders>
            <w:shd w:val="clear" w:color="auto" w:fill="auto"/>
            <w:noWrap/>
            <w:vAlign w:val="bottom"/>
          </w:tcPr>
          <w:p w:rsidRPr="004E5076" w:rsidR="00206883" w:rsidP="00206883" w:rsidRDefault="00206883" w14:paraId="3B0D0C28" w14:textId="384C5C6C">
            <w:pPr>
              <w:jc w:val="right"/>
            </w:pPr>
            <w:r w:rsidRPr="004E5076">
              <w:t>1</w:t>
            </w:r>
          </w:p>
        </w:tc>
      </w:tr>
    </w:tbl>
    <w:p w:rsidR="005170B7" w:rsidP="007867E2" w:rsidRDefault="005170B7" w14:paraId="39BB2585" w14:textId="77777777">
      <w:pPr>
        <w:ind w:left="360"/>
        <w:outlineLvl w:val="0"/>
        <w:rPr>
          <w:b/>
          <w:sz w:val="20"/>
          <w:szCs w:val="20"/>
        </w:rPr>
      </w:pPr>
    </w:p>
    <w:p w:rsidR="00AA50DA" w:rsidP="005E0B14" w:rsidRDefault="00AA50DA" w14:paraId="69C9A2F9" w14:textId="0542D87C">
      <w:pPr>
        <w:rPr>
          <w:b/>
        </w:rPr>
      </w:pPr>
    </w:p>
    <w:p w:rsidR="00E94E55" w:rsidP="00C11FC0" w:rsidRDefault="00E94E55" w14:paraId="65F724AD" w14:textId="56F64BCE">
      <w:pPr>
        <w:ind w:left="360" w:firstLine="360"/>
      </w:pPr>
      <w:r>
        <w:t xml:space="preserve">Table </w:t>
      </w:r>
      <w:r w:rsidR="00EC4484">
        <w:t>5</w:t>
      </w:r>
      <w:r>
        <w:t xml:space="preserve"> lists 2</w:t>
      </w:r>
      <w:r w:rsidR="00EC4484">
        <w:t>7</w:t>
      </w:r>
      <w:r>
        <w:t xml:space="preserve"> nonattainment areas for the 2015 ozone NAAQS currently classified as Marginal that could be reclassified to Moderate based on preliminary 2020 air quality data. </w:t>
      </w:r>
      <w:r w:rsidR="004C426B">
        <w:t>Areas with a</w:t>
      </w:r>
      <w:r>
        <w:t xml:space="preserve"> Marginal classification ha</w:t>
      </w:r>
      <w:r w:rsidR="004C426B">
        <w:t>ve</w:t>
      </w:r>
      <w:r>
        <w:t xml:space="preserve"> a statutory attainment date of August 3, 2021.  EPA is required to determine within 6 months whether these areas attained the NAAQS by the attainment date. If </w:t>
      </w:r>
      <w:r w:rsidR="004C426B">
        <w:t xml:space="preserve">EPA determines that </w:t>
      </w:r>
      <w:r>
        <w:t>an area fail</w:t>
      </w:r>
      <w:r w:rsidR="004C426B">
        <w:t>ed</w:t>
      </w:r>
      <w:r>
        <w:t xml:space="preserve"> to </w:t>
      </w:r>
      <w:r w:rsidR="004C426B">
        <w:t xml:space="preserve">timely </w:t>
      </w:r>
      <w:r>
        <w:t>attain</w:t>
      </w:r>
      <w:r w:rsidR="004C426B">
        <w:t>,</w:t>
      </w:r>
      <w:r>
        <w:t xml:space="preserve"> it will be reclassified </w:t>
      </w:r>
      <w:r w:rsidR="004C426B">
        <w:t xml:space="preserve">to </w:t>
      </w:r>
      <w:r>
        <w:t>Moderate and a Moderate area SIP will be</w:t>
      </w:r>
      <w:r w:rsidR="004C426B">
        <w:t>come</w:t>
      </w:r>
      <w:r>
        <w:t xml:space="preserve"> due</w:t>
      </w:r>
      <w:r>
        <w:rPr>
          <w:rStyle w:val="FootnoteReference"/>
        </w:rPr>
        <w:footnoteReference w:id="12"/>
      </w:r>
      <w:r>
        <w:t xml:space="preserve">, </w:t>
      </w:r>
      <w:r w:rsidR="004C426B">
        <w:t xml:space="preserve">most likely </w:t>
      </w:r>
      <w:r>
        <w:t xml:space="preserve">during the reporting period for this ICR. Accordingly, this analysis estimates the burden for each state in Table </w:t>
      </w:r>
      <w:r w:rsidR="0021371E">
        <w:t>5</w:t>
      </w:r>
      <w:r>
        <w:t xml:space="preserve"> to prepare and submit the SIP revisions required for their respective nonattainment areas based on the area’s reclassification to Moderate.</w:t>
      </w:r>
      <w:r w:rsidR="00657634">
        <w:rPr>
          <w:rStyle w:val="FootnoteReference"/>
        </w:rPr>
        <w:footnoteReference w:id="13"/>
      </w:r>
      <w:r>
        <w:t xml:space="preserve"> The analysis estimates the state burden to prepare an attainment demonstration for the Moderate classification as well as submit an updated RFP and RACT SIP.  For purposes of this analysis, </w:t>
      </w:r>
      <w:r w:rsidR="002461B1">
        <w:t xml:space="preserve">we based our burden estimate on an assumption that there will be </w:t>
      </w:r>
      <w:r>
        <w:t xml:space="preserve">36 state-portions </w:t>
      </w:r>
      <w:r w:rsidR="002461B1">
        <w:t xml:space="preserve">associated with 27 </w:t>
      </w:r>
      <w:r>
        <w:t>nonattainment area</w:t>
      </w:r>
      <w:r w:rsidR="0021371E">
        <w:t>s</w:t>
      </w:r>
      <w:r>
        <w:t xml:space="preserve"> </w:t>
      </w:r>
      <w:r w:rsidR="002461B1">
        <w:t>for which states</w:t>
      </w:r>
      <w:r>
        <w:t xml:space="preserve"> </w:t>
      </w:r>
      <w:r w:rsidR="002010BF">
        <w:t>may</w:t>
      </w:r>
      <w:r w:rsidR="002461B1">
        <w:t xml:space="preserve"> need to develop </w:t>
      </w:r>
      <w:r>
        <w:t xml:space="preserve">2015 ozone Moderate </w:t>
      </w:r>
      <w:r w:rsidR="002010BF">
        <w:t xml:space="preserve">area </w:t>
      </w:r>
      <w:r>
        <w:t>SIP</w:t>
      </w:r>
      <w:r w:rsidR="002461B1">
        <w:t xml:space="preserve"> submissions</w:t>
      </w:r>
      <w:r>
        <w:t xml:space="preserve">.  </w:t>
      </w:r>
    </w:p>
    <w:p w:rsidR="00E94E55" w:rsidP="00E94E55" w:rsidRDefault="00E94E55" w14:paraId="5546F7C2" w14:textId="77777777"/>
    <w:p w:rsidR="003A00B5" w:rsidP="00E94E55" w:rsidRDefault="00E94E55" w14:paraId="4C106652" w14:textId="118A67EF">
      <w:pPr>
        <w:ind w:left="360"/>
        <w:rPr>
          <w:b/>
          <w:bCs/>
        </w:rPr>
      </w:pPr>
      <w:r w:rsidRPr="00A06C92">
        <w:rPr>
          <w:b/>
        </w:rPr>
        <w:t xml:space="preserve">Table </w:t>
      </w:r>
      <w:r w:rsidR="00EC4484">
        <w:rPr>
          <w:b/>
        </w:rPr>
        <w:t>5</w:t>
      </w:r>
      <w:r w:rsidRPr="00A06C92">
        <w:rPr>
          <w:b/>
        </w:rPr>
        <w:t xml:space="preserve">.  </w:t>
      </w:r>
      <w:r w:rsidRPr="00950360">
        <w:rPr>
          <w:b/>
          <w:bCs/>
        </w:rPr>
        <w:t xml:space="preserve"> </w:t>
      </w:r>
      <w:r w:rsidR="00EC4484">
        <w:rPr>
          <w:b/>
          <w:bCs/>
        </w:rPr>
        <w:t xml:space="preserve">2015 </w:t>
      </w:r>
      <w:r w:rsidRPr="00950360">
        <w:rPr>
          <w:b/>
          <w:bCs/>
        </w:rPr>
        <w:t xml:space="preserve">Ozone </w:t>
      </w:r>
      <w:r w:rsidR="00EC4484">
        <w:rPr>
          <w:b/>
          <w:bCs/>
        </w:rPr>
        <w:t>NAAQS</w:t>
      </w:r>
      <w:r w:rsidRPr="00950360">
        <w:rPr>
          <w:b/>
          <w:bCs/>
        </w:rPr>
        <w:t xml:space="preserve"> Nonattainment Areas</w:t>
      </w:r>
      <w:r>
        <w:rPr>
          <w:b/>
          <w:bCs/>
        </w:rPr>
        <w:t xml:space="preserve"> Classified as </w:t>
      </w:r>
      <w:r w:rsidR="00876FC6">
        <w:rPr>
          <w:b/>
          <w:bCs/>
        </w:rPr>
        <w:t>Marginal</w:t>
      </w:r>
      <w:r>
        <w:rPr>
          <w:b/>
          <w:bCs/>
        </w:rPr>
        <w:t xml:space="preserve"> that are not meeting NAAQS based on preliminary air quality data</w:t>
      </w:r>
      <w:r w:rsidR="006878EF">
        <w:rPr>
          <w:b/>
          <w:bCs/>
        </w:rPr>
        <w:t xml:space="preserve"> as of </w:t>
      </w:r>
      <w:r w:rsidR="00D12D58">
        <w:rPr>
          <w:b/>
          <w:bCs/>
        </w:rPr>
        <w:t>September</w:t>
      </w:r>
      <w:r w:rsidR="006878EF">
        <w:rPr>
          <w:b/>
          <w:bCs/>
        </w:rPr>
        <w:t xml:space="preserve"> 2020</w:t>
      </w:r>
    </w:p>
    <w:p w:rsidR="003A00B5" w:rsidP="00E94E55" w:rsidRDefault="003A00B5" w14:paraId="1EA94803" w14:textId="63171050">
      <w:pPr>
        <w:ind w:left="360"/>
        <w:rPr>
          <w:b/>
          <w:bCs/>
        </w:rPr>
      </w:pPr>
    </w:p>
    <w:tbl>
      <w:tblPr>
        <w:tblW w:w="6000" w:type="dxa"/>
        <w:tblInd w:w="495" w:type="dxa"/>
        <w:tblLook w:val="00A0" w:firstRow="1" w:lastRow="0" w:firstColumn="1" w:lastColumn="0" w:noHBand="0" w:noVBand="0"/>
      </w:tblPr>
      <w:tblGrid>
        <w:gridCol w:w="4615"/>
        <w:gridCol w:w="1385"/>
      </w:tblGrid>
      <w:tr w:rsidRPr="004E5076" w:rsidR="00534547" w:rsidTr="00534547" w14:paraId="5DA7D153" w14:textId="77777777">
        <w:trPr>
          <w:trHeight w:val="885"/>
        </w:trPr>
        <w:tc>
          <w:tcPr>
            <w:tcW w:w="4615" w:type="dxa"/>
            <w:tcBorders>
              <w:top w:val="single" w:color="auto" w:sz="8" w:space="0"/>
              <w:left w:val="single" w:color="auto" w:sz="8" w:space="0"/>
              <w:bottom w:val="single" w:color="auto" w:sz="8" w:space="0"/>
              <w:right w:val="single" w:color="auto" w:sz="8" w:space="0"/>
            </w:tcBorders>
            <w:vAlign w:val="center"/>
          </w:tcPr>
          <w:p w:rsidRPr="004E5076" w:rsidR="00534547" w:rsidP="00606799" w:rsidRDefault="00534547" w14:paraId="01BEEF12" w14:textId="77777777">
            <w:pPr>
              <w:jc w:val="center"/>
              <w:rPr>
                <w:b/>
                <w:bCs/>
              </w:rPr>
            </w:pPr>
            <w:r w:rsidRPr="004E5076">
              <w:rPr>
                <w:b/>
                <w:bCs/>
              </w:rPr>
              <w:t>State</w:t>
            </w:r>
          </w:p>
        </w:tc>
        <w:tc>
          <w:tcPr>
            <w:tcW w:w="1385" w:type="dxa"/>
            <w:tcBorders>
              <w:top w:val="single" w:color="auto" w:sz="8" w:space="0"/>
              <w:left w:val="single" w:color="auto" w:sz="8" w:space="0"/>
              <w:bottom w:val="single" w:color="auto" w:sz="8" w:space="0"/>
              <w:right w:val="single" w:color="auto" w:sz="8" w:space="0"/>
            </w:tcBorders>
            <w:vAlign w:val="center"/>
          </w:tcPr>
          <w:p w:rsidRPr="004E5076" w:rsidR="00534547" w:rsidP="00606799" w:rsidRDefault="00534547" w14:paraId="14E62F0D" w14:textId="77777777">
            <w:pPr>
              <w:jc w:val="center"/>
              <w:rPr>
                <w:b/>
                <w:bCs/>
              </w:rPr>
            </w:pPr>
            <w:r w:rsidRPr="004E5076">
              <w:rPr>
                <w:b/>
                <w:bCs/>
              </w:rPr>
              <w:t>EPA Region</w:t>
            </w:r>
          </w:p>
        </w:tc>
      </w:tr>
      <w:tr w:rsidRPr="004E5076" w:rsidR="00534547" w:rsidTr="00534547" w14:paraId="15E87C3E"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534547" w:rsidP="00534547" w:rsidRDefault="00534547" w14:paraId="64791966" w14:textId="675FA40B">
            <w:r w:rsidRPr="00534547">
              <w:t>Allegan County, MI</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14D04B61" w14:textId="36C698CE">
            <w:pPr>
              <w:jc w:val="right"/>
            </w:pPr>
            <w:r>
              <w:t>5</w:t>
            </w:r>
          </w:p>
        </w:tc>
      </w:tr>
      <w:tr w:rsidRPr="004E5076" w:rsidR="00534547" w:rsidTr="00534547" w14:paraId="0749CF99"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534547" w:rsidP="00534547" w:rsidRDefault="00534547" w14:paraId="12F30C40" w14:textId="3CFA566D">
            <w:r w:rsidRPr="00534547">
              <w:t>Baltimore, MD</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1129AFCC" w14:textId="0089427F">
            <w:pPr>
              <w:jc w:val="right"/>
            </w:pPr>
            <w:r>
              <w:t>3</w:t>
            </w:r>
          </w:p>
        </w:tc>
      </w:tr>
      <w:tr w:rsidRPr="004E5076" w:rsidR="00534547" w:rsidTr="00534547" w14:paraId="2BB00E33"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534547" w:rsidP="00534547" w:rsidRDefault="00534547" w14:paraId="35ADD3AF" w14:textId="249DC04B">
            <w:r w:rsidRPr="00534547">
              <w:t>Berrien County, MI</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689EB5C4" w14:textId="2AEC19B6">
            <w:pPr>
              <w:jc w:val="right"/>
            </w:pPr>
            <w:r>
              <w:t>5</w:t>
            </w:r>
          </w:p>
        </w:tc>
      </w:tr>
      <w:tr w:rsidRPr="004E5076" w:rsidR="00534547" w:rsidTr="00534547" w14:paraId="3E36FC5C"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4E5076" w:rsidR="00534547" w:rsidP="00534547" w:rsidRDefault="00534547" w14:paraId="1C1D86E2" w14:textId="7B4F4A40">
            <w:r w:rsidRPr="00534547">
              <w:t>Chicago, IL-IN-WI</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33CC431A" w14:textId="121BABD1">
            <w:pPr>
              <w:jc w:val="right"/>
            </w:pPr>
            <w:r>
              <w:t>5</w:t>
            </w:r>
          </w:p>
        </w:tc>
      </w:tr>
      <w:tr w:rsidRPr="004E5076" w:rsidR="00534547" w:rsidTr="00534547" w14:paraId="39D42497"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27A43759" w14:textId="1A8C960A">
            <w:r w:rsidRPr="00534547">
              <w:t>Cincinnati, OH-KY</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277960" w14:paraId="61EC1AFC" w14:textId="73E9F24C">
            <w:pPr>
              <w:jc w:val="right"/>
            </w:pPr>
            <w:r>
              <w:t>4,</w:t>
            </w:r>
            <w:r w:rsidR="00534547">
              <w:t>5</w:t>
            </w:r>
          </w:p>
        </w:tc>
      </w:tr>
      <w:tr w:rsidRPr="004E5076" w:rsidR="00534547" w:rsidTr="00534547" w14:paraId="106864A1"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6253C8F2" w14:textId="0FE926C5">
            <w:r w:rsidRPr="00534547">
              <w:t>Cleveland, OH</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4350DE2E" w14:textId="119D7C53">
            <w:pPr>
              <w:jc w:val="right"/>
            </w:pPr>
            <w:r>
              <w:t>5</w:t>
            </w:r>
          </w:p>
        </w:tc>
      </w:tr>
      <w:tr w:rsidRPr="004E5076" w:rsidR="00534547" w:rsidTr="00534547" w14:paraId="1A539410"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1CC3F842" w14:textId="1363ED1A">
            <w:r w:rsidRPr="00534547">
              <w:t>Dallas-Fort Worth, TX</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2517BA52" w14:textId="61B7402F">
            <w:pPr>
              <w:jc w:val="right"/>
            </w:pPr>
            <w:r>
              <w:t>6</w:t>
            </w:r>
          </w:p>
        </w:tc>
      </w:tr>
      <w:tr w:rsidRPr="004E5076" w:rsidR="00534547" w:rsidTr="00534547" w14:paraId="05E74FC6"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4FE678D4" w14:textId="15EC2511">
            <w:r w:rsidRPr="00534547">
              <w:t>Denver Metro/North Front Range, CO</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57B640F8" w14:textId="4E264894">
            <w:pPr>
              <w:jc w:val="right"/>
            </w:pPr>
            <w:r>
              <w:t>8</w:t>
            </w:r>
          </w:p>
        </w:tc>
      </w:tr>
      <w:tr w:rsidRPr="004E5076" w:rsidR="00534547" w:rsidTr="00534547" w14:paraId="5C9472FD"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731CDA1E" w14:textId="460C3ADD">
            <w:r w:rsidRPr="00534547">
              <w:t>Detroit, MI</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34E8A87C" w14:textId="2DBB391F">
            <w:pPr>
              <w:jc w:val="right"/>
            </w:pPr>
            <w:r>
              <w:t>5</w:t>
            </w:r>
          </w:p>
        </w:tc>
      </w:tr>
      <w:tr w:rsidRPr="004E5076" w:rsidR="00534547" w:rsidTr="00534547" w14:paraId="7EA30C61"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2E92F3D6" w14:textId="501EDB06">
            <w:r w:rsidRPr="00534547">
              <w:t>Dona Ana County (Sunland Park), NM</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56A12205" w14:textId="028B2E8F">
            <w:pPr>
              <w:jc w:val="right"/>
            </w:pPr>
            <w:r>
              <w:t>6</w:t>
            </w:r>
          </w:p>
        </w:tc>
      </w:tr>
      <w:tr w:rsidRPr="004E5076" w:rsidR="00534547" w:rsidTr="00534547" w14:paraId="0EBD06A0"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27BB72A0" w14:textId="04B3EAD1">
            <w:r w:rsidRPr="00534547">
              <w:t>Greater Connecticut, CT</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5D2926A9" w14:textId="3085E4B0">
            <w:pPr>
              <w:jc w:val="right"/>
            </w:pPr>
            <w:r>
              <w:t>1</w:t>
            </w:r>
          </w:p>
        </w:tc>
      </w:tr>
      <w:tr w:rsidRPr="004E5076" w:rsidR="00534547" w:rsidTr="00534547" w14:paraId="12E66896"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46B26EC5" w14:textId="2C46F9A4">
            <w:r w:rsidRPr="00534547">
              <w:lastRenderedPageBreak/>
              <w:t>Houston-Galveston-Brazoria, TX</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46505555" w14:textId="1BA30B62">
            <w:pPr>
              <w:jc w:val="right"/>
            </w:pPr>
            <w:r>
              <w:t>6</w:t>
            </w:r>
          </w:p>
        </w:tc>
      </w:tr>
      <w:tr w:rsidRPr="004E5076" w:rsidR="00534547" w:rsidTr="00534547" w14:paraId="79D579E2"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20BD2362" w14:textId="0DB1BEED">
            <w:r w:rsidRPr="00534547">
              <w:t>Imperial County, CA</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13031F53" w14:textId="58F8781B">
            <w:pPr>
              <w:jc w:val="right"/>
            </w:pPr>
            <w:r>
              <w:t>9</w:t>
            </w:r>
          </w:p>
        </w:tc>
      </w:tr>
      <w:tr w:rsidRPr="004E5076" w:rsidR="00534547" w:rsidTr="00534547" w14:paraId="05B470D1"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46367F03" w14:textId="7658C429">
            <w:r w:rsidRPr="00534547">
              <w:t>Las Vegas, NV</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33B36EF5" w14:textId="4F2484EA">
            <w:pPr>
              <w:jc w:val="right"/>
            </w:pPr>
            <w:r>
              <w:t>9</w:t>
            </w:r>
          </w:p>
        </w:tc>
      </w:tr>
      <w:tr w:rsidRPr="004E5076" w:rsidR="00534547" w:rsidTr="00534547" w14:paraId="3FB915E0"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5542D66D" w14:textId="3A88F8E2">
            <w:r w:rsidRPr="00534547">
              <w:t>Louisville, KY-IN</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0028FE86" w14:textId="7BC9C382">
            <w:pPr>
              <w:jc w:val="right"/>
            </w:pPr>
            <w:r>
              <w:t>4,5</w:t>
            </w:r>
          </w:p>
        </w:tc>
      </w:tr>
      <w:tr w:rsidRPr="004E5076" w:rsidR="00534547" w:rsidTr="00534547" w14:paraId="7928C0E8"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13A1075F" w14:textId="2B7D6FCE">
            <w:r w:rsidRPr="00534547">
              <w:t>Mariposa County, CA</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23A48255" w14:textId="065E4805">
            <w:pPr>
              <w:jc w:val="right"/>
            </w:pPr>
            <w:r>
              <w:t>9</w:t>
            </w:r>
          </w:p>
        </w:tc>
      </w:tr>
      <w:tr w:rsidRPr="004E5076" w:rsidR="00534547" w:rsidTr="00534547" w14:paraId="4E8360FE"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2155A3F4" w14:textId="212CD0B5">
            <w:r w:rsidRPr="00534547">
              <w:t>Muskegon County, MI</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6D7F7A4A" w14:textId="69FD899B">
            <w:pPr>
              <w:jc w:val="right"/>
            </w:pPr>
            <w:r>
              <w:t>5</w:t>
            </w:r>
          </w:p>
        </w:tc>
      </w:tr>
      <w:tr w:rsidRPr="004E5076" w:rsidR="00534547" w:rsidTr="00534547" w14:paraId="181D5D9F"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0E166803" w14:textId="399D62AC">
            <w:r w:rsidRPr="00534547">
              <w:t>Northern Milwaukee/Ozaukee Shoreline, WI</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0CA103D9" w14:textId="3E94FC70">
            <w:pPr>
              <w:jc w:val="right"/>
            </w:pPr>
            <w:r>
              <w:t>5</w:t>
            </w:r>
          </w:p>
        </w:tc>
      </w:tr>
      <w:tr w:rsidRPr="004E5076" w:rsidR="00534547" w:rsidTr="00534547" w14:paraId="53A65476"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068B86AD" w14:textId="2F031433">
            <w:r w:rsidRPr="00534547">
              <w:t>Northern Wasatch Front, UT</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31BA5046" w14:textId="74A53B90">
            <w:pPr>
              <w:jc w:val="right"/>
            </w:pPr>
            <w:r>
              <w:t>8</w:t>
            </w:r>
          </w:p>
        </w:tc>
      </w:tr>
      <w:tr w:rsidRPr="004E5076" w:rsidR="00534547" w:rsidTr="00534547" w14:paraId="007BC738"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62283769" w14:textId="18F8ECA9">
            <w:r w:rsidRPr="00534547">
              <w:t>Pechanga Band of Luiseno Mission Indians, CA</w:t>
            </w:r>
            <w:r w:rsidR="00E3269B">
              <w:t xml:space="preserve"> </w:t>
            </w:r>
            <w:r w:rsidRPr="008D008C" w:rsidR="00E3269B">
              <w:t>(included with Region 9 estimated burden)</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534547" w14:paraId="3BE2A25E" w14:textId="01EAEC37">
            <w:pPr>
              <w:jc w:val="right"/>
            </w:pPr>
            <w:r>
              <w:t>9</w:t>
            </w:r>
          </w:p>
        </w:tc>
      </w:tr>
      <w:tr w:rsidRPr="004E5076" w:rsidR="00534547" w:rsidTr="00534547" w14:paraId="7FE3980C"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56431CC8" w14:textId="594CF307">
            <w:r w:rsidRPr="00534547">
              <w:t>Philadelphia-Wilmington-Atlantic City, PA-NJ-MD-DE</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2010BF" w14:paraId="67B402FD" w14:textId="03F493FE">
            <w:pPr>
              <w:jc w:val="right"/>
            </w:pPr>
            <w:r>
              <w:t>2</w:t>
            </w:r>
            <w:r w:rsidR="00EA1A74">
              <w:t>,</w:t>
            </w:r>
            <w:r>
              <w:t>3</w:t>
            </w:r>
          </w:p>
        </w:tc>
      </w:tr>
      <w:tr w:rsidRPr="004E5076" w:rsidR="00534547" w:rsidTr="00534547" w14:paraId="1C0A9D95"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2D73ECDB" w14:textId="5E4C1912">
            <w:r w:rsidRPr="00534547">
              <w:t>Phoenix-Mesa, AZ</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EA1A74" w14:paraId="53526C1E" w14:textId="45FDCA34">
            <w:pPr>
              <w:jc w:val="right"/>
            </w:pPr>
            <w:r>
              <w:t>9</w:t>
            </w:r>
          </w:p>
        </w:tc>
      </w:tr>
      <w:tr w:rsidRPr="004E5076" w:rsidR="00534547" w:rsidTr="00534547" w14:paraId="1F76B0EF"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03130D8B" w14:textId="276E7FD5">
            <w:r w:rsidRPr="00534547">
              <w:t>Sheboygan County, WI</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EA1A74" w14:paraId="0CFB4AF1" w14:textId="3442F63F">
            <w:pPr>
              <w:jc w:val="right"/>
            </w:pPr>
            <w:r>
              <w:t>5</w:t>
            </w:r>
          </w:p>
        </w:tc>
      </w:tr>
      <w:tr w:rsidRPr="004E5076" w:rsidR="00534547" w:rsidTr="00534547" w14:paraId="2384897F"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16F02B82" w14:textId="2E9B93CC">
            <w:r w:rsidRPr="00534547">
              <w:t>St. Louis, MO-IL</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EA1A74" w14:paraId="16C1CA8F" w14:textId="07EDA210">
            <w:pPr>
              <w:jc w:val="right"/>
            </w:pPr>
            <w:r>
              <w:t>5</w:t>
            </w:r>
          </w:p>
        </w:tc>
      </w:tr>
      <w:tr w:rsidRPr="004E5076" w:rsidR="00534547" w:rsidTr="00534547" w14:paraId="63BE3A66"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65689A93" w14:textId="13D34F46">
            <w:r w:rsidRPr="00534547">
              <w:t>Tuolumne County, CA</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EA1A74" w14:paraId="78FED855" w14:textId="426EE4C1">
            <w:pPr>
              <w:jc w:val="right"/>
            </w:pPr>
            <w:r>
              <w:t>9</w:t>
            </w:r>
          </w:p>
        </w:tc>
      </w:tr>
      <w:tr w:rsidRPr="004E5076" w:rsidR="00534547" w:rsidTr="00534547" w14:paraId="77FE1813"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184D7373" w14:textId="69EE7920">
            <w:r w:rsidRPr="00534547">
              <w:t>Uinta Basin, UT</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EA1A74" w14:paraId="6E52C28A" w14:textId="334A88A5">
            <w:pPr>
              <w:jc w:val="right"/>
            </w:pPr>
            <w:r>
              <w:t>8</w:t>
            </w:r>
          </w:p>
        </w:tc>
      </w:tr>
      <w:tr w:rsidRPr="004E5076" w:rsidR="00534547" w:rsidTr="00534547" w14:paraId="007C283E" w14:textId="77777777">
        <w:trPr>
          <w:trHeight w:val="255"/>
        </w:trPr>
        <w:tc>
          <w:tcPr>
            <w:tcW w:w="461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534547" w:rsidR="00534547" w:rsidP="00534547" w:rsidRDefault="00534547" w14:paraId="75565248" w14:textId="36209583">
            <w:r w:rsidRPr="00534547">
              <w:t>Washington, DC-MD-VA</w:t>
            </w:r>
          </w:p>
        </w:tc>
        <w:tc>
          <w:tcPr>
            <w:tcW w:w="1385" w:type="dxa"/>
            <w:tcBorders>
              <w:top w:val="single" w:color="auto" w:sz="8" w:space="0"/>
              <w:left w:val="nil"/>
              <w:bottom w:val="single" w:color="auto" w:sz="4" w:space="0"/>
              <w:right w:val="single" w:color="auto" w:sz="4" w:space="0"/>
            </w:tcBorders>
            <w:shd w:val="clear" w:color="auto" w:fill="auto"/>
            <w:noWrap/>
            <w:vAlign w:val="bottom"/>
          </w:tcPr>
          <w:p w:rsidRPr="004E5076" w:rsidR="00534547" w:rsidP="00534547" w:rsidRDefault="00EA1A74" w14:paraId="0B9F7C9C" w14:textId="4D68F530">
            <w:pPr>
              <w:jc w:val="right"/>
            </w:pPr>
            <w:r>
              <w:t>3</w:t>
            </w:r>
          </w:p>
        </w:tc>
      </w:tr>
    </w:tbl>
    <w:p w:rsidRPr="00950360" w:rsidR="00E94E55" w:rsidP="00E94E55" w:rsidRDefault="00E94E55" w14:paraId="1E9BB16F" w14:textId="37FC8D15">
      <w:pPr>
        <w:ind w:left="360"/>
        <w:rPr>
          <w:b/>
          <w:bCs/>
        </w:rPr>
      </w:pPr>
    </w:p>
    <w:p w:rsidR="005223F9" w:rsidP="001661CA" w:rsidRDefault="005223F9" w14:paraId="1BADCCC2" w14:textId="5421A49A">
      <w:pPr>
        <w:ind w:firstLine="720"/>
      </w:pPr>
      <w:r>
        <w:t xml:space="preserve">Table 6 </w:t>
      </w:r>
      <w:r w:rsidR="003E2077">
        <w:t xml:space="preserve">lists </w:t>
      </w:r>
      <w:r>
        <w:t xml:space="preserve">the </w:t>
      </w:r>
      <w:r w:rsidR="006A7D54">
        <w:t xml:space="preserve">names of </w:t>
      </w:r>
      <w:r>
        <w:t xml:space="preserve">states with 2008 NAAQS maintenance areas </w:t>
      </w:r>
      <w:r w:rsidR="006A7D54">
        <w:t xml:space="preserve">that are </w:t>
      </w:r>
      <w:r>
        <w:t xml:space="preserve">required to submit a SIP revision </w:t>
      </w:r>
      <w:r w:rsidR="006A7D54">
        <w:t>in the form of</w:t>
      </w:r>
      <w:r>
        <w:t xml:space="preserve"> second </w:t>
      </w:r>
      <w:r w:rsidR="006A7D54">
        <w:t xml:space="preserve">10-year </w:t>
      </w:r>
      <w:r>
        <w:t>maintenance plans. The second maintenance plan SIP revisions are due 8 years after the effective date of the first maintenance plans’ approval by EPA.</w:t>
      </w:r>
      <w:r w:rsidR="00E7714D">
        <w:t xml:space="preserve"> The SIP submission due date</w:t>
      </w:r>
      <w:r w:rsidR="003E2077">
        <w:t>s</w:t>
      </w:r>
      <w:r w:rsidR="00E7714D">
        <w:t xml:space="preserve"> </w:t>
      </w:r>
      <w:r w:rsidR="003E2077">
        <w:t xml:space="preserve">fall </w:t>
      </w:r>
      <w:r w:rsidR="00E7714D">
        <w:t xml:space="preserve">during the </w:t>
      </w:r>
      <w:r w:rsidR="003E2077">
        <w:t xml:space="preserve">3-year </w:t>
      </w:r>
      <w:proofErr w:type="gramStart"/>
      <w:r w:rsidR="003E2077">
        <w:t>time period</w:t>
      </w:r>
      <w:proofErr w:type="gramEnd"/>
      <w:r w:rsidR="003E2077">
        <w:t xml:space="preserve"> that this proposed ICR renewal covers (</w:t>
      </w:r>
      <w:r w:rsidR="00E7714D">
        <w:t>2021 to 2024</w:t>
      </w:r>
      <w:r w:rsidR="003E2077">
        <w:t>)</w:t>
      </w:r>
      <w:r w:rsidR="00E7714D">
        <w:t>.</w:t>
      </w:r>
    </w:p>
    <w:p w:rsidR="001661CA" w:rsidP="00580B9B" w:rsidRDefault="001661CA" w14:paraId="62E536E0" w14:textId="77777777">
      <w:pPr>
        <w:ind w:firstLine="720"/>
      </w:pPr>
    </w:p>
    <w:p w:rsidRPr="00950360" w:rsidR="00E7714D" w:rsidP="00E7714D" w:rsidRDefault="00E7714D" w14:paraId="518AAB49" w14:textId="2BD1530E">
      <w:pPr>
        <w:ind w:left="360"/>
        <w:rPr>
          <w:b/>
          <w:bCs/>
        </w:rPr>
      </w:pPr>
      <w:r w:rsidRPr="00A06C92">
        <w:rPr>
          <w:b/>
        </w:rPr>
        <w:t xml:space="preserve">Table </w:t>
      </w:r>
      <w:r>
        <w:rPr>
          <w:b/>
        </w:rPr>
        <w:t>6</w:t>
      </w:r>
      <w:r w:rsidRPr="00A06C92">
        <w:rPr>
          <w:b/>
        </w:rPr>
        <w:t xml:space="preserve">.  </w:t>
      </w:r>
      <w:r>
        <w:rPr>
          <w:b/>
        </w:rPr>
        <w:t xml:space="preserve">2008 </w:t>
      </w:r>
      <w:r w:rsidRPr="00950360">
        <w:rPr>
          <w:b/>
          <w:bCs/>
        </w:rPr>
        <w:t>Ozone</w:t>
      </w:r>
      <w:r>
        <w:rPr>
          <w:b/>
          <w:bCs/>
        </w:rPr>
        <w:t xml:space="preserve"> NAAQS</w:t>
      </w:r>
      <w:r w:rsidRPr="00950360">
        <w:rPr>
          <w:b/>
          <w:bCs/>
        </w:rPr>
        <w:t xml:space="preserve"> </w:t>
      </w:r>
      <w:r>
        <w:rPr>
          <w:b/>
          <w:bCs/>
        </w:rPr>
        <w:t xml:space="preserve">Maintenance </w:t>
      </w:r>
      <w:r w:rsidRPr="00950360">
        <w:rPr>
          <w:b/>
          <w:bCs/>
        </w:rPr>
        <w:t>Areas</w:t>
      </w:r>
      <w:r>
        <w:rPr>
          <w:b/>
          <w:bCs/>
        </w:rPr>
        <w:t xml:space="preserve"> with second maintenance plan </w:t>
      </w:r>
      <w:r w:rsidR="003E2077">
        <w:rPr>
          <w:b/>
          <w:bCs/>
        </w:rPr>
        <w:t xml:space="preserve">(MP) </w:t>
      </w:r>
      <w:r>
        <w:rPr>
          <w:b/>
          <w:bCs/>
        </w:rPr>
        <w:t>submission due in the ICR period</w:t>
      </w:r>
    </w:p>
    <w:p w:rsidR="00E7714D" w:rsidP="00E7714D" w:rsidRDefault="00E7714D" w14:paraId="4FDA01DC" w14:textId="77777777">
      <w:pPr>
        <w:spacing w:line="480" w:lineRule="auto"/>
        <w:ind w:firstLine="720"/>
      </w:pPr>
    </w:p>
    <w:tbl>
      <w:tblPr>
        <w:tblW w:w="8520" w:type="dxa"/>
        <w:tblLook w:val="04A0" w:firstRow="1" w:lastRow="0" w:firstColumn="1" w:lastColumn="0" w:noHBand="0" w:noVBand="1"/>
      </w:tblPr>
      <w:tblGrid>
        <w:gridCol w:w="760"/>
        <w:gridCol w:w="3840"/>
        <w:gridCol w:w="2560"/>
        <w:gridCol w:w="1360"/>
      </w:tblGrid>
      <w:tr w:rsidR="00A97152" w:rsidTr="00A97152" w14:paraId="62FC7EEB" w14:textId="77777777">
        <w:trPr>
          <w:trHeight w:val="900"/>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A97152" w:rsidRDefault="00A97152" w14:paraId="4022F7E7" w14:textId="77777777">
            <w:pPr>
              <w:jc w:val="center"/>
              <w:rPr>
                <w:b/>
                <w:bCs/>
                <w:color w:val="000000"/>
              </w:rPr>
            </w:pPr>
            <w:r>
              <w:rPr>
                <w:b/>
                <w:bCs/>
                <w:color w:val="000000"/>
              </w:rPr>
              <w:t>State</w:t>
            </w:r>
          </w:p>
        </w:tc>
        <w:tc>
          <w:tcPr>
            <w:tcW w:w="3840" w:type="dxa"/>
            <w:tcBorders>
              <w:top w:val="single" w:color="auto" w:sz="4" w:space="0"/>
              <w:left w:val="nil"/>
              <w:bottom w:val="single" w:color="auto" w:sz="4" w:space="0"/>
              <w:right w:val="single" w:color="auto" w:sz="4" w:space="0"/>
            </w:tcBorders>
            <w:shd w:val="clear" w:color="auto" w:fill="auto"/>
            <w:vAlign w:val="center"/>
            <w:hideMark/>
          </w:tcPr>
          <w:p w:rsidR="00A97152" w:rsidRDefault="00A97152" w14:paraId="188D2EDD" w14:textId="77777777">
            <w:pPr>
              <w:jc w:val="center"/>
              <w:rPr>
                <w:b/>
                <w:bCs/>
                <w:color w:val="000000"/>
              </w:rPr>
            </w:pPr>
            <w:r>
              <w:rPr>
                <w:b/>
                <w:bCs/>
                <w:color w:val="000000"/>
              </w:rPr>
              <w:t>Area Name with State(s)</w:t>
            </w:r>
          </w:p>
        </w:tc>
        <w:tc>
          <w:tcPr>
            <w:tcW w:w="2560" w:type="dxa"/>
            <w:tcBorders>
              <w:top w:val="single" w:color="auto" w:sz="4" w:space="0"/>
              <w:left w:val="nil"/>
              <w:bottom w:val="single" w:color="auto" w:sz="4" w:space="0"/>
              <w:right w:val="single" w:color="auto" w:sz="4" w:space="0"/>
            </w:tcBorders>
            <w:shd w:val="clear" w:color="auto" w:fill="auto"/>
            <w:vAlign w:val="center"/>
            <w:hideMark/>
          </w:tcPr>
          <w:p w:rsidR="00A97152" w:rsidRDefault="00A97152" w14:paraId="7B4B94DF" w14:textId="186C17E8">
            <w:pPr>
              <w:jc w:val="center"/>
              <w:rPr>
                <w:b/>
                <w:bCs/>
                <w:color w:val="000000"/>
              </w:rPr>
            </w:pPr>
            <w:r>
              <w:rPr>
                <w:b/>
                <w:bCs/>
                <w:color w:val="000000"/>
              </w:rPr>
              <w:t>Redesignation Effective Date</w:t>
            </w:r>
          </w:p>
        </w:tc>
        <w:tc>
          <w:tcPr>
            <w:tcW w:w="1360" w:type="dxa"/>
            <w:tcBorders>
              <w:top w:val="single" w:color="auto" w:sz="4" w:space="0"/>
              <w:left w:val="nil"/>
              <w:bottom w:val="single" w:color="auto" w:sz="4" w:space="0"/>
              <w:right w:val="single" w:color="auto" w:sz="4" w:space="0"/>
            </w:tcBorders>
            <w:shd w:val="clear" w:color="auto" w:fill="auto"/>
            <w:vAlign w:val="center"/>
            <w:hideMark/>
          </w:tcPr>
          <w:p w:rsidR="00A97152" w:rsidRDefault="00A97152" w14:paraId="1D9B1EE2" w14:textId="293EB5E9">
            <w:pPr>
              <w:jc w:val="center"/>
              <w:rPr>
                <w:b/>
                <w:bCs/>
                <w:color w:val="000000"/>
              </w:rPr>
            </w:pPr>
            <w:r>
              <w:rPr>
                <w:b/>
                <w:bCs/>
                <w:color w:val="000000"/>
              </w:rPr>
              <w:t xml:space="preserve">2nd MP </w:t>
            </w:r>
            <w:r w:rsidR="00021214">
              <w:rPr>
                <w:b/>
                <w:bCs/>
                <w:color w:val="000000"/>
              </w:rPr>
              <w:t>D</w:t>
            </w:r>
            <w:r>
              <w:rPr>
                <w:b/>
                <w:bCs/>
                <w:color w:val="000000"/>
              </w:rPr>
              <w:t xml:space="preserve">ue </w:t>
            </w:r>
            <w:r w:rsidR="00021214">
              <w:rPr>
                <w:b/>
                <w:bCs/>
                <w:color w:val="000000"/>
              </w:rPr>
              <w:t>D</w:t>
            </w:r>
            <w:r>
              <w:rPr>
                <w:b/>
                <w:bCs/>
                <w:color w:val="000000"/>
              </w:rPr>
              <w:t>ate</w:t>
            </w:r>
          </w:p>
        </w:tc>
      </w:tr>
      <w:tr w:rsidR="00A97152" w:rsidTr="00A97152" w14:paraId="7AA4F5D9" w14:textId="77777777">
        <w:trPr>
          <w:trHeight w:val="312"/>
        </w:trPr>
        <w:tc>
          <w:tcPr>
            <w:tcW w:w="760" w:type="dxa"/>
            <w:tcBorders>
              <w:top w:val="nil"/>
              <w:left w:val="single" w:color="auto" w:sz="4" w:space="0"/>
              <w:bottom w:val="single" w:color="auto" w:sz="4" w:space="0"/>
              <w:right w:val="single" w:color="auto" w:sz="4" w:space="0"/>
            </w:tcBorders>
            <w:shd w:val="clear" w:color="auto" w:fill="auto"/>
            <w:hideMark/>
          </w:tcPr>
          <w:p w:rsidR="00A97152" w:rsidRDefault="00A97152" w14:paraId="0B9DEDC4" w14:textId="77777777">
            <w:r>
              <w:t>NC</w:t>
            </w:r>
          </w:p>
        </w:tc>
        <w:tc>
          <w:tcPr>
            <w:tcW w:w="3840" w:type="dxa"/>
            <w:tcBorders>
              <w:top w:val="nil"/>
              <w:left w:val="nil"/>
              <w:bottom w:val="single" w:color="auto" w:sz="4" w:space="0"/>
              <w:right w:val="single" w:color="auto" w:sz="4" w:space="0"/>
            </w:tcBorders>
            <w:shd w:val="clear" w:color="auto" w:fill="auto"/>
            <w:hideMark/>
          </w:tcPr>
          <w:p w:rsidR="00A97152" w:rsidRDefault="00A97152" w14:paraId="44B73D5D" w14:textId="77777777">
            <w:r>
              <w:t>Charlotte-Rock Hill, NC-SC</w:t>
            </w:r>
          </w:p>
        </w:tc>
        <w:tc>
          <w:tcPr>
            <w:tcW w:w="2560" w:type="dxa"/>
            <w:tcBorders>
              <w:top w:val="nil"/>
              <w:left w:val="nil"/>
              <w:bottom w:val="single" w:color="auto" w:sz="4" w:space="0"/>
              <w:right w:val="single" w:color="auto" w:sz="4" w:space="0"/>
            </w:tcBorders>
            <w:shd w:val="clear" w:color="auto" w:fill="auto"/>
            <w:hideMark/>
          </w:tcPr>
          <w:p w:rsidR="00A97152" w:rsidRDefault="00A97152" w14:paraId="44B9E55D" w14:textId="77777777">
            <w:pPr>
              <w:jc w:val="right"/>
            </w:pPr>
            <w:r>
              <w:t>8/27/2015</w:t>
            </w:r>
          </w:p>
        </w:tc>
        <w:tc>
          <w:tcPr>
            <w:tcW w:w="1360" w:type="dxa"/>
            <w:tcBorders>
              <w:top w:val="nil"/>
              <w:left w:val="nil"/>
              <w:bottom w:val="single" w:color="auto" w:sz="4" w:space="0"/>
              <w:right w:val="single" w:color="auto" w:sz="4" w:space="0"/>
            </w:tcBorders>
            <w:shd w:val="clear" w:color="auto" w:fill="auto"/>
            <w:noWrap/>
            <w:vAlign w:val="bottom"/>
            <w:hideMark/>
          </w:tcPr>
          <w:p w:rsidR="00A97152" w:rsidRDefault="00A97152" w14:paraId="2AA0ECB0" w14:textId="77777777">
            <w:pPr>
              <w:jc w:val="right"/>
              <w:rPr>
                <w:color w:val="363636"/>
              </w:rPr>
            </w:pPr>
            <w:r>
              <w:rPr>
                <w:color w:val="363636"/>
              </w:rPr>
              <w:t>8/27/2023</w:t>
            </w:r>
          </w:p>
        </w:tc>
      </w:tr>
      <w:tr w:rsidR="00A97152" w:rsidTr="00A97152" w14:paraId="6C863558" w14:textId="77777777">
        <w:trPr>
          <w:trHeight w:val="312"/>
        </w:trPr>
        <w:tc>
          <w:tcPr>
            <w:tcW w:w="760" w:type="dxa"/>
            <w:tcBorders>
              <w:top w:val="nil"/>
              <w:left w:val="single" w:color="auto" w:sz="4" w:space="0"/>
              <w:bottom w:val="single" w:color="auto" w:sz="4" w:space="0"/>
              <w:right w:val="single" w:color="auto" w:sz="4" w:space="0"/>
            </w:tcBorders>
            <w:shd w:val="clear" w:color="auto" w:fill="auto"/>
            <w:hideMark/>
          </w:tcPr>
          <w:p w:rsidR="00A97152" w:rsidRDefault="00A97152" w14:paraId="257884D6" w14:textId="77777777">
            <w:r>
              <w:t>SC</w:t>
            </w:r>
          </w:p>
        </w:tc>
        <w:tc>
          <w:tcPr>
            <w:tcW w:w="3840" w:type="dxa"/>
            <w:tcBorders>
              <w:top w:val="nil"/>
              <w:left w:val="nil"/>
              <w:bottom w:val="single" w:color="auto" w:sz="4" w:space="0"/>
              <w:right w:val="single" w:color="auto" w:sz="4" w:space="0"/>
            </w:tcBorders>
            <w:shd w:val="clear" w:color="auto" w:fill="auto"/>
            <w:hideMark/>
          </w:tcPr>
          <w:p w:rsidR="00A97152" w:rsidRDefault="00A97152" w14:paraId="1B8CDB17" w14:textId="77777777">
            <w:r>
              <w:t>Charlotte-Rock Hill, NC-SC</w:t>
            </w:r>
          </w:p>
        </w:tc>
        <w:tc>
          <w:tcPr>
            <w:tcW w:w="2560" w:type="dxa"/>
            <w:tcBorders>
              <w:top w:val="nil"/>
              <w:left w:val="nil"/>
              <w:bottom w:val="single" w:color="auto" w:sz="4" w:space="0"/>
              <w:right w:val="single" w:color="auto" w:sz="4" w:space="0"/>
            </w:tcBorders>
            <w:shd w:val="clear" w:color="auto" w:fill="auto"/>
            <w:hideMark/>
          </w:tcPr>
          <w:p w:rsidR="00A97152" w:rsidRDefault="00A97152" w14:paraId="05BDB090" w14:textId="77777777">
            <w:pPr>
              <w:jc w:val="right"/>
            </w:pPr>
            <w:r>
              <w:t>1/11/2016</w:t>
            </w:r>
          </w:p>
        </w:tc>
        <w:tc>
          <w:tcPr>
            <w:tcW w:w="1360" w:type="dxa"/>
            <w:tcBorders>
              <w:top w:val="nil"/>
              <w:left w:val="nil"/>
              <w:bottom w:val="single" w:color="auto" w:sz="4" w:space="0"/>
              <w:right w:val="single" w:color="auto" w:sz="4" w:space="0"/>
            </w:tcBorders>
            <w:shd w:val="clear" w:color="auto" w:fill="auto"/>
            <w:noWrap/>
            <w:vAlign w:val="bottom"/>
            <w:hideMark/>
          </w:tcPr>
          <w:p w:rsidR="00A97152" w:rsidRDefault="00A97152" w14:paraId="592B486C" w14:textId="77777777">
            <w:pPr>
              <w:jc w:val="right"/>
              <w:rPr>
                <w:color w:val="363636"/>
              </w:rPr>
            </w:pPr>
            <w:r>
              <w:rPr>
                <w:color w:val="363636"/>
              </w:rPr>
              <w:t>1/11/2024</w:t>
            </w:r>
          </w:p>
        </w:tc>
      </w:tr>
      <w:tr w:rsidR="00A97152" w:rsidTr="00A97152" w14:paraId="1FE2F75B" w14:textId="77777777">
        <w:trPr>
          <w:trHeight w:val="312"/>
        </w:trPr>
        <w:tc>
          <w:tcPr>
            <w:tcW w:w="760" w:type="dxa"/>
            <w:tcBorders>
              <w:top w:val="nil"/>
              <w:left w:val="single" w:color="auto" w:sz="4" w:space="0"/>
              <w:bottom w:val="single" w:color="auto" w:sz="4" w:space="0"/>
              <w:right w:val="single" w:color="auto" w:sz="4" w:space="0"/>
            </w:tcBorders>
            <w:shd w:val="clear" w:color="auto" w:fill="auto"/>
            <w:hideMark/>
          </w:tcPr>
          <w:p w:rsidR="00A97152" w:rsidRDefault="00A97152" w14:paraId="73B95033" w14:textId="77777777">
            <w:r>
              <w:t>TN</w:t>
            </w:r>
          </w:p>
        </w:tc>
        <w:tc>
          <w:tcPr>
            <w:tcW w:w="3840" w:type="dxa"/>
            <w:tcBorders>
              <w:top w:val="nil"/>
              <w:left w:val="nil"/>
              <w:bottom w:val="single" w:color="auto" w:sz="4" w:space="0"/>
              <w:right w:val="single" w:color="auto" w:sz="4" w:space="0"/>
            </w:tcBorders>
            <w:shd w:val="clear" w:color="auto" w:fill="auto"/>
            <w:hideMark/>
          </w:tcPr>
          <w:p w:rsidR="00A97152" w:rsidRDefault="00A97152" w14:paraId="2746AFA3" w14:textId="77777777">
            <w:r>
              <w:t>Knoxville, TN</w:t>
            </w:r>
          </w:p>
        </w:tc>
        <w:tc>
          <w:tcPr>
            <w:tcW w:w="2560" w:type="dxa"/>
            <w:tcBorders>
              <w:top w:val="nil"/>
              <w:left w:val="nil"/>
              <w:bottom w:val="single" w:color="auto" w:sz="4" w:space="0"/>
              <w:right w:val="single" w:color="auto" w:sz="4" w:space="0"/>
            </w:tcBorders>
            <w:shd w:val="clear" w:color="auto" w:fill="auto"/>
            <w:hideMark/>
          </w:tcPr>
          <w:p w:rsidR="00A97152" w:rsidRDefault="00A97152" w14:paraId="5DCCC479" w14:textId="77777777">
            <w:pPr>
              <w:jc w:val="right"/>
            </w:pPr>
            <w:r>
              <w:t>8/12/2015</w:t>
            </w:r>
          </w:p>
        </w:tc>
        <w:tc>
          <w:tcPr>
            <w:tcW w:w="1360" w:type="dxa"/>
            <w:tcBorders>
              <w:top w:val="nil"/>
              <w:left w:val="nil"/>
              <w:bottom w:val="single" w:color="auto" w:sz="4" w:space="0"/>
              <w:right w:val="single" w:color="auto" w:sz="4" w:space="0"/>
            </w:tcBorders>
            <w:shd w:val="clear" w:color="auto" w:fill="auto"/>
            <w:noWrap/>
            <w:vAlign w:val="bottom"/>
            <w:hideMark/>
          </w:tcPr>
          <w:p w:rsidR="00A97152" w:rsidRDefault="00A97152" w14:paraId="139A4202" w14:textId="77777777">
            <w:pPr>
              <w:jc w:val="right"/>
              <w:rPr>
                <w:color w:val="363636"/>
              </w:rPr>
            </w:pPr>
            <w:r>
              <w:rPr>
                <w:color w:val="363636"/>
              </w:rPr>
              <w:t>8/12/2023</w:t>
            </w:r>
          </w:p>
        </w:tc>
      </w:tr>
    </w:tbl>
    <w:p w:rsidR="00E7714D" w:rsidP="00E7714D" w:rsidRDefault="00E7714D" w14:paraId="41127D35" w14:textId="77777777">
      <w:pPr>
        <w:spacing w:line="480" w:lineRule="auto"/>
        <w:ind w:firstLine="720"/>
      </w:pPr>
    </w:p>
    <w:p w:rsidR="00E7714D" w:rsidP="001661CA" w:rsidRDefault="001971FA" w14:paraId="659A3195" w14:textId="51AB6815">
      <w:pPr>
        <w:ind w:firstLine="720"/>
      </w:pPr>
      <w:bookmarkStart w:name="_Hlk56152025" w:id="5"/>
      <w:r>
        <w:t xml:space="preserve">Table </w:t>
      </w:r>
      <w:r w:rsidR="00EC4484">
        <w:t>7</w:t>
      </w:r>
      <w:r w:rsidR="00A97152">
        <w:t xml:space="preserve"> </w:t>
      </w:r>
      <w:r w:rsidR="003E2077">
        <w:t>lists the names of</w:t>
      </w:r>
      <w:r w:rsidR="00A97152">
        <w:t xml:space="preserve"> states with </w:t>
      </w:r>
      <w:r>
        <w:t xml:space="preserve">1997 NAAQS </w:t>
      </w:r>
      <w:r w:rsidR="005223F9">
        <w:t>maintenance areas</w:t>
      </w:r>
      <w:r w:rsidR="003E2077">
        <w:t xml:space="preserve"> that are</w:t>
      </w:r>
      <w:r w:rsidR="005223F9">
        <w:t xml:space="preserve"> required to submit a SIP revision </w:t>
      </w:r>
      <w:r w:rsidR="003E2077">
        <w:t>in the form of</w:t>
      </w:r>
      <w:r w:rsidR="005223F9">
        <w:t xml:space="preserve"> second </w:t>
      </w:r>
      <w:r w:rsidR="003E2077">
        <w:t xml:space="preserve">10-year </w:t>
      </w:r>
      <w:r w:rsidR="005223F9">
        <w:t>maintenance plans</w:t>
      </w:r>
      <w:r w:rsidR="00C4043E">
        <w:t xml:space="preserve">. </w:t>
      </w:r>
      <w:r w:rsidR="005223F9">
        <w:t>The second maintenance plan SIP revisions are due 8 years after the effective date of the first maintenance plans’ approval by EPA.</w:t>
      </w:r>
      <w:r w:rsidR="00E7714D">
        <w:t xml:space="preserve"> The SIP submission due date</w:t>
      </w:r>
      <w:r w:rsidR="003E2077">
        <w:t>s</w:t>
      </w:r>
      <w:r w:rsidR="00E7714D">
        <w:t xml:space="preserve"> </w:t>
      </w:r>
      <w:r w:rsidR="003E2077">
        <w:t xml:space="preserve">fall </w:t>
      </w:r>
      <w:r w:rsidR="00E7714D">
        <w:t>during the 2021 to 2024 ICR period.</w:t>
      </w:r>
    </w:p>
    <w:p w:rsidR="00AB23D2" w:rsidP="001661CA" w:rsidRDefault="00AB23D2" w14:paraId="37C4CF56" w14:textId="1452EAB0">
      <w:pPr>
        <w:ind w:firstLine="720"/>
      </w:pPr>
    </w:p>
    <w:p w:rsidR="00AB23D2" w:rsidP="001661CA" w:rsidRDefault="00AB23D2" w14:paraId="4C02309D" w14:textId="77777777">
      <w:pPr>
        <w:ind w:firstLine="720"/>
      </w:pPr>
    </w:p>
    <w:p w:rsidR="001661CA" w:rsidP="00580B9B" w:rsidRDefault="001661CA" w14:paraId="2CA3566F" w14:textId="77777777">
      <w:pPr>
        <w:ind w:firstLine="720"/>
      </w:pPr>
    </w:p>
    <w:p w:rsidRPr="00950360" w:rsidR="00E7714D" w:rsidP="00E7714D" w:rsidRDefault="00E7714D" w14:paraId="4A03105A" w14:textId="7773D016">
      <w:pPr>
        <w:ind w:left="360"/>
        <w:rPr>
          <w:b/>
          <w:bCs/>
        </w:rPr>
      </w:pPr>
      <w:r w:rsidRPr="00A06C92">
        <w:rPr>
          <w:b/>
        </w:rPr>
        <w:t xml:space="preserve">Table </w:t>
      </w:r>
      <w:r>
        <w:rPr>
          <w:b/>
        </w:rPr>
        <w:t>7</w:t>
      </w:r>
      <w:r w:rsidRPr="00A06C92">
        <w:rPr>
          <w:b/>
        </w:rPr>
        <w:t xml:space="preserve">.  </w:t>
      </w:r>
      <w:r>
        <w:rPr>
          <w:b/>
        </w:rPr>
        <w:t xml:space="preserve">1997 </w:t>
      </w:r>
      <w:r w:rsidRPr="00950360">
        <w:rPr>
          <w:b/>
          <w:bCs/>
        </w:rPr>
        <w:t>Ozone</w:t>
      </w:r>
      <w:r>
        <w:rPr>
          <w:b/>
          <w:bCs/>
        </w:rPr>
        <w:t xml:space="preserve"> NAAQS</w:t>
      </w:r>
      <w:r w:rsidRPr="00950360">
        <w:rPr>
          <w:b/>
          <w:bCs/>
        </w:rPr>
        <w:t xml:space="preserve"> </w:t>
      </w:r>
      <w:r>
        <w:rPr>
          <w:b/>
          <w:bCs/>
        </w:rPr>
        <w:t xml:space="preserve">Maintenance </w:t>
      </w:r>
      <w:r w:rsidRPr="00950360">
        <w:rPr>
          <w:b/>
          <w:bCs/>
        </w:rPr>
        <w:t>Areas</w:t>
      </w:r>
      <w:r>
        <w:rPr>
          <w:b/>
          <w:bCs/>
        </w:rPr>
        <w:t xml:space="preserve"> with second maintenance plan </w:t>
      </w:r>
      <w:r w:rsidR="003E2077">
        <w:rPr>
          <w:b/>
          <w:bCs/>
        </w:rPr>
        <w:t xml:space="preserve">(MP) </w:t>
      </w:r>
      <w:r>
        <w:rPr>
          <w:b/>
          <w:bCs/>
        </w:rPr>
        <w:t>submission due in the ICR period</w:t>
      </w:r>
    </w:p>
    <w:p w:rsidR="001971FA" w:rsidP="001971FA" w:rsidRDefault="001971FA" w14:paraId="40778AD8" w14:textId="62FEA58F">
      <w:pPr>
        <w:spacing w:line="480" w:lineRule="auto"/>
        <w:ind w:firstLine="720"/>
      </w:pPr>
    </w:p>
    <w:tbl>
      <w:tblPr>
        <w:tblW w:w="8520" w:type="dxa"/>
        <w:tblLook w:val="04A0" w:firstRow="1" w:lastRow="0" w:firstColumn="1" w:lastColumn="0" w:noHBand="0" w:noVBand="1"/>
      </w:tblPr>
      <w:tblGrid>
        <w:gridCol w:w="760"/>
        <w:gridCol w:w="4185"/>
        <w:gridCol w:w="2215"/>
        <w:gridCol w:w="1360"/>
      </w:tblGrid>
      <w:tr w:rsidR="00A97152" w:rsidTr="005223F9" w14:paraId="4544FC34" w14:textId="77777777">
        <w:trPr>
          <w:trHeight w:val="732"/>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A97152" w:rsidRDefault="00A97152" w14:paraId="6A61B714" w14:textId="77777777">
            <w:pPr>
              <w:jc w:val="center"/>
              <w:rPr>
                <w:b/>
                <w:bCs/>
                <w:color w:val="000000"/>
              </w:rPr>
            </w:pPr>
            <w:r>
              <w:rPr>
                <w:b/>
                <w:bCs/>
                <w:color w:val="000000"/>
              </w:rPr>
              <w:t>State</w:t>
            </w:r>
          </w:p>
        </w:tc>
        <w:tc>
          <w:tcPr>
            <w:tcW w:w="4185" w:type="dxa"/>
            <w:tcBorders>
              <w:top w:val="single" w:color="auto" w:sz="4" w:space="0"/>
              <w:left w:val="nil"/>
              <w:bottom w:val="single" w:color="auto" w:sz="4" w:space="0"/>
              <w:right w:val="single" w:color="auto" w:sz="4" w:space="0"/>
            </w:tcBorders>
            <w:shd w:val="clear" w:color="auto" w:fill="auto"/>
            <w:vAlign w:val="center"/>
            <w:hideMark/>
          </w:tcPr>
          <w:p w:rsidR="00A97152" w:rsidRDefault="00A97152" w14:paraId="41B95B86" w14:textId="77777777">
            <w:pPr>
              <w:jc w:val="center"/>
              <w:rPr>
                <w:b/>
                <w:bCs/>
                <w:color w:val="000000"/>
              </w:rPr>
            </w:pPr>
            <w:r>
              <w:rPr>
                <w:b/>
                <w:bCs/>
                <w:color w:val="000000"/>
              </w:rPr>
              <w:t>Area Name with State(s)</w:t>
            </w:r>
          </w:p>
        </w:tc>
        <w:tc>
          <w:tcPr>
            <w:tcW w:w="2215" w:type="dxa"/>
            <w:tcBorders>
              <w:top w:val="single" w:color="auto" w:sz="4" w:space="0"/>
              <w:left w:val="nil"/>
              <w:bottom w:val="single" w:color="auto" w:sz="4" w:space="0"/>
              <w:right w:val="single" w:color="auto" w:sz="4" w:space="0"/>
            </w:tcBorders>
            <w:shd w:val="clear" w:color="auto" w:fill="auto"/>
            <w:vAlign w:val="center"/>
            <w:hideMark/>
          </w:tcPr>
          <w:p w:rsidR="00A97152" w:rsidRDefault="00A97152" w14:paraId="7EF8F4AC" w14:textId="3102DCCC">
            <w:pPr>
              <w:jc w:val="center"/>
              <w:rPr>
                <w:b/>
                <w:bCs/>
                <w:color w:val="000000"/>
              </w:rPr>
            </w:pPr>
            <w:r>
              <w:rPr>
                <w:b/>
                <w:bCs/>
                <w:color w:val="000000"/>
              </w:rPr>
              <w:t>Redesignation Effective Date</w:t>
            </w:r>
          </w:p>
        </w:tc>
        <w:tc>
          <w:tcPr>
            <w:tcW w:w="1360" w:type="dxa"/>
            <w:tcBorders>
              <w:top w:val="single" w:color="auto" w:sz="4" w:space="0"/>
              <w:left w:val="nil"/>
              <w:bottom w:val="single" w:color="auto" w:sz="4" w:space="0"/>
              <w:right w:val="single" w:color="auto" w:sz="4" w:space="0"/>
            </w:tcBorders>
            <w:shd w:val="clear" w:color="auto" w:fill="auto"/>
            <w:vAlign w:val="center"/>
            <w:hideMark/>
          </w:tcPr>
          <w:p w:rsidR="00A97152" w:rsidRDefault="00A97152" w14:paraId="2FCF7840" w14:textId="23288921">
            <w:pPr>
              <w:jc w:val="center"/>
              <w:rPr>
                <w:b/>
                <w:bCs/>
                <w:color w:val="000000"/>
              </w:rPr>
            </w:pPr>
            <w:r>
              <w:rPr>
                <w:b/>
                <w:bCs/>
                <w:color w:val="000000"/>
              </w:rPr>
              <w:t xml:space="preserve">2nd MP </w:t>
            </w:r>
            <w:r w:rsidR="00021214">
              <w:rPr>
                <w:b/>
                <w:bCs/>
                <w:color w:val="000000"/>
              </w:rPr>
              <w:t>D</w:t>
            </w:r>
            <w:r>
              <w:rPr>
                <w:b/>
                <w:bCs/>
                <w:color w:val="000000"/>
              </w:rPr>
              <w:t xml:space="preserve">ue </w:t>
            </w:r>
            <w:r w:rsidR="00021214">
              <w:rPr>
                <w:b/>
                <w:bCs/>
                <w:color w:val="000000"/>
              </w:rPr>
              <w:t>D</w:t>
            </w:r>
            <w:r>
              <w:rPr>
                <w:b/>
                <w:bCs/>
                <w:color w:val="000000"/>
              </w:rPr>
              <w:t>ate</w:t>
            </w:r>
          </w:p>
        </w:tc>
      </w:tr>
      <w:tr w:rsidR="00A97152" w:rsidTr="005223F9" w14:paraId="1451C7D7" w14:textId="77777777">
        <w:trPr>
          <w:trHeight w:val="312"/>
        </w:trPr>
        <w:tc>
          <w:tcPr>
            <w:tcW w:w="760" w:type="dxa"/>
            <w:tcBorders>
              <w:top w:val="nil"/>
              <w:left w:val="single" w:color="auto" w:sz="4" w:space="0"/>
              <w:bottom w:val="single" w:color="auto" w:sz="4" w:space="0"/>
              <w:right w:val="single" w:color="auto" w:sz="4" w:space="0"/>
            </w:tcBorders>
            <w:shd w:val="clear" w:color="auto" w:fill="auto"/>
            <w:hideMark/>
          </w:tcPr>
          <w:p w:rsidR="00A97152" w:rsidRDefault="00A97152" w14:paraId="028C1F47" w14:textId="77777777">
            <w:r>
              <w:t>GA</w:t>
            </w:r>
          </w:p>
        </w:tc>
        <w:tc>
          <w:tcPr>
            <w:tcW w:w="4185" w:type="dxa"/>
            <w:tcBorders>
              <w:top w:val="nil"/>
              <w:left w:val="nil"/>
              <w:bottom w:val="single" w:color="auto" w:sz="4" w:space="0"/>
              <w:right w:val="single" w:color="auto" w:sz="4" w:space="0"/>
            </w:tcBorders>
            <w:shd w:val="clear" w:color="auto" w:fill="auto"/>
            <w:hideMark/>
          </w:tcPr>
          <w:p w:rsidR="00A97152" w:rsidRDefault="00A97152" w14:paraId="549885BD" w14:textId="77777777">
            <w:r>
              <w:t>Atlanta Area, GA</w:t>
            </w:r>
          </w:p>
        </w:tc>
        <w:tc>
          <w:tcPr>
            <w:tcW w:w="2215" w:type="dxa"/>
            <w:tcBorders>
              <w:top w:val="nil"/>
              <w:left w:val="nil"/>
              <w:bottom w:val="single" w:color="auto" w:sz="4" w:space="0"/>
              <w:right w:val="single" w:color="auto" w:sz="4" w:space="0"/>
            </w:tcBorders>
            <w:shd w:val="clear" w:color="auto" w:fill="auto"/>
            <w:hideMark/>
          </w:tcPr>
          <w:p w:rsidR="00A97152" w:rsidP="005223F9" w:rsidRDefault="00A97152" w14:paraId="7A4F7E2C" w14:textId="77777777">
            <w:pPr>
              <w:jc w:val="center"/>
            </w:pPr>
            <w:r>
              <w:t>1/2/2014</w:t>
            </w:r>
          </w:p>
        </w:tc>
        <w:tc>
          <w:tcPr>
            <w:tcW w:w="1360" w:type="dxa"/>
            <w:tcBorders>
              <w:top w:val="nil"/>
              <w:left w:val="nil"/>
              <w:bottom w:val="single" w:color="auto" w:sz="4" w:space="0"/>
              <w:right w:val="single" w:color="auto" w:sz="4" w:space="0"/>
            </w:tcBorders>
            <w:shd w:val="clear" w:color="auto" w:fill="auto"/>
            <w:noWrap/>
            <w:vAlign w:val="bottom"/>
            <w:hideMark/>
          </w:tcPr>
          <w:p w:rsidR="00A97152" w:rsidP="005223F9" w:rsidRDefault="00A97152" w14:paraId="56A85F03" w14:textId="77777777">
            <w:pPr>
              <w:jc w:val="center"/>
              <w:rPr>
                <w:color w:val="363636"/>
              </w:rPr>
            </w:pPr>
            <w:r>
              <w:rPr>
                <w:color w:val="363636"/>
              </w:rPr>
              <w:t>1/2/2022</w:t>
            </w:r>
          </w:p>
        </w:tc>
      </w:tr>
      <w:tr w:rsidR="00A97152" w:rsidTr="005223F9" w14:paraId="786C0271" w14:textId="77777777">
        <w:trPr>
          <w:trHeight w:val="624"/>
        </w:trPr>
        <w:tc>
          <w:tcPr>
            <w:tcW w:w="760" w:type="dxa"/>
            <w:tcBorders>
              <w:top w:val="nil"/>
              <w:left w:val="single" w:color="auto" w:sz="4" w:space="0"/>
              <w:bottom w:val="single" w:color="auto" w:sz="4" w:space="0"/>
              <w:right w:val="single" w:color="auto" w:sz="4" w:space="0"/>
            </w:tcBorders>
            <w:shd w:val="clear" w:color="auto" w:fill="auto"/>
            <w:hideMark/>
          </w:tcPr>
          <w:p w:rsidR="00A97152" w:rsidRDefault="00A97152" w14:paraId="206C3D1A" w14:textId="77777777">
            <w:r>
              <w:t>NH</w:t>
            </w:r>
          </w:p>
        </w:tc>
        <w:tc>
          <w:tcPr>
            <w:tcW w:w="4185" w:type="dxa"/>
            <w:tcBorders>
              <w:top w:val="nil"/>
              <w:left w:val="nil"/>
              <w:bottom w:val="single" w:color="auto" w:sz="4" w:space="0"/>
              <w:right w:val="single" w:color="auto" w:sz="4" w:space="0"/>
            </w:tcBorders>
            <w:shd w:val="clear" w:color="auto" w:fill="auto"/>
            <w:hideMark/>
          </w:tcPr>
          <w:p w:rsidR="00A97152" w:rsidRDefault="00A97152" w14:paraId="7370D88C" w14:textId="77777777">
            <w:r>
              <w:t>Boston-Manchester-Portsmouth (SE) Area, NH</w:t>
            </w:r>
          </w:p>
        </w:tc>
        <w:tc>
          <w:tcPr>
            <w:tcW w:w="2215" w:type="dxa"/>
            <w:tcBorders>
              <w:top w:val="nil"/>
              <w:left w:val="nil"/>
              <w:bottom w:val="single" w:color="auto" w:sz="4" w:space="0"/>
              <w:right w:val="single" w:color="auto" w:sz="4" w:space="0"/>
            </w:tcBorders>
            <w:shd w:val="clear" w:color="auto" w:fill="auto"/>
            <w:hideMark/>
          </w:tcPr>
          <w:p w:rsidR="00A97152" w:rsidP="005223F9" w:rsidRDefault="00A97152" w14:paraId="4B306559" w14:textId="77777777">
            <w:pPr>
              <w:jc w:val="center"/>
            </w:pPr>
            <w:r>
              <w:t>3/4/2013</w:t>
            </w:r>
          </w:p>
        </w:tc>
        <w:tc>
          <w:tcPr>
            <w:tcW w:w="1360" w:type="dxa"/>
            <w:tcBorders>
              <w:top w:val="nil"/>
              <w:left w:val="nil"/>
              <w:bottom w:val="single" w:color="auto" w:sz="4" w:space="0"/>
              <w:right w:val="single" w:color="auto" w:sz="4" w:space="0"/>
            </w:tcBorders>
            <w:shd w:val="clear" w:color="auto" w:fill="auto"/>
            <w:noWrap/>
            <w:vAlign w:val="bottom"/>
            <w:hideMark/>
          </w:tcPr>
          <w:p w:rsidR="00A97152" w:rsidP="005223F9" w:rsidRDefault="00A97152" w14:paraId="1AACF627" w14:textId="77777777">
            <w:pPr>
              <w:jc w:val="center"/>
              <w:rPr>
                <w:color w:val="363636"/>
              </w:rPr>
            </w:pPr>
            <w:r>
              <w:rPr>
                <w:color w:val="363636"/>
              </w:rPr>
              <w:t>3/4/2021</w:t>
            </w:r>
          </w:p>
        </w:tc>
      </w:tr>
      <w:tr w:rsidR="00A97152" w:rsidTr="005223F9" w14:paraId="6B8340FE" w14:textId="77777777">
        <w:trPr>
          <w:trHeight w:val="624"/>
        </w:trPr>
        <w:tc>
          <w:tcPr>
            <w:tcW w:w="760" w:type="dxa"/>
            <w:tcBorders>
              <w:top w:val="nil"/>
              <w:left w:val="single" w:color="auto" w:sz="4" w:space="0"/>
              <w:bottom w:val="single" w:color="auto" w:sz="4" w:space="0"/>
              <w:right w:val="single" w:color="auto" w:sz="4" w:space="0"/>
            </w:tcBorders>
            <w:shd w:val="clear" w:color="auto" w:fill="auto"/>
            <w:hideMark/>
          </w:tcPr>
          <w:p w:rsidR="00A97152" w:rsidRDefault="00A97152" w14:paraId="62A6A5CE" w14:textId="77777777">
            <w:r>
              <w:t>NC</w:t>
            </w:r>
          </w:p>
        </w:tc>
        <w:tc>
          <w:tcPr>
            <w:tcW w:w="4185" w:type="dxa"/>
            <w:tcBorders>
              <w:top w:val="nil"/>
              <w:left w:val="nil"/>
              <w:bottom w:val="single" w:color="auto" w:sz="4" w:space="0"/>
              <w:right w:val="single" w:color="auto" w:sz="4" w:space="0"/>
            </w:tcBorders>
            <w:shd w:val="clear" w:color="auto" w:fill="auto"/>
            <w:hideMark/>
          </w:tcPr>
          <w:p w:rsidR="00A97152" w:rsidRDefault="00A97152" w14:paraId="2E33BA4F" w14:textId="77777777">
            <w:r>
              <w:t>Charlotte-Gastonia-Rock Hill Area, NC-SC</w:t>
            </w:r>
          </w:p>
        </w:tc>
        <w:tc>
          <w:tcPr>
            <w:tcW w:w="2215" w:type="dxa"/>
            <w:tcBorders>
              <w:top w:val="nil"/>
              <w:left w:val="nil"/>
              <w:bottom w:val="single" w:color="auto" w:sz="4" w:space="0"/>
              <w:right w:val="single" w:color="auto" w:sz="4" w:space="0"/>
            </w:tcBorders>
            <w:shd w:val="clear" w:color="auto" w:fill="auto"/>
            <w:hideMark/>
          </w:tcPr>
          <w:p w:rsidR="00A97152" w:rsidP="005223F9" w:rsidRDefault="00A97152" w14:paraId="117F46D0" w14:textId="77777777">
            <w:pPr>
              <w:jc w:val="center"/>
            </w:pPr>
            <w:r>
              <w:t>1/2/2014</w:t>
            </w:r>
          </w:p>
        </w:tc>
        <w:tc>
          <w:tcPr>
            <w:tcW w:w="1360" w:type="dxa"/>
            <w:tcBorders>
              <w:top w:val="nil"/>
              <w:left w:val="nil"/>
              <w:bottom w:val="single" w:color="auto" w:sz="4" w:space="0"/>
              <w:right w:val="single" w:color="auto" w:sz="4" w:space="0"/>
            </w:tcBorders>
            <w:shd w:val="clear" w:color="auto" w:fill="auto"/>
            <w:noWrap/>
            <w:vAlign w:val="bottom"/>
            <w:hideMark/>
          </w:tcPr>
          <w:p w:rsidR="00A97152" w:rsidP="005223F9" w:rsidRDefault="00A97152" w14:paraId="5ACC526F" w14:textId="77777777">
            <w:pPr>
              <w:jc w:val="center"/>
              <w:rPr>
                <w:color w:val="363636"/>
              </w:rPr>
            </w:pPr>
            <w:r>
              <w:rPr>
                <w:color w:val="363636"/>
              </w:rPr>
              <w:t>1/2/2022</w:t>
            </w:r>
          </w:p>
        </w:tc>
      </w:tr>
      <w:tr w:rsidR="00A97152" w:rsidTr="00AA6A4A" w14:paraId="27B3098C" w14:textId="77777777">
        <w:trPr>
          <w:trHeight w:val="312"/>
        </w:trPr>
        <w:tc>
          <w:tcPr>
            <w:tcW w:w="760" w:type="dxa"/>
            <w:tcBorders>
              <w:top w:val="nil"/>
              <w:left w:val="single" w:color="auto" w:sz="4" w:space="0"/>
              <w:bottom w:val="nil"/>
              <w:right w:val="single" w:color="auto" w:sz="4" w:space="0"/>
            </w:tcBorders>
            <w:shd w:val="clear" w:color="auto" w:fill="auto"/>
            <w:hideMark/>
          </w:tcPr>
          <w:p w:rsidR="00A97152" w:rsidRDefault="00A97152" w14:paraId="256133DB" w14:textId="77777777">
            <w:r>
              <w:t>NV</w:t>
            </w:r>
          </w:p>
        </w:tc>
        <w:tc>
          <w:tcPr>
            <w:tcW w:w="4185" w:type="dxa"/>
            <w:tcBorders>
              <w:top w:val="nil"/>
              <w:left w:val="nil"/>
              <w:bottom w:val="nil"/>
              <w:right w:val="single" w:color="auto" w:sz="4" w:space="0"/>
            </w:tcBorders>
            <w:shd w:val="clear" w:color="auto" w:fill="auto"/>
            <w:hideMark/>
          </w:tcPr>
          <w:p w:rsidR="00A97152" w:rsidRDefault="00A97152" w14:paraId="1D0F1B79" w14:textId="77777777">
            <w:r>
              <w:t>Las Vegas, NV</w:t>
            </w:r>
          </w:p>
        </w:tc>
        <w:tc>
          <w:tcPr>
            <w:tcW w:w="2215" w:type="dxa"/>
            <w:tcBorders>
              <w:top w:val="nil"/>
              <w:left w:val="nil"/>
              <w:bottom w:val="nil"/>
              <w:right w:val="single" w:color="auto" w:sz="4" w:space="0"/>
            </w:tcBorders>
            <w:shd w:val="clear" w:color="auto" w:fill="auto"/>
            <w:hideMark/>
          </w:tcPr>
          <w:p w:rsidR="00A97152" w:rsidP="005223F9" w:rsidRDefault="00A97152" w14:paraId="679DAC4C" w14:textId="77777777">
            <w:pPr>
              <w:jc w:val="center"/>
            </w:pPr>
            <w:r>
              <w:t>2/7/2013</w:t>
            </w:r>
          </w:p>
        </w:tc>
        <w:tc>
          <w:tcPr>
            <w:tcW w:w="1360" w:type="dxa"/>
            <w:tcBorders>
              <w:top w:val="nil"/>
              <w:left w:val="nil"/>
              <w:bottom w:val="nil"/>
              <w:right w:val="single" w:color="auto" w:sz="4" w:space="0"/>
            </w:tcBorders>
            <w:shd w:val="clear" w:color="auto" w:fill="auto"/>
            <w:noWrap/>
            <w:vAlign w:val="bottom"/>
            <w:hideMark/>
          </w:tcPr>
          <w:p w:rsidR="00A97152" w:rsidP="005223F9" w:rsidRDefault="00A97152" w14:paraId="26E7DA6B" w14:textId="77777777">
            <w:pPr>
              <w:jc w:val="center"/>
              <w:rPr>
                <w:color w:val="363636"/>
              </w:rPr>
            </w:pPr>
            <w:r>
              <w:rPr>
                <w:color w:val="363636"/>
              </w:rPr>
              <w:t>2/7/2021</w:t>
            </w:r>
          </w:p>
        </w:tc>
      </w:tr>
      <w:tr w:rsidR="00AA6A4A" w:rsidTr="00AA6A4A" w14:paraId="23D3ED9F" w14:textId="77777777">
        <w:trPr>
          <w:trHeight w:val="312"/>
        </w:trPr>
        <w:tc>
          <w:tcPr>
            <w:tcW w:w="760" w:type="dxa"/>
            <w:tcBorders>
              <w:top w:val="nil"/>
              <w:left w:val="single" w:color="auto" w:sz="4" w:space="0"/>
              <w:bottom w:val="nil"/>
              <w:right w:val="single" w:color="auto" w:sz="4" w:space="0"/>
            </w:tcBorders>
            <w:shd w:val="clear" w:color="auto" w:fill="auto"/>
          </w:tcPr>
          <w:p w:rsidR="00AA6A4A" w:rsidRDefault="00AA6A4A" w14:paraId="796F8D11" w14:textId="77777777">
            <w:r>
              <w:t>AZ</w:t>
            </w:r>
          </w:p>
        </w:tc>
        <w:tc>
          <w:tcPr>
            <w:tcW w:w="4185" w:type="dxa"/>
            <w:tcBorders>
              <w:top w:val="nil"/>
              <w:left w:val="nil"/>
              <w:bottom w:val="nil"/>
              <w:right w:val="single" w:color="auto" w:sz="4" w:space="0"/>
            </w:tcBorders>
            <w:shd w:val="clear" w:color="auto" w:fill="auto"/>
          </w:tcPr>
          <w:p w:rsidR="00AA6A4A" w:rsidRDefault="00AA6A4A" w14:paraId="4783BB7D" w14:textId="77777777">
            <w:r>
              <w:t>Phoenix-Mesa, AZ</w:t>
            </w:r>
          </w:p>
        </w:tc>
        <w:tc>
          <w:tcPr>
            <w:tcW w:w="2215" w:type="dxa"/>
            <w:tcBorders>
              <w:top w:val="nil"/>
              <w:left w:val="nil"/>
              <w:bottom w:val="nil"/>
              <w:right w:val="single" w:color="auto" w:sz="4" w:space="0"/>
            </w:tcBorders>
            <w:shd w:val="clear" w:color="auto" w:fill="auto"/>
          </w:tcPr>
          <w:p w:rsidR="00AA6A4A" w:rsidP="00AA6A4A" w:rsidRDefault="00AA6A4A" w14:paraId="23BC7D0F" w14:textId="77777777">
            <w:pPr>
              <w:jc w:val="center"/>
            </w:pPr>
            <w:r>
              <w:t>10/17/2014</w:t>
            </w:r>
          </w:p>
        </w:tc>
        <w:tc>
          <w:tcPr>
            <w:tcW w:w="1360" w:type="dxa"/>
            <w:tcBorders>
              <w:top w:val="nil"/>
              <w:left w:val="nil"/>
              <w:bottom w:val="nil"/>
              <w:right w:val="single" w:color="auto" w:sz="4" w:space="0"/>
            </w:tcBorders>
            <w:shd w:val="clear" w:color="auto" w:fill="auto"/>
            <w:noWrap/>
            <w:vAlign w:val="bottom"/>
          </w:tcPr>
          <w:p w:rsidR="00AA6A4A" w:rsidP="00AA6A4A" w:rsidRDefault="00AA6A4A" w14:paraId="11166957" w14:textId="77777777">
            <w:pPr>
              <w:jc w:val="center"/>
              <w:rPr>
                <w:color w:val="363636"/>
              </w:rPr>
            </w:pPr>
            <w:r>
              <w:rPr>
                <w:color w:val="363636"/>
              </w:rPr>
              <w:t>10/17/2022</w:t>
            </w:r>
          </w:p>
        </w:tc>
      </w:tr>
      <w:tr w:rsidR="00AA6A4A" w:rsidTr="00AA6A4A" w14:paraId="2F55EE0A" w14:textId="77777777">
        <w:trPr>
          <w:trHeight w:val="312"/>
        </w:trPr>
        <w:tc>
          <w:tcPr>
            <w:tcW w:w="760" w:type="dxa"/>
            <w:tcBorders>
              <w:top w:val="nil"/>
              <w:left w:val="single" w:color="auto" w:sz="4" w:space="0"/>
              <w:bottom w:val="nil"/>
              <w:right w:val="single" w:color="auto" w:sz="4" w:space="0"/>
            </w:tcBorders>
            <w:shd w:val="clear" w:color="auto" w:fill="auto"/>
          </w:tcPr>
          <w:p w:rsidR="00AA6A4A" w:rsidRDefault="00AA6A4A" w14:paraId="144FBD63" w14:textId="77777777">
            <w:r>
              <w:t>CA</w:t>
            </w:r>
          </w:p>
        </w:tc>
        <w:tc>
          <w:tcPr>
            <w:tcW w:w="4185" w:type="dxa"/>
            <w:tcBorders>
              <w:top w:val="nil"/>
              <w:left w:val="nil"/>
              <w:bottom w:val="nil"/>
              <w:right w:val="single" w:color="auto" w:sz="4" w:space="0"/>
            </w:tcBorders>
            <w:shd w:val="clear" w:color="auto" w:fill="auto"/>
          </w:tcPr>
          <w:p w:rsidR="00AA6A4A" w:rsidRDefault="00AA6A4A" w14:paraId="52214386" w14:textId="77777777">
            <w:r>
              <w:t>San Diego, CA</w:t>
            </w:r>
          </w:p>
        </w:tc>
        <w:tc>
          <w:tcPr>
            <w:tcW w:w="2215" w:type="dxa"/>
            <w:tcBorders>
              <w:top w:val="nil"/>
              <w:left w:val="nil"/>
              <w:bottom w:val="nil"/>
              <w:right w:val="single" w:color="auto" w:sz="4" w:space="0"/>
            </w:tcBorders>
            <w:shd w:val="clear" w:color="auto" w:fill="auto"/>
          </w:tcPr>
          <w:p w:rsidR="00AA6A4A" w:rsidP="00AA6A4A" w:rsidRDefault="00AA6A4A" w14:paraId="61284D3C" w14:textId="77777777">
            <w:pPr>
              <w:jc w:val="center"/>
            </w:pPr>
            <w:r>
              <w:t>7/5/2013</w:t>
            </w:r>
          </w:p>
        </w:tc>
        <w:tc>
          <w:tcPr>
            <w:tcW w:w="1360" w:type="dxa"/>
            <w:tcBorders>
              <w:top w:val="nil"/>
              <w:left w:val="nil"/>
              <w:bottom w:val="nil"/>
              <w:right w:val="single" w:color="auto" w:sz="4" w:space="0"/>
            </w:tcBorders>
            <w:shd w:val="clear" w:color="auto" w:fill="auto"/>
            <w:noWrap/>
            <w:vAlign w:val="bottom"/>
          </w:tcPr>
          <w:p w:rsidR="00AA6A4A" w:rsidP="00AA6A4A" w:rsidRDefault="00AA6A4A" w14:paraId="6227E3AA" w14:textId="77777777">
            <w:pPr>
              <w:jc w:val="center"/>
              <w:rPr>
                <w:color w:val="363636"/>
              </w:rPr>
            </w:pPr>
            <w:r>
              <w:rPr>
                <w:color w:val="363636"/>
              </w:rPr>
              <w:t>7/5/2021</w:t>
            </w:r>
          </w:p>
        </w:tc>
      </w:tr>
      <w:tr w:rsidR="00AA6A4A" w:rsidTr="00AA6A4A" w14:paraId="02807F66" w14:textId="77777777">
        <w:trPr>
          <w:trHeight w:val="312"/>
        </w:trPr>
        <w:tc>
          <w:tcPr>
            <w:tcW w:w="760" w:type="dxa"/>
            <w:tcBorders>
              <w:top w:val="nil"/>
              <w:left w:val="single" w:color="auto" w:sz="4" w:space="0"/>
              <w:bottom w:val="nil"/>
              <w:right w:val="single" w:color="auto" w:sz="4" w:space="0"/>
            </w:tcBorders>
            <w:shd w:val="clear" w:color="auto" w:fill="auto"/>
          </w:tcPr>
          <w:p w:rsidR="00AA6A4A" w:rsidRDefault="00AA6A4A" w14:paraId="0E99C416" w14:textId="77777777">
            <w:r>
              <w:t>MO</w:t>
            </w:r>
          </w:p>
        </w:tc>
        <w:tc>
          <w:tcPr>
            <w:tcW w:w="4185" w:type="dxa"/>
            <w:tcBorders>
              <w:top w:val="nil"/>
              <w:left w:val="nil"/>
              <w:bottom w:val="nil"/>
              <w:right w:val="single" w:color="auto" w:sz="4" w:space="0"/>
            </w:tcBorders>
            <w:shd w:val="clear" w:color="auto" w:fill="auto"/>
          </w:tcPr>
          <w:p w:rsidR="00AA6A4A" w:rsidRDefault="00AA6A4A" w14:paraId="3C043A49" w14:textId="77777777">
            <w:r>
              <w:t>St. Louis Area, MO-IL</w:t>
            </w:r>
          </w:p>
        </w:tc>
        <w:tc>
          <w:tcPr>
            <w:tcW w:w="2215" w:type="dxa"/>
            <w:tcBorders>
              <w:top w:val="nil"/>
              <w:left w:val="nil"/>
              <w:bottom w:val="nil"/>
              <w:right w:val="single" w:color="auto" w:sz="4" w:space="0"/>
            </w:tcBorders>
            <w:shd w:val="clear" w:color="auto" w:fill="auto"/>
          </w:tcPr>
          <w:p w:rsidR="00AA6A4A" w:rsidP="00AA6A4A" w:rsidRDefault="00AA6A4A" w14:paraId="093CE880" w14:textId="77777777">
            <w:pPr>
              <w:jc w:val="center"/>
            </w:pPr>
            <w:r>
              <w:t>2/20/2015</w:t>
            </w:r>
          </w:p>
        </w:tc>
        <w:tc>
          <w:tcPr>
            <w:tcW w:w="1360" w:type="dxa"/>
            <w:tcBorders>
              <w:top w:val="nil"/>
              <w:left w:val="nil"/>
              <w:bottom w:val="nil"/>
              <w:right w:val="single" w:color="auto" w:sz="4" w:space="0"/>
            </w:tcBorders>
            <w:shd w:val="clear" w:color="auto" w:fill="auto"/>
            <w:noWrap/>
            <w:vAlign w:val="bottom"/>
          </w:tcPr>
          <w:p w:rsidR="00AA6A4A" w:rsidP="00AA6A4A" w:rsidRDefault="00AA6A4A" w14:paraId="00B03226" w14:textId="77777777">
            <w:pPr>
              <w:jc w:val="center"/>
              <w:rPr>
                <w:color w:val="363636"/>
              </w:rPr>
            </w:pPr>
            <w:r>
              <w:rPr>
                <w:color w:val="363636"/>
              </w:rPr>
              <w:t>2/20/2023</w:t>
            </w:r>
          </w:p>
        </w:tc>
      </w:tr>
      <w:tr w:rsidR="00AA6A4A" w:rsidTr="00AA6A4A" w14:paraId="46F35972" w14:textId="77777777">
        <w:trPr>
          <w:trHeight w:val="312"/>
        </w:trPr>
        <w:tc>
          <w:tcPr>
            <w:tcW w:w="760" w:type="dxa"/>
            <w:tcBorders>
              <w:top w:val="nil"/>
              <w:left w:val="single" w:color="auto" w:sz="4" w:space="0"/>
              <w:bottom w:val="nil"/>
              <w:right w:val="single" w:color="auto" w:sz="4" w:space="0"/>
            </w:tcBorders>
            <w:shd w:val="clear" w:color="auto" w:fill="auto"/>
          </w:tcPr>
          <w:p w:rsidR="00AA6A4A" w:rsidRDefault="00AA6A4A" w14:paraId="345F20BF" w14:textId="77777777"/>
          <w:p w:rsidR="00AA6A4A" w:rsidRDefault="00AA6A4A" w14:paraId="594FE4AD" w14:textId="29B23319">
            <w:r>
              <w:t>R9</w:t>
            </w:r>
          </w:p>
        </w:tc>
        <w:tc>
          <w:tcPr>
            <w:tcW w:w="4185" w:type="dxa"/>
            <w:tcBorders>
              <w:top w:val="nil"/>
              <w:left w:val="nil"/>
              <w:bottom w:val="nil"/>
              <w:right w:val="single" w:color="auto" w:sz="4" w:space="0"/>
            </w:tcBorders>
            <w:shd w:val="clear" w:color="auto" w:fill="auto"/>
          </w:tcPr>
          <w:p w:rsidR="00AA6A4A" w:rsidRDefault="00AA6A4A" w14:paraId="6904A3AD" w14:textId="0E51FCB1">
            <w:r>
              <w:t>Pechanga Band of Luiseno Mission Indians of the Pechanga Reservation</w:t>
            </w:r>
          </w:p>
        </w:tc>
        <w:tc>
          <w:tcPr>
            <w:tcW w:w="2215" w:type="dxa"/>
            <w:tcBorders>
              <w:top w:val="nil"/>
              <w:left w:val="nil"/>
              <w:bottom w:val="nil"/>
              <w:right w:val="single" w:color="auto" w:sz="4" w:space="0"/>
            </w:tcBorders>
            <w:shd w:val="clear" w:color="auto" w:fill="auto"/>
          </w:tcPr>
          <w:p w:rsidR="00AA6A4A" w:rsidP="00AA6A4A" w:rsidRDefault="00AA6A4A" w14:paraId="16F75630" w14:textId="77777777">
            <w:pPr>
              <w:jc w:val="center"/>
            </w:pPr>
          </w:p>
          <w:p w:rsidR="00AA6A4A" w:rsidP="00AA6A4A" w:rsidRDefault="00AA6A4A" w14:paraId="72081416" w14:textId="7A57D79B">
            <w:pPr>
              <w:jc w:val="center"/>
            </w:pPr>
            <w:r>
              <w:t>4/3/2015</w:t>
            </w:r>
          </w:p>
        </w:tc>
        <w:tc>
          <w:tcPr>
            <w:tcW w:w="1360" w:type="dxa"/>
            <w:tcBorders>
              <w:top w:val="nil"/>
              <w:left w:val="nil"/>
              <w:bottom w:val="nil"/>
              <w:right w:val="single" w:color="auto" w:sz="4" w:space="0"/>
            </w:tcBorders>
            <w:shd w:val="clear" w:color="auto" w:fill="auto"/>
            <w:noWrap/>
            <w:vAlign w:val="bottom"/>
          </w:tcPr>
          <w:p w:rsidR="00AA6A4A" w:rsidP="00AA6A4A" w:rsidRDefault="00AA6A4A" w14:paraId="3AF793F1" w14:textId="77777777">
            <w:pPr>
              <w:jc w:val="center"/>
              <w:rPr>
                <w:color w:val="363636"/>
              </w:rPr>
            </w:pPr>
            <w:r>
              <w:rPr>
                <w:color w:val="363636"/>
              </w:rPr>
              <w:t>4/3/2023</w:t>
            </w:r>
          </w:p>
        </w:tc>
      </w:tr>
    </w:tbl>
    <w:p w:rsidR="001971FA" w:rsidP="005E0B14" w:rsidRDefault="001971FA" w14:paraId="7077C29E" w14:textId="3D7222BB">
      <w:pPr>
        <w:rPr>
          <w:b/>
        </w:rPr>
      </w:pPr>
    </w:p>
    <w:bookmarkEnd w:id="5"/>
    <w:p w:rsidR="001971FA" w:rsidP="005E0B14" w:rsidRDefault="001971FA" w14:paraId="1A72C836" w14:textId="77777777">
      <w:pPr>
        <w:rPr>
          <w:b/>
        </w:rPr>
      </w:pPr>
    </w:p>
    <w:p w:rsidR="005170B7" w:rsidP="001C6EBD" w:rsidRDefault="005170B7" w14:paraId="6E1497E1" w14:textId="77777777">
      <w:pPr>
        <w:ind w:left="360"/>
        <w:rPr>
          <w:b/>
        </w:rPr>
      </w:pPr>
      <w:r>
        <w:rPr>
          <w:b/>
        </w:rPr>
        <w:t>4(b)</w:t>
      </w:r>
      <w:r>
        <w:rPr>
          <w:b/>
        </w:rPr>
        <w:tab/>
        <w:t>Information Requested</w:t>
      </w:r>
    </w:p>
    <w:p w:rsidR="005170B7" w:rsidP="00115BDD" w:rsidRDefault="005170B7" w14:paraId="27139005" w14:textId="77777777">
      <w:pPr>
        <w:rPr>
          <w:b/>
        </w:rPr>
      </w:pPr>
    </w:p>
    <w:p w:rsidR="005170B7" w:rsidP="00115BDD" w:rsidRDefault="005170B7" w14:paraId="3488DE44" w14:textId="4A72A92F">
      <w:pPr>
        <w:ind w:left="360"/>
      </w:pPr>
      <w:r>
        <w:tab/>
        <w:t>The information requested under this ICR</w:t>
      </w:r>
      <w:r w:rsidR="00927023">
        <w:t xml:space="preserve">, such as attainment demonstrations, RFP SIPs, RACT SIP submissions, and </w:t>
      </w:r>
      <w:r w:rsidR="00D401E2">
        <w:t>second 10-year maintenance plans,</w:t>
      </w:r>
      <w:r>
        <w:t xml:space="preserve"> is prescribed </w:t>
      </w:r>
      <w:r w:rsidR="008326C0">
        <w:t xml:space="preserve">in the </w:t>
      </w:r>
      <w:r w:rsidR="003E2077">
        <w:t>CAA</w:t>
      </w:r>
      <w:r w:rsidR="004C0100">
        <w:t xml:space="preserve"> and implementing regulations for the 1997, 2008, and 2015 ozone NAAQS</w:t>
      </w:r>
      <w:r>
        <w:t>.  The implementation framework set forth in the regulation</w:t>
      </w:r>
      <w:r w:rsidR="00927023">
        <w:t>s</w:t>
      </w:r>
      <w:r>
        <w:t xml:space="preserve"> does not adopt a “one-size-fits all” approach to meeting </w:t>
      </w:r>
      <w:r w:rsidR="003E2077">
        <w:t xml:space="preserve">any of these required </w:t>
      </w:r>
      <w:r>
        <w:t xml:space="preserve">submissions.  This flexibility enables states to customize, to the extent allowed by the </w:t>
      </w:r>
      <w:r w:rsidR="003E2077">
        <w:t>CAA</w:t>
      </w:r>
      <w:r>
        <w:t xml:space="preserve">, their approach to attaining and maintaining </w:t>
      </w:r>
      <w:r w:rsidR="003E2077">
        <w:t xml:space="preserve">any of the </w:t>
      </w:r>
      <w:r>
        <w:t xml:space="preserve">8-hour </w:t>
      </w:r>
      <w:r w:rsidR="003E2077">
        <w:t>o</w:t>
      </w:r>
      <w:r>
        <w:t xml:space="preserve">zone NAAQS. In the context of reporting and recordkeeping burden, </w:t>
      </w:r>
      <w:r w:rsidR="003E2077">
        <w:t xml:space="preserve">EPA </w:t>
      </w:r>
      <w:r>
        <w:t>consider</w:t>
      </w:r>
      <w:r w:rsidR="003E2077">
        <w:t>s</w:t>
      </w:r>
      <w:r>
        <w:t xml:space="preserve"> this burden to reflect 100 percent reporting burden.</w:t>
      </w:r>
    </w:p>
    <w:p w:rsidR="005170B7" w:rsidP="00115BDD" w:rsidRDefault="005170B7" w14:paraId="01C3B75D" w14:textId="77777777"/>
    <w:p w:rsidR="005170B7" w:rsidP="00115BDD" w:rsidRDefault="005170B7" w14:paraId="4C5E2A66" w14:textId="32F09DA5">
      <w:pPr>
        <w:ind w:left="360"/>
      </w:pPr>
      <w:r>
        <w:tab/>
      </w:r>
      <w:bookmarkStart w:name="_Hlk17893667" w:id="6"/>
      <w:r>
        <w:rPr>
          <w:b/>
        </w:rPr>
        <w:t xml:space="preserve">Data Items.  </w:t>
      </w:r>
      <w:r>
        <w:t xml:space="preserve">The emissions and control efficiency data required for the attainment demonstration, RFP SIP submission, and RACT SIP submission should have been collected as a result of reporting activities required by other OMB approved ICRs.  For example, see the ICR associated with the </w:t>
      </w:r>
      <w:r w:rsidR="00206883">
        <w:t>Air Emissions Reporting Rule (AERR)</w:t>
      </w:r>
      <w:r>
        <w:t xml:space="preserve">: </w:t>
      </w:r>
      <w:hyperlink w:history="1" r:id="rId18">
        <w:r w:rsidR="008A3F91">
          <w:rPr>
            <w:rStyle w:val="Hyperlink"/>
          </w:rPr>
          <w:t>https://www.epa.gov/air-emissions-inventories/air-emissions-reporting-requirements-aerr</w:t>
        </w:r>
      </w:hyperlink>
      <w:r>
        <w:t xml:space="preserve">.  In addition, air pollutant concentration data is covered already by OMB Control Number 2060-0084; the New Source Review provisions are covered by OMB Control Number 2060-003; and the Reformulated Gasoline Requirements are covered </w:t>
      </w:r>
      <w:r w:rsidR="009C6524">
        <w:t xml:space="preserve">by </w:t>
      </w:r>
      <w:r>
        <w:t>OMB Control Number 2060-0277.</w:t>
      </w:r>
    </w:p>
    <w:bookmarkEnd w:id="6"/>
    <w:p w:rsidR="005170B7" w:rsidP="00115BDD" w:rsidRDefault="005170B7" w14:paraId="538D6D10" w14:textId="77777777"/>
    <w:p w:rsidR="005170B7" w:rsidP="00115BDD" w:rsidRDefault="005170B7" w14:paraId="739DDFC4" w14:textId="538F9D5C">
      <w:pPr>
        <w:ind w:left="360"/>
        <w:rPr>
          <w:b/>
          <w:i/>
        </w:rPr>
      </w:pPr>
      <w:r>
        <w:lastRenderedPageBreak/>
        <w:tab/>
        <w:t>There may be other data that states use. For example, states may identify economic and population growth rates, federal rules that reduce future emissions of ozone precursors, and meteorological data. These data are presently available.</w:t>
      </w:r>
      <w:r>
        <w:rPr>
          <w:b/>
          <w:i/>
        </w:rPr>
        <w:t xml:space="preserve">  </w:t>
      </w:r>
    </w:p>
    <w:p w:rsidR="005170B7" w:rsidP="00115BDD" w:rsidRDefault="005170B7" w14:paraId="0A9E640F" w14:textId="77777777"/>
    <w:p w:rsidR="005170B7" w:rsidP="00115BDD" w:rsidRDefault="005170B7" w14:paraId="79713EAE" w14:textId="33AD93A9">
      <w:pPr>
        <w:ind w:left="360"/>
      </w:pPr>
      <w:r>
        <w:tab/>
      </w:r>
      <w:r>
        <w:rPr>
          <w:b/>
        </w:rPr>
        <w:t xml:space="preserve">Respondents’ Activities.  </w:t>
      </w:r>
      <w:r>
        <w:t>The states will compile and reference the data, set forth the methodology, conduct analyses, develop initial drafts, hold hearings, adopt rules, regulations, and programs, have discussions with EPA staff as appropriate, refine the draft demonstration and RFP and RACT SIP submissions</w:t>
      </w:r>
      <w:r w:rsidR="007B7BD6">
        <w:t>, or second maintenance plans,</w:t>
      </w:r>
      <w:r>
        <w:t xml:space="preserve"> as appropriate, adopt the SIP</w:t>
      </w:r>
      <w:r w:rsidR="007B7BD6">
        <w:t xml:space="preserve"> revisions</w:t>
      </w:r>
      <w:r>
        <w:t>, and forward to EPA.</w:t>
      </w:r>
    </w:p>
    <w:p w:rsidR="005170B7" w:rsidP="00115BDD" w:rsidRDefault="005170B7" w14:paraId="087E9200" w14:textId="77777777"/>
    <w:p w:rsidR="005170B7" w:rsidP="00115BDD" w:rsidRDefault="005170B7" w14:paraId="7AB3B5FB" w14:textId="482D1D39">
      <w:pPr>
        <w:ind w:left="360"/>
      </w:pPr>
      <w:r>
        <w:tab/>
      </w:r>
      <w:r>
        <w:rPr>
          <w:b/>
        </w:rPr>
        <w:t xml:space="preserve">Agency Activities.  </w:t>
      </w:r>
      <w:r>
        <w:t xml:space="preserve">EPA staff in the regional offices may facilitate timely </w:t>
      </w:r>
      <w:r w:rsidR="007B7BD6">
        <w:t xml:space="preserve">submission </w:t>
      </w:r>
      <w:r>
        <w:t>of the attainment demonstration, RFP SIP submission, RACT submission</w:t>
      </w:r>
      <w:r w:rsidR="00D74BAE">
        <w:t>, and/or second maintenance plan</w:t>
      </w:r>
      <w:r>
        <w:t xml:space="preserve"> by reviewing </w:t>
      </w:r>
      <w:r w:rsidR="007B7BD6">
        <w:t xml:space="preserve">draft </w:t>
      </w:r>
      <w:r>
        <w:t xml:space="preserve">materials and answering questions from the states regarding: requirements, potential data sources, analysis tools, the draft attainment demonstration and other submissions. </w:t>
      </w:r>
      <w:r w:rsidR="007B7BD6">
        <w:t xml:space="preserve">Upon </w:t>
      </w:r>
      <w:r w:rsidR="008F3AFC">
        <w:t xml:space="preserve">official </w:t>
      </w:r>
      <w:r w:rsidR="007B7BD6">
        <w:t>submission from the state,</w:t>
      </w:r>
      <w:r>
        <w:t xml:space="preserve"> </w:t>
      </w:r>
      <w:r w:rsidR="007B7BD6">
        <w:t>t</w:t>
      </w:r>
      <w:r>
        <w:t xml:space="preserve">he EPA Regional Offices will evaluate the SIP submissions and take rulemaking actions to approve or disapprove the SIP revisions. </w:t>
      </w:r>
    </w:p>
    <w:p w:rsidR="005170B7" w:rsidP="00115BDD" w:rsidRDefault="005170B7" w14:paraId="5B594FEC" w14:textId="77777777"/>
    <w:p w:rsidR="005170B7" w:rsidP="00115BDD" w:rsidRDefault="005170B7" w14:paraId="0C5C06C0" w14:textId="37A733ED">
      <w:pPr>
        <w:ind w:left="360"/>
      </w:pPr>
      <w:r>
        <w:tab/>
        <w:t xml:space="preserve">EPA headquarters staff will </w:t>
      </w:r>
      <w:r w:rsidR="008F3AFC">
        <w:t xml:space="preserve">provide guidance to EPA regional offices and states during the development phase of states’ SIP revisions and after their official submission, assisting in resolving issues of national policy importance </w:t>
      </w:r>
      <w:r>
        <w:t xml:space="preserve">to foster timely </w:t>
      </w:r>
      <w:r w:rsidR="008F3AFC">
        <w:t xml:space="preserve">submission and action on </w:t>
      </w:r>
      <w:r>
        <w:t>submissions.</w:t>
      </w:r>
    </w:p>
    <w:p w:rsidR="005170B7" w:rsidP="00115BDD" w:rsidRDefault="005170B7" w14:paraId="417BAA73" w14:textId="77777777"/>
    <w:p w:rsidR="005170B7" w:rsidP="00115BDD" w:rsidRDefault="005170B7" w14:paraId="4046C82E" w14:textId="6522DB2B">
      <w:pPr>
        <w:ind w:left="360"/>
      </w:pPr>
      <w:r>
        <w:tab/>
      </w:r>
      <w:r>
        <w:rPr>
          <w:b/>
        </w:rPr>
        <w:t xml:space="preserve">Reporting Protocols.  </w:t>
      </w:r>
      <w:r w:rsidR="008F3AFC">
        <w:t xml:space="preserve">The dates for the new 2008 ozone Severe-15 nonattainment submissions will be set forth in the reclassification action. </w:t>
      </w:r>
      <w:r>
        <w:t xml:space="preserve">The dates for the </w:t>
      </w:r>
      <w:r w:rsidR="009B34AA">
        <w:t xml:space="preserve">2015 ozone nonattainment and OTR </w:t>
      </w:r>
      <w:r>
        <w:t xml:space="preserve">submissions </w:t>
      </w:r>
      <w:r w:rsidR="00BB246E">
        <w:t>w</w:t>
      </w:r>
      <w:r w:rsidR="009B34AA">
        <w:t>as</w:t>
      </w:r>
      <w:r w:rsidR="00BB246E">
        <w:t xml:space="preserve"> </w:t>
      </w:r>
      <w:r>
        <w:t>set forth in the final implementation rule (40 CFR 51.</w:t>
      </w:r>
      <w:r w:rsidR="00BB246E">
        <w:t>13</w:t>
      </w:r>
      <w:r>
        <w:t>08, 51.</w:t>
      </w:r>
      <w:r w:rsidR="00BB246E">
        <w:t>13</w:t>
      </w:r>
      <w:r>
        <w:t xml:space="preserve">10, </w:t>
      </w:r>
      <w:r w:rsidR="008817F3">
        <w:t xml:space="preserve"> 51.1312 </w:t>
      </w:r>
      <w:r>
        <w:t>and 51.</w:t>
      </w:r>
      <w:r w:rsidR="00BB246E">
        <w:t>13</w:t>
      </w:r>
      <w:r>
        <w:t>1</w:t>
      </w:r>
      <w:r w:rsidR="008817F3">
        <w:t>6</w:t>
      </w:r>
      <w:r>
        <w:t>).</w:t>
      </w:r>
      <w:r w:rsidR="00DE1AE2">
        <w:t xml:space="preserve"> </w:t>
      </w:r>
      <w:r w:rsidR="000E4475">
        <w:t xml:space="preserve"> </w:t>
      </w:r>
      <w:r w:rsidR="008F3AFC">
        <w:t>S</w:t>
      </w:r>
      <w:r w:rsidR="000E4475">
        <w:t xml:space="preserve">econd </w:t>
      </w:r>
      <w:r w:rsidR="008F3AFC">
        <w:t xml:space="preserve">10-year </w:t>
      </w:r>
      <w:r w:rsidR="000E4475">
        <w:t>maintenance plan</w:t>
      </w:r>
      <w:r w:rsidR="008F3AFC">
        <w:t>s for maintenance areas for the 2008 ozone NAAQS and the revoked 1997 ozone NAAQS</w:t>
      </w:r>
      <w:r w:rsidR="000E4475">
        <w:t xml:space="preserve"> are due 8 years after the effective date of the first maintenance plans’ approval by EPA.  </w:t>
      </w:r>
      <w:r w:rsidR="00DE1AE2">
        <w:t xml:space="preserve"> </w:t>
      </w:r>
    </w:p>
    <w:p w:rsidR="005170B7" w:rsidP="00115BDD" w:rsidRDefault="005170B7" w14:paraId="767A74B5" w14:textId="77777777"/>
    <w:p w:rsidRPr="00402EA4" w:rsidR="005170B7" w:rsidP="00115BDD" w:rsidRDefault="005170B7" w14:paraId="52DC4873" w14:textId="77777777">
      <w:pPr>
        <w:numPr>
          <w:ilvl w:val="0"/>
          <w:numId w:val="7"/>
        </w:numPr>
        <w:rPr>
          <w:b/>
          <w:sz w:val="28"/>
          <w:szCs w:val="28"/>
        </w:rPr>
      </w:pPr>
      <w:r w:rsidRPr="00402EA4">
        <w:rPr>
          <w:b/>
          <w:sz w:val="28"/>
          <w:szCs w:val="28"/>
        </w:rPr>
        <w:t>The Information Collected—Agency Activities, Collection Methodology, and Information Management</w:t>
      </w:r>
    </w:p>
    <w:p w:rsidR="005170B7" w:rsidP="00115BDD" w:rsidRDefault="005170B7" w14:paraId="67D457FD" w14:textId="77777777">
      <w:pPr>
        <w:rPr>
          <w:sz w:val="28"/>
          <w:szCs w:val="28"/>
        </w:rPr>
      </w:pPr>
    </w:p>
    <w:p w:rsidR="005170B7" w:rsidP="000B4CA0" w:rsidRDefault="005170B7" w14:paraId="58407A8C" w14:textId="77777777">
      <w:pPr>
        <w:ind w:firstLine="360"/>
        <w:rPr>
          <w:b/>
        </w:rPr>
      </w:pPr>
      <w:r>
        <w:rPr>
          <w:b/>
        </w:rPr>
        <w:t>5(a)</w:t>
      </w:r>
      <w:r>
        <w:rPr>
          <w:b/>
        </w:rPr>
        <w:tab/>
        <w:t>States, EPA Regional Offices, and EPA Headquarters Offices</w:t>
      </w:r>
    </w:p>
    <w:p w:rsidR="005170B7" w:rsidP="00115BDD" w:rsidRDefault="005170B7" w14:paraId="3CAA2D71" w14:textId="77777777">
      <w:pPr>
        <w:rPr>
          <w:b/>
        </w:rPr>
      </w:pPr>
    </w:p>
    <w:p w:rsidR="005170B7" w:rsidP="00277300" w:rsidRDefault="005170B7" w14:paraId="679E270F" w14:textId="58C84199">
      <w:pPr>
        <w:ind w:firstLine="720"/>
      </w:pPr>
      <w:r>
        <w:rPr>
          <w:b/>
        </w:rPr>
        <w:t xml:space="preserve">States:  </w:t>
      </w:r>
      <w:r w:rsidR="00914C12">
        <w:t>S</w:t>
      </w:r>
      <w:r>
        <w:t>tate agencies’ activities include</w:t>
      </w:r>
      <w:r>
        <w:rPr>
          <w:rStyle w:val="FootnoteReference"/>
        </w:rPr>
        <w:footnoteReference w:id="14"/>
      </w:r>
      <w:r>
        <w:t>:</w:t>
      </w:r>
    </w:p>
    <w:p w:rsidR="005170B7" w:rsidP="00115BDD" w:rsidRDefault="005170B7" w14:paraId="394D5094" w14:textId="77777777"/>
    <w:p w:rsidR="005170B7" w:rsidP="00115BDD" w:rsidRDefault="005170B7" w14:paraId="66190758" w14:textId="15896134">
      <w:pPr>
        <w:numPr>
          <w:ilvl w:val="0"/>
          <w:numId w:val="8"/>
        </w:numPr>
      </w:pPr>
      <w:r>
        <w:t xml:space="preserve">Forecast baseline emissions, develop and evaluate emission reduction strategies where warranted, conduct air quality modeling to verify maintenance and attainment of the </w:t>
      </w:r>
      <w:r w:rsidR="00914C12">
        <w:t xml:space="preserve">relevant </w:t>
      </w:r>
      <w:r>
        <w:t xml:space="preserve">8-hour </w:t>
      </w:r>
      <w:r w:rsidR="00914C12">
        <w:t>o</w:t>
      </w:r>
      <w:r>
        <w:t>zone NAAQS</w:t>
      </w:r>
      <w:r w:rsidR="00914C12">
        <w:t>.</w:t>
      </w:r>
    </w:p>
    <w:p w:rsidR="005170B7" w:rsidP="00115BDD" w:rsidRDefault="005170B7" w14:paraId="693BA30B" w14:textId="501D608D">
      <w:pPr>
        <w:numPr>
          <w:ilvl w:val="0"/>
          <w:numId w:val="8"/>
        </w:numPr>
      </w:pPr>
      <w:r>
        <w:t>Calculate the emission reductions necessary to fulfill RFP requirement</w:t>
      </w:r>
      <w:r w:rsidR="00914C12">
        <w:t>s</w:t>
      </w:r>
      <w:r>
        <w:t>, determine creditable emission</w:t>
      </w:r>
      <w:r w:rsidR="00914C12">
        <w:t>s</w:t>
      </w:r>
      <w:r>
        <w:t xml:space="preserve"> reductions, where necessary determine </w:t>
      </w:r>
      <w:r>
        <w:lastRenderedPageBreak/>
        <w:t>additional emission</w:t>
      </w:r>
      <w:r w:rsidR="00914C12">
        <w:t>s</w:t>
      </w:r>
      <w:r>
        <w:t xml:space="preserve"> reductions and compliance timing to meet RFP requirement.  Draft findings, hold state hearings, make revisions as warranted.  Submit RFP SIP to EPA Regional office.  Have discussions with EPA.</w:t>
      </w:r>
    </w:p>
    <w:p w:rsidR="005170B7" w:rsidP="00115BDD" w:rsidRDefault="005170B7" w14:paraId="2FEAC24D" w14:textId="5262BA77">
      <w:pPr>
        <w:numPr>
          <w:ilvl w:val="0"/>
          <w:numId w:val="8"/>
        </w:numPr>
      </w:pPr>
      <w:r>
        <w:t>Identify RACT applicable sources and their control measures under baseline and attainment conditions</w:t>
      </w:r>
      <w:r w:rsidR="00914C12">
        <w:t>,</w:t>
      </w:r>
      <w:r>
        <w:t xml:space="preserve"> and evaluate alternatives.  Draft findings, hold state hearings, make revisions as warranted.  Submit RACT SIP to EPA Regional Office.  Have discussions with EPA.</w:t>
      </w:r>
    </w:p>
    <w:p w:rsidR="00914C12" w:rsidP="00115BDD" w:rsidRDefault="00914C12" w14:paraId="30CBE0E3" w14:textId="2A35E548">
      <w:pPr>
        <w:numPr>
          <w:ilvl w:val="0"/>
          <w:numId w:val="8"/>
        </w:numPr>
      </w:pPr>
      <w:r>
        <w:t>Develop maintenance plan, including projected emissions inventory and modeled maintenance demonstration, hold state hearings, make revisions as warranted. Submit plan to EPA Regional office. Have discussions with EPA.</w:t>
      </w:r>
    </w:p>
    <w:p w:rsidR="005170B7" w:rsidP="00115BDD" w:rsidRDefault="005170B7" w14:paraId="5C2CCDA0" w14:textId="4DAE0FB4">
      <w:pPr>
        <w:ind w:left="360"/>
      </w:pPr>
    </w:p>
    <w:p w:rsidR="005170B7" w:rsidP="00115BDD" w:rsidRDefault="005170B7" w14:paraId="3DD9622B" w14:textId="77777777">
      <w:pPr>
        <w:ind w:left="360"/>
      </w:pPr>
      <w:r>
        <w:tab/>
      </w:r>
      <w:r>
        <w:rPr>
          <w:b/>
        </w:rPr>
        <w:t xml:space="preserve">EPA Regional Offices.  </w:t>
      </w:r>
      <w:r>
        <w:t>The regional office activities include:</w:t>
      </w:r>
    </w:p>
    <w:p w:rsidR="005170B7" w:rsidP="00115BDD" w:rsidRDefault="005170B7" w14:paraId="5797ECCD" w14:textId="77777777">
      <w:pPr>
        <w:ind w:left="360"/>
      </w:pPr>
    </w:p>
    <w:p w:rsidR="005170B7" w:rsidP="00115BDD" w:rsidRDefault="005170B7" w14:paraId="7A6464DD" w14:textId="77777777">
      <w:pPr>
        <w:numPr>
          <w:ilvl w:val="0"/>
          <w:numId w:val="9"/>
        </w:numPr>
      </w:pPr>
      <w:r>
        <w:t>Answering inquiries put forth by the states.</w:t>
      </w:r>
    </w:p>
    <w:p w:rsidR="005170B7" w:rsidP="00115BDD" w:rsidRDefault="005170B7" w14:paraId="787E5DCE" w14:textId="13288535">
      <w:pPr>
        <w:numPr>
          <w:ilvl w:val="0"/>
          <w:numId w:val="9"/>
        </w:numPr>
      </w:pPr>
      <w:r>
        <w:t>Reviewing data, analysis, and attainment demonstration</w:t>
      </w:r>
      <w:r w:rsidR="009B17B8">
        <w:t>s</w:t>
      </w:r>
      <w:r>
        <w:t>, RFP SIP</w:t>
      </w:r>
      <w:r w:rsidR="009B17B8">
        <w:t>s</w:t>
      </w:r>
      <w:r>
        <w:t xml:space="preserve"> and RACT SIP</w:t>
      </w:r>
      <w:r w:rsidR="009B17B8">
        <w:t>s, and second 10-year maintenance plans</w:t>
      </w:r>
      <w:r>
        <w:t>.</w:t>
      </w:r>
    </w:p>
    <w:p w:rsidR="005170B7" w:rsidP="00115BDD" w:rsidRDefault="005170B7" w14:paraId="22E19ADA" w14:textId="77777777">
      <w:pPr>
        <w:numPr>
          <w:ilvl w:val="0"/>
          <w:numId w:val="9"/>
        </w:numPr>
      </w:pPr>
      <w:r>
        <w:t>Rulemaking actions approving or disapproving the SIP submissions.</w:t>
      </w:r>
    </w:p>
    <w:p w:rsidR="005170B7" w:rsidP="00115BDD" w:rsidRDefault="005170B7" w14:paraId="43FE7024" w14:textId="77777777">
      <w:pPr>
        <w:numPr>
          <w:ilvl w:val="0"/>
          <w:numId w:val="9"/>
        </w:numPr>
      </w:pPr>
      <w:r>
        <w:t>Develop SIP requirements for nonattainment areas on Tribal land.</w:t>
      </w:r>
    </w:p>
    <w:p w:rsidR="005170B7" w:rsidP="00115BDD" w:rsidRDefault="005170B7" w14:paraId="1320F1D8" w14:textId="77777777">
      <w:pPr>
        <w:ind w:left="360"/>
      </w:pPr>
    </w:p>
    <w:p w:rsidR="005170B7" w:rsidP="00115BDD" w:rsidRDefault="005170B7" w14:paraId="71EA99FF" w14:textId="77777777">
      <w:pPr>
        <w:ind w:left="360"/>
      </w:pPr>
      <w:r>
        <w:tab/>
      </w:r>
      <w:r>
        <w:rPr>
          <w:b/>
        </w:rPr>
        <w:t>EPA Headquarters.</w:t>
      </w:r>
      <w:r>
        <w:t xml:space="preserve">   The EPA headquarters office activities include:</w:t>
      </w:r>
    </w:p>
    <w:p w:rsidR="005170B7" w:rsidP="00115BDD" w:rsidRDefault="005170B7" w14:paraId="5022C41F" w14:textId="77777777">
      <w:pPr>
        <w:ind w:left="360"/>
      </w:pPr>
    </w:p>
    <w:p w:rsidR="005170B7" w:rsidP="00115BDD" w:rsidRDefault="005170B7" w14:paraId="60CAB619" w14:textId="3497D7A7">
      <w:pPr>
        <w:numPr>
          <w:ilvl w:val="0"/>
          <w:numId w:val="10"/>
        </w:numPr>
      </w:pPr>
      <w:r>
        <w:t>Facilitating information flow and problem solving amongst the regions regarding demonstrations and submittals from the states</w:t>
      </w:r>
      <w:r w:rsidR="004E4701">
        <w:t xml:space="preserve"> to address novel issues and ensure nationally consistent approaches.</w:t>
      </w:r>
    </w:p>
    <w:p w:rsidR="005170B7" w:rsidP="00115BDD" w:rsidRDefault="005170B7" w14:paraId="5BB8B8F1" w14:textId="77777777">
      <w:pPr>
        <w:numPr>
          <w:ilvl w:val="0"/>
          <w:numId w:val="10"/>
        </w:numPr>
      </w:pPr>
      <w:r>
        <w:t>Answering questions regarding application and interpretation of salient rule provisions.</w:t>
      </w:r>
    </w:p>
    <w:p w:rsidR="005170B7" w:rsidP="00115BDD" w:rsidRDefault="005170B7" w14:paraId="589BE9EA" w14:textId="77777777">
      <w:pPr>
        <w:ind w:left="360"/>
      </w:pPr>
    </w:p>
    <w:p w:rsidR="005170B7" w:rsidP="00115BDD" w:rsidRDefault="005170B7" w14:paraId="70699337" w14:textId="77777777">
      <w:pPr>
        <w:ind w:left="360"/>
        <w:rPr>
          <w:b/>
        </w:rPr>
      </w:pPr>
      <w:r>
        <w:rPr>
          <w:b/>
        </w:rPr>
        <w:t>5(b)</w:t>
      </w:r>
      <w:r>
        <w:rPr>
          <w:b/>
        </w:rPr>
        <w:tab/>
        <w:t>Collection Methodology and Management</w:t>
      </w:r>
    </w:p>
    <w:p w:rsidR="005170B7" w:rsidP="00115BDD" w:rsidRDefault="005170B7" w14:paraId="1D41A3B0" w14:textId="77777777">
      <w:pPr>
        <w:ind w:left="360"/>
        <w:rPr>
          <w:b/>
        </w:rPr>
      </w:pPr>
    </w:p>
    <w:p w:rsidR="005170B7" w:rsidP="00115BDD" w:rsidRDefault="005170B7" w14:paraId="7A315067" w14:textId="0C37F0FC">
      <w:pPr>
        <w:ind w:left="360"/>
      </w:pPr>
      <w:r>
        <w:rPr>
          <w:b/>
        </w:rPr>
        <w:tab/>
      </w:r>
      <w:r>
        <w:t>The attainment demonstration</w:t>
      </w:r>
      <w:r w:rsidR="00914C12">
        <w:t>,</w:t>
      </w:r>
      <w:r>
        <w:t xml:space="preserve"> RFP and RACT SIP submittals</w:t>
      </w:r>
      <w:r w:rsidR="00914C12">
        <w:t>, and second 1</w:t>
      </w:r>
      <w:r w:rsidR="00F603DD">
        <w:t>0</w:t>
      </w:r>
      <w:r w:rsidR="00914C12">
        <w:t>-year maintenance plans are expected to be submitted through the State Planning Electronic Collection System (</w:t>
      </w:r>
      <w:proofErr w:type="spellStart"/>
      <w:r w:rsidR="00914C12">
        <w:t>SPeCS</w:t>
      </w:r>
      <w:proofErr w:type="spellEnd"/>
      <w:r w:rsidR="00914C12">
        <w:t>), for which all states are registered.</w:t>
      </w:r>
      <w:r>
        <w:t xml:space="preserve"> </w:t>
      </w:r>
    </w:p>
    <w:p w:rsidR="005170B7" w:rsidP="00115BDD" w:rsidRDefault="005170B7" w14:paraId="50E68BD5" w14:textId="77777777"/>
    <w:p w:rsidR="005170B7" w:rsidP="000B4CA0" w:rsidRDefault="005170B7" w14:paraId="378F5381" w14:textId="77777777">
      <w:pPr>
        <w:ind w:firstLine="360"/>
        <w:rPr>
          <w:b/>
        </w:rPr>
      </w:pPr>
      <w:r>
        <w:rPr>
          <w:b/>
        </w:rPr>
        <w:t>5(c)</w:t>
      </w:r>
      <w:r>
        <w:rPr>
          <w:b/>
        </w:rPr>
        <w:tab/>
        <w:t>Small Entity Flexibility</w:t>
      </w:r>
    </w:p>
    <w:p w:rsidR="005170B7" w:rsidP="00115BDD" w:rsidRDefault="005170B7" w14:paraId="10834FA3" w14:textId="77777777">
      <w:pPr>
        <w:rPr>
          <w:b/>
        </w:rPr>
      </w:pPr>
    </w:p>
    <w:p w:rsidR="005170B7" w:rsidP="000B4CA0" w:rsidRDefault="005170B7" w14:paraId="1892D68A" w14:textId="1FB58AD7">
      <w:pPr>
        <w:ind w:left="360" w:firstLine="360"/>
      </w:pPr>
      <w:r>
        <w:t xml:space="preserve">For an approved ICR, the Agency must demonstrate that it has taken all practical steps to develop separate and simplified requirements for small businesses and other small entities.  See 5 CFR 1320.6(h).   The 8-hour </w:t>
      </w:r>
      <w:r w:rsidR="00C37977">
        <w:t>o</w:t>
      </w:r>
      <w:r>
        <w:t xml:space="preserve">zone NAAQS implementation </w:t>
      </w:r>
      <w:r w:rsidR="00C37977">
        <w:t>requirements do</w:t>
      </w:r>
      <w:r>
        <w:t xml:space="preserve"> not </w:t>
      </w:r>
      <w:r w:rsidR="00C37977">
        <w:t xml:space="preserve">impose </w:t>
      </w:r>
      <w:r>
        <w:t xml:space="preserve">a direct administrative burden on small entities.   </w:t>
      </w:r>
    </w:p>
    <w:p w:rsidR="005170B7" w:rsidP="00115BDD" w:rsidRDefault="005170B7" w14:paraId="543D3A0F" w14:textId="77777777">
      <w:pPr>
        <w:ind w:left="360" w:hanging="360"/>
      </w:pPr>
    </w:p>
    <w:p w:rsidR="005170B7" w:rsidP="000B4CA0" w:rsidRDefault="005170B7" w14:paraId="4BE927B1" w14:textId="77777777">
      <w:pPr>
        <w:ind w:left="360"/>
        <w:rPr>
          <w:b/>
        </w:rPr>
      </w:pPr>
      <w:r>
        <w:rPr>
          <w:b/>
        </w:rPr>
        <w:t>5(d)</w:t>
      </w:r>
      <w:r>
        <w:rPr>
          <w:b/>
        </w:rPr>
        <w:tab/>
        <w:t>Collection Schedule</w:t>
      </w:r>
    </w:p>
    <w:p w:rsidR="005170B7" w:rsidP="00115BDD" w:rsidRDefault="005170B7" w14:paraId="4AA48DC3" w14:textId="77777777">
      <w:pPr>
        <w:ind w:left="360" w:hanging="360"/>
        <w:rPr>
          <w:b/>
        </w:rPr>
      </w:pPr>
    </w:p>
    <w:p w:rsidR="00322165" w:rsidP="00C11FC0" w:rsidRDefault="00322165" w14:paraId="7684E8E0" w14:textId="58DE2F9E">
      <w:pPr>
        <w:ind w:left="360" w:firstLine="360"/>
      </w:pPr>
      <w:r>
        <w:t xml:space="preserve">States have undertaken a significant amount of planning activities related to meeting the 2008 ozone NAAQS to date. During the period </w:t>
      </w:r>
      <w:r w:rsidRPr="00045123">
        <w:t>from</w:t>
      </w:r>
      <w:r>
        <w:t xml:space="preserve"> </w:t>
      </w:r>
      <w:r w:rsidR="00C37977">
        <w:t>April 2021</w:t>
      </w:r>
      <w:r>
        <w:t xml:space="preserve"> through </w:t>
      </w:r>
      <w:r w:rsidR="00C37977">
        <w:t>April 2024</w:t>
      </w:r>
      <w:r w:rsidRPr="00045123">
        <w:t>, there</w:t>
      </w:r>
      <w:r>
        <w:t xml:space="preserve"> are additional submissions reflected in the revised burden estimates in this ICR renewal for t</w:t>
      </w:r>
      <w:r w:rsidRPr="00E54C73">
        <w:t xml:space="preserve">he </w:t>
      </w:r>
      <w:r>
        <w:t xml:space="preserve">2008 ozone </w:t>
      </w:r>
      <w:r w:rsidR="00C37977">
        <w:t>NAAQS nonattainment</w:t>
      </w:r>
      <w:r>
        <w:t xml:space="preserve"> areas with a </w:t>
      </w:r>
      <w:r w:rsidRPr="00E54C73">
        <w:t xml:space="preserve">Serious </w:t>
      </w:r>
      <w:r w:rsidRPr="00E54C73">
        <w:lastRenderedPageBreak/>
        <w:t>classification</w:t>
      </w:r>
      <w:r>
        <w:t xml:space="preserve">. These areas will have to meet a </w:t>
      </w:r>
      <w:r w:rsidRPr="00E54C73">
        <w:t>statutory attainment date of July 20, 2021.  If an area fails to attain</w:t>
      </w:r>
      <w:r>
        <w:t>, the area</w:t>
      </w:r>
      <w:r w:rsidRPr="00E54C73">
        <w:t xml:space="preserve"> will be reclassified as Severe-15 and a new Severe area SIP will be due during the reporting period for this ICR</w:t>
      </w:r>
      <w:r>
        <w:t>.</w:t>
      </w:r>
    </w:p>
    <w:p w:rsidR="002010BF" w:rsidP="00C11FC0" w:rsidRDefault="002010BF" w14:paraId="5ED5B104" w14:textId="77777777">
      <w:pPr>
        <w:ind w:left="360" w:firstLine="360"/>
      </w:pPr>
    </w:p>
    <w:p w:rsidR="00563229" w:rsidP="00C11FC0" w:rsidRDefault="005170B7" w14:paraId="37002A40" w14:textId="6CCC90D7">
      <w:pPr>
        <w:ind w:left="360" w:firstLine="360"/>
      </w:pPr>
      <w:r>
        <w:t xml:space="preserve">During the period </w:t>
      </w:r>
      <w:r w:rsidRPr="00045123">
        <w:t>from</w:t>
      </w:r>
      <w:r>
        <w:t xml:space="preserve"> </w:t>
      </w:r>
      <w:r w:rsidR="009B17B8">
        <w:t xml:space="preserve">April </w:t>
      </w:r>
      <w:r>
        <w:t>20</w:t>
      </w:r>
      <w:r w:rsidR="00F20DA2">
        <w:t>2</w:t>
      </w:r>
      <w:r w:rsidR="00E7714D">
        <w:t>1</w:t>
      </w:r>
      <w:r>
        <w:t xml:space="preserve"> through </w:t>
      </w:r>
      <w:r w:rsidR="009B17B8">
        <w:t xml:space="preserve">April </w:t>
      </w:r>
      <w:r>
        <w:t>20</w:t>
      </w:r>
      <w:r w:rsidR="00563229">
        <w:t>2</w:t>
      </w:r>
      <w:r w:rsidR="00E7714D">
        <w:t>4</w:t>
      </w:r>
      <w:r w:rsidRPr="00045123">
        <w:t>, there</w:t>
      </w:r>
      <w:r>
        <w:t xml:space="preserve"> are three sets of scheduled deliverables</w:t>
      </w:r>
      <w:r w:rsidR="00322165">
        <w:t xml:space="preserve"> for the 2015 ozone nonattainment areas</w:t>
      </w:r>
      <w:r>
        <w:t xml:space="preserve">: </w:t>
      </w:r>
      <w:r w:rsidR="00C37977">
        <w:t xml:space="preserve">the Moderate area </w:t>
      </w:r>
      <w:r>
        <w:t xml:space="preserve">attainment demonstration; RFP SIP submission; and RACT SIP submission.  </w:t>
      </w:r>
      <w:r w:rsidR="00563229">
        <w:t xml:space="preserve">The RFP submissions are due </w:t>
      </w:r>
      <w:r w:rsidR="00F20DA2">
        <w:t>August 3, 2021</w:t>
      </w:r>
      <w:r w:rsidR="00C37977">
        <w:t>,</w:t>
      </w:r>
      <w:r w:rsidR="00F20DA2">
        <w:t xml:space="preserve"> which is </w:t>
      </w:r>
      <w:r w:rsidR="00563229">
        <w:t>3 years after the effective date of the designations.  The attainment demonstration submissions are due</w:t>
      </w:r>
      <w:r w:rsidR="00F20DA2">
        <w:t xml:space="preserve"> August 3, 2021 or 2022 which is</w:t>
      </w:r>
      <w:r w:rsidR="00563229">
        <w:t xml:space="preserve"> 3 or 4 years after the effective date of the designations depending on the areas</w:t>
      </w:r>
      <w:r w:rsidR="00C37977">
        <w:t>’</w:t>
      </w:r>
      <w:r w:rsidR="00563229">
        <w:t xml:space="preserve"> classification.</w:t>
      </w:r>
      <w:r w:rsidR="00C37977">
        <w:rPr>
          <w:rStyle w:val="FootnoteReference"/>
        </w:rPr>
        <w:footnoteReference w:id="15"/>
      </w:r>
      <w:r w:rsidR="00563229">
        <w:t xml:space="preserve">  </w:t>
      </w:r>
      <w:r w:rsidR="00C37977">
        <w:t xml:space="preserve">The due date for the attainment demonstration, RACT SIP, and RFP SIP submission for any 2015 ozone Marginal areas that are reclassified to Moderate is also expected to fall during the 3-year period covered by this proposed ICR renewal. </w:t>
      </w:r>
    </w:p>
    <w:p w:rsidR="002010BF" w:rsidP="00322165" w:rsidRDefault="002010BF" w14:paraId="368A6E88" w14:textId="77777777">
      <w:pPr>
        <w:ind w:firstLine="360"/>
      </w:pPr>
    </w:p>
    <w:p w:rsidR="00C37977" w:rsidP="00322165" w:rsidRDefault="00C37977" w14:paraId="72B8809E" w14:textId="46F4C084">
      <w:pPr>
        <w:ind w:firstLine="360"/>
      </w:pPr>
      <w:r>
        <w:t>Second 10-year maintenance plans are due 8 years after the effective date of an area’s first maintenance plan’s approval by EPA.</w:t>
      </w:r>
    </w:p>
    <w:p w:rsidR="005170B7" w:rsidP="00B654A5" w:rsidRDefault="005170B7" w14:paraId="6A52720F" w14:textId="0B0FC63D">
      <w:pPr>
        <w:ind w:left="360" w:firstLine="360"/>
      </w:pPr>
    </w:p>
    <w:p w:rsidRPr="00402EA4" w:rsidR="005170B7" w:rsidP="00AD6851" w:rsidRDefault="005170B7" w14:paraId="17F56B1B" w14:textId="77777777">
      <w:pPr>
        <w:numPr>
          <w:ilvl w:val="0"/>
          <w:numId w:val="7"/>
        </w:numPr>
        <w:rPr>
          <w:b/>
          <w:sz w:val="28"/>
          <w:szCs w:val="28"/>
        </w:rPr>
      </w:pPr>
      <w:r>
        <w:rPr>
          <w:b/>
          <w:sz w:val="28"/>
          <w:szCs w:val="28"/>
        </w:rPr>
        <w:t>Estimate the Burden of the Collection</w:t>
      </w:r>
    </w:p>
    <w:p w:rsidR="005170B7" w:rsidP="00383662" w:rsidRDefault="005170B7" w14:paraId="3D1AB79C" w14:textId="77777777">
      <w:pPr>
        <w:ind w:left="1440"/>
      </w:pPr>
    </w:p>
    <w:p w:rsidR="005170B7" w:rsidP="00C11FC0" w:rsidRDefault="005170B7" w14:paraId="4502BC7B" w14:textId="355FE7CC">
      <w:pPr>
        <w:ind w:left="360" w:firstLine="720"/>
      </w:pPr>
      <w:r>
        <w:t xml:space="preserve">This section provides information on the cost and hours associated with the information collection for both the respondents (the affected states) and the Agency (regional and headquarters offices). Hours and costs are presented for the activities associated with each collection item for a nonattainment area (or </w:t>
      </w:r>
      <w:r w:rsidR="007968B4">
        <w:t>portion</w:t>
      </w:r>
      <w:r>
        <w:t xml:space="preserve">) </w:t>
      </w:r>
      <w:proofErr w:type="gramStart"/>
      <w:r>
        <w:t>in a given</w:t>
      </w:r>
      <w:proofErr w:type="gramEnd"/>
      <w:r>
        <w:t xml:space="preserve"> state, as well as the equivalent annual and present value numbers.</w:t>
      </w:r>
    </w:p>
    <w:p w:rsidR="005170B7" w:rsidP="00C11FC0" w:rsidRDefault="005170B7" w14:paraId="1505883D" w14:textId="77777777">
      <w:pPr>
        <w:ind w:left="360"/>
        <w:rPr>
          <w:b/>
        </w:rPr>
      </w:pPr>
    </w:p>
    <w:p w:rsidR="005170B7" w:rsidP="00C11FC0" w:rsidRDefault="005170B7" w14:paraId="10483F90" w14:textId="77777777">
      <w:pPr>
        <w:ind w:left="360"/>
        <w:rPr>
          <w:b/>
        </w:rPr>
      </w:pPr>
      <w:r>
        <w:rPr>
          <w:b/>
        </w:rPr>
        <w:t>6(a)</w:t>
      </w:r>
      <w:r>
        <w:rPr>
          <w:b/>
        </w:rPr>
        <w:tab/>
        <w:t>Estimating Respondent Burden</w:t>
      </w:r>
    </w:p>
    <w:p w:rsidR="005170B7" w:rsidP="00C11FC0" w:rsidRDefault="005170B7" w14:paraId="3EBB4204" w14:textId="77777777">
      <w:pPr>
        <w:ind w:left="360"/>
        <w:rPr>
          <w:b/>
        </w:rPr>
      </w:pPr>
    </w:p>
    <w:p w:rsidR="005170B7" w:rsidP="00C11FC0" w:rsidRDefault="005170B7" w14:paraId="30E070F7" w14:textId="7B7C90C4">
      <w:pPr>
        <w:ind w:left="360" w:firstLine="720"/>
      </w:pPr>
      <w:r>
        <w:t xml:space="preserve">The estimated respondent burden is that associated with the activities </w:t>
      </w:r>
      <w:r w:rsidR="007968B4">
        <w:t xml:space="preserve">that </w:t>
      </w:r>
      <w:r>
        <w:t>result in the attainment demonstration, RFP SIP submission, RACT SIP submission</w:t>
      </w:r>
      <w:r w:rsidR="007968B4">
        <w:t>, and/or second 10-year maintenance plan submission</w:t>
      </w:r>
      <w:r>
        <w:t xml:space="preserve">.   </w:t>
      </w:r>
    </w:p>
    <w:p w:rsidR="005170B7" w:rsidP="00C11FC0" w:rsidRDefault="005170B7" w14:paraId="2D5A8195" w14:textId="77777777">
      <w:pPr>
        <w:ind w:left="360"/>
      </w:pPr>
    </w:p>
    <w:p w:rsidR="005170B7" w:rsidP="00C11FC0" w:rsidRDefault="005170B7" w14:paraId="042A0068" w14:textId="3B35B557">
      <w:pPr>
        <w:ind w:left="360" w:firstLine="720"/>
      </w:pPr>
      <w:r>
        <w:t>The estimated burden is incremental to that required by other EPA environmental reporting obligations. The incremental burden for some areas may be less than for others.   There are several reasons for this disparity</w:t>
      </w:r>
      <w:r w:rsidR="00862337">
        <w:t>:</w:t>
      </w:r>
      <w:r>
        <w:t xml:space="preserve"> </w:t>
      </w:r>
    </w:p>
    <w:p w:rsidR="005170B7" w:rsidP="001C6EBD" w:rsidRDefault="005170B7" w14:paraId="5A5E5000" w14:textId="77777777">
      <w:pPr>
        <w:ind w:firstLine="720"/>
      </w:pPr>
    </w:p>
    <w:p w:rsidR="005170B7" w:rsidP="00AD6851" w:rsidRDefault="005170B7" w14:paraId="6F2FEF02" w14:textId="77777777">
      <w:pPr>
        <w:numPr>
          <w:ilvl w:val="0"/>
          <w:numId w:val="31"/>
        </w:numPr>
      </w:pPr>
      <w:r>
        <w:t>The severity of the nonattainment problem varies among the designated areas.</w:t>
      </w:r>
    </w:p>
    <w:p w:rsidR="005170B7" w:rsidP="00AD6851" w:rsidRDefault="005170B7" w14:paraId="1CF105DB" w14:textId="5924ADFD">
      <w:pPr>
        <w:numPr>
          <w:ilvl w:val="0"/>
          <w:numId w:val="31"/>
        </w:numPr>
      </w:pPr>
      <w:r>
        <w:t xml:space="preserve">Certain areas or </w:t>
      </w:r>
      <w:r w:rsidR="00862337">
        <w:t xml:space="preserve">portions </w:t>
      </w:r>
      <w:r>
        <w:t xml:space="preserve">of areas may already have developed and implemented RACT requirements.   </w:t>
      </w:r>
    </w:p>
    <w:p w:rsidR="005170B7" w:rsidP="00AD6851" w:rsidRDefault="005170B7" w14:paraId="657A6C36" w14:textId="5D2D9340">
      <w:pPr>
        <w:numPr>
          <w:ilvl w:val="0"/>
          <w:numId w:val="31"/>
        </w:numPr>
      </w:pPr>
      <w:r>
        <w:t xml:space="preserve">Some areas may have future predicted 8-hour ozone design values </w:t>
      </w:r>
      <w:r w:rsidR="00862337">
        <w:t xml:space="preserve">that </w:t>
      </w:r>
      <w:r>
        <w:t xml:space="preserve">demonstrate </w:t>
      </w:r>
      <w:r w:rsidR="00862337">
        <w:t xml:space="preserve">expeditious </w:t>
      </w:r>
      <w:r>
        <w:t xml:space="preserve">attainment, within </w:t>
      </w:r>
      <w:r w:rsidR="000961B3">
        <w:t>3</w:t>
      </w:r>
      <w:r>
        <w:t xml:space="preserve"> years of designation, under baseline conditions.</w:t>
      </w:r>
    </w:p>
    <w:p w:rsidR="005170B7" w:rsidP="00880C63" w:rsidRDefault="005170B7" w14:paraId="249642AA" w14:textId="67CB2074">
      <w:pPr>
        <w:numPr>
          <w:ilvl w:val="0"/>
          <w:numId w:val="13"/>
        </w:numPr>
        <w:tabs>
          <w:tab w:val="num" w:pos="1080"/>
        </w:tabs>
        <w:ind w:left="1080"/>
      </w:pPr>
      <w:r>
        <w:lastRenderedPageBreak/>
        <w:t>Some areas may fulfill the RFP requirement as a result of creditable emission</w:t>
      </w:r>
      <w:r w:rsidR="00862337">
        <w:t>s</w:t>
      </w:r>
      <w:r>
        <w:t xml:space="preserve"> reductions resulting from federal rules that reduce ozone precursor emissions.</w:t>
      </w:r>
    </w:p>
    <w:p w:rsidR="005170B7" w:rsidP="003665B0" w:rsidRDefault="005170B7" w14:paraId="33882E94" w14:textId="21E3FFB3">
      <w:pPr>
        <w:ind w:left="720"/>
      </w:pPr>
    </w:p>
    <w:p w:rsidR="00267AAC" w:rsidP="00C11FC0" w:rsidRDefault="00267AAC" w14:paraId="1416884A" w14:textId="3876E654">
      <w:pPr>
        <w:ind w:left="270" w:firstLine="360"/>
      </w:pPr>
      <w:r>
        <w:rPr>
          <w:b/>
        </w:rPr>
        <w:t>2008 Ozone NAAQS</w:t>
      </w:r>
      <w:r>
        <w:t xml:space="preserve">. As of </w:t>
      </w:r>
      <w:r w:rsidR="00763B78">
        <w:t>September</w:t>
      </w:r>
      <w:r>
        <w:t xml:space="preserve"> 2020, there </w:t>
      </w:r>
      <w:r w:rsidR="00862337">
        <w:t xml:space="preserve">were </w:t>
      </w:r>
      <w:r>
        <w:t xml:space="preserve">11 </w:t>
      </w:r>
      <w:r w:rsidR="00C61CE4">
        <w:t xml:space="preserve">nonattainment </w:t>
      </w:r>
      <w:r>
        <w:t>areas with a Serious classification</w:t>
      </w:r>
      <w:r w:rsidR="00C61CE4">
        <w:t xml:space="preserve"> for the 2008 ozone NAAQS</w:t>
      </w:r>
      <w:r>
        <w:t xml:space="preserve">. We currently anticipate that </w:t>
      </w:r>
      <w:r w:rsidR="002010BF">
        <w:t>8</w:t>
      </w:r>
      <w:r w:rsidR="00D34E62">
        <w:t xml:space="preserve"> </w:t>
      </w:r>
      <w:r>
        <w:t xml:space="preserve">of </w:t>
      </w:r>
      <w:r w:rsidR="00742ADA">
        <w:t xml:space="preserve">the </w:t>
      </w:r>
      <w:r w:rsidR="004F60CF">
        <w:t>state’s</w:t>
      </w:r>
      <w:r>
        <w:t xml:space="preserve"> areas may fail to attain the 2008 ozone standard by the Serious area attainment date of July 20, 2021 and will be reclassified to Severe</w:t>
      </w:r>
      <w:r w:rsidR="002010BF">
        <w:t>-</w:t>
      </w:r>
      <w:r>
        <w:t>15</w:t>
      </w:r>
      <w:r w:rsidR="00D34E62">
        <w:t>, and that states will be responsible to develop Severe area plans</w:t>
      </w:r>
      <w:r>
        <w:t xml:space="preserve">. Table </w:t>
      </w:r>
      <w:r w:rsidR="00DE6E8E">
        <w:t>1</w:t>
      </w:r>
      <w:r>
        <w:t xml:space="preserve"> lists these areas, most of which have been working for several years to improve ozone air quality through state-enforceable rules. Thus, the programs and regulations already in place </w:t>
      </w:r>
      <w:r w:rsidR="00DE6E8E">
        <w:t>offer a starting point for states to develop additional control strategies to</w:t>
      </w:r>
      <w:r>
        <w:t xml:space="preserve"> meet </w:t>
      </w:r>
      <w:r w:rsidR="00DE6E8E">
        <w:t xml:space="preserve">their </w:t>
      </w:r>
      <w:r>
        <w:t xml:space="preserve">Severe area requirements. We have estimated a state burden of 5,000 hours per area (or state portion of each area) for these areas to meet the additional Severe area requirements. </w:t>
      </w:r>
    </w:p>
    <w:p w:rsidR="00267AAC" w:rsidP="00C11FC0" w:rsidRDefault="00267AAC" w14:paraId="3F7746F7" w14:textId="77777777">
      <w:pPr>
        <w:tabs>
          <w:tab w:val="left" w:pos="2550"/>
        </w:tabs>
        <w:ind w:left="270" w:firstLine="360"/>
      </w:pPr>
    </w:p>
    <w:p w:rsidR="00A26EEF" w:rsidP="00C11FC0" w:rsidRDefault="00E7714D" w14:paraId="4481696C" w14:textId="6258B71A">
      <w:pPr>
        <w:ind w:left="270" w:firstLine="360"/>
      </w:pPr>
      <w:r>
        <w:rPr>
          <w:b/>
        </w:rPr>
        <w:t>2015 Ozone NAAQS</w:t>
      </w:r>
      <w:r w:rsidR="005170B7">
        <w:rPr>
          <w:b/>
        </w:rPr>
        <w:t>.</w:t>
      </w:r>
      <w:r w:rsidR="005170B7">
        <w:t xml:space="preserve">  </w:t>
      </w:r>
      <w:r w:rsidR="00A26EEF">
        <w:t xml:space="preserve">As </w:t>
      </w:r>
      <w:r w:rsidR="00A5567A">
        <w:t>not</w:t>
      </w:r>
      <w:r w:rsidR="00A26EEF">
        <w:t>ed elsewhere in this document, 39</w:t>
      </w:r>
      <w:r w:rsidR="009F02B8">
        <w:t xml:space="preserve"> areas were initially designated Marginal nonattainment for the</w:t>
      </w:r>
      <w:r w:rsidR="00A25D0D">
        <w:t xml:space="preserve"> </w:t>
      </w:r>
      <w:r w:rsidR="00C06D5A">
        <w:t xml:space="preserve">2015 ozone </w:t>
      </w:r>
      <w:r w:rsidR="009F02B8">
        <w:t>NAAQS</w:t>
      </w:r>
      <w:r w:rsidR="00A26EEF">
        <w:t>, with an attainment date of August 3, 2021</w:t>
      </w:r>
      <w:r w:rsidR="00C06D5A">
        <w:t xml:space="preserve">. </w:t>
      </w:r>
      <w:r w:rsidR="00A26EEF">
        <w:t xml:space="preserve">EPA will determine which areas attained by </w:t>
      </w:r>
      <w:r w:rsidR="00A5567A">
        <w:t>this</w:t>
      </w:r>
      <w:r w:rsidR="00A26EEF">
        <w:t xml:space="preserve"> attainment date </w:t>
      </w:r>
      <w:r w:rsidR="00C06D5A">
        <w:t xml:space="preserve">based on air quality data </w:t>
      </w:r>
      <w:r w:rsidR="00A26EEF">
        <w:t>from 2018</w:t>
      </w:r>
      <w:r w:rsidR="00A5567A">
        <w:t xml:space="preserve"> through </w:t>
      </w:r>
      <w:r w:rsidR="00A26EEF">
        <w:t>2020</w:t>
      </w:r>
      <w:r w:rsidRPr="00AD6851" w:rsidR="005170B7">
        <w:t xml:space="preserve">. </w:t>
      </w:r>
      <w:r w:rsidR="00C06D5A">
        <w:t>Based on preliminary</w:t>
      </w:r>
      <w:r w:rsidR="002125D2">
        <w:t xml:space="preserve"> 2020</w:t>
      </w:r>
      <w:r w:rsidR="00C06D5A">
        <w:t xml:space="preserve"> air quality data</w:t>
      </w:r>
      <w:r w:rsidR="006E7264">
        <w:t xml:space="preserve"> as of </w:t>
      </w:r>
      <w:r w:rsidR="002F0BA7">
        <w:t>September</w:t>
      </w:r>
      <w:r w:rsidR="006E7264">
        <w:t xml:space="preserve"> 2020</w:t>
      </w:r>
      <w:r w:rsidR="00C06D5A">
        <w:t xml:space="preserve">, </w:t>
      </w:r>
      <w:r w:rsidR="00337B17">
        <w:t xml:space="preserve">for purposes of this proposed ICR renewal, EPA is assuming that </w:t>
      </w:r>
      <w:r w:rsidR="00C06D5A">
        <w:t>2</w:t>
      </w:r>
      <w:r w:rsidR="006E7264">
        <w:t>7</w:t>
      </w:r>
      <w:r w:rsidR="00C06D5A">
        <w:t xml:space="preserve"> of the</w:t>
      </w:r>
      <w:r w:rsidR="009F02B8">
        <w:t>se</w:t>
      </w:r>
      <w:r w:rsidR="00C06D5A">
        <w:t xml:space="preserve"> </w:t>
      </w:r>
      <w:r w:rsidR="00A26EEF">
        <w:t xml:space="preserve">39 </w:t>
      </w:r>
      <w:r w:rsidR="00C06D5A">
        <w:t>areas will not attain</w:t>
      </w:r>
      <w:r w:rsidR="002125D2">
        <w:t xml:space="preserve"> the </w:t>
      </w:r>
      <w:r w:rsidR="00A26EEF">
        <w:t>2015 ozone NAAQS</w:t>
      </w:r>
      <w:r w:rsidR="002125D2">
        <w:t xml:space="preserve"> and will be reclassified to Moderate</w:t>
      </w:r>
      <w:r w:rsidR="00A5567A">
        <w:t>.</w:t>
      </w:r>
      <w:r w:rsidR="00A26EEF">
        <w:t xml:space="preserve"> </w:t>
      </w:r>
      <w:r w:rsidR="00A5567A">
        <w:t>S</w:t>
      </w:r>
      <w:r w:rsidR="00A26EEF">
        <w:t>tates in which these areas are located</w:t>
      </w:r>
      <w:r w:rsidR="009F02B8">
        <w:t xml:space="preserve"> will be subject to Moderate area planning requirements, including submitting an attainment demonstration, RACT SIP submittal, and RFP SIP submittal</w:t>
      </w:r>
      <w:r w:rsidR="002125D2">
        <w:t>.</w:t>
      </w:r>
      <w:r w:rsidR="009F02B8">
        <w:t xml:space="preserve"> </w:t>
      </w:r>
      <w:r w:rsidR="00A26EEF">
        <w:t>EPA is estimating a burden of 5,100 hours for each of the areas</w:t>
      </w:r>
      <w:r w:rsidR="00A5567A">
        <w:t xml:space="preserve"> (or state portions </w:t>
      </w:r>
      <w:r w:rsidR="003E371A">
        <w:t>of</w:t>
      </w:r>
      <w:r w:rsidR="00A5567A">
        <w:t xml:space="preserve"> these areas) listed in Table 5.</w:t>
      </w:r>
      <w:r w:rsidR="003E371A">
        <w:t xml:space="preserve"> This proposed ICR renewal also includes a nominal burden estimate of 100 hours per area (or state portion of these areas) for states with the remaining 12 Marginal areas.</w:t>
      </w:r>
      <w:r w:rsidR="00C43AB9">
        <w:t xml:space="preserve"> The state burden estimates do not include the</w:t>
      </w:r>
      <w:r w:rsidRPr="00F603DD" w:rsidR="00F603DD">
        <w:rPr>
          <w:bCs/>
        </w:rPr>
        <w:t xml:space="preserve"> </w:t>
      </w:r>
      <w:r w:rsidR="00F603DD">
        <w:rPr>
          <w:bCs/>
        </w:rPr>
        <w:t xml:space="preserve">Pechanga </w:t>
      </w:r>
      <w:r w:rsidRPr="007E70D5" w:rsidR="00F603DD">
        <w:rPr>
          <w:bCs/>
        </w:rPr>
        <w:t>Band of Luiseno Mission Indians of the Pechanga Reservation</w:t>
      </w:r>
      <w:r w:rsidR="00F603DD">
        <w:t xml:space="preserve"> </w:t>
      </w:r>
      <w:r w:rsidR="00474C6B">
        <w:t xml:space="preserve">nonattainment </w:t>
      </w:r>
      <w:r w:rsidR="00C43AB9">
        <w:t>area because the e</w:t>
      </w:r>
      <w:r w:rsidRPr="00B35A87" w:rsidR="00C43AB9">
        <w:t>stimate</w:t>
      </w:r>
      <w:r w:rsidR="00C43AB9">
        <w:t>d</w:t>
      </w:r>
      <w:r w:rsidRPr="00B35A87" w:rsidR="00C43AB9">
        <w:t xml:space="preserve"> 3-year burden of </w:t>
      </w:r>
      <w:r w:rsidR="00C43AB9">
        <w:t>5,100</w:t>
      </w:r>
      <w:r w:rsidRPr="00B35A87" w:rsidR="00C43AB9">
        <w:t xml:space="preserve"> hours </w:t>
      </w:r>
      <w:r w:rsidR="00C43AB9">
        <w:t>is included in the r</w:t>
      </w:r>
      <w:r w:rsidRPr="00B35A87" w:rsidR="00C43AB9">
        <w:t>egion</w:t>
      </w:r>
      <w:r w:rsidR="00C43AB9">
        <w:t>al office burden estimate</w:t>
      </w:r>
      <w:r w:rsidRPr="00B35A87" w:rsidR="00C43AB9">
        <w:t xml:space="preserve"> to develop plans for</w:t>
      </w:r>
      <w:r w:rsidR="00C43AB9">
        <w:t xml:space="preserve"> the</w:t>
      </w:r>
      <w:r w:rsidRPr="00B35A87" w:rsidR="00C43AB9">
        <w:t xml:space="preserve"> area </w:t>
      </w:r>
      <w:r w:rsidR="00C43AB9">
        <w:t>if it is re</w:t>
      </w:r>
      <w:r w:rsidRPr="00B35A87" w:rsidR="00C43AB9">
        <w:t xml:space="preserve">classified </w:t>
      </w:r>
      <w:r w:rsidR="00C43AB9">
        <w:t>to</w:t>
      </w:r>
      <w:r w:rsidRPr="00B35A87" w:rsidR="00C43AB9">
        <w:t xml:space="preserve"> </w:t>
      </w:r>
      <w:r w:rsidR="00C43AB9">
        <w:t>Moderate.</w:t>
      </w:r>
    </w:p>
    <w:p w:rsidR="005170B7" w:rsidP="00C11FC0" w:rsidRDefault="005170B7" w14:paraId="00AA0007" w14:textId="29F5A0C8">
      <w:pPr>
        <w:ind w:left="270"/>
      </w:pPr>
    </w:p>
    <w:p w:rsidR="005170B7" w:rsidP="00C11FC0" w:rsidRDefault="002010BF" w14:paraId="14CFBC33" w14:textId="6AE9F293">
      <w:pPr>
        <w:ind w:left="270"/>
      </w:pPr>
      <w:r>
        <w:tab/>
      </w:r>
      <w:r w:rsidR="005170B7">
        <w:t xml:space="preserve">There are </w:t>
      </w:r>
      <w:r w:rsidR="009F02B8">
        <w:t xml:space="preserve">also </w:t>
      </w:r>
      <w:r w:rsidRPr="00D61911" w:rsidR="009F02B8">
        <w:t>five</w:t>
      </w:r>
      <w:r w:rsidR="009F02B8">
        <w:t xml:space="preserve"> </w:t>
      </w:r>
      <w:r w:rsidR="005170B7">
        <w:t>areas with an original classification of Moderate</w:t>
      </w:r>
      <w:r w:rsidR="00906708">
        <w:t xml:space="preserve"> for the 2015 NAAQS</w:t>
      </w:r>
      <w:r w:rsidR="005170B7">
        <w:t xml:space="preserve">. </w:t>
      </w:r>
      <w:r w:rsidR="00A26EEF">
        <w:t xml:space="preserve">For all of these areas, states </w:t>
      </w:r>
      <w:r w:rsidRPr="00AD6851" w:rsidR="005170B7">
        <w:t xml:space="preserve">have </w:t>
      </w:r>
      <w:r w:rsidR="00405E66">
        <w:t xml:space="preserve">submitted SIP revisions for the </w:t>
      </w:r>
      <w:r w:rsidRPr="00AD6851" w:rsidR="005170B7">
        <w:t>previous RACT requirements</w:t>
      </w:r>
      <w:r w:rsidR="00A909C6">
        <w:t xml:space="preserve"> for 2008, 1997 or 1-hr ozone NAAQS</w:t>
      </w:r>
      <w:r w:rsidRPr="00AD6851" w:rsidR="005170B7">
        <w:t xml:space="preserve">. Also, many of these areas had RFP plans in place for the 1-hour </w:t>
      </w:r>
      <w:r w:rsidR="008071E6">
        <w:t>o</w:t>
      </w:r>
      <w:r w:rsidRPr="00AD6851" w:rsidR="005170B7">
        <w:t xml:space="preserve">zone NAAQS and the </w:t>
      </w:r>
      <w:r w:rsidR="005170B7">
        <w:t>1997</w:t>
      </w:r>
      <w:r w:rsidR="00A909C6">
        <w:t xml:space="preserve"> and 2008</w:t>
      </w:r>
      <w:r w:rsidR="005170B7">
        <w:t xml:space="preserve"> </w:t>
      </w:r>
      <w:r w:rsidRPr="00AD6851" w:rsidR="005170B7">
        <w:t xml:space="preserve">8-hour ozone NAAQS. </w:t>
      </w:r>
      <w:r w:rsidR="008071E6">
        <w:t>In addition</w:t>
      </w:r>
      <w:r w:rsidRPr="00AD6851" w:rsidR="005170B7">
        <w:t>, for some of these areas, the RFP requirement is met or reduced because of creditable emission reductions resulting from federal rules reducing emissions of volatile organic compounds (VOCs) and/or nitrogen oxides (NOx).</w:t>
      </w:r>
      <w:r w:rsidRPr="00AD6851" w:rsidR="005170B7">
        <w:rPr>
          <w:rStyle w:val="FootnoteReference"/>
        </w:rPr>
        <w:footnoteReference w:id="16"/>
      </w:r>
      <w:r w:rsidRPr="00AD6851" w:rsidR="005170B7">
        <w:t xml:space="preserve"> </w:t>
      </w:r>
      <w:r w:rsidR="00B934ED">
        <w:t xml:space="preserve">States with </w:t>
      </w:r>
      <w:r w:rsidR="005170B7">
        <w:t>Moderate areas are estimated</w:t>
      </w:r>
      <w:r w:rsidRPr="00A0652B" w:rsidR="005170B7">
        <w:t xml:space="preserve"> to spend 5,000 hours to develop and submit the attainment demonstration.</w:t>
      </w:r>
      <w:r w:rsidR="005170B7">
        <w:t xml:space="preserve"> We </w:t>
      </w:r>
      <w:r w:rsidRPr="00AD6851" w:rsidR="005170B7">
        <w:t>have used the same estimated incremental burden for these areas that we did in ICR No. 2236.02</w:t>
      </w:r>
      <w:r w:rsidR="00293945">
        <w:t>, 2347.02</w:t>
      </w:r>
      <w:r w:rsidR="00A909C6">
        <w:t xml:space="preserve"> and 2347.0</w:t>
      </w:r>
      <w:r w:rsidR="00293945">
        <w:t>3</w:t>
      </w:r>
      <w:r w:rsidR="005170B7">
        <w:t xml:space="preserve">. </w:t>
      </w:r>
    </w:p>
    <w:p w:rsidR="008B7472" w:rsidP="00C11FC0" w:rsidRDefault="008B7472" w14:paraId="3FF6198E" w14:textId="5419556C">
      <w:pPr>
        <w:ind w:left="270" w:firstLine="720"/>
      </w:pPr>
    </w:p>
    <w:p w:rsidRPr="00BC356A" w:rsidR="00C61CE4" w:rsidP="00C11FC0" w:rsidRDefault="00C61CE4" w14:paraId="062FCADD" w14:textId="584D12C0">
      <w:pPr>
        <w:ind w:left="270" w:firstLine="720"/>
      </w:pPr>
      <w:r w:rsidRPr="00BC356A">
        <w:t xml:space="preserve">The ICR </w:t>
      </w:r>
      <w:r w:rsidRPr="00BC356A" w:rsidR="00B934ED">
        <w:t xml:space="preserve">also </w:t>
      </w:r>
      <w:r w:rsidRPr="00BC356A">
        <w:t xml:space="preserve">estimates the burden for states to implement the 2015 ozone NAAQS “Moderate-like” requirements for states in the Ozone Transport Regions.  An </w:t>
      </w:r>
      <w:r w:rsidRPr="00BC356A" w:rsidR="00B934ED">
        <w:lastRenderedPageBreak/>
        <w:t>estimated</w:t>
      </w:r>
      <w:r w:rsidRPr="00BC356A">
        <w:t xml:space="preserve"> burden of 500 hours was included for the 12 states in the Ozone Transport Region and the District of Columbia to certify the current state SIPs meets the CAA Section 184(b)(1)(B) RACT requirements.</w:t>
      </w:r>
    </w:p>
    <w:p w:rsidR="00C61CE4" w:rsidP="00C11FC0" w:rsidRDefault="00C61CE4" w14:paraId="728627B2" w14:textId="77777777">
      <w:pPr>
        <w:ind w:left="270" w:firstLine="720"/>
      </w:pPr>
    </w:p>
    <w:p w:rsidR="005170B7" w:rsidP="00C11FC0" w:rsidRDefault="005170B7" w14:paraId="7269F4E0" w14:textId="5CA04E56">
      <w:pPr>
        <w:ind w:left="270" w:firstLine="720"/>
      </w:pPr>
      <w:r w:rsidRPr="00BC356A">
        <w:t xml:space="preserve">There are </w:t>
      </w:r>
      <w:r w:rsidRPr="00BC356A" w:rsidR="00A909C6">
        <w:t>7</w:t>
      </w:r>
      <w:r w:rsidRPr="00BC356A">
        <w:t xml:space="preserve"> areas with a Serious or above classification</w:t>
      </w:r>
      <w:r w:rsidRPr="00BC356A" w:rsidR="001B2446">
        <w:t xml:space="preserve"> for the 2015 NAAQS</w:t>
      </w:r>
      <w:r w:rsidRPr="00BC356A">
        <w:t>.  We have used the same estimated incremental burden for these areas that we did in ICR No. 2236.02</w:t>
      </w:r>
      <w:r w:rsidRPr="00BC356A" w:rsidR="00293945">
        <w:t>,</w:t>
      </w:r>
      <w:r w:rsidRPr="00BC356A">
        <w:t xml:space="preserve"> </w:t>
      </w:r>
      <w:r w:rsidRPr="00BC356A" w:rsidR="00293945">
        <w:t xml:space="preserve">2347.02 and 2347.03. </w:t>
      </w:r>
      <w:r w:rsidRPr="00BC356A">
        <w:t>for areas with more extended attainment dates. This incremental additional burden is 20,000 hours per area per state. This represents 15,000 more hours to develop and submit the attainment demonstration than estimated for Moderate areas.</w:t>
      </w:r>
      <w:r w:rsidRPr="00BC356A" w:rsidR="00293945">
        <w:t xml:space="preserve"> The estimate formula was adjusted to have Region 9 incur burden of developing the Tribal planning and control requirements for the Serious tribal Morongo Band of Mission Indians</w:t>
      </w:r>
      <w:r w:rsidR="002010BF">
        <w:t xml:space="preserve"> </w:t>
      </w:r>
      <w:r w:rsidRPr="00BC356A" w:rsidR="002010BF">
        <w:t>nonattainment area</w:t>
      </w:r>
      <w:r w:rsidRPr="00BC356A" w:rsidR="00293945">
        <w:t>.</w:t>
      </w:r>
    </w:p>
    <w:p w:rsidR="00E96CDB" w:rsidP="00C11FC0" w:rsidRDefault="00E96CDB" w14:paraId="142018D1" w14:textId="2E64CC04">
      <w:pPr>
        <w:ind w:left="270" w:firstLine="720"/>
      </w:pPr>
    </w:p>
    <w:p w:rsidR="00E96CDB" w:rsidP="00C11FC0" w:rsidRDefault="00E96CDB" w14:paraId="5E43FB94" w14:textId="3B1C0DA1">
      <w:pPr>
        <w:ind w:left="270" w:firstLine="720"/>
      </w:pPr>
      <w:r w:rsidRPr="00E96CDB">
        <w:rPr>
          <w:b/>
          <w:bCs/>
        </w:rPr>
        <w:t xml:space="preserve">Second </w:t>
      </w:r>
      <w:r w:rsidR="00C61CE4">
        <w:rPr>
          <w:b/>
          <w:bCs/>
        </w:rPr>
        <w:t xml:space="preserve">10-Year </w:t>
      </w:r>
      <w:r w:rsidRPr="00E96CDB">
        <w:rPr>
          <w:b/>
          <w:bCs/>
        </w:rPr>
        <w:t>Maintenance Plans</w:t>
      </w:r>
      <w:r w:rsidR="00C61CE4">
        <w:rPr>
          <w:b/>
          <w:bCs/>
        </w:rPr>
        <w:t>.</w:t>
      </w:r>
      <w:r>
        <w:t xml:space="preserve"> </w:t>
      </w:r>
      <w:r w:rsidR="00C61CE4">
        <w:t>S</w:t>
      </w:r>
      <w:r>
        <w:t>tates are</w:t>
      </w:r>
      <w:r w:rsidRPr="00E96CDB">
        <w:t xml:space="preserve"> required to submit a second 10-year maintenance plan for maintenance areas or portions of maintenance areas for the 1997 ozone NAAQS not also designated as nonattainment for the 2008 ozone NAAQS, and for </w:t>
      </w:r>
      <w:r w:rsidR="00C61CE4">
        <w:t xml:space="preserve">any </w:t>
      </w:r>
      <w:r w:rsidRPr="00E96CDB">
        <w:t xml:space="preserve">maintenance area </w:t>
      </w:r>
      <w:r w:rsidR="00C61CE4">
        <w:t xml:space="preserve">that is approaching the end of its first 10-year maintenance period </w:t>
      </w:r>
      <w:r w:rsidRPr="00E96CDB">
        <w:t>for the 2008 ozone NAAQS.</w:t>
      </w:r>
      <w:r>
        <w:t xml:space="preserve"> </w:t>
      </w:r>
      <w:r w:rsidRPr="00E96CDB">
        <w:t>Table</w:t>
      </w:r>
      <w:r w:rsidR="00C61CE4">
        <w:t>s</w:t>
      </w:r>
      <w:r w:rsidRPr="00E96CDB">
        <w:t xml:space="preserve"> 6</w:t>
      </w:r>
      <w:r>
        <w:t xml:space="preserve"> and 7</w:t>
      </w:r>
      <w:r w:rsidRPr="00E96CDB">
        <w:t xml:space="preserve"> </w:t>
      </w:r>
      <w:r w:rsidR="00C61CE4">
        <w:t>list</w:t>
      </w:r>
      <w:r w:rsidRPr="00E96CDB" w:rsidR="00C61CE4">
        <w:t xml:space="preserve"> </w:t>
      </w:r>
      <w:r w:rsidRPr="00E96CDB">
        <w:t xml:space="preserve">the states required to submit second maintenance plans </w:t>
      </w:r>
      <w:r>
        <w:t xml:space="preserve">for </w:t>
      </w:r>
      <w:r w:rsidRPr="00E96CDB">
        <w:t>2008</w:t>
      </w:r>
      <w:r>
        <w:t xml:space="preserve"> ozone</w:t>
      </w:r>
      <w:r w:rsidRPr="00E96CDB">
        <w:t xml:space="preserve"> NAAQS maintenance areas</w:t>
      </w:r>
      <w:r>
        <w:t xml:space="preserve"> and 1997 ozone NAAQS maintenance areas, respectively.</w:t>
      </w:r>
      <w:r w:rsidRPr="00E96CDB">
        <w:t xml:space="preserve"> </w:t>
      </w:r>
      <w:r>
        <w:t>The states are estimated</w:t>
      </w:r>
      <w:r w:rsidRPr="00A0652B">
        <w:t xml:space="preserve"> to spend </w:t>
      </w:r>
      <w:r>
        <w:t>100</w:t>
      </w:r>
      <w:r w:rsidRPr="00A0652B">
        <w:t xml:space="preserve"> hours to develop and submit the </w:t>
      </w:r>
      <w:r w:rsidRPr="00E96CDB">
        <w:t>second maintenance plan SIP revisions</w:t>
      </w:r>
      <w:r>
        <w:t>.</w:t>
      </w:r>
    </w:p>
    <w:p w:rsidR="005170B7" w:rsidP="00C11FC0" w:rsidRDefault="005170B7" w14:paraId="65E42581" w14:textId="4E76370F">
      <w:pPr>
        <w:ind w:left="270" w:firstLine="720"/>
      </w:pPr>
    </w:p>
    <w:p w:rsidR="008A41D5" w:rsidP="00C11FC0" w:rsidRDefault="007B38DE" w14:paraId="5241325D" w14:textId="3165FA05">
      <w:pPr>
        <w:ind w:left="270" w:firstLine="720"/>
      </w:pPr>
      <w:r w:rsidRPr="007B38DE">
        <w:rPr>
          <w:b/>
          <w:bCs/>
        </w:rPr>
        <w:t>Combined Estimated Burden.</w:t>
      </w:r>
      <w:r>
        <w:t xml:space="preserve"> B</w:t>
      </w:r>
      <w:r w:rsidR="005170B7">
        <w:t xml:space="preserve">ecause of the </w:t>
      </w:r>
      <w:r w:rsidR="002247DA">
        <w:t>front-loaded</w:t>
      </w:r>
      <w:r w:rsidR="005170B7">
        <w:t xml:space="preserve"> </w:t>
      </w:r>
      <w:r w:rsidR="002247DA">
        <w:t xml:space="preserve">state burden to develop </w:t>
      </w:r>
      <w:r w:rsidR="005170B7">
        <w:t>attainment</w:t>
      </w:r>
      <w:r w:rsidR="002247DA">
        <w:t xml:space="preserve"> demonstrations</w:t>
      </w:r>
      <w:r w:rsidR="005170B7">
        <w:t>, RACT</w:t>
      </w:r>
      <w:r w:rsidR="002247DA">
        <w:t xml:space="preserve"> SIP revisions</w:t>
      </w:r>
      <w:r w:rsidR="005170B7">
        <w:t>, and RFP</w:t>
      </w:r>
      <w:r w:rsidR="002247DA">
        <w:t xml:space="preserve"> SIP revisions</w:t>
      </w:r>
      <w:r w:rsidR="005170B7">
        <w:t>, states are often spending 50% of the total estimated incremental burden in the 1</w:t>
      </w:r>
      <w:r w:rsidR="005170B7">
        <w:rPr>
          <w:vertAlign w:val="superscript"/>
        </w:rPr>
        <w:t>st</w:t>
      </w:r>
      <w:r w:rsidR="005170B7">
        <w:t xml:space="preserve"> year and 25% in each of the 2</w:t>
      </w:r>
      <w:r w:rsidR="005170B7">
        <w:rPr>
          <w:vertAlign w:val="superscript"/>
        </w:rPr>
        <w:t>nd</w:t>
      </w:r>
      <w:r w:rsidR="005170B7">
        <w:t xml:space="preserve"> and 3</w:t>
      </w:r>
      <w:r w:rsidR="005170B7">
        <w:rPr>
          <w:vertAlign w:val="superscript"/>
        </w:rPr>
        <w:t>rd</w:t>
      </w:r>
      <w:r w:rsidR="005170B7">
        <w:t xml:space="preserve"> years of the ICR period. T</w:t>
      </w:r>
      <w:r>
        <w:t xml:space="preserve">able </w:t>
      </w:r>
      <w:r w:rsidR="00F603DD">
        <w:t>8</w:t>
      </w:r>
      <w:r>
        <w:t xml:space="preserve"> provides t</w:t>
      </w:r>
      <w:r w:rsidR="005170B7">
        <w:t>he estimated incremental burden for</w:t>
      </w:r>
      <w:r>
        <w:t xml:space="preserve"> SIP revisions due from </w:t>
      </w:r>
      <w:r w:rsidR="002247DA">
        <w:t>s</w:t>
      </w:r>
      <w:r w:rsidRPr="007B38DE">
        <w:t>tates</w:t>
      </w:r>
      <w:r>
        <w:t xml:space="preserve"> for </w:t>
      </w:r>
      <w:r w:rsidR="002247DA">
        <w:t xml:space="preserve">all of the listed </w:t>
      </w:r>
      <w:r>
        <w:t>8-hour ozone requirements</w:t>
      </w:r>
      <w:r w:rsidR="005170B7">
        <w:t xml:space="preserve">.  This estimated incremental burden is for </w:t>
      </w:r>
      <w:r w:rsidR="00264F39">
        <w:t>each state to submit the required SIP revisions during the ICR period</w:t>
      </w:r>
      <w:r w:rsidR="005170B7">
        <w:t xml:space="preserve">.  </w:t>
      </w:r>
    </w:p>
    <w:p w:rsidR="005170B7" w:rsidP="00C11FC0" w:rsidRDefault="005170B7" w14:paraId="2A35FABE" w14:textId="77777777">
      <w:pPr>
        <w:ind w:left="270" w:firstLine="720"/>
      </w:pPr>
    </w:p>
    <w:p w:rsidRPr="004D3890" w:rsidR="005170B7" w:rsidP="002010BF" w:rsidRDefault="005170B7" w14:paraId="73E12682" w14:textId="303558DA">
      <w:pPr>
        <w:ind w:left="720"/>
        <w:rPr>
          <w:b/>
        </w:rPr>
      </w:pPr>
      <w:r w:rsidRPr="004D3890">
        <w:rPr>
          <w:b/>
        </w:rPr>
        <w:t>Table</w:t>
      </w:r>
      <w:r w:rsidR="003316A3">
        <w:rPr>
          <w:b/>
        </w:rPr>
        <w:t xml:space="preserve"> </w:t>
      </w:r>
      <w:r w:rsidR="00F603DD">
        <w:rPr>
          <w:b/>
        </w:rPr>
        <w:t>8</w:t>
      </w:r>
      <w:r w:rsidRPr="004D3890">
        <w:rPr>
          <w:b/>
        </w:rPr>
        <w:t>.  Estimated Incremental Burden for the States Attainment Demonstration, RACT SIP Submission, and RFP SIP Submission</w:t>
      </w:r>
      <w:r w:rsidR="00E81D0A">
        <w:rPr>
          <w:b/>
        </w:rPr>
        <w:t xml:space="preserve"> including Marginal Area Burdens</w:t>
      </w:r>
      <w:r w:rsidR="003316A3">
        <w:rPr>
          <w:b/>
        </w:rPr>
        <w:t>,</w:t>
      </w:r>
      <w:r w:rsidR="008A139C">
        <w:rPr>
          <w:b/>
        </w:rPr>
        <w:t xml:space="preserve"> OTR RACT</w:t>
      </w:r>
      <w:r w:rsidR="00BB769C">
        <w:rPr>
          <w:b/>
        </w:rPr>
        <w:t xml:space="preserve"> Burden</w:t>
      </w:r>
      <w:r w:rsidR="00F619C3">
        <w:rPr>
          <w:b/>
        </w:rPr>
        <w:t>, second maintenance plans</w:t>
      </w:r>
      <w:r w:rsidR="003316A3">
        <w:rPr>
          <w:b/>
        </w:rPr>
        <w:t xml:space="preserve"> and 2008 Ozone Severe 15 Reclassification Burden</w:t>
      </w:r>
    </w:p>
    <w:p w:rsidR="005170B7" w:rsidP="00115BDD" w:rsidRDefault="005170B7" w14:paraId="1F8F411D" w14:textId="77777777">
      <w:pPr>
        <w:ind w:left="720"/>
        <w:rPr>
          <w:b/>
          <w:sz w:val="20"/>
          <w:szCs w:val="20"/>
        </w:rPr>
      </w:pPr>
    </w:p>
    <w:tbl>
      <w:tblPr>
        <w:tblW w:w="75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42"/>
        <w:gridCol w:w="1011"/>
        <w:gridCol w:w="914"/>
        <w:gridCol w:w="1250"/>
        <w:gridCol w:w="1260"/>
        <w:gridCol w:w="1255"/>
      </w:tblGrid>
      <w:tr w:rsidRPr="00893E12" w:rsidR="00EA1A74" w:rsidTr="002010BF" w14:paraId="718E2AF6" w14:textId="77777777">
        <w:trPr>
          <w:trHeight w:val="525"/>
          <w:jc w:val="center"/>
        </w:trPr>
        <w:tc>
          <w:tcPr>
            <w:tcW w:w="1842" w:type="dxa"/>
            <w:noWrap/>
            <w:vAlign w:val="bottom"/>
          </w:tcPr>
          <w:p w:rsidRPr="00BC356A" w:rsidR="005170B7" w:rsidP="00115BDD" w:rsidRDefault="005170B7" w14:paraId="55C1C0FD" w14:textId="77777777">
            <w:pPr>
              <w:rPr>
                <w:b/>
                <w:bCs/>
              </w:rPr>
            </w:pPr>
            <w:bookmarkStart w:name="RANGE!F4:K26" w:id="7"/>
            <w:bookmarkEnd w:id="7"/>
            <w:r w:rsidRPr="00BC356A">
              <w:rPr>
                <w:b/>
                <w:bCs/>
              </w:rPr>
              <w:t>State</w:t>
            </w:r>
          </w:p>
        </w:tc>
        <w:tc>
          <w:tcPr>
            <w:tcW w:w="1011" w:type="dxa"/>
            <w:vAlign w:val="bottom"/>
          </w:tcPr>
          <w:p w:rsidRPr="00BC356A" w:rsidR="005170B7" w:rsidP="00CD2707" w:rsidRDefault="005170B7" w14:paraId="05158062" w14:textId="77777777">
            <w:pPr>
              <w:jc w:val="center"/>
              <w:rPr>
                <w:b/>
                <w:bCs/>
              </w:rPr>
            </w:pPr>
            <w:r w:rsidRPr="00BC356A">
              <w:rPr>
                <w:b/>
                <w:bCs/>
              </w:rPr>
              <w:t>EPA Region</w:t>
            </w:r>
          </w:p>
        </w:tc>
        <w:tc>
          <w:tcPr>
            <w:tcW w:w="914" w:type="dxa"/>
            <w:vAlign w:val="bottom"/>
          </w:tcPr>
          <w:p w:rsidRPr="00BC356A" w:rsidR="00BB769C" w:rsidP="00EA1A74" w:rsidRDefault="005170B7" w14:paraId="24EAD43E" w14:textId="501D4ABE">
            <w:pPr>
              <w:jc w:val="center"/>
              <w:rPr>
                <w:b/>
                <w:bCs/>
              </w:rPr>
            </w:pPr>
            <w:r w:rsidRPr="00BC356A">
              <w:rPr>
                <w:b/>
                <w:bCs/>
                <w:sz w:val="20"/>
                <w:szCs w:val="20"/>
              </w:rPr>
              <w:t>No. of Areas or Parts of Areas</w:t>
            </w:r>
            <w:r w:rsidRPr="00BC356A" w:rsidR="00BB769C">
              <w:rPr>
                <w:b/>
                <w:bCs/>
                <w:sz w:val="20"/>
                <w:szCs w:val="20"/>
              </w:rPr>
              <w:t xml:space="preserve"> or OTR States</w:t>
            </w:r>
          </w:p>
        </w:tc>
        <w:tc>
          <w:tcPr>
            <w:tcW w:w="1250" w:type="dxa"/>
            <w:vAlign w:val="bottom"/>
          </w:tcPr>
          <w:p w:rsidRPr="00BC356A" w:rsidR="005170B7" w:rsidP="00CD2707" w:rsidRDefault="005170B7" w14:paraId="5FDD218B" w14:textId="77777777">
            <w:pPr>
              <w:jc w:val="center"/>
              <w:rPr>
                <w:b/>
                <w:bCs/>
                <w:sz w:val="20"/>
                <w:szCs w:val="20"/>
              </w:rPr>
            </w:pPr>
            <w:r w:rsidRPr="00BC356A">
              <w:rPr>
                <w:b/>
                <w:bCs/>
                <w:sz w:val="20"/>
                <w:szCs w:val="20"/>
              </w:rPr>
              <w:t>Additional hours Year 1</w:t>
            </w:r>
          </w:p>
        </w:tc>
        <w:tc>
          <w:tcPr>
            <w:tcW w:w="1260" w:type="dxa"/>
            <w:vAlign w:val="bottom"/>
          </w:tcPr>
          <w:p w:rsidRPr="00BC356A" w:rsidR="005170B7" w:rsidP="00CD2707" w:rsidRDefault="005170B7" w14:paraId="415CB53A" w14:textId="77777777">
            <w:pPr>
              <w:jc w:val="center"/>
              <w:rPr>
                <w:b/>
                <w:bCs/>
                <w:sz w:val="20"/>
                <w:szCs w:val="20"/>
              </w:rPr>
            </w:pPr>
            <w:r w:rsidRPr="00BC356A">
              <w:rPr>
                <w:b/>
                <w:bCs/>
                <w:sz w:val="20"/>
                <w:szCs w:val="20"/>
              </w:rPr>
              <w:t>Additional hours Year 2</w:t>
            </w:r>
          </w:p>
        </w:tc>
        <w:tc>
          <w:tcPr>
            <w:tcW w:w="1255" w:type="dxa"/>
            <w:vAlign w:val="bottom"/>
          </w:tcPr>
          <w:p w:rsidRPr="00BC356A" w:rsidR="005170B7" w:rsidP="00CD2707" w:rsidRDefault="005170B7" w14:paraId="1CA142D8" w14:textId="77777777">
            <w:pPr>
              <w:jc w:val="center"/>
              <w:rPr>
                <w:b/>
                <w:bCs/>
                <w:sz w:val="20"/>
                <w:szCs w:val="20"/>
              </w:rPr>
            </w:pPr>
            <w:r w:rsidRPr="00BC356A">
              <w:rPr>
                <w:b/>
                <w:bCs/>
                <w:sz w:val="20"/>
                <w:szCs w:val="20"/>
              </w:rPr>
              <w:t>Additional hours Year 3</w:t>
            </w:r>
          </w:p>
        </w:tc>
      </w:tr>
      <w:tr w:rsidR="00EA1A74" w:rsidTr="002010BF" w14:paraId="5B7CA747"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78119EE" w14:textId="6BAD3D67">
            <w:r w:rsidRPr="00EA1A74">
              <w:rPr>
                <w:color w:val="000000"/>
              </w:rPr>
              <w:t>Arizona</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5ECCBFA9" w14:textId="37C2CA0A">
            <w:pPr>
              <w:jc w:val="center"/>
            </w:pPr>
            <w:r w:rsidRPr="00EA1A74">
              <w:rPr>
                <w:color w:val="000000"/>
              </w:rPr>
              <w:t>9</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FE1AE6D" w14:textId="5E951781">
            <w:pPr>
              <w:jc w:val="center"/>
            </w:pPr>
            <w:r w:rsidRPr="00EA1A74">
              <w:rPr>
                <w:color w:val="000000"/>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3FED8B5A" w14:textId="3F065E67">
            <w:pPr>
              <w:jc w:val="right"/>
            </w:pPr>
            <w:r w:rsidRPr="00EA1A74">
              <w:rPr>
                <w:color w:val="000000"/>
              </w:rPr>
              <w:t>2,650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1707CA00" w14:textId="7717D9FA">
            <w:pPr>
              <w:jc w:val="right"/>
            </w:pPr>
            <w:r w:rsidRPr="00EA1A74">
              <w:rPr>
                <w:color w:val="000000"/>
              </w:rPr>
              <w:t>1,325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0DD0E5C" w14:textId="7A6EFCCA">
            <w:pPr>
              <w:jc w:val="right"/>
            </w:pPr>
            <w:r w:rsidRPr="00EA1A74">
              <w:rPr>
                <w:color w:val="000000"/>
              </w:rPr>
              <w:t>1,325</w:t>
            </w:r>
          </w:p>
        </w:tc>
      </w:tr>
      <w:tr w:rsidR="00EA1A74" w:rsidTr="002010BF" w14:paraId="5624EF5B"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582A300C" w14:textId="7019959F">
            <w:r w:rsidRPr="00EA1A74">
              <w:rPr>
                <w:color w:val="000000"/>
              </w:rPr>
              <w:t>California</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58233B8" w14:textId="4A27D36D">
            <w:pPr>
              <w:jc w:val="center"/>
            </w:pPr>
            <w:r w:rsidRPr="00EA1A74">
              <w:rPr>
                <w:color w:val="000000"/>
              </w:rPr>
              <w:t>9</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F07013F" w14:textId="547012DF">
            <w:pPr>
              <w:jc w:val="center"/>
            </w:pPr>
            <w:r w:rsidRPr="00EA1A74">
              <w:rPr>
                <w:color w:val="000000"/>
              </w:rPr>
              <w:t>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AC79AD6" w14:textId="506D9217">
            <w:pPr>
              <w:jc w:val="right"/>
            </w:pPr>
            <w:r w:rsidRPr="00EA1A74">
              <w:rPr>
                <w:color w:val="000000"/>
              </w:rPr>
              <w:t>60,550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368BF27D" w14:textId="56137713">
            <w:pPr>
              <w:jc w:val="right"/>
            </w:pPr>
            <w:r w:rsidRPr="00EA1A74">
              <w:rPr>
                <w:color w:val="000000"/>
              </w:rPr>
              <w:t>30,275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31E26AB8" w14:textId="01E51E45">
            <w:pPr>
              <w:jc w:val="right"/>
            </w:pPr>
            <w:r w:rsidRPr="00EA1A74">
              <w:rPr>
                <w:color w:val="000000"/>
              </w:rPr>
              <w:t>30,275</w:t>
            </w:r>
          </w:p>
        </w:tc>
      </w:tr>
      <w:tr w:rsidR="00EA1A74" w:rsidTr="002010BF" w14:paraId="52ACD738"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1FF6015" w14:textId="208DE2AF">
            <w:r w:rsidRPr="00EA1A74">
              <w:rPr>
                <w:color w:val="000000"/>
              </w:rPr>
              <w:t>Colorado</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1D15E04B" w14:textId="1D1C0846">
            <w:pPr>
              <w:jc w:val="center"/>
            </w:pPr>
            <w:r w:rsidRPr="00EA1A74">
              <w:rPr>
                <w:color w:val="000000"/>
              </w:rPr>
              <w:t>8</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B4A6ED7" w14:textId="6A1EDD02">
            <w:pPr>
              <w:jc w:val="center"/>
            </w:pPr>
            <w:r w:rsidRPr="00EA1A74">
              <w:rPr>
                <w:color w:val="000000"/>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18B26E4" w14:textId="663602B1">
            <w:pPr>
              <w:jc w:val="right"/>
            </w:pPr>
            <w:r w:rsidRPr="00EA1A74">
              <w:rPr>
                <w:color w:val="000000"/>
              </w:rPr>
              <w:t>5,050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725FCB2C" w14:textId="71FFA087">
            <w:pPr>
              <w:jc w:val="right"/>
            </w:pPr>
            <w:r w:rsidRPr="00EA1A74">
              <w:rPr>
                <w:color w:val="000000"/>
              </w:rPr>
              <w:t>2,525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00248B9" w14:textId="7D554D5C">
            <w:pPr>
              <w:jc w:val="right"/>
            </w:pPr>
            <w:r w:rsidRPr="00EA1A74">
              <w:rPr>
                <w:color w:val="000000"/>
              </w:rPr>
              <w:t>2,525</w:t>
            </w:r>
          </w:p>
        </w:tc>
      </w:tr>
      <w:tr w:rsidR="00EA1A74" w:rsidTr="002010BF" w14:paraId="0F209E5F"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BC95C67" w14:textId="34CBE9D4">
            <w:pPr>
              <w:tabs>
                <w:tab w:val="left" w:pos="720"/>
              </w:tabs>
            </w:pPr>
            <w:r w:rsidRPr="00EA1A74">
              <w:rPr>
                <w:color w:val="000000"/>
              </w:rPr>
              <w:t xml:space="preserve">Connecticut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6EACC30" w14:textId="3E1B3B8A">
            <w:pPr>
              <w:jc w:val="center"/>
            </w:pPr>
            <w:r w:rsidRPr="00EA1A74">
              <w:rPr>
                <w:color w:val="000000"/>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8A80F12" w14:textId="5115DA41">
            <w:pPr>
              <w:jc w:val="center"/>
            </w:pPr>
            <w:r w:rsidRPr="00EA1A74">
              <w:rPr>
                <w:color w:val="000000"/>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2572A3C" w14:textId="3D0B4D81">
            <w:pPr>
              <w:jc w:val="right"/>
            </w:pPr>
            <w:r w:rsidRPr="00EA1A74">
              <w:rPr>
                <w:color w:val="000000"/>
              </w:rPr>
              <w:t>7,800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44FC3403" w14:textId="7667AA6C">
            <w:pPr>
              <w:jc w:val="right"/>
            </w:pPr>
            <w:r w:rsidRPr="00EA1A74">
              <w:rPr>
                <w:color w:val="000000"/>
              </w:rPr>
              <w:t>3,900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1A64265E" w14:textId="1BAFD471">
            <w:pPr>
              <w:jc w:val="right"/>
            </w:pPr>
            <w:r w:rsidRPr="00EA1A74">
              <w:rPr>
                <w:color w:val="000000"/>
              </w:rPr>
              <w:t>3,900</w:t>
            </w:r>
          </w:p>
        </w:tc>
      </w:tr>
      <w:tr w:rsidR="00EA1A74" w:rsidTr="002010BF" w14:paraId="008A9FFC"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1685B28" w14:textId="16AFED1F">
            <w:r w:rsidRPr="00EA1A74">
              <w:rPr>
                <w:color w:val="000000"/>
              </w:rPr>
              <w:t>District of Columbia</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B7DF3A8" w14:textId="0AA59A0F">
            <w:pPr>
              <w:jc w:val="center"/>
            </w:pPr>
            <w:r w:rsidRPr="00EA1A74">
              <w:rPr>
                <w:color w:val="000000"/>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39F9640D" w14:textId="2A484088">
            <w:pPr>
              <w:jc w:val="center"/>
            </w:pPr>
            <w:r w:rsidRPr="00EA1A74">
              <w:rPr>
                <w:color w:val="000000"/>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F800F68" w14:textId="2E49B88B">
            <w:pPr>
              <w:jc w:val="right"/>
            </w:pPr>
            <w:r w:rsidRPr="00EA1A74">
              <w:rPr>
                <w:color w:val="000000"/>
              </w:rPr>
              <w:t>2,800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EDBC399" w14:textId="01ACF0E3">
            <w:pPr>
              <w:jc w:val="right"/>
            </w:pPr>
            <w:r w:rsidRPr="00EA1A74">
              <w:rPr>
                <w:color w:val="000000"/>
              </w:rPr>
              <w:t>1,400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FEBB4FA" w14:textId="75F03561">
            <w:pPr>
              <w:jc w:val="right"/>
            </w:pPr>
            <w:r w:rsidRPr="00EA1A74">
              <w:rPr>
                <w:color w:val="000000"/>
              </w:rPr>
              <w:t>1,400</w:t>
            </w:r>
          </w:p>
        </w:tc>
      </w:tr>
      <w:tr w:rsidR="00EA1A74" w:rsidTr="002010BF" w14:paraId="21CE4ED2"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1282CC2" w14:textId="0DD62A62">
            <w:r w:rsidRPr="00EA1A74">
              <w:rPr>
                <w:color w:val="000000"/>
              </w:rPr>
              <w:lastRenderedPageBreak/>
              <w:t>Delaware</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5D4A00BE" w14:textId="5790CACB">
            <w:pPr>
              <w:jc w:val="center"/>
            </w:pPr>
            <w:r w:rsidRPr="00EA1A74">
              <w:rPr>
                <w:color w:val="000000"/>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B0B5E66" w14:textId="4653A457">
            <w:pPr>
              <w:jc w:val="center"/>
            </w:pPr>
            <w:r w:rsidRPr="00EA1A74">
              <w:rPr>
                <w:color w:val="000000"/>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7E31660A" w14:textId="1DA6D138">
            <w:pPr>
              <w:jc w:val="right"/>
            </w:pPr>
            <w:r w:rsidRPr="00EA1A74">
              <w:rPr>
                <w:color w:val="000000"/>
              </w:rPr>
              <w:t>2,800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4824788E" w14:textId="75B9F91A">
            <w:pPr>
              <w:jc w:val="right"/>
            </w:pPr>
            <w:r w:rsidRPr="00EA1A74">
              <w:rPr>
                <w:color w:val="000000"/>
              </w:rPr>
              <w:t>1,400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3A31C138" w14:textId="7185ADA3">
            <w:pPr>
              <w:jc w:val="right"/>
            </w:pPr>
            <w:r w:rsidRPr="00EA1A74">
              <w:rPr>
                <w:color w:val="000000"/>
              </w:rPr>
              <w:t>1,400</w:t>
            </w:r>
          </w:p>
        </w:tc>
      </w:tr>
      <w:tr w:rsidR="00EA1A74" w:rsidTr="002010BF" w14:paraId="6E314D16"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2B2A117" w14:textId="6C24A633">
            <w:r w:rsidRPr="00EA1A74">
              <w:rPr>
                <w:color w:val="000000"/>
              </w:rPr>
              <w:t>Georgia</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19DA97D2" w14:textId="3E8E4C8C">
            <w:pPr>
              <w:jc w:val="center"/>
            </w:pPr>
            <w:r w:rsidRPr="00EA1A74">
              <w:rPr>
                <w:color w:val="000000"/>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1FF0A10" w14:textId="5DC79D4A">
            <w:pPr>
              <w:jc w:val="center"/>
            </w:pPr>
            <w:r w:rsidRPr="00EA1A74">
              <w:rPr>
                <w:color w:val="000000"/>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031F030" w14:textId="2742DBAB">
            <w:pPr>
              <w:jc w:val="right"/>
            </w:pPr>
            <w:r w:rsidRPr="00EA1A74">
              <w:rPr>
                <w:color w:val="000000"/>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76D83C53" w14:textId="41CA5CFD">
            <w:pPr>
              <w:jc w:val="right"/>
            </w:pPr>
            <w:r w:rsidRPr="00EA1A74">
              <w:rPr>
                <w:color w:val="000000"/>
              </w:rPr>
              <w:t>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08F22A7" w14:textId="36F32F14">
            <w:pPr>
              <w:jc w:val="right"/>
            </w:pPr>
            <w:r w:rsidRPr="00EA1A74">
              <w:rPr>
                <w:color w:val="000000"/>
              </w:rPr>
              <w:t>50</w:t>
            </w:r>
          </w:p>
        </w:tc>
      </w:tr>
      <w:tr w:rsidR="00EA1A74" w:rsidTr="002010BF" w14:paraId="5334ADD5"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4673ED3" w14:textId="5508DFFF">
            <w:r w:rsidRPr="00EA1A74">
              <w:rPr>
                <w:color w:val="000000"/>
              </w:rPr>
              <w:t>Illinois</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37E20BFB" w14:textId="14BDC120">
            <w:pPr>
              <w:jc w:val="center"/>
            </w:pPr>
            <w:r w:rsidRPr="00EA1A74">
              <w:rPr>
                <w:color w:val="000000"/>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5F2623D" w14:textId="6B3206EC">
            <w:pPr>
              <w:jc w:val="center"/>
            </w:pPr>
            <w:r w:rsidRPr="00EA1A74">
              <w:rPr>
                <w:color w:val="000000"/>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EAFB7FE" w14:textId="39CCE463">
            <w:pPr>
              <w:jc w:val="right"/>
            </w:pPr>
            <w:r w:rsidRPr="00EA1A74">
              <w:rPr>
                <w:color w:val="000000"/>
              </w:rPr>
              <w:t>7,600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6327299" w14:textId="5147D471">
            <w:pPr>
              <w:jc w:val="right"/>
            </w:pPr>
            <w:r w:rsidRPr="00EA1A74">
              <w:rPr>
                <w:color w:val="000000"/>
              </w:rPr>
              <w:t>3,800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38634401" w14:textId="640D6A58">
            <w:pPr>
              <w:jc w:val="right"/>
            </w:pPr>
            <w:r w:rsidRPr="00EA1A74">
              <w:rPr>
                <w:color w:val="000000"/>
              </w:rPr>
              <w:t>3,800</w:t>
            </w:r>
          </w:p>
        </w:tc>
      </w:tr>
      <w:tr w:rsidR="00EA1A74" w:rsidTr="002010BF" w14:paraId="77B02398"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26FDAB8F" w14:textId="50862203">
            <w:r w:rsidRPr="00EA1A74">
              <w:rPr>
                <w:color w:val="000000"/>
              </w:rPr>
              <w:t>Indiana</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CAB44FE" w14:textId="2F97C2BD">
            <w:pPr>
              <w:jc w:val="center"/>
            </w:pPr>
            <w:r w:rsidRPr="00EA1A74">
              <w:rPr>
                <w:color w:val="000000"/>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182BF62" w14:textId="3791C121">
            <w:pPr>
              <w:jc w:val="center"/>
            </w:pPr>
            <w:r w:rsidRPr="00EA1A74">
              <w:rPr>
                <w:color w:val="000000"/>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0FF4D6DD" w14:textId="4CBF0C36">
            <w:pPr>
              <w:jc w:val="right"/>
            </w:pPr>
            <w:r w:rsidRPr="00EA1A74">
              <w:rPr>
                <w:color w:val="000000"/>
              </w:rPr>
              <w:t>7,600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3EE3A1F8" w14:textId="4E3CE01C">
            <w:pPr>
              <w:jc w:val="right"/>
            </w:pPr>
            <w:r w:rsidRPr="00EA1A74">
              <w:rPr>
                <w:color w:val="000000"/>
              </w:rPr>
              <w:t>3,800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3DC98996" w14:textId="75A5D29B">
            <w:pPr>
              <w:jc w:val="right"/>
            </w:pPr>
            <w:r w:rsidRPr="00EA1A74">
              <w:rPr>
                <w:color w:val="000000"/>
              </w:rPr>
              <w:t>3,800</w:t>
            </w:r>
          </w:p>
        </w:tc>
      </w:tr>
      <w:tr w:rsidR="00EA1A74" w:rsidTr="002010BF" w14:paraId="3E7D49C0"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3B5271D5" w14:textId="44D3A7E7">
            <w:r w:rsidRPr="00EA1A74">
              <w:rPr>
                <w:color w:val="000000"/>
              </w:rPr>
              <w:t>Kentucky</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4E5DCB5" w14:textId="3F1B6074">
            <w:pPr>
              <w:jc w:val="center"/>
            </w:pPr>
            <w:r w:rsidRPr="00EA1A74">
              <w:rPr>
                <w:color w:val="000000"/>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150EDE9" w14:textId="564DE6D6">
            <w:pPr>
              <w:jc w:val="center"/>
            </w:pPr>
            <w:r w:rsidRPr="00EA1A74">
              <w:rPr>
                <w:color w:val="000000"/>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78C3DB88" w14:textId="048AA399">
            <w:pPr>
              <w:jc w:val="right"/>
            </w:pPr>
            <w:r w:rsidRPr="00EA1A74">
              <w:rPr>
                <w:color w:val="000000"/>
              </w:rPr>
              <w:t>5,100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0CC9F316" w14:textId="4AC6B5B9">
            <w:pPr>
              <w:jc w:val="right"/>
            </w:pPr>
            <w:r w:rsidRPr="00EA1A74">
              <w:rPr>
                <w:color w:val="000000"/>
              </w:rPr>
              <w:t>2,550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3A7F3E14" w14:textId="728B2A4E">
            <w:pPr>
              <w:jc w:val="right"/>
            </w:pPr>
            <w:r w:rsidRPr="00EA1A74">
              <w:rPr>
                <w:color w:val="000000"/>
              </w:rPr>
              <w:t>2,550</w:t>
            </w:r>
          </w:p>
        </w:tc>
      </w:tr>
      <w:tr w:rsidR="00EA1A74" w:rsidTr="002010BF" w14:paraId="572BA051"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7832556" w14:textId="06DD2875">
            <w:r w:rsidRPr="00EA1A74">
              <w:rPr>
                <w:color w:val="000000"/>
              </w:rPr>
              <w:t>Massachusetts</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2D3C453C" w14:textId="6A3E43FD">
            <w:pPr>
              <w:jc w:val="center"/>
            </w:pPr>
            <w:r w:rsidRPr="00EA1A74">
              <w:rPr>
                <w:color w:val="000000"/>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C38E556" w14:textId="6B0A62AE">
            <w:pPr>
              <w:jc w:val="center"/>
            </w:pPr>
            <w:r w:rsidRPr="00EA1A74">
              <w:rPr>
                <w:color w:val="000000"/>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DC30C94" w14:textId="14350036">
            <w:pPr>
              <w:jc w:val="right"/>
            </w:pPr>
            <w:r w:rsidRPr="00EA1A74">
              <w:rPr>
                <w:color w:val="000000"/>
              </w:rPr>
              <w:t>250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EC658D1" w14:textId="093468AD">
            <w:pPr>
              <w:jc w:val="right"/>
            </w:pPr>
            <w:r w:rsidRPr="00EA1A74">
              <w:rPr>
                <w:color w:val="000000"/>
              </w:rPr>
              <w:t>125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0A4A159B" w14:textId="35B8365F">
            <w:pPr>
              <w:jc w:val="right"/>
            </w:pPr>
            <w:r w:rsidRPr="00EA1A74">
              <w:rPr>
                <w:color w:val="000000"/>
              </w:rPr>
              <w:t>125</w:t>
            </w:r>
          </w:p>
        </w:tc>
      </w:tr>
      <w:tr w:rsidR="00EA1A74" w:rsidTr="002010BF" w14:paraId="2366FAE7"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3FB2286E" w14:textId="6D65B451">
            <w:r w:rsidRPr="00EA1A74">
              <w:rPr>
                <w:color w:val="000000"/>
              </w:rPr>
              <w:t>Maryland</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30C5D81B" w14:textId="7D2703DD">
            <w:pPr>
              <w:jc w:val="center"/>
            </w:pPr>
            <w:r w:rsidRPr="00EA1A74">
              <w:rPr>
                <w:color w:val="000000"/>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31005CF9" w14:textId="1E6C9C28">
            <w:pPr>
              <w:jc w:val="center"/>
            </w:pPr>
            <w:r w:rsidRPr="00EA1A74">
              <w:rPr>
                <w:color w:val="000000"/>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75FB9C23" w14:textId="2EC1985F">
            <w:pPr>
              <w:jc w:val="right"/>
            </w:pPr>
            <w:r w:rsidRPr="00EA1A74">
              <w:rPr>
                <w:color w:val="000000"/>
              </w:rPr>
              <w:t>7,900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0A1E931" w14:textId="046AC480">
            <w:pPr>
              <w:jc w:val="right"/>
            </w:pPr>
            <w:r w:rsidRPr="00EA1A74">
              <w:rPr>
                <w:color w:val="000000"/>
              </w:rPr>
              <w:t>3,950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E7BEE04" w14:textId="3841C328">
            <w:pPr>
              <w:jc w:val="right"/>
            </w:pPr>
            <w:r w:rsidRPr="00EA1A74">
              <w:rPr>
                <w:color w:val="000000"/>
              </w:rPr>
              <w:t>3,950</w:t>
            </w:r>
          </w:p>
        </w:tc>
      </w:tr>
      <w:tr w:rsidR="00EA1A74" w:rsidTr="002010BF" w14:paraId="096CB2CD"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0B435AD" w14:textId="7107536A">
            <w:r w:rsidRPr="00EA1A74">
              <w:rPr>
                <w:color w:val="000000"/>
              </w:rPr>
              <w:t>Maine</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5C7C0BCE" w14:textId="52FFB3DD">
            <w:pPr>
              <w:jc w:val="center"/>
            </w:pPr>
            <w:r w:rsidRPr="00EA1A74">
              <w:rPr>
                <w:color w:val="000000"/>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1DDDD580" w14:textId="4FCF3A25">
            <w:pPr>
              <w:jc w:val="center"/>
            </w:pPr>
            <w:r w:rsidRPr="00EA1A74">
              <w:rPr>
                <w:color w:val="000000"/>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254460C" w14:textId="1B02A30B">
            <w:pPr>
              <w:jc w:val="right"/>
            </w:pPr>
            <w:r w:rsidRPr="00EA1A74">
              <w:rPr>
                <w:color w:val="000000"/>
              </w:rPr>
              <w:t>250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6101D30" w14:textId="5821BF07">
            <w:pPr>
              <w:jc w:val="right"/>
            </w:pPr>
            <w:r w:rsidRPr="00EA1A74">
              <w:rPr>
                <w:color w:val="000000"/>
              </w:rPr>
              <w:t>125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433CAAAE" w14:textId="202F3F59">
            <w:pPr>
              <w:jc w:val="right"/>
            </w:pPr>
            <w:r w:rsidRPr="00EA1A74">
              <w:rPr>
                <w:color w:val="000000"/>
              </w:rPr>
              <w:t>125</w:t>
            </w:r>
          </w:p>
        </w:tc>
      </w:tr>
      <w:tr w:rsidR="00EA1A74" w:rsidTr="002010BF" w14:paraId="5CB89C63"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2A1410EE" w14:textId="7C55878B">
            <w:r w:rsidRPr="00EA1A74">
              <w:rPr>
                <w:color w:val="000000"/>
              </w:rPr>
              <w:t>Michigan</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5EDA459D" w14:textId="78BE8791">
            <w:pPr>
              <w:jc w:val="center"/>
            </w:pPr>
            <w:r w:rsidRPr="00EA1A74">
              <w:rPr>
                <w:color w:val="000000"/>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6AD78FD" w14:textId="4DFEA23E">
            <w:pPr>
              <w:jc w:val="center"/>
            </w:pPr>
            <w:r w:rsidRPr="00EA1A74">
              <w:rPr>
                <w:color w:val="000000"/>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780783C2" w14:textId="578E7EB8">
            <w:pPr>
              <w:jc w:val="right"/>
            </w:pPr>
            <w:r w:rsidRPr="00EA1A74">
              <w:rPr>
                <w:color w:val="000000"/>
              </w:rPr>
              <w:t>10,200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356A170" w14:textId="6DA28B49">
            <w:pPr>
              <w:jc w:val="right"/>
            </w:pPr>
            <w:r w:rsidRPr="00EA1A74">
              <w:rPr>
                <w:color w:val="000000"/>
              </w:rPr>
              <w:t>5,100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3D7C182F" w14:textId="491810C8">
            <w:pPr>
              <w:jc w:val="right"/>
            </w:pPr>
            <w:r w:rsidRPr="00EA1A74">
              <w:rPr>
                <w:color w:val="000000"/>
              </w:rPr>
              <w:t>5,100</w:t>
            </w:r>
          </w:p>
        </w:tc>
      </w:tr>
      <w:tr w:rsidR="00EA1A74" w:rsidTr="002010BF" w14:paraId="4F166802"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31546F96" w14:textId="71C380E2">
            <w:r w:rsidRPr="00EA1A74">
              <w:rPr>
                <w:color w:val="000000"/>
              </w:rPr>
              <w:t>Missouri</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F499D5E" w14:textId="26310895">
            <w:pPr>
              <w:jc w:val="center"/>
            </w:pPr>
            <w:r w:rsidRPr="00EA1A74">
              <w:rPr>
                <w:color w:val="000000"/>
              </w:rPr>
              <w:t>7</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1626EAC1" w14:textId="5179FD0A">
            <w:pPr>
              <w:jc w:val="center"/>
            </w:pPr>
            <w:r w:rsidRPr="00EA1A74">
              <w:rPr>
                <w:color w:val="000000"/>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E08AC27" w14:textId="5E46B4AB">
            <w:pPr>
              <w:jc w:val="right"/>
            </w:pPr>
            <w:r w:rsidRPr="00EA1A74">
              <w:rPr>
                <w:color w:val="000000"/>
              </w:rPr>
              <w:t>2,600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DC13D4A" w14:textId="34018719">
            <w:pPr>
              <w:jc w:val="right"/>
            </w:pPr>
            <w:r w:rsidRPr="00EA1A74">
              <w:rPr>
                <w:color w:val="000000"/>
              </w:rPr>
              <w:t>1,300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9593A17" w14:textId="1529CBF8">
            <w:pPr>
              <w:jc w:val="right"/>
            </w:pPr>
            <w:r w:rsidRPr="00EA1A74">
              <w:rPr>
                <w:color w:val="000000"/>
              </w:rPr>
              <w:t>1,300</w:t>
            </w:r>
          </w:p>
        </w:tc>
      </w:tr>
      <w:tr w:rsidR="00EA1A74" w:rsidTr="002010BF" w14:paraId="41DCD26F"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29A104E5" w14:textId="543B567D">
            <w:r w:rsidRPr="00EA1A74">
              <w:rPr>
                <w:color w:val="000000"/>
              </w:rPr>
              <w:t>New Hampshire</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21459BD0" w14:textId="441AA962">
            <w:pPr>
              <w:jc w:val="center"/>
            </w:pPr>
            <w:r w:rsidRPr="00EA1A74">
              <w:rPr>
                <w:color w:val="000000"/>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6772D25" w14:textId="4905B846">
            <w:pPr>
              <w:jc w:val="center"/>
            </w:pPr>
            <w:r w:rsidRPr="00EA1A74">
              <w:rPr>
                <w:color w:val="000000"/>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50B88DC" w14:textId="41696960">
            <w:pPr>
              <w:jc w:val="right"/>
            </w:pPr>
            <w:r w:rsidRPr="00EA1A74">
              <w:rPr>
                <w:color w:val="000000"/>
              </w:rPr>
              <w:t>300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468E1E0A" w14:textId="02B68CBF">
            <w:pPr>
              <w:jc w:val="right"/>
            </w:pPr>
            <w:r w:rsidRPr="00EA1A74">
              <w:rPr>
                <w:color w:val="000000"/>
              </w:rPr>
              <w:t>150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5232F5C" w14:textId="73BC8099">
            <w:pPr>
              <w:jc w:val="right"/>
            </w:pPr>
            <w:r w:rsidRPr="00EA1A74">
              <w:rPr>
                <w:color w:val="000000"/>
              </w:rPr>
              <w:t>150</w:t>
            </w:r>
          </w:p>
        </w:tc>
      </w:tr>
      <w:tr w:rsidR="00EA1A74" w:rsidTr="002010BF" w14:paraId="7AEA5A6B"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9C5A8F2" w14:textId="743448DF">
            <w:pPr>
              <w:rPr>
                <w:color w:val="000000"/>
              </w:rPr>
            </w:pPr>
            <w:r w:rsidRPr="00EA1A74">
              <w:rPr>
                <w:color w:val="000000"/>
              </w:rPr>
              <w:t>New Jersey</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EEEF3B3" w14:textId="2B08CEE8">
            <w:pPr>
              <w:jc w:val="center"/>
              <w:rPr>
                <w:color w:val="000000"/>
              </w:rPr>
            </w:pPr>
            <w:r w:rsidRPr="00EA1A74">
              <w:rPr>
                <w:color w:val="000000"/>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300810AD" w14:textId="089AFD65">
            <w:pPr>
              <w:jc w:val="center"/>
              <w:rPr>
                <w:color w:val="000000"/>
              </w:rPr>
            </w:pPr>
            <w:r w:rsidRPr="00EA1A74">
              <w:rPr>
                <w:color w:val="000000"/>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40749BA2" w14:textId="0798C45B">
            <w:pPr>
              <w:jc w:val="right"/>
              <w:rPr>
                <w:color w:val="000000"/>
              </w:rPr>
            </w:pPr>
            <w:r w:rsidRPr="00EA1A74">
              <w:rPr>
                <w:color w:val="000000"/>
              </w:rPr>
              <w:t>7,800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4836713" w14:textId="5A47427B">
            <w:pPr>
              <w:jc w:val="right"/>
              <w:rPr>
                <w:color w:val="000000"/>
              </w:rPr>
            </w:pPr>
            <w:r w:rsidRPr="00EA1A74">
              <w:rPr>
                <w:color w:val="000000"/>
              </w:rPr>
              <w:t>3,900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01619D8" w14:textId="57536F69">
            <w:pPr>
              <w:jc w:val="right"/>
              <w:rPr>
                <w:color w:val="000000"/>
              </w:rPr>
            </w:pPr>
            <w:r w:rsidRPr="00EA1A74">
              <w:rPr>
                <w:color w:val="000000"/>
              </w:rPr>
              <w:t>3,900</w:t>
            </w:r>
          </w:p>
        </w:tc>
      </w:tr>
      <w:tr w:rsidR="00EA1A74" w:rsidTr="002010BF" w14:paraId="11EAA81A"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B9BAABE" w14:textId="2CAF22A7">
            <w:pPr>
              <w:rPr>
                <w:color w:val="000000"/>
              </w:rPr>
            </w:pPr>
            <w:r w:rsidRPr="00EA1A74">
              <w:rPr>
                <w:color w:val="000000"/>
              </w:rPr>
              <w:t>New Mexico</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DF1F5D7" w14:textId="53DE8001">
            <w:pPr>
              <w:jc w:val="center"/>
              <w:rPr>
                <w:color w:val="000000"/>
              </w:rPr>
            </w:pPr>
            <w:r w:rsidRPr="00EA1A74">
              <w:rPr>
                <w:color w:val="000000"/>
              </w:rPr>
              <w:t>6</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671297F" w14:textId="7DCEBC3A">
            <w:pPr>
              <w:jc w:val="center"/>
              <w:rPr>
                <w:color w:val="000000"/>
              </w:rPr>
            </w:pPr>
            <w:r w:rsidRPr="00EA1A74">
              <w:rPr>
                <w:color w:val="000000"/>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E51D8A8" w14:textId="571FAF62">
            <w:pPr>
              <w:jc w:val="right"/>
              <w:rPr>
                <w:color w:val="000000"/>
              </w:rPr>
            </w:pPr>
            <w:r w:rsidRPr="00EA1A74">
              <w:rPr>
                <w:color w:val="000000"/>
              </w:rPr>
              <w:t>2,550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4F1980C" w14:textId="66C47584">
            <w:pPr>
              <w:jc w:val="right"/>
              <w:rPr>
                <w:color w:val="000000"/>
              </w:rPr>
            </w:pPr>
            <w:r w:rsidRPr="00EA1A74">
              <w:rPr>
                <w:color w:val="000000"/>
              </w:rPr>
              <w:t>1,275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362D74E" w14:textId="554183C2">
            <w:pPr>
              <w:jc w:val="right"/>
              <w:rPr>
                <w:color w:val="000000"/>
              </w:rPr>
            </w:pPr>
            <w:r w:rsidRPr="00EA1A74">
              <w:rPr>
                <w:color w:val="000000"/>
              </w:rPr>
              <w:t>1,275</w:t>
            </w:r>
          </w:p>
        </w:tc>
      </w:tr>
      <w:tr w:rsidR="00EA1A74" w:rsidTr="002010BF" w14:paraId="760BF518"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23F9BF9" w14:textId="414E2063">
            <w:pPr>
              <w:rPr>
                <w:color w:val="000000"/>
              </w:rPr>
            </w:pPr>
            <w:r w:rsidRPr="00EA1A74">
              <w:rPr>
                <w:color w:val="000000"/>
              </w:rPr>
              <w:t>Nevada</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D4F97F2" w14:textId="6253F8B7">
            <w:pPr>
              <w:jc w:val="center"/>
              <w:rPr>
                <w:color w:val="000000"/>
              </w:rPr>
            </w:pPr>
            <w:r w:rsidRPr="00EA1A74">
              <w:rPr>
                <w:color w:val="000000"/>
              </w:rPr>
              <w:t>9</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184D563" w14:textId="30A5191D">
            <w:pPr>
              <w:jc w:val="center"/>
              <w:rPr>
                <w:color w:val="000000"/>
              </w:rPr>
            </w:pPr>
            <w:r w:rsidRPr="00EA1A74">
              <w:rPr>
                <w:color w:val="000000"/>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1FFB12D4" w14:textId="36D3E277">
            <w:pPr>
              <w:jc w:val="right"/>
              <w:rPr>
                <w:color w:val="000000"/>
              </w:rPr>
            </w:pPr>
            <w:r w:rsidRPr="00EA1A74">
              <w:rPr>
                <w:color w:val="000000"/>
              </w:rPr>
              <w:t>2,600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7E0E1D03" w14:textId="1B5A09BB">
            <w:pPr>
              <w:jc w:val="right"/>
              <w:rPr>
                <w:color w:val="000000"/>
              </w:rPr>
            </w:pPr>
            <w:r w:rsidRPr="00EA1A74">
              <w:rPr>
                <w:color w:val="000000"/>
              </w:rPr>
              <w:t>1,300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7E7BFFA9" w14:textId="3020B7E2">
            <w:pPr>
              <w:jc w:val="right"/>
              <w:rPr>
                <w:color w:val="000000"/>
              </w:rPr>
            </w:pPr>
            <w:r w:rsidRPr="00EA1A74">
              <w:rPr>
                <w:color w:val="000000"/>
              </w:rPr>
              <w:t>1,300</w:t>
            </w:r>
          </w:p>
        </w:tc>
      </w:tr>
      <w:tr w:rsidR="00EA1A74" w:rsidTr="002010BF" w14:paraId="6DC61F8E"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3C69FEA" w14:textId="14DC8D13">
            <w:pPr>
              <w:rPr>
                <w:color w:val="000000"/>
              </w:rPr>
            </w:pPr>
            <w:r w:rsidRPr="00EA1A74">
              <w:rPr>
                <w:color w:val="000000"/>
              </w:rPr>
              <w:t>New York</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35F1BA23" w14:textId="2EFA0C01">
            <w:pPr>
              <w:jc w:val="center"/>
              <w:rPr>
                <w:color w:val="000000"/>
              </w:rPr>
            </w:pPr>
            <w:r w:rsidRPr="00EA1A74">
              <w:rPr>
                <w:color w:val="000000"/>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157E9A4C" w14:textId="4C705A69">
            <w:pPr>
              <w:jc w:val="center"/>
              <w:rPr>
                <w:color w:val="000000"/>
              </w:rPr>
            </w:pPr>
            <w:r w:rsidRPr="00EA1A74">
              <w:rPr>
                <w:color w:val="000000"/>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34F21753" w14:textId="4E476CA2">
            <w:pPr>
              <w:jc w:val="right"/>
              <w:rPr>
                <w:color w:val="000000"/>
              </w:rPr>
            </w:pPr>
            <w:r w:rsidRPr="00EA1A74">
              <w:rPr>
                <w:color w:val="000000"/>
              </w:rPr>
              <w:t>5,250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46758A18" w14:textId="40EE700F">
            <w:pPr>
              <w:jc w:val="right"/>
              <w:rPr>
                <w:color w:val="000000"/>
              </w:rPr>
            </w:pPr>
            <w:r w:rsidRPr="00EA1A74">
              <w:rPr>
                <w:color w:val="000000"/>
              </w:rPr>
              <w:t>2,625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63F8460" w14:textId="3DFF9249">
            <w:pPr>
              <w:jc w:val="right"/>
              <w:rPr>
                <w:color w:val="000000"/>
              </w:rPr>
            </w:pPr>
            <w:r w:rsidRPr="00EA1A74">
              <w:rPr>
                <w:color w:val="000000"/>
              </w:rPr>
              <w:t>2,625</w:t>
            </w:r>
          </w:p>
        </w:tc>
      </w:tr>
      <w:tr w:rsidR="00EA1A74" w:rsidTr="002010BF" w14:paraId="5EF85B4E"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RDefault="00370014" w14:paraId="61BF02AE" w14:textId="77777777">
            <w:pPr>
              <w:rPr>
                <w:color w:val="000000"/>
              </w:rPr>
            </w:pPr>
            <w:r w:rsidRPr="00EA1A74">
              <w:rPr>
                <w:color w:val="000000"/>
              </w:rPr>
              <w:t>North Carolina</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7D6C611" w14:textId="77777777">
            <w:pPr>
              <w:jc w:val="center"/>
              <w:rPr>
                <w:color w:val="000000"/>
              </w:rPr>
            </w:pPr>
            <w:r w:rsidRPr="00EA1A74">
              <w:rPr>
                <w:color w:val="000000"/>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57979DC" w14:textId="77777777">
            <w:pPr>
              <w:jc w:val="center"/>
              <w:rPr>
                <w:color w:val="000000"/>
              </w:rPr>
            </w:pPr>
            <w:r w:rsidRPr="00EA1A74">
              <w:rPr>
                <w:color w:val="000000"/>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0448DD1" w14:textId="77777777">
            <w:pPr>
              <w:jc w:val="right"/>
              <w:rPr>
                <w:color w:val="000000"/>
              </w:rPr>
            </w:pPr>
            <w:r w:rsidRPr="00EA1A74">
              <w:rPr>
                <w:color w:val="000000"/>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01015ACE" w14:textId="77777777">
            <w:pPr>
              <w:jc w:val="right"/>
              <w:rPr>
                <w:color w:val="000000"/>
              </w:rPr>
            </w:pPr>
            <w:r w:rsidRPr="00EA1A74">
              <w:rPr>
                <w:color w:val="000000"/>
              </w:rPr>
              <w:t>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C053614" w14:textId="77777777">
            <w:pPr>
              <w:jc w:val="right"/>
              <w:rPr>
                <w:color w:val="000000"/>
              </w:rPr>
            </w:pPr>
            <w:r w:rsidRPr="00EA1A74">
              <w:rPr>
                <w:color w:val="000000"/>
              </w:rPr>
              <w:t>50</w:t>
            </w:r>
          </w:p>
        </w:tc>
      </w:tr>
      <w:tr w:rsidR="00EA1A74" w:rsidTr="002010BF" w14:paraId="521B38EF"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4B56BC4" w14:textId="6C1CC154">
            <w:pPr>
              <w:rPr>
                <w:color w:val="000000"/>
              </w:rPr>
            </w:pPr>
            <w:r w:rsidRPr="00EA1A74">
              <w:rPr>
                <w:color w:val="000000"/>
              </w:rPr>
              <w:t>Ohio</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1EF42EAC" w14:textId="6C0B6D15">
            <w:pPr>
              <w:jc w:val="center"/>
              <w:rPr>
                <w:color w:val="000000"/>
              </w:rPr>
            </w:pPr>
            <w:r w:rsidRPr="00EA1A74">
              <w:rPr>
                <w:color w:val="000000"/>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18AF489D" w14:textId="690BB063">
            <w:pPr>
              <w:jc w:val="center"/>
              <w:rPr>
                <w:color w:val="000000"/>
              </w:rPr>
            </w:pPr>
            <w:r w:rsidRPr="00EA1A74">
              <w:rPr>
                <w:color w:val="000000"/>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1781777E" w14:textId="7FBB20AE">
            <w:pPr>
              <w:jc w:val="right"/>
              <w:rPr>
                <w:color w:val="000000"/>
              </w:rPr>
            </w:pPr>
            <w:r w:rsidRPr="00EA1A74">
              <w:rPr>
                <w:color w:val="000000"/>
              </w:rPr>
              <w:t>5,150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CD1E90D" w14:textId="145C75DA">
            <w:pPr>
              <w:jc w:val="right"/>
              <w:rPr>
                <w:color w:val="000000"/>
              </w:rPr>
            </w:pPr>
            <w:r w:rsidRPr="00EA1A74">
              <w:rPr>
                <w:color w:val="000000"/>
              </w:rPr>
              <w:t>2,575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7BE66E1D" w14:textId="4399981C">
            <w:pPr>
              <w:jc w:val="right"/>
              <w:rPr>
                <w:color w:val="000000"/>
              </w:rPr>
            </w:pPr>
            <w:r w:rsidRPr="00EA1A74">
              <w:rPr>
                <w:color w:val="000000"/>
              </w:rPr>
              <w:t>2,575</w:t>
            </w:r>
          </w:p>
        </w:tc>
      </w:tr>
      <w:tr w:rsidR="00EA1A74" w:rsidTr="002010BF" w14:paraId="616A1406"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963FFF6" w14:textId="2631B2E5">
            <w:pPr>
              <w:rPr>
                <w:color w:val="000000"/>
              </w:rPr>
            </w:pPr>
            <w:r w:rsidRPr="00EA1A74">
              <w:rPr>
                <w:color w:val="000000"/>
              </w:rPr>
              <w:t>Pennsylvania</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C5F8A17" w14:textId="66260AC1">
            <w:pPr>
              <w:jc w:val="center"/>
              <w:rPr>
                <w:color w:val="000000"/>
              </w:rPr>
            </w:pPr>
            <w:r w:rsidRPr="00EA1A74">
              <w:rPr>
                <w:color w:val="000000"/>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8414270" w14:textId="6DA1F8E0">
            <w:pPr>
              <w:jc w:val="center"/>
              <w:rPr>
                <w:color w:val="000000"/>
              </w:rPr>
            </w:pPr>
            <w:r w:rsidRPr="00EA1A74">
              <w:rPr>
                <w:color w:val="000000"/>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0A9E915E" w14:textId="14EE637B">
            <w:pPr>
              <w:jc w:val="right"/>
              <w:rPr>
                <w:color w:val="000000"/>
              </w:rPr>
            </w:pPr>
            <w:r w:rsidRPr="00EA1A74">
              <w:rPr>
                <w:color w:val="000000"/>
              </w:rPr>
              <w:t>2,800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003B6BFD" w14:textId="617CF6DF">
            <w:pPr>
              <w:jc w:val="right"/>
              <w:rPr>
                <w:color w:val="000000"/>
              </w:rPr>
            </w:pPr>
            <w:r w:rsidRPr="00EA1A74">
              <w:rPr>
                <w:color w:val="000000"/>
              </w:rPr>
              <w:t>1,400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02AA7C2A" w14:textId="3469E1D8">
            <w:pPr>
              <w:jc w:val="right"/>
              <w:rPr>
                <w:color w:val="000000"/>
              </w:rPr>
            </w:pPr>
            <w:r w:rsidRPr="00EA1A74">
              <w:rPr>
                <w:color w:val="000000"/>
              </w:rPr>
              <w:t>1,400</w:t>
            </w:r>
          </w:p>
        </w:tc>
      </w:tr>
      <w:tr w:rsidR="00EA1A74" w:rsidTr="002010BF" w14:paraId="78CFC8FC"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F81C962" w14:textId="5BA8CCF0">
            <w:r w:rsidRPr="00EA1A74">
              <w:rPr>
                <w:color w:val="000000"/>
              </w:rPr>
              <w:t>Rhode Island</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117A55E" w14:textId="76C8F876">
            <w:pPr>
              <w:jc w:val="center"/>
            </w:pPr>
            <w:r w:rsidRPr="00EA1A74">
              <w:rPr>
                <w:color w:val="000000"/>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32FEF26" w14:textId="2F3CC1D6">
            <w:pPr>
              <w:jc w:val="center"/>
            </w:pPr>
            <w:r w:rsidRPr="00EA1A74">
              <w:rPr>
                <w:color w:val="000000"/>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0F66324" w14:textId="15842DEF">
            <w:pPr>
              <w:jc w:val="right"/>
            </w:pPr>
            <w:r w:rsidRPr="00EA1A74">
              <w:rPr>
                <w:color w:val="000000"/>
              </w:rPr>
              <w:t>250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74629DB" w14:textId="3CDD7E4F">
            <w:pPr>
              <w:jc w:val="right"/>
            </w:pPr>
            <w:r w:rsidRPr="00EA1A74">
              <w:rPr>
                <w:color w:val="000000"/>
              </w:rPr>
              <w:t>125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49C07EDD" w14:textId="6D92100A">
            <w:pPr>
              <w:jc w:val="right"/>
            </w:pPr>
            <w:r w:rsidRPr="00EA1A74">
              <w:rPr>
                <w:color w:val="000000"/>
              </w:rPr>
              <w:t>125</w:t>
            </w:r>
          </w:p>
        </w:tc>
      </w:tr>
      <w:tr w:rsidR="00EA1A74" w:rsidTr="002010BF" w14:paraId="2C8E1E5A"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RDefault="00370014" w14:paraId="3FECF027" w14:textId="77777777">
            <w:pPr>
              <w:rPr>
                <w:color w:val="000000"/>
              </w:rPr>
            </w:pPr>
            <w:r w:rsidRPr="00EA1A74">
              <w:rPr>
                <w:color w:val="000000"/>
              </w:rPr>
              <w:t>South Carolina</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FC5E992" w14:textId="77777777">
            <w:pPr>
              <w:jc w:val="center"/>
              <w:rPr>
                <w:color w:val="000000"/>
              </w:rPr>
            </w:pPr>
            <w:r w:rsidRPr="00EA1A74">
              <w:rPr>
                <w:color w:val="000000"/>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69E8B56" w14:textId="77777777">
            <w:pPr>
              <w:jc w:val="center"/>
              <w:rPr>
                <w:color w:val="000000"/>
              </w:rPr>
            </w:pPr>
            <w:r w:rsidRPr="00EA1A74">
              <w:rPr>
                <w:color w:val="000000"/>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B544179" w14:textId="77777777">
            <w:pPr>
              <w:jc w:val="right"/>
              <w:rPr>
                <w:color w:val="000000"/>
              </w:rPr>
            </w:pPr>
            <w:r w:rsidRPr="00EA1A74">
              <w:rPr>
                <w:color w:val="000000"/>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1A60B9FE" w14:textId="77777777">
            <w:pPr>
              <w:jc w:val="right"/>
              <w:rPr>
                <w:color w:val="000000"/>
              </w:rPr>
            </w:pPr>
            <w:r w:rsidRPr="00EA1A74">
              <w:rPr>
                <w:color w:val="000000"/>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0BCC02A5" w14:textId="77777777">
            <w:pPr>
              <w:jc w:val="right"/>
              <w:rPr>
                <w:color w:val="000000"/>
              </w:rPr>
            </w:pPr>
            <w:r w:rsidRPr="00EA1A74">
              <w:rPr>
                <w:color w:val="000000"/>
              </w:rPr>
              <w:t>25</w:t>
            </w:r>
          </w:p>
        </w:tc>
      </w:tr>
      <w:tr w:rsidR="00EA1A74" w:rsidTr="002010BF" w14:paraId="51F12E7A"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RDefault="00370014" w14:paraId="44A6B716" w14:textId="77777777">
            <w:pPr>
              <w:rPr>
                <w:color w:val="000000"/>
              </w:rPr>
            </w:pPr>
            <w:r w:rsidRPr="00EA1A74">
              <w:rPr>
                <w:color w:val="000000"/>
              </w:rPr>
              <w:t>Tennessee</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ACAAD6B" w14:textId="77777777">
            <w:pPr>
              <w:jc w:val="center"/>
              <w:rPr>
                <w:color w:val="000000"/>
              </w:rPr>
            </w:pPr>
            <w:r w:rsidRPr="00EA1A74">
              <w:rPr>
                <w:color w:val="000000"/>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5C6BC753" w14:textId="77777777">
            <w:pPr>
              <w:jc w:val="center"/>
              <w:rPr>
                <w:color w:val="000000"/>
              </w:rPr>
            </w:pPr>
            <w:r w:rsidRPr="00EA1A74">
              <w:rPr>
                <w:color w:val="000000"/>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DCA92BF" w14:textId="77777777">
            <w:pPr>
              <w:jc w:val="right"/>
              <w:rPr>
                <w:color w:val="000000"/>
              </w:rPr>
            </w:pPr>
            <w:r w:rsidRPr="00EA1A74">
              <w:rPr>
                <w:color w:val="000000"/>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4F6C69D3" w14:textId="77777777">
            <w:pPr>
              <w:jc w:val="right"/>
              <w:rPr>
                <w:color w:val="000000"/>
              </w:rPr>
            </w:pPr>
            <w:r w:rsidRPr="00EA1A74">
              <w:rPr>
                <w:color w:val="000000"/>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0D24A596" w14:textId="77777777">
            <w:pPr>
              <w:jc w:val="right"/>
              <w:rPr>
                <w:color w:val="000000"/>
              </w:rPr>
            </w:pPr>
            <w:r w:rsidRPr="00EA1A74">
              <w:rPr>
                <w:color w:val="000000"/>
              </w:rPr>
              <w:t>25</w:t>
            </w:r>
          </w:p>
        </w:tc>
      </w:tr>
      <w:tr w:rsidR="00EA1A74" w:rsidTr="002010BF" w14:paraId="5C8E0564"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565E708B" w14:textId="099E5E2B">
            <w:r w:rsidRPr="00EA1A74">
              <w:rPr>
                <w:color w:val="000000"/>
              </w:rPr>
              <w:t>Texas</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0106E39" w14:textId="1A5730F5">
            <w:pPr>
              <w:jc w:val="center"/>
            </w:pPr>
            <w:r w:rsidRPr="00EA1A74">
              <w:rPr>
                <w:color w:val="000000"/>
              </w:rPr>
              <w:t>6</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11613F80" w14:textId="306E1E71">
            <w:pPr>
              <w:jc w:val="center"/>
            </w:pPr>
            <w:r w:rsidRPr="00EA1A74">
              <w:rPr>
                <w:color w:val="000000"/>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5ACDCD38" w14:textId="121BD73B">
            <w:pPr>
              <w:jc w:val="right"/>
            </w:pPr>
            <w:r w:rsidRPr="00EA1A74">
              <w:rPr>
                <w:color w:val="000000"/>
              </w:rPr>
              <w:t>10,150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446BBED" w14:textId="55EFCC77">
            <w:pPr>
              <w:jc w:val="right"/>
            </w:pPr>
            <w:r w:rsidRPr="00EA1A74">
              <w:rPr>
                <w:color w:val="000000"/>
              </w:rPr>
              <w:t>5,075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48A4278C" w14:textId="3E1D14A7">
            <w:pPr>
              <w:jc w:val="right"/>
            </w:pPr>
            <w:r w:rsidRPr="00EA1A74">
              <w:rPr>
                <w:color w:val="000000"/>
              </w:rPr>
              <w:t>5,075</w:t>
            </w:r>
          </w:p>
        </w:tc>
      </w:tr>
      <w:tr w:rsidR="00EA1A74" w:rsidTr="002010BF" w14:paraId="10A5BA40"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F71BDDF" w14:textId="4192CBB0">
            <w:r w:rsidRPr="00EA1A74">
              <w:rPr>
                <w:color w:val="000000"/>
              </w:rPr>
              <w:t>Utah</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598DE71B" w14:textId="1E28A323">
            <w:pPr>
              <w:jc w:val="center"/>
            </w:pPr>
            <w:r w:rsidRPr="00EA1A74">
              <w:rPr>
                <w:color w:val="000000"/>
              </w:rPr>
              <w:t>8</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33E7E182" w14:textId="67DAB66A">
            <w:pPr>
              <w:jc w:val="center"/>
            </w:pPr>
            <w:r w:rsidRPr="00EA1A74">
              <w:rPr>
                <w:color w:val="000000"/>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1C304E0" w14:textId="0B549746">
            <w:pPr>
              <w:jc w:val="right"/>
            </w:pPr>
            <w:r w:rsidRPr="00EA1A74">
              <w:rPr>
                <w:color w:val="000000"/>
              </w:rPr>
              <w:t>5,150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119EFE9D" w14:textId="68D7AFF7">
            <w:pPr>
              <w:jc w:val="right"/>
            </w:pPr>
            <w:r w:rsidRPr="00EA1A74">
              <w:rPr>
                <w:color w:val="000000"/>
              </w:rPr>
              <w:t>2,575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1B9A7C78" w14:textId="03205120">
            <w:pPr>
              <w:jc w:val="right"/>
            </w:pPr>
            <w:r w:rsidRPr="00EA1A74">
              <w:rPr>
                <w:color w:val="000000"/>
              </w:rPr>
              <w:t>2,575</w:t>
            </w:r>
          </w:p>
        </w:tc>
      </w:tr>
      <w:tr w:rsidR="00EA1A74" w:rsidTr="002010BF" w14:paraId="10E2F5EF"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0E6D4A2" w14:textId="1B8F493A">
            <w:r w:rsidRPr="00EA1A74">
              <w:rPr>
                <w:color w:val="000000"/>
              </w:rPr>
              <w:t>Virginia</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2782B35" w14:textId="347F0BBB">
            <w:pPr>
              <w:jc w:val="center"/>
            </w:pPr>
            <w:r w:rsidRPr="00EA1A74">
              <w:rPr>
                <w:color w:val="000000"/>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71E80BA" w14:textId="40CB714F">
            <w:pPr>
              <w:jc w:val="center"/>
            </w:pPr>
            <w:r w:rsidRPr="00EA1A74">
              <w:rPr>
                <w:color w:val="000000"/>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383D0569" w14:textId="008A0FFA">
            <w:pPr>
              <w:jc w:val="right"/>
            </w:pPr>
            <w:r w:rsidRPr="00EA1A74">
              <w:rPr>
                <w:color w:val="000000"/>
              </w:rPr>
              <w:t>2,800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18055C92" w14:textId="7B1CE639">
            <w:pPr>
              <w:jc w:val="right"/>
            </w:pPr>
            <w:r w:rsidRPr="00EA1A74">
              <w:rPr>
                <w:color w:val="000000"/>
              </w:rPr>
              <w:t>1,400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0BD1532" w14:textId="3FC0C003">
            <w:pPr>
              <w:jc w:val="right"/>
            </w:pPr>
            <w:r w:rsidRPr="00EA1A74">
              <w:rPr>
                <w:color w:val="000000"/>
              </w:rPr>
              <w:t>1,400</w:t>
            </w:r>
          </w:p>
        </w:tc>
      </w:tr>
      <w:tr w:rsidR="00EA1A74" w:rsidTr="002010BF" w14:paraId="6B6337A3"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6E019256" w14:textId="0518EFFD">
            <w:r w:rsidRPr="00EA1A74">
              <w:rPr>
                <w:color w:val="000000"/>
              </w:rPr>
              <w:t>Vermont</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4D57D624" w14:textId="3B182906">
            <w:pPr>
              <w:jc w:val="center"/>
            </w:pPr>
            <w:r w:rsidRPr="00EA1A74">
              <w:rPr>
                <w:color w:val="000000"/>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3DBF084F" w14:textId="4BEC2C72">
            <w:pPr>
              <w:jc w:val="center"/>
            </w:pPr>
            <w:r w:rsidRPr="00EA1A74">
              <w:rPr>
                <w:color w:val="000000"/>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4AE8162" w14:textId="34D93D16">
            <w:pPr>
              <w:jc w:val="right"/>
            </w:pPr>
            <w:r w:rsidRPr="00EA1A74">
              <w:rPr>
                <w:color w:val="000000"/>
              </w:rPr>
              <w:t>250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15A67FC5" w14:textId="376A46D7">
            <w:pPr>
              <w:jc w:val="right"/>
            </w:pPr>
            <w:r w:rsidRPr="00EA1A74">
              <w:rPr>
                <w:color w:val="000000"/>
              </w:rPr>
              <w:t>125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2F806303" w14:textId="59E53EBC">
            <w:pPr>
              <w:jc w:val="right"/>
            </w:pPr>
            <w:r w:rsidRPr="00EA1A74">
              <w:rPr>
                <w:color w:val="000000"/>
              </w:rPr>
              <w:t>125</w:t>
            </w:r>
          </w:p>
        </w:tc>
      </w:tr>
      <w:tr w:rsidR="00EA1A74" w:rsidTr="002010BF" w14:paraId="5ACCF06D"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585A6857" w14:textId="62F8F2FC">
            <w:r w:rsidRPr="00EA1A74">
              <w:rPr>
                <w:color w:val="000000"/>
              </w:rPr>
              <w:t>Wisconsin</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1F61C2D3" w14:textId="349A0314">
            <w:pPr>
              <w:jc w:val="center"/>
            </w:pPr>
            <w:r w:rsidRPr="00EA1A74">
              <w:rPr>
                <w:color w:val="000000"/>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047BDDBD" w14:textId="06E45C3A">
            <w:pPr>
              <w:jc w:val="center"/>
            </w:pPr>
            <w:r w:rsidRPr="00EA1A74">
              <w:rPr>
                <w:color w:val="000000"/>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1EF66145" w14:textId="45504D03">
            <w:pPr>
              <w:jc w:val="right"/>
            </w:pPr>
            <w:r w:rsidRPr="00EA1A74">
              <w:rPr>
                <w:color w:val="000000"/>
              </w:rPr>
              <w:t>10,200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6CFE6416" w14:textId="10C25DAC">
            <w:pPr>
              <w:jc w:val="right"/>
            </w:pPr>
            <w:r w:rsidRPr="00EA1A74">
              <w:rPr>
                <w:color w:val="000000"/>
              </w:rPr>
              <w:t>5,100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2010BF" w:rsidRDefault="00370014" w14:paraId="76529FE4" w14:textId="3A962FD2">
            <w:pPr>
              <w:jc w:val="right"/>
            </w:pPr>
            <w:r w:rsidRPr="00EA1A74">
              <w:rPr>
                <w:color w:val="000000"/>
              </w:rPr>
              <w:t>5,100</w:t>
            </w:r>
          </w:p>
        </w:tc>
      </w:tr>
      <w:tr w:rsidR="00EA1A74" w:rsidTr="002010BF" w14:paraId="27C2B802" w14:textId="77777777">
        <w:trPr>
          <w:trHeight w:val="255"/>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BC356A" w:rsidRDefault="00450DE7" w14:paraId="03307685" w14:textId="436CFA26">
            <w:pPr>
              <w:rPr>
                <w:b/>
              </w:rPr>
            </w:pPr>
            <w:r>
              <w:rPr>
                <w:b/>
              </w:rPr>
              <w:t>Total</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753F7586" w14:textId="038EA13D">
            <w:pPr>
              <w:jc w:val="center"/>
              <w:rPr>
                <w:b/>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EA1A74" w:rsidR="00370014" w:rsidP="00370014" w:rsidRDefault="00370014" w14:paraId="1E8C9224" w14:textId="66B06453">
            <w:pPr>
              <w:jc w:val="center"/>
            </w:pPr>
            <w:r w:rsidRPr="00EA1A74">
              <w:rPr>
                <w:b/>
                <w:bCs/>
              </w:rPr>
              <w:t xml:space="preserve">96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BC356A" w:rsidR="00370014" w:rsidP="002010BF" w:rsidRDefault="00112883" w14:paraId="11CF2E3F" w14:textId="11CC6606">
            <w:pPr>
              <w:jc w:val="right"/>
              <w:rPr>
                <w:highlight w:val="yellow"/>
              </w:rPr>
            </w:pPr>
            <w:r w:rsidRPr="00BC356A">
              <w:rPr>
                <w:b/>
                <w:bCs/>
                <w:sz w:val="22"/>
                <w:szCs w:val="22"/>
              </w:rPr>
              <w:t>178,700</w:t>
            </w:r>
            <w:r w:rsidRPr="00BC356A">
              <w:rPr>
                <w:rFonts w:ascii="Calibri" w:hAnsi="Calibri" w:cs="Calibri"/>
                <w:b/>
                <w:bCs/>
                <w:sz w:val="22"/>
                <w:szCs w:val="22"/>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BC356A" w:rsidR="00370014" w:rsidP="002010BF" w:rsidRDefault="00112883" w14:paraId="542DDF15" w14:textId="6972A4E2">
            <w:pPr>
              <w:jc w:val="right"/>
              <w:rPr>
                <w:highlight w:val="yellow"/>
              </w:rPr>
            </w:pPr>
            <w:r w:rsidRPr="00BC356A">
              <w:rPr>
                <w:b/>
                <w:bCs/>
              </w:rPr>
              <w:t xml:space="preserve">89,350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BC356A" w:rsidR="00370014" w:rsidP="002010BF" w:rsidRDefault="00112883" w14:paraId="7ED40B4E" w14:textId="6E2C4E7C">
            <w:pPr>
              <w:jc w:val="right"/>
              <w:rPr>
                <w:highlight w:val="yellow"/>
              </w:rPr>
            </w:pPr>
            <w:r w:rsidRPr="00BC356A">
              <w:rPr>
                <w:b/>
                <w:bCs/>
              </w:rPr>
              <w:t xml:space="preserve">89,350 </w:t>
            </w:r>
          </w:p>
        </w:tc>
      </w:tr>
    </w:tbl>
    <w:p w:rsidR="005170B7" w:rsidP="00115BDD" w:rsidRDefault="005170B7" w14:paraId="59F6A066" w14:textId="77777777">
      <w:pPr>
        <w:ind w:left="720"/>
        <w:rPr>
          <w:b/>
          <w:sz w:val="20"/>
          <w:szCs w:val="20"/>
        </w:rPr>
      </w:pPr>
    </w:p>
    <w:p w:rsidR="005170B7" w:rsidP="000B4CA0" w:rsidRDefault="005170B7" w14:paraId="38429C59" w14:textId="77777777">
      <w:pPr>
        <w:ind w:left="360"/>
        <w:rPr>
          <w:b/>
        </w:rPr>
      </w:pPr>
      <w:r>
        <w:rPr>
          <w:b/>
        </w:rPr>
        <w:t>6(b)</w:t>
      </w:r>
      <w:r>
        <w:rPr>
          <w:b/>
        </w:rPr>
        <w:tab/>
        <w:t>Estimating Respondent Cost</w:t>
      </w:r>
    </w:p>
    <w:p w:rsidR="005170B7" w:rsidP="00115BDD" w:rsidRDefault="005170B7" w14:paraId="6E74CB3C" w14:textId="77777777">
      <w:pPr>
        <w:ind w:left="720"/>
        <w:rPr>
          <w:b/>
        </w:rPr>
      </w:pPr>
    </w:p>
    <w:p w:rsidR="005170B7" w:rsidP="000B4CA0" w:rsidRDefault="005170B7" w14:paraId="11A5B2E3" w14:textId="594507A6">
      <w:pPr>
        <w:ind w:left="360"/>
      </w:pPr>
      <w:r>
        <w:rPr>
          <w:b/>
        </w:rPr>
        <w:tab/>
      </w:r>
      <w:r>
        <w:t xml:space="preserve">Labor costs are estimated for state governments using the total of projected additional hours for the </w:t>
      </w:r>
      <w:r w:rsidR="00B43D25">
        <w:t xml:space="preserve">states listed in Table </w:t>
      </w:r>
      <w:r w:rsidR="00F603DD">
        <w:t>8</w:t>
      </w:r>
      <w:r>
        <w:t xml:space="preserve">.  These estimates do not reflect staff experience and economies of scale.  The hourly rates are the result of estimated directed and indirect cost per employee.  The main source of the information is </w:t>
      </w:r>
      <w:hyperlink w:history="1" r:id="rId19">
        <w:r>
          <w:rPr>
            <w:rStyle w:val="Hyperlink"/>
          </w:rPr>
          <w:t>http://www.opm.gov/oca/payrates/index.htm</w:t>
        </w:r>
      </w:hyperlink>
      <w:r>
        <w:t>.</w:t>
      </w:r>
    </w:p>
    <w:p w:rsidR="005170B7" w:rsidP="00115BDD" w:rsidRDefault="005170B7" w14:paraId="1CCC6C22" w14:textId="77777777">
      <w:pPr>
        <w:ind w:left="720"/>
      </w:pPr>
    </w:p>
    <w:p w:rsidR="005170B7" w:rsidP="000B4CA0" w:rsidRDefault="005170B7" w14:paraId="695D1AA2" w14:textId="723E6FE6">
      <w:pPr>
        <w:ind w:left="360"/>
      </w:pPr>
      <w:r>
        <w:tab/>
        <w:t xml:space="preserve">The </w:t>
      </w:r>
      <w:bookmarkStart w:name="_Hlk42094895" w:id="8"/>
      <w:r>
        <w:t>estimated weighted direct salary cost per employee is $</w:t>
      </w:r>
      <w:r w:rsidR="00D31C63">
        <w:t>46.52</w:t>
      </w:r>
      <w:r>
        <w:t xml:space="preserve"> per hour</w:t>
      </w:r>
      <w:bookmarkEnd w:id="8"/>
      <w:r>
        <w:t xml:space="preserve">.   This results from a summation of the professional, managerial, and support staff components.  </w:t>
      </w:r>
    </w:p>
    <w:p w:rsidR="005170B7" w:rsidP="00115BDD" w:rsidRDefault="005170B7" w14:paraId="33D3A13A" w14:textId="77777777">
      <w:pPr>
        <w:ind w:left="720"/>
      </w:pPr>
    </w:p>
    <w:p w:rsidR="005170B7" w:rsidP="00115BDD" w:rsidRDefault="005170B7" w14:paraId="58DD08E2" w14:textId="5725C03D">
      <w:pPr>
        <w:numPr>
          <w:ilvl w:val="0"/>
          <w:numId w:val="22"/>
        </w:numPr>
      </w:pPr>
      <w:bookmarkStart w:name="_Hlk42094748" w:id="9"/>
      <w:r>
        <w:t>Hourly equivalent 20</w:t>
      </w:r>
      <w:r w:rsidR="00D31C63">
        <w:t>20</w:t>
      </w:r>
      <w:r>
        <w:t xml:space="preserve"> Salary of Permanent Professional Staff at GS 11, Step 3 is </w:t>
      </w:r>
      <w:r w:rsidRPr="00A0652B">
        <w:t>$</w:t>
      </w:r>
      <w:r w:rsidR="00D31C63">
        <w:t>38.36</w:t>
      </w:r>
      <w:r w:rsidRPr="00A0652B">
        <w:t>.</w:t>
      </w:r>
      <w:r>
        <w:t xml:space="preserve">  This is the average of hourly equivalent rates for the San Francisco, CA and Washington, D.C. areas.</w:t>
      </w:r>
    </w:p>
    <w:p w:rsidR="005170B7" w:rsidP="00115BDD" w:rsidRDefault="005170B7" w14:paraId="32AAA5A3" w14:textId="7734C568">
      <w:pPr>
        <w:numPr>
          <w:ilvl w:val="0"/>
          <w:numId w:val="22"/>
        </w:numPr>
      </w:pPr>
      <w:r>
        <w:t xml:space="preserve">To account for permanent managerial staff, 1/11 or 9.1% of the hourly rate for GS 13, Step 3 is added to the professional staff hourly rates. The average </w:t>
      </w:r>
      <w:r>
        <w:lastRenderedPageBreak/>
        <w:t>hourly equivalent rate for GS-13 using rates for San Francisco, CA and Washington, D.C. is $</w:t>
      </w:r>
      <w:r w:rsidR="00D31C63">
        <w:t>54.68</w:t>
      </w:r>
      <w:r>
        <w:t>.  The 9.1 percent estimate of that is $</w:t>
      </w:r>
      <w:r w:rsidR="00D23963">
        <w:t>4.</w:t>
      </w:r>
      <w:r w:rsidR="00D31C63">
        <w:t>97</w:t>
      </w:r>
      <w:r w:rsidRPr="00A0652B">
        <w:t>.</w:t>
      </w:r>
    </w:p>
    <w:p w:rsidR="005170B7" w:rsidP="00115BDD" w:rsidRDefault="005170B7" w14:paraId="57A12865" w14:textId="0D6061FB">
      <w:pPr>
        <w:numPr>
          <w:ilvl w:val="0"/>
          <w:numId w:val="22"/>
        </w:numPr>
      </w:pPr>
      <w:r>
        <w:t xml:space="preserve">To account for permanent support staff at GS-6, Step 6, 1/8 or 12.5% of the hourly rate is </w:t>
      </w:r>
      <w:r w:rsidR="00B43D25">
        <w:t xml:space="preserve">also </w:t>
      </w:r>
      <w:r>
        <w:t>added to the professional staff hourly rates. The average hourly equivalent rate for GS-6, Step 6 using rates for San Francisco, CA and Washington, D.C. is $</w:t>
      </w:r>
      <w:r w:rsidR="00D31C63">
        <w:t>25.51</w:t>
      </w:r>
      <w:r>
        <w:t>.  The 12.5 percent estimate of that is $</w:t>
      </w:r>
      <w:r w:rsidR="00D31C63">
        <w:t>3.19</w:t>
      </w:r>
      <w:r>
        <w:t xml:space="preserve">. </w:t>
      </w:r>
    </w:p>
    <w:bookmarkEnd w:id="9"/>
    <w:p w:rsidR="005170B7" w:rsidP="00115BDD" w:rsidRDefault="005170B7" w14:paraId="5C977DC9" w14:textId="77777777">
      <w:pPr>
        <w:ind w:left="720"/>
      </w:pPr>
    </w:p>
    <w:p w:rsidR="005170B7" w:rsidP="000B4CA0" w:rsidRDefault="005170B7" w14:paraId="3AC172B8" w14:textId="64F3BB48">
      <w:pPr>
        <w:ind w:left="360"/>
      </w:pPr>
      <w:r>
        <w:tab/>
        <w:t>The estimated hourly indirect cost per employee is $2</w:t>
      </w:r>
      <w:r w:rsidR="00D31C63">
        <w:t>6.98</w:t>
      </w:r>
      <w:r>
        <w:t>. This amount is the sum of the following:</w:t>
      </w:r>
    </w:p>
    <w:p w:rsidR="005170B7" w:rsidP="000B4CA0" w:rsidRDefault="005170B7" w14:paraId="2A5AC97F" w14:textId="77777777">
      <w:pPr>
        <w:ind w:left="360"/>
      </w:pPr>
    </w:p>
    <w:p w:rsidR="005170B7" w:rsidP="00115BDD" w:rsidRDefault="005170B7" w14:paraId="77F0E001" w14:textId="56B866EE">
      <w:pPr>
        <w:numPr>
          <w:ilvl w:val="0"/>
          <w:numId w:val="23"/>
        </w:numPr>
      </w:pPr>
      <w:r>
        <w:t>Benefits at 16% of the weighted direct hourly equivalent salary cost per employee or $</w:t>
      </w:r>
      <w:r w:rsidR="00D31C63">
        <w:t>7.44</w:t>
      </w:r>
      <w:r>
        <w:t>.</w:t>
      </w:r>
    </w:p>
    <w:p w:rsidR="005170B7" w:rsidP="00115BDD" w:rsidRDefault="005170B7" w14:paraId="6ECE8284" w14:textId="7B57184C">
      <w:pPr>
        <w:numPr>
          <w:ilvl w:val="0"/>
          <w:numId w:val="23"/>
        </w:numPr>
      </w:pPr>
      <w:r>
        <w:t>Sick and annual leave at 10% of the weighted direct hourly equivalent salary cost per employee or $4.</w:t>
      </w:r>
      <w:r w:rsidR="00D31C63">
        <w:t>65</w:t>
      </w:r>
      <w:r>
        <w:t>.</w:t>
      </w:r>
    </w:p>
    <w:p w:rsidR="005170B7" w:rsidP="00115BDD" w:rsidRDefault="005170B7" w14:paraId="03720169" w14:textId="166FC350">
      <w:pPr>
        <w:numPr>
          <w:ilvl w:val="0"/>
          <w:numId w:val="23"/>
        </w:numPr>
      </w:pPr>
      <w:r>
        <w:t>General overhead at 32% of the weighed direct hourly equivalent salary cost per employee or $1</w:t>
      </w:r>
      <w:r w:rsidR="00D31C63">
        <w:t>4.89</w:t>
      </w:r>
      <w:r>
        <w:t>.</w:t>
      </w:r>
    </w:p>
    <w:p w:rsidR="005170B7" w:rsidP="00115BDD" w:rsidRDefault="005170B7" w14:paraId="47ACCB92" w14:textId="77777777">
      <w:pPr>
        <w:ind w:left="360"/>
      </w:pPr>
      <w:r>
        <w:tab/>
      </w:r>
    </w:p>
    <w:p w:rsidR="005170B7" w:rsidP="00571FFF" w:rsidRDefault="005170B7" w14:paraId="4B0A833E" w14:textId="1FC34E5E">
      <w:pPr>
        <w:ind w:firstLine="720"/>
      </w:pPr>
      <w:r>
        <w:t xml:space="preserve">The </w:t>
      </w:r>
      <w:bookmarkStart w:name="OLE_LINK3" w:id="10"/>
      <w:r>
        <w:t>estimated total weighted direct and indirect hourly equivalent salary</w:t>
      </w:r>
      <w:bookmarkEnd w:id="10"/>
      <w:r>
        <w:t xml:space="preserve"> cost per employee is $</w:t>
      </w:r>
      <w:r w:rsidR="00D31C63">
        <w:t>73.50</w:t>
      </w:r>
      <w:r>
        <w:t>. The estimated total incremental respondent burden</w:t>
      </w:r>
      <w:r w:rsidR="00571FFF">
        <w:t xml:space="preserve"> </w:t>
      </w:r>
      <w:r w:rsidR="00510F90">
        <w:t>for</w:t>
      </w:r>
      <w:r w:rsidR="00571FFF">
        <w:t xml:space="preserve"> states to submit the required SIP revisions during the ICR period </w:t>
      </w:r>
      <w:r>
        <w:t xml:space="preserve">is provided in Table </w:t>
      </w:r>
      <w:r w:rsidR="00F603DD">
        <w:t>9</w:t>
      </w:r>
      <w:r>
        <w:t>.</w:t>
      </w:r>
    </w:p>
    <w:p w:rsidR="00C11FC0" w:rsidRDefault="00C11FC0" w14:paraId="6D59CE3E" w14:textId="5F1BBBDB">
      <w:r>
        <w:br w:type="page"/>
      </w:r>
    </w:p>
    <w:p w:rsidR="005170B7" w:rsidP="00115BDD" w:rsidRDefault="005170B7" w14:paraId="4602A304" w14:textId="77777777">
      <w:pPr>
        <w:ind w:left="720"/>
      </w:pPr>
    </w:p>
    <w:p w:rsidRPr="003A1A85" w:rsidR="00176DA5" w:rsidP="00176DA5" w:rsidRDefault="005170B7" w14:paraId="71BD4563" w14:textId="2CE8E7AA">
      <w:pPr>
        <w:ind w:left="720"/>
        <w:rPr>
          <w:b/>
        </w:rPr>
      </w:pPr>
      <w:r w:rsidRPr="003A1A85">
        <w:rPr>
          <w:b/>
        </w:rPr>
        <w:t>Table</w:t>
      </w:r>
      <w:r w:rsidRPr="003A1A85" w:rsidR="00571FFF">
        <w:rPr>
          <w:b/>
        </w:rPr>
        <w:t xml:space="preserve"> </w:t>
      </w:r>
      <w:r w:rsidRPr="003A1A85" w:rsidR="00F603DD">
        <w:rPr>
          <w:b/>
        </w:rPr>
        <w:t>9</w:t>
      </w:r>
      <w:r w:rsidRPr="003A1A85">
        <w:rPr>
          <w:b/>
        </w:rPr>
        <w:t xml:space="preserve">.  Estimated Total Incremental Cost and Hour Burden for the States (Respondents) to Fulfill </w:t>
      </w:r>
      <w:r w:rsidRPr="003A1A85" w:rsidR="00DB0153">
        <w:rPr>
          <w:b/>
        </w:rPr>
        <w:t>Listed 8-Hour Ozone NAAQS Implementation Tasks</w:t>
      </w:r>
    </w:p>
    <w:p w:rsidRPr="003A1A85" w:rsidR="005170B7" w:rsidP="00115BDD" w:rsidRDefault="005170B7" w14:paraId="194F8E7E" w14:textId="77777777">
      <w:pPr>
        <w:ind w:left="720"/>
      </w:pPr>
    </w:p>
    <w:tbl>
      <w:tblPr>
        <w:tblW w:w="7676" w:type="dxa"/>
        <w:tblInd w:w="8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8"/>
        <w:gridCol w:w="1310"/>
        <w:gridCol w:w="1588"/>
        <w:gridCol w:w="1588"/>
        <w:gridCol w:w="2052"/>
      </w:tblGrid>
      <w:tr w:rsidRPr="003A1A85" w:rsidR="005170B7" w:rsidTr="007F616F" w14:paraId="4180C76D" w14:textId="77777777">
        <w:trPr>
          <w:trHeight w:val="467"/>
        </w:trPr>
        <w:tc>
          <w:tcPr>
            <w:tcW w:w="1173" w:type="dxa"/>
            <w:vAlign w:val="center"/>
          </w:tcPr>
          <w:p w:rsidRPr="003A1A85" w:rsidR="005170B7" w:rsidP="00D72E71" w:rsidRDefault="007F616F" w14:paraId="1C1A3F42" w14:textId="79AF65BA">
            <w:pPr>
              <w:jc w:val="center"/>
              <w:rPr>
                <w:b/>
              </w:rPr>
            </w:pPr>
            <w:r w:rsidRPr="003A1A85">
              <w:rPr>
                <w:b/>
              </w:rPr>
              <w:t>No. of Areas or Parts of Areas</w:t>
            </w:r>
            <w:r w:rsidRPr="003A1A85" w:rsidR="00571FFF">
              <w:rPr>
                <w:b/>
              </w:rPr>
              <w:t xml:space="preserve"> or OTR states</w:t>
            </w:r>
          </w:p>
        </w:tc>
        <w:tc>
          <w:tcPr>
            <w:tcW w:w="1111" w:type="dxa"/>
            <w:vAlign w:val="center"/>
          </w:tcPr>
          <w:p w:rsidRPr="003A1A85" w:rsidR="005170B7" w:rsidP="00D72E71" w:rsidRDefault="005170B7" w14:paraId="35F98565" w14:textId="77777777">
            <w:pPr>
              <w:jc w:val="center"/>
              <w:rPr>
                <w:b/>
              </w:rPr>
            </w:pPr>
            <w:r w:rsidRPr="003A1A85">
              <w:rPr>
                <w:b/>
              </w:rPr>
              <w:t>Additional Cost for Year 1</w:t>
            </w:r>
          </w:p>
        </w:tc>
        <w:tc>
          <w:tcPr>
            <w:tcW w:w="1618" w:type="dxa"/>
            <w:vAlign w:val="center"/>
          </w:tcPr>
          <w:p w:rsidRPr="003A1A85" w:rsidR="005170B7" w:rsidP="00D72E71" w:rsidRDefault="005170B7" w14:paraId="407F32EE" w14:textId="77777777">
            <w:pPr>
              <w:jc w:val="center"/>
              <w:rPr>
                <w:b/>
              </w:rPr>
            </w:pPr>
            <w:r w:rsidRPr="003A1A85">
              <w:rPr>
                <w:b/>
              </w:rPr>
              <w:t>Additional Cost for Year 2</w:t>
            </w:r>
          </w:p>
        </w:tc>
        <w:tc>
          <w:tcPr>
            <w:tcW w:w="1618" w:type="dxa"/>
            <w:vAlign w:val="center"/>
          </w:tcPr>
          <w:p w:rsidRPr="003A1A85" w:rsidR="005170B7" w:rsidP="00D72E71" w:rsidRDefault="005170B7" w14:paraId="6AD1B9FD" w14:textId="77777777">
            <w:pPr>
              <w:jc w:val="center"/>
              <w:rPr>
                <w:b/>
              </w:rPr>
            </w:pPr>
            <w:r w:rsidRPr="003A1A85">
              <w:rPr>
                <w:b/>
              </w:rPr>
              <w:t>Additional Cost for Year 3</w:t>
            </w:r>
          </w:p>
        </w:tc>
        <w:tc>
          <w:tcPr>
            <w:tcW w:w="2156" w:type="dxa"/>
            <w:vAlign w:val="center"/>
          </w:tcPr>
          <w:p w:rsidRPr="003A1A85" w:rsidR="005170B7" w:rsidP="00AD6851" w:rsidRDefault="005170B7" w14:paraId="0AD8FD79" w14:textId="77777777">
            <w:pPr>
              <w:jc w:val="center"/>
              <w:rPr>
                <w:b/>
              </w:rPr>
            </w:pPr>
            <w:r w:rsidRPr="003A1A85">
              <w:rPr>
                <w:b/>
              </w:rPr>
              <w:t>Burden for the 3-year ICR period</w:t>
            </w:r>
          </w:p>
        </w:tc>
      </w:tr>
      <w:tr w:rsidRPr="003A1A85" w:rsidR="005170B7" w:rsidTr="007F616F" w14:paraId="4184E3C5" w14:textId="77777777">
        <w:trPr>
          <w:trHeight w:val="512"/>
        </w:trPr>
        <w:tc>
          <w:tcPr>
            <w:tcW w:w="1173" w:type="dxa"/>
            <w:vAlign w:val="center"/>
          </w:tcPr>
          <w:p w:rsidRPr="003A1A85" w:rsidR="005170B7" w:rsidP="00011F7B" w:rsidRDefault="00370014" w14:paraId="046F6A7B" w14:textId="1FA11A59">
            <w:pPr>
              <w:jc w:val="center"/>
              <w:rPr>
                <w:b/>
              </w:rPr>
            </w:pPr>
            <w:r w:rsidRPr="003A1A85">
              <w:rPr>
                <w:b/>
              </w:rPr>
              <w:t>96</w:t>
            </w:r>
          </w:p>
        </w:tc>
        <w:tc>
          <w:tcPr>
            <w:tcW w:w="1111" w:type="dxa"/>
            <w:vAlign w:val="center"/>
          </w:tcPr>
          <w:p w:rsidRPr="003A1A85" w:rsidR="007F616F" w:rsidP="00C1250F" w:rsidRDefault="005170B7" w14:paraId="31F7BBCE" w14:textId="61070BF9">
            <w:pPr>
              <w:jc w:val="center"/>
            </w:pPr>
            <w:r w:rsidRPr="003A1A85">
              <w:t>$</w:t>
            </w:r>
            <w:r w:rsidRPr="003A1A85" w:rsidR="00571FFF">
              <w:t>1</w:t>
            </w:r>
            <w:r w:rsidRPr="003A1A85" w:rsidR="00370014">
              <w:t>3.1</w:t>
            </w:r>
          </w:p>
          <w:p w:rsidRPr="003A1A85" w:rsidR="005170B7" w:rsidP="00C1250F" w:rsidRDefault="005170B7" w14:paraId="4154A7E8" w14:textId="0FF7D6CA">
            <w:pPr>
              <w:jc w:val="center"/>
              <w:rPr>
                <w:highlight w:val="yellow"/>
              </w:rPr>
            </w:pPr>
            <w:r w:rsidRPr="003A1A85">
              <w:t xml:space="preserve"> million</w:t>
            </w:r>
          </w:p>
        </w:tc>
        <w:tc>
          <w:tcPr>
            <w:tcW w:w="1618" w:type="dxa"/>
            <w:vAlign w:val="center"/>
          </w:tcPr>
          <w:p w:rsidRPr="003A1A85" w:rsidR="005170B7" w:rsidP="00E81D0A" w:rsidRDefault="00B904D5" w14:paraId="67BA4419" w14:textId="23FDAE89">
            <w:pPr>
              <w:jc w:val="center"/>
            </w:pPr>
            <w:r w:rsidRPr="003A1A85">
              <w:t>$6.</w:t>
            </w:r>
            <w:r w:rsidRPr="003A1A85" w:rsidR="00370014">
              <w:t>57</w:t>
            </w:r>
            <w:r w:rsidRPr="003A1A85">
              <w:t xml:space="preserve"> </w:t>
            </w:r>
            <w:r w:rsidRPr="003A1A85" w:rsidR="005170B7">
              <w:t>million</w:t>
            </w:r>
          </w:p>
        </w:tc>
        <w:tc>
          <w:tcPr>
            <w:tcW w:w="1618" w:type="dxa"/>
            <w:vAlign w:val="center"/>
          </w:tcPr>
          <w:p w:rsidRPr="003A1A85" w:rsidR="005170B7" w:rsidP="00E81D0A" w:rsidRDefault="005170B7" w14:paraId="6FD36499" w14:textId="197496D6">
            <w:pPr>
              <w:jc w:val="center"/>
            </w:pPr>
            <w:r w:rsidRPr="003A1A85">
              <w:t>$</w:t>
            </w:r>
            <w:r w:rsidRPr="003A1A85" w:rsidR="00B904D5">
              <w:t>6.</w:t>
            </w:r>
            <w:r w:rsidRPr="003A1A85" w:rsidR="00370014">
              <w:t>57</w:t>
            </w:r>
            <w:r w:rsidRPr="003A1A85" w:rsidR="00866659">
              <w:t xml:space="preserve"> </w:t>
            </w:r>
            <w:r w:rsidRPr="003A1A85">
              <w:t>million</w:t>
            </w:r>
          </w:p>
        </w:tc>
        <w:tc>
          <w:tcPr>
            <w:tcW w:w="2156" w:type="dxa"/>
            <w:vAlign w:val="center"/>
          </w:tcPr>
          <w:p w:rsidRPr="003A1A85" w:rsidR="005170B7" w:rsidP="00C1250F" w:rsidRDefault="00B904D5" w14:paraId="1BC7228B" w14:textId="448DF88A">
            <w:pPr>
              <w:jc w:val="center"/>
            </w:pPr>
            <w:r w:rsidRPr="003A1A85">
              <w:t>35</w:t>
            </w:r>
            <w:r w:rsidRPr="003A1A85" w:rsidR="00370014">
              <w:t>7</w:t>
            </w:r>
            <w:r w:rsidRPr="003A1A85">
              <w:t>.</w:t>
            </w:r>
            <w:r w:rsidRPr="003A1A85" w:rsidR="00571FFF">
              <w:t>4</w:t>
            </w:r>
            <w:r w:rsidRPr="003A1A85" w:rsidR="005170B7">
              <w:t xml:space="preserve"> thousand hours</w:t>
            </w:r>
          </w:p>
        </w:tc>
      </w:tr>
    </w:tbl>
    <w:p w:rsidR="005170B7" w:rsidP="00115BDD" w:rsidRDefault="005170B7" w14:paraId="2222DC07" w14:textId="77777777">
      <w:pPr>
        <w:ind w:left="720"/>
      </w:pPr>
    </w:p>
    <w:p w:rsidR="005170B7" w:rsidP="000B4CA0" w:rsidRDefault="005170B7" w14:paraId="2E5FBBC1" w14:textId="77777777">
      <w:pPr>
        <w:ind w:firstLine="360"/>
        <w:rPr>
          <w:b/>
        </w:rPr>
      </w:pPr>
      <w:r>
        <w:rPr>
          <w:b/>
        </w:rPr>
        <w:t>6(c)</w:t>
      </w:r>
      <w:r>
        <w:rPr>
          <w:b/>
        </w:rPr>
        <w:tab/>
        <w:t>Estimating Agency Burden and Cost</w:t>
      </w:r>
    </w:p>
    <w:p w:rsidR="005170B7" w:rsidP="00115BDD" w:rsidRDefault="005170B7" w14:paraId="29B2B255" w14:textId="77777777">
      <w:pPr>
        <w:ind w:left="720"/>
        <w:rPr>
          <w:b/>
        </w:rPr>
      </w:pPr>
    </w:p>
    <w:p w:rsidR="005170B7" w:rsidP="000B4CA0" w:rsidRDefault="005170B7" w14:paraId="47702AD7" w14:textId="43D8A2D3">
      <w:pPr>
        <w:ind w:left="360" w:firstLine="360"/>
      </w:pPr>
      <w:r>
        <w:t xml:space="preserve">The estimated agency burden is derived from the </w:t>
      </w:r>
      <w:r w:rsidR="009B1769">
        <w:t xml:space="preserve">burden </w:t>
      </w:r>
      <w:r>
        <w:t>estimates for the respondents</w:t>
      </w:r>
      <w:r w:rsidR="007F689B">
        <w:t xml:space="preserve"> based on historical input from regional office staff</w:t>
      </w:r>
      <w:r>
        <w:t xml:space="preserve">. </w:t>
      </w:r>
      <w:r w:rsidR="007F689B">
        <w:t>The or</w:t>
      </w:r>
      <w:r w:rsidR="00F7664B">
        <w:t>i</w:t>
      </w:r>
      <w:r w:rsidR="007F689B">
        <w:t>ginal d</w:t>
      </w:r>
      <w:r>
        <w:t xml:space="preserve">raft estimates were developed by </w:t>
      </w:r>
      <w:r w:rsidR="00F7664B">
        <w:t xml:space="preserve">EPA </w:t>
      </w:r>
      <w:r>
        <w:t>headquarters staff with review by regional office staff</w:t>
      </w:r>
      <w:r w:rsidR="007F689B">
        <w:t>. S</w:t>
      </w:r>
      <w:r>
        <w:t>ubsequent refinement of the Agency burden and cost estimates</w:t>
      </w:r>
      <w:r w:rsidR="003C03D8">
        <w:t xml:space="preserve"> </w:t>
      </w:r>
      <w:r w:rsidR="00CF16FC">
        <w:t>are based</w:t>
      </w:r>
      <w:r w:rsidRPr="003C03D8" w:rsidR="003C03D8">
        <w:t xml:space="preserve"> on “rules of thumb” for estimating time spent to review and process SIP submissions.</w:t>
      </w:r>
      <w:r w:rsidR="003C03D8">
        <w:t xml:space="preserve"> </w:t>
      </w:r>
    </w:p>
    <w:p w:rsidR="005170B7" w:rsidP="000B4CA0" w:rsidRDefault="005170B7" w14:paraId="35284A48" w14:textId="77777777">
      <w:pPr>
        <w:ind w:left="360" w:firstLine="360"/>
      </w:pPr>
    </w:p>
    <w:p w:rsidR="005170B7" w:rsidP="000B4CA0" w:rsidRDefault="005170B7" w14:paraId="65B66D44" w14:textId="54D76963">
      <w:pPr>
        <w:ind w:left="360" w:firstLine="360"/>
      </w:pPr>
      <w:r>
        <w:t xml:space="preserve">The respondent burden was summed </w:t>
      </w:r>
      <w:r w:rsidR="009B1769">
        <w:t xml:space="preserve">for each </w:t>
      </w:r>
      <w:r>
        <w:t xml:space="preserve">EPA regional office and a percentage was applied to the </w:t>
      </w:r>
      <w:r w:rsidR="009B1769">
        <w:t xml:space="preserve">overall </w:t>
      </w:r>
      <w:r>
        <w:t>yearly burden estimate to reflect regional office</w:t>
      </w:r>
      <w:r w:rsidR="00BE7466">
        <w:t xml:space="preserve"> activities related to SIP preview and processing</w:t>
      </w:r>
      <w:r>
        <w:t xml:space="preserve">. Once yearly burdens were estimated for the </w:t>
      </w:r>
      <w:r w:rsidR="00BE7466">
        <w:t>a</w:t>
      </w:r>
      <w:r>
        <w:t xml:space="preserve">gency’s </w:t>
      </w:r>
      <w:r w:rsidR="00BE7466">
        <w:t>r</w:t>
      </w:r>
      <w:r>
        <w:t xml:space="preserve">egional </w:t>
      </w:r>
      <w:r w:rsidR="00BE7466">
        <w:t>o</w:t>
      </w:r>
      <w:r>
        <w:t xml:space="preserve">ffices, a percentage of those amounts </w:t>
      </w:r>
      <w:r w:rsidR="00BE7466">
        <w:t>was used</w:t>
      </w:r>
      <w:r>
        <w:t xml:space="preserve"> to derive estimates for the </w:t>
      </w:r>
      <w:r w:rsidR="00BE7466">
        <w:t>EPA’s h</w:t>
      </w:r>
      <w:r>
        <w:t xml:space="preserve">eadquarters </w:t>
      </w:r>
      <w:r w:rsidR="00BE7466">
        <w:t>o</w:t>
      </w:r>
      <w:r>
        <w:t xml:space="preserve">ffice </w:t>
      </w:r>
      <w:r w:rsidR="00BE7466">
        <w:t>b</w:t>
      </w:r>
      <w:r>
        <w:t xml:space="preserve">urden. </w:t>
      </w:r>
    </w:p>
    <w:p w:rsidR="005170B7" w:rsidP="000B4CA0" w:rsidRDefault="005170B7" w14:paraId="228AC3FD" w14:textId="77777777">
      <w:pPr>
        <w:ind w:left="360" w:firstLine="360"/>
      </w:pPr>
    </w:p>
    <w:p w:rsidR="005170B7" w:rsidP="000B4CA0" w:rsidRDefault="005170B7" w14:paraId="408D852C" w14:textId="484E6985">
      <w:pPr>
        <w:ind w:left="360" w:firstLine="360"/>
      </w:pPr>
      <w:r>
        <w:rPr>
          <w:b/>
        </w:rPr>
        <w:t xml:space="preserve">Agency Regional Office Burden.  </w:t>
      </w:r>
      <w:r>
        <w:t xml:space="preserve">Table </w:t>
      </w:r>
      <w:r w:rsidR="00BE7466">
        <w:t>1</w:t>
      </w:r>
      <w:r w:rsidR="00F603DD">
        <w:t>0</w:t>
      </w:r>
      <w:r w:rsidR="00BE7466">
        <w:t xml:space="preserve"> </w:t>
      </w:r>
      <w:r>
        <w:t xml:space="preserve">summarizes total incremental respondent burden by </w:t>
      </w:r>
      <w:r w:rsidR="00BE7466">
        <w:t>EPA r</w:t>
      </w:r>
      <w:r>
        <w:t xml:space="preserve">egional </w:t>
      </w:r>
      <w:r w:rsidR="00BE7466">
        <w:t>o</w:t>
      </w:r>
      <w:r>
        <w:t xml:space="preserve">ffice and provides estimates of total incremental </w:t>
      </w:r>
      <w:r w:rsidR="00BE7466">
        <w:t>a</w:t>
      </w:r>
      <w:r>
        <w:t xml:space="preserve">gency </w:t>
      </w:r>
      <w:r w:rsidR="00BE7466">
        <w:t>r</w:t>
      </w:r>
      <w:r>
        <w:t xml:space="preserve">egional </w:t>
      </w:r>
      <w:r w:rsidR="00BE7466">
        <w:t>o</w:t>
      </w:r>
      <w:r>
        <w:t xml:space="preserve">ffice burden. The summary of total incremental respondent burden comes from Tables 4 and 5. The </w:t>
      </w:r>
      <w:r w:rsidR="00F7664B">
        <w:t>a</w:t>
      </w:r>
      <w:r>
        <w:t xml:space="preserve">gency </w:t>
      </w:r>
      <w:r w:rsidR="00F7664B">
        <w:t>r</w:t>
      </w:r>
      <w:r>
        <w:t xml:space="preserve">egional </w:t>
      </w:r>
      <w:r w:rsidR="00F7664B">
        <w:t>o</w:t>
      </w:r>
      <w:r>
        <w:t xml:space="preserve">ffice burden is presumed to be 10% of the estimated total incremental burden for respondent by EPA </w:t>
      </w:r>
      <w:r w:rsidR="00F7664B">
        <w:t>r</w:t>
      </w:r>
      <w:r>
        <w:t xml:space="preserve">egional </w:t>
      </w:r>
      <w:r w:rsidR="00F7664B">
        <w:t>o</w:t>
      </w:r>
      <w:r>
        <w:t xml:space="preserve">ffice except for the 2 Tribal areas in Region 9. The EPA Region 9 will develop the SIP requirements for the 2 Tribal nonattainment areas. Table </w:t>
      </w:r>
      <w:r w:rsidR="00F603DD">
        <w:t>10</w:t>
      </w:r>
      <w:r>
        <w:t xml:space="preserve"> has a separate line item for the Region 9 respondent burden for the Tribal areas that has 100% of the burden for responding under Region 9 instead of the 10% presumption. The total incremental burden allocation for the </w:t>
      </w:r>
      <w:r w:rsidR="00F7664B">
        <w:t>a</w:t>
      </w:r>
      <w:r>
        <w:t xml:space="preserve">gency </w:t>
      </w:r>
      <w:r w:rsidR="00AF3C8A">
        <w:t>r</w:t>
      </w:r>
      <w:r>
        <w:t xml:space="preserve">egional </w:t>
      </w:r>
      <w:r w:rsidR="00AF3C8A">
        <w:t>o</w:t>
      </w:r>
      <w:r>
        <w:t>ffices in Table</w:t>
      </w:r>
      <w:r w:rsidR="00FA076B">
        <w:t xml:space="preserve"> 8</w:t>
      </w:r>
      <w:r>
        <w:t xml:space="preserve"> is 50% in year 1, 25% in year 2, and 25% in year 3.</w:t>
      </w:r>
    </w:p>
    <w:p w:rsidR="005170B7" w:rsidP="000B4CA0" w:rsidRDefault="005170B7" w14:paraId="103AAEAC" w14:textId="77777777">
      <w:pPr>
        <w:ind w:left="360" w:firstLine="360"/>
      </w:pPr>
    </w:p>
    <w:p w:rsidR="009C4B01" w:rsidP="00F72CB7" w:rsidRDefault="005170B7" w14:paraId="3BE430EC" w14:textId="12AA9908">
      <w:pPr>
        <w:ind w:left="360" w:firstLine="360"/>
        <w:rPr>
          <w:b/>
          <w:sz w:val="20"/>
          <w:szCs w:val="20"/>
        </w:rPr>
      </w:pPr>
      <w:r>
        <w:t xml:space="preserve">In discussions with </w:t>
      </w:r>
      <w:r w:rsidR="00AF3C8A">
        <w:t>a</w:t>
      </w:r>
      <w:r>
        <w:t xml:space="preserve">gency </w:t>
      </w:r>
      <w:r w:rsidR="00AF3C8A">
        <w:t>r</w:t>
      </w:r>
      <w:r>
        <w:t xml:space="preserve">egional </w:t>
      </w:r>
      <w:r w:rsidR="00AF3C8A">
        <w:t>o</w:t>
      </w:r>
      <w:r>
        <w:t>ffice staff, they indicated that the total incremental burden estimates were</w:t>
      </w:r>
      <w:r w:rsidR="004C7AFC">
        <w:t xml:space="preserve"> rough estimates</w:t>
      </w:r>
      <w:r>
        <w:t xml:space="preserve">.  However, some regional office staff felt that a more reasonable allocation of total incremental </w:t>
      </w:r>
      <w:r w:rsidR="00AF3C8A">
        <w:t>a</w:t>
      </w:r>
      <w:r>
        <w:t xml:space="preserve">gency </w:t>
      </w:r>
      <w:r w:rsidR="00AF3C8A">
        <w:t>r</w:t>
      </w:r>
      <w:r>
        <w:t xml:space="preserve">egional </w:t>
      </w:r>
      <w:r w:rsidR="00AF3C8A">
        <w:t>o</w:t>
      </w:r>
      <w:r>
        <w:t xml:space="preserve">ffice burden would be 37.5% in year 1, 37.5% in year 2, and 25% in year 3.   If that allocation were used, the corresponding </w:t>
      </w:r>
      <w:r w:rsidR="00AF3C8A">
        <w:t>a</w:t>
      </w:r>
      <w:r>
        <w:t xml:space="preserve">gency </w:t>
      </w:r>
      <w:r w:rsidR="00AF3C8A">
        <w:t>r</w:t>
      </w:r>
      <w:r>
        <w:t xml:space="preserve">egional </w:t>
      </w:r>
      <w:r w:rsidR="00AF3C8A">
        <w:t>o</w:t>
      </w:r>
      <w:r>
        <w:t xml:space="preserve">ffice burden estimates in years 1, 2, and 3 would be </w:t>
      </w:r>
      <w:r w:rsidR="003D133D">
        <w:t>18</w:t>
      </w:r>
      <w:r w:rsidR="00A7269C">
        <w:t>,</w:t>
      </w:r>
      <w:r w:rsidR="003D133D">
        <w:t>128</w:t>
      </w:r>
      <w:r>
        <w:t xml:space="preserve">, </w:t>
      </w:r>
      <w:r w:rsidR="003D133D">
        <w:t>18,128</w:t>
      </w:r>
      <w:r w:rsidR="0025104B">
        <w:t xml:space="preserve">, </w:t>
      </w:r>
      <w:r>
        <w:t xml:space="preserve">and, </w:t>
      </w:r>
      <w:r w:rsidR="003D133D">
        <w:t>12,085</w:t>
      </w:r>
      <w:r w:rsidR="00A7269C">
        <w:t xml:space="preserve"> </w:t>
      </w:r>
      <w:r>
        <w:t xml:space="preserve">respectively.   </w:t>
      </w:r>
    </w:p>
    <w:p w:rsidR="009C4B01" w:rsidP="00115BDD" w:rsidRDefault="009C4B01" w14:paraId="70848E6B" w14:textId="77777777">
      <w:pPr>
        <w:ind w:left="720"/>
        <w:rPr>
          <w:b/>
          <w:sz w:val="20"/>
          <w:szCs w:val="20"/>
        </w:rPr>
      </w:pPr>
    </w:p>
    <w:p w:rsidRPr="00676EEF" w:rsidR="005170B7" w:rsidP="00115BDD" w:rsidRDefault="005170B7" w14:paraId="198DF3B4" w14:textId="70AD9AC1">
      <w:pPr>
        <w:ind w:left="720"/>
        <w:rPr>
          <w:b/>
        </w:rPr>
      </w:pPr>
      <w:r w:rsidRPr="00676EEF">
        <w:rPr>
          <w:b/>
        </w:rPr>
        <w:lastRenderedPageBreak/>
        <w:t xml:space="preserve">Table </w:t>
      </w:r>
      <w:r w:rsidRPr="00676EEF" w:rsidR="005C6231">
        <w:rPr>
          <w:b/>
        </w:rPr>
        <w:t>1</w:t>
      </w:r>
      <w:r w:rsidR="00F603DD">
        <w:rPr>
          <w:b/>
        </w:rPr>
        <w:t>0</w:t>
      </w:r>
      <w:r w:rsidRPr="00676EEF">
        <w:rPr>
          <w:b/>
        </w:rPr>
        <w:t xml:space="preserve">.  Estimated Agency Regional Office Burden Derived by Taking 10% of Regional Respondent Burden Total </w:t>
      </w:r>
      <w:r w:rsidRPr="00676EEF" w:rsidR="00A05D00">
        <w:rPr>
          <w:b/>
        </w:rPr>
        <w:t>f</w:t>
      </w:r>
      <w:r w:rsidRPr="00676EEF">
        <w:rPr>
          <w:b/>
        </w:rPr>
        <w:t xml:space="preserve">or Years 1, 2, and 3 with the Region 9 Tribal burden </w:t>
      </w:r>
      <w:r w:rsidR="002010BF">
        <w:rPr>
          <w:b/>
        </w:rPr>
        <w:t xml:space="preserve">estimate </w:t>
      </w:r>
      <w:r w:rsidRPr="00676EEF">
        <w:rPr>
          <w:b/>
        </w:rPr>
        <w:t>added.</w:t>
      </w:r>
    </w:p>
    <w:p w:rsidR="005170B7" w:rsidP="00115BDD" w:rsidRDefault="005170B7" w14:paraId="75CAF882" w14:textId="372E684D">
      <w:pPr>
        <w:ind w:left="720"/>
        <w:rPr>
          <w:b/>
          <w:sz w:val="20"/>
          <w:szCs w:val="20"/>
        </w:rPr>
      </w:pPr>
    </w:p>
    <w:tbl>
      <w:tblPr>
        <w:tblW w:w="7613" w:type="dxa"/>
        <w:tblLook w:val="04A0" w:firstRow="1" w:lastRow="0" w:firstColumn="1" w:lastColumn="0" w:noHBand="0" w:noVBand="1"/>
      </w:tblPr>
      <w:tblGrid>
        <w:gridCol w:w="1880"/>
        <w:gridCol w:w="1486"/>
        <w:gridCol w:w="1360"/>
        <w:gridCol w:w="1460"/>
        <w:gridCol w:w="1480"/>
      </w:tblGrid>
      <w:tr w:rsidR="007F5150" w:rsidTr="002E5F04" w14:paraId="5E2A6849" w14:textId="77777777">
        <w:trPr>
          <w:trHeight w:val="1056"/>
        </w:trPr>
        <w:tc>
          <w:tcPr>
            <w:tcW w:w="1880" w:type="dxa"/>
            <w:tcBorders>
              <w:top w:val="nil"/>
              <w:left w:val="nil"/>
              <w:bottom w:val="nil"/>
              <w:right w:val="nil"/>
            </w:tcBorders>
            <w:shd w:val="clear" w:color="auto" w:fill="auto"/>
            <w:vAlign w:val="bottom"/>
            <w:hideMark/>
          </w:tcPr>
          <w:p w:rsidRPr="00676EEF" w:rsidR="007F5150" w:rsidRDefault="007F5150" w14:paraId="123F2D43" w14:textId="77777777">
            <w:r w:rsidRPr="00676EEF">
              <w:t>EPA Regional Office</w:t>
            </w:r>
          </w:p>
        </w:tc>
        <w:tc>
          <w:tcPr>
            <w:tcW w:w="1433" w:type="dxa"/>
            <w:tcBorders>
              <w:top w:val="nil"/>
              <w:left w:val="nil"/>
              <w:bottom w:val="nil"/>
              <w:right w:val="nil"/>
            </w:tcBorders>
            <w:shd w:val="clear" w:color="auto" w:fill="auto"/>
            <w:vAlign w:val="bottom"/>
            <w:hideMark/>
          </w:tcPr>
          <w:p w:rsidRPr="00676EEF" w:rsidR="007F5150" w:rsidRDefault="007F5150" w14:paraId="1CB81F23" w14:textId="77777777">
            <w:r w:rsidRPr="00676EEF">
              <w:t>Total State Respondents' Burden</w:t>
            </w:r>
          </w:p>
        </w:tc>
        <w:tc>
          <w:tcPr>
            <w:tcW w:w="1360" w:type="dxa"/>
            <w:tcBorders>
              <w:top w:val="nil"/>
              <w:left w:val="nil"/>
              <w:bottom w:val="nil"/>
              <w:right w:val="nil"/>
            </w:tcBorders>
            <w:shd w:val="clear" w:color="auto" w:fill="auto"/>
            <w:vAlign w:val="bottom"/>
            <w:hideMark/>
          </w:tcPr>
          <w:p w:rsidRPr="00676EEF" w:rsidR="007F5150" w:rsidRDefault="007F5150" w14:paraId="5E8F333E" w14:textId="77777777">
            <w:r w:rsidRPr="00676EEF">
              <w:t>Year 1 Agency Regional Office Burden</w:t>
            </w:r>
          </w:p>
        </w:tc>
        <w:tc>
          <w:tcPr>
            <w:tcW w:w="1460" w:type="dxa"/>
            <w:tcBorders>
              <w:top w:val="nil"/>
              <w:left w:val="nil"/>
              <w:bottom w:val="nil"/>
              <w:right w:val="nil"/>
            </w:tcBorders>
            <w:shd w:val="clear" w:color="auto" w:fill="auto"/>
            <w:vAlign w:val="bottom"/>
            <w:hideMark/>
          </w:tcPr>
          <w:p w:rsidRPr="00676EEF" w:rsidR="007F5150" w:rsidRDefault="007F5150" w14:paraId="36ADADD6" w14:textId="77777777">
            <w:r w:rsidRPr="00676EEF">
              <w:t>Year 2 Agency Regional Office Burden</w:t>
            </w:r>
          </w:p>
        </w:tc>
        <w:tc>
          <w:tcPr>
            <w:tcW w:w="1480" w:type="dxa"/>
            <w:tcBorders>
              <w:top w:val="nil"/>
              <w:left w:val="nil"/>
              <w:bottom w:val="nil"/>
              <w:right w:val="nil"/>
            </w:tcBorders>
            <w:shd w:val="clear" w:color="auto" w:fill="auto"/>
            <w:vAlign w:val="bottom"/>
            <w:hideMark/>
          </w:tcPr>
          <w:p w:rsidRPr="00676EEF" w:rsidR="007F5150" w:rsidRDefault="007F5150" w14:paraId="3FF2BC31" w14:textId="77777777">
            <w:r w:rsidRPr="00676EEF">
              <w:t>Year 3 Agency Regional Office Burden</w:t>
            </w:r>
          </w:p>
        </w:tc>
      </w:tr>
      <w:tr w:rsidR="002E5F04" w:rsidTr="002E5F04" w14:paraId="542E60FB" w14:textId="77777777">
        <w:trPr>
          <w:trHeight w:val="288"/>
        </w:trPr>
        <w:tc>
          <w:tcPr>
            <w:tcW w:w="1880" w:type="dxa"/>
            <w:tcBorders>
              <w:top w:val="nil"/>
              <w:left w:val="nil"/>
              <w:bottom w:val="nil"/>
              <w:right w:val="nil"/>
            </w:tcBorders>
            <w:shd w:val="clear" w:color="auto" w:fill="auto"/>
            <w:noWrap/>
            <w:vAlign w:val="bottom"/>
            <w:hideMark/>
          </w:tcPr>
          <w:p w:rsidRPr="00676EEF" w:rsidR="002E5F04" w:rsidP="002E5F04" w:rsidRDefault="002E5F04" w14:paraId="1BEF931C" w14:textId="358E6468">
            <w:r w:rsidRPr="00676EEF">
              <w:rPr>
                <w:color w:val="000000"/>
              </w:rPr>
              <w:t>1</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76EEF" w:rsidR="002E5F04" w:rsidP="00C1695B" w:rsidRDefault="002E5F04" w14:paraId="50EB63CD" w14:textId="766DF29A">
            <w:pPr>
              <w:jc w:val="right"/>
              <w:rPr>
                <w:color w:val="000000"/>
              </w:rPr>
            </w:pPr>
            <w:r w:rsidRPr="00676EEF">
              <w:rPr>
                <w:color w:val="000000"/>
              </w:rPr>
              <w:t xml:space="preserve">                                 23,800 </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Pr="00676EEF" w:rsidR="002E5F04" w:rsidP="002E5F04" w:rsidRDefault="002E5F04" w14:paraId="71608603" w14:textId="60BDCCC1">
            <w:pPr>
              <w:jc w:val="right"/>
            </w:pPr>
            <w:r w:rsidRPr="00676EEF">
              <w:rPr>
                <w:color w:val="000000"/>
              </w:rPr>
              <w:t xml:space="preserve">                   1,190 </w:t>
            </w:r>
          </w:p>
        </w:tc>
        <w:tc>
          <w:tcPr>
            <w:tcW w:w="1460" w:type="dxa"/>
            <w:tcBorders>
              <w:top w:val="single" w:color="auto" w:sz="4" w:space="0"/>
              <w:left w:val="nil"/>
              <w:bottom w:val="single" w:color="auto" w:sz="4" w:space="0"/>
              <w:right w:val="single" w:color="auto" w:sz="4" w:space="0"/>
            </w:tcBorders>
            <w:shd w:val="clear" w:color="auto" w:fill="auto"/>
            <w:noWrap/>
            <w:vAlign w:val="bottom"/>
            <w:hideMark/>
          </w:tcPr>
          <w:p w:rsidRPr="00676EEF" w:rsidR="002E5F04" w:rsidP="002E5F04" w:rsidRDefault="002E5F04" w14:paraId="1F02196D" w14:textId="7739E86B">
            <w:pPr>
              <w:jc w:val="right"/>
            </w:pPr>
            <w:r w:rsidRPr="00676EEF">
              <w:rPr>
                <w:color w:val="000000"/>
              </w:rPr>
              <w:t xml:space="preserve">595 </w:t>
            </w:r>
          </w:p>
        </w:tc>
        <w:tc>
          <w:tcPr>
            <w:tcW w:w="1480" w:type="dxa"/>
            <w:tcBorders>
              <w:top w:val="single" w:color="auto" w:sz="4" w:space="0"/>
              <w:left w:val="nil"/>
              <w:bottom w:val="single" w:color="auto" w:sz="4" w:space="0"/>
              <w:right w:val="single" w:color="auto" w:sz="4" w:space="0"/>
            </w:tcBorders>
            <w:shd w:val="clear" w:color="auto" w:fill="auto"/>
            <w:noWrap/>
            <w:vAlign w:val="bottom"/>
            <w:hideMark/>
          </w:tcPr>
          <w:p w:rsidRPr="00676EEF" w:rsidR="002E5F04" w:rsidP="002E5F04" w:rsidRDefault="002E5F04" w14:paraId="2E9639A6" w14:textId="388E9934">
            <w:pPr>
              <w:jc w:val="right"/>
            </w:pPr>
            <w:r w:rsidRPr="00676EEF">
              <w:rPr>
                <w:color w:val="000000"/>
              </w:rPr>
              <w:t xml:space="preserve">595 </w:t>
            </w:r>
          </w:p>
        </w:tc>
      </w:tr>
      <w:tr w:rsidR="002E5F04" w:rsidTr="002E5F04" w14:paraId="68D77F8E" w14:textId="77777777">
        <w:trPr>
          <w:trHeight w:val="288"/>
        </w:trPr>
        <w:tc>
          <w:tcPr>
            <w:tcW w:w="1880" w:type="dxa"/>
            <w:tcBorders>
              <w:top w:val="nil"/>
              <w:left w:val="nil"/>
              <w:bottom w:val="nil"/>
              <w:right w:val="nil"/>
            </w:tcBorders>
            <w:shd w:val="clear" w:color="auto" w:fill="auto"/>
            <w:noWrap/>
            <w:vAlign w:val="bottom"/>
            <w:hideMark/>
          </w:tcPr>
          <w:p w:rsidRPr="00676EEF" w:rsidR="002E5F04" w:rsidP="002E5F04" w:rsidRDefault="002E5F04" w14:paraId="124B688F" w14:textId="07201532">
            <w:r w:rsidRPr="00676EEF">
              <w:rPr>
                <w:color w:val="000000"/>
              </w:rPr>
              <w:t>2</w:t>
            </w:r>
          </w:p>
        </w:tc>
        <w:tc>
          <w:tcPr>
            <w:tcW w:w="1433" w:type="dxa"/>
            <w:tcBorders>
              <w:top w:val="nil"/>
              <w:left w:val="single" w:color="auto" w:sz="4" w:space="0"/>
              <w:bottom w:val="single" w:color="auto" w:sz="4" w:space="0"/>
              <w:right w:val="single" w:color="auto" w:sz="4" w:space="0"/>
            </w:tcBorders>
            <w:shd w:val="clear" w:color="auto" w:fill="auto"/>
            <w:vAlign w:val="bottom"/>
            <w:hideMark/>
          </w:tcPr>
          <w:p w:rsidRPr="00676EEF" w:rsidR="002E5F04" w:rsidP="00C1695B" w:rsidRDefault="002E5F04" w14:paraId="71F6F496" w14:textId="6286F9DA">
            <w:pPr>
              <w:jc w:val="right"/>
              <w:rPr>
                <w:color w:val="000000"/>
              </w:rPr>
            </w:pPr>
            <w:r w:rsidRPr="00676EEF">
              <w:rPr>
                <w:color w:val="000000"/>
              </w:rPr>
              <w:t xml:space="preserve">                                 26,100 </w:t>
            </w:r>
          </w:p>
        </w:tc>
        <w:tc>
          <w:tcPr>
            <w:tcW w:w="13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2A121900" w14:textId="54CF506E">
            <w:pPr>
              <w:jc w:val="right"/>
            </w:pPr>
            <w:r w:rsidRPr="00676EEF">
              <w:rPr>
                <w:color w:val="000000"/>
              </w:rPr>
              <w:t xml:space="preserve">                   1,305 </w:t>
            </w:r>
          </w:p>
        </w:tc>
        <w:tc>
          <w:tcPr>
            <w:tcW w:w="14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1355EE3E" w14:textId="22CEAC17">
            <w:pPr>
              <w:jc w:val="right"/>
            </w:pPr>
            <w:r w:rsidRPr="00676EEF">
              <w:rPr>
                <w:color w:val="000000"/>
              </w:rPr>
              <w:t xml:space="preserve">653 </w:t>
            </w:r>
          </w:p>
        </w:tc>
        <w:tc>
          <w:tcPr>
            <w:tcW w:w="148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62A180CF" w14:textId="1322560B">
            <w:pPr>
              <w:jc w:val="right"/>
            </w:pPr>
            <w:r w:rsidRPr="00676EEF">
              <w:rPr>
                <w:color w:val="000000"/>
              </w:rPr>
              <w:t xml:space="preserve">653 </w:t>
            </w:r>
          </w:p>
        </w:tc>
      </w:tr>
      <w:tr w:rsidR="002E5F04" w:rsidTr="002E5F04" w14:paraId="67733341" w14:textId="77777777">
        <w:trPr>
          <w:trHeight w:val="288"/>
        </w:trPr>
        <w:tc>
          <w:tcPr>
            <w:tcW w:w="1880" w:type="dxa"/>
            <w:tcBorders>
              <w:top w:val="nil"/>
              <w:left w:val="nil"/>
              <w:bottom w:val="nil"/>
              <w:right w:val="nil"/>
            </w:tcBorders>
            <w:shd w:val="clear" w:color="auto" w:fill="auto"/>
            <w:noWrap/>
            <w:vAlign w:val="bottom"/>
            <w:hideMark/>
          </w:tcPr>
          <w:p w:rsidRPr="00676EEF" w:rsidR="002E5F04" w:rsidP="002E5F04" w:rsidRDefault="002E5F04" w14:paraId="2E455C2E" w14:textId="09B8C82E">
            <w:r w:rsidRPr="00676EEF">
              <w:rPr>
                <w:color w:val="000000"/>
              </w:rPr>
              <w:t>3</w:t>
            </w:r>
          </w:p>
        </w:tc>
        <w:tc>
          <w:tcPr>
            <w:tcW w:w="1433" w:type="dxa"/>
            <w:tcBorders>
              <w:top w:val="nil"/>
              <w:left w:val="single" w:color="auto" w:sz="4" w:space="0"/>
              <w:bottom w:val="single" w:color="auto" w:sz="4" w:space="0"/>
              <w:right w:val="single" w:color="auto" w:sz="4" w:space="0"/>
            </w:tcBorders>
            <w:shd w:val="clear" w:color="auto" w:fill="auto"/>
            <w:vAlign w:val="bottom"/>
            <w:hideMark/>
          </w:tcPr>
          <w:p w:rsidRPr="00676EEF" w:rsidR="002E5F04" w:rsidP="00C1695B" w:rsidRDefault="002E5F04" w14:paraId="35EE1246" w14:textId="2070B840">
            <w:pPr>
              <w:jc w:val="right"/>
              <w:rPr>
                <w:color w:val="000000"/>
              </w:rPr>
            </w:pPr>
            <w:r w:rsidRPr="00676EEF">
              <w:rPr>
                <w:color w:val="000000"/>
              </w:rPr>
              <w:t xml:space="preserve">                                 32,600 </w:t>
            </w:r>
          </w:p>
        </w:tc>
        <w:tc>
          <w:tcPr>
            <w:tcW w:w="13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093FDECD" w14:textId="1DCA62EB">
            <w:pPr>
              <w:jc w:val="right"/>
            </w:pPr>
            <w:r w:rsidRPr="00676EEF">
              <w:rPr>
                <w:color w:val="000000"/>
              </w:rPr>
              <w:t xml:space="preserve">                   1,630 </w:t>
            </w:r>
          </w:p>
        </w:tc>
        <w:tc>
          <w:tcPr>
            <w:tcW w:w="14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72530A01" w14:textId="087A9D81">
            <w:pPr>
              <w:jc w:val="right"/>
            </w:pPr>
            <w:r w:rsidRPr="00676EEF">
              <w:rPr>
                <w:color w:val="000000"/>
              </w:rPr>
              <w:t xml:space="preserve">815 </w:t>
            </w:r>
          </w:p>
        </w:tc>
        <w:tc>
          <w:tcPr>
            <w:tcW w:w="148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76B3B6A8" w14:textId="05DC2225">
            <w:pPr>
              <w:jc w:val="right"/>
            </w:pPr>
            <w:r w:rsidRPr="00676EEF">
              <w:rPr>
                <w:color w:val="000000"/>
              </w:rPr>
              <w:t xml:space="preserve">815 </w:t>
            </w:r>
          </w:p>
        </w:tc>
      </w:tr>
      <w:tr w:rsidR="002E5F04" w:rsidTr="002E5F04" w14:paraId="47D83296" w14:textId="77777777">
        <w:trPr>
          <w:trHeight w:val="288"/>
        </w:trPr>
        <w:tc>
          <w:tcPr>
            <w:tcW w:w="1880" w:type="dxa"/>
            <w:tcBorders>
              <w:top w:val="nil"/>
              <w:left w:val="nil"/>
              <w:bottom w:val="nil"/>
              <w:right w:val="nil"/>
            </w:tcBorders>
            <w:shd w:val="clear" w:color="auto" w:fill="auto"/>
            <w:noWrap/>
            <w:vAlign w:val="bottom"/>
            <w:hideMark/>
          </w:tcPr>
          <w:p w:rsidRPr="00676EEF" w:rsidR="002E5F04" w:rsidP="002E5F04" w:rsidRDefault="002E5F04" w14:paraId="498237ED" w14:textId="39624D92">
            <w:r w:rsidRPr="00676EEF">
              <w:rPr>
                <w:color w:val="000000"/>
              </w:rPr>
              <w:t>4</w:t>
            </w:r>
          </w:p>
        </w:tc>
        <w:tc>
          <w:tcPr>
            <w:tcW w:w="1433" w:type="dxa"/>
            <w:tcBorders>
              <w:top w:val="nil"/>
              <w:left w:val="single" w:color="auto" w:sz="4" w:space="0"/>
              <w:bottom w:val="single" w:color="auto" w:sz="4" w:space="0"/>
              <w:right w:val="single" w:color="auto" w:sz="4" w:space="0"/>
            </w:tcBorders>
            <w:shd w:val="clear" w:color="auto" w:fill="auto"/>
            <w:vAlign w:val="bottom"/>
            <w:hideMark/>
          </w:tcPr>
          <w:p w:rsidRPr="00676EEF" w:rsidR="002E5F04" w:rsidP="00C1695B" w:rsidRDefault="002E5F04" w14:paraId="23A86DD8" w14:textId="31FC9596">
            <w:pPr>
              <w:jc w:val="right"/>
              <w:rPr>
                <w:color w:val="000000"/>
              </w:rPr>
            </w:pPr>
            <w:r w:rsidRPr="00676EEF">
              <w:rPr>
                <w:color w:val="000000"/>
              </w:rPr>
              <w:t xml:space="preserve">                                 10,800 </w:t>
            </w:r>
          </w:p>
        </w:tc>
        <w:tc>
          <w:tcPr>
            <w:tcW w:w="13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0F8ABCC8" w14:textId="25ACE1BF">
            <w:pPr>
              <w:jc w:val="right"/>
            </w:pPr>
            <w:r w:rsidRPr="00676EEF">
              <w:rPr>
                <w:color w:val="000000"/>
              </w:rPr>
              <w:t xml:space="preserve">                      540 </w:t>
            </w:r>
          </w:p>
        </w:tc>
        <w:tc>
          <w:tcPr>
            <w:tcW w:w="14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5878F8CE" w14:textId="36EAA143">
            <w:pPr>
              <w:jc w:val="right"/>
            </w:pPr>
            <w:r w:rsidRPr="00676EEF">
              <w:rPr>
                <w:color w:val="000000"/>
              </w:rPr>
              <w:t xml:space="preserve">270 </w:t>
            </w:r>
          </w:p>
        </w:tc>
        <w:tc>
          <w:tcPr>
            <w:tcW w:w="148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33EDE0DC" w14:textId="4AFF19AA">
            <w:pPr>
              <w:jc w:val="right"/>
            </w:pPr>
            <w:r w:rsidRPr="00676EEF">
              <w:rPr>
                <w:color w:val="000000"/>
              </w:rPr>
              <w:t xml:space="preserve">270 </w:t>
            </w:r>
          </w:p>
        </w:tc>
      </w:tr>
      <w:tr w:rsidR="002E5F04" w:rsidTr="002E5F04" w14:paraId="609755CD" w14:textId="77777777">
        <w:trPr>
          <w:trHeight w:val="288"/>
        </w:trPr>
        <w:tc>
          <w:tcPr>
            <w:tcW w:w="1880" w:type="dxa"/>
            <w:tcBorders>
              <w:top w:val="nil"/>
              <w:left w:val="nil"/>
              <w:bottom w:val="nil"/>
              <w:right w:val="nil"/>
            </w:tcBorders>
            <w:shd w:val="clear" w:color="auto" w:fill="auto"/>
            <w:noWrap/>
            <w:vAlign w:val="bottom"/>
            <w:hideMark/>
          </w:tcPr>
          <w:p w:rsidRPr="00676EEF" w:rsidR="002E5F04" w:rsidP="002E5F04" w:rsidRDefault="002E5F04" w14:paraId="4C197617" w14:textId="159CFEE3">
            <w:r w:rsidRPr="00676EEF">
              <w:rPr>
                <w:color w:val="000000"/>
              </w:rPr>
              <w:t>5</w:t>
            </w:r>
          </w:p>
        </w:tc>
        <w:tc>
          <w:tcPr>
            <w:tcW w:w="1433" w:type="dxa"/>
            <w:tcBorders>
              <w:top w:val="nil"/>
              <w:left w:val="single" w:color="auto" w:sz="4" w:space="0"/>
              <w:bottom w:val="single" w:color="auto" w:sz="4" w:space="0"/>
              <w:right w:val="single" w:color="auto" w:sz="4" w:space="0"/>
            </w:tcBorders>
            <w:shd w:val="clear" w:color="auto" w:fill="auto"/>
            <w:vAlign w:val="bottom"/>
            <w:hideMark/>
          </w:tcPr>
          <w:p w:rsidRPr="00676EEF" w:rsidR="002E5F04" w:rsidP="00C1695B" w:rsidRDefault="002E5F04" w14:paraId="07D422C8" w14:textId="4DDD440C">
            <w:pPr>
              <w:jc w:val="right"/>
              <w:rPr>
                <w:color w:val="000000"/>
              </w:rPr>
            </w:pPr>
            <w:r w:rsidRPr="00676EEF">
              <w:rPr>
                <w:color w:val="000000"/>
              </w:rPr>
              <w:t xml:space="preserve">                                 81,500 </w:t>
            </w:r>
          </w:p>
        </w:tc>
        <w:tc>
          <w:tcPr>
            <w:tcW w:w="13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7046FEA3" w14:textId="05E5557C">
            <w:pPr>
              <w:jc w:val="right"/>
            </w:pPr>
            <w:r w:rsidRPr="00676EEF">
              <w:rPr>
                <w:color w:val="000000"/>
              </w:rPr>
              <w:t xml:space="preserve">                   4,075 </w:t>
            </w:r>
          </w:p>
        </w:tc>
        <w:tc>
          <w:tcPr>
            <w:tcW w:w="14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6EA3A4F4" w14:textId="74DF5848">
            <w:pPr>
              <w:jc w:val="right"/>
            </w:pPr>
            <w:r w:rsidRPr="00676EEF">
              <w:rPr>
                <w:color w:val="000000"/>
              </w:rPr>
              <w:t xml:space="preserve">2,038 </w:t>
            </w:r>
          </w:p>
        </w:tc>
        <w:tc>
          <w:tcPr>
            <w:tcW w:w="148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16FC1AA8" w14:textId="48826704">
            <w:pPr>
              <w:jc w:val="right"/>
            </w:pPr>
            <w:r w:rsidRPr="00676EEF">
              <w:rPr>
                <w:color w:val="000000"/>
              </w:rPr>
              <w:t xml:space="preserve">2,038 </w:t>
            </w:r>
          </w:p>
        </w:tc>
      </w:tr>
      <w:tr w:rsidR="002E5F04" w:rsidTr="002E5F04" w14:paraId="2ABEBDBD" w14:textId="77777777">
        <w:trPr>
          <w:trHeight w:val="288"/>
        </w:trPr>
        <w:tc>
          <w:tcPr>
            <w:tcW w:w="1880" w:type="dxa"/>
            <w:tcBorders>
              <w:top w:val="nil"/>
              <w:left w:val="nil"/>
              <w:bottom w:val="nil"/>
              <w:right w:val="nil"/>
            </w:tcBorders>
            <w:shd w:val="clear" w:color="auto" w:fill="auto"/>
            <w:noWrap/>
            <w:vAlign w:val="bottom"/>
            <w:hideMark/>
          </w:tcPr>
          <w:p w:rsidRPr="00676EEF" w:rsidR="002E5F04" w:rsidP="002E5F04" w:rsidRDefault="002E5F04" w14:paraId="28C39136" w14:textId="574C58F0">
            <w:r w:rsidRPr="00676EEF">
              <w:rPr>
                <w:color w:val="000000"/>
              </w:rPr>
              <w:t>6</w:t>
            </w:r>
          </w:p>
        </w:tc>
        <w:tc>
          <w:tcPr>
            <w:tcW w:w="1433" w:type="dxa"/>
            <w:tcBorders>
              <w:top w:val="nil"/>
              <w:left w:val="single" w:color="auto" w:sz="4" w:space="0"/>
              <w:bottom w:val="single" w:color="auto" w:sz="4" w:space="0"/>
              <w:right w:val="single" w:color="auto" w:sz="4" w:space="0"/>
            </w:tcBorders>
            <w:shd w:val="clear" w:color="auto" w:fill="auto"/>
            <w:vAlign w:val="bottom"/>
            <w:hideMark/>
          </w:tcPr>
          <w:p w:rsidRPr="00676EEF" w:rsidR="002E5F04" w:rsidP="00C1695B" w:rsidRDefault="002E5F04" w14:paraId="71A68221" w14:textId="4C84CE86">
            <w:pPr>
              <w:jc w:val="right"/>
              <w:rPr>
                <w:color w:val="000000"/>
              </w:rPr>
            </w:pPr>
            <w:r w:rsidRPr="00676EEF">
              <w:rPr>
                <w:color w:val="000000"/>
              </w:rPr>
              <w:t xml:space="preserve">                                 25,400 </w:t>
            </w:r>
          </w:p>
        </w:tc>
        <w:tc>
          <w:tcPr>
            <w:tcW w:w="13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1BDB3110" w14:textId="7B72154D">
            <w:pPr>
              <w:jc w:val="right"/>
            </w:pPr>
            <w:r w:rsidRPr="00676EEF">
              <w:rPr>
                <w:color w:val="000000"/>
              </w:rPr>
              <w:t xml:space="preserve">                   1,270 </w:t>
            </w:r>
          </w:p>
        </w:tc>
        <w:tc>
          <w:tcPr>
            <w:tcW w:w="14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42F5FD11" w14:textId="6A563A9B">
            <w:pPr>
              <w:jc w:val="right"/>
            </w:pPr>
            <w:r w:rsidRPr="00676EEF">
              <w:rPr>
                <w:color w:val="000000"/>
              </w:rPr>
              <w:t xml:space="preserve">635 </w:t>
            </w:r>
          </w:p>
        </w:tc>
        <w:tc>
          <w:tcPr>
            <w:tcW w:w="148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71FA4F3D" w14:textId="403ADF80">
            <w:pPr>
              <w:jc w:val="right"/>
            </w:pPr>
            <w:r w:rsidRPr="00676EEF">
              <w:rPr>
                <w:color w:val="000000"/>
              </w:rPr>
              <w:t xml:space="preserve">635 </w:t>
            </w:r>
          </w:p>
        </w:tc>
      </w:tr>
      <w:tr w:rsidR="002E5F04" w:rsidTr="002E5F04" w14:paraId="2FB6984D" w14:textId="77777777">
        <w:trPr>
          <w:trHeight w:val="288"/>
        </w:trPr>
        <w:tc>
          <w:tcPr>
            <w:tcW w:w="1880" w:type="dxa"/>
            <w:tcBorders>
              <w:top w:val="nil"/>
              <w:left w:val="nil"/>
              <w:bottom w:val="nil"/>
              <w:right w:val="nil"/>
            </w:tcBorders>
            <w:shd w:val="clear" w:color="auto" w:fill="auto"/>
            <w:noWrap/>
            <w:vAlign w:val="bottom"/>
            <w:hideMark/>
          </w:tcPr>
          <w:p w:rsidRPr="00676EEF" w:rsidR="002E5F04" w:rsidP="002E5F04" w:rsidRDefault="002E5F04" w14:paraId="7281C8C2" w14:textId="2AA1C12E">
            <w:r w:rsidRPr="00676EEF">
              <w:rPr>
                <w:color w:val="000000"/>
              </w:rPr>
              <w:t>7</w:t>
            </w:r>
          </w:p>
        </w:tc>
        <w:tc>
          <w:tcPr>
            <w:tcW w:w="1433" w:type="dxa"/>
            <w:tcBorders>
              <w:top w:val="nil"/>
              <w:left w:val="single" w:color="auto" w:sz="4" w:space="0"/>
              <w:bottom w:val="single" w:color="auto" w:sz="4" w:space="0"/>
              <w:right w:val="single" w:color="auto" w:sz="4" w:space="0"/>
            </w:tcBorders>
            <w:shd w:val="clear" w:color="auto" w:fill="auto"/>
            <w:vAlign w:val="bottom"/>
            <w:hideMark/>
          </w:tcPr>
          <w:p w:rsidRPr="00676EEF" w:rsidR="002E5F04" w:rsidP="00C1695B" w:rsidRDefault="002E5F04" w14:paraId="77FFB727" w14:textId="42AF0584">
            <w:pPr>
              <w:jc w:val="right"/>
              <w:rPr>
                <w:color w:val="000000"/>
              </w:rPr>
            </w:pPr>
            <w:r w:rsidRPr="00676EEF">
              <w:rPr>
                <w:color w:val="000000"/>
              </w:rPr>
              <w:t xml:space="preserve">                                   5,200 </w:t>
            </w:r>
          </w:p>
        </w:tc>
        <w:tc>
          <w:tcPr>
            <w:tcW w:w="13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28225CF6" w14:textId="7D1C3686">
            <w:pPr>
              <w:jc w:val="right"/>
            </w:pPr>
            <w:r w:rsidRPr="00676EEF">
              <w:rPr>
                <w:color w:val="000000"/>
              </w:rPr>
              <w:t xml:space="preserve">                      260 </w:t>
            </w:r>
          </w:p>
        </w:tc>
        <w:tc>
          <w:tcPr>
            <w:tcW w:w="14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495524B4" w14:textId="37748255">
            <w:pPr>
              <w:jc w:val="right"/>
            </w:pPr>
            <w:r w:rsidRPr="00676EEF">
              <w:rPr>
                <w:color w:val="000000"/>
              </w:rPr>
              <w:t xml:space="preserve">130 </w:t>
            </w:r>
          </w:p>
        </w:tc>
        <w:tc>
          <w:tcPr>
            <w:tcW w:w="148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626DF756" w14:textId="4857C09E">
            <w:pPr>
              <w:jc w:val="right"/>
            </w:pPr>
            <w:r w:rsidRPr="00676EEF">
              <w:rPr>
                <w:color w:val="000000"/>
              </w:rPr>
              <w:t xml:space="preserve">130 </w:t>
            </w:r>
          </w:p>
        </w:tc>
      </w:tr>
      <w:tr w:rsidR="002E5F04" w:rsidTr="002E5F04" w14:paraId="71F994B6" w14:textId="77777777">
        <w:trPr>
          <w:trHeight w:val="288"/>
        </w:trPr>
        <w:tc>
          <w:tcPr>
            <w:tcW w:w="1880" w:type="dxa"/>
            <w:tcBorders>
              <w:top w:val="nil"/>
              <w:left w:val="nil"/>
              <w:bottom w:val="nil"/>
              <w:right w:val="nil"/>
            </w:tcBorders>
            <w:shd w:val="clear" w:color="auto" w:fill="auto"/>
            <w:noWrap/>
            <w:vAlign w:val="bottom"/>
            <w:hideMark/>
          </w:tcPr>
          <w:p w:rsidRPr="00676EEF" w:rsidR="002E5F04" w:rsidP="002E5F04" w:rsidRDefault="002E5F04" w14:paraId="0AFD97B2" w14:textId="1B01E7AE">
            <w:r w:rsidRPr="00676EEF">
              <w:rPr>
                <w:color w:val="000000"/>
              </w:rPr>
              <w:t>8</w:t>
            </w:r>
          </w:p>
        </w:tc>
        <w:tc>
          <w:tcPr>
            <w:tcW w:w="1433" w:type="dxa"/>
            <w:tcBorders>
              <w:top w:val="nil"/>
              <w:left w:val="single" w:color="auto" w:sz="4" w:space="0"/>
              <w:bottom w:val="single" w:color="auto" w:sz="4" w:space="0"/>
              <w:right w:val="single" w:color="auto" w:sz="4" w:space="0"/>
            </w:tcBorders>
            <w:shd w:val="clear" w:color="auto" w:fill="auto"/>
            <w:vAlign w:val="bottom"/>
            <w:hideMark/>
          </w:tcPr>
          <w:p w:rsidRPr="00676EEF" w:rsidR="002E5F04" w:rsidP="00C1695B" w:rsidRDefault="002E5F04" w14:paraId="3DB13359" w14:textId="2FD57129">
            <w:pPr>
              <w:jc w:val="right"/>
              <w:rPr>
                <w:color w:val="000000"/>
              </w:rPr>
            </w:pPr>
            <w:r w:rsidRPr="00676EEF">
              <w:rPr>
                <w:color w:val="000000"/>
              </w:rPr>
              <w:t xml:space="preserve">                                 20,400 </w:t>
            </w:r>
          </w:p>
        </w:tc>
        <w:tc>
          <w:tcPr>
            <w:tcW w:w="13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520BB333" w14:textId="36DA3A0D">
            <w:pPr>
              <w:jc w:val="right"/>
            </w:pPr>
            <w:r w:rsidRPr="00676EEF">
              <w:rPr>
                <w:color w:val="000000"/>
              </w:rPr>
              <w:t xml:space="preserve">                   1,020 </w:t>
            </w:r>
          </w:p>
        </w:tc>
        <w:tc>
          <w:tcPr>
            <w:tcW w:w="14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25E68B83" w14:textId="15953041">
            <w:pPr>
              <w:jc w:val="right"/>
            </w:pPr>
            <w:r w:rsidRPr="00676EEF">
              <w:rPr>
                <w:color w:val="000000"/>
              </w:rPr>
              <w:t xml:space="preserve">510 </w:t>
            </w:r>
          </w:p>
        </w:tc>
        <w:tc>
          <w:tcPr>
            <w:tcW w:w="148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1882EE38" w14:textId="30A39D98">
            <w:pPr>
              <w:jc w:val="right"/>
            </w:pPr>
            <w:r w:rsidRPr="00676EEF">
              <w:rPr>
                <w:color w:val="000000"/>
              </w:rPr>
              <w:t xml:space="preserve">510 </w:t>
            </w:r>
          </w:p>
        </w:tc>
      </w:tr>
      <w:tr w:rsidR="002E5F04" w:rsidTr="002E5F04" w14:paraId="5F401E92" w14:textId="77777777">
        <w:trPr>
          <w:trHeight w:val="288"/>
        </w:trPr>
        <w:tc>
          <w:tcPr>
            <w:tcW w:w="1880" w:type="dxa"/>
            <w:tcBorders>
              <w:top w:val="nil"/>
              <w:left w:val="nil"/>
              <w:bottom w:val="nil"/>
              <w:right w:val="nil"/>
            </w:tcBorders>
            <w:shd w:val="clear" w:color="auto" w:fill="auto"/>
            <w:noWrap/>
            <w:vAlign w:val="bottom"/>
            <w:hideMark/>
          </w:tcPr>
          <w:p w:rsidRPr="00676EEF" w:rsidR="002E5F04" w:rsidP="002E5F04" w:rsidRDefault="002E5F04" w14:paraId="0ECAF711" w14:textId="33B7C920">
            <w:r w:rsidRPr="00676EEF">
              <w:rPr>
                <w:color w:val="000000"/>
              </w:rPr>
              <w:t>9</w:t>
            </w:r>
          </w:p>
        </w:tc>
        <w:tc>
          <w:tcPr>
            <w:tcW w:w="1433" w:type="dxa"/>
            <w:tcBorders>
              <w:top w:val="nil"/>
              <w:left w:val="single" w:color="auto" w:sz="4" w:space="0"/>
              <w:bottom w:val="single" w:color="auto" w:sz="4" w:space="0"/>
              <w:right w:val="single" w:color="auto" w:sz="4" w:space="0"/>
            </w:tcBorders>
            <w:shd w:val="clear" w:color="auto" w:fill="auto"/>
            <w:vAlign w:val="bottom"/>
            <w:hideMark/>
          </w:tcPr>
          <w:p w:rsidRPr="00676EEF" w:rsidR="002E5F04" w:rsidP="00C1695B" w:rsidRDefault="002E5F04" w14:paraId="1B74FEDA" w14:textId="5135E336">
            <w:pPr>
              <w:jc w:val="right"/>
              <w:rPr>
                <w:color w:val="000000"/>
              </w:rPr>
            </w:pPr>
            <w:r w:rsidRPr="00676EEF">
              <w:rPr>
                <w:color w:val="000000"/>
              </w:rPr>
              <w:t xml:space="preserve">                               131,600 </w:t>
            </w:r>
          </w:p>
        </w:tc>
        <w:tc>
          <w:tcPr>
            <w:tcW w:w="13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7261A318" w14:textId="5CB6709B">
            <w:pPr>
              <w:jc w:val="right"/>
            </w:pPr>
            <w:r w:rsidRPr="00676EEF">
              <w:rPr>
                <w:color w:val="000000"/>
              </w:rPr>
              <w:t xml:space="preserve">                   6,580 </w:t>
            </w:r>
          </w:p>
        </w:tc>
        <w:tc>
          <w:tcPr>
            <w:tcW w:w="14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26BACEE0" w14:textId="60D6D7A9">
            <w:pPr>
              <w:jc w:val="right"/>
            </w:pPr>
            <w:r w:rsidRPr="00676EEF">
              <w:rPr>
                <w:color w:val="000000"/>
              </w:rPr>
              <w:t xml:space="preserve">3,290 </w:t>
            </w:r>
          </w:p>
        </w:tc>
        <w:tc>
          <w:tcPr>
            <w:tcW w:w="148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679F244A" w14:textId="3447D239">
            <w:pPr>
              <w:jc w:val="right"/>
            </w:pPr>
            <w:r w:rsidRPr="00676EEF">
              <w:rPr>
                <w:color w:val="000000"/>
              </w:rPr>
              <w:t xml:space="preserve">3,290 </w:t>
            </w:r>
          </w:p>
        </w:tc>
      </w:tr>
      <w:tr w:rsidR="00F603DD" w:rsidTr="002E5F04" w14:paraId="4DADEA08" w14:textId="77777777">
        <w:trPr>
          <w:trHeight w:val="264"/>
        </w:trPr>
        <w:tc>
          <w:tcPr>
            <w:tcW w:w="1880" w:type="dxa"/>
            <w:tcBorders>
              <w:top w:val="nil"/>
              <w:left w:val="nil"/>
              <w:bottom w:val="nil"/>
              <w:right w:val="nil"/>
            </w:tcBorders>
            <w:shd w:val="clear" w:color="auto" w:fill="auto"/>
            <w:noWrap/>
            <w:vAlign w:val="bottom"/>
          </w:tcPr>
          <w:p w:rsidRPr="00676EEF" w:rsidR="00F603DD" w:rsidRDefault="00F603DD" w14:paraId="28B9D659" w14:textId="7CC2596B">
            <w:r>
              <w:t>10</w:t>
            </w:r>
          </w:p>
        </w:tc>
        <w:tc>
          <w:tcPr>
            <w:tcW w:w="1433" w:type="dxa"/>
            <w:tcBorders>
              <w:top w:val="nil"/>
              <w:left w:val="single" w:color="auto" w:sz="4" w:space="0"/>
              <w:bottom w:val="single" w:color="auto" w:sz="4" w:space="0"/>
              <w:right w:val="single" w:color="auto" w:sz="4" w:space="0"/>
            </w:tcBorders>
            <w:shd w:val="clear" w:color="auto" w:fill="auto"/>
            <w:noWrap/>
            <w:vAlign w:val="bottom"/>
          </w:tcPr>
          <w:p w:rsidR="00F603DD" w:rsidP="00C1695B" w:rsidRDefault="00F603DD" w14:paraId="1CA3409D" w14:textId="77777777">
            <w:pPr>
              <w:jc w:val="right"/>
            </w:pPr>
          </w:p>
          <w:p w:rsidRPr="00676EEF" w:rsidR="00F603DD" w:rsidP="00C1695B" w:rsidRDefault="00F603DD" w14:paraId="7C60E5ED" w14:textId="3A480878">
            <w:pPr>
              <w:jc w:val="right"/>
            </w:pPr>
            <w:r>
              <w:t>N</w:t>
            </w:r>
            <w:r w:rsidR="00C1695B">
              <w:t xml:space="preserve">o </w:t>
            </w:r>
            <w:r>
              <w:t>A</w:t>
            </w:r>
            <w:r w:rsidR="00C1695B">
              <w:t>reas</w:t>
            </w:r>
          </w:p>
        </w:tc>
        <w:tc>
          <w:tcPr>
            <w:tcW w:w="1360" w:type="dxa"/>
            <w:tcBorders>
              <w:top w:val="nil"/>
              <w:left w:val="nil"/>
              <w:bottom w:val="single" w:color="auto" w:sz="4" w:space="0"/>
              <w:right w:val="single" w:color="auto" w:sz="4" w:space="0"/>
            </w:tcBorders>
            <w:shd w:val="clear" w:color="auto" w:fill="auto"/>
            <w:noWrap/>
            <w:vAlign w:val="bottom"/>
          </w:tcPr>
          <w:p w:rsidR="00F603DD" w:rsidRDefault="00C1695B" w14:paraId="2C61ADE2" w14:textId="53803CE5">
            <w:pPr>
              <w:jc w:val="right"/>
            </w:pPr>
            <w:r>
              <w:t>No Areas</w:t>
            </w:r>
          </w:p>
        </w:tc>
        <w:tc>
          <w:tcPr>
            <w:tcW w:w="1460" w:type="dxa"/>
            <w:tcBorders>
              <w:top w:val="nil"/>
              <w:left w:val="nil"/>
              <w:bottom w:val="single" w:color="auto" w:sz="4" w:space="0"/>
              <w:right w:val="single" w:color="auto" w:sz="4" w:space="0"/>
            </w:tcBorders>
            <w:shd w:val="clear" w:color="auto" w:fill="auto"/>
            <w:noWrap/>
            <w:vAlign w:val="bottom"/>
          </w:tcPr>
          <w:p w:rsidRPr="00676EEF" w:rsidR="00F603DD" w:rsidRDefault="00C1695B" w14:paraId="3A588973" w14:textId="7F3115AC">
            <w:pPr>
              <w:jc w:val="right"/>
            </w:pPr>
            <w:r>
              <w:t>No Areas</w:t>
            </w:r>
          </w:p>
        </w:tc>
        <w:tc>
          <w:tcPr>
            <w:tcW w:w="1480" w:type="dxa"/>
            <w:tcBorders>
              <w:top w:val="nil"/>
              <w:left w:val="nil"/>
              <w:bottom w:val="single" w:color="auto" w:sz="4" w:space="0"/>
              <w:right w:val="single" w:color="auto" w:sz="4" w:space="0"/>
            </w:tcBorders>
            <w:shd w:val="clear" w:color="auto" w:fill="auto"/>
            <w:noWrap/>
            <w:vAlign w:val="bottom"/>
          </w:tcPr>
          <w:p w:rsidRPr="00676EEF" w:rsidR="00F603DD" w:rsidRDefault="00C1695B" w14:paraId="719DCC27" w14:textId="7FBF9044">
            <w:pPr>
              <w:jc w:val="right"/>
            </w:pPr>
            <w:r>
              <w:t>No Areas</w:t>
            </w:r>
          </w:p>
        </w:tc>
      </w:tr>
      <w:tr w:rsidR="007F5150" w:rsidTr="002E5F04" w14:paraId="3BFDC39A" w14:textId="77777777">
        <w:trPr>
          <w:trHeight w:val="264"/>
        </w:trPr>
        <w:tc>
          <w:tcPr>
            <w:tcW w:w="1880" w:type="dxa"/>
            <w:tcBorders>
              <w:top w:val="nil"/>
              <w:left w:val="nil"/>
              <w:bottom w:val="nil"/>
              <w:right w:val="nil"/>
            </w:tcBorders>
            <w:shd w:val="clear" w:color="auto" w:fill="auto"/>
            <w:noWrap/>
            <w:vAlign w:val="bottom"/>
            <w:hideMark/>
          </w:tcPr>
          <w:p w:rsidRPr="00676EEF" w:rsidR="007F5150" w:rsidRDefault="007F5150" w14:paraId="39E1B243" w14:textId="3FDD1FAA">
            <w:r w:rsidRPr="00676EEF">
              <w:t xml:space="preserve">R9 </w:t>
            </w:r>
            <w:r w:rsidR="00F603DD">
              <w:t>T</w:t>
            </w:r>
            <w:r w:rsidRPr="00676EEF">
              <w:t>ribal areas</w:t>
            </w:r>
          </w:p>
        </w:tc>
        <w:tc>
          <w:tcPr>
            <w:tcW w:w="1433" w:type="dxa"/>
            <w:tcBorders>
              <w:top w:val="nil"/>
              <w:left w:val="single" w:color="auto" w:sz="4" w:space="0"/>
              <w:bottom w:val="single" w:color="auto" w:sz="4" w:space="0"/>
              <w:right w:val="single" w:color="auto" w:sz="4" w:space="0"/>
            </w:tcBorders>
            <w:shd w:val="clear" w:color="auto" w:fill="auto"/>
            <w:noWrap/>
            <w:vAlign w:val="bottom"/>
            <w:hideMark/>
          </w:tcPr>
          <w:p w:rsidRPr="00676EEF" w:rsidR="007F5150" w:rsidRDefault="007F5150" w14:paraId="22808B69" w14:textId="77777777">
            <w:r w:rsidRPr="00676EEF">
              <w:t> </w:t>
            </w:r>
          </w:p>
        </w:tc>
        <w:tc>
          <w:tcPr>
            <w:tcW w:w="1360" w:type="dxa"/>
            <w:tcBorders>
              <w:top w:val="nil"/>
              <w:left w:val="nil"/>
              <w:bottom w:val="single" w:color="auto" w:sz="4" w:space="0"/>
              <w:right w:val="single" w:color="auto" w:sz="4" w:space="0"/>
            </w:tcBorders>
            <w:shd w:val="clear" w:color="auto" w:fill="auto"/>
            <w:noWrap/>
            <w:vAlign w:val="bottom"/>
            <w:hideMark/>
          </w:tcPr>
          <w:p w:rsidR="00F603DD" w:rsidRDefault="00F603DD" w14:paraId="0835944F" w14:textId="77777777">
            <w:pPr>
              <w:jc w:val="right"/>
            </w:pPr>
          </w:p>
          <w:p w:rsidRPr="00676EEF" w:rsidR="007F5150" w:rsidRDefault="007F5150" w14:paraId="3870F12B" w14:textId="52364D05">
            <w:pPr>
              <w:jc w:val="right"/>
            </w:pPr>
            <w:r w:rsidRPr="00676EEF">
              <w:t>12,600</w:t>
            </w:r>
          </w:p>
        </w:tc>
        <w:tc>
          <w:tcPr>
            <w:tcW w:w="1460" w:type="dxa"/>
            <w:tcBorders>
              <w:top w:val="nil"/>
              <w:left w:val="nil"/>
              <w:bottom w:val="single" w:color="auto" w:sz="4" w:space="0"/>
              <w:right w:val="single" w:color="auto" w:sz="4" w:space="0"/>
            </w:tcBorders>
            <w:shd w:val="clear" w:color="auto" w:fill="auto"/>
            <w:noWrap/>
            <w:vAlign w:val="bottom"/>
            <w:hideMark/>
          </w:tcPr>
          <w:p w:rsidRPr="00676EEF" w:rsidR="007F5150" w:rsidRDefault="007F5150" w14:paraId="5FE0D709" w14:textId="77777777">
            <w:pPr>
              <w:jc w:val="right"/>
            </w:pPr>
            <w:r w:rsidRPr="00676EEF">
              <w:t>6,300</w:t>
            </w:r>
          </w:p>
        </w:tc>
        <w:tc>
          <w:tcPr>
            <w:tcW w:w="1480" w:type="dxa"/>
            <w:tcBorders>
              <w:top w:val="nil"/>
              <w:left w:val="nil"/>
              <w:bottom w:val="single" w:color="auto" w:sz="4" w:space="0"/>
              <w:right w:val="single" w:color="auto" w:sz="4" w:space="0"/>
            </w:tcBorders>
            <w:shd w:val="clear" w:color="auto" w:fill="auto"/>
            <w:noWrap/>
            <w:vAlign w:val="bottom"/>
            <w:hideMark/>
          </w:tcPr>
          <w:p w:rsidRPr="00676EEF" w:rsidR="007F5150" w:rsidRDefault="007F5150" w14:paraId="4FA65AFF" w14:textId="77777777">
            <w:pPr>
              <w:jc w:val="right"/>
            </w:pPr>
            <w:r w:rsidRPr="00676EEF">
              <w:t>6,300</w:t>
            </w:r>
          </w:p>
        </w:tc>
      </w:tr>
      <w:tr w:rsidR="002E5F04" w:rsidTr="002E5F04" w14:paraId="2D3D2838" w14:textId="77777777">
        <w:trPr>
          <w:trHeight w:val="264"/>
        </w:trPr>
        <w:tc>
          <w:tcPr>
            <w:tcW w:w="1880" w:type="dxa"/>
            <w:tcBorders>
              <w:top w:val="nil"/>
              <w:left w:val="nil"/>
              <w:bottom w:val="nil"/>
              <w:right w:val="nil"/>
            </w:tcBorders>
            <w:shd w:val="clear" w:color="auto" w:fill="auto"/>
            <w:noWrap/>
            <w:vAlign w:val="bottom"/>
            <w:hideMark/>
          </w:tcPr>
          <w:p w:rsidRPr="00676EEF" w:rsidR="002E5F04" w:rsidP="002E5F04" w:rsidRDefault="002E5F04" w14:paraId="1145B20E" w14:textId="77777777">
            <w:r w:rsidRPr="00676EEF">
              <w:t>Grand Total</w:t>
            </w:r>
          </w:p>
        </w:tc>
        <w:tc>
          <w:tcPr>
            <w:tcW w:w="1433" w:type="dxa"/>
            <w:tcBorders>
              <w:top w:val="nil"/>
              <w:left w:val="single" w:color="auto" w:sz="4" w:space="0"/>
              <w:bottom w:val="single" w:color="auto" w:sz="4" w:space="0"/>
              <w:right w:val="single" w:color="auto" w:sz="4" w:space="0"/>
            </w:tcBorders>
            <w:shd w:val="clear" w:color="auto" w:fill="auto"/>
            <w:noWrap/>
            <w:vAlign w:val="bottom"/>
            <w:hideMark/>
          </w:tcPr>
          <w:p w:rsidRPr="00676EEF" w:rsidR="002E5F04" w:rsidP="002E5F04" w:rsidRDefault="002E5F04" w14:paraId="39CC8506" w14:textId="3273D5BF">
            <w:pPr>
              <w:jc w:val="right"/>
              <w:rPr>
                <w:b/>
                <w:bCs/>
              </w:rPr>
            </w:pPr>
            <w:r w:rsidRPr="00676EEF">
              <w:rPr>
                <w:b/>
                <w:bCs/>
              </w:rPr>
              <w:t>357,400</w:t>
            </w:r>
          </w:p>
        </w:tc>
        <w:tc>
          <w:tcPr>
            <w:tcW w:w="13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76180B05" w14:textId="3F4627EB">
            <w:pPr>
              <w:jc w:val="right"/>
            </w:pPr>
            <w:r w:rsidRPr="00676EEF">
              <w:rPr>
                <w:b/>
                <w:bCs/>
                <w:color w:val="000000"/>
              </w:rPr>
              <w:t>30,470</w:t>
            </w:r>
          </w:p>
        </w:tc>
        <w:tc>
          <w:tcPr>
            <w:tcW w:w="146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136BC8D6" w14:textId="2DD16DBC">
            <w:pPr>
              <w:jc w:val="right"/>
            </w:pPr>
            <w:r w:rsidRPr="00676EEF">
              <w:rPr>
                <w:b/>
                <w:bCs/>
                <w:color w:val="000000"/>
              </w:rPr>
              <w:t xml:space="preserve">15,235 </w:t>
            </w:r>
          </w:p>
        </w:tc>
        <w:tc>
          <w:tcPr>
            <w:tcW w:w="1480" w:type="dxa"/>
            <w:tcBorders>
              <w:top w:val="nil"/>
              <w:left w:val="nil"/>
              <w:bottom w:val="single" w:color="auto" w:sz="4" w:space="0"/>
              <w:right w:val="single" w:color="auto" w:sz="4" w:space="0"/>
            </w:tcBorders>
            <w:shd w:val="clear" w:color="auto" w:fill="auto"/>
            <w:noWrap/>
            <w:vAlign w:val="bottom"/>
            <w:hideMark/>
          </w:tcPr>
          <w:p w:rsidRPr="00676EEF" w:rsidR="002E5F04" w:rsidP="002E5F04" w:rsidRDefault="002E5F04" w14:paraId="290483B3" w14:textId="75B16DD5">
            <w:pPr>
              <w:jc w:val="right"/>
            </w:pPr>
            <w:r w:rsidRPr="00676EEF">
              <w:rPr>
                <w:b/>
                <w:bCs/>
                <w:color w:val="000000"/>
              </w:rPr>
              <w:t xml:space="preserve">                     15,235 </w:t>
            </w:r>
          </w:p>
        </w:tc>
      </w:tr>
    </w:tbl>
    <w:p w:rsidR="005170B7" w:rsidP="000B4CA0" w:rsidRDefault="005170B7" w14:paraId="47ACB0B2" w14:textId="77777777">
      <w:pPr>
        <w:ind w:left="720"/>
        <w:rPr>
          <w:b/>
          <w:sz w:val="20"/>
          <w:szCs w:val="20"/>
        </w:rPr>
      </w:pPr>
    </w:p>
    <w:p w:rsidRPr="002010BF" w:rsidR="008D3E5A" w:rsidP="005D3B4C" w:rsidRDefault="008D3E5A" w14:paraId="470382F1" w14:textId="798896A1">
      <w:pPr>
        <w:pStyle w:val="ListParagraph"/>
        <w:ind w:left="1080"/>
        <w:rPr>
          <w:bCs/>
          <w:sz w:val="20"/>
          <w:szCs w:val="20"/>
        </w:rPr>
      </w:pPr>
      <w:r w:rsidRPr="002010BF">
        <w:rPr>
          <w:bCs/>
          <w:sz w:val="20"/>
          <w:szCs w:val="20"/>
        </w:rPr>
        <w:t xml:space="preserve">* Region 9 will incur burden of developing the Tribal planning and control requirements for the 2 tribal nonattainment areas </w:t>
      </w:r>
      <w:r w:rsidRPr="002010BF" w:rsidR="005D3B4C">
        <w:rPr>
          <w:bCs/>
          <w:sz w:val="20"/>
          <w:szCs w:val="20"/>
        </w:rPr>
        <w:t>–</w:t>
      </w:r>
      <w:r w:rsidRPr="002010BF">
        <w:rPr>
          <w:bCs/>
          <w:sz w:val="20"/>
          <w:szCs w:val="20"/>
        </w:rPr>
        <w:t xml:space="preserve"> </w:t>
      </w:r>
      <w:r w:rsidRPr="002010BF" w:rsidR="005D3B4C">
        <w:rPr>
          <w:bCs/>
          <w:sz w:val="20"/>
          <w:szCs w:val="20"/>
        </w:rPr>
        <w:t>Morongo Band of Mission Indians and Pechanga Band of Luiseno Mission Indians of the Pechanga Reservation</w:t>
      </w:r>
      <w:r w:rsidRPr="002010BF" w:rsidR="001D5907">
        <w:rPr>
          <w:bCs/>
          <w:sz w:val="20"/>
          <w:szCs w:val="20"/>
        </w:rPr>
        <w:t>.</w:t>
      </w:r>
      <w:r w:rsidRPr="002010BF" w:rsidR="004F282F">
        <w:rPr>
          <w:bCs/>
          <w:sz w:val="20"/>
          <w:szCs w:val="20"/>
        </w:rPr>
        <w:t xml:space="preserve"> Estimate</w:t>
      </w:r>
      <w:r w:rsidRPr="002010BF" w:rsidR="007A205A">
        <w:rPr>
          <w:bCs/>
          <w:sz w:val="20"/>
          <w:szCs w:val="20"/>
        </w:rPr>
        <w:t xml:space="preserve"> of 3-year burden of </w:t>
      </w:r>
      <w:r w:rsidRPr="002010BF" w:rsidR="004F282F">
        <w:rPr>
          <w:bCs/>
          <w:sz w:val="20"/>
          <w:szCs w:val="20"/>
        </w:rPr>
        <w:t>20,000 hours for Region 9 to develop Tribal plans for</w:t>
      </w:r>
      <w:r w:rsidRPr="002010BF" w:rsidR="00B62752">
        <w:rPr>
          <w:bCs/>
          <w:sz w:val="20"/>
          <w:szCs w:val="20"/>
        </w:rPr>
        <w:t xml:space="preserve"> the 2008 ozone </w:t>
      </w:r>
      <w:r w:rsidRPr="002010BF" w:rsidR="004F282F">
        <w:rPr>
          <w:bCs/>
          <w:sz w:val="20"/>
          <w:szCs w:val="20"/>
        </w:rPr>
        <w:t xml:space="preserve"> Morongo area classified as Serious and </w:t>
      </w:r>
      <w:r w:rsidRPr="002010BF" w:rsidR="00B904D5">
        <w:rPr>
          <w:bCs/>
          <w:sz w:val="20"/>
          <w:szCs w:val="20"/>
        </w:rPr>
        <w:t>5,</w:t>
      </w:r>
      <w:r w:rsidRPr="002010BF" w:rsidR="00342E83">
        <w:rPr>
          <w:bCs/>
          <w:sz w:val="20"/>
          <w:szCs w:val="20"/>
        </w:rPr>
        <w:t xml:space="preserve">100 hours for </w:t>
      </w:r>
      <w:r w:rsidRPr="002010BF" w:rsidR="00B62752">
        <w:rPr>
          <w:bCs/>
          <w:sz w:val="20"/>
          <w:szCs w:val="20"/>
        </w:rPr>
        <w:t xml:space="preserve">the 2015 ozone </w:t>
      </w:r>
      <w:r w:rsidRPr="002010BF" w:rsidR="004F282F">
        <w:rPr>
          <w:bCs/>
          <w:sz w:val="20"/>
          <w:szCs w:val="20"/>
        </w:rPr>
        <w:t>Pechanga area</w:t>
      </w:r>
      <w:r w:rsidRPr="002010BF" w:rsidR="00342E83">
        <w:rPr>
          <w:bCs/>
          <w:sz w:val="20"/>
          <w:szCs w:val="20"/>
        </w:rPr>
        <w:t xml:space="preserve"> plan</w:t>
      </w:r>
      <w:r w:rsidRPr="002010BF" w:rsidR="004F282F">
        <w:rPr>
          <w:bCs/>
          <w:sz w:val="20"/>
          <w:szCs w:val="20"/>
        </w:rPr>
        <w:t xml:space="preserve"> classified as Marginal</w:t>
      </w:r>
      <w:r w:rsidRPr="002010BF" w:rsidR="00B904D5">
        <w:rPr>
          <w:bCs/>
          <w:sz w:val="20"/>
          <w:szCs w:val="20"/>
        </w:rPr>
        <w:t xml:space="preserve"> the reclassified as Moderate</w:t>
      </w:r>
      <w:r w:rsidRPr="002010BF" w:rsidR="004F282F">
        <w:rPr>
          <w:bCs/>
          <w:sz w:val="20"/>
          <w:szCs w:val="20"/>
        </w:rPr>
        <w:t>.</w:t>
      </w:r>
      <w:r w:rsidRPr="002010BF" w:rsidR="005C6231">
        <w:rPr>
          <w:bCs/>
          <w:sz w:val="20"/>
          <w:szCs w:val="20"/>
        </w:rPr>
        <w:t xml:space="preserve"> Additional 100 hours for Pechanga second maintenance plan for 1997 ozone NAAQS. </w:t>
      </w:r>
      <w:r w:rsidRPr="002010BF" w:rsidR="007A205A">
        <w:rPr>
          <w:bCs/>
          <w:sz w:val="20"/>
          <w:szCs w:val="20"/>
        </w:rPr>
        <w:t xml:space="preserve"> The first year estimate is </w:t>
      </w:r>
      <w:r w:rsidRPr="002010BF" w:rsidR="0025104B">
        <w:rPr>
          <w:bCs/>
          <w:sz w:val="20"/>
          <w:szCs w:val="20"/>
        </w:rPr>
        <w:t>50%</w:t>
      </w:r>
      <w:r w:rsidRPr="002010BF" w:rsidR="007A205A">
        <w:rPr>
          <w:bCs/>
          <w:sz w:val="20"/>
          <w:szCs w:val="20"/>
        </w:rPr>
        <w:t xml:space="preserve"> of </w:t>
      </w:r>
      <w:r w:rsidRPr="002010BF" w:rsidR="0025104B">
        <w:rPr>
          <w:bCs/>
          <w:sz w:val="20"/>
          <w:szCs w:val="20"/>
        </w:rPr>
        <w:t xml:space="preserve">the </w:t>
      </w:r>
      <w:r w:rsidRPr="002010BF" w:rsidR="007A205A">
        <w:rPr>
          <w:bCs/>
          <w:sz w:val="20"/>
          <w:szCs w:val="20"/>
        </w:rPr>
        <w:t>3-year burden.</w:t>
      </w:r>
    </w:p>
    <w:p w:rsidR="008D3E5A" w:rsidP="000B4CA0" w:rsidRDefault="008D3E5A" w14:paraId="6CC32F11" w14:textId="77777777">
      <w:pPr>
        <w:ind w:left="720"/>
        <w:rPr>
          <w:b/>
          <w:sz w:val="20"/>
          <w:szCs w:val="20"/>
        </w:rPr>
      </w:pPr>
    </w:p>
    <w:p w:rsidR="008D3E5A" w:rsidP="000B4CA0" w:rsidRDefault="008D3E5A" w14:paraId="16F17F03" w14:textId="77777777">
      <w:pPr>
        <w:ind w:left="720"/>
        <w:rPr>
          <w:b/>
          <w:sz w:val="20"/>
          <w:szCs w:val="20"/>
        </w:rPr>
      </w:pPr>
    </w:p>
    <w:p w:rsidRPr="00A83140" w:rsidR="005170B7" w:rsidP="00277300" w:rsidRDefault="005170B7" w14:paraId="49A255DB" w14:textId="7D0F3EEA">
      <w:pPr>
        <w:ind w:firstLine="360"/>
      </w:pPr>
      <w:r>
        <w:rPr>
          <w:b/>
        </w:rPr>
        <w:t xml:space="preserve">Agency Headquarters Burden.  </w:t>
      </w:r>
      <w:r>
        <w:t>The Regional Office burden estimates for years 1, 2, and 3 are the State respondents total multiplied by 10% to arrive at an estimate for Headquarters burden for the same 3 years.  Resulting hours for year 1</w:t>
      </w:r>
      <w:r w:rsidR="00A05D00">
        <w:t xml:space="preserve"> is</w:t>
      </w:r>
      <w:r w:rsidRPr="002D4A68">
        <w:t xml:space="preserve"> </w:t>
      </w:r>
      <w:r w:rsidR="008E6A38">
        <w:t>3,</w:t>
      </w:r>
      <w:r w:rsidR="005C6231">
        <w:t>0</w:t>
      </w:r>
      <w:r w:rsidR="002E5F04">
        <w:t>47</w:t>
      </w:r>
      <w:r w:rsidR="00342E83">
        <w:t xml:space="preserve"> </w:t>
      </w:r>
      <w:r w:rsidR="00A05D00">
        <w:t xml:space="preserve">and </w:t>
      </w:r>
      <w:r w:rsidR="009C4B01">
        <w:t>1,</w:t>
      </w:r>
      <w:r w:rsidR="008E6A38">
        <w:t>5</w:t>
      </w:r>
      <w:r w:rsidR="002E5F04">
        <w:t>24</w:t>
      </w:r>
      <w:r w:rsidR="00A05D00">
        <w:t xml:space="preserve"> for years 2 and 3</w:t>
      </w:r>
      <w:r w:rsidRPr="00A83140">
        <w:t>.</w:t>
      </w:r>
    </w:p>
    <w:p w:rsidRPr="00A83140" w:rsidR="005170B7" w:rsidP="00277300" w:rsidRDefault="005170B7" w14:paraId="73C47C23" w14:textId="77777777">
      <w:pPr>
        <w:ind w:firstLine="360"/>
      </w:pPr>
    </w:p>
    <w:p w:rsidRPr="00A83140" w:rsidR="005170B7" w:rsidP="00277300" w:rsidRDefault="005170B7" w14:paraId="53DB32CA" w14:textId="3BFCAC86">
      <w:pPr>
        <w:ind w:firstLine="360"/>
      </w:pPr>
      <w:r w:rsidRPr="00A83140">
        <w:rPr>
          <w:b/>
        </w:rPr>
        <w:lastRenderedPageBreak/>
        <w:t xml:space="preserve">Total Incremental Burden for the Agency.   </w:t>
      </w:r>
      <w:r w:rsidRPr="00A83140">
        <w:t xml:space="preserve">The regional and headquarters office burden estimate for year 1 is </w:t>
      </w:r>
      <w:r w:rsidR="008E6A38">
        <w:t>33,</w:t>
      </w:r>
      <w:r w:rsidR="002E5F04">
        <w:t>517</w:t>
      </w:r>
      <w:r w:rsidRPr="00A83140">
        <w:t xml:space="preserve"> hours.  The </w:t>
      </w:r>
      <w:r>
        <w:t xml:space="preserve">estimates for years 2 and 3 are </w:t>
      </w:r>
      <w:r w:rsidR="005C6231">
        <w:t>16,</w:t>
      </w:r>
      <w:r w:rsidR="002E5F04">
        <w:t>759</w:t>
      </w:r>
      <w:r>
        <w:t xml:space="preserve"> </w:t>
      </w:r>
      <w:r w:rsidRPr="00A83140">
        <w:t>hours each year.</w:t>
      </w:r>
    </w:p>
    <w:p w:rsidRPr="00A83140" w:rsidR="005170B7" w:rsidP="00277300" w:rsidRDefault="005170B7" w14:paraId="1B3854C3" w14:textId="77777777">
      <w:pPr>
        <w:ind w:firstLine="360"/>
      </w:pPr>
    </w:p>
    <w:p w:rsidR="005170B7" w:rsidP="00277300" w:rsidRDefault="005170B7" w14:paraId="5B188D76" w14:textId="4957B475">
      <w:pPr>
        <w:ind w:firstLine="360"/>
      </w:pPr>
      <w:r w:rsidRPr="00A83140">
        <w:rPr>
          <w:b/>
        </w:rPr>
        <w:t xml:space="preserve">Total Cost for the Agency.  </w:t>
      </w:r>
      <w:r w:rsidRPr="00A83140">
        <w:t>Using the weighted direct</w:t>
      </w:r>
      <w:r>
        <w:t xml:space="preserve"> and indirect salary equivalent hour rate derived in section 6(b), the total incremental burden hours are multiplied by that rate.   The result is the total cost estimate for the Agency; see Table </w:t>
      </w:r>
      <w:r w:rsidR="005C6231">
        <w:t>1</w:t>
      </w:r>
      <w:r w:rsidR="00C1695B">
        <w:t>1</w:t>
      </w:r>
      <w:r>
        <w:t>.</w:t>
      </w:r>
    </w:p>
    <w:p w:rsidR="005170B7" w:rsidP="00115BDD" w:rsidRDefault="005170B7" w14:paraId="57F7D2CA" w14:textId="77777777">
      <w:pPr>
        <w:ind w:left="720"/>
      </w:pPr>
    </w:p>
    <w:p w:rsidRPr="00C1695B" w:rsidR="005170B7" w:rsidP="00115BDD" w:rsidRDefault="005170B7" w14:paraId="595E70F0" w14:textId="1198794C">
      <w:pPr>
        <w:ind w:left="720"/>
        <w:outlineLvl w:val="0"/>
        <w:rPr>
          <w:b/>
        </w:rPr>
      </w:pPr>
      <w:r w:rsidRPr="00C1695B">
        <w:rPr>
          <w:b/>
        </w:rPr>
        <w:t>Table</w:t>
      </w:r>
      <w:r w:rsidRPr="00C1695B" w:rsidR="009C4B01">
        <w:rPr>
          <w:b/>
        </w:rPr>
        <w:t xml:space="preserve"> </w:t>
      </w:r>
      <w:r w:rsidRPr="00C1695B" w:rsidR="00B35A87">
        <w:rPr>
          <w:b/>
        </w:rPr>
        <w:t>1</w:t>
      </w:r>
      <w:r w:rsidRPr="00C1695B" w:rsidR="00F603DD">
        <w:rPr>
          <w:b/>
        </w:rPr>
        <w:t>1</w:t>
      </w:r>
      <w:r w:rsidRPr="00C1695B">
        <w:rPr>
          <w:b/>
        </w:rPr>
        <w:t>.  Total Cost Estimate for the Agency</w:t>
      </w:r>
    </w:p>
    <w:p w:rsidRPr="00C1695B" w:rsidR="005170B7" w:rsidP="00115BDD" w:rsidRDefault="005170B7" w14:paraId="171F9410" w14:textId="77777777">
      <w:pPr>
        <w:ind w:left="720"/>
        <w:outlineLvl w:val="0"/>
        <w:rPr>
          <w:b/>
        </w:rPr>
      </w:pPr>
    </w:p>
    <w:tbl>
      <w:tblPr>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46"/>
        <w:gridCol w:w="1584"/>
        <w:gridCol w:w="1530"/>
        <w:gridCol w:w="1530"/>
      </w:tblGrid>
      <w:tr w:rsidRPr="00F603DD" w:rsidR="005170B7" w:rsidTr="00A376FD" w14:paraId="377FEEB9" w14:textId="77777777">
        <w:tc>
          <w:tcPr>
            <w:tcW w:w="1746" w:type="dxa"/>
            <w:vAlign w:val="bottom"/>
          </w:tcPr>
          <w:p w:rsidRPr="00C1695B" w:rsidR="005170B7" w:rsidP="00A376FD" w:rsidRDefault="005170B7" w14:paraId="317FDA5E" w14:textId="77777777">
            <w:pPr>
              <w:jc w:val="center"/>
              <w:rPr>
                <w:b/>
                <w:u w:val="single"/>
              </w:rPr>
            </w:pPr>
            <w:r w:rsidRPr="00C1695B">
              <w:rPr>
                <w:b/>
                <w:u w:val="single"/>
              </w:rPr>
              <w:t>Entity</w:t>
            </w:r>
          </w:p>
        </w:tc>
        <w:tc>
          <w:tcPr>
            <w:tcW w:w="1584" w:type="dxa"/>
            <w:vAlign w:val="bottom"/>
          </w:tcPr>
          <w:p w:rsidRPr="00C1695B" w:rsidR="005170B7" w:rsidP="00A376FD" w:rsidRDefault="005170B7" w14:paraId="10E9169A" w14:textId="77777777">
            <w:pPr>
              <w:jc w:val="center"/>
              <w:rPr>
                <w:b/>
                <w:u w:val="single"/>
              </w:rPr>
            </w:pPr>
            <w:r w:rsidRPr="00C1695B">
              <w:rPr>
                <w:b/>
                <w:u w:val="single"/>
              </w:rPr>
              <w:t>Year 1</w:t>
            </w:r>
          </w:p>
        </w:tc>
        <w:tc>
          <w:tcPr>
            <w:tcW w:w="1530" w:type="dxa"/>
            <w:vAlign w:val="bottom"/>
          </w:tcPr>
          <w:p w:rsidRPr="00C1695B" w:rsidR="005170B7" w:rsidP="00A376FD" w:rsidRDefault="005170B7" w14:paraId="5914CC3D" w14:textId="77777777">
            <w:pPr>
              <w:jc w:val="center"/>
              <w:rPr>
                <w:b/>
                <w:u w:val="single"/>
              </w:rPr>
            </w:pPr>
            <w:r w:rsidRPr="00C1695B">
              <w:rPr>
                <w:b/>
                <w:u w:val="single"/>
              </w:rPr>
              <w:t>Year 2</w:t>
            </w:r>
          </w:p>
        </w:tc>
        <w:tc>
          <w:tcPr>
            <w:tcW w:w="1530" w:type="dxa"/>
            <w:vAlign w:val="bottom"/>
          </w:tcPr>
          <w:p w:rsidRPr="00C1695B" w:rsidR="005170B7" w:rsidP="00A376FD" w:rsidRDefault="005170B7" w14:paraId="0DEC2624" w14:textId="77777777">
            <w:pPr>
              <w:jc w:val="center"/>
              <w:rPr>
                <w:b/>
                <w:u w:val="single"/>
              </w:rPr>
            </w:pPr>
            <w:r w:rsidRPr="00C1695B">
              <w:rPr>
                <w:b/>
                <w:u w:val="single"/>
              </w:rPr>
              <w:t>Year 3</w:t>
            </w:r>
          </w:p>
        </w:tc>
      </w:tr>
      <w:tr w:rsidRPr="00F603DD" w:rsidR="009C4B01" w:rsidTr="00A376FD" w14:paraId="42232B45" w14:textId="77777777">
        <w:tc>
          <w:tcPr>
            <w:tcW w:w="1746" w:type="dxa"/>
            <w:vAlign w:val="bottom"/>
          </w:tcPr>
          <w:p w:rsidRPr="00C1695B" w:rsidR="009C4B01" w:rsidP="00C1695B" w:rsidRDefault="009C4B01" w14:paraId="41F5F929" w14:textId="77777777">
            <w:r w:rsidRPr="00C1695B">
              <w:t>Regional Office</w:t>
            </w:r>
          </w:p>
        </w:tc>
        <w:tc>
          <w:tcPr>
            <w:tcW w:w="1584" w:type="dxa"/>
          </w:tcPr>
          <w:p w:rsidR="00F603DD" w:rsidP="009C4B01" w:rsidRDefault="00F603DD" w14:paraId="022EF808" w14:textId="77777777">
            <w:pPr>
              <w:jc w:val="center"/>
            </w:pPr>
          </w:p>
          <w:p w:rsidRPr="00C1695B" w:rsidR="009C4B01" w:rsidP="009C4B01" w:rsidRDefault="009C4B01" w14:paraId="14647E74" w14:textId="5D5E3548">
            <w:pPr>
              <w:jc w:val="center"/>
              <w:rPr>
                <w:b/>
              </w:rPr>
            </w:pPr>
            <w:r w:rsidRPr="00C1695B">
              <w:t>$</w:t>
            </w:r>
            <w:r w:rsidRPr="00C1695B" w:rsidR="00C014C0">
              <w:t>2.1</w:t>
            </w:r>
            <w:r w:rsidRPr="00C1695B" w:rsidR="002E5F04">
              <w:t>7</w:t>
            </w:r>
            <w:r w:rsidRPr="00C1695B" w:rsidR="00C014C0">
              <w:t xml:space="preserve"> </w:t>
            </w:r>
            <w:r w:rsidRPr="00C1695B">
              <w:t>million</w:t>
            </w:r>
          </w:p>
        </w:tc>
        <w:tc>
          <w:tcPr>
            <w:tcW w:w="1530" w:type="dxa"/>
            <w:vAlign w:val="bottom"/>
          </w:tcPr>
          <w:p w:rsidRPr="00C1695B" w:rsidR="009C4B01" w:rsidP="009C4B01" w:rsidRDefault="009C4B01" w14:paraId="6E53D279" w14:textId="4CC92380">
            <w:pPr>
              <w:jc w:val="center"/>
            </w:pPr>
            <w:r w:rsidRPr="00C1695B">
              <w:t>$</w:t>
            </w:r>
            <w:r w:rsidRPr="00C1695B" w:rsidR="00C014C0">
              <w:t>1.08</w:t>
            </w:r>
            <w:r w:rsidRPr="00C1695B">
              <w:t xml:space="preserve"> million</w:t>
            </w:r>
          </w:p>
        </w:tc>
        <w:tc>
          <w:tcPr>
            <w:tcW w:w="1530" w:type="dxa"/>
            <w:vAlign w:val="bottom"/>
          </w:tcPr>
          <w:p w:rsidRPr="00C1695B" w:rsidR="009C4B01" w:rsidP="009C4B01" w:rsidRDefault="009C4B01" w14:paraId="20BE5DDA" w14:textId="5818B0A3">
            <w:pPr>
              <w:jc w:val="center"/>
            </w:pPr>
            <w:r w:rsidRPr="00C1695B">
              <w:t>$</w:t>
            </w:r>
            <w:r w:rsidRPr="00C1695B" w:rsidR="00C014C0">
              <w:t>1.08</w:t>
            </w:r>
            <w:r w:rsidRPr="00C1695B">
              <w:t xml:space="preserve"> million</w:t>
            </w:r>
          </w:p>
        </w:tc>
      </w:tr>
      <w:tr w:rsidRPr="00F603DD" w:rsidR="009C4B01" w:rsidTr="00A376FD" w14:paraId="1F1E8AD3" w14:textId="77777777">
        <w:tc>
          <w:tcPr>
            <w:tcW w:w="1746" w:type="dxa"/>
            <w:vAlign w:val="bottom"/>
          </w:tcPr>
          <w:p w:rsidRPr="00C1695B" w:rsidR="009C4B01" w:rsidP="00C1695B" w:rsidRDefault="009C4B01" w14:paraId="5A3FBCF3" w14:textId="77777777">
            <w:r w:rsidRPr="00C1695B">
              <w:t>Headquarters Office</w:t>
            </w:r>
          </w:p>
        </w:tc>
        <w:tc>
          <w:tcPr>
            <w:tcW w:w="1584" w:type="dxa"/>
            <w:vAlign w:val="bottom"/>
          </w:tcPr>
          <w:p w:rsidRPr="00C1695B" w:rsidR="009C4B01" w:rsidP="009C4B01" w:rsidRDefault="009C4B01" w14:paraId="5A4089AC" w14:textId="4ECFD3C6">
            <w:pPr>
              <w:jc w:val="center"/>
            </w:pPr>
            <w:r w:rsidRPr="00C1695B">
              <w:t>$0.</w:t>
            </w:r>
            <w:r w:rsidRPr="00C1695B" w:rsidR="00C014C0">
              <w:t>2</w:t>
            </w:r>
            <w:r w:rsidRPr="00C1695B" w:rsidR="002E5F04">
              <w:t>2</w:t>
            </w:r>
            <w:r w:rsidRPr="00C1695B">
              <w:t xml:space="preserve"> million</w:t>
            </w:r>
          </w:p>
        </w:tc>
        <w:tc>
          <w:tcPr>
            <w:tcW w:w="1530" w:type="dxa"/>
            <w:vAlign w:val="bottom"/>
          </w:tcPr>
          <w:p w:rsidRPr="00C1695B" w:rsidR="009C4B01" w:rsidP="009C4B01" w:rsidRDefault="009C4B01" w14:paraId="78EE6BB0" w14:textId="270D7805">
            <w:pPr>
              <w:jc w:val="center"/>
            </w:pPr>
            <w:r w:rsidRPr="00C1695B">
              <w:t>$0.</w:t>
            </w:r>
            <w:r w:rsidRPr="00C1695B" w:rsidR="00C014C0">
              <w:t>11</w:t>
            </w:r>
            <w:r w:rsidRPr="00C1695B">
              <w:t xml:space="preserve"> million</w:t>
            </w:r>
          </w:p>
        </w:tc>
        <w:tc>
          <w:tcPr>
            <w:tcW w:w="1530" w:type="dxa"/>
            <w:vAlign w:val="bottom"/>
          </w:tcPr>
          <w:p w:rsidRPr="00C1695B" w:rsidR="009C4B01" w:rsidP="009C4B01" w:rsidRDefault="009C4B01" w14:paraId="6DA647D4" w14:textId="21C54A77">
            <w:pPr>
              <w:jc w:val="center"/>
            </w:pPr>
            <w:r w:rsidRPr="00C1695B">
              <w:t>$0.</w:t>
            </w:r>
            <w:r w:rsidRPr="00C1695B" w:rsidR="00C014C0">
              <w:t>11</w:t>
            </w:r>
            <w:r w:rsidRPr="00C1695B">
              <w:t xml:space="preserve"> million</w:t>
            </w:r>
          </w:p>
        </w:tc>
      </w:tr>
      <w:tr w:rsidRPr="00F603DD" w:rsidR="009C4B01" w:rsidTr="0054313F" w14:paraId="630B89BC" w14:textId="77777777">
        <w:tc>
          <w:tcPr>
            <w:tcW w:w="1746" w:type="dxa"/>
            <w:vAlign w:val="bottom"/>
          </w:tcPr>
          <w:p w:rsidRPr="00C1695B" w:rsidR="009C4B01" w:rsidP="00C1695B" w:rsidRDefault="009C4B01" w14:paraId="71C08F66" w14:textId="77777777">
            <w:pPr>
              <w:rPr>
                <w:b/>
              </w:rPr>
            </w:pPr>
            <w:r w:rsidRPr="00C1695B">
              <w:rPr>
                <w:b/>
              </w:rPr>
              <w:t>Total Agency Cost</w:t>
            </w:r>
          </w:p>
        </w:tc>
        <w:tc>
          <w:tcPr>
            <w:tcW w:w="1584" w:type="dxa"/>
          </w:tcPr>
          <w:p w:rsidR="00F603DD" w:rsidP="009C4B01" w:rsidRDefault="00F603DD" w14:paraId="6AD4AC51" w14:textId="77777777">
            <w:pPr>
              <w:jc w:val="center"/>
            </w:pPr>
          </w:p>
          <w:p w:rsidRPr="00C1695B" w:rsidR="009C4B01" w:rsidP="009C4B01" w:rsidRDefault="009C4B01" w14:paraId="034A3897" w14:textId="5EEDFB75">
            <w:pPr>
              <w:jc w:val="center"/>
              <w:rPr>
                <w:b/>
              </w:rPr>
            </w:pPr>
            <w:r w:rsidRPr="00C1695B">
              <w:t>$</w:t>
            </w:r>
            <w:r w:rsidRPr="00C1695B" w:rsidR="00C014C0">
              <w:t>2.3</w:t>
            </w:r>
            <w:r w:rsidRPr="00C1695B" w:rsidR="002E5F04">
              <w:t>9</w:t>
            </w:r>
            <w:r w:rsidRPr="00C1695B">
              <w:t xml:space="preserve"> million</w:t>
            </w:r>
          </w:p>
        </w:tc>
        <w:tc>
          <w:tcPr>
            <w:tcW w:w="1530" w:type="dxa"/>
            <w:vAlign w:val="bottom"/>
          </w:tcPr>
          <w:p w:rsidRPr="00C1695B" w:rsidR="009C4B01" w:rsidP="009C4B01" w:rsidRDefault="009C4B01" w14:paraId="5169A822" w14:textId="7EDFCAF2">
            <w:pPr>
              <w:jc w:val="center"/>
            </w:pPr>
            <w:r w:rsidRPr="00C1695B">
              <w:t>$</w:t>
            </w:r>
            <w:r w:rsidRPr="00C1695B" w:rsidR="00C014C0">
              <w:t>1.19</w:t>
            </w:r>
            <w:r w:rsidRPr="00C1695B">
              <w:t xml:space="preserve"> million</w:t>
            </w:r>
          </w:p>
        </w:tc>
        <w:tc>
          <w:tcPr>
            <w:tcW w:w="1530" w:type="dxa"/>
            <w:vAlign w:val="bottom"/>
          </w:tcPr>
          <w:p w:rsidRPr="00C1695B" w:rsidR="009C4B01" w:rsidP="009C4B01" w:rsidRDefault="009C4B01" w14:paraId="5D6411CB" w14:textId="0F3A0FF7">
            <w:pPr>
              <w:jc w:val="center"/>
            </w:pPr>
            <w:r w:rsidRPr="00C1695B">
              <w:t>$</w:t>
            </w:r>
            <w:r w:rsidRPr="00C1695B" w:rsidR="00C014C0">
              <w:t>1.19</w:t>
            </w:r>
            <w:r w:rsidRPr="00C1695B">
              <w:t xml:space="preserve"> million</w:t>
            </w:r>
          </w:p>
        </w:tc>
      </w:tr>
    </w:tbl>
    <w:p w:rsidRPr="00C1695B" w:rsidR="005170B7" w:rsidP="00115BDD" w:rsidRDefault="005170B7" w14:paraId="4CAFEE34" w14:textId="77777777">
      <w:pPr>
        <w:ind w:left="720"/>
        <w:rPr>
          <w:b/>
        </w:rPr>
      </w:pPr>
    </w:p>
    <w:p w:rsidR="005170B7" w:rsidP="00115BDD" w:rsidRDefault="005170B7" w14:paraId="145212DD" w14:textId="77777777">
      <w:pPr>
        <w:ind w:left="720"/>
        <w:rPr>
          <w:b/>
        </w:rPr>
      </w:pPr>
    </w:p>
    <w:p w:rsidR="005170B7" w:rsidP="000B4CA0" w:rsidRDefault="005170B7" w14:paraId="2BAA7730" w14:textId="50475DEB">
      <w:pPr>
        <w:ind w:firstLine="360"/>
        <w:rPr>
          <w:b/>
        </w:rPr>
      </w:pPr>
      <w:r>
        <w:rPr>
          <w:b/>
        </w:rPr>
        <w:t>6(d)</w:t>
      </w:r>
      <w:r w:rsidR="00871581">
        <w:rPr>
          <w:b/>
        </w:rPr>
        <w:t xml:space="preserve"> </w:t>
      </w:r>
      <w:r>
        <w:rPr>
          <w:b/>
        </w:rPr>
        <w:t>Estimating the Respondent Universe and Total Additional Burden and Costs</w:t>
      </w:r>
    </w:p>
    <w:p w:rsidR="005170B7" w:rsidP="000B4CA0" w:rsidRDefault="005170B7" w14:paraId="45AB2A2E" w14:textId="77777777"/>
    <w:p w:rsidR="005170B7" w:rsidP="00277300" w:rsidRDefault="005170B7" w14:paraId="527DF3F6" w14:textId="4C39C521">
      <w:pPr>
        <w:ind w:firstLine="360"/>
      </w:pPr>
      <w:r>
        <w:t xml:space="preserve">Title I of the Clean Air Act of 1990 provided a classification system for 1-hour </w:t>
      </w:r>
      <w:r w:rsidR="00BD4AD1">
        <w:t>o</w:t>
      </w:r>
      <w:r>
        <w:t xml:space="preserve">zone NAAQS nonattainment areas along with prescribed programs and measures for those areas. In essence, there was no incremental administrative burden associated with the implementation of the 1-hour standard associated with discretionary action on the part of the </w:t>
      </w:r>
      <w:r w:rsidR="00BD4AD1">
        <w:t>a</w:t>
      </w:r>
      <w:r>
        <w:t xml:space="preserve">gency. However, with the promulgation of the 8-hour </w:t>
      </w:r>
      <w:r w:rsidR="00BD4AD1">
        <w:t>o</w:t>
      </w:r>
      <w:r>
        <w:t xml:space="preserve">zone NAAQS, the nonattainment designations, and the finalization of Phases 1 and 2 of the Ozone Implementation rule, the Office of Management and Budget believed there were there were additional administrative burdens by the Agency. </w:t>
      </w:r>
      <w:r w:rsidR="00F72CB7">
        <w:t xml:space="preserve">The </w:t>
      </w:r>
      <w:r w:rsidR="004F4ACB">
        <w:t xml:space="preserve">ICR </w:t>
      </w:r>
      <w:r w:rsidR="00F72CB7">
        <w:t xml:space="preserve">attempts to estimate </w:t>
      </w:r>
      <w:bookmarkStart w:name="_Hlk42186489" w:id="11"/>
      <w:r w:rsidR="00F72CB7">
        <w:t xml:space="preserve">the </w:t>
      </w:r>
      <w:r w:rsidR="00261E9E">
        <w:t>additional</w:t>
      </w:r>
      <w:r w:rsidR="00F72CB7">
        <w:t xml:space="preserve"> burden for the 2008 ozone nonattainment areas </w:t>
      </w:r>
      <w:r w:rsidR="004F4ACB">
        <w:t>which</w:t>
      </w:r>
      <w:r w:rsidR="00F72CB7">
        <w:t xml:space="preserve"> are</w:t>
      </w:r>
      <w:r w:rsidRPr="00163E57" w:rsidR="00F72CB7">
        <w:t xml:space="preserve"> now classified as </w:t>
      </w:r>
      <w:r w:rsidR="00F72CB7">
        <w:t>Serious</w:t>
      </w:r>
      <w:r w:rsidRPr="00163E57" w:rsidR="00F72CB7">
        <w:t xml:space="preserve"> that may be reclassified to Se</w:t>
      </w:r>
      <w:r w:rsidR="00F72CB7">
        <w:t>vere</w:t>
      </w:r>
      <w:r w:rsidR="00BD4AD1">
        <w:t>-</w:t>
      </w:r>
      <w:r w:rsidR="00F72CB7">
        <w:t>15</w:t>
      </w:r>
      <w:r w:rsidRPr="00163E57" w:rsidR="00F72CB7">
        <w:t xml:space="preserve"> </w:t>
      </w:r>
      <w:r w:rsidR="00F72CB7">
        <w:t xml:space="preserve">resulting in new SIP requirements due from the states with the respective </w:t>
      </w:r>
      <w:r w:rsidR="00261E9E">
        <w:t>areas.</w:t>
      </w:r>
      <w:bookmarkEnd w:id="11"/>
      <w:r w:rsidR="00BD4AD1">
        <w:t xml:space="preserve"> This ICR also attempts to develop estimates of the incremental burden resulting from the transition from the 2008 8-hour to </w:t>
      </w:r>
      <w:r w:rsidR="00FC3CA7">
        <w:t xml:space="preserve">the </w:t>
      </w:r>
      <w:r w:rsidR="00BD4AD1">
        <w:t>same 8-hour form of the standard for the 2015 ozone NAAQS, and resulting from the ongoing implementation of the revoked 1997 ozone NAAQS.</w:t>
      </w:r>
    </w:p>
    <w:p w:rsidR="005170B7" w:rsidP="00277300" w:rsidRDefault="005170B7" w14:paraId="4505089F" w14:textId="77777777">
      <w:pPr>
        <w:ind w:firstLine="360"/>
      </w:pPr>
    </w:p>
    <w:p w:rsidR="005170B7" w:rsidP="00277300" w:rsidRDefault="005170B7" w14:paraId="6D2896F2" w14:textId="5FCACB73">
      <w:pPr>
        <w:ind w:firstLine="360"/>
      </w:pPr>
      <w:r>
        <w:t>The methodology does not subtract the decreased burden that some areas experienced because of the move to an ozone standard with the same 8-hour form as the previous 1997</w:t>
      </w:r>
      <w:r w:rsidR="00300FAB">
        <w:t xml:space="preserve"> and 2008</w:t>
      </w:r>
      <w:r>
        <w:t xml:space="preserve"> NAAQS. In this case, the burden estimates presented may be biased high.  Failure to consider staff experience and economies of scale given </w:t>
      </w:r>
      <w:r w:rsidR="00BD4AD1">
        <w:t>implementation of the fine p</w:t>
      </w:r>
      <w:r>
        <w:t xml:space="preserve">articulate </w:t>
      </w:r>
      <w:r w:rsidR="00BD4AD1">
        <w:t>m</w:t>
      </w:r>
      <w:r>
        <w:t xml:space="preserve">atter </w:t>
      </w:r>
      <w:r w:rsidR="00BD4AD1">
        <w:t>(PM</w:t>
      </w:r>
      <w:r w:rsidRPr="00C1695B" w:rsidR="00BD4AD1">
        <w:rPr>
          <w:vertAlign w:val="subscript"/>
        </w:rPr>
        <w:t>2.5</w:t>
      </w:r>
      <w:r w:rsidR="00BD4AD1">
        <w:t xml:space="preserve">) </w:t>
      </w:r>
      <w:r>
        <w:t>NAAQS and Regional Haze activities may also impart an upward bias to the estimates. On the other hand, areas classified as Marginal hav</w:t>
      </w:r>
      <w:r w:rsidR="00300FAB">
        <w:t>e to attain the standard by 2021</w:t>
      </w:r>
      <w:r>
        <w:t>. If any of these areas do not at</w:t>
      </w:r>
      <w:r w:rsidR="00300FAB">
        <w:t>tain the 8-hour standard by 2021</w:t>
      </w:r>
      <w:r>
        <w:t>, there could be additional burdens for</w:t>
      </w:r>
      <w:r w:rsidR="00BD4AD1">
        <w:t xml:space="preserve"> states in which</w:t>
      </w:r>
      <w:r>
        <w:t xml:space="preserve"> such areas </w:t>
      </w:r>
      <w:r w:rsidR="00BD4AD1">
        <w:t xml:space="preserve">are located </w:t>
      </w:r>
      <w:r>
        <w:t xml:space="preserve">that </w:t>
      </w:r>
      <w:r w:rsidR="00BD4AD1">
        <w:t xml:space="preserve">may not be fully </w:t>
      </w:r>
      <w:r>
        <w:t>reflect</w:t>
      </w:r>
      <w:r w:rsidR="00BD4AD1">
        <w:t>ed</w:t>
      </w:r>
      <w:r>
        <w:t xml:space="preserve"> in the present estimates.</w:t>
      </w:r>
      <w:r w:rsidR="005B1D71">
        <w:t xml:space="preserve"> </w:t>
      </w:r>
    </w:p>
    <w:p w:rsidR="005170B7" w:rsidP="00277300" w:rsidRDefault="005170B7" w14:paraId="4933C44A" w14:textId="77777777">
      <w:pPr>
        <w:ind w:firstLine="360"/>
      </w:pPr>
    </w:p>
    <w:p w:rsidR="005170B7" w:rsidP="00BD4AD1" w:rsidRDefault="005170B7" w14:paraId="61FE26D1" w14:textId="78AA3CF7">
      <w:pPr>
        <w:ind w:firstLine="360"/>
      </w:pPr>
      <w:r>
        <w:t xml:space="preserve">The </w:t>
      </w:r>
      <w:r w:rsidR="00BD4AD1">
        <w:t>primary</w:t>
      </w:r>
      <w:r>
        <w:t xml:space="preserve"> respondents </w:t>
      </w:r>
      <w:r w:rsidR="00BD4AD1">
        <w:t>are</w:t>
      </w:r>
      <w:r>
        <w:t xml:space="preserve"> the states, as they have over 90% of the estimated additional burden. There is also burden imposed on the </w:t>
      </w:r>
      <w:r w:rsidR="00BD4AD1">
        <w:t>re</w:t>
      </w:r>
      <w:r>
        <w:t xml:space="preserve">gional and </w:t>
      </w:r>
      <w:r w:rsidR="00BD4AD1">
        <w:t>h</w:t>
      </w:r>
      <w:r>
        <w:t xml:space="preserve">eadquarters </w:t>
      </w:r>
      <w:r w:rsidR="00BD4AD1">
        <w:t>o</w:t>
      </w:r>
      <w:r>
        <w:t xml:space="preserve">ffices of </w:t>
      </w:r>
      <w:r w:rsidR="00BD4AD1">
        <w:t>EPA</w:t>
      </w:r>
      <w:r>
        <w:t xml:space="preserve">. </w:t>
      </w:r>
      <w:r w:rsidR="00BD4AD1">
        <w:t>M</w:t>
      </w:r>
      <w:r>
        <w:t xml:space="preserve">ost of the cost </w:t>
      </w:r>
      <w:r w:rsidR="00BD4AD1">
        <w:t xml:space="preserve">to states is assumed to </w:t>
      </w:r>
      <w:r>
        <w:t>be incurred in year 1 of the 3-year period covered by this ICR. In the Agency’s roles as facilitator, compiler, reviewer, and preparer, the estimated burden for the Agency is also expected to be greater in the 1</w:t>
      </w:r>
      <w:r>
        <w:rPr>
          <w:vertAlign w:val="superscript"/>
        </w:rPr>
        <w:t>st</w:t>
      </w:r>
      <w:r>
        <w:t xml:space="preserve"> year than in the 2</w:t>
      </w:r>
      <w:r>
        <w:rPr>
          <w:vertAlign w:val="superscript"/>
        </w:rPr>
        <w:t>nd</w:t>
      </w:r>
      <w:r>
        <w:t xml:space="preserve"> or 3</w:t>
      </w:r>
      <w:r>
        <w:rPr>
          <w:vertAlign w:val="superscript"/>
        </w:rPr>
        <w:t>rd</w:t>
      </w:r>
      <w:r>
        <w:t xml:space="preserve"> years. </w:t>
      </w:r>
    </w:p>
    <w:p w:rsidR="005170B7" w:rsidP="00277300" w:rsidRDefault="005170B7" w14:paraId="6E241B41" w14:textId="77777777">
      <w:pPr>
        <w:ind w:firstLine="360"/>
      </w:pPr>
    </w:p>
    <w:p w:rsidR="005170B7" w:rsidP="00277300" w:rsidRDefault="005170B7" w14:paraId="7A368C10" w14:textId="192A50EB">
      <w:pPr>
        <w:ind w:firstLine="360"/>
      </w:pPr>
      <w:r>
        <w:t xml:space="preserve">The total incremental respondent universe burden and cost estimates are presented in Table </w:t>
      </w:r>
      <w:r w:rsidR="00B35A87">
        <w:t>1</w:t>
      </w:r>
      <w:r w:rsidR="00F603DD">
        <w:t>2</w:t>
      </w:r>
      <w:r>
        <w:t xml:space="preserve">.  </w:t>
      </w:r>
    </w:p>
    <w:p w:rsidR="005170B7" w:rsidP="00115BDD" w:rsidRDefault="005170B7" w14:paraId="19A840F8" w14:textId="77777777">
      <w:pPr>
        <w:ind w:left="720"/>
        <w:rPr>
          <w:b/>
          <w:sz w:val="20"/>
          <w:szCs w:val="20"/>
        </w:rPr>
      </w:pPr>
    </w:p>
    <w:p w:rsidR="005170B7" w:rsidP="00115BDD" w:rsidRDefault="005170B7" w14:paraId="66D12702" w14:textId="77777777">
      <w:pPr>
        <w:ind w:left="720"/>
        <w:rPr>
          <w:b/>
          <w:sz w:val="20"/>
          <w:szCs w:val="20"/>
        </w:rPr>
      </w:pPr>
    </w:p>
    <w:p w:rsidRPr="00FC3CA7" w:rsidR="005170B7" w:rsidP="00115BDD" w:rsidRDefault="005170B7" w14:paraId="00D26B6C" w14:textId="1B613945">
      <w:pPr>
        <w:ind w:left="720"/>
        <w:outlineLvl w:val="0"/>
      </w:pPr>
      <w:r w:rsidRPr="00FC3CA7">
        <w:rPr>
          <w:b/>
        </w:rPr>
        <w:t xml:space="preserve">Table </w:t>
      </w:r>
      <w:r w:rsidRPr="00FC3CA7" w:rsidR="00B35A87">
        <w:rPr>
          <w:b/>
        </w:rPr>
        <w:t>1</w:t>
      </w:r>
      <w:r w:rsidRPr="00FC3CA7" w:rsidR="00F603DD">
        <w:rPr>
          <w:b/>
        </w:rPr>
        <w:t>2</w:t>
      </w:r>
      <w:r w:rsidRPr="00FC3CA7">
        <w:rPr>
          <w:b/>
        </w:rPr>
        <w:t xml:space="preserve">.  Total Incremental Respondent &amp; Agency Universe Burden and Cost Estimates </w:t>
      </w:r>
    </w:p>
    <w:p w:rsidRPr="00FC3CA7" w:rsidR="005170B7" w:rsidP="00115BDD" w:rsidRDefault="005170B7" w14:paraId="236FACBB" w14:textId="77777777">
      <w:pPr>
        <w:ind w:left="720"/>
      </w:pPr>
    </w:p>
    <w:p w:rsidRPr="00FC3CA7" w:rsidR="005170B7" w:rsidP="00115BDD" w:rsidRDefault="005170B7" w14:paraId="0E425901" w14:textId="77777777">
      <w:pPr>
        <w:ind w:left="720"/>
      </w:pP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63"/>
        <w:gridCol w:w="2429"/>
        <w:gridCol w:w="1710"/>
        <w:gridCol w:w="3150"/>
      </w:tblGrid>
      <w:tr w:rsidRPr="00FC3CA7" w:rsidR="005170B7" w:rsidTr="00765937" w14:paraId="75721AB7" w14:textId="77777777">
        <w:tc>
          <w:tcPr>
            <w:tcW w:w="963" w:type="dxa"/>
            <w:vAlign w:val="center"/>
          </w:tcPr>
          <w:p w:rsidRPr="00FC3CA7" w:rsidR="005170B7" w:rsidP="00A376FD" w:rsidRDefault="005170B7" w14:paraId="225D3CE4" w14:textId="77777777">
            <w:pPr>
              <w:jc w:val="center"/>
              <w:rPr>
                <w:b/>
                <w:u w:val="single"/>
              </w:rPr>
            </w:pPr>
            <w:r w:rsidRPr="00FC3CA7">
              <w:rPr>
                <w:b/>
                <w:u w:val="single"/>
              </w:rPr>
              <w:t>Entity</w:t>
            </w:r>
          </w:p>
        </w:tc>
        <w:tc>
          <w:tcPr>
            <w:tcW w:w="2429" w:type="dxa"/>
            <w:vAlign w:val="center"/>
          </w:tcPr>
          <w:p w:rsidRPr="00FC3CA7" w:rsidR="005170B7" w:rsidP="00A376FD" w:rsidRDefault="005170B7" w14:paraId="6DF5B787" w14:textId="77777777">
            <w:pPr>
              <w:jc w:val="center"/>
              <w:rPr>
                <w:b/>
                <w:u w:val="single"/>
              </w:rPr>
            </w:pPr>
            <w:r w:rsidRPr="00FC3CA7">
              <w:rPr>
                <w:b/>
                <w:u w:val="single"/>
              </w:rPr>
              <w:t>Average Yearly Burden Hours</w:t>
            </w:r>
          </w:p>
        </w:tc>
        <w:tc>
          <w:tcPr>
            <w:tcW w:w="1710" w:type="dxa"/>
            <w:vAlign w:val="center"/>
          </w:tcPr>
          <w:p w:rsidRPr="00FC3CA7" w:rsidR="005170B7" w:rsidP="00A376FD" w:rsidRDefault="005170B7" w14:paraId="068E9D30" w14:textId="77777777">
            <w:pPr>
              <w:jc w:val="center"/>
              <w:rPr>
                <w:b/>
                <w:u w:val="single"/>
              </w:rPr>
            </w:pPr>
            <w:r w:rsidRPr="00FC3CA7">
              <w:rPr>
                <w:b/>
                <w:u w:val="single"/>
              </w:rPr>
              <w:t>3-Year Burden Hours</w:t>
            </w:r>
          </w:p>
        </w:tc>
        <w:tc>
          <w:tcPr>
            <w:tcW w:w="3150" w:type="dxa"/>
            <w:vAlign w:val="center"/>
          </w:tcPr>
          <w:p w:rsidRPr="00FC3CA7" w:rsidR="005170B7" w:rsidP="00A376FD" w:rsidRDefault="005170B7" w14:paraId="2830DBEF" w14:textId="77777777">
            <w:pPr>
              <w:jc w:val="center"/>
              <w:rPr>
                <w:b/>
                <w:u w:val="single"/>
              </w:rPr>
            </w:pPr>
            <w:r w:rsidRPr="00FC3CA7">
              <w:rPr>
                <w:b/>
                <w:u w:val="single"/>
              </w:rPr>
              <w:t>Present Value of Costs for 3-Year Burden</w:t>
            </w:r>
          </w:p>
        </w:tc>
      </w:tr>
      <w:tr w:rsidRPr="00FC3CA7" w:rsidR="00905F47" w:rsidTr="0062356F" w14:paraId="0C528F3C" w14:textId="77777777">
        <w:tc>
          <w:tcPr>
            <w:tcW w:w="963" w:type="dxa"/>
            <w:vAlign w:val="center"/>
          </w:tcPr>
          <w:p w:rsidRPr="00FC3CA7" w:rsidR="00905F47" w:rsidP="00905F47" w:rsidRDefault="00905F47" w14:paraId="3577D5D8" w14:textId="77777777">
            <w:pPr>
              <w:jc w:val="center"/>
            </w:pPr>
            <w:r w:rsidRPr="00FC3CA7">
              <w:t>States</w:t>
            </w:r>
          </w:p>
        </w:tc>
        <w:tc>
          <w:tcPr>
            <w:tcW w:w="2429" w:type="dxa"/>
            <w:shd w:val="clear" w:color="auto" w:fill="auto"/>
            <w:vAlign w:val="bottom"/>
          </w:tcPr>
          <w:p w:rsidRPr="00FC3CA7" w:rsidR="00905F47" w:rsidP="00905F47" w:rsidRDefault="00905F47" w14:paraId="51538095" w14:textId="0DA27AC5">
            <w:pPr>
              <w:jc w:val="right"/>
              <w:rPr>
                <w:color w:val="000000"/>
              </w:rPr>
            </w:pPr>
            <w:r w:rsidRPr="00FC3CA7">
              <w:rPr>
                <w:color w:val="000000"/>
              </w:rPr>
              <w:t>11</w:t>
            </w:r>
            <w:r w:rsidRPr="00FC3CA7" w:rsidR="002E5F04">
              <w:rPr>
                <w:color w:val="000000"/>
              </w:rPr>
              <w:t>9</w:t>
            </w:r>
            <w:r w:rsidRPr="00FC3CA7">
              <w:rPr>
                <w:color w:val="000000"/>
              </w:rPr>
              <w:t>,</w:t>
            </w:r>
            <w:r w:rsidRPr="00FC3CA7" w:rsidR="002E5F04">
              <w:rPr>
                <w:color w:val="000000"/>
              </w:rPr>
              <w:t>1</w:t>
            </w:r>
            <w:r w:rsidRPr="00FC3CA7">
              <w:rPr>
                <w:color w:val="000000"/>
              </w:rPr>
              <w:t xml:space="preserve">33 </w:t>
            </w:r>
          </w:p>
        </w:tc>
        <w:tc>
          <w:tcPr>
            <w:tcW w:w="1710" w:type="dxa"/>
            <w:vAlign w:val="center"/>
          </w:tcPr>
          <w:p w:rsidRPr="00FC3CA7" w:rsidR="00905F47" w:rsidP="00905F47" w:rsidRDefault="00905F47" w14:paraId="0B78A80D" w14:textId="39D8CC05">
            <w:pPr>
              <w:jc w:val="center"/>
            </w:pPr>
            <w:r w:rsidRPr="00FC3CA7">
              <w:t>35</w:t>
            </w:r>
            <w:r w:rsidRPr="00FC3CA7" w:rsidR="002E5F04">
              <w:t>7</w:t>
            </w:r>
            <w:r w:rsidRPr="00FC3CA7">
              <w:t>,</w:t>
            </w:r>
            <w:r w:rsidRPr="00FC3CA7" w:rsidR="002E5F04">
              <w:t>4</w:t>
            </w:r>
            <w:r w:rsidRPr="00FC3CA7">
              <w:t>00</w:t>
            </w:r>
          </w:p>
        </w:tc>
        <w:tc>
          <w:tcPr>
            <w:tcW w:w="3150" w:type="dxa"/>
            <w:vAlign w:val="bottom"/>
          </w:tcPr>
          <w:p w:rsidRPr="00FC3CA7" w:rsidR="00905F47" w:rsidP="00905F47" w:rsidRDefault="00905F47" w14:paraId="2ED3BEFC" w14:textId="5066AA5C">
            <w:pPr>
              <w:jc w:val="center"/>
            </w:pPr>
            <w:r w:rsidRPr="00FC3CA7">
              <w:rPr>
                <w:b/>
                <w:bCs/>
                <w:color w:val="000000"/>
              </w:rPr>
              <w:t xml:space="preserve"> $     25,</w:t>
            </w:r>
            <w:r w:rsidRPr="00FC3CA7" w:rsidR="002E5F04">
              <w:rPr>
                <w:b/>
                <w:bCs/>
                <w:color w:val="000000"/>
              </w:rPr>
              <w:t>261</w:t>
            </w:r>
            <w:r w:rsidRPr="00FC3CA7">
              <w:rPr>
                <w:b/>
                <w:bCs/>
                <w:color w:val="000000"/>
              </w:rPr>
              <w:t>,</w:t>
            </w:r>
            <w:r w:rsidRPr="00FC3CA7" w:rsidR="002E5F04">
              <w:rPr>
                <w:b/>
                <w:bCs/>
                <w:color w:val="000000"/>
              </w:rPr>
              <w:t>140</w:t>
            </w:r>
            <w:r w:rsidRPr="00FC3CA7">
              <w:rPr>
                <w:b/>
                <w:bCs/>
                <w:color w:val="000000"/>
              </w:rPr>
              <w:t xml:space="preserve"> </w:t>
            </w:r>
          </w:p>
        </w:tc>
      </w:tr>
      <w:tr w:rsidRPr="00FC3CA7" w:rsidR="005D226D" w:rsidTr="0062356F" w14:paraId="12B27DC6" w14:textId="77777777">
        <w:tc>
          <w:tcPr>
            <w:tcW w:w="963" w:type="dxa"/>
            <w:vAlign w:val="center"/>
          </w:tcPr>
          <w:p w:rsidRPr="00FC3CA7" w:rsidR="005D226D" w:rsidP="005D226D" w:rsidRDefault="005D226D" w14:paraId="564DA16D" w14:textId="77777777">
            <w:pPr>
              <w:jc w:val="center"/>
            </w:pPr>
            <w:r w:rsidRPr="00FC3CA7">
              <w:t>Agency</w:t>
            </w:r>
          </w:p>
        </w:tc>
        <w:tc>
          <w:tcPr>
            <w:tcW w:w="2429" w:type="dxa"/>
            <w:shd w:val="clear" w:color="auto" w:fill="auto"/>
            <w:vAlign w:val="bottom"/>
          </w:tcPr>
          <w:p w:rsidRPr="00FC3CA7" w:rsidR="005D226D" w:rsidP="005D226D" w:rsidRDefault="005D226D" w14:paraId="7B36A803" w14:textId="188074CE">
            <w:pPr>
              <w:jc w:val="right"/>
              <w:rPr>
                <w:color w:val="000000"/>
              </w:rPr>
            </w:pPr>
            <w:r w:rsidRPr="00FC3CA7">
              <w:rPr>
                <w:color w:val="000000"/>
              </w:rPr>
              <w:t xml:space="preserve">22,345 </w:t>
            </w:r>
          </w:p>
        </w:tc>
        <w:tc>
          <w:tcPr>
            <w:tcW w:w="1710" w:type="dxa"/>
            <w:vAlign w:val="center"/>
          </w:tcPr>
          <w:p w:rsidRPr="00FC3CA7" w:rsidR="005D226D" w:rsidP="005D226D" w:rsidRDefault="005D226D" w14:paraId="7AD87DFC" w14:textId="4BEFD227">
            <w:pPr>
              <w:jc w:val="center"/>
            </w:pPr>
            <w:r w:rsidRPr="00FC3CA7">
              <w:t>67,034</w:t>
            </w:r>
          </w:p>
        </w:tc>
        <w:tc>
          <w:tcPr>
            <w:tcW w:w="3150" w:type="dxa"/>
            <w:vAlign w:val="bottom"/>
          </w:tcPr>
          <w:p w:rsidRPr="00FC3CA7" w:rsidR="005D226D" w:rsidP="005D226D" w:rsidRDefault="005D226D" w14:paraId="5E663956" w14:textId="4315B3AC">
            <w:pPr>
              <w:jc w:val="center"/>
            </w:pPr>
            <w:r w:rsidRPr="00FC3CA7">
              <w:rPr>
                <w:b/>
                <w:bCs/>
                <w:color w:val="000000"/>
              </w:rPr>
              <w:t xml:space="preserve"> $        4,590,306 </w:t>
            </w:r>
          </w:p>
        </w:tc>
      </w:tr>
      <w:tr w:rsidRPr="00FC3CA7" w:rsidR="005D226D" w:rsidTr="0062356F" w14:paraId="35EDC3DA" w14:textId="77777777">
        <w:tc>
          <w:tcPr>
            <w:tcW w:w="963" w:type="dxa"/>
            <w:vAlign w:val="center"/>
          </w:tcPr>
          <w:p w:rsidRPr="00FC3CA7" w:rsidR="005D226D" w:rsidP="005D226D" w:rsidRDefault="005D226D" w14:paraId="648FCD20" w14:textId="77777777">
            <w:pPr>
              <w:jc w:val="center"/>
              <w:rPr>
                <w:b/>
              </w:rPr>
            </w:pPr>
            <w:r w:rsidRPr="00FC3CA7">
              <w:rPr>
                <w:b/>
              </w:rPr>
              <w:t>Total</w:t>
            </w:r>
          </w:p>
        </w:tc>
        <w:tc>
          <w:tcPr>
            <w:tcW w:w="2429" w:type="dxa"/>
            <w:shd w:val="clear" w:color="auto" w:fill="auto"/>
            <w:vAlign w:val="bottom"/>
          </w:tcPr>
          <w:p w:rsidRPr="00FC3CA7" w:rsidR="005D226D" w:rsidP="005D226D" w:rsidRDefault="005D226D" w14:paraId="7BBD274D" w14:textId="113A3FAD">
            <w:pPr>
              <w:jc w:val="right"/>
              <w:rPr>
                <w:color w:val="000000"/>
              </w:rPr>
            </w:pPr>
            <w:r w:rsidRPr="00FC3CA7">
              <w:rPr>
                <w:color w:val="000000"/>
              </w:rPr>
              <w:t xml:space="preserve">141,478 </w:t>
            </w:r>
          </w:p>
        </w:tc>
        <w:tc>
          <w:tcPr>
            <w:tcW w:w="1710" w:type="dxa"/>
            <w:vAlign w:val="center"/>
          </w:tcPr>
          <w:p w:rsidRPr="00FC3CA7" w:rsidR="005D226D" w:rsidP="005D226D" w:rsidRDefault="005D226D" w14:paraId="2299BDA5" w14:textId="0393814F">
            <w:pPr>
              <w:jc w:val="center"/>
            </w:pPr>
            <w:r w:rsidRPr="00FC3CA7">
              <w:t>424,434</w:t>
            </w:r>
          </w:p>
        </w:tc>
        <w:tc>
          <w:tcPr>
            <w:tcW w:w="3150" w:type="dxa"/>
            <w:vAlign w:val="bottom"/>
          </w:tcPr>
          <w:p w:rsidRPr="00FC3CA7" w:rsidR="005D226D" w:rsidP="005D226D" w:rsidRDefault="005D226D" w14:paraId="7F0D2267" w14:textId="03BE83A0">
            <w:pPr>
              <w:jc w:val="center"/>
            </w:pPr>
            <w:r w:rsidRPr="00FC3CA7">
              <w:rPr>
                <w:b/>
                <w:bCs/>
                <w:color w:val="000000"/>
              </w:rPr>
              <w:t xml:space="preserve">$     29,851,446 </w:t>
            </w:r>
          </w:p>
        </w:tc>
      </w:tr>
    </w:tbl>
    <w:p w:rsidRPr="00FC3CA7" w:rsidR="005170B7" w:rsidP="00115BDD" w:rsidRDefault="005170B7" w14:paraId="7D7F548A" w14:textId="77777777">
      <w:pPr>
        <w:ind w:left="720"/>
      </w:pPr>
    </w:p>
    <w:p w:rsidRPr="00FC3CA7" w:rsidR="005170B7" w:rsidP="00115BDD" w:rsidRDefault="005170B7" w14:paraId="18DB23E0" w14:textId="19F9715B">
      <w:pPr>
        <w:ind w:left="720"/>
      </w:pPr>
      <w:r w:rsidRPr="00FC3CA7">
        <w:rPr>
          <w:b/>
        </w:rPr>
        <w:t>*</w:t>
      </w:r>
      <w:r w:rsidRPr="00FC3CA7">
        <w:t>The estimates are in current year (20</w:t>
      </w:r>
      <w:r w:rsidRPr="00FC3CA7" w:rsidR="009C4B01">
        <w:t>20</w:t>
      </w:r>
      <w:r w:rsidRPr="00FC3CA7">
        <w:t>) dollars.  Costs for years 2 and 3 are calculated using the equation Present Value = Future Value/ (1 + interest rate)</w:t>
      </w:r>
      <w:r w:rsidRPr="00FC3CA7">
        <w:rPr>
          <w:vertAlign w:val="superscript"/>
        </w:rPr>
        <w:t xml:space="preserve">t </w:t>
      </w:r>
      <w:r w:rsidRPr="00FC3CA7">
        <w:t xml:space="preserve">,where “t” is the number of years hence (i.e., 0 for year 1, 1 for year 2, 2 for year 3) and the interest rate is set at </w:t>
      </w:r>
      <w:r w:rsidRPr="00FC3CA7" w:rsidR="006A4AAB">
        <w:t>3</w:t>
      </w:r>
      <w:r w:rsidRPr="00FC3CA7" w:rsidR="002565D6">
        <w:t>.25</w:t>
      </w:r>
      <w:r w:rsidRPr="00FC3CA7">
        <w:t>%. The adjusted values for years 1, 2, and 3 are then summed.</w:t>
      </w:r>
    </w:p>
    <w:p w:rsidRPr="00FC3CA7" w:rsidR="005170B7" w:rsidP="00115BDD" w:rsidRDefault="005170B7" w14:paraId="29FC1807" w14:textId="77777777">
      <w:pPr>
        <w:ind w:left="720"/>
      </w:pPr>
    </w:p>
    <w:p w:rsidRPr="00403819" w:rsidR="005170B7" w:rsidP="00277300" w:rsidRDefault="005170B7" w14:paraId="47327B3E" w14:textId="77777777">
      <w:pPr>
        <w:ind w:firstLine="360"/>
      </w:pPr>
      <w:r w:rsidRPr="00403819">
        <w:rPr>
          <w:b/>
          <w:bCs/>
        </w:rPr>
        <w:t>6(d)</w:t>
      </w:r>
      <w:r w:rsidRPr="00403819">
        <w:rPr>
          <w:b/>
          <w:bCs/>
        </w:rPr>
        <w:tab/>
      </w:r>
      <w:r>
        <w:rPr>
          <w:b/>
          <w:bCs/>
        </w:rPr>
        <w:t>Reasons for Change in Burden</w:t>
      </w:r>
    </w:p>
    <w:p w:rsidRPr="00C60E84" w:rsidR="005170B7" w:rsidP="009E09B2" w:rsidRDefault="005170B7" w14:paraId="76AEC3ED" w14:textId="77777777">
      <w:pPr>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170B7" w:rsidP="00A83140" w:rsidRDefault="005170B7" w14:paraId="299F431A" w14:textId="22A32D0B">
      <w:pPr>
        <w:ind w:firstLine="360"/>
      </w:pPr>
      <w:r>
        <w:t xml:space="preserve">We are </w:t>
      </w:r>
      <w:r w:rsidR="00FC3CA7">
        <w:t>estimat</w:t>
      </w:r>
      <w:r>
        <w:t>ing an increase in</w:t>
      </w:r>
      <w:r w:rsidR="00905F47">
        <w:t xml:space="preserve"> annual</w:t>
      </w:r>
      <w:r>
        <w:t xml:space="preserve"> burden </w:t>
      </w:r>
      <w:r w:rsidR="008D653A">
        <w:t>o</w:t>
      </w:r>
      <w:r w:rsidRPr="003E2E68" w:rsidR="008D653A">
        <w:t xml:space="preserve">f </w:t>
      </w:r>
      <w:r w:rsidR="008D653A">
        <w:t>85,133</w:t>
      </w:r>
      <w:r w:rsidRPr="003E2E68" w:rsidR="008D653A">
        <w:t xml:space="preserve"> </w:t>
      </w:r>
      <w:r>
        <w:t>hours</w:t>
      </w:r>
      <w:r w:rsidR="00FD068B">
        <w:t xml:space="preserve"> above the 34,000 hours estimated</w:t>
      </w:r>
      <w:r w:rsidR="00FC3CA7">
        <w:t xml:space="preserve"> from the last approved ICR for 8-hour ozone NAAQS implementation</w:t>
      </w:r>
      <w:r w:rsidR="00040F91">
        <w:t>.  The primary reason for this increase is that, in addition to some respondents continuing to submit information for the 2008 NAAQS, respondents will also be submitting information for the 2015 NAAQS</w:t>
      </w:r>
      <w:r w:rsidR="005E5DBD">
        <w:t xml:space="preserve"> and the revoked 1997 NAAQS</w:t>
      </w:r>
      <w:r w:rsidR="00040F91">
        <w:t>. For this reason</w:t>
      </w:r>
      <w:r w:rsidR="00FD068B">
        <w:t>,</w:t>
      </w:r>
      <w:r w:rsidR="00040F91">
        <w:t xml:space="preserve"> it is difficult to directly compare the prior 2008</w:t>
      </w:r>
      <w:r w:rsidR="005E5DBD">
        <w:t xml:space="preserve"> NAAQS</w:t>
      </w:r>
      <w:r w:rsidR="00040F91">
        <w:t>-only burden estimate to this combined 2008/2015</w:t>
      </w:r>
      <w:r w:rsidR="005E5DBD">
        <w:t>/1997</w:t>
      </w:r>
      <w:r w:rsidR="00040F91">
        <w:t xml:space="preserve"> </w:t>
      </w:r>
      <w:r w:rsidR="005E5DBD">
        <w:t xml:space="preserve">NAAQS </w:t>
      </w:r>
      <w:r w:rsidR="00040F91">
        <w:t xml:space="preserve">estimate. </w:t>
      </w:r>
      <w:r>
        <w:t xml:space="preserve">The estimates provided in this supporting statement differ </w:t>
      </w:r>
      <w:r w:rsidR="00040F91">
        <w:t xml:space="preserve">from the prior 2008 </w:t>
      </w:r>
      <w:r w:rsidR="005E5DBD">
        <w:t>NAAQS-</w:t>
      </w:r>
      <w:r w:rsidR="00040F91">
        <w:t xml:space="preserve">only estimate </w:t>
      </w:r>
      <w:r w:rsidRPr="00C60E84">
        <w:t xml:space="preserve">due to </w:t>
      </w:r>
      <w:r w:rsidR="005E5DBD">
        <w:t>the following</w:t>
      </w:r>
      <w:r w:rsidRPr="00C60E84">
        <w:t>:</w:t>
      </w:r>
    </w:p>
    <w:p w:rsidRPr="00C60E84" w:rsidR="005170B7" w:rsidP="00277300" w:rsidRDefault="005170B7" w14:paraId="5DDDF46A" w14:textId="77777777">
      <w:pPr>
        <w:ind w:firstLine="360"/>
      </w:pPr>
    </w:p>
    <w:p w:rsidRPr="00C535D3" w:rsidR="00CE6DDC" w:rsidP="00277300" w:rsidRDefault="00040F91" w14:paraId="55020A0B" w14:textId="04BB1977">
      <w:pPr>
        <w:numPr>
          <w:ilvl w:val="0"/>
          <w:numId w:val="28"/>
        </w:numPr>
      </w:pPr>
      <w:r>
        <w:rPr>
          <w:color w:val="000000"/>
        </w:rPr>
        <w:t>An increase resulting from the increase in t</w:t>
      </w:r>
      <w:r w:rsidR="005170B7">
        <w:rPr>
          <w:color w:val="000000"/>
        </w:rPr>
        <w:t>he number of nonattainment areas</w:t>
      </w:r>
      <w:r w:rsidR="00300FAB">
        <w:rPr>
          <w:color w:val="000000"/>
        </w:rPr>
        <w:t xml:space="preserve"> from 46 areas for the 2008</w:t>
      </w:r>
      <w:r>
        <w:rPr>
          <w:color w:val="000000"/>
        </w:rPr>
        <w:t>-only</w:t>
      </w:r>
      <w:r w:rsidR="00300FAB">
        <w:rPr>
          <w:color w:val="000000"/>
        </w:rPr>
        <w:t xml:space="preserve"> ozone NAAQS to </w:t>
      </w:r>
      <w:r w:rsidR="00905F47">
        <w:rPr>
          <w:color w:val="000000"/>
        </w:rPr>
        <w:t xml:space="preserve">60 </w:t>
      </w:r>
      <w:r w:rsidR="00300FAB">
        <w:rPr>
          <w:color w:val="000000"/>
        </w:rPr>
        <w:t xml:space="preserve">areas for the </w:t>
      </w:r>
      <w:r>
        <w:rPr>
          <w:color w:val="000000"/>
        </w:rPr>
        <w:t xml:space="preserve">combined 2008 and </w:t>
      </w:r>
      <w:r w:rsidR="00CE6DDC">
        <w:rPr>
          <w:color w:val="000000"/>
        </w:rPr>
        <w:t>2015 ozone NAAQS.</w:t>
      </w:r>
    </w:p>
    <w:p w:rsidRPr="00A26EEF" w:rsidR="00C535D3" w:rsidP="00277300" w:rsidRDefault="00CD7EDD" w14:paraId="6C900305" w14:textId="28B3C687">
      <w:pPr>
        <w:numPr>
          <w:ilvl w:val="0"/>
          <w:numId w:val="28"/>
        </w:numPr>
      </w:pPr>
      <w:r>
        <w:rPr>
          <w:color w:val="000000"/>
        </w:rPr>
        <w:t>An increase due to the fact that p</w:t>
      </w:r>
      <w:r w:rsidR="00C535D3">
        <w:rPr>
          <w:color w:val="000000"/>
        </w:rPr>
        <w:t xml:space="preserve">revious ozone ICRs did not include the burden estimate for the states in the Ozone Transport Regions to certify the current state SIPs meet CAA </w:t>
      </w:r>
      <w:r w:rsidR="005E5DBD">
        <w:rPr>
          <w:color w:val="000000"/>
        </w:rPr>
        <w:t>s</w:t>
      </w:r>
      <w:r w:rsidR="00C535D3">
        <w:rPr>
          <w:color w:val="000000"/>
        </w:rPr>
        <w:t>ection 184(b)(1)(B) RACT requirements.</w:t>
      </w:r>
    </w:p>
    <w:p w:rsidRPr="00CE6DDC" w:rsidR="00C866A8" w:rsidP="00277300" w:rsidRDefault="00C866A8" w14:paraId="416D051A" w14:textId="0A5539CF">
      <w:pPr>
        <w:numPr>
          <w:ilvl w:val="0"/>
          <w:numId w:val="28"/>
        </w:numPr>
      </w:pPr>
      <w:r>
        <w:rPr>
          <w:color w:val="000000"/>
        </w:rPr>
        <w:lastRenderedPageBreak/>
        <w:t>An increase due to the fact that previous ozone ICRs did not include the burden estimate for the states to develop second 10-year maintenance plans,</w:t>
      </w:r>
    </w:p>
    <w:p w:rsidRPr="00BF3B7D" w:rsidR="005170B7" w:rsidP="00277300" w:rsidRDefault="00765937" w14:paraId="26F67AA6" w14:textId="22993B73">
      <w:pPr>
        <w:numPr>
          <w:ilvl w:val="0"/>
          <w:numId w:val="28"/>
        </w:numPr>
      </w:pPr>
      <w:r>
        <w:rPr>
          <w:color w:val="000000"/>
        </w:rPr>
        <w:t>39</w:t>
      </w:r>
      <w:r w:rsidR="005170B7">
        <w:rPr>
          <w:color w:val="000000"/>
        </w:rPr>
        <w:t xml:space="preserve"> of </w:t>
      </w:r>
      <w:r w:rsidR="00CE6DDC">
        <w:rPr>
          <w:color w:val="000000"/>
        </w:rPr>
        <w:t>5</w:t>
      </w:r>
      <w:r w:rsidR="00F309B7">
        <w:rPr>
          <w:color w:val="000000"/>
        </w:rPr>
        <w:t>2</w:t>
      </w:r>
      <w:r w:rsidR="00CE6DDC">
        <w:rPr>
          <w:color w:val="000000"/>
        </w:rPr>
        <w:t xml:space="preserve"> areas </w:t>
      </w:r>
      <w:r w:rsidR="005170B7">
        <w:rPr>
          <w:color w:val="000000"/>
        </w:rPr>
        <w:t>are classified as Marginal</w:t>
      </w:r>
      <w:r w:rsidR="00F309B7">
        <w:rPr>
          <w:color w:val="000000"/>
        </w:rPr>
        <w:t xml:space="preserve"> </w:t>
      </w:r>
      <w:r w:rsidR="005E5DBD">
        <w:rPr>
          <w:color w:val="000000"/>
        </w:rPr>
        <w:t xml:space="preserve">for the 2015 ozone NAAQS </w:t>
      </w:r>
      <w:r w:rsidR="00905F47">
        <w:rPr>
          <w:color w:val="000000"/>
        </w:rPr>
        <w:t>with 2</w:t>
      </w:r>
      <w:r w:rsidR="008D653A">
        <w:rPr>
          <w:color w:val="000000"/>
        </w:rPr>
        <w:t>7</w:t>
      </w:r>
      <w:r w:rsidR="00905F47">
        <w:rPr>
          <w:color w:val="000000"/>
        </w:rPr>
        <w:t xml:space="preserve"> of the 39 not meeting </w:t>
      </w:r>
      <w:r w:rsidR="005E5DBD">
        <w:rPr>
          <w:color w:val="000000"/>
        </w:rPr>
        <w:t xml:space="preserve">that </w:t>
      </w:r>
      <w:r w:rsidR="00905F47">
        <w:rPr>
          <w:color w:val="000000"/>
        </w:rPr>
        <w:t>NAAQS based on preliminary air quality data</w:t>
      </w:r>
      <w:r w:rsidR="005E5DBD">
        <w:rPr>
          <w:color w:val="000000"/>
        </w:rPr>
        <w:t>, which may</w:t>
      </w:r>
      <w:r w:rsidR="00905F47">
        <w:rPr>
          <w:color w:val="000000"/>
        </w:rPr>
        <w:t xml:space="preserve"> </w:t>
      </w:r>
      <w:r w:rsidR="005E5DBD">
        <w:rPr>
          <w:color w:val="000000"/>
        </w:rPr>
        <w:t>result in</w:t>
      </w:r>
      <w:r w:rsidR="00905F47">
        <w:rPr>
          <w:color w:val="000000"/>
        </w:rPr>
        <w:t xml:space="preserve"> reclassification to Moderate and additional </w:t>
      </w:r>
      <w:r w:rsidR="005E5DBD">
        <w:rPr>
          <w:color w:val="000000"/>
        </w:rPr>
        <w:t xml:space="preserve">planning </w:t>
      </w:r>
      <w:r w:rsidR="00905F47">
        <w:rPr>
          <w:color w:val="000000"/>
        </w:rPr>
        <w:t>burden.</w:t>
      </w:r>
      <w:r w:rsidR="005E5DBD">
        <w:rPr>
          <w:color w:val="000000"/>
        </w:rPr>
        <w:t xml:space="preserve"> The burden estimate is based on the 5,</w:t>
      </w:r>
      <w:r w:rsidR="00D61911">
        <w:rPr>
          <w:color w:val="000000"/>
        </w:rPr>
        <w:t>1</w:t>
      </w:r>
      <w:r w:rsidR="005E5DBD">
        <w:rPr>
          <w:color w:val="000000"/>
        </w:rPr>
        <w:t>00 hours for a reclassification to Moderate classification during the ICR 3-year period.</w:t>
      </w:r>
    </w:p>
    <w:p w:rsidRPr="00CE6DDC" w:rsidR="00CE6DDC" w:rsidP="00277300" w:rsidRDefault="00F309B7" w14:paraId="1C08D3DD" w14:textId="0DFDB9DB">
      <w:pPr>
        <w:numPr>
          <w:ilvl w:val="0"/>
          <w:numId w:val="28"/>
        </w:numPr>
      </w:pPr>
      <w:r>
        <w:rPr>
          <w:color w:val="000000"/>
        </w:rPr>
        <w:t>Six</w:t>
      </w:r>
      <w:r w:rsidRPr="00BF3B7D" w:rsidR="005170B7">
        <w:rPr>
          <w:color w:val="000000"/>
        </w:rPr>
        <w:t xml:space="preserve"> of the </w:t>
      </w:r>
      <w:r w:rsidR="00CE6DDC">
        <w:rPr>
          <w:color w:val="000000"/>
        </w:rPr>
        <w:t>5</w:t>
      </w:r>
      <w:r>
        <w:rPr>
          <w:color w:val="000000"/>
        </w:rPr>
        <w:t>2</w:t>
      </w:r>
      <w:r w:rsidR="00CE6DDC">
        <w:rPr>
          <w:color w:val="000000"/>
        </w:rPr>
        <w:t xml:space="preserve"> </w:t>
      </w:r>
      <w:r w:rsidR="005E5DBD">
        <w:rPr>
          <w:color w:val="000000"/>
        </w:rPr>
        <w:t xml:space="preserve">initially designated </w:t>
      </w:r>
      <w:r w:rsidR="00E41B94">
        <w:rPr>
          <w:color w:val="000000"/>
        </w:rPr>
        <w:t xml:space="preserve">2015 ozone </w:t>
      </w:r>
      <w:r w:rsidRPr="00BF3B7D" w:rsidR="005170B7">
        <w:rPr>
          <w:color w:val="000000"/>
        </w:rPr>
        <w:t xml:space="preserve">nonattainment areas are </w:t>
      </w:r>
      <w:r w:rsidR="00CE6DDC">
        <w:rPr>
          <w:color w:val="000000"/>
        </w:rPr>
        <w:t>Serious</w:t>
      </w:r>
      <w:r w:rsidRPr="00BF3B7D" w:rsidR="005170B7">
        <w:rPr>
          <w:color w:val="000000"/>
        </w:rPr>
        <w:t xml:space="preserve"> or higher</w:t>
      </w:r>
      <w:r w:rsidR="005E5DBD">
        <w:rPr>
          <w:color w:val="000000"/>
        </w:rPr>
        <w:t>,</w:t>
      </w:r>
      <w:r w:rsidR="00CE6DDC">
        <w:rPr>
          <w:color w:val="000000"/>
        </w:rPr>
        <w:t xml:space="preserve"> with an estimated 20,000 hours </w:t>
      </w:r>
      <w:r w:rsidR="00AE6583">
        <w:rPr>
          <w:color w:val="000000"/>
        </w:rPr>
        <w:t xml:space="preserve">for states </w:t>
      </w:r>
      <w:r w:rsidR="00CE6DDC">
        <w:rPr>
          <w:color w:val="000000"/>
        </w:rPr>
        <w:t>to develop</w:t>
      </w:r>
      <w:r w:rsidR="00765937">
        <w:rPr>
          <w:color w:val="000000"/>
        </w:rPr>
        <w:t xml:space="preserve"> each of</w:t>
      </w:r>
      <w:r w:rsidR="00CE6DDC">
        <w:rPr>
          <w:color w:val="000000"/>
        </w:rPr>
        <w:t xml:space="preserve"> the required plans</w:t>
      </w:r>
      <w:r w:rsidRPr="00BF3B7D" w:rsidR="005170B7">
        <w:rPr>
          <w:color w:val="000000"/>
        </w:rPr>
        <w:t>.</w:t>
      </w:r>
    </w:p>
    <w:p w:rsidR="005170B7" w:rsidP="00277300" w:rsidRDefault="005170B7" w14:paraId="2F3F9C83" w14:textId="125890B8">
      <w:pPr>
        <w:numPr>
          <w:ilvl w:val="0"/>
          <w:numId w:val="28"/>
        </w:numPr>
      </w:pPr>
      <w:r w:rsidRPr="00C60E84">
        <w:t xml:space="preserve">The estimates have been calculated </w:t>
      </w:r>
      <w:r>
        <w:t xml:space="preserve">in </w:t>
      </w:r>
      <w:r w:rsidR="00E41B94">
        <w:t xml:space="preserve">2020 </w:t>
      </w:r>
      <w:r w:rsidRPr="00C60E84">
        <w:t xml:space="preserve">dollars and </w:t>
      </w:r>
      <w:r>
        <w:t xml:space="preserve">some assumptions regarding overhead, O&amp;M costs, and capital costs have been adjusted to </w:t>
      </w:r>
      <w:r w:rsidRPr="00C60E84">
        <w:t xml:space="preserve">meet </w:t>
      </w:r>
      <w:r>
        <w:t xml:space="preserve">current </w:t>
      </w:r>
      <w:r w:rsidRPr="00C60E84">
        <w:t xml:space="preserve">guidelines </w:t>
      </w:r>
      <w:r>
        <w:t xml:space="preserve">and common procedures </w:t>
      </w:r>
      <w:r w:rsidRPr="00C60E84">
        <w:t>for preparing ICRs.</w:t>
      </w:r>
    </w:p>
    <w:p w:rsidR="005170B7" w:rsidP="00115BDD" w:rsidRDefault="005170B7" w14:paraId="366410E0" w14:textId="77777777"/>
    <w:p w:rsidR="005170B7" w:rsidP="00115BDD" w:rsidRDefault="005170B7" w14:paraId="37E83F90" w14:textId="77777777">
      <w:pPr>
        <w:rPr>
          <w:b/>
        </w:rPr>
      </w:pPr>
      <w:r>
        <w:rPr>
          <w:b/>
        </w:rPr>
        <w:t>6(f)</w:t>
      </w:r>
      <w:r>
        <w:rPr>
          <w:b/>
        </w:rPr>
        <w:tab/>
        <w:t>Burden Statement</w:t>
      </w:r>
    </w:p>
    <w:p w:rsidR="005170B7" w:rsidP="00277300" w:rsidRDefault="005170B7" w14:paraId="63DB3726" w14:textId="77777777">
      <w:pPr>
        <w:rPr>
          <w:b/>
        </w:rPr>
      </w:pPr>
    </w:p>
    <w:p w:rsidR="001871D0" w:rsidP="00277300" w:rsidRDefault="001871D0" w14:paraId="19E8867D" w14:textId="0D02B31F">
      <w:pPr>
        <w:ind w:firstLine="360"/>
      </w:pPr>
      <w:r w:rsidRPr="001871D0">
        <w:t xml:space="preserve">The </w:t>
      </w:r>
      <w:r w:rsidR="00D4470F">
        <w:t xml:space="preserve">total </w:t>
      </w:r>
      <w:r w:rsidRPr="001871D0">
        <w:t xml:space="preserve">burden to the state respondents for this information collection is estimated to be a total of </w:t>
      </w:r>
      <w:r w:rsidR="00674336">
        <w:t>35</w:t>
      </w:r>
      <w:r w:rsidR="00094C9F">
        <w:t>7</w:t>
      </w:r>
      <w:r w:rsidR="00674336">
        <w:t>,</w:t>
      </w:r>
      <w:r w:rsidR="00094C9F">
        <w:t>4</w:t>
      </w:r>
      <w:r w:rsidR="00674336">
        <w:t>00</w:t>
      </w:r>
      <w:r w:rsidRPr="001871D0">
        <w:t xml:space="preserve"> labor hours </w:t>
      </w:r>
      <w:r w:rsidR="00606799">
        <w:t>(</w:t>
      </w:r>
      <w:r w:rsidRPr="001871D0">
        <w:t xml:space="preserve">an average of </w:t>
      </w:r>
      <w:r w:rsidR="00674336">
        <w:t>11</w:t>
      </w:r>
      <w:r w:rsidR="00094C9F">
        <w:t>9</w:t>
      </w:r>
      <w:r w:rsidR="00674336">
        <w:t>,</w:t>
      </w:r>
      <w:r w:rsidR="00094C9F">
        <w:t>1</w:t>
      </w:r>
      <w:r w:rsidR="00674336">
        <w:t>33</w:t>
      </w:r>
      <w:r w:rsidRPr="001871D0">
        <w:t xml:space="preserve"> labor hours per year</w:t>
      </w:r>
      <w:r w:rsidR="00606799">
        <w:t>)</w:t>
      </w:r>
      <w:r w:rsidRPr="001871D0">
        <w:t xml:space="preserve"> </w:t>
      </w:r>
      <w:r w:rsidR="00D4470F">
        <w:t>with a total</w:t>
      </w:r>
      <w:r w:rsidRPr="001871D0">
        <w:t xml:space="preserve"> labor cost of $</w:t>
      </w:r>
      <w:r w:rsidR="00674336">
        <w:t>8.4</w:t>
      </w:r>
      <w:r w:rsidRPr="001871D0">
        <w:t xml:space="preserve"> million (present value) over the 3-year period</w:t>
      </w:r>
      <w:r w:rsidR="00D4470F">
        <w:t xml:space="preserve"> (</w:t>
      </w:r>
      <w:r w:rsidRPr="001871D0">
        <w:t>or approximately $</w:t>
      </w:r>
      <w:r w:rsidR="00094C9F">
        <w:t>271</w:t>
      </w:r>
      <w:r w:rsidR="00606799">
        <w:t>,000</w:t>
      </w:r>
      <w:r w:rsidRPr="001871D0">
        <w:t xml:space="preserve"> per state for the </w:t>
      </w:r>
      <w:r w:rsidR="00094C9F">
        <w:t>31</w:t>
      </w:r>
      <w:r w:rsidRPr="001871D0">
        <w:t xml:space="preserve"> state respondents including the District of Columbia</w:t>
      </w:r>
      <w:r w:rsidR="00D4470F">
        <w:t>)</w:t>
      </w:r>
      <w:r w:rsidRPr="001871D0">
        <w:t xml:space="preserve">.  The average annual reporting burden is </w:t>
      </w:r>
      <w:r w:rsidR="00674336">
        <w:t>1,</w:t>
      </w:r>
      <w:r w:rsidR="00094C9F">
        <w:t>241</w:t>
      </w:r>
      <w:r w:rsidRPr="001871D0" w:rsidR="00674336">
        <w:t xml:space="preserve"> </w:t>
      </w:r>
      <w:r w:rsidRPr="001871D0">
        <w:t>hours per response, with approximately 3.</w:t>
      </w:r>
      <w:r w:rsidR="00674336">
        <w:t>1</w:t>
      </w:r>
      <w:r w:rsidR="00606799">
        <w:t xml:space="preserve"> </w:t>
      </w:r>
      <w:r w:rsidRPr="001871D0">
        <w:t xml:space="preserve">responses per state for </w:t>
      </w:r>
      <w:r w:rsidR="00094C9F">
        <w:t>96</w:t>
      </w:r>
      <w:r w:rsidRPr="001871D0" w:rsidR="00674336">
        <w:t xml:space="preserve"> </w:t>
      </w:r>
      <w:r w:rsidRPr="001871D0">
        <w:t xml:space="preserve">state responses.  There are no capital </w:t>
      </w:r>
      <w:r w:rsidR="00606799">
        <w:t>or</w:t>
      </w:r>
      <w:r w:rsidRPr="001871D0" w:rsidR="00606799">
        <w:t xml:space="preserve"> </w:t>
      </w:r>
      <w:r w:rsidRPr="001871D0">
        <w:t xml:space="preserve">operating and maintenance costs associated with the proposed rule requirements. </w:t>
      </w:r>
    </w:p>
    <w:p w:rsidR="001871D0" w:rsidP="00277300" w:rsidRDefault="001871D0" w14:paraId="107B5F93" w14:textId="77777777">
      <w:pPr>
        <w:ind w:firstLine="360"/>
      </w:pPr>
    </w:p>
    <w:p w:rsidR="005170B7" w:rsidP="00277300" w:rsidRDefault="00A72B52" w14:paraId="6BDFA3B7" w14:textId="4D4ECF64">
      <w:pPr>
        <w:ind w:firstLine="360"/>
      </w:pPr>
      <w:r w:rsidRPr="001871D0">
        <w:t>Burden is defined at 5 CFR 1320.3(b)</w:t>
      </w:r>
      <w:r>
        <w:t xml:space="preserve"> as</w:t>
      </w:r>
      <w:r w:rsidR="005170B7">
        <w:t xml:space="preserve"> the total time, effort, or financial resources expended by persons to generate, maintain, retain, disclose, or provide information or for a Federal agency other than EPA to do so. This estimate includes the time and burden needed to conduct the tasks associated with the</w:t>
      </w:r>
      <w:r>
        <w:t xml:space="preserve"> attainment demonstration submittal,</w:t>
      </w:r>
      <w:r w:rsidR="005170B7">
        <w:t xml:space="preserve"> RACT SIP submittal, RFP SIP submittal, and</w:t>
      </w:r>
      <w:r>
        <w:t>/or the second 10-year maintenance plan submittal</w:t>
      </w:r>
      <w:r w:rsidR="005170B7">
        <w:t xml:space="preserve">. In </w:t>
      </w:r>
      <w:r>
        <w:t>achieving these tasks</w:t>
      </w:r>
      <w:r w:rsidR="005170B7">
        <w:t>, such incremental efforts may include reviewing instructions as well as verifying, processing, maintaining, and disclosing information.  Such efforts may require incremental development, acquisition, installation, and/or utilization of technological systems for several purposes. These purposes include collecting, verifying, validating, processing, maintaining and disclosing information associated with the</w:t>
      </w:r>
      <w:r>
        <w:t xml:space="preserve"> listed</w:t>
      </w:r>
      <w:r w:rsidR="005170B7">
        <w:t xml:space="preserve"> </w:t>
      </w:r>
      <w:r>
        <w:t>tasks</w:t>
      </w:r>
      <w:r w:rsidR="005170B7">
        <w:t xml:space="preserve">. The incremental efforts may result from adjusting the ways to comply with the previously applicable instructions associated with the 1-hour </w:t>
      </w:r>
      <w:r>
        <w:t xml:space="preserve">ozone NAAQS or prior 8-hour ozone NAAQS, as </w:t>
      </w:r>
      <w:r w:rsidR="002F6FF7">
        <w:t>appropriate</w:t>
      </w:r>
      <w:r w:rsidR="005170B7">
        <w:t xml:space="preserve">. Consequently, in </w:t>
      </w:r>
      <w:r w:rsidR="002F6FF7">
        <w:t>achieving the listed tasks</w:t>
      </w:r>
      <w:r w:rsidR="005170B7">
        <w:t>, there could be some incremental burden associated with learning/training, searching data sources, and transmitting the deliverables.</w:t>
      </w:r>
    </w:p>
    <w:p w:rsidR="005170B7" w:rsidP="00277300" w:rsidRDefault="005170B7" w14:paraId="7D98876E" w14:textId="77777777">
      <w:pPr>
        <w:ind w:firstLine="360"/>
      </w:pPr>
    </w:p>
    <w:p w:rsidR="005170B7" w:rsidP="00277300" w:rsidRDefault="005170B7" w14:paraId="5F909326" w14:textId="55F42A0C">
      <w:pPr>
        <w:ind w:firstLine="360"/>
      </w:pPr>
      <w:r>
        <w:t>An Agency may not conduct or sponsor, and a person is not required to respond to</w:t>
      </w:r>
      <w:r w:rsidR="002F6FF7">
        <w:t>,</w:t>
      </w:r>
      <w:r>
        <w:t xml:space="preserve"> a collection of information unless it displays a currently valid OMB control number. The OMB control numbers for EPA’s regulations are listed in 40 CFR part 9 and 48 CFR chapter 15. When this ICR is approved by OMB, the Agency will publish a technical amendment to 40 CFR part 9 in the </w:t>
      </w:r>
      <w:r w:rsidRPr="00C1695B">
        <w:rPr>
          <w:i/>
          <w:iCs/>
        </w:rPr>
        <w:t>Federal Register</w:t>
      </w:r>
      <w:r>
        <w:t xml:space="preserve"> to display the OMB control number for the approved information collection requirements </w:t>
      </w:r>
      <w:r w:rsidR="002F6FF7">
        <w:t xml:space="preserve">that apply for purposes of </w:t>
      </w:r>
      <w:r w:rsidR="002F6FF7">
        <w:lastRenderedPageBreak/>
        <w:t>implementing multiple 8-hour ozone NAAQS</w:t>
      </w:r>
      <w:r>
        <w:t xml:space="preserve">. However, as stated in the November 29, 2005 </w:t>
      </w:r>
      <w:r w:rsidRPr="00C1695B">
        <w:rPr>
          <w:i/>
          <w:iCs/>
        </w:rPr>
        <w:t>Federal Register</w:t>
      </w:r>
      <w:r>
        <w:t xml:space="preserve"> </w:t>
      </w:r>
      <w:r w:rsidR="002F6FF7">
        <w:t>n</w:t>
      </w:r>
      <w:r>
        <w:t xml:space="preserve">otice for the 8-hour </w:t>
      </w:r>
      <w:r w:rsidR="002F6FF7">
        <w:t>o</w:t>
      </w:r>
      <w:r>
        <w:t xml:space="preserve">zone </w:t>
      </w:r>
      <w:r w:rsidR="002F6FF7">
        <w:t>i</w:t>
      </w:r>
      <w:r>
        <w:t xml:space="preserve">mplementation </w:t>
      </w:r>
      <w:r w:rsidR="002F6FF7">
        <w:t>r</w:t>
      </w:r>
      <w:r>
        <w:t>ule, “...failure to have an approved ICR for this rule does not affect the statutory obligation for the States to submit SIPs as required under part D of the CAA.”</w:t>
      </w:r>
    </w:p>
    <w:p w:rsidR="005170B7" w:rsidP="00277300" w:rsidRDefault="005170B7" w14:paraId="486A1350" w14:textId="77777777">
      <w:pPr>
        <w:ind w:firstLine="360"/>
      </w:pPr>
    </w:p>
    <w:p w:rsidR="00F603DD" w:rsidP="008B500D" w:rsidRDefault="005170B7" w14:paraId="712EF7A2" w14:textId="5F45A0BE">
      <w:pPr>
        <w:ind w:firstLine="360"/>
      </w:pPr>
      <w:r>
        <w:t xml:space="preserve">The Agency established a docket for the </w:t>
      </w:r>
      <w:r w:rsidR="002F6FF7">
        <w:t xml:space="preserve">2008 </w:t>
      </w:r>
      <w:r>
        <w:t xml:space="preserve">8-hour </w:t>
      </w:r>
      <w:r w:rsidR="002F6FF7">
        <w:t>o</w:t>
      </w:r>
      <w:r>
        <w:t xml:space="preserve">zone </w:t>
      </w:r>
      <w:r w:rsidR="002F6FF7">
        <w:t>NAAQS SIP Requirements</w:t>
      </w:r>
      <w:r>
        <w:t xml:space="preserve"> Rule under Docket ID No. </w:t>
      </w:r>
      <w:r w:rsidRPr="00F33CD2">
        <w:t>EPA-HQ-OAR-</w:t>
      </w:r>
      <w:r w:rsidR="00BA1664">
        <w:t>2020-0415</w:t>
      </w:r>
      <w:r>
        <w:t xml:space="preserve">, which is available for online viewing at: </w:t>
      </w:r>
      <w:hyperlink w:history="1" r:id="rId20">
        <w:r w:rsidRPr="006346B1">
          <w:rPr>
            <w:rStyle w:val="Hyperlink"/>
          </w:rPr>
          <w:t>http://www.regulations.gov</w:t>
        </w:r>
      </w:hyperlink>
      <w:r>
        <w:t xml:space="preserve">. Although listed in the index, some information such as Confidential Business Information is not publicly available. Other information such as copyrighted materials are not placed on the internet, but are available in hard copy form at the EPA Docket Center (Air Docket), EPA/DC, EPA West, Room B102, 1301 Constitution Ave., NW., Washington, DC. </w:t>
      </w:r>
      <w:r w:rsidRPr="008B500D" w:rsidR="008B500D">
        <w:t xml:space="preserve">Out of an abundance of caution for members of the public and our staff, the EPA Docket Center and Reading Room are closed to the public, with limited exceptions, to reduce the risk of transmitting COVID-19. Our Docket Center staff will continue to provide remote customer service via email, phone, and webform. The telephone number for the Public Reading Room is (202) 566-1744 and the telephone number for the Office of Air and Radiation Docket and Information Center is (202) 566-1742. For further information on EPA Docket Center services and the current status, please visit us online at </w:t>
      </w:r>
      <w:hyperlink w:history="1" r:id="rId21">
        <w:r w:rsidRPr="00DE51A0" w:rsidR="00F603DD">
          <w:rPr>
            <w:rStyle w:val="Hyperlink"/>
          </w:rPr>
          <w:t>https://www.epa.gov/dockets</w:t>
        </w:r>
      </w:hyperlink>
      <w:r w:rsidRPr="008B500D" w:rsidR="008B500D">
        <w:t>.</w:t>
      </w:r>
    </w:p>
    <w:p w:rsidR="005170B7" w:rsidP="008B500D" w:rsidRDefault="005170B7" w14:paraId="7B2F39C0" w14:textId="46BFE610">
      <w:pPr>
        <w:ind w:firstLine="360"/>
        <w:rPr>
          <w:b/>
        </w:rPr>
      </w:pPr>
    </w:p>
    <w:p w:rsidRPr="00A83140" w:rsidR="009D47EF" w:rsidP="00A83140" w:rsidRDefault="009D47EF" w14:paraId="3B7F21DC" w14:textId="77777777">
      <w:pPr>
        <w:rPr>
          <w:b/>
        </w:rPr>
      </w:pPr>
    </w:p>
    <w:p w:rsidR="005170B7" w:rsidP="00A83140" w:rsidRDefault="005170B7" w14:paraId="5DC7793A" w14:textId="77777777">
      <w:pPr>
        <w:rPr>
          <w:b/>
        </w:rPr>
      </w:pPr>
      <w:r w:rsidRPr="00A83140">
        <w:rPr>
          <w:b/>
        </w:rPr>
        <w:t>PART B</w:t>
      </w:r>
    </w:p>
    <w:p w:rsidRPr="00A83140" w:rsidR="005170B7" w:rsidP="00A83140" w:rsidRDefault="005170B7" w14:paraId="48829749" w14:textId="77777777">
      <w:pPr>
        <w:rPr>
          <w:b/>
        </w:rPr>
      </w:pPr>
    </w:p>
    <w:p w:rsidR="005170B7" w:rsidP="00A83140" w:rsidRDefault="005170B7" w14:paraId="54F2B6F7" w14:textId="3F3C45EB">
      <w:r>
        <w:tab/>
        <w:t xml:space="preserve">This section is not applicable because statistical methods are not used in data collection associated with the </w:t>
      </w:r>
      <w:r w:rsidR="002736C3">
        <w:t>implementation</w:t>
      </w:r>
      <w:r>
        <w:t xml:space="preserve"> rule.</w:t>
      </w:r>
    </w:p>
    <w:p w:rsidR="00C2028C" w:rsidP="006E6352" w:rsidRDefault="00C2028C" w14:paraId="37009D49" w14:textId="0CFFA175">
      <w:pPr>
        <w:rPr>
          <w:b/>
        </w:rPr>
      </w:pPr>
    </w:p>
    <w:sectPr w:rsidR="00C2028C" w:rsidSect="00871581">
      <w:footerReference w:type="default" r:id="rId2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65FEA" w14:textId="77777777" w:rsidR="00CB14AC" w:rsidRDefault="00CB14AC">
      <w:r>
        <w:separator/>
      </w:r>
    </w:p>
  </w:endnote>
  <w:endnote w:type="continuationSeparator" w:id="0">
    <w:p w14:paraId="06EE986E" w14:textId="77777777" w:rsidR="00CB14AC" w:rsidRDefault="00CB14AC">
      <w:r>
        <w:continuationSeparator/>
      </w:r>
    </w:p>
  </w:endnote>
  <w:endnote w:type="continuationNotice" w:id="1">
    <w:p w14:paraId="4B8C4AD9" w14:textId="77777777" w:rsidR="00CB14AC" w:rsidRDefault="00CB1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A9279" w14:textId="77777777" w:rsidR="00CB14AC" w:rsidRDefault="00CB1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1E619" w14:textId="77777777" w:rsidR="00CB14AC" w:rsidRDefault="00CB1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DBE5F" w14:textId="77777777" w:rsidR="00CB14AC" w:rsidRDefault="00CB14AC">
    <w:pPr>
      <w:pStyle w:val="Footer"/>
      <w:jc w:val="center"/>
    </w:pPr>
  </w:p>
  <w:p w14:paraId="2E4D12B0" w14:textId="77777777" w:rsidR="00CB14AC" w:rsidRDefault="00CB1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2640699"/>
      <w:docPartObj>
        <w:docPartGallery w:val="Page Numbers (Bottom of Page)"/>
        <w:docPartUnique/>
      </w:docPartObj>
    </w:sdtPr>
    <w:sdtEndPr>
      <w:rPr>
        <w:noProof/>
      </w:rPr>
    </w:sdtEndPr>
    <w:sdtContent>
      <w:p w14:paraId="2B908227" w14:textId="14B4B3F4" w:rsidR="00CB14AC" w:rsidRDefault="00CB14A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88EAF33" w14:textId="77777777" w:rsidR="00CB14AC" w:rsidRDefault="00CB14AC" w:rsidP="00D425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5F2EE" w14:textId="77777777" w:rsidR="00CB14AC" w:rsidRDefault="00CB14AC">
      <w:r>
        <w:separator/>
      </w:r>
    </w:p>
  </w:footnote>
  <w:footnote w:type="continuationSeparator" w:id="0">
    <w:p w14:paraId="64A772EB" w14:textId="77777777" w:rsidR="00CB14AC" w:rsidRDefault="00CB14AC">
      <w:r>
        <w:continuationSeparator/>
      </w:r>
    </w:p>
  </w:footnote>
  <w:footnote w:type="continuationNotice" w:id="1">
    <w:p w14:paraId="57CF7D72" w14:textId="77777777" w:rsidR="00CB14AC" w:rsidRDefault="00CB14AC"/>
  </w:footnote>
  <w:footnote w:id="2">
    <w:p w14:paraId="396973FD" w14:textId="5BEF8269" w:rsidR="00CB14AC" w:rsidRDefault="00CB14AC">
      <w:pPr>
        <w:pStyle w:val="FootnoteText"/>
      </w:pPr>
      <w:r>
        <w:rPr>
          <w:rStyle w:val="FootnoteReference"/>
        </w:rPr>
        <w:footnoteRef/>
      </w:r>
      <w:r>
        <w:t xml:space="preserve"> </w:t>
      </w:r>
      <w:r w:rsidRPr="00827FE7">
        <w:rPr>
          <w:sz w:val="24"/>
          <w:szCs w:val="24"/>
        </w:rPr>
        <w:t>Attainment demonstrations as well as RFP and RACT SIP submissions are viewed as analytical products to some</w:t>
      </w:r>
      <w:r>
        <w:rPr>
          <w:sz w:val="24"/>
          <w:szCs w:val="24"/>
        </w:rPr>
        <w:t xml:space="preserve">, </w:t>
      </w:r>
      <w:r w:rsidRPr="00827FE7">
        <w:rPr>
          <w:sz w:val="24"/>
          <w:szCs w:val="24"/>
        </w:rPr>
        <w:t>but are regulations to others.  In the context of the Paperwork Reduction Act, the attainment demonstration and RFP and RACT SIP submissions are considered data.</w:t>
      </w:r>
    </w:p>
  </w:footnote>
  <w:footnote w:id="3">
    <w:p w14:paraId="1D937459" w14:textId="2F28EA3A" w:rsidR="00CB14AC" w:rsidRDefault="00CB14AC">
      <w:pPr>
        <w:pStyle w:val="FootnoteText"/>
      </w:pPr>
      <w:r>
        <w:rPr>
          <w:rStyle w:val="FootnoteReference"/>
        </w:rPr>
        <w:footnoteRef/>
      </w:r>
      <w:r>
        <w:t xml:space="preserve"> However, states may choose to retain the information for more than 3 years.</w:t>
      </w:r>
    </w:p>
  </w:footnote>
  <w:footnote w:id="4">
    <w:p w14:paraId="3CE34017" w14:textId="4FAE74C8" w:rsidR="00CB14AC" w:rsidRDefault="00CB14AC">
      <w:pPr>
        <w:pStyle w:val="FootnoteText"/>
      </w:pPr>
      <w:r>
        <w:rPr>
          <w:rStyle w:val="FootnoteReference"/>
        </w:rPr>
        <w:footnoteRef/>
      </w:r>
      <w:r>
        <w:t xml:space="preserve"> However, states must still submit their attainment demonstration, RFP SIP, and RACT SIP.</w:t>
      </w:r>
    </w:p>
  </w:footnote>
  <w:footnote w:id="5">
    <w:p w14:paraId="09CF2207" w14:textId="752D43AD" w:rsidR="00CB14AC" w:rsidRDefault="00CB14AC">
      <w:pPr>
        <w:pStyle w:val="FootnoteText"/>
      </w:pPr>
      <w:r>
        <w:rPr>
          <w:rStyle w:val="FootnoteReference"/>
        </w:rPr>
        <w:footnoteRef/>
      </w:r>
      <w:r>
        <w:t xml:space="preserve"> The inclusion or omission of named ozone nonattainment areas in this document in no way pre-judges the outcome of any EPA regulatory action via notice and comment rulemaking, such as for a determination of attainment by the attainment date and/or reclassification (in the event an area is determined to have failed to timely attain). Areas are listed for illustrative purposes and to provide a basis for EPA’s burden estimate associated with respondents fulfilling specific planning requirements.</w:t>
      </w:r>
    </w:p>
  </w:footnote>
  <w:footnote w:id="6">
    <w:p w14:paraId="4B4A8AE9" w14:textId="36066D6D" w:rsidR="00CB14AC" w:rsidRDefault="00CB14AC" w:rsidP="002707CD">
      <w:pPr>
        <w:pStyle w:val="FootnoteText"/>
      </w:pPr>
      <w:r>
        <w:rPr>
          <w:rStyle w:val="FootnoteReference"/>
        </w:rPr>
        <w:footnoteRef/>
      </w:r>
      <w:r>
        <w:t xml:space="preserve"> The SIP submission due dates for any reclassified 2008 ozone Severe-15 nonattainment areas will be set forth in the reclassification action.</w:t>
      </w:r>
    </w:p>
  </w:footnote>
  <w:footnote w:id="7">
    <w:p w14:paraId="6F8553CD" w14:textId="0AD0D3E8" w:rsidR="00CB14AC" w:rsidRDefault="00CB14AC">
      <w:pPr>
        <w:pStyle w:val="FootnoteText"/>
      </w:pPr>
      <w:r>
        <w:rPr>
          <w:rStyle w:val="FootnoteReference"/>
        </w:rPr>
        <w:footnoteRef/>
      </w:r>
      <w:r>
        <w:t xml:space="preserve"> T</w:t>
      </w:r>
      <w:r w:rsidRPr="006F537A">
        <w:t xml:space="preserve">ribes are not required to </w:t>
      </w:r>
      <w:r>
        <w:t>develop</w:t>
      </w:r>
      <w:r w:rsidRPr="006F537A">
        <w:t xml:space="preserve"> attainment demonstrations or submit RFP or RACT SIPs. </w:t>
      </w:r>
      <w:r>
        <w:t>The burden to develop required SIPs for the two listed tribal areas is included in the Agency burden hours.</w:t>
      </w:r>
    </w:p>
  </w:footnote>
  <w:footnote w:id="8">
    <w:p w14:paraId="7EA357A9" w14:textId="5158736C" w:rsidR="00CB14AC" w:rsidRDefault="00CB14AC" w:rsidP="00D2088A">
      <w:r w:rsidRPr="0006222F">
        <w:rPr>
          <w:rStyle w:val="FootnoteReference"/>
          <w:sz w:val="20"/>
          <w:szCs w:val="20"/>
        </w:rPr>
        <w:footnoteRef/>
      </w:r>
      <w:r w:rsidRPr="0006222F">
        <w:rPr>
          <w:sz w:val="20"/>
          <w:szCs w:val="20"/>
        </w:rPr>
        <w:t xml:space="preserve"> </w:t>
      </w:r>
      <w:r w:rsidRPr="00D2088A">
        <w:rPr>
          <w:sz w:val="20"/>
          <w:szCs w:val="20"/>
        </w:rPr>
        <w:t xml:space="preserve">Section 179B(a) of the Clean Air Act provides that in lieu of the attainment demonstration requirement, a state may choose to demonstrate that the plan would be adequate to attain and maintain the NAAQS but for emissions emanating outside the United States.  For the purposes of this ICR, the burden of such a demonstration under 179B is assumed to be comparable to </w:t>
      </w:r>
      <w:r>
        <w:rPr>
          <w:sz w:val="20"/>
          <w:szCs w:val="20"/>
        </w:rPr>
        <w:t xml:space="preserve">that associated with developing an </w:t>
      </w:r>
      <w:r w:rsidRPr="00D2088A">
        <w:rPr>
          <w:sz w:val="20"/>
          <w:szCs w:val="20"/>
        </w:rPr>
        <w:t>attainment demonstration.</w:t>
      </w:r>
    </w:p>
  </w:footnote>
  <w:footnote w:id="9">
    <w:p w14:paraId="3E4B0F6E" w14:textId="2A170F1C" w:rsidR="00CB14AC" w:rsidRPr="00AB23D2" w:rsidRDefault="00CB14AC">
      <w:pPr>
        <w:pStyle w:val="FootnoteText"/>
      </w:pPr>
      <w:r>
        <w:rPr>
          <w:rStyle w:val="FootnoteReference"/>
        </w:rPr>
        <w:footnoteRef/>
      </w:r>
      <w:r>
        <w:t xml:space="preserve"> </w:t>
      </w:r>
      <w:r w:rsidRPr="00AB23D2">
        <w:rPr>
          <w:i/>
          <w:iCs/>
        </w:rPr>
        <w:t>See https://www3.epa.gov/airquality/greenbook/jbtc.html</w:t>
      </w:r>
      <w:r>
        <w:t>.</w:t>
      </w:r>
    </w:p>
  </w:footnote>
  <w:footnote w:id="10">
    <w:p w14:paraId="5404B815" w14:textId="4950E9D9" w:rsidR="00CB14AC" w:rsidRDefault="00CB14AC" w:rsidP="00FF2FAB">
      <w:pPr>
        <w:pStyle w:val="FootnoteText"/>
      </w:pPr>
      <w:r>
        <w:rPr>
          <w:rStyle w:val="FootnoteReference"/>
        </w:rPr>
        <w:footnoteRef/>
      </w:r>
      <w:r>
        <w:t xml:space="preserve"> On 8/21/2019, the Columbus, OH area was redesignated from nonattainment to maintenance (</w:t>
      </w:r>
      <w:hyperlink r:id="rId1" w:tgtFrame="_blank" w:history="1">
        <w:r w:rsidRPr="000378B2">
          <w:rPr>
            <w:rStyle w:val="Hyperlink"/>
          </w:rPr>
          <w:t>84 FR 43508</w:t>
        </w:r>
      </w:hyperlink>
      <w:r>
        <w:t>).</w:t>
      </w:r>
    </w:p>
  </w:footnote>
  <w:footnote w:id="11">
    <w:p w14:paraId="7F2BE5BD" w14:textId="0E17133C" w:rsidR="00CB14AC" w:rsidRDefault="00CB14AC" w:rsidP="00250675">
      <w:pPr>
        <w:pStyle w:val="FootnoteText"/>
      </w:pPr>
      <w:r>
        <w:rPr>
          <w:rStyle w:val="FootnoteReference"/>
        </w:rPr>
        <w:footnoteRef/>
      </w:r>
      <w:r>
        <w:t xml:space="preserve"> On 6/10/2020, the Door County, WI area was redesignated from nonattainment to maintenance (</w:t>
      </w:r>
      <w:r w:rsidRPr="00D12D58">
        <w:t>85 FR 35377</w:t>
      </w:r>
      <w:r>
        <w:t>).</w:t>
      </w:r>
    </w:p>
  </w:footnote>
  <w:footnote w:id="12">
    <w:p w14:paraId="7AF0138D" w14:textId="514FD095" w:rsidR="00CB14AC" w:rsidRDefault="00CB14AC" w:rsidP="00E94E55">
      <w:pPr>
        <w:pStyle w:val="FootnoteText"/>
      </w:pPr>
      <w:r>
        <w:rPr>
          <w:rStyle w:val="FootnoteReference"/>
        </w:rPr>
        <w:footnoteRef/>
      </w:r>
      <w:r>
        <w:t xml:space="preserve"> The SIP revision due dates for any reclassified 2015 ozone Moderate nonattainment area will be set forth in the reclassification action.</w:t>
      </w:r>
    </w:p>
  </w:footnote>
  <w:footnote w:id="13">
    <w:p w14:paraId="52F373A4" w14:textId="2C8FA596" w:rsidR="00CB14AC" w:rsidRDefault="00CB14AC">
      <w:pPr>
        <w:pStyle w:val="FootnoteText"/>
      </w:pPr>
      <w:r>
        <w:rPr>
          <w:rStyle w:val="FootnoteReference"/>
        </w:rPr>
        <w:footnoteRef/>
      </w:r>
      <w:r>
        <w:t xml:space="preserve"> </w:t>
      </w:r>
      <w:r w:rsidRPr="0006222F">
        <w:t>Section 179B(</w:t>
      </w:r>
      <w:r>
        <w:t>b</w:t>
      </w:r>
      <w:r w:rsidRPr="0006222F">
        <w:t xml:space="preserve">) of the Clean Air Act provides that any State that demonstrates to EPA’s satisfaction that the State would have attained the ozone NAAQS by the applicable attainment date but for emissions from outside the U.S. will not be subject to reclassification to the next highest level.  Thus, it is possible that some areas listed in Table </w:t>
      </w:r>
      <w:r>
        <w:t>5</w:t>
      </w:r>
      <w:r w:rsidRPr="0006222F">
        <w:t xml:space="preserve"> may opt to make an approvable section 179(b) demonstration in lieu of being reclassified, but the EPA does not currently have information indicating how many areas may attempt to do so.  By accounting for the full burden of reclassification for any such areas, this ICR provides a conservative estimate because the burden for an approved section 179B(b) demonstration is less than the burden resulting from reclassification.</w:t>
      </w:r>
    </w:p>
    <w:p w14:paraId="6061EF1A" w14:textId="5F2799B5" w:rsidR="00CB14AC" w:rsidRDefault="00CB14AC">
      <w:pPr>
        <w:pStyle w:val="FootnoteText"/>
      </w:pPr>
    </w:p>
  </w:footnote>
  <w:footnote w:id="14">
    <w:p w14:paraId="1CC04A32" w14:textId="7A484E5E" w:rsidR="00CB14AC" w:rsidRDefault="00CB14AC">
      <w:pPr>
        <w:pStyle w:val="FootnoteText"/>
      </w:pPr>
      <w:r>
        <w:rPr>
          <w:rStyle w:val="FootnoteReference"/>
        </w:rPr>
        <w:footnoteRef/>
      </w:r>
      <w:r>
        <w:t xml:space="preserve">  In some instances, there are local air pollution control districts within the states.   These local agencies work in partnership with the states to facilitate accomplishment of the listed activities. </w:t>
      </w:r>
    </w:p>
  </w:footnote>
  <w:footnote w:id="15">
    <w:p w14:paraId="257511E0" w14:textId="2574AE21" w:rsidR="00CB14AC" w:rsidRDefault="00CB14AC">
      <w:pPr>
        <w:pStyle w:val="FootnoteText"/>
      </w:pPr>
      <w:r>
        <w:rPr>
          <w:rStyle w:val="FootnoteReference"/>
        </w:rPr>
        <w:footnoteRef/>
      </w:r>
      <w:r>
        <w:t xml:space="preserve"> States with areas designated Serious or higher are allowed up to 4 years to submit the required attainment demonstration.</w:t>
      </w:r>
    </w:p>
  </w:footnote>
  <w:footnote w:id="16">
    <w:p w14:paraId="17EB239A" w14:textId="77777777" w:rsidR="00CB14AC" w:rsidRDefault="00CB14AC" w:rsidP="003665B0">
      <w:pPr>
        <w:pStyle w:val="FootnoteText"/>
      </w:pPr>
      <w:r>
        <w:rPr>
          <w:rStyle w:val="FootnoteReference"/>
        </w:rPr>
        <w:footnoteRef/>
      </w:r>
      <w:r>
        <w:t xml:space="preserve"> The Second Addendum to the Economic Assessment for the 8-hour Ozone Implementation Rule, U.S. EPA 8-29-05.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CEADF" w14:textId="77777777" w:rsidR="00CB14AC" w:rsidRDefault="00CB1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DD079BA"/>
    <w:lvl w:ilvl="0">
      <w:numFmt w:val="bullet"/>
      <w:lvlText w:val="*"/>
      <w:lvlJc w:val="left"/>
    </w:lvl>
  </w:abstractNum>
  <w:abstractNum w:abstractNumId="1" w15:restartNumberingAfterBreak="0">
    <w:nsid w:val="06A33975"/>
    <w:multiLevelType w:val="hybridMultilevel"/>
    <w:tmpl w:val="3356B0E4"/>
    <w:lvl w:ilvl="0" w:tplc="2B70AB5A">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70D323A"/>
    <w:multiLevelType w:val="hybridMultilevel"/>
    <w:tmpl w:val="0D34C6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B356F9"/>
    <w:multiLevelType w:val="hybridMultilevel"/>
    <w:tmpl w:val="D07E13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F569F7"/>
    <w:multiLevelType w:val="hybridMultilevel"/>
    <w:tmpl w:val="E85CD7C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 w15:restartNumberingAfterBreak="0">
    <w:nsid w:val="110B178F"/>
    <w:multiLevelType w:val="hybridMultilevel"/>
    <w:tmpl w:val="FE7C9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8424CF"/>
    <w:multiLevelType w:val="hybridMultilevel"/>
    <w:tmpl w:val="8ECE1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842793"/>
    <w:multiLevelType w:val="hybridMultilevel"/>
    <w:tmpl w:val="CA5499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B5BA8"/>
    <w:multiLevelType w:val="hybridMultilevel"/>
    <w:tmpl w:val="9D80A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8B48A3"/>
    <w:multiLevelType w:val="hybridMultilevel"/>
    <w:tmpl w:val="CD221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F327F"/>
    <w:multiLevelType w:val="hybridMultilevel"/>
    <w:tmpl w:val="F7949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369E9"/>
    <w:multiLevelType w:val="hybridMultilevel"/>
    <w:tmpl w:val="BD1EC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052FBF"/>
    <w:multiLevelType w:val="hybridMultilevel"/>
    <w:tmpl w:val="BF386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B24665"/>
    <w:multiLevelType w:val="multilevel"/>
    <w:tmpl w:val="BDF4D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C676DE"/>
    <w:multiLevelType w:val="hybridMultilevel"/>
    <w:tmpl w:val="DEE808CE"/>
    <w:lvl w:ilvl="0" w:tplc="72DA90F4">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B07CA3"/>
    <w:multiLevelType w:val="hybridMultilevel"/>
    <w:tmpl w:val="635E779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4236E0E"/>
    <w:multiLevelType w:val="hybridMultilevel"/>
    <w:tmpl w:val="D93695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8B12F92"/>
    <w:multiLevelType w:val="multilevel"/>
    <w:tmpl w:val="BB02E780"/>
    <w:lvl w:ilvl="0">
      <w:start w:val="4"/>
      <w:numFmt w:val="decimal"/>
      <w:lvlText w:val="%1.0"/>
      <w:lvlJc w:val="left"/>
      <w:pPr>
        <w:tabs>
          <w:tab w:val="num" w:pos="1440"/>
        </w:tabs>
        <w:ind w:left="1440" w:hanging="1080"/>
      </w:pPr>
      <w:rPr>
        <w:rFonts w:cs="Times New Roman" w:hint="default"/>
      </w:rPr>
    </w:lvl>
    <w:lvl w:ilvl="1">
      <w:start w:val="1"/>
      <w:numFmt w:val="decimal"/>
      <w:lvlText w:val="%1.%2"/>
      <w:lvlJc w:val="left"/>
      <w:pPr>
        <w:tabs>
          <w:tab w:val="num" w:pos="2160"/>
        </w:tabs>
        <w:ind w:left="2160" w:hanging="1080"/>
      </w:pPr>
      <w:rPr>
        <w:rFonts w:cs="Times New Roman" w:hint="default"/>
      </w:rPr>
    </w:lvl>
    <w:lvl w:ilvl="2">
      <w:start w:val="1"/>
      <w:numFmt w:val="decimal"/>
      <w:lvlText w:val="%1.%2.%3"/>
      <w:lvlJc w:val="left"/>
      <w:pPr>
        <w:tabs>
          <w:tab w:val="num" w:pos="2880"/>
        </w:tabs>
        <w:ind w:left="2880" w:hanging="108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400"/>
        </w:tabs>
        <w:ind w:left="5400" w:hanging="144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8280"/>
        </w:tabs>
        <w:ind w:left="8280" w:hanging="2160"/>
      </w:pPr>
      <w:rPr>
        <w:rFonts w:cs="Times New Roman" w:hint="default"/>
      </w:rPr>
    </w:lvl>
  </w:abstractNum>
  <w:abstractNum w:abstractNumId="18" w15:restartNumberingAfterBreak="0">
    <w:nsid w:val="3AB8772B"/>
    <w:multiLevelType w:val="hybridMultilevel"/>
    <w:tmpl w:val="F6CA2C1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3BE035CE"/>
    <w:multiLevelType w:val="multilevel"/>
    <w:tmpl w:val="BB02E780"/>
    <w:lvl w:ilvl="0">
      <w:start w:val="4"/>
      <w:numFmt w:val="decimal"/>
      <w:lvlText w:val="%1.0"/>
      <w:lvlJc w:val="left"/>
      <w:pPr>
        <w:tabs>
          <w:tab w:val="num" w:pos="1440"/>
        </w:tabs>
        <w:ind w:left="1440" w:hanging="1080"/>
      </w:pPr>
      <w:rPr>
        <w:rFonts w:cs="Times New Roman" w:hint="default"/>
      </w:rPr>
    </w:lvl>
    <w:lvl w:ilvl="1">
      <w:start w:val="1"/>
      <w:numFmt w:val="decimal"/>
      <w:lvlText w:val="%1.%2"/>
      <w:lvlJc w:val="left"/>
      <w:pPr>
        <w:tabs>
          <w:tab w:val="num" w:pos="2160"/>
        </w:tabs>
        <w:ind w:left="2160" w:hanging="1080"/>
      </w:pPr>
      <w:rPr>
        <w:rFonts w:cs="Times New Roman" w:hint="default"/>
      </w:rPr>
    </w:lvl>
    <w:lvl w:ilvl="2">
      <w:start w:val="1"/>
      <w:numFmt w:val="decimal"/>
      <w:lvlText w:val="%1.%2.%3"/>
      <w:lvlJc w:val="left"/>
      <w:pPr>
        <w:tabs>
          <w:tab w:val="num" w:pos="2880"/>
        </w:tabs>
        <w:ind w:left="2880" w:hanging="108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400"/>
        </w:tabs>
        <w:ind w:left="5400" w:hanging="144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8280"/>
        </w:tabs>
        <w:ind w:left="8280" w:hanging="2160"/>
      </w:pPr>
      <w:rPr>
        <w:rFonts w:cs="Times New Roman" w:hint="default"/>
      </w:rPr>
    </w:lvl>
  </w:abstractNum>
  <w:abstractNum w:abstractNumId="20" w15:restartNumberingAfterBreak="0">
    <w:nsid w:val="3EB01419"/>
    <w:multiLevelType w:val="hybridMultilevel"/>
    <w:tmpl w:val="6166F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410A94"/>
    <w:multiLevelType w:val="hybridMultilevel"/>
    <w:tmpl w:val="E7A40F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E21162D"/>
    <w:multiLevelType w:val="hybridMultilevel"/>
    <w:tmpl w:val="84BC82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D36C51"/>
    <w:multiLevelType w:val="hybridMultilevel"/>
    <w:tmpl w:val="74DCA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B1B28"/>
    <w:multiLevelType w:val="hybridMultilevel"/>
    <w:tmpl w:val="E2ACA30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5CB73478"/>
    <w:multiLevelType w:val="hybridMultilevel"/>
    <w:tmpl w:val="6BA4D174"/>
    <w:lvl w:ilvl="0" w:tplc="DDC2DA6E">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E3905FA"/>
    <w:multiLevelType w:val="hybridMultilevel"/>
    <w:tmpl w:val="FF10C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91CFD"/>
    <w:multiLevelType w:val="hybridMultilevel"/>
    <w:tmpl w:val="98269A1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8" w15:restartNumberingAfterBreak="0">
    <w:nsid w:val="6452608A"/>
    <w:multiLevelType w:val="multilevel"/>
    <w:tmpl w:val="AB6273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7403F8F"/>
    <w:multiLevelType w:val="hybridMultilevel"/>
    <w:tmpl w:val="17F2F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5F28CD"/>
    <w:multiLevelType w:val="hybridMultilevel"/>
    <w:tmpl w:val="1CBE01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C7E6C4A"/>
    <w:multiLevelType w:val="hybridMultilevel"/>
    <w:tmpl w:val="9F366B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717C725F"/>
    <w:multiLevelType w:val="hybridMultilevel"/>
    <w:tmpl w:val="0652BA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15:restartNumberingAfterBreak="0">
    <w:nsid w:val="73D9137B"/>
    <w:multiLevelType w:val="hybridMultilevel"/>
    <w:tmpl w:val="070CB0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561590B"/>
    <w:multiLevelType w:val="hybridMultilevel"/>
    <w:tmpl w:val="8E8E4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68B7798"/>
    <w:multiLevelType w:val="hybridMultilevel"/>
    <w:tmpl w:val="56CC6396"/>
    <w:lvl w:ilvl="0" w:tplc="E490E94C">
      <w:start w:val="1"/>
      <w:numFmt w:val="decimal"/>
      <w:lvlText w:val="%1."/>
      <w:lvlJc w:val="left"/>
      <w:pPr>
        <w:tabs>
          <w:tab w:val="num" w:pos="1440"/>
        </w:tabs>
        <w:ind w:left="1440" w:hanging="108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BC878D1"/>
    <w:multiLevelType w:val="hybridMultilevel"/>
    <w:tmpl w:val="7F52E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202C8"/>
    <w:multiLevelType w:val="hybridMultilevel"/>
    <w:tmpl w:val="D46028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33"/>
  </w:num>
  <w:num w:numId="3">
    <w:abstractNumId w:val="15"/>
  </w:num>
  <w:num w:numId="4">
    <w:abstractNumId w:val="35"/>
  </w:num>
  <w:num w:numId="5">
    <w:abstractNumId w:val="22"/>
  </w:num>
  <w:num w:numId="6">
    <w:abstractNumId w:val="34"/>
  </w:num>
  <w:num w:numId="7">
    <w:abstractNumId w:val="19"/>
  </w:num>
  <w:num w:numId="8">
    <w:abstractNumId w:val="20"/>
  </w:num>
  <w:num w:numId="9">
    <w:abstractNumId w:val="21"/>
  </w:num>
  <w:num w:numId="10">
    <w:abstractNumId w:val="26"/>
  </w:num>
  <w:num w:numId="11">
    <w:abstractNumId w:val="25"/>
  </w:num>
  <w:num w:numId="12">
    <w:abstractNumId w:val="1"/>
  </w:num>
  <w:num w:numId="13">
    <w:abstractNumId w:val="27"/>
  </w:num>
  <w:num w:numId="14">
    <w:abstractNumId w:val="37"/>
  </w:num>
  <w:num w:numId="15">
    <w:abstractNumId w:val="24"/>
  </w:num>
  <w:num w:numId="16">
    <w:abstractNumId w:val="32"/>
  </w:num>
  <w:num w:numId="17">
    <w:abstractNumId w:val="4"/>
  </w:num>
  <w:num w:numId="18">
    <w:abstractNumId w:val="30"/>
  </w:num>
  <w:num w:numId="19">
    <w:abstractNumId w:val="3"/>
  </w:num>
  <w:num w:numId="20">
    <w:abstractNumId w:val="18"/>
  </w:num>
  <w:num w:numId="21">
    <w:abstractNumId w:val="2"/>
  </w:num>
  <w:num w:numId="22">
    <w:abstractNumId w:val="6"/>
  </w:num>
  <w:num w:numId="23">
    <w:abstractNumId w:val="5"/>
  </w:num>
  <w:num w:numId="24">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0"/>
    <w:lvlOverride w:ilvl="0">
      <w:lvl w:ilvl="0">
        <w:numFmt w:val="bullet"/>
        <w:lvlText w:val="$"/>
        <w:legacy w:legacy="1" w:legacySpace="0" w:legacyIndent="402"/>
        <w:lvlJc w:val="left"/>
        <w:pPr>
          <w:ind w:left="402" w:hanging="402"/>
        </w:pPr>
        <w:rPr>
          <w:rFonts w:ascii="WP TypographicSymbols" w:hAnsi="WP TypographicSymbols" w:hint="default"/>
        </w:rPr>
      </w:lvl>
    </w:lvlOverride>
  </w:num>
  <w:num w:numId="27">
    <w:abstractNumId w:val="17"/>
  </w:num>
  <w:num w:numId="28">
    <w:abstractNumId w:val="12"/>
  </w:num>
  <w:num w:numId="29">
    <w:abstractNumId w:val="11"/>
  </w:num>
  <w:num w:numId="30">
    <w:abstractNumId w:val="29"/>
  </w:num>
  <w:num w:numId="31">
    <w:abstractNumId w:val="8"/>
  </w:num>
  <w:num w:numId="32">
    <w:abstractNumId w:val="28"/>
  </w:num>
  <w:num w:numId="33">
    <w:abstractNumId w:val="36"/>
  </w:num>
  <w:num w:numId="34">
    <w:abstractNumId w:val="7"/>
  </w:num>
  <w:num w:numId="35">
    <w:abstractNumId w:val="13"/>
  </w:num>
  <w:num w:numId="36">
    <w:abstractNumId w:val="9"/>
  </w:num>
  <w:num w:numId="37">
    <w:abstractNumId w:val="1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696"/>
    <w:rsid w:val="0000136B"/>
    <w:rsid w:val="000041AA"/>
    <w:rsid w:val="0000760C"/>
    <w:rsid w:val="00007BF6"/>
    <w:rsid w:val="00011B6E"/>
    <w:rsid w:val="00011F7B"/>
    <w:rsid w:val="000142AC"/>
    <w:rsid w:val="00014504"/>
    <w:rsid w:val="000150D3"/>
    <w:rsid w:val="000152EE"/>
    <w:rsid w:val="00016364"/>
    <w:rsid w:val="00020EA4"/>
    <w:rsid w:val="00021214"/>
    <w:rsid w:val="00021D63"/>
    <w:rsid w:val="00023013"/>
    <w:rsid w:val="000309DF"/>
    <w:rsid w:val="00031BBB"/>
    <w:rsid w:val="00031E03"/>
    <w:rsid w:val="00032078"/>
    <w:rsid w:val="00032B28"/>
    <w:rsid w:val="0003427A"/>
    <w:rsid w:val="00035C9A"/>
    <w:rsid w:val="000371E5"/>
    <w:rsid w:val="000378B2"/>
    <w:rsid w:val="00040F91"/>
    <w:rsid w:val="000415B7"/>
    <w:rsid w:val="00043A2E"/>
    <w:rsid w:val="00043AC5"/>
    <w:rsid w:val="00043BAA"/>
    <w:rsid w:val="00043CC4"/>
    <w:rsid w:val="00045123"/>
    <w:rsid w:val="00051689"/>
    <w:rsid w:val="0005179D"/>
    <w:rsid w:val="00052D5B"/>
    <w:rsid w:val="000534F7"/>
    <w:rsid w:val="00054701"/>
    <w:rsid w:val="000569BF"/>
    <w:rsid w:val="00057816"/>
    <w:rsid w:val="0006111D"/>
    <w:rsid w:val="0006222F"/>
    <w:rsid w:val="0006318F"/>
    <w:rsid w:val="000703FD"/>
    <w:rsid w:val="00071CA8"/>
    <w:rsid w:val="00072365"/>
    <w:rsid w:val="00072A0B"/>
    <w:rsid w:val="00072D61"/>
    <w:rsid w:val="0007451E"/>
    <w:rsid w:val="00075889"/>
    <w:rsid w:val="00075BD1"/>
    <w:rsid w:val="00075E7C"/>
    <w:rsid w:val="000766BD"/>
    <w:rsid w:val="00076C81"/>
    <w:rsid w:val="000776DF"/>
    <w:rsid w:val="000800A0"/>
    <w:rsid w:val="000825D0"/>
    <w:rsid w:val="00083172"/>
    <w:rsid w:val="00085076"/>
    <w:rsid w:val="00094C9F"/>
    <w:rsid w:val="00095DD6"/>
    <w:rsid w:val="000961B3"/>
    <w:rsid w:val="00097DFC"/>
    <w:rsid w:val="000A20EE"/>
    <w:rsid w:val="000A589B"/>
    <w:rsid w:val="000A5BD8"/>
    <w:rsid w:val="000B1CBA"/>
    <w:rsid w:val="000B1CF8"/>
    <w:rsid w:val="000B2CA7"/>
    <w:rsid w:val="000B4CA0"/>
    <w:rsid w:val="000B702A"/>
    <w:rsid w:val="000C0CFD"/>
    <w:rsid w:val="000C182C"/>
    <w:rsid w:val="000C29EA"/>
    <w:rsid w:val="000C2C7B"/>
    <w:rsid w:val="000D02AD"/>
    <w:rsid w:val="000D4047"/>
    <w:rsid w:val="000E3720"/>
    <w:rsid w:val="000E4475"/>
    <w:rsid w:val="000E5C79"/>
    <w:rsid w:val="000E5FC2"/>
    <w:rsid w:val="000E7FF7"/>
    <w:rsid w:val="000F1CC9"/>
    <w:rsid w:val="000F2720"/>
    <w:rsid w:val="000F4566"/>
    <w:rsid w:val="000F4D7A"/>
    <w:rsid w:val="000F5196"/>
    <w:rsid w:val="000F7A90"/>
    <w:rsid w:val="000F7D5F"/>
    <w:rsid w:val="0010299E"/>
    <w:rsid w:val="00103089"/>
    <w:rsid w:val="001030F5"/>
    <w:rsid w:val="00106637"/>
    <w:rsid w:val="00112883"/>
    <w:rsid w:val="00115BDD"/>
    <w:rsid w:val="00116745"/>
    <w:rsid w:val="00116F0B"/>
    <w:rsid w:val="001178F7"/>
    <w:rsid w:val="00121639"/>
    <w:rsid w:val="00121F7A"/>
    <w:rsid w:val="001220CB"/>
    <w:rsid w:val="001221DB"/>
    <w:rsid w:val="00122223"/>
    <w:rsid w:val="00122DF3"/>
    <w:rsid w:val="00124A44"/>
    <w:rsid w:val="00126262"/>
    <w:rsid w:val="00126D4E"/>
    <w:rsid w:val="00127438"/>
    <w:rsid w:val="00130D7E"/>
    <w:rsid w:val="001329E3"/>
    <w:rsid w:val="00132F49"/>
    <w:rsid w:val="001355E3"/>
    <w:rsid w:val="00140E2C"/>
    <w:rsid w:val="001428F0"/>
    <w:rsid w:val="00145BBD"/>
    <w:rsid w:val="00146157"/>
    <w:rsid w:val="001479C3"/>
    <w:rsid w:val="00147A7E"/>
    <w:rsid w:val="00150462"/>
    <w:rsid w:val="00151D4F"/>
    <w:rsid w:val="00153854"/>
    <w:rsid w:val="00155EEA"/>
    <w:rsid w:val="00157649"/>
    <w:rsid w:val="001607FC"/>
    <w:rsid w:val="00162A46"/>
    <w:rsid w:val="00163707"/>
    <w:rsid w:val="00163E57"/>
    <w:rsid w:val="00164AE1"/>
    <w:rsid w:val="001655A4"/>
    <w:rsid w:val="0016574A"/>
    <w:rsid w:val="001661CA"/>
    <w:rsid w:val="00170696"/>
    <w:rsid w:val="00170B99"/>
    <w:rsid w:val="00176DA5"/>
    <w:rsid w:val="00180C46"/>
    <w:rsid w:val="00184D90"/>
    <w:rsid w:val="0018574B"/>
    <w:rsid w:val="00185ED5"/>
    <w:rsid w:val="00186E48"/>
    <w:rsid w:val="001871D0"/>
    <w:rsid w:val="00191C53"/>
    <w:rsid w:val="001945F6"/>
    <w:rsid w:val="00196271"/>
    <w:rsid w:val="00196FFC"/>
    <w:rsid w:val="001971FA"/>
    <w:rsid w:val="00197D6C"/>
    <w:rsid w:val="001A1491"/>
    <w:rsid w:val="001A5B2B"/>
    <w:rsid w:val="001A64FF"/>
    <w:rsid w:val="001A77BD"/>
    <w:rsid w:val="001A7FE1"/>
    <w:rsid w:val="001B2446"/>
    <w:rsid w:val="001B3506"/>
    <w:rsid w:val="001B7557"/>
    <w:rsid w:val="001B75C9"/>
    <w:rsid w:val="001C0198"/>
    <w:rsid w:val="001C2263"/>
    <w:rsid w:val="001C4FB7"/>
    <w:rsid w:val="001C5D02"/>
    <w:rsid w:val="001C5F1A"/>
    <w:rsid w:val="001C67DF"/>
    <w:rsid w:val="001C6EBD"/>
    <w:rsid w:val="001D309B"/>
    <w:rsid w:val="001D4B69"/>
    <w:rsid w:val="001D5907"/>
    <w:rsid w:val="001D5C20"/>
    <w:rsid w:val="001E12E1"/>
    <w:rsid w:val="001E23F7"/>
    <w:rsid w:val="001E4DAE"/>
    <w:rsid w:val="001F147B"/>
    <w:rsid w:val="001F21BA"/>
    <w:rsid w:val="001F4953"/>
    <w:rsid w:val="00200D40"/>
    <w:rsid w:val="002010BF"/>
    <w:rsid w:val="00204DD6"/>
    <w:rsid w:val="002052FF"/>
    <w:rsid w:val="00206883"/>
    <w:rsid w:val="002073D9"/>
    <w:rsid w:val="00210AF1"/>
    <w:rsid w:val="002118FE"/>
    <w:rsid w:val="002125D2"/>
    <w:rsid w:val="00213255"/>
    <w:rsid w:val="0021371E"/>
    <w:rsid w:val="00213A3A"/>
    <w:rsid w:val="00213DF0"/>
    <w:rsid w:val="002152A9"/>
    <w:rsid w:val="0021670E"/>
    <w:rsid w:val="0022225D"/>
    <w:rsid w:val="00222634"/>
    <w:rsid w:val="00223852"/>
    <w:rsid w:val="002240CB"/>
    <w:rsid w:val="002246C4"/>
    <w:rsid w:val="002247DA"/>
    <w:rsid w:val="00224EBC"/>
    <w:rsid w:val="00225A10"/>
    <w:rsid w:val="00227B98"/>
    <w:rsid w:val="00231D48"/>
    <w:rsid w:val="002368B8"/>
    <w:rsid w:val="0024004E"/>
    <w:rsid w:val="00244943"/>
    <w:rsid w:val="00245B9D"/>
    <w:rsid w:val="002461B1"/>
    <w:rsid w:val="00247C4E"/>
    <w:rsid w:val="00250675"/>
    <w:rsid w:val="0025104B"/>
    <w:rsid w:val="002523D2"/>
    <w:rsid w:val="002535E4"/>
    <w:rsid w:val="00253E5B"/>
    <w:rsid w:val="002542A7"/>
    <w:rsid w:val="00254861"/>
    <w:rsid w:val="002565D6"/>
    <w:rsid w:val="00256D4B"/>
    <w:rsid w:val="002571B2"/>
    <w:rsid w:val="00261E9E"/>
    <w:rsid w:val="002624BF"/>
    <w:rsid w:val="002629DA"/>
    <w:rsid w:val="00262A56"/>
    <w:rsid w:val="00264A8C"/>
    <w:rsid w:val="00264E7A"/>
    <w:rsid w:val="00264F39"/>
    <w:rsid w:val="00267AAC"/>
    <w:rsid w:val="00270429"/>
    <w:rsid w:val="002707CD"/>
    <w:rsid w:val="002719BA"/>
    <w:rsid w:val="00272BDE"/>
    <w:rsid w:val="002736C3"/>
    <w:rsid w:val="00273B9E"/>
    <w:rsid w:val="0027437A"/>
    <w:rsid w:val="00276B84"/>
    <w:rsid w:val="00277029"/>
    <w:rsid w:val="00277300"/>
    <w:rsid w:val="00277960"/>
    <w:rsid w:val="00281371"/>
    <w:rsid w:val="00282D06"/>
    <w:rsid w:val="00284938"/>
    <w:rsid w:val="00284FFE"/>
    <w:rsid w:val="00287171"/>
    <w:rsid w:val="00292988"/>
    <w:rsid w:val="00293945"/>
    <w:rsid w:val="00293F96"/>
    <w:rsid w:val="0029401C"/>
    <w:rsid w:val="002A3EAB"/>
    <w:rsid w:val="002B47FB"/>
    <w:rsid w:val="002B4C2E"/>
    <w:rsid w:val="002B6189"/>
    <w:rsid w:val="002B689A"/>
    <w:rsid w:val="002B68E9"/>
    <w:rsid w:val="002B7193"/>
    <w:rsid w:val="002B79D3"/>
    <w:rsid w:val="002C35CC"/>
    <w:rsid w:val="002C3A71"/>
    <w:rsid w:val="002C43A1"/>
    <w:rsid w:val="002D0F18"/>
    <w:rsid w:val="002D2255"/>
    <w:rsid w:val="002D34B3"/>
    <w:rsid w:val="002D363E"/>
    <w:rsid w:val="002D40D5"/>
    <w:rsid w:val="002D4A68"/>
    <w:rsid w:val="002E3A96"/>
    <w:rsid w:val="002E4249"/>
    <w:rsid w:val="002E5F04"/>
    <w:rsid w:val="002E6BA6"/>
    <w:rsid w:val="002E73BF"/>
    <w:rsid w:val="002F0BA7"/>
    <w:rsid w:val="002F46A0"/>
    <w:rsid w:val="002F52F0"/>
    <w:rsid w:val="002F6FF7"/>
    <w:rsid w:val="00300FAB"/>
    <w:rsid w:val="00302945"/>
    <w:rsid w:val="00303536"/>
    <w:rsid w:val="00305AA2"/>
    <w:rsid w:val="00307E42"/>
    <w:rsid w:val="00310DAF"/>
    <w:rsid w:val="00322165"/>
    <w:rsid w:val="00323DE4"/>
    <w:rsid w:val="003316A3"/>
    <w:rsid w:val="003324D8"/>
    <w:rsid w:val="00332CD6"/>
    <w:rsid w:val="003333C2"/>
    <w:rsid w:val="003340AB"/>
    <w:rsid w:val="00335451"/>
    <w:rsid w:val="00336D82"/>
    <w:rsid w:val="00337B17"/>
    <w:rsid w:val="00340670"/>
    <w:rsid w:val="00342E83"/>
    <w:rsid w:val="0035043D"/>
    <w:rsid w:val="00350ACA"/>
    <w:rsid w:val="003519EC"/>
    <w:rsid w:val="00352AED"/>
    <w:rsid w:val="00356595"/>
    <w:rsid w:val="00357A4C"/>
    <w:rsid w:val="00361E30"/>
    <w:rsid w:val="0036381B"/>
    <w:rsid w:val="00364F78"/>
    <w:rsid w:val="003665B0"/>
    <w:rsid w:val="00366871"/>
    <w:rsid w:val="00366C4D"/>
    <w:rsid w:val="00370014"/>
    <w:rsid w:val="00370854"/>
    <w:rsid w:val="00371482"/>
    <w:rsid w:val="00375612"/>
    <w:rsid w:val="0038090A"/>
    <w:rsid w:val="00383662"/>
    <w:rsid w:val="003860A8"/>
    <w:rsid w:val="00386512"/>
    <w:rsid w:val="00387388"/>
    <w:rsid w:val="003877E5"/>
    <w:rsid w:val="00390840"/>
    <w:rsid w:val="003961D7"/>
    <w:rsid w:val="003978D4"/>
    <w:rsid w:val="00397CEA"/>
    <w:rsid w:val="003A00B5"/>
    <w:rsid w:val="003A04AD"/>
    <w:rsid w:val="003A1A85"/>
    <w:rsid w:val="003A5D47"/>
    <w:rsid w:val="003A5DCD"/>
    <w:rsid w:val="003A7DED"/>
    <w:rsid w:val="003B0350"/>
    <w:rsid w:val="003B1325"/>
    <w:rsid w:val="003B2923"/>
    <w:rsid w:val="003B5183"/>
    <w:rsid w:val="003C03D8"/>
    <w:rsid w:val="003C12C3"/>
    <w:rsid w:val="003C19DC"/>
    <w:rsid w:val="003C51BE"/>
    <w:rsid w:val="003C56BE"/>
    <w:rsid w:val="003C64D7"/>
    <w:rsid w:val="003C7DB3"/>
    <w:rsid w:val="003D039B"/>
    <w:rsid w:val="003D133D"/>
    <w:rsid w:val="003D1F63"/>
    <w:rsid w:val="003D2C35"/>
    <w:rsid w:val="003D2CAC"/>
    <w:rsid w:val="003D3BAB"/>
    <w:rsid w:val="003D6772"/>
    <w:rsid w:val="003D7EF1"/>
    <w:rsid w:val="003E1244"/>
    <w:rsid w:val="003E1CDE"/>
    <w:rsid w:val="003E2077"/>
    <w:rsid w:val="003E371A"/>
    <w:rsid w:val="003E4AD2"/>
    <w:rsid w:val="003E61F5"/>
    <w:rsid w:val="003E784F"/>
    <w:rsid w:val="003F0457"/>
    <w:rsid w:val="003F0919"/>
    <w:rsid w:val="003F3543"/>
    <w:rsid w:val="003F4C3D"/>
    <w:rsid w:val="003F5E7B"/>
    <w:rsid w:val="003F612B"/>
    <w:rsid w:val="00401D3E"/>
    <w:rsid w:val="00402EA4"/>
    <w:rsid w:val="00403134"/>
    <w:rsid w:val="00403354"/>
    <w:rsid w:val="00403819"/>
    <w:rsid w:val="00405E66"/>
    <w:rsid w:val="00406CBD"/>
    <w:rsid w:val="004070F1"/>
    <w:rsid w:val="00412D49"/>
    <w:rsid w:val="00413034"/>
    <w:rsid w:val="004155B1"/>
    <w:rsid w:val="00417303"/>
    <w:rsid w:val="00421D17"/>
    <w:rsid w:val="00423100"/>
    <w:rsid w:val="00424853"/>
    <w:rsid w:val="004250C0"/>
    <w:rsid w:val="00425578"/>
    <w:rsid w:val="00426526"/>
    <w:rsid w:val="0042703E"/>
    <w:rsid w:val="00427D1C"/>
    <w:rsid w:val="00431312"/>
    <w:rsid w:val="00432F8C"/>
    <w:rsid w:val="004408EC"/>
    <w:rsid w:val="0044092E"/>
    <w:rsid w:val="00442CF8"/>
    <w:rsid w:val="0044599F"/>
    <w:rsid w:val="00445AAF"/>
    <w:rsid w:val="004476CB"/>
    <w:rsid w:val="00450DE7"/>
    <w:rsid w:val="0045120F"/>
    <w:rsid w:val="00451D2C"/>
    <w:rsid w:val="00453AFD"/>
    <w:rsid w:val="00454E61"/>
    <w:rsid w:val="0045558A"/>
    <w:rsid w:val="004619D5"/>
    <w:rsid w:val="00461B9A"/>
    <w:rsid w:val="004673F4"/>
    <w:rsid w:val="004708A8"/>
    <w:rsid w:val="00471827"/>
    <w:rsid w:val="00473132"/>
    <w:rsid w:val="00474C6B"/>
    <w:rsid w:val="00482120"/>
    <w:rsid w:val="00483330"/>
    <w:rsid w:val="0048628B"/>
    <w:rsid w:val="004874F1"/>
    <w:rsid w:val="00487AB3"/>
    <w:rsid w:val="0049041F"/>
    <w:rsid w:val="00490439"/>
    <w:rsid w:val="004A06FD"/>
    <w:rsid w:val="004A1AD3"/>
    <w:rsid w:val="004A28DC"/>
    <w:rsid w:val="004A3CAA"/>
    <w:rsid w:val="004A53A3"/>
    <w:rsid w:val="004B0819"/>
    <w:rsid w:val="004B1EE5"/>
    <w:rsid w:val="004B2599"/>
    <w:rsid w:val="004B458C"/>
    <w:rsid w:val="004B57BE"/>
    <w:rsid w:val="004B715B"/>
    <w:rsid w:val="004B72B1"/>
    <w:rsid w:val="004C0100"/>
    <w:rsid w:val="004C1CA9"/>
    <w:rsid w:val="004C1F26"/>
    <w:rsid w:val="004C3DC6"/>
    <w:rsid w:val="004C426B"/>
    <w:rsid w:val="004C6B55"/>
    <w:rsid w:val="004C753E"/>
    <w:rsid w:val="004C7AFC"/>
    <w:rsid w:val="004D1EEC"/>
    <w:rsid w:val="004D35AB"/>
    <w:rsid w:val="004D3890"/>
    <w:rsid w:val="004D5995"/>
    <w:rsid w:val="004D6A58"/>
    <w:rsid w:val="004D7246"/>
    <w:rsid w:val="004E2219"/>
    <w:rsid w:val="004E2FF6"/>
    <w:rsid w:val="004E4701"/>
    <w:rsid w:val="004E5076"/>
    <w:rsid w:val="004E514B"/>
    <w:rsid w:val="004E6BCF"/>
    <w:rsid w:val="004E7244"/>
    <w:rsid w:val="004F282F"/>
    <w:rsid w:val="004F364C"/>
    <w:rsid w:val="004F3BE3"/>
    <w:rsid w:val="004F4ACB"/>
    <w:rsid w:val="004F59F9"/>
    <w:rsid w:val="004F60CF"/>
    <w:rsid w:val="004F7C59"/>
    <w:rsid w:val="00500AF9"/>
    <w:rsid w:val="00502571"/>
    <w:rsid w:val="00503E08"/>
    <w:rsid w:val="00503E4D"/>
    <w:rsid w:val="00504454"/>
    <w:rsid w:val="005058C5"/>
    <w:rsid w:val="00506035"/>
    <w:rsid w:val="00510F90"/>
    <w:rsid w:val="005140E4"/>
    <w:rsid w:val="00514AAF"/>
    <w:rsid w:val="005162CC"/>
    <w:rsid w:val="00516417"/>
    <w:rsid w:val="00516754"/>
    <w:rsid w:val="00516E44"/>
    <w:rsid w:val="005170B7"/>
    <w:rsid w:val="00517243"/>
    <w:rsid w:val="005175C4"/>
    <w:rsid w:val="00521DB6"/>
    <w:rsid w:val="005223F9"/>
    <w:rsid w:val="0052356E"/>
    <w:rsid w:val="00525BDC"/>
    <w:rsid w:val="0052612E"/>
    <w:rsid w:val="00530736"/>
    <w:rsid w:val="00533F5B"/>
    <w:rsid w:val="00533FA3"/>
    <w:rsid w:val="00534248"/>
    <w:rsid w:val="00534425"/>
    <w:rsid w:val="00534547"/>
    <w:rsid w:val="00535A99"/>
    <w:rsid w:val="00541229"/>
    <w:rsid w:val="00541350"/>
    <w:rsid w:val="0054313F"/>
    <w:rsid w:val="00544131"/>
    <w:rsid w:val="00544CC9"/>
    <w:rsid w:val="00546AB5"/>
    <w:rsid w:val="0054779C"/>
    <w:rsid w:val="005505CF"/>
    <w:rsid w:val="005517DE"/>
    <w:rsid w:val="00553A4F"/>
    <w:rsid w:val="00555008"/>
    <w:rsid w:val="005550EA"/>
    <w:rsid w:val="00555A2C"/>
    <w:rsid w:val="00556717"/>
    <w:rsid w:val="005568CB"/>
    <w:rsid w:val="00557719"/>
    <w:rsid w:val="005602D4"/>
    <w:rsid w:val="00562DB3"/>
    <w:rsid w:val="00563229"/>
    <w:rsid w:val="00563D18"/>
    <w:rsid w:val="0056553D"/>
    <w:rsid w:val="00570EC1"/>
    <w:rsid w:val="00571FFF"/>
    <w:rsid w:val="00574246"/>
    <w:rsid w:val="00580B9B"/>
    <w:rsid w:val="00582809"/>
    <w:rsid w:val="00590A5E"/>
    <w:rsid w:val="005911CB"/>
    <w:rsid w:val="005933A9"/>
    <w:rsid w:val="00596860"/>
    <w:rsid w:val="005A0938"/>
    <w:rsid w:val="005A190D"/>
    <w:rsid w:val="005A3761"/>
    <w:rsid w:val="005A389B"/>
    <w:rsid w:val="005A4E41"/>
    <w:rsid w:val="005B08DB"/>
    <w:rsid w:val="005B17EB"/>
    <w:rsid w:val="005B1D71"/>
    <w:rsid w:val="005B2079"/>
    <w:rsid w:val="005B2DFF"/>
    <w:rsid w:val="005B3517"/>
    <w:rsid w:val="005B4373"/>
    <w:rsid w:val="005B64FA"/>
    <w:rsid w:val="005B65AA"/>
    <w:rsid w:val="005C1726"/>
    <w:rsid w:val="005C27FD"/>
    <w:rsid w:val="005C2D11"/>
    <w:rsid w:val="005C3255"/>
    <w:rsid w:val="005C43A6"/>
    <w:rsid w:val="005C6231"/>
    <w:rsid w:val="005C6E90"/>
    <w:rsid w:val="005C7432"/>
    <w:rsid w:val="005D1343"/>
    <w:rsid w:val="005D226D"/>
    <w:rsid w:val="005D26F9"/>
    <w:rsid w:val="005D2A65"/>
    <w:rsid w:val="005D3B18"/>
    <w:rsid w:val="005D3B4C"/>
    <w:rsid w:val="005D5722"/>
    <w:rsid w:val="005D582F"/>
    <w:rsid w:val="005D685D"/>
    <w:rsid w:val="005E0B14"/>
    <w:rsid w:val="005E5DBD"/>
    <w:rsid w:val="005F0C46"/>
    <w:rsid w:val="005F505E"/>
    <w:rsid w:val="005F64F4"/>
    <w:rsid w:val="00600A21"/>
    <w:rsid w:val="00601534"/>
    <w:rsid w:val="00602E24"/>
    <w:rsid w:val="00603903"/>
    <w:rsid w:val="00604484"/>
    <w:rsid w:val="00606799"/>
    <w:rsid w:val="00612EC7"/>
    <w:rsid w:val="0061570F"/>
    <w:rsid w:val="00616A3F"/>
    <w:rsid w:val="00616ED6"/>
    <w:rsid w:val="00617622"/>
    <w:rsid w:val="006207ED"/>
    <w:rsid w:val="0062080B"/>
    <w:rsid w:val="00620CDC"/>
    <w:rsid w:val="0062356F"/>
    <w:rsid w:val="00625DE8"/>
    <w:rsid w:val="00627E35"/>
    <w:rsid w:val="0063199E"/>
    <w:rsid w:val="0063387C"/>
    <w:rsid w:val="006346B1"/>
    <w:rsid w:val="00640D3C"/>
    <w:rsid w:val="006426BE"/>
    <w:rsid w:val="0064365E"/>
    <w:rsid w:val="00645478"/>
    <w:rsid w:val="006458D6"/>
    <w:rsid w:val="006461BB"/>
    <w:rsid w:val="00646DA9"/>
    <w:rsid w:val="00652EA1"/>
    <w:rsid w:val="00653D46"/>
    <w:rsid w:val="00656810"/>
    <w:rsid w:val="00657634"/>
    <w:rsid w:val="00660695"/>
    <w:rsid w:val="00663222"/>
    <w:rsid w:val="00665DDD"/>
    <w:rsid w:val="0067039A"/>
    <w:rsid w:val="00671EAD"/>
    <w:rsid w:val="00674336"/>
    <w:rsid w:val="00676EEF"/>
    <w:rsid w:val="006845E2"/>
    <w:rsid w:val="006861C0"/>
    <w:rsid w:val="006862B7"/>
    <w:rsid w:val="00686856"/>
    <w:rsid w:val="00686ED0"/>
    <w:rsid w:val="006877FF"/>
    <w:rsid w:val="006878EF"/>
    <w:rsid w:val="00690A9A"/>
    <w:rsid w:val="00692A86"/>
    <w:rsid w:val="00694352"/>
    <w:rsid w:val="006966D2"/>
    <w:rsid w:val="006A1F40"/>
    <w:rsid w:val="006A4AAB"/>
    <w:rsid w:val="006A7D54"/>
    <w:rsid w:val="006B163F"/>
    <w:rsid w:val="006B3226"/>
    <w:rsid w:val="006B3642"/>
    <w:rsid w:val="006B4347"/>
    <w:rsid w:val="006B5899"/>
    <w:rsid w:val="006B5D68"/>
    <w:rsid w:val="006C28D0"/>
    <w:rsid w:val="006C49FC"/>
    <w:rsid w:val="006C4DE8"/>
    <w:rsid w:val="006C5B62"/>
    <w:rsid w:val="006D0FD0"/>
    <w:rsid w:val="006D1EDB"/>
    <w:rsid w:val="006D22FC"/>
    <w:rsid w:val="006D6BFB"/>
    <w:rsid w:val="006E1B21"/>
    <w:rsid w:val="006E22A1"/>
    <w:rsid w:val="006E246C"/>
    <w:rsid w:val="006E28BF"/>
    <w:rsid w:val="006E352C"/>
    <w:rsid w:val="006E5970"/>
    <w:rsid w:val="006E6352"/>
    <w:rsid w:val="006E6691"/>
    <w:rsid w:val="006E7264"/>
    <w:rsid w:val="006E7C62"/>
    <w:rsid w:val="006E7C7D"/>
    <w:rsid w:val="006F2AC2"/>
    <w:rsid w:val="006F537A"/>
    <w:rsid w:val="00703267"/>
    <w:rsid w:val="0070430A"/>
    <w:rsid w:val="00707B32"/>
    <w:rsid w:val="00711143"/>
    <w:rsid w:val="00713053"/>
    <w:rsid w:val="0071400D"/>
    <w:rsid w:val="00714B97"/>
    <w:rsid w:val="00715522"/>
    <w:rsid w:val="0071600C"/>
    <w:rsid w:val="007169EA"/>
    <w:rsid w:val="00716EA9"/>
    <w:rsid w:val="007171A4"/>
    <w:rsid w:val="0072074F"/>
    <w:rsid w:val="007209A6"/>
    <w:rsid w:val="007209C5"/>
    <w:rsid w:val="0072158C"/>
    <w:rsid w:val="00721A14"/>
    <w:rsid w:val="0072462C"/>
    <w:rsid w:val="00726C84"/>
    <w:rsid w:val="007278A7"/>
    <w:rsid w:val="007312F2"/>
    <w:rsid w:val="00733DF4"/>
    <w:rsid w:val="00733FC9"/>
    <w:rsid w:val="0073422D"/>
    <w:rsid w:val="00740396"/>
    <w:rsid w:val="00742ADA"/>
    <w:rsid w:val="00742BD8"/>
    <w:rsid w:val="007458DD"/>
    <w:rsid w:val="00746878"/>
    <w:rsid w:val="00747AF0"/>
    <w:rsid w:val="00747FB9"/>
    <w:rsid w:val="00753F6D"/>
    <w:rsid w:val="00763B78"/>
    <w:rsid w:val="00765937"/>
    <w:rsid w:val="00766858"/>
    <w:rsid w:val="00766B37"/>
    <w:rsid w:val="00766FB8"/>
    <w:rsid w:val="007678EB"/>
    <w:rsid w:val="00772CC1"/>
    <w:rsid w:val="00774052"/>
    <w:rsid w:val="0077414B"/>
    <w:rsid w:val="007802C4"/>
    <w:rsid w:val="007808EF"/>
    <w:rsid w:val="0078110A"/>
    <w:rsid w:val="007867E2"/>
    <w:rsid w:val="007901C1"/>
    <w:rsid w:val="00795177"/>
    <w:rsid w:val="007968B4"/>
    <w:rsid w:val="00797CDB"/>
    <w:rsid w:val="00797FCE"/>
    <w:rsid w:val="007A205A"/>
    <w:rsid w:val="007A38E2"/>
    <w:rsid w:val="007A3A5F"/>
    <w:rsid w:val="007A43A0"/>
    <w:rsid w:val="007A5940"/>
    <w:rsid w:val="007A6619"/>
    <w:rsid w:val="007B14E3"/>
    <w:rsid w:val="007B196F"/>
    <w:rsid w:val="007B38DE"/>
    <w:rsid w:val="007B5823"/>
    <w:rsid w:val="007B76C2"/>
    <w:rsid w:val="007B7BD6"/>
    <w:rsid w:val="007B7E79"/>
    <w:rsid w:val="007C1022"/>
    <w:rsid w:val="007C25CA"/>
    <w:rsid w:val="007C40FE"/>
    <w:rsid w:val="007D24B2"/>
    <w:rsid w:val="007D347B"/>
    <w:rsid w:val="007D46F3"/>
    <w:rsid w:val="007D55B7"/>
    <w:rsid w:val="007D5FDE"/>
    <w:rsid w:val="007D6490"/>
    <w:rsid w:val="007D68AB"/>
    <w:rsid w:val="007D7459"/>
    <w:rsid w:val="007E0E88"/>
    <w:rsid w:val="007E10FE"/>
    <w:rsid w:val="007E1A09"/>
    <w:rsid w:val="007E1DD1"/>
    <w:rsid w:val="007E4F16"/>
    <w:rsid w:val="007E7159"/>
    <w:rsid w:val="007F0DF0"/>
    <w:rsid w:val="007F167F"/>
    <w:rsid w:val="007F5150"/>
    <w:rsid w:val="007F5CD2"/>
    <w:rsid w:val="007F616F"/>
    <w:rsid w:val="007F689B"/>
    <w:rsid w:val="007F729B"/>
    <w:rsid w:val="007F7F11"/>
    <w:rsid w:val="00800D95"/>
    <w:rsid w:val="008054CA"/>
    <w:rsid w:val="008071E6"/>
    <w:rsid w:val="0081237B"/>
    <w:rsid w:val="00815D85"/>
    <w:rsid w:val="008175AF"/>
    <w:rsid w:val="00820D86"/>
    <w:rsid w:val="00820DAA"/>
    <w:rsid w:val="008223B7"/>
    <w:rsid w:val="00823A8C"/>
    <w:rsid w:val="00823DE7"/>
    <w:rsid w:val="00824AD7"/>
    <w:rsid w:val="00825269"/>
    <w:rsid w:val="00826217"/>
    <w:rsid w:val="00827FE7"/>
    <w:rsid w:val="008311A8"/>
    <w:rsid w:val="00831E2E"/>
    <w:rsid w:val="00832687"/>
    <w:rsid w:val="008326C0"/>
    <w:rsid w:val="0083348B"/>
    <w:rsid w:val="008350BC"/>
    <w:rsid w:val="008356E0"/>
    <w:rsid w:val="008370DB"/>
    <w:rsid w:val="00844477"/>
    <w:rsid w:val="00847369"/>
    <w:rsid w:val="008506EC"/>
    <w:rsid w:val="008553D2"/>
    <w:rsid w:val="00856CCD"/>
    <w:rsid w:val="0085762E"/>
    <w:rsid w:val="00857833"/>
    <w:rsid w:val="00860101"/>
    <w:rsid w:val="0086186B"/>
    <w:rsid w:val="00862337"/>
    <w:rsid w:val="008634F2"/>
    <w:rsid w:val="00866659"/>
    <w:rsid w:val="00870218"/>
    <w:rsid w:val="0087046E"/>
    <w:rsid w:val="00871581"/>
    <w:rsid w:val="00873589"/>
    <w:rsid w:val="00873A2A"/>
    <w:rsid w:val="00874825"/>
    <w:rsid w:val="00874CBB"/>
    <w:rsid w:val="00874F0B"/>
    <w:rsid w:val="00876FC6"/>
    <w:rsid w:val="00877883"/>
    <w:rsid w:val="008779AA"/>
    <w:rsid w:val="00880C63"/>
    <w:rsid w:val="008817F3"/>
    <w:rsid w:val="008835DD"/>
    <w:rsid w:val="00883BAB"/>
    <w:rsid w:val="008850AF"/>
    <w:rsid w:val="00885B9F"/>
    <w:rsid w:val="008876E4"/>
    <w:rsid w:val="00887BDD"/>
    <w:rsid w:val="00892D17"/>
    <w:rsid w:val="00892FC1"/>
    <w:rsid w:val="00893927"/>
    <w:rsid w:val="00893E12"/>
    <w:rsid w:val="00894B03"/>
    <w:rsid w:val="008A0939"/>
    <w:rsid w:val="008A139C"/>
    <w:rsid w:val="008A224F"/>
    <w:rsid w:val="008A3F91"/>
    <w:rsid w:val="008A41D5"/>
    <w:rsid w:val="008A41F9"/>
    <w:rsid w:val="008A5199"/>
    <w:rsid w:val="008A5BD7"/>
    <w:rsid w:val="008A7878"/>
    <w:rsid w:val="008A7DD8"/>
    <w:rsid w:val="008B379C"/>
    <w:rsid w:val="008B46E4"/>
    <w:rsid w:val="008B4E7A"/>
    <w:rsid w:val="008B500D"/>
    <w:rsid w:val="008B5439"/>
    <w:rsid w:val="008B7472"/>
    <w:rsid w:val="008C0EA6"/>
    <w:rsid w:val="008C19EE"/>
    <w:rsid w:val="008C2B8A"/>
    <w:rsid w:val="008C624A"/>
    <w:rsid w:val="008C686C"/>
    <w:rsid w:val="008C7774"/>
    <w:rsid w:val="008D05FA"/>
    <w:rsid w:val="008D165B"/>
    <w:rsid w:val="008D2184"/>
    <w:rsid w:val="008D2508"/>
    <w:rsid w:val="008D3810"/>
    <w:rsid w:val="008D3E5A"/>
    <w:rsid w:val="008D464C"/>
    <w:rsid w:val="008D5F70"/>
    <w:rsid w:val="008D653A"/>
    <w:rsid w:val="008D790E"/>
    <w:rsid w:val="008E36C8"/>
    <w:rsid w:val="008E3E26"/>
    <w:rsid w:val="008E4F13"/>
    <w:rsid w:val="008E561C"/>
    <w:rsid w:val="008E6A38"/>
    <w:rsid w:val="008F1036"/>
    <w:rsid w:val="008F15A4"/>
    <w:rsid w:val="008F254C"/>
    <w:rsid w:val="008F2EA5"/>
    <w:rsid w:val="008F3AFC"/>
    <w:rsid w:val="008F4948"/>
    <w:rsid w:val="008F5CC1"/>
    <w:rsid w:val="008F65F0"/>
    <w:rsid w:val="008F7DEA"/>
    <w:rsid w:val="0090167B"/>
    <w:rsid w:val="0090353F"/>
    <w:rsid w:val="0090404F"/>
    <w:rsid w:val="0090474C"/>
    <w:rsid w:val="00905F47"/>
    <w:rsid w:val="0090618F"/>
    <w:rsid w:val="00906708"/>
    <w:rsid w:val="00910EEB"/>
    <w:rsid w:val="009113CC"/>
    <w:rsid w:val="009139FE"/>
    <w:rsid w:val="00914596"/>
    <w:rsid w:val="00914C12"/>
    <w:rsid w:val="00915F22"/>
    <w:rsid w:val="00916A83"/>
    <w:rsid w:val="00917D44"/>
    <w:rsid w:val="009215E3"/>
    <w:rsid w:val="00921754"/>
    <w:rsid w:val="009221C9"/>
    <w:rsid w:val="009226D7"/>
    <w:rsid w:val="00922E47"/>
    <w:rsid w:val="009250D8"/>
    <w:rsid w:val="00927023"/>
    <w:rsid w:val="009278D5"/>
    <w:rsid w:val="00931192"/>
    <w:rsid w:val="00932D74"/>
    <w:rsid w:val="00934974"/>
    <w:rsid w:val="00936023"/>
    <w:rsid w:val="009366FB"/>
    <w:rsid w:val="00936F1E"/>
    <w:rsid w:val="00940CE0"/>
    <w:rsid w:val="009441A1"/>
    <w:rsid w:val="00947619"/>
    <w:rsid w:val="00950360"/>
    <w:rsid w:val="009512B3"/>
    <w:rsid w:val="00952FC0"/>
    <w:rsid w:val="00953657"/>
    <w:rsid w:val="00953CFD"/>
    <w:rsid w:val="00954F13"/>
    <w:rsid w:val="009560C9"/>
    <w:rsid w:val="00957A7F"/>
    <w:rsid w:val="009612D0"/>
    <w:rsid w:val="009634A3"/>
    <w:rsid w:val="00964781"/>
    <w:rsid w:val="00964F0E"/>
    <w:rsid w:val="00965D4C"/>
    <w:rsid w:val="009667C6"/>
    <w:rsid w:val="009677BA"/>
    <w:rsid w:val="009677BF"/>
    <w:rsid w:val="00967B9A"/>
    <w:rsid w:val="00970C2D"/>
    <w:rsid w:val="0097625D"/>
    <w:rsid w:val="00976BC2"/>
    <w:rsid w:val="00977BFA"/>
    <w:rsid w:val="00980002"/>
    <w:rsid w:val="00984CEF"/>
    <w:rsid w:val="00984FAD"/>
    <w:rsid w:val="009851FC"/>
    <w:rsid w:val="00985A3D"/>
    <w:rsid w:val="0099088F"/>
    <w:rsid w:val="00990A77"/>
    <w:rsid w:val="00992C4E"/>
    <w:rsid w:val="00996DA4"/>
    <w:rsid w:val="009A0EF9"/>
    <w:rsid w:val="009A1A81"/>
    <w:rsid w:val="009A2C21"/>
    <w:rsid w:val="009A5B78"/>
    <w:rsid w:val="009A5FCB"/>
    <w:rsid w:val="009A6AC7"/>
    <w:rsid w:val="009B0B26"/>
    <w:rsid w:val="009B1769"/>
    <w:rsid w:val="009B17B8"/>
    <w:rsid w:val="009B2295"/>
    <w:rsid w:val="009B34AA"/>
    <w:rsid w:val="009B40B2"/>
    <w:rsid w:val="009B4AEB"/>
    <w:rsid w:val="009C0A81"/>
    <w:rsid w:val="009C1DD3"/>
    <w:rsid w:val="009C2643"/>
    <w:rsid w:val="009C4A31"/>
    <w:rsid w:val="009C4B01"/>
    <w:rsid w:val="009C6524"/>
    <w:rsid w:val="009D465A"/>
    <w:rsid w:val="009D47EF"/>
    <w:rsid w:val="009D4C83"/>
    <w:rsid w:val="009D52EA"/>
    <w:rsid w:val="009E09B2"/>
    <w:rsid w:val="009E15F8"/>
    <w:rsid w:val="009E50BF"/>
    <w:rsid w:val="009E5E47"/>
    <w:rsid w:val="009F02B8"/>
    <w:rsid w:val="009F09DA"/>
    <w:rsid w:val="009F1599"/>
    <w:rsid w:val="009F3B8D"/>
    <w:rsid w:val="009F4D15"/>
    <w:rsid w:val="009F51F1"/>
    <w:rsid w:val="009F6F67"/>
    <w:rsid w:val="00A003CA"/>
    <w:rsid w:val="00A0048A"/>
    <w:rsid w:val="00A020E0"/>
    <w:rsid w:val="00A03603"/>
    <w:rsid w:val="00A0445E"/>
    <w:rsid w:val="00A053A8"/>
    <w:rsid w:val="00A05C06"/>
    <w:rsid w:val="00A05D00"/>
    <w:rsid w:val="00A0652B"/>
    <w:rsid w:val="00A06C92"/>
    <w:rsid w:val="00A06D6B"/>
    <w:rsid w:val="00A0761D"/>
    <w:rsid w:val="00A079DD"/>
    <w:rsid w:val="00A11F8A"/>
    <w:rsid w:val="00A12967"/>
    <w:rsid w:val="00A14C61"/>
    <w:rsid w:val="00A15362"/>
    <w:rsid w:val="00A21786"/>
    <w:rsid w:val="00A220DE"/>
    <w:rsid w:val="00A22FFB"/>
    <w:rsid w:val="00A232ED"/>
    <w:rsid w:val="00A23990"/>
    <w:rsid w:val="00A23E11"/>
    <w:rsid w:val="00A241AF"/>
    <w:rsid w:val="00A24591"/>
    <w:rsid w:val="00A25D0D"/>
    <w:rsid w:val="00A25FC8"/>
    <w:rsid w:val="00A2668C"/>
    <w:rsid w:val="00A26EEF"/>
    <w:rsid w:val="00A2753E"/>
    <w:rsid w:val="00A30A05"/>
    <w:rsid w:val="00A32AD8"/>
    <w:rsid w:val="00A3434A"/>
    <w:rsid w:val="00A34DC8"/>
    <w:rsid w:val="00A35EC9"/>
    <w:rsid w:val="00A3609B"/>
    <w:rsid w:val="00A37535"/>
    <w:rsid w:val="00A376FD"/>
    <w:rsid w:val="00A40091"/>
    <w:rsid w:val="00A41FB0"/>
    <w:rsid w:val="00A429EB"/>
    <w:rsid w:val="00A4317C"/>
    <w:rsid w:val="00A4600E"/>
    <w:rsid w:val="00A50EB6"/>
    <w:rsid w:val="00A52FF9"/>
    <w:rsid w:val="00A53CE4"/>
    <w:rsid w:val="00A5567A"/>
    <w:rsid w:val="00A56B20"/>
    <w:rsid w:val="00A60ED8"/>
    <w:rsid w:val="00A63AB4"/>
    <w:rsid w:val="00A65AD6"/>
    <w:rsid w:val="00A7032B"/>
    <w:rsid w:val="00A70BBD"/>
    <w:rsid w:val="00A7211B"/>
    <w:rsid w:val="00A7269C"/>
    <w:rsid w:val="00A72B52"/>
    <w:rsid w:val="00A76EA7"/>
    <w:rsid w:val="00A773B2"/>
    <w:rsid w:val="00A80A5F"/>
    <w:rsid w:val="00A83140"/>
    <w:rsid w:val="00A837E0"/>
    <w:rsid w:val="00A839E2"/>
    <w:rsid w:val="00A841C4"/>
    <w:rsid w:val="00A909C6"/>
    <w:rsid w:val="00A928FB"/>
    <w:rsid w:val="00A93DA1"/>
    <w:rsid w:val="00A963A8"/>
    <w:rsid w:val="00A97152"/>
    <w:rsid w:val="00AA50DA"/>
    <w:rsid w:val="00AA6A4A"/>
    <w:rsid w:val="00AA7644"/>
    <w:rsid w:val="00AB0FDB"/>
    <w:rsid w:val="00AB163F"/>
    <w:rsid w:val="00AB23D2"/>
    <w:rsid w:val="00AB2FA2"/>
    <w:rsid w:val="00AB4BF3"/>
    <w:rsid w:val="00AB5B16"/>
    <w:rsid w:val="00AB689E"/>
    <w:rsid w:val="00AC1D91"/>
    <w:rsid w:val="00AC757F"/>
    <w:rsid w:val="00AC77FD"/>
    <w:rsid w:val="00AD258C"/>
    <w:rsid w:val="00AD5963"/>
    <w:rsid w:val="00AD6851"/>
    <w:rsid w:val="00AD6FA3"/>
    <w:rsid w:val="00AE1D32"/>
    <w:rsid w:val="00AE4CEB"/>
    <w:rsid w:val="00AE556E"/>
    <w:rsid w:val="00AE6583"/>
    <w:rsid w:val="00AE675C"/>
    <w:rsid w:val="00AF20E4"/>
    <w:rsid w:val="00AF3C8A"/>
    <w:rsid w:val="00AF3F11"/>
    <w:rsid w:val="00AF6871"/>
    <w:rsid w:val="00AF72C6"/>
    <w:rsid w:val="00B00960"/>
    <w:rsid w:val="00B01075"/>
    <w:rsid w:val="00B01FB5"/>
    <w:rsid w:val="00B025BE"/>
    <w:rsid w:val="00B0331B"/>
    <w:rsid w:val="00B05FE1"/>
    <w:rsid w:val="00B069D5"/>
    <w:rsid w:val="00B07032"/>
    <w:rsid w:val="00B07C19"/>
    <w:rsid w:val="00B07FFE"/>
    <w:rsid w:val="00B106EF"/>
    <w:rsid w:val="00B138BD"/>
    <w:rsid w:val="00B1772D"/>
    <w:rsid w:val="00B1777D"/>
    <w:rsid w:val="00B229AF"/>
    <w:rsid w:val="00B234EF"/>
    <w:rsid w:val="00B237DA"/>
    <w:rsid w:val="00B239F8"/>
    <w:rsid w:val="00B247C0"/>
    <w:rsid w:val="00B25E90"/>
    <w:rsid w:val="00B309D6"/>
    <w:rsid w:val="00B310FA"/>
    <w:rsid w:val="00B33B48"/>
    <w:rsid w:val="00B33E1D"/>
    <w:rsid w:val="00B34986"/>
    <w:rsid w:val="00B34F94"/>
    <w:rsid w:val="00B34F95"/>
    <w:rsid w:val="00B35A87"/>
    <w:rsid w:val="00B4261E"/>
    <w:rsid w:val="00B427C8"/>
    <w:rsid w:val="00B43D25"/>
    <w:rsid w:val="00B4474F"/>
    <w:rsid w:val="00B45AA0"/>
    <w:rsid w:val="00B45BFB"/>
    <w:rsid w:val="00B46D71"/>
    <w:rsid w:val="00B508D8"/>
    <w:rsid w:val="00B516D6"/>
    <w:rsid w:val="00B52CFA"/>
    <w:rsid w:val="00B55904"/>
    <w:rsid w:val="00B60E71"/>
    <w:rsid w:val="00B61FF8"/>
    <w:rsid w:val="00B62752"/>
    <w:rsid w:val="00B654A5"/>
    <w:rsid w:val="00B654E0"/>
    <w:rsid w:val="00B66374"/>
    <w:rsid w:val="00B7164D"/>
    <w:rsid w:val="00B71FA4"/>
    <w:rsid w:val="00B753A2"/>
    <w:rsid w:val="00B775C7"/>
    <w:rsid w:val="00B77E40"/>
    <w:rsid w:val="00B813A0"/>
    <w:rsid w:val="00B8298E"/>
    <w:rsid w:val="00B82AB0"/>
    <w:rsid w:val="00B84A49"/>
    <w:rsid w:val="00B904D5"/>
    <w:rsid w:val="00B91AB7"/>
    <w:rsid w:val="00B934ED"/>
    <w:rsid w:val="00B94C7C"/>
    <w:rsid w:val="00B94CC9"/>
    <w:rsid w:val="00B97246"/>
    <w:rsid w:val="00BA1664"/>
    <w:rsid w:val="00BA3978"/>
    <w:rsid w:val="00BA4082"/>
    <w:rsid w:val="00BB03BF"/>
    <w:rsid w:val="00BB153C"/>
    <w:rsid w:val="00BB1C32"/>
    <w:rsid w:val="00BB21F1"/>
    <w:rsid w:val="00BB246E"/>
    <w:rsid w:val="00BB769C"/>
    <w:rsid w:val="00BC356A"/>
    <w:rsid w:val="00BC7300"/>
    <w:rsid w:val="00BC757A"/>
    <w:rsid w:val="00BD0342"/>
    <w:rsid w:val="00BD2939"/>
    <w:rsid w:val="00BD29D8"/>
    <w:rsid w:val="00BD2C5E"/>
    <w:rsid w:val="00BD4526"/>
    <w:rsid w:val="00BD4AD1"/>
    <w:rsid w:val="00BD62B8"/>
    <w:rsid w:val="00BE0C67"/>
    <w:rsid w:val="00BE10C6"/>
    <w:rsid w:val="00BE20A8"/>
    <w:rsid w:val="00BE23DF"/>
    <w:rsid w:val="00BE2F6E"/>
    <w:rsid w:val="00BE4B5A"/>
    <w:rsid w:val="00BE6877"/>
    <w:rsid w:val="00BE6B8E"/>
    <w:rsid w:val="00BE7362"/>
    <w:rsid w:val="00BE7466"/>
    <w:rsid w:val="00BE77E3"/>
    <w:rsid w:val="00BF0E06"/>
    <w:rsid w:val="00BF1540"/>
    <w:rsid w:val="00BF16CC"/>
    <w:rsid w:val="00BF3B7D"/>
    <w:rsid w:val="00BF41BF"/>
    <w:rsid w:val="00BF44C4"/>
    <w:rsid w:val="00BF45B3"/>
    <w:rsid w:val="00BF47A1"/>
    <w:rsid w:val="00BF4888"/>
    <w:rsid w:val="00BF48FD"/>
    <w:rsid w:val="00BF4939"/>
    <w:rsid w:val="00C014C0"/>
    <w:rsid w:val="00C050B0"/>
    <w:rsid w:val="00C058BA"/>
    <w:rsid w:val="00C06D5A"/>
    <w:rsid w:val="00C11FC0"/>
    <w:rsid w:val="00C1250F"/>
    <w:rsid w:val="00C125A7"/>
    <w:rsid w:val="00C13921"/>
    <w:rsid w:val="00C13BB1"/>
    <w:rsid w:val="00C13CC9"/>
    <w:rsid w:val="00C16121"/>
    <w:rsid w:val="00C1695B"/>
    <w:rsid w:val="00C16964"/>
    <w:rsid w:val="00C16988"/>
    <w:rsid w:val="00C20018"/>
    <w:rsid w:val="00C2028C"/>
    <w:rsid w:val="00C231F2"/>
    <w:rsid w:val="00C27FC7"/>
    <w:rsid w:val="00C3032B"/>
    <w:rsid w:val="00C3051B"/>
    <w:rsid w:val="00C32C76"/>
    <w:rsid w:val="00C3318D"/>
    <w:rsid w:val="00C36A08"/>
    <w:rsid w:val="00C37977"/>
    <w:rsid w:val="00C37FDC"/>
    <w:rsid w:val="00C4043E"/>
    <w:rsid w:val="00C41156"/>
    <w:rsid w:val="00C42576"/>
    <w:rsid w:val="00C43AB9"/>
    <w:rsid w:val="00C44C01"/>
    <w:rsid w:val="00C45356"/>
    <w:rsid w:val="00C46FD6"/>
    <w:rsid w:val="00C51088"/>
    <w:rsid w:val="00C535D3"/>
    <w:rsid w:val="00C54E23"/>
    <w:rsid w:val="00C56BE4"/>
    <w:rsid w:val="00C60E84"/>
    <w:rsid w:val="00C61CE4"/>
    <w:rsid w:val="00C657B1"/>
    <w:rsid w:val="00C66265"/>
    <w:rsid w:val="00C66781"/>
    <w:rsid w:val="00C67724"/>
    <w:rsid w:val="00C72CB0"/>
    <w:rsid w:val="00C73FB5"/>
    <w:rsid w:val="00C74E4B"/>
    <w:rsid w:val="00C76307"/>
    <w:rsid w:val="00C770AE"/>
    <w:rsid w:val="00C80ADC"/>
    <w:rsid w:val="00C834AE"/>
    <w:rsid w:val="00C83673"/>
    <w:rsid w:val="00C84539"/>
    <w:rsid w:val="00C85A9D"/>
    <w:rsid w:val="00C866A8"/>
    <w:rsid w:val="00C912B1"/>
    <w:rsid w:val="00C94A56"/>
    <w:rsid w:val="00C94E20"/>
    <w:rsid w:val="00C95EB7"/>
    <w:rsid w:val="00C9698F"/>
    <w:rsid w:val="00CA1FE7"/>
    <w:rsid w:val="00CA4077"/>
    <w:rsid w:val="00CA51F4"/>
    <w:rsid w:val="00CA67BB"/>
    <w:rsid w:val="00CA6E0E"/>
    <w:rsid w:val="00CB14AC"/>
    <w:rsid w:val="00CB31BE"/>
    <w:rsid w:val="00CB3528"/>
    <w:rsid w:val="00CB5494"/>
    <w:rsid w:val="00CB6D28"/>
    <w:rsid w:val="00CC31E3"/>
    <w:rsid w:val="00CC3B80"/>
    <w:rsid w:val="00CC4E23"/>
    <w:rsid w:val="00CC5A6D"/>
    <w:rsid w:val="00CD02C8"/>
    <w:rsid w:val="00CD0FE3"/>
    <w:rsid w:val="00CD251E"/>
    <w:rsid w:val="00CD2707"/>
    <w:rsid w:val="00CD40AF"/>
    <w:rsid w:val="00CD437C"/>
    <w:rsid w:val="00CD6A29"/>
    <w:rsid w:val="00CD7B77"/>
    <w:rsid w:val="00CD7E59"/>
    <w:rsid w:val="00CD7EDD"/>
    <w:rsid w:val="00CE1527"/>
    <w:rsid w:val="00CE2825"/>
    <w:rsid w:val="00CE45E8"/>
    <w:rsid w:val="00CE6225"/>
    <w:rsid w:val="00CE664A"/>
    <w:rsid w:val="00CE6DDC"/>
    <w:rsid w:val="00CE7AA2"/>
    <w:rsid w:val="00CF1142"/>
    <w:rsid w:val="00CF16FC"/>
    <w:rsid w:val="00CF19BF"/>
    <w:rsid w:val="00CF4E1D"/>
    <w:rsid w:val="00CF5620"/>
    <w:rsid w:val="00CF670C"/>
    <w:rsid w:val="00CF70F1"/>
    <w:rsid w:val="00CF7505"/>
    <w:rsid w:val="00D01EEF"/>
    <w:rsid w:val="00D01F5D"/>
    <w:rsid w:val="00D02866"/>
    <w:rsid w:val="00D06B03"/>
    <w:rsid w:val="00D10928"/>
    <w:rsid w:val="00D12330"/>
    <w:rsid w:val="00D12D58"/>
    <w:rsid w:val="00D154D9"/>
    <w:rsid w:val="00D2029B"/>
    <w:rsid w:val="00D2088A"/>
    <w:rsid w:val="00D22C71"/>
    <w:rsid w:val="00D238C0"/>
    <w:rsid w:val="00D23963"/>
    <w:rsid w:val="00D2503B"/>
    <w:rsid w:val="00D253FA"/>
    <w:rsid w:val="00D26B3F"/>
    <w:rsid w:val="00D310AB"/>
    <w:rsid w:val="00D312CD"/>
    <w:rsid w:val="00D31C63"/>
    <w:rsid w:val="00D32519"/>
    <w:rsid w:val="00D34E62"/>
    <w:rsid w:val="00D3549D"/>
    <w:rsid w:val="00D35C9F"/>
    <w:rsid w:val="00D37145"/>
    <w:rsid w:val="00D401E2"/>
    <w:rsid w:val="00D4075A"/>
    <w:rsid w:val="00D418C4"/>
    <w:rsid w:val="00D41A8F"/>
    <w:rsid w:val="00D42550"/>
    <w:rsid w:val="00D4470F"/>
    <w:rsid w:val="00D44CB6"/>
    <w:rsid w:val="00D47AE3"/>
    <w:rsid w:val="00D50655"/>
    <w:rsid w:val="00D516B5"/>
    <w:rsid w:val="00D51E6A"/>
    <w:rsid w:val="00D51F25"/>
    <w:rsid w:val="00D52156"/>
    <w:rsid w:val="00D52899"/>
    <w:rsid w:val="00D53A13"/>
    <w:rsid w:val="00D54177"/>
    <w:rsid w:val="00D5505B"/>
    <w:rsid w:val="00D55F7F"/>
    <w:rsid w:val="00D57888"/>
    <w:rsid w:val="00D60544"/>
    <w:rsid w:val="00D61911"/>
    <w:rsid w:val="00D63C01"/>
    <w:rsid w:val="00D643A7"/>
    <w:rsid w:val="00D662CA"/>
    <w:rsid w:val="00D664FE"/>
    <w:rsid w:val="00D72E71"/>
    <w:rsid w:val="00D7356D"/>
    <w:rsid w:val="00D73D97"/>
    <w:rsid w:val="00D74BAE"/>
    <w:rsid w:val="00D75C28"/>
    <w:rsid w:val="00D80780"/>
    <w:rsid w:val="00D8258A"/>
    <w:rsid w:val="00D82D0F"/>
    <w:rsid w:val="00D905A8"/>
    <w:rsid w:val="00D91744"/>
    <w:rsid w:val="00D91906"/>
    <w:rsid w:val="00D92044"/>
    <w:rsid w:val="00D922D1"/>
    <w:rsid w:val="00D94AF7"/>
    <w:rsid w:val="00D95019"/>
    <w:rsid w:val="00DA08D8"/>
    <w:rsid w:val="00DA3FC6"/>
    <w:rsid w:val="00DA5FA3"/>
    <w:rsid w:val="00DA7F28"/>
    <w:rsid w:val="00DB0153"/>
    <w:rsid w:val="00DB018E"/>
    <w:rsid w:val="00DB0A33"/>
    <w:rsid w:val="00DB2444"/>
    <w:rsid w:val="00DB2BBD"/>
    <w:rsid w:val="00DB3373"/>
    <w:rsid w:val="00DB4C5D"/>
    <w:rsid w:val="00DB7D29"/>
    <w:rsid w:val="00DC346C"/>
    <w:rsid w:val="00DC3A73"/>
    <w:rsid w:val="00DC4F5C"/>
    <w:rsid w:val="00DC79B0"/>
    <w:rsid w:val="00DC7B01"/>
    <w:rsid w:val="00DD11AA"/>
    <w:rsid w:val="00DD4EE8"/>
    <w:rsid w:val="00DD6C58"/>
    <w:rsid w:val="00DD7CFC"/>
    <w:rsid w:val="00DE1AE2"/>
    <w:rsid w:val="00DE2801"/>
    <w:rsid w:val="00DE4E66"/>
    <w:rsid w:val="00DE682E"/>
    <w:rsid w:val="00DE6E8E"/>
    <w:rsid w:val="00DE7816"/>
    <w:rsid w:val="00DF12BA"/>
    <w:rsid w:val="00DF2678"/>
    <w:rsid w:val="00DF3164"/>
    <w:rsid w:val="00DF5BEA"/>
    <w:rsid w:val="00DF5EFC"/>
    <w:rsid w:val="00DF7B99"/>
    <w:rsid w:val="00E00FDA"/>
    <w:rsid w:val="00E02BB7"/>
    <w:rsid w:val="00E02ECC"/>
    <w:rsid w:val="00E05C77"/>
    <w:rsid w:val="00E0639A"/>
    <w:rsid w:val="00E10379"/>
    <w:rsid w:val="00E1265C"/>
    <w:rsid w:val="00E15D91"/>
    <w:rsid w:val="00E16968"/>
    <w:rsid w:val="00E21FB5"/>
    <w:rsid w:val="00E226D9"/>
    <w:rsid w:val="00E2382B"/>
    <w:rsid w:val="00E246AF"/>
    <w:rsid w:val="00E30F18"/>
    <w:rsid w:val="00E3269B"/>
    <w:rsid w:val="00E3286F"/>
    <w:rsid w:val="00E3295D"/>
    <w:rsid w:val="00E356BD"/>
    <w:rsid w:val="00E35FE3"/>
    <w:rsid w:val="00E369AB"/>
    <w:rsid w:val="00E41B94"/>
    <w:rsid w:val="00E41D80"/>
    <w:rsid w:val="00E421AF"/>
    <w:rsid w:val="00E43EDE"/>
    <w:rsid w:val="00E446B3"/>
    <w:rsid w:val="00E447F0"/>
    <w:rsid w:val="00E44A85"/>
    <w:rsid w:val="00E47ABA"/>
    <w:rsid w:val="00E50622"/>
    <w:rsid w:val="00E51307"/>
    <w:rsid w:val="00E5241D"/>
    <w:rsid w:val="00E55339"/>
    <w:rsid w:val="00E5640F"/>
    <w:rsid w:val="00E629A7"/>
    <w:rsid w:val="00E6556B"/>
    <w:rsid w:val="00E66437"/>
    <w:rsid w:val="00E66BF6"/>
    <w:rsid w:val="00E671E6"/>
    <w:rsid w:val="00E67F4E"/>
    <w:rsid w:val="00E7066B"/>
    <w:rsid w:val="00E76902"/>
    <w:rsid w:val="00E7714D"/>
    <w:rsid w:val="00E77E42"/>
    <w:rsid w:val="00E80982"/>
    <w:rsid w:val="00E8166A"/>
    <w:rsid w:val="00E81955"/>
    <w:rsid w:val="00E819BC"/>
    <w:rsid w:val="00E81D0A"/>
    <w:rsid w:val="00E82326"/>
    <w:rsid w:val="00E8338D"/>
    <w:rsid w:val="00E83A5B"/>
    <w:rsid w:val="00E8556F"/>
    <w:rsid w:val="00E85F59"/>
    <w:rsid w:val="00E8609E"/>
    <w:rsid w:val="00E86759"/>
    <w:rsid w:val="00E92D11"/>
    <w:rsid w:val="00E9340E"/>
    <w:rsid w:val="00E94D44"/>
    <w:rsid w:val="00E94E55"/>
    <w:rsid w:val="00E96CDB"/>
    <w:rsid w:val="00E975B1"/>
    <w:rsid w:val="00EA1A74"/>
    <w:rsid w:val="00EA41D4"/>
    <w:rsid w:val="00EA6605"/>
    <w:rsid w:val="00EB245A"/>
    <w:rsid w:val="00EB30CE"/>
    <w:rsid w:val="00EB637F"/>
    <w:rsid w:val="00EB7378"/>
    <w:rsid w:val="00EC0397"/>
    <w:rsid w:val="00EC1DF0"/>
    <w:rsid w:val="00EC357F"/>
    <w:rsid w:val="00EC3C4C"/>
    <w:rsid w:val="00EC4484"/>
    <w:rsid w:val="00EC615A"/>
    <w:rsid w:val="00EC6DD6"/>
    <w:rsid w:val="00ED09C5"/>
    <w:rsid w:val="00ED0BEB"/>
    <w:rsid w:val="00ED0F1F"/>
    <w:rsid w:val="00ED3234"/>
    <w:rsid w:val="00ED3714"/>
    <w:rsid w:val="00ED39A2"/>
    <w:rsid w:val="00ED39E7"/>
    <w:rsid w:val="00ED4C40"/>
    <w:rsid w:val="00ED6DE3"/>
    <w:rsid w:val="00ED7ABE"/>
    <w:rsid w:val="00ED7E06"/>
    <w:rsid w:val="00EE0B4B"/>
    <w:rsid w:val="00EE1459"/>
    <w:rsid w:val="00EE3C4F"/>
    <w:rsid w:val="00EE728F"/>
    <w:rsid w:val="00EF0788"/>
    <w:rsid w:val="00EF0840"/>
    <w:rsid w:val="00EF1B04"/>
    <w:rsid w:val="00EF5337"/>
    <w:rsid w:val="00F024C6"/>
    <w:rsid w:val="00F028C5"/>
    <w:rsid w:val="00F02DC2"/>
    <w:rsid w:val="00F03511"/>
    <w:rsid w:val="00F0587A"/>
    <w:rsid w:val="00F058D1"/>
    <w:rsid w:val="00F16494"/>
    <w:rsid w:val="00F171FB"/>
    <w:rsid w:val="00F175CD"/>
    <w:rsid w:val="00F20CA4"/>
    <w:rsid w:val="00F20DA2"/>
    <w:rsid w:val="00F22B91"/>
    <w:rsid w:val="00F23621"/>
    <w:rsid w:val="00F24313"/>
    <w:rsid w:val="00F244A9"/>
    <w:rsid w:val="00F2716D"/>
    <w:rsid w:val="00F27E43"/>
    <w:rsid w:val="00F3098C"/>
    <w:rsid w:val="00F309B7"/>
    <w:rsid w:val="00F33B21"/>
    <w:rsid w:val="00F33CD2"/>
    <w:rsid w:val="00F35225"/>
    <w:rsid w:val="00F3556A"/>
    <w:rsid w:val="00F35F26"/>
    <w:rsid w:val="00F37E0A"/>
    <w:rsid w:val="00F40250"/>
    <w:rsid w:val="00F4234E"/>
    <w:rsid w:val="00F42D2F"/>
    <w:rsid w:val="00F46801"/>
    <w:rsid w:val="00F470F0"/>
    <w:rsid w:val="00F47AAC"/>
    <w:rsid w:val="00F47E3E"/>
    <w:rsid w:val="00F506C0"/>
    <w:rsid w:val="00F531CB"/>
    <w:rsid w:val="00F54779"/>
    <w:rsid w:val="00F55AF6"/>
    <w:rsid w:val="00F603DD"/>
    <w:rsid w:val="00F60A2A"/>
    <w:rsid w:val="00F619C3"/>
    <w:rsid w:val="00F66ACE"/>
    <w:rsid w:val="00F67BFD"/>
    <w:rsid w:val="00F67F1E"/>
    <w:rsid w:val="00F70D8D"/>
    <w:rsid w:val="00F7175B"/>
    <w:rsid w:val="00F717BA"/>
    <w:rsid w:val="00F72CB7"/>
    <w:rsid w:val="00F7664B"/>
    <w:rsid w:val="00F800EB"/>
    <w:rsid w:val="00F82CCF"/>
    <w:rsid w:val="00F8612A"/>
    <w:rsid w:val="00F9570C"/>
    <w:rsid w:val="00FA076B"/>
    <w:rsid w:val="00FA0C0D"/>
    <w:rsid w:val="00FA1815"/>
    <w:rsid w:val="00FA2FBA"/>
    <w:rsid w:val="00FA3C63"/>
    <w:rsid w:val="00FA50BB"/>
    <w:rsid w:val="00FA6C88"/>
    <w:rsid w:val="00FA74FE"/>
    <w:rsid w:val="00FB13B8"/>
    <w:rsid w:val="00FB210D"/>
    <w:rsid w:val="00FB7A18"/>
    <w:rsid w:val="00FC0E0E"/>
    <w:rsid w:val="00FC3073"/>
    <w:rsid w:val="00FC3CA7"/>
    <w:rsid w:val="00FC4897"/>
    <w:rsid w:val="00FC4CCC"/>
    <w:rsid w:val="00FC4E1D"/>
    <w:rsid w:val="00FC625F"/>
    <w:rsid w:val="00FC71D9"/>
    <w:rsid w:val="00FD068B"/>
    <w:rsid w:val="00FD120D"/>
    <w:rsid w:val="00FD2193"/>
    <w:rsid w:val="00FD2C3E"/>
    <w:rsid w:val="00FD2F53"/>
    <w:rsid w:val="00FD578D"/>
    <w:rsid w:val="00FD5C0E"/>
    <w:rsid w:val="00FD7725"/>
    <w:rsid w:val="00FE5E35"/>
    <w:rsid w:val="00FF2FAB"/>
    <w:rsid w:val="00FF3534"/>
    <w:rsid w:val="00FF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73729"/>
    <o:shapelayout v:ext="edit">
      <o:idmap v:ext="edit" data="1"/>
    </o:shapelayout>
  </w:shapeDefaults>
  <w:decimalSymbol w:val="."/>
  <w:listSeparator w:val=","/>
  <w14:docId w14:val="5F677A51"/>
  <w15:docId w15:val="{FEB843AF-226A-4ADD-A2B4-0CCE2D3F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62"/>
    <w:rPr>
      <w:sz w:val="24"/>
      <w:szCs w:val="24"/>
    </w:rPr>
  </w:style>
  <w:style w:type="paragraph" w:styleId="Heading1">
    <w:name w:val="heading 1"/>
    <w:basedOn w:val="Normal"/>
    <w:link w:val="Heading1Char"/>
    <w:uiPriority w:val="99"/>
    <w:qFormat/>
    <w:rsid w:val="006E7C62"/>
    <w:pPr>
      <w:spacing w:before="100" w:beforeAutospacing="1" w:after="100" w:afterAutospacing="1"/>
      <w:outlineLvl w:val="0"/>
    </w:pPr>
    <w:rPr>
      <w:rFonts w:ascii="Arial" w:hAnsi="Arial" w:cs="Arial"/>
      <w:b/>
      <w:bC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24"/>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170696"/>
    <w:rPr>
      <w:rFonts w:ascii="Tahoma" w:hAnsi="Tahoma" w:cs="Tahoma"/>
      <w:sz w:val="16"/>
      <w:szCs w:val="16"/>
    </w:rPr>
  </w:style>
  <w:style w:type="character" w:customStyle="1" w:styleId="BalloonTextChar">
    <w:name w:val="Balloon Text Char"/>
    <w:basedOn w:val="DefaultParagraphFont"/>
    <w:link w:val="BalloonText"/>
    <w:uiPriority w:val="99"/>
    <w:semiHidden/>
    <w:rsid w:val="008C3A24"/>
    <w:rPr>
      <w:sz w:val="0"/>
      <w:szCs w:val="0"/>
    </w:rPr>
  </w:style>
  <w:style w:type="paragraph" w:styleId="FootnoteText">
    <w:name w:val="footnote text"/>
    <w:basedOn w:val="Normal"/>
    <w:link w:val="FootnoteTextChar"/>
    <w:semiHidden/>
    <w:rsid w:val="006E7C62"/>
    <w:rPr>
      <w:sz w:val="20"/>
      <w:szCs w:val="20"/>
    </w:rPr>
  </w:style>
  <w:style w:type="character" w:customStyle="1" w:styleId="FootnoteTextChar">
    <w:name w:val="Footnote Text Char"/>
    <w:basedOn w:val="DefaultParagraphFont"/>
    <w:link w:val="FootnoteText"/>
    <w:uiPriority w:val="99"/>
    <w:semiHidden/>
    <w:locked/>
    <w:rsid w:val="003665B0"/>
    <w:rPr>
      <w:rFonts w:cs="Times New Roman"/>
    </w:rPr>
  </w:style>
  <w:style w:type="character" w:styleId="FootnoteReference">
    <w:name w:val="footnote reference"/>
    <w:basedOn w:val="DefaultParagraphFont"/>
    <w:semiHidden/>
    <w:rsid w:val="006E7C62"/>
    <w:rPr>
      <w:rFonts w:cs="Times New Roman"/>
      <w:vertAlign w:val="superscript"/>
    </w:rPr>
  </w:style>
  <w:style w:type="character" w:styleId="Hyperlink">
    <w:name w:val="Hyperlink"/>
    <w:basedOn w:val="DefaultParagraphFont"/>
    <w:uiPriority w:val="99"/>
    <w:rsid w:val="006E7C62"/>
    <w:rPr>
      <w:rFonts w:cs="Times New Roman"/>
      <w:color w:val="0000FF"/>
      <w:u w:val="single"/>
    </w:rPr>
  </w:style>
  <w:style w:type="paragraph" w:styleId="Footer">
    <w:name w:val="footer"/>
    <w:basedOn w:val="Normal"/>
    <w:link w:val="FooterChar"/>
    <w:uiPriority w:val="99"/>
    <w:rsid w:val="006E7C62"/>
    <w:pPr>
      <w:tabs>
        <w:tab w:val="center" w:pos="4320"/>
        <w:tab w:val="right" w:pos="8640"/>
      </w:tabs>
    </w:pPr>
  </w:style>
  <w:style w:type="character" w:customStyle="1" w:styleId="FooterChar">
    <w:name w:val="Footer Char"/>
    <w:basedOn w:val="DefaultParagraphFont"/>
    <w:link w:val="Footer"/>
    <w:uiPriority w:val="99"/>
    <w:locked/>
    <w:rsid w:val="00A15362"/>
    <w:rPr>
      <w:sz w:val="24"/>
    </w:rPr>
  </w:style>
  <w:style w:type="character" w:styleId="PageNumber">
    <w:name w:val="page number"/>
    <w:basedOn w:val="DefaultParagraphFont"/>
    <w:uiPriority w:val="99"/>
    <w:rsid w:val="006E7C62"/>
    <w:rPr>
      <w:rFonts w:cs="Times New Roman"/>
    </w:rPr>
  </w:style>
  <w:style w:type="paragraph" w:styleId="Header">
    <w:name w:val="header"/>
    <w:basedOn w:val="Normal"/>
    <w:link w:val="HeaderChar"/>
    <w:uiPriority w:val="99"/>
    <w:rsid w:val="006E7C62"/>
    <w:pPr>
      <w:tabs>
        <w:tab w:val="center" w:pos="4320"/>
        <w:tab w:val="right" w:pos="8640"/>
      </w:tabs>
    </w:pPr>
  </w:style>
  <w:style w:type="character" w:customStyle="1" w:styleId="HeaderChar">
    <w:name w:val="Header Char"/>
    <w:basedOn w:val="DefaultParagraphFont"/>
    <w:link w:val="Header"/>
    <w:uiPriority w:val="99"/>
    <w:rsid w:val="008C3A24"/>
    <w:rPr>
      <w:sz w:val="24"/>
      <w:szCs w:val="24"/>
    </w:rPr>
  </w:style>
  <w:style w:type="paragraph" w:styleId="HTMLPreformatted">
    <w:name w:val="HTML Preformatted"/>
    <w:basedOn w:val="Normal"/>
    <w:link w:val="HTMLPreformattedChar"/>
    <w:uiPriority w:val="99"/>
    <w:rsid w:val="006E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8C3A24"/>
    <w:rPr>
      <w:rFonts w:ascii="Courier New" w:hAnsi="Courier New" w:cs="Courier New"/>
      <w:sz w:val="20"/>
      <w:szCs w:val="20"/>
    </w:rPr>
  </w:style>
  <w:style w:type="table" w:styleId="TableGrid">
    <w:name w:val="Table Grid"/>
    <w:basedOn w:val="TableNormal"/>
    <w:rsid w:val="008B54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2557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C3A24"/>
    <w:rPr>
      <w:sz w:val="0"/>
      <w:szCs w:val="0"/>
    </w:rPr>
  </w:style>
  <w:style w:type="character" w:styleId="FollowedHyperlink">
    <w:name w:val="FollowedHyperlink"/>
    <w:basedOn w:val="DefaultParagraphFont"/>
    <w:uiPriority w:val="99"/>
    <w:rsid w:val="0006111D"/>
    <w:rPr>
      <w:rFonts w:cs="Times New Roman"/>
      <w:color w:val="800080"/>
      <w:u w:val="single"/>
    </w:rPr>
  </w:style>
  <w:style w:type="character" w:styleId="CommentReference">
    <w:name w:val="annotation reference"/>
    <w:basedOn w:val="DefaultParagraphFont"/>
    <w:uiPriority w:val="99"/>
    <w:rsid w:val="00B94CC9"/>
    <w:rPr>
      <w:rFonts w:cs="Times New Roman"/>
      <w:sz w:val="16"/>
    </w:rPr>
  </w:style>
  <w:style w:type="paragraph" w:styleId="CommentText">
    <w:name w:val="annotation text"/>
    <w:basedOn w:val="Normal"/>
    <w:link w:val="CommentTextChar"/>
    <w:uiPriority w:val="99"/>
    <w:rsid w:val="00B94CC9"/>
    <w:rPr>
      <w:sz w:val="20"/>
      <w:szCs w:val="20"/>
    </w:rPr>
  </w:style>
  <w:style w:type="character" w:customStyle="1" w:styleId="CommentTextChar">
    <w:name w:val="Comment Text Char"/>
    <w:basedOn w:val="DefaultParagraphFont"/>
    <w:link w:val="CommentText"/>
    <w:uiPriority w:val="99"/>
    <w:locked/>
    <w:rsid w:val="00B94CC9"/>
    <w:rPr>
      <w:rFonts w:cs="Times New Roman"/>
    </w:rPr>
  </w:style>
  <w:style w:type="paragraph" w:styleId="CommentSubject">
    <w:name w:val="annotation subject"/>
    <w:basedOn w:val="CommentText"/>
    <w:next w:val="CommentText"/>
    <w:link w:val="CommentSubjectChar"/>
    <w:uiPriority w:val="99"/>
    <w:rsid w:val="00B94CC9"/>
    <w:rPr>
      <w:b/>
      <w:bCs/>
    </w:rPr>
  </w:style>
  <w:style w:type="character" w:customStyle="1" w:styleId="CommentSubjectChar">
    <w:name w:val="Comment Subject Char"/>
    <w:basedOn w:val="CommentTextChar"/>
    <w:link w:val="CommentSubject"/>
    <w:uiPriority w:val="99"/>
    <w:locked/>
    <w:rsid w:val="00B94CC9"/>
    <w:rPr>
      <w:rFonts w:cs="Times New Roman"/>
      <w:b/>
    </w:rPr>
  </w:style>
  <w:style w:type="paragraph" w:customStyle="1" w:styleId="Level11">
    <w:name w:val="Level 11"/>
    <w:basedOn w:val="Normal"/>
    <w:uiPriority w:val="99"/>
    <w:rsid w:val="009E09B2"/>
    <w:pPr>
      <w:widowControl w:val="0"/>
      <w:autoSpaceDE w:val="0"/>
      <w:autoSpaceDN w:val="0"/>
      <w:adjustRightInd w:val="0"/>
      <w:ind w:left="402" w:right="-90" w:hanging="402"/>
    </w:pPr>
  </w:style>
  <w:style w:type="paragraph" w:styleId="ListParagraph">
    <w:name w:val="List Paragraph"/>
    <w:basedOn w:val="Normal"/>
    <w:uiPriority w:val="99"/>
    <w:qFormat/>
    <w:rsid w:val="009E09B2"/>
    <w:pPr>
      <w:ind w:left="720"/>
    </w:pPr>
  </w:style>
  <w:style w:type="paragraph" w:styleId="PlainText">
    <w:name w:val="Plain Text"/>
    <w:basedOn w:val="Normal"/>
    <w:link w:val="PlainTextChar"/>
    <w:uiPriority w:val="99"/>
    <w:rsid w:val="00D2029B"/>
    <w:rPr>
      <w:rFonts w:ascii="Calibri" w:hAnsi="Calibri"/>
      <w:sz w:val="22"/>
      <w:szCs w:val="21"/>
    </w:rPr>
  </w:style>
  <w:style w:type="character" w:customStyle="1" w:styleId="PlainTextChar">
    <w:name w:val="Plain Text Char"/>
    <w:basedOn w:val="DefaultParagraphFont"/>
    <w:link w:val="PlainText"/>
    <w:uiPriority w:val="99"/>
    <w:locked/>
    <w:rsid w:val="00D2029B"/>
    <w:rPr>
      <w:rFonts w:ascii="Calibri" w:eastAsia="Times New Roman" w:hAnsi="Calibri"/>
      <w:sz w:val="21"/>
    </w:rPr>
  </w:style>
  <w:style w:type="paragraph" w:styleId="Revision">
    <w:name w:val="Revision"/>
    <w:hidden/>
    <w:uiPriority w:val="99"/>
    <w:semiHidden/>
    <w:rsid w:val="002D40D5"/>
    <w:rPr>
      <w:sz w:val="24"/>
      <w:szCs w:val="24"/>
    </w:rPr>
  </w:style>
  <w:style w:type="character" w:styleId="UnresolvedMention">
    <w:name w:val="Unresolved Mention"/>
    <w:basedOn w:val="DefaultParagraphFont"/>
    <w:uiPriority w:val="99"/>
    <w:unhideWhenUsed/>
    <w:rsid w:val="007D46F3"/>
    <w:rPr>
      <w:color w:val="605E5C"/>
      <w:shd w:val="clear" w:color="auto" w:fill="E1DFDD"/>
    </w:rPr>
  </w:style>
  <w:style w:type="paragraph" w:styleId="EndnoteText">
    <w:name w:val="endnote text"/>
    <w:basedOn w:val="Normal"/>
    <w:link w:val="EndnoteTextChar"/>
    <w:uiPriority w:val="99"/>
    <w:semiHidden/>
    <w:unhideWhenUsed/>
    <w:rsid w:val="00657634"/>
    <w:rPr>
      <w:sz w:val="20"/>
      <w:szCs w:val="20"/>
    </w:rPr>
  </w:style>
  <w:style w:type="character" w:customStyle="1" w:styleId="EndnoteTextChar">
    <w:name w:val="Endnote Text Char"/>
    <w:basedOn w:val="DefaultParagraphFont"/>
    <w:link w:val="EndnoteText"/>
    <w:uiPriority w:val="99"/>
    <w:semiHidden/>
    <w:rsid w:val="00657634"/>
    <w:rPr>
      <w:sz w:val="20"/>
      <w:szCs w:val="20"/>
    </w:rPr>
  </w:style>
  <w:style w:type="character" w:styleId="EndnoteReference">
    <w:name w:val="endnote reference"/>
    <w:basedOn w:val="DefaultParagraphFont"/>
    <w:uiPriority w:val="99"/>
    <w:semiHidden/>
    <w:unhideWhenUsed/>
    <w:rsid w:val="00657634"/>
    <w:rPr>
      <w:vertAlign w:val="superscript"/>
    </w:rPr>
  </w:style>
  <w:style w:type="character" w:styleId="Mention">
    <w:name w:val="Mention"/>
    <w:basedOn w:val="DefaultParagraphFont"/>
    <w:uiPriority w:val="99"/>
    <w:unhideWhenUsed/>
    <w:rsid w:val="00E833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98204">
      <w:bodyDiv w:val="1"/>
      <w:marLeft w:val="0"/>
      <w:marRight w:val="0"/>
      <w:marTop w:val="0"/>
      <w:marBottom w:val="0"/>
      <w:divBdr>
        <w:top w:val="none" w:sz="0" w:space="0" w:color="auto"/>
        <w:left w:val="none" w:sz="0" w:space="0" w:color="auto"/>
        <w:bottom w:val="none" w:sz="0" w:space="0" w:color="auto"/>
        <w:right w:val="none" w:sz="0" w:space="0" w:color="auto"/>
      </w:divBdr>
    </w:div>
    <w:div w:id="72751300">
      <w:bodyDiv w:val="1"/>
      <w:marLeft w:val="0"/>
      <w:marRight w:val="0"/>
      <w:marTop w:val="0"/>
      <w:marBottom w:val="0"/>
      <w:divBdr>
        <w:top w:val="none" w:sz="0" w:space="0" w:color="auto"/>
        <w:left w:val="none" w:sz="0" w:space="0" w:color="auto"/>
        <w:bottom w:val="none" w:sz="0" w:space="0" w:color="auto"/>
        <w:right w:val="none" w:sz="0" w:space="0" w:color="auto"/>
      </w:divBdr>
    </w:div>
    <w:div w:id="78335057">
      <w:bodyDiv w:val="1"/>
      <w:marLeft w:val="0"/>
      <w:marRight w:val="0"/>
      <w:marTop w:val="0"/>
      <w:marBottom w:val="0"/>
      <w:divBdr>
        <w:top w:val="none" w:sz="0" w:space="0" w:color="auto"/>
        <w:left w:val="none" w:sz="0" w:space="0" w:color="auto"/>
        <w:bottom w:val="none" w:sz="0" w:space="0" w:color="auto"/>
        <w:right w:val="none" w:sz="0" w:space="0" w:color="auto"/>
      </w:divBdr>
    </w:div>
    <w:div w:id="185296283">
      <w:bodyDiv w:val="1"/>
      <w:marLeft w:val="0"/>
      <w:marRight w:val="0"/>
      <w:marTop w:val="0"/>
      <w:marBottom w:val="0"/>
      <w:divBdr>
        <w:top w:val="none" w:sz="0" w:space="0" w:color="auto"/>
        <w:left w:val="none" w:sz="0" w:space="0" w:color="auto"/>
        <w:bottom w:val="none" w:sz="0" w:space="0" w:color="auto"/>
        <w:right w:val="none" w:sz="0" w:space="0" w:color="auto"/>
      </w:divBdr>
    </w:div>
    <w:div w:id="234319218">
      <w:bodyDiv w:val="1"/>
      <w:marLeft w:val="0"/>
      <w:marRight w:val="0"/>
      <w:marTop w:val="0"/>
      <w:marBottom w:val="0"/>
      <w:divBdr>
        <w:top w:val="none" w:sz="0" w:space="0" w:color="auto"/>
        <w:left w:val="none" w:sz="0" w:space="0" w:color="auto"/>
        <w:bottom w:val="none" w:sz="0" w:space="0" w:color="auto"/>
        <w:right w:val="none" w:sz="0" w:space="0" w:color="auto"/>
      </w:divBdr>
    </w:div>
    <w:div w:id="258953998">
      <w:bodyDiv w:val="1"/>
      <w:marLeft w:val="0"/>
      <w:marRight w:val="0"/>
      <w:marTop w:val="0"/>
      <w:marBottom w:val="0"/>
      <w:divBdr>
        <w:top w:val="none" w:sz="0" w:space="0" w:color="auto"/>
        <w:left w:val="none" w:sz="0" w:space="0" w:color="auto"/>
        <w:bottom w:val="none" w:sz="0" w:space="0" w:color="auto"/>
        <w:right w:val="none" w:sz="0" w:space="0" w:color="auto"/>
      </w:divBdr>
    </w:div>
    <w:div w:id="334386352">
      <w:bodyDiv w:val="1"/>
      <w:marLeft w:val="0"/>
      <w:marRight w:val="0"/>
      <w:marTop w:val="0"/>
      <w:marBottom w:val="0"/>
      <w:divBdr>
        <w:top w:val="none" w:sz="0" w:space="0" w:color="auto"/>
        <w:left w:val="none" w:sz="0" w:space="0" w:color="auto"/>
        <w:bottom w:val="none" w:sz="0" w:space="0" w:color="auto"/>
        <w:right w:val="none" w:sz="0" w:space="0" w:color="auto"/>
      </w:divBdr>
    </w:div>
    <w:div w:id="347830841">
      <w:bodyDiv w:val="1"/>
      <w:marLeft w:val="0"/>
      <w:marRight w:val="0"/>
      <w:marTop w:val="0"/>
      <w:marBottom w:val="0"/>
      <w:divBdr>
        <w:top w:val="none" w:sz="0" w:space="0" w:color="auto"/>
        <w:left w:val="none" w:sz="0" w:space="0" w:color="auto"/>
        <w:bottom w:val="none" w:sz="0" w:space="0" w:color="auto"/>
        <w:right w:val="none" w:sz="0" w:space="0" w:color="auto"/>
      </w:divBdr>
    </w:div>
    <w:div w:id="394477019">
      <w:bodyDiv w:val="1"/>
      <w:marLeft w:val="0"/>
      <w:marRight w:val="0"/>
      <w:marTop w:val="0"/>
      <w:marBottom w:val="0"/>
      <w:divBdr>
        <w:top w:val="none" w:sz="0" w:space="0" w:color="auto"/>
        <w:left w:val="none" w:sz="0" w:space="0" w:color="auto"/>
        <w:bottom w:val="none" w:sz="0" w:space="0" w:color="auto"/>
        <w:right w:val="none" w:sz="0" w:space="0" w:color="auto"/>
      </w:divBdr>
    </w:div>
    <w:div w:id="425266737">
      <w:bodyDiv w:val="1"/>
      <w:marLeft w:val="0"/>
      <w:marRight w:val="0"/>
      <w:marTop w:val="0"/>
      <w:marBottom w:val="0"/>
      <w:divBdr>
        <w:top w:val="none" w:sz="0" w:space="0" w:color="auto"/>
        <w:left w:val="none" w:sz="0" w:space="0" w:color="auto"/>
        <w:bottom w:val="none" w:sz="0" w:space="0" w:color="auto"/>
        <w:right w:val="none" w:sz="0" w:space="0" w:color="auto"/>
      </w:divBdr>
    </w:div>
    <w:div w:id="487214220">
      <w:bodyDiv w:val="1"/>
      <w:marLeft w:val="0"/>
      <w:marRight w:val="0"/>
      <w:marTop w:val="0"/>
      <w:marBottom w:val="0"/>
      <w:divBdr>
        <w:top w:val="none" w:sz="0" w:space="0" w:color="auto"/>
        <w:left w:val="none" w:sz="0" w:space="0" w:color="auto"/>
        <w:bottom w:val="none" w:sz="0" w:space="0" w:color="auto"/>
        <w:right w:val="none" w:sz="0" w:space="0" w:color="auto"/>
      </w:divBdr>
    </w:div>
    <w:div w:id="494731290">
      <w:bodyDiv w:val="1"/>
      <w:marLeft w:val="0"/>
      <w:marRight w:val="0"/>
      <w:marTop w:val="0"/>
      <w:marBottom w:val="0"/>
      <w:divBdr>
        <w:top w:val="none" w:sz="0" w:space="0" w:color="auto"/>
        <w:left w:val="none" w:sz="0" w:space="0" w:color="auto"/>
        <w:bottom w:val="none" w:sz="0" w:space="0" w:color="auto"/>
        <w:right w:val="none" w:sz="0" w:space="0" w:color="auto"/>
      </w:divBdr>
    </w:div>
    <w:div w:id="502670745">
      <w:bodyDiv w:val="1"/>
      <w:marLeft w:val="0"/>
      <w:marRight w:val="0"/>
      <w:marTop w:val="0"/>
      <w:marBottom w:val="0"/>
      <w:divBdr>
        <w:top w:val="none" w:sz="0" w:space="0" w:color="auto"/>
        <w:left w:val="none" w:sz="0" w:space="0" w:color="auto"/>
        <w:bottom w:val="none" w:sz="0" w:space="0" w:color="auto"/>
        <w:right w:val="none" w:sz="0" w:space="0" w:color="auto"/>
      </w:divBdr>
    </w:div>
    <w:div w:id="583029415">
      <w:bodyDiv w:val="1"/>
      <w:marLeft w:val="0"/>
      <w:marRight w:val="0"/>
      <w:marTop w:val="0"/>
      <w:marBottom w:val="0"/>
      <w:divBdr>
        <w:top w:val="none" w:sz="0" w:space="0" w:color="auto"/>
        <w:left w:val="none" w:sz="0" w:space="0" w:color="auto"/>
        <w:bottom w:val="none" w:sz="0" w:space="0" w:color="auto"/>
        <w:right w:val="none" w:sz="0" w:space="0" w:color="auto"/>
      </w:divBdr>
    </w:div>
    <w:div w:id="599139363">
      <w:bodyDiv w:val="1"/>
      <w:marLeft w:val="0"/>
      <w:marRight w:val="0"/>
      <w:marTop w:val="0"/>
      <w:marBottom w:val="0"/>
      <w:divBdr>
        <w:top w:val="none" w:sz="0" w:space="0" w:color="auto"/>
        <w:left w:val="none" w:sz="0" w:space="0" w:color="auto"/>
        <w:bottom w:val="none" w:sz="0" w:space="0" w:color="auto"/>
        <w:right w:val="none" w:sz="0" w:space="0" w:color="auto"/>
      </w:divBdr>
    </w:div>
    <w:div w:id="669142483">
      <w:bodyDiv w:val="1"/>
      <w:marLeft w:val="0"/>
      <w:marRight w:val="0"/>
      <w:marTop w:val="0"/>
      <w:marBottom w:val="0"/>
      <w:divBdr>
        <w:top w:val="none" w:sz="0" w:space="0" w:color="auto"/>
        <w:left w:val="none" w:sz="0" w:space="0" w:color="auto"/>
        <w:bottom w:val="none" w:sz="0" w:space="0" w:color="auto"/>
        <w:right w:val="none" w:sz="0" w:space="0" w:color="auto"/>
      </w:divBdr>
    </w:div>
    <w:div w:id="734669358">
      <w:bodyDiv w:val="1"/>
      <w:marLeft w:val="0"/>
      <w:marRight w:val="0"/>
      <w:marTop w:val="0"/>
      <w:marBottom w:val="0"/>
      <w:divBdr>
        <w:top w:val="none" w:sz="0" w:space="0" w:color="auto"/>
        <w:left w:val="none" w:sz="0" w:space="0" w:color="auto"/>
        <w:bottom w:val="none" w:sz="0" w:space="0" w:color="auto"/>
        <w:right w:val="none" w:sz="0" w:space="0" w:color="auto"/>
      </w:divBdr>
    </w:div>
    <w:div w:id="810637154">
      <w:bodyDiv w:val="1"/>
      <w:marLeft w:val="0"/>
      <w:marRight w:val="0"/>
      <w:marTop w:val="0"/>
      <w:marBottom w:val="0"/>
      <w:divBdr>
        <w:top w:val="none" w:sz="0" w:space="0" w:color="auto"/>
        <w:left w:val="none" w:sz="0" w:space="0" w:color="auto"/>
        <w:bottom w:val="none" w:sz="0" w:space="0" w:color="auto"/>
        <w:right w:val="none" w:sz="0" w:space="0" w:color="auto"/>
      </w:divBdr>
    </w:div>
    <w:div w:id="819807153">
      <w:bodyDiv w:val="1"/>
      <w:marLeft w:val="0"/>
      <w:marRight w:val="0"/>
      <w:marTop w:val="0"/>
      <w:marBottom w:val="0"/>
      <w:divBdr>
        <w:top w:val="none" w:sz="0" w:space="0" w:color="auto"/>
        <w:left w:val="none" w:sz="0" w:space="0" w:color="auto"/>
        <w:bottom w:val="none" w:sz="0" w:space="0" w:color="auto"/>
        <w:right w:val="none" w:sz="0" w:space="0" w:color="auto"/>
      </w:divBdr>
    </w:div>
    <w:div w:id="937174316">
      <w:bodyDiv w:val="1"/>
      <w:marLeft w:val="0"/>
      <w:marRight w:val="0"/>
      <w:marTop w:val="0"/>
      <w:marBottom w:val="0"/>
      <w:divBdr>
        <w:top w:val="none" w:sz="0" w:space="0" w:color="auto"/>
        <w:left w:val="none" w:sz="0" w:space="0" w:color="auto"/>
        <w:bottom w:val="none" w:sz="0" w:space="0" w:color="auto"/>
        <w:right w:val="none" w:sz="0" w:space="0" w:color="auto"/>
      </w:divBdr>
    </w:div>
    <w:div w:id="1074007556">
      <w:marLeft w:val="0"/>
      <w:marRight w:val="0"/>
      <w:marTop w:val="0"/>
      <w:marBottom w:val="0"/>
      <w:divBdr>
        <w:top w:val="none" w:sz="0" w:space="0" w:color="auto"/>
        <w:left w:val="none" w:sz="0" w:space="0" w:color="auto"/>
        <w:bottom w:val="none" w:sz="0" w:space="0" w:color="auto"/>
        <w:right w:val="none" w:sz="0" w:space="0" w:color="auto"/>
      </w:divBdr>
    </w:div>
    <w:div w:id="1074007557">
      <w:marLeft w:val="0"/>
      <w:marRight w:val="0"/>
      <w:marTop w:val="0"/>
      <w:marBottom w:val="0"/>
      <w:divBdr>
        <w:top w:val="none" w:sz="0" w:space="0" w:color="auto"/>
        <w:left w:val="none" w:sz="0" w:space="0" w:color="auto"/>
        <w:bottom w:val="none" w:sz="0" w:space="0" w:color="auto"/>
        <w:right w:val="none" w:sz="0" w:space="0" w:color="auto"/>
      </w:divBdr>
    </w:div>
    <w:div w:id="1074007559">
      <w:marLeft w:val="0"/>
      <w:marRight w:val="0"/>
      <w:marTop w:val="0"/>
      <w:marBottom w:val="0"/>
      <w:divBdr>
        <w:top w:val="none" w:sz="0" w:space="0" w:color="auto"/>
        <w:left w:val="none" w:sz="0" w:space="0" w:color="auto"/>
        <w:bottom w:val="none" w:sz="0" w:space="0" w:color="auto"/>
        <w:right w:val="none" w:sz="0" w:space="0" w:color="auto"/>
      </w:divBdr>
    </w:div>
    <w:div w:id="1074007561">
      <w:marLeft w:val="0"/>
      <w:marRight w:val="0"/>
      <w:marTop w:val="0"/>
      <w:marBottom w:val="0"/>
      <w:divBdr>
        <w:top w:val="none" w:sz="0" w:space="0" w:color="auto"/>
        <w:left w:val="none" w:sz="0" w:space="0" w:color="auto"/>
        <w:bottom w:val="none" w:sz="0" w:space="0" w:color="auto"/>
        <w:right w:val="none" w:sz="0" w:space="0" w:color="auto"/>
      </w:divBdr>
    </w:div>
    <w:div w:id="1074007562">
      <w:marLeft w:val="0"/>
      <w:marRight w:val="0"/>
      <w:marTop w:val="0"/>
      <w:marBottom w:val="0"/>
      <w:divBdr>
        <w:top w:val="none" w:sz="0" w:space="0" w:color="auto"/>
        <w:left w:val="none" w:sz="0" w:space="0" w:color="auto"/>
        <w:bottom w:val="none" w:sz="0" w:space="0" w:color="auto"/>
        <w:right w:val="none" w:sz="0" w:space="0" w:color="auto"/>
      </w:divBdr>
    </w:div>
    <w:div w:id="1074007563">
      <w:marLeft w:val="0"/>
      <w:marRight w:val="0"/>
      <w:marTop w:val="0"/>
      <w:marBottom w:val="0"/>
      <w:divBdr>
        <w:top w:val="none" w:sz="0" w:space="0" w:color="auto"/>
        <w:left w:val="none" w:sz="0" w:space="0" w:color="auto"/>
        <w:bottom w:val="none" w:sz="0" w:space="0" w:color="auto"/>
        <w:right w:val="none" w:sz="0" w:space="0" w:color="auto"/>
      </w:divBdr>
    </w:div>
    <w:div w:id="1074007565">
      <w:marLeft w:val="0"/>
      <w:marRight w:val="0"/>
      <w:marTop w:val="0"/>
      <w:marBottom w:val="0"/>
      <w:divBdr>
        <w:top w:val="none" w:sz="0" w:space="0" w:color="auto"/>
        <w:left w:val="none" w:sz="0" w:space="0" w:color="auto"/>
        <w:bottom w:val="none" w:sz="0" w:space="0" w:color="auto"/>
        <w:right w:val="none" w:sz="0" w:space="0" w:color="auto"/>
      </w:divBdr>
    </w:div>
    <w:div w:id="1074007566">
      <w:marLeft w:val="0"/>
      <w:marRight w:val="0"/>
      <w:marTop w:val="0"/>
      <w:marBottom w:val="0"/>
      <w:divBdr>
        <w:top w:val="none" w:sz="0" w:space="0" w:color="auto"/>
        <w:left w:val="none" w:sz="0" w:space="0" w:color="auto"/>
        <w:bottom w:val="none" w:sz="0" w:space="0" w:color="auto"/>
        <w:right w:val="none" w:sz="0" w:space="0" w:color="auto"/>
      </w:divBdr>
    </w:div>
    <w:div w:id="1074007567">
      <w:marLeft w:val="0"/>
      <w:marRight w:val="0"/>
      <w:marTop w:val="0"/>
      <w:marBottom w:val="0"/>
      <w:divBdr>
        <w:top w:val="none" w:sz="0" w:space="0" w:color="auto"/>
        <w:left w:val="none" w:sz="0" w:space="0" w:color="auto"/>
        <w:bottom w:val="none" w:sz="0" w:space="0" w:color="auto"/>
        <w:right w:val="none" w:sz="0" w:space="0" w:color="auto"/>
      </w:divBdr>
    </w:div>
    <w:div w:id="1074007569">
      <w:marLeft w:val="0"/>
      <w:marRight w:val="0"/>
      <w:marTop w:val="0"/>
      <w:marBottom w:val="0"/>
      <w:divBdr>
        <w:top w:val="none" w:sz="0" w:space="0" w:color="auto"/>
        <w:left w:val="none" w:sz="0" w:space="0" w:color="auto"/>
        <w:bottom w:val="none" w:sz="0" w:space="0" w:color="auto"/>
        <w:right w:val="none" w:sz="0" w:space="0" w:color="auto"/>
      </w:divBdr>
    </w:div>
    <w:div w:id="1074007571">
      <w:marLeft w:val="0"/>
      <w:marRight w:val="0"/>
      <w:marTop w:val="0"/>
      <w:marBottom w:val="0"/>
      <w:divBdr>
        <w:top w:val="none" w:sz="0" w:space="0" w:color="auto"/>
        <w:left w:val="none" w:sz="0" w:space="0" w:color="auto"/>
        <w:bottom w:val="none" w:sz="0" w:space="0" w:color="auto"/>
        <w:right w:val="none" w:sz="0" w:space="0" w:color="auto"/>
      </w:divBdr>
    </w:div>
    <w:div w:id="1074007574">
      <w:marLeft w:val="0"/>
      <w:marRight w:val="0"/>
      <w:marTop w:val="0"/>
      <w:marBottom w:val="0"/>
      <w:divBdr>
        <w:top w:val="none" w:sz="0" w:space="0" w:color="auto"/>
        <w:left w:val="none" w:sz="0" w:space="0" w:color="auto"/>
        <w:bottom w:val="none" w:sz="0" w:space="0" w:color="auto"/>
        <w:right w:val="none" w:sz="0" w:space="0" w:color="auto"/>
      </w:divBdr>
      <w:divsChild>
        <w:div w:id="1074007555">
          <w:marLeft w:val="0"/>
          <w:marRight w:val="0"/>
          <w:marTop w:val="0"/>
          <w:marBottom w:val="0"/>
          <w:divBdr>
            <w:top w:val="none" w:sz="0" w:space="0" w:color="auto"/>
            <w:left w:val="none" w:sz="0" w:space="0" w:color="auto"/>
            <w:bottom w:val="none" w:sz="0" w:space="0" w:color="auto"/>
            <w:right w:val="none" w:sz="0" w:space="0" w:color="auto"/>
          </w:divBdr>
          <w:divsChild>
            <w:div w:id="1074007554">
              <w:marLeft w:val="0"/>
              <w:marRight w:val="0"/>
              <w:marTop w:val="0"/>
              <w:marBottom w:val="0"/>
              <w:divBdr>
                <w:top w:val="none" w:sz="0" w:space="0" w:color="auto"/>
                <w:left w:val="none" w:sz="0" w:space="0" w:color="auto"/>
                <w:bottom w:val="none" w:sz="0" w:space="0" w:color="auto"/>
                <w:right w:val="none" w:sz="0" w:space="0" w:color="auto"/>
              </w:divBdr>
            </w:div>
            <w:div w:id="1074007564">
              <w:marLeft w:val="0"/>
              <w:marRight w:val="0"/>
              <w:marTop w:val="0"/>
              <w:marBottom w:val="0"/>
              <w:divBdr>
                <w:top w:val="none" w:sz="0" w:space="0" w:color="auto"/>
                <w:left w:val="none" w:sz="0" w:space="0" w:color="auto"/>
                <w:bottom w:val="none" w:sz="0" w:space="0" w:color="auto"/>
                <w:right w:val="none" w:sz="0" w:space="0" w:color="auto"/>
              </w:divBdr>
            </w:div>
            <w:div w:id="1074007579">
              <w:marLeft w:val="0"/>
              <w:marRight w:val="0"/>
              <w:marTop w:val="0"/>
              <w:marBottom w:val="0"/>
              <w:divBdr>
                <w:top w:val="none" w:sz="0" w:space="0" w:color="auto"/>
                <w:left w:val="none" w:sz="0" w:space="0" w:color="auto"/>
                <w:bottom w:val="none" w:sz="0" w:space="0" w:color="auto"/>
                <w:right w:val="none" w:sz="0" w:space="0" w:color="auto"/>
              </w:divBdr>
            </w:div>
            <w:div w:id="1074007589">
              <w:marLeft w:val="0"/>
              <w:marRight w:val="0"/>
              <w:marTop w:val="0"/>
              <w:marBottom w:val="0"/>
              <w:divBdr>
                <w:top w:val="none" w:sz="0" w:space="0" w:color="auto"/>
                <w:left w:val="none" w:sz="0" w:space="0" w:color="auto"/>
                <w:bottom w:val="none" w:sz="0" w:space="0" w:color="auto"/>
                <w:right w:val="none" w:sz="0" w:space="0" w:color="auto"/>
              </w:divBdr>
            </w:div>
            <w:div w:id="1074007593">
              <w:marLeft w:val="0"/>
              <w:marRight w:val="0"/>
              <w:marTop w:val="0"/>
              <w:marBottom w:val="0"/>
              <w:divBdr>
                <w:top w:val="none" w:sz="0" w:space="0" w:color="auto"/>
                <w:left w:val="none" w:sz="0" w:space="0" w:color="auto"/>
                <w:bottom w:val="none" w:sz="0" w:space="0" w:color="auto"/>
                <w:right w:val="none" w:sz="0" w:space="0" w:color="auto"/>
              </w:divBdr>
            </w:div>
            <w:div w:id="1074007603">
              <w:marLeft w:val="0"/>
              <w:marRight w:val="0"/>
              <w:marTop w:val="0"/>
              <w:marBottom w:val="0"/>
              <w:divBdr>
                <w:top w:val="none" w:sz="0" w:space="0" w:color="auto"/>
                <w:left w:val="none" w:sz="0" w:space="0" w:color="auto"/>
                <w:bottom w:val="none" w:sz="0" w:space="0" w:color="auto"/>
                <w:right w:val="none" w:sz="0" w:space="0" w:color="auto"/>
              </w:divBdr>
            </w:div>
            <w:div w:id="1074007614">
              <w:marLeft w:val="0"/>
              <w:marRight w:val="0"/>
              <w:marTop w:val="0"/>
              <w:marBottom w:val="0"/>
              <w:divBdr>
                <w:top w:val="none" w:sz="0" w:space="0" w:color="auto"/>
                <w:left w:val="none" w:sz="0" w:space="0" w:color="auto"/>
                <w:bottom w:val="none" w:sz="0" w:space="0" w:color="auto"/>
                <w:right w:val="none" w:sz="0" w:space="0" w:color="auto"/>
              </w:divBdr>
            </w:div>
            <w:div w:id="1074007615">
              <w:marLeft w:val="0"/>
              <w:marRight w:val="0"/>
              <w:marTop w:val="0"/>
              <w:marBottom w:val="0"/>
              <w:divBdr>
                <w:top w:val="none" w:sz="0" w:space="0" w:color="auto"/>
                <w:left w:val="none" w:sz="0" w:space="0" w:color="auto"/>
                <w:bottom w:val="none" w:sz="0" w:space="0" w:color="auto"/>
                <w:right w:val="none" w:sz="0" w:space="0" w:color="auto"/>
              </w:divBdr>
            </w:div>
            <w:div w:id="1074007617">
              <w:marLeft w:val="0"/>
              <w:marRight w:val="0"/>
              <w:marTop w:val="0"/>
              <w:marBottom w:val="0"/>
              <w:divBdr>
                <w:top w:val="none" w:sz="0" w:space="0" w:color="auto"/>
                <w:left w:val="none" w:sz="0" w:space="0" w:color="auto"/>
                <w:bottom w:val="none" w:sz="0" w:space="0" w:color="auto"/>
                <w:right w:val="none" w:sz="0" w:space="0" w:color="auto"/>
              </w:divBdr>
            </w:div>
            <w:div w:id="1074007619">
              <w:marLeft w:val="0"/>
              <w:marRight w:val="0"/>
              <w:marTop w:val="0"/>
              <w:marBottom w:val="0"/>
              <w:divBdr>
                <w:top w:val="none" w:sz="0" w:space="0" w:color="auto"/>
                <w:left w:val="none" w:sz="0" w:space="0" w:color="auto"/>
                <w:bottom w:val="none" w:sz="0" w:space="0" w:color="auto"/>
                <w:right w:val="none" w:sz="0" w:space="0" w:color="auto"/>
              </w:divBdr>
            </w:div>
            <w:div w:id="10740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575">
      <w:marLeft w:val="0"/>
      <w:marRight w:val="0"/>
      <w:marTop w:val="0"/>
      <w:marBottom w:val="0"/>
      <w:divBdr>
        <w:top w:val="none" w:sz="0" w:space="0" w:color="auto"/>
        <w:left w:val="none" w:sz="0" w:space="0" w:color="auto"/>
        <w:bottom w:val="none" w:sz="0" w:space="0" w:color="auto"/>
        <w:right w:val="none" w:sz="0" w:space="0" w:color="auto"/>
      </w:divBdr>
    </w:div>
    <w:div w:id="1074007576">
      <w:marLeft w:val="0"/>
      <w:marRight w:val="0"/>
      <w:marTop w:val="0"/>
      <w:marBottom w:val="0"/>
      <w:divBdr>
        <w:top w:val="none" w:sz="0" w:space="0" w:color="auto"/>
        <w:left w:val="none" w:sz="0" w:space="0" w:color="auto"/>
        <w:bottom w:val="none" w:sz="0" w:space="0" w:color="auto"/>
        <w:right w:val="none" w:sz="0" w:space="0" w:color="auto"/>
      </w:divBdr>
    </w:div>
    <w:div w:id="1074007577">
      <w:marLeft w:val="0"/>
      <w:marRight w:val="0"/>
      <w:marTop w:val="0"/>
      <w:marBottom w:val="0"/>
      <w:divBdr>
        <w:top w:val="none" w:sz="0" w:space="0" w:color="auto"/>
        <w:left w:val="none" w:sz="0" w:space="0" w:color="auto"/>
        <w:bottom w:val="none" w:sz="0" w:space="0" w:color="auto"/>
        <w:right w:val="none" w:sz="0" w:space="0" w:color="auto"/>
      </w:divBdr>
    </w:div>
    <w:div w:id="1074007580">
      <w:marLeft w:val="0"/>
      <w:marRight w:val="0"/>
      <w:marTop w:val="0"/>
      <w:marBottom w:val="0"/>
      <w:divBdr>
        <w:top w:val="none" w:sz="0" w:space="0" w:color="auto"/>
        <w:left w:val="none" w:sz="0" w:space="0" w:color="auto"/>
        <w:bottom w:val="none" w:sz="0" w:space="0" w:color="auto"/>
        <w:right w:val="none" w:sz="0" w:space="0" w:color="auto"/>
      </w:divBdr>
    </w:div>
    <w:div w:id="1074007582">
      <w:marLeft w:val="0"/>
      <w:marRight w:val="0"/>
      <w:marTop w:val="0"/>
      <w:marBottom w:val="0"/>
      <w:divBdr>
        <w:top w:val="none" w:sz="0" w:space="0" w:color="auto"/>
        <w:left w:val="none" w:sz="0" w:space="0" w:color="auto"/>
        <w:bottom w:val="none" w:sz="0" w:space="0" w:color="auto"/>
        <w:right w:val="none" w:sz="0" w:space="0" w:color="auto"/>
      </w:divBdr>
    </w:div>
    <w:div w:id="1074007583">
      <w:marLeft w:val="0"/>
      <w:marRight w:val="0"/>
      <w:marTop w:val="0"/>
      <w:marBottom w:val="0"/>
      <w:divBdr>
        <w:top w:val="none" w:sz="0" w:space="0" w:color="auto"/>
        <w:left w:val="none" w:sz="0" w:space="0" w:color="auto"/>
        <w:bottom w:val="none" w:sz="0" w:space="0" w:color="auto"/>
        <w:right w:val="none" w:sz="0" w:space="0" w:color="auto"/>
      </w:divBdr>
    </w:div>
    <w:div w:id="1074007584">
      <w:marLeft w:val="0"/>
      <w:marRight w:val="0"/>
      <w:marTop w:val="0"/>
      <w:marBottom w:val="0"/>
      <w:divBdr>
        <w:top w:val="none" w:sz="0" w:space="0" w:color="auto"/>
        <w:left w:val="none" w:sz="0" w:space="0" w:color="auto"/>
        <w:bottom w:val="none" w:sz="0" w:space="0" w:color="auto"/>
        <w:right w:val="none" w:sz="0" w:space="0" w:color="auto"/>
      </w:divBdr>
    </w:div>
    <w:div w:id="1074007585">
      <w:marLeft w:val="0"/>
      <w:marRight w:val="0"/>
      <w:marTop w:val="0"/>
      <w:marBottom w:val="0"/>
      <w:divBdr>
        <w:top w:val="none" w:sz="0" w:space="0" w:color="auto"/>
        <w:left w:val="none" w:sz="0" w:space="0" w:color="auto"/>
        <w:bottom w:val="none" w:sz="0" w:space="0" w:color="auto"/>
        <w:right w:val="none" w:sz="0" w:space="0" w:color="auto"/>
      </w:divBdr>
      <w:divsChild>
        <w:div w:id="1074007600">
          <w:marLeft w:val="0"/>
          <w:marRight w:val="0"/>
          <w:marTop w:val="0"/>
          <w:marBottom w:val="0"/>
          <w:divBdr>
            <w:top w:val="none" w:sz="0" w:space="0" w:color="auto"/>
            <w:left w:val="none" w:sz="0" w:space="0" w:color="auto"/>
            <w:bottom w:val="none" w:sz="0" w:space="0" w:color="auto"/>
            <w:right w:val="none" w:sz="0" w:space="0" w:color="auto"/>
          </w:divBdr>
          <w:divsChild>
            <w:div w:id="1074007570">
              <w:marLeft w:val="0"/>
              <w:marRight w:val="0"/>
              <w:marTop w:val="0"/>
              <w:marBottom w:val="0"/>
              <w:divBdr>
                <w:top w:val="none" w:sz="0" w:space="0" w:color="auto"/>
                <w:left w:val="none" w:sz="0" w:space="0" w:color="auto"/>
                <w:bottom w:val="none" w:sz="0" w:space="0" w:color="auto"/>
                <w:right w:val="none" w:sz="0" w:space="0" w:color="auto"/>
              </w:divBdr>
            </w:div>
            <w:div w:id="10740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587">
      <w:marLeft w:val="0"/>
      <w:marRight w:val="0"/>
      <w:marTop w:val="0"/>
      <w:marBottom w:val="0"/>
      <w:divBdr>
        <w:top w:val="none" w:sz="0" w:space="0" w:color="auto"/>
        <w:left w:val="none" w:sz="0" w:space="0" w:color="auto"/>
        <w:bottom w:val="none" w:sz="0" w:space="0" w:color="auto"/>
        <w:right w:val="none" w:sz="0" w:space="0" w:color="auto"/>
      </w:divBdr>
    </w:div>
    <w:div w:id="1074007588">
      <w:marLeft w:val="0"/>
      <w:marRight w:val="0"/>
      <w:marTop w:val="0"/>
      <w:marBottom w:val="0"/>
      <w:divBdr>
        <w:top w:val="none" w:sz="0" w:space="0" w:color="auto"/>
        <w:left w:val="none" w:sz="0" w:space="0" w:color="auto"/>
        <w:bottom w:val="none" w:sz="0" w:space="0" w:color="auto"/>
        <w:right w:val="none" w:sz="0" w:space="0" w:color="auto"/>
      </w:divBdr>
    </w:div>
    <w:div w:id="1074007590">
      <w:marLeft w:val="0"/>
      <w:marRight w:val="0"/>
      <w:marTop w:val="0"/>
      <w:marBottom w:val="0"/>
      <w:divBdr>
        <w:top w:val="none" w:sz="0" w:space="0" w:color="auto"/>
        <w:left w:val="none" w:sz="0" w:space="0" w:color="auto"/>
        <w:bottom w:val="none" w:sz="0" w:space="0" w:color="auto"/>
        <w:right w:val="none" w:sz="0" w:space="0" w:color="auto"/>
      </w:divBdr>
    </w:div>
    <w:div w:id="1074007594">
      <w:marLeft w:val="0"/>
      <w:marRight w:val="0"/>
      <w:marTop w:val="0"/>
      <w:marBottom w:val="0"/>
      <w:divBdr>
        <w:top w:val="none" w:sz="0" w:space="0" w:color="auto"/>
        <w:left w:val="none" w:sz="0" w:space="0" w:color="auto"/>
        <w:bottom w:val="none" w:sz="0" w:space="0" w:color="auto"/>
        <w:right w:val="none" w:sz="0" w:space="0" w:color="auto"/>
      </w:divBdr>
    </w:div>
    <w:div w:id="1074007595">
      <w:marLeft w:val="0"/>
      <w:marRight w:val="0"/>
      <w:marTop w:val="0"/>
      <w:marBottom w:val="0"/>
      <w:divBdr>
        <w:top w:val="none" w:sz="0" w:space="0" w:color="auto"/>
        <w:left w:val="none" w:sz="0" w:space="0" w:color="auto"/>
        <w:bottom w:val="none" w:sz="0" w:space="0" w:color="auto"/>
        <w:right w:val="none" w:sz="0" w:space="0" w:color="auto"/>
      </w:divBdr>
    </w:div>
    <w:div w:id="1074007597">
      <w:marLeft w:val="0"/>
      <w:marRight w:val="0"/>
      <w:marTop w:val="0"/>
      <w:marBottom w:val="0"/>
      <w:divBdr>
        <w:top w:val="none" w:sz="0" w:space="0" w:color="auto"/>
        <w:left w:val="none" w:sz="0" w:space="0" w:color="auto"/>
        <w:bottom w:val="none" w:sz="0" w:space="0" w:color="auto"/>
        <w:right w:val="none" w:sz="0" w:space="0" w:color="auto"/>
      </w:divBdr>
    </w:div>
    <w:div w:id="1074007598">
      <w:marLeft w:val="0"/>
      <w:marRight w:val="0"/>
      <w:marTop w:val="0"/>
      <w:marBottom w:val="0"/>
      <w:divBdr>
        <w:top w:val="none" w:sz="0" w:space="0" w:color="auto"/>
        <w:left w:val="none" w:sz="0" w:space="0" w:color="auto"/>
        <w:bottom w:val="none" w:sz="0" w:space="0" w:color="auto"/>
        <w:right w:val="none" w:sz="0" w:space="0" w:color="auto"/>
      </w:divBdr>
    </w:div>
    <w:div w:id="1074007599">
      <w:marLeft w:val="0"/>
      <w:marRight w:val="0"/>
      <w:marTop w:val="0"/>
      <w:marBottom w:val="0"/>
      <w:divBdr>
        <w:top w:val="none" w:sz="0" w:space="0" w:color="auto"/>
        <w:left w:val="none" w:sz="0" w:space="0" w:color="auto"/>
        <w:bottom w:val="none" w:sz="0" w:space="0" w:color="auto"/>
        <w:right w:val="none" w:sz="0" w:space="0" w:color="auto"/>
      </w:divBdr>
    </w:div>
    <w:div w:id="1074007601">
      <w:marLeft w:val="0"/>
      <w:marRight w:val="0"/>
      <w:marTop w:val="0"/>
      <w:marBottom w:val="0"/>
      <w:divBdr>
        <w:top w:val="none" w:sz="0" w:space="0" w:color="auto"/>
        <w:left w:val="none" w:sz="0" w:space="0" w:color="auto"/>
        <w:bottom w:val="none" w:sz="0" w:space="0" w:color="auto"/>
        <w:right w:val="none" w:sz="0" w:space="0" w:color="auto"/>
      </w:divBdr>
    </w:div>
    <w:div w:id="1074007602">
      <w:marLeft w:val="0"/>
      <w:marRight w:val="0"/>
      <w:marTop w:val="0"/>
      <w:marBottom w:val="0"/>
      <w:divBdr>
        <w:top w:val="none" w:sz="0" w:space="0" w:color="auto"/>
        <w:left w:val="none" w:sz="0" w:space="0" w:color="auto"/>
        <w:bottom w:val="none" w:sz="0" w:space="0" w:color="auto"/>
        <w:right w:val="none" w:sz="0" w:space="0" w:color="auto"/>
      </w:divBdr>
    </w:div>
    <w:div w:id="1074007605">
      <w:marLeft w:val="0"/>
      <w:marRight w:val="0"/>
      <w:marTop w:val="0"/>
      <w:marBottom w:val="0"/>
      <w:divBdr>
        <w:top w:val="none" w:sz="0" w:space="0" w:color="auto"/>
        <w:left w:val="none" w:sz="0" w:space="0" w:color="auto"/>
        <w:bottom w:val="none" w:sz="0" w:space="0" w:color="auto"/>
        <w:right w:val="none" w:sz="0" w:space="0" w:color="auto"/>
      </w:divBdr>
      <w:divsChild>
        <w:div w:id="1074007627">
          <w:marLeft w:val="0"/>
          <w:marRight w:val="0"/>
          <w:marTop w:val="0"/>
          <w:marBottom w:val="0"/>
          <w:divBdr>
            <w:top w:val="none" w:sz="0" w:space="0" w:color="auto"/>
            <w:left w:val="none" w:sz="0" w:space="0" w:color="auto"/>
            <w:bottom w:val="none" w:sz="0" w:space="0" w:color="auto"/>
            <w:right w:val="none" w:sz="0" w:space="0" w:color="auto"/>
          </w:divBdr>
          <w:divsChild>
            <w:div w:id="10740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606">
      <w:marLeft w:val="0"/>
      <w:marRight w:val="0"/>
      <w:marTop w:val="0"/>
      <w:marBottom w:val="0"/>
      <w:divBdr>
        <w:top w:val="none" w:sz="0" w:space="0" w:color="auto"/>
        <w:left w:val="none" w:sz="0" w:space="0" w:color="auto"/>
        <w:bottom w:val="none" w:sz="0" w:space="0" w:color="auto"/>
        <w:right w:val="none" w:sz="0" w:space="0" w:color="auto"/>
      </w:divBdr>
    </w:div>
    <w:div w:id="1074007607">
      <w:marLeft w:val="0"/>
      <w:marRight w:val="0"/>
      <w:marTop w:val="0"/>
      <w:marBottom w:val="0"/>
      <w:divBdr>
        <w:top w:val="none" w:sz="0" w:space="0" w:color="auto"/>
        <w:left w:val="none" w:sz="0" w:space="0" w:color="auto"/>
        <w:bottom w:val="none" w:sz="0" w:space="0" w:color="auto"/>
        <w:right w:val="none" w:sz="0" w:space="0" w:color="auto"/>
      </w:divBdr>
    </w:div>
    <w:div w:id="1074007608">
      <w:marLeft w:val="0"/>
      <w:marRight w:val="0"/>
      <w:marTop w:val="0"/>
      <w:marBottom w:val="0"/>
      <w:divBdr>
        <w:top w:val="none" w:sz="0" w:space="0" w:color="auto"/>
        <w:left w:val="none" w:sz="0" w:space="0" w:color="auto"/>
        <w:bottom w:val="none" w:sz="0" w:space="0" w:color="auto"/>
        <w:right w:val="none" w:sz="0" w:space="0" w:color="auto"/>
      </w:divBdr>
    </w:div>
    <w:div w:id="1074007609">
      <w:marLeft w:val="0"/>
      <w:marRight w:val="0"/>
      <w:marTop w:val="0"/>
      <w:marBottom w:val="0"/>
      <w:divBdr>
        <w:top w:val="none" w:sz="0" w:space="0" w:color="auto"/>
        <w:left w:val="none" w:sz="0" w:space="0" w:color="auto"/>
        <w:bottom w:val="none" w:sz="0" w:space="0" w:color="auto"/>
        <w:right w:val="none" w:sz="0" w:space="0" w:color="auto"/>
      </w:divBdr>
    </w:div>
    <w:div w:id="1074007611">
      <w:marLeft w:val="0"/>
      <w:marRight w:val="0"/>
      <w:marTop w:val="0"/>
      <w:marBottom w:val="0"/>
      <w:divBdr>
        <w:top w:val="none" w:sz="0" w:space="0" w:color="auto"/>
        <w:left w:val="none" w:sz="0" w:space="0" w:color="auto"/>
        <w:bottom w:val="none" w:sz="0" w:space="0" w:color="auto"/>
        <w:right w:val="none" w:sz="0" w:space="0" w:color="auto"/>
      </w:divBdr>
      <w:divsChild>
        <w:div w:id="1074007586">
          <w:marLeft w:val="0"/>
          <w:marRight w:val="0"/>
          <w:marTop w:val="0"/>
          <w:marBottom w:val="0"/>
          <w:divBdr>
            <w:top w:val="none" w:sz="0" w:space="0" w:color="auto"/>
            <w:left w:val="none" w:sz="0" w:space="0" w:color="auto"/>
            <w:bottom w:val="none" w:sz="0" w:space="0" w:color="auto"/>
            <w:right w:val="none" w:sz="0" w:space="0" w:color="auto"/>
          </w:divBdr>
          <w:divsChild>
            <w:div w:id="1074007568">
              <w:marLeft w:val="0"/>
              <w:marRight w:val="0"/>
              <w:marTop w:val="0"/>
              <w:marBottom w:val="0"/>
              <w:divBdr>
                <w:top w:val="none" w:sz="0" w:space="0" w:color="auto"/>
                <w:left w:val="none" w:sz="0" w:space="0" w:color="auto"/>
                <w:bottom w:val="none" w:sz="0" w:space="0" w:color="auto"/>
                <w:right w:val="none" w:sz="0" w:space="0" w:color="auto"/>
              </w:divBdr>
            </w:div>
            <w:div w:id="1074007596">
              <w:marLeft w:val="0"/>
              <w:marRight w:val="0"/>
              <w:marTop w:val="0"/>
              <w:marBottom w:val="0"/>
              <w:divBdr>
                <w:top w:val="none" w:sz="0" w:space="0" w:color="auto"/>
                <w:left w:val="none" w:sz="0" w:space="0" w:color="auto"/>
                <w:bottom w:val="none" w:sz="0" w:space="0" w:color="auto"/>
                <w:right w:val="none" w:sz="0" w:space="0" w:color="auto"/>
              </w:divBdr>
            </w:div>
            <w:div w:id="1074007604">
              <w:marLeft w:val="0"/>
              <w:marRight w:val="0"/>
              <w:marTop w:val="0"/>
              <w:marBottom w:val="0"/>
              <w:divBdr>
                <w:top w:val="none" w:sz="0" w:space="0" w:color="auto"/>
                <w:left w:val="none" w:sz="0" w:space="0" w:color="auto"/>
                <w:bottom w:val="none" w:sz="0" w:space="0" w:color="auto"/>
                <w:right w:val="none" w:sz="0" w:space="0" w:color="auto"/>
              </w:divBdr>
            </w:div>
            <w:div w:id="1074007610">
              <w:marLeft w:val="0"/>
              <w:marRight w:val="0"/>
              <w:marTop w:val="0"/>
              <w:marBottom w:val="0"/>
              <w:divBdr>
                <w:top w:val="none" w:sz="0" w:space="0" w:color="auto"/>
                <w:left w:val="none" w:sz="0" w:space="0" w:color="auto"/>
                <w:bottom w:val="none" w:sz="0" w:space="0" w:color="auto"/>
                <w:right w:val="none" w:sz="0" w:space="0" w:color="auto"/>
              </w:divBdr>
            </w:div>
            <w:div w:id="1074007620">
              <w:marLeft w:val="0"/>
              <w:marRight w:val="0"/>
              <w:marTop w:val="0"/>
              <w:marBottom w:val="0"/>
              <w:divBdr>
                <w:top w:val="none" w:sz="0" w:space="0" w:color="auto"/>
                <w:left w:val="none" w:sz="0" w:space="0" w:color="auto"/>
                <w:bottom w:val="none" w:sz="0" w:space="0" w:color="auto"/>
                <w:right w:val="none" w:sz="0" w:space="0" w:color="auto"/>
              </w:divBdr>
            </w:div>
            <w:div w:id="1074007624">
              <w:marLeft w:val="0"/>
              <w:marRight w:val="0"/>
              <w:marTop w:val="0"/>
              <w:marBottom w:val="0"/>
              <w:divBdr>
                <w:top w:val="none" w:sz="0" w:space="0" w:color="auto"/>
                <w:left w:val="none" w:sz="0" w:space="0" w:color="auto"/>
                <w:bottom w:val="none" w:sz="0" w:space="0" w:color="auto"/>
                <w:right w:val="none" w:sz="0" w:space="0" w:color="auto"/>
              </w:divBdr>
            </w:div>
            <w:div w:id="10740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612">
      <w:marLeft w:val="0"/>
      <w:marRight w:val="0"/>
      <w:marTop w:val="0"/>
      <w:marBottom w:val="0"/>
      <w:divBdr>
        <w:top w:val="none" w:sz="0" w:space="0" w:color="auto"/>
        <w:left w:val="none" w:sz="0" w:space="0" w:color="auto"/>
        <w:bottom w:val="none" w:sz="0" w:space="0" w:color="auto"/>
        <w:right w:val="none" w:sz="0" w:space="0" w:color="auto"/>
      </w:divBdr>
    </w:div>
    <w:div w:id="1074007613">
      <w:marLeft w:val="0"/>
      <w:marRight w:val="0"/>
      <w:marTop w:val="0"/>
      <w:marBottom w:val="0"/>
      <w:divBdr>
        <w:top w:val="none" w:sz="0" w:space="0" w:color="auto"/>
        <w:left w:val="none" w:sz="0" w:space="0" w:color="auto"/>
        <w:bottom w:val="none" w:sz="0" w:space="0" w:color="auto"/>
        <w:right w:val="none" w:sz="0" w:space="0" w:color="auto"/>
      </w:divBdr>
    </w:div>
    <w:div w:id="1074007616">
      <w:marLeft w:val="0"/>
      <w:marRight w:val="0"/>
      <w:marTop w:val="0"/>
      <w:marBottom w:val="0"/>
      <w:divBdr>
        <w:top w:val="none" w:sz="0" w:space="0" w:color="auto"/>
        <w:left w:val="none" w:sz="0" w:space="0" w:color="auto"/>
        <w:bottom w:val="none" w:sz="0" w:space="0" w:color="auto"/>
        <w:right w:val="none" w:sz="0" w:space="0" w:color="auto"/>
      </w:divBdr>
    </w:div>
    <w:div w:id="1074007618">
      <w:marLeft w:val="0"/>
      <w:marRight w:val="0"/>
      <w:marTop w:val="0"/>
      <w:marBottom w:val="0"/>
      <w:divBdr>
        <w:top w:val="none" w:sz="0" w:space="0" w:color="auto"/>
        <w:left w:val="none" w:sz="0" w:space="0" w:color="auto"/>
        <w:bottom w:val="none" w:sz="0" w:space="0" w:color="auto"/>
        <w:right w:val="none" w:sz="0" w:space="0" w:color="auto"/>
      </w:divBdr>
    </w:div>
    <w:div w:id="1074007621">
      <w:marLeft w:val="0"/>
      <w:marRight w:val="0"/>
      <w:marTop w:val="0"/>
      <w:marBottom w:val="0"/>
      <w:divBdr>
        <w:top w:val="none" w:sz="0" w:space="0" w:color="auto"/>
        <w:left w:val="none" w:sz="0" w:space="0" w:color="auto"/>
        <w:bottom w:val="none" w:sz="0" w:space="0" w:color="auto"/>
        <w:right w:val="none" w:sz="0" w:space="0" w:color="auto"/>
      </w:divBdr>
    </w:div>
    <w:div w:id="1074007622">
      <w:marLeft w:val="0"/>
      <w:marRight w:val="0"/>
      <w:marTop w:val="0"/>
      <w:marBottom w:val="0"/>
      <w:divBdr>
        <w:top w:val="none" w:sz="0" w:space="0" w:color="auto"/>
        <w:left w:val="none" w:sz="0" w:space="0" w:color="auto"/>
        <w:bottom w:val="none" w:sz="0" w:space="0" w:color="auto"/>
        <w:right w:val="none" w:sz="0" w:space="0" w:color="auto"/>
      </w:divBdr>
    </w:div>
    <w:div w:id="1074007628">
      <w:marLeft w:val="0"/>
      <w:marRight w:val="0"/>
      <w:marTop w:val="0"/>
      <w:marBottom w:val="0"/>
      <w:divBdr>
        <w:top w:val="none" w:sz="0" w:space="0" w:color="auto"/>
        <w:left w:val="none" w:sz="0" w:space="0" w:color="auto"/>
        <w:bottom w:val="none" w:sz="0" w:space="0" w:color="auto"/>
        <w:right w:val="none" w:sz="0" w:space="0" w:color="auto"/>
      </w:divBdr>
    </w:div>
    <w:div w:id="1074007629">
      <w:marLeft w:val="0"/>
      <w:marRight w:val="0"/>
      <w:marTop w:val="0"/>
      <w:marBottom w:val="0"/>
      <w:divBdr>
        <w:top w:val="none" w:sz="0" w:space="0" w:color="auto"/>
        <w:left w:val="none" w:sz="0" w:space="0" w:color="auto"/>
        <w:bottom w:val="none" w:sz="0" w:space="0" w:color="auto"/>
        <w:right w:val="none" w:sz="0" w:space="0" w:color="auto"/>
      </w:divBdr>
    </w:div>
    <w:div w:id="1074007630">
      <w:marLeft w:val="0"/>
      <w:marRight w:val="0"/>
      <w:marTop w:val="0"/>
      <w:marBottom w:val="0"/>
      <w:divBdr>
        <w:top w:val="none" w:sz="0" w:space="0" w:color="auto"/>
        <w:left w:val="none" w:sz="0" w:space="0" w:color="auto"/>
        <w:bottom w:val="none" w:sz="0" w:space="0" w:color="auto"/>
        <w:right w:val="none" w:sz="0" w:space="0" w:color="auto"/>
      </w:divBdr>
      <w:divsChild>
        <w:div w:id="1074007626">
          <w:marLeft w:val="0"/>
          <w:marRight w:val="0"/>
          <w:marTop w:val="0"/>
          <w:marBottom w:val="0"/>
          <w:divBdr>
            <w:top w:val="none" w:sz="0" w:space="0" w:color="auto"/>
            <w:left w:val="none" w:sz="0" w:space="0" w:color="auto"/>
            <w:bottom w:val="none" w:sz="0" w:space="0" w:color="auto"/>
            <w:right w:val="none" w:sz="0" w:space="0" w:color="auto"/>
          </w:divBdr>
          <w:divsChild>
            <w:div w:id="1074007558">
              <w:marLeft w:val="0"/>
              <w:marRight w:val="0"/>
              <w:marTop w:val="0"/>
              <w:marBottom w:val="0"/>
              <w:divBdr>
                <w:top w:val="none" w:sz="0" w:space="0" w:color="auto"/>
                <w:left w:val="none" w:sz="0" w:space="0" w:color="auto"/>
                <w:bottom w:val="none" w:sz="0" w:space="0" w:color="auto"/>
                <w:right w:val="none" w:sz="0" w:space="0" w:color="auto"/>
              </w:divBdr>
            </w:div>
            <w:div w:id="1074007560">
              <w:marLeft w:val="0"/>
              <w:marRight w:val="0"/>
              <w:marTop w:val="0"/>
              <w:marBottom w:val="0"/>
              <w:divBdr>
                <w:top w:val="none" w:sz="0" w:space="0" w:color="auto"/>
                <w:left w:val="none" w:sz="0" w:space="0" w:color="auto"/>
                <w:bottom w:val="none" w:sz="0" w:space="0" w:color="auto"/>
                <w:right w:val="none" w:sz="0" w:space="0" w:color="auto"/>
              </w:divBdr>
            </w:div>
            <w:div w:id="1074007572">
              <w:marLeft w:val="0"/>
              <w:marRight w:val="0"/>
              <w:marTop w:val="0"/>
              <w:marBottom w:val="0"/>
              <w:divBdr>
                <w:top w:val="none" w:sz="0" w:space="0" w:color="auto"/>
                <w:left w:val="none" w:sz="0" w:space="0" w:color="auto"/>
                <w:bottom w:val="none" w:sz="0" w:space="0" w:color="auto"/>
                <w:right w:val="none" w:sz="0" w:space="0" w:color="auto"/>
              </w:divBdr>
            </w:div>
            <w:div w:id="1074007578">
              <w:marLeft w:val="0"/>
              <w:marRight w:val="0"/>
              <w:marTop w:val="0"/>
              <w:marBottom w:val="0"/>
              <w:divBdr>
                <w:top w:val="none" w:sz="0" w:space="0" w:color="auto"/>
                <w:left w:val="none" w:sz="0" w:space="0" w:color="auto"/>
                <w:bottom w:val="none" w:sz="0" w:space="0" w:color="auto"/>
                <w:right w:val="none" w:sz="0" w:space="0" w:color="auto"/>
              </w:divBdr>
            </w:div>
            <w:div w:id="1074007581">
              <w:marLeft w:val="0"/>
              <w:marRight w:val="0"/>
              <w:marTop w:val="0"/>
              <w:marBottom w:val="0"/>
              <w:divBdr>
                <w:top w:val="none" w:sz="0" w:space="0" w:color="auto"/>
                <w:left w:val="none" w:sz="0" w:space="0" w:color="auto"/>
                <w:bottom w:val="none" w:sz="0" w:space="0" w:color="auto"/>
                <w:right w:val="none" w:sz="0" w:space="0" w:color="auto"/>
              </w:divBdr>
            </w:div>
            <w:div w:id="1074007591">
              <w:marLeft w:val="0"/>
              <w:marRight w:val="0"/>
              <w:marTop w:val="0"/>
              <w:marBottom w:val="0"/>
              <w:divBdr>
                <w:top w:val="none" w:sz="0" w:space="0" w:color="auto"/>
                <w:left w:val="none" w:sz="0" w:space="0" w:color="auto"/>
                <w:bottom w:val="none" w:sz="0" w:space="0" w:color="auto"/>
                <w:right w:val="none" w:sz="0" w:space="0" w:color="auto"/>
              </w:divBdr>
            </w:div>
            <w:div w:id="10740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631">
      <w:marLeft w:val="0"/>
      <w:marRight w:val="0"/>
      <w:marTop w:val="0"/>
      <w:marBottom w:val="0"/>
      <w:divBdr>
        <w:top w:val="none" w:sz="0" w:space="0" w:color="auto"/>
        <w:left w:val="none" w:sz="0" w:space="0" w:color="auto"/>
        <w:bottom w:val="none" w:sz="0" w:space="0" w:color="auto"/>
        <w:right w:val="none" w:sz="0" w:space="0" w:color="auto"/>
      </w:divBdr>
    </w:div>
    <w:div w:id="1129278521">
      <w:bodyDiv w:val="1"/>
      <w:marLeft w:val="0"/>
      <w:marRight w:val="0"/>
      <w:marTop w:val="0"/>
      <w:marBottom w:val="0"/>
      <w:divBdr>
        <w:top w:val="none" w:sz="0" w:space="0" w:color="auto"/>
        <w:left w:val="none" w:sz="0" w:space="0" w:color="auto"/>
        <w:bottom w:val="none" w:sz="0" w:space="0" w:color="auto"/>
        <w:right w:val="none" w:sz="0" w:space="0" w:color="auto"/>
      </w:divBdr>
    </w:div>
    <w:div w:id="1137184684">
      <w:bodyDiv w:val="1"/>
      <w:marLeft w:val="0"/>
      <w:marRight w:val="0"/>
      <w:marTop w:val="0"/>
      <w:marBottom w:val="0"/>
      <w:divBdr>
        <w:top w:val="none" w:sz="0" w:space="0" w:color="auto"/>
        <w:left w:val="none" w:sz="0" w:space="0" w:color="auto"/>
        <w:bottom w:val="none" w:sz="0" w:space="0" w:color="auto"/>
        <w:right w:val="none" w:sz="0" w:space="0" w:color="auto"/>
      </w:divBdr>
    </w:div>
    <w:div w:id="1190142016">
      <w:bodyDiv w:val="1"/>
      <w:marLeft w:val="0"/>
      <w:marRight w:val="0"/>
      <w:marTop w:val="0"/>
      <w:marBottom w:val="0"/>
      <w:divBdr>
        <w:top w:val="none" w:sz="0" w:space="0" w:color="auto"/>
        <w:left w:val="none" w:sz="0" w:space="0" w:color="auto"/>
        <w:bottom w:val="none" w:sz="0" w:space="0" w:color="auto"/>
        <w:right w:val="none" w:sz="0" w:space="0" w:color="auto"/>
      </w:divBdr>
    </w:div>
    <w:div w:id="1205095531">
      <w:bodyDiv w:val="1"/>
      <w:marLeft w:val="0"/>
      <w:marRight w:val="0"/>
      <w:marTop w:val="0"/>
      <w:marBottom w:val="0"/>
      <w:divBdr>
        <w:top w:val="none" w:sz="0" w:space="0" w:color="auto"/>
        <w:left w:val="none" w:sz="0" w:space="0" w:color="auto"/>
        <w:bottom w:val="none" w:sz="0" w:space="0" w:color="auto"/>
        <w:right w:val="none" w:sz="0" w:space="0" w:color="auto"/>
      </w:divBdr>
    </w:div>
    <w:div w:id="1255700156">
      <w:bodyDiv w:val="1"/>
      <w:marLeft w:val="0"/>
      <w:marRight w:val="0"/>
      <w:marTop w:val="0"/>
      <w:marBottom w:val="0"/>
      <w:divBdr>
        <w:top w:val="none" w:sz="0" w:space="0" w:color="auto"/>
        <w:left w:val="none" w:sz="0" w:space="0" w:color="auto"/>
        <w:bottom w:val="none" w:sz="0" w:space="0" w:color="auto"/>
        <w:right w:val="none" w:sz="0" w:space="0" w:color="auto"/>
      </w:divBdr>
    </w:div>
    <w:div w:id="1258517550">
      <w:bodyDiv w:val="1"/>
      <w:marLeft w:val="0"/>
      <w:marRight w:val="0"/>
      <w:marTop w:val="0"/>
      <w:marBottom w:val="0"/>
      <w:divBdr>
        <w:top w:val="none" w:sz="0" w:space="0" w:color="auto"/>
        <w:left w:val="none" w:sz="0" w:space="0" w:color="auto"/>
        <w:bottom w:val="none" w:sz="0" w:space="0" w:color="auto"/>
        <w:right w:val="none" w:sz="0" w:space="0" w:color="auto"/>
      </w:divBdr>
    </w:div>
    <w:div w:id="1351835737">
      <w:bodyDiv w:val="1"/>
      <w:marLeft w:val="0"/>
      <w:marRight w:val="0"/>
      <w:marTop w:val="0"/>
      <w:marBottom w:val="0"/>
      <w:divBdr>
        <w:top w:val="none" w:sz="0" w:space="0" w:color="auto"/>
        <w:left w:val="none" w:sz="0" w:space="0" w:color="auto"/>
        <w:bottom w:val="none" w:sz="0" w:space="0" w:color="auto"/>
        <w:right w:val="none" w:sz="0" w:space="0" w:color="auto"/>
      </w:divBdr>
    </w:div>
    <w:div w:id="1361589546">
      <w:bodyDiv w:val="1"/>
      <w:marLeft w:val="0"/>
      <w:marRight w:val="0"/>
      <w:marTop w:val="0"/>
      <w:marBottom w:val="0"/>
      <w:divBdr>
        <w:top w:val="none" w:sz="0" w:space="0" w:color="auto"/>
        <w:left w:val="none" w:sz="0" w:space="0" w:color="auto"/>
        <w:bottom w:val="none" w:sz="0" w:space="0" w:color="auto"/>
        <w:right w:val="none" w:sz="0" w:space="0" w:color="auto"/>
      </w:divBdr>
    </w:div>
    <w:div w:id="1363703617">
      <w:bodyDiv w:val="1"/>
      <w:marLeft w:val="0"/>
      <w:marRight w:val="0"/>
      <w:marTop w:val="0"/>
      <w:marBottom w:val="0"/>
      <w:divBdr>
        <w:top w:val="none" w:sz="0" w:space="0" w:color="auto"/>
        <w:left w:val="none" w:sz="0" w:space="0" w:color="auto"/>
        <w:bottom w:val="none" w:sz="0" w:space="0" w:color="auto"/>
        <w:right w:val="none" w:sz="0" w:space="0" w:color="auto"/>
      </w:divBdr>
    </w:div>
    <w:div w:id="1375273855">
      <w:bodyDiv w:val="1"/>
      <w:marLeft w:val="0"/>
      <w:marRight w:val="0"/>
      <w:marTop w:val="0"/>
      <w:marBottom w:val="0"/>
      <w:divBdr>
        <w:top w:val="none" w:sz="0" w:space="0" w:color="auto"/>
        <w:left w:val="none" w:sz="0" w:space="0" w:color="auto"/>
        <w:bottom w:val="none" w:sz="0" w:space="0" w:color="auto"/>
        <w:right w:val="none" w:sz="0" w:space="0" w:color="auto"/>
      </w:divBdr>
    </w:div>
    <w:div w:id="1375470687">
      <w:bodyDiv w:val="1"/>
      <w:marLeft w:val="0"/>
      <w:marRight w:val="0"/>
      <w:marTop w:val="0"/>
      <w:marBottom w:val="0"/>
      <w:divBdr>
        <w:top w:val="none" w:sz="0" w:space="0" w:color="auto"/>
        <w:left w:val="none" w:sz="0" w:space="0" w:color="auto"/>
        <w:bottom w:val="none" w:sz="0" w:space="0" w:color="auto"/>
        <w:right w:val="none" w:sz="0" w:space="0" w:color="auto"/>
      </w:divBdr>
    </w:div>
    <w:div w:id="1380671635">
      <w:bodyDiv w:val="1"/>
      <w:marLeft w:val="0"/>
      <w:marRight w:val="0"/>
      <w:marTop w:val="0"/>
      <w:marBottom w:val="0"/>
      <w:divBdr>
        <w:top w:val="none" w:sz="0" w:space="0" w:color="auto"/>
        <w:left w:val="none" w:sz="0" w:space="0" w:color="auto"/>
        <w:bottom w:val="none" w:sz="0" w:space="0" w:color="auto"/>
        <w:right w:val="none" w:sz="0" w:space="0" w:color="auto"/>
      </w:divBdr>
    </w:div>
    <w:div w:id="1498302934">
      <w:bodyDiv w:val="1"/>
      <w:marLeft w:val="0"/>
      <w:marRight w:val="0"/>
      <w:marTop w:val="0"/>
      <w:marBottom w:val="0"/>
      <w:divBdr>
        <w:top w:val="none" w:sz="0" w:space="0" w:color="auto"/>
        <w:left w:val="none" w:sz="0" w:space="0" w:color="auto"/>
        <w:bottom w:val="none" w:sz="0" w:space="0" w:color="auto"/>
        <w:right w:val="none" w:sz="0" w:space="0" w:color="auto"/>
      </w:divBdr>
    </w:div>
    <w:div w:id="1504776655">
      <w:bodyDiv w:val="1"/>
      <w:marLeft w:val="0"/>
      <w:marRight w:val="0"/>
      <w:marTop w:val="0"/>
      <w:marBottom w:val="0"/>
      <w:divBdr>
        <w:top w:val="none" w:sz="0" w:space="0" w:color="auto"/>
        <w:left w:val="none" w:sz="0" w:space="0" w:color="auto"/>
        <w:bottom w:val="none" w:sz="0" w:space="0" w:color="auto"/>
        <w:right w:val="none" w:sz="0" w:space="0" w:color="auto"/>
      </w:divBdr>
    </w:div>
    <w:div w:id="1521815972">
      <w:bodyDiv w:val="1"/>
      <w:marLeft w:val="0"/>
      <w:marRight w:val="0"/>
      <w:marTop w:val="0"/>
      <w:marBottom w:val="0"/>
      <w:divBdr>
        <w:top w:val="none" w:sz="0" w:space="0" w:color="auto"/>
        <w:left w:val="none" w:sz="0" w:space="0" w:color="auto"/>
        <w:bottom w:val="none" w:sz="0" w:space="0" w:color="auto"/>
        <w:right w:val="none" w:sz="0" w:space="0" w:color="auto"/>
      </w:divBdr>
    </w:div>
    <w:div w:id="1639266636">
      <w:bodyDiv w:val="1"/>
      <w:marLeft w:val="0"/>
      <w:marRight w:val="0"/>
      <w:marTop w:val="0"/>
      <w:marBottom w:val="0"/>
      <w:divBdr>
        <w:top w:val="none" w:sz="0" w:space="0" w:color="auto"/>
        <w:left w:val="none" w:sz="0" w:space="0" w:color="auto"/>
        <w:bottom w:val="none" w:sz="0" w:space="0" w:color="auto"/>
        <w:right w:val="none" w:sz="0" w:space="0" w:color="auto"/>
      </w:divBdr>
    </w:div>
    <w:div w:id="1671062682">
      <w:bodyDiv w:val="1"/>
      <w:marLeft w:val="0"/>
      <w:marRight w:val="0"/>
      <w:marTop w:val="0"/>
      <w:marBottom w:val="0"/>
      <w:divBdr>
        <w:top w:val="none" w:sz="0" w:space="0" w:color="auto"/>
        <w:left w:val="none" w:sz="0" w:space="0" w:color="auto"/>
        <w:bottom w:val="none" w:sz="0" w:space="0" w:color="auto"/>
        <w:right w:val="none" w:sz="0" w:space="0" w:color="auto"/>
      </w:divBdr>
    </w:div>
    <w:div w:id="1701512718">
      <w:bodyDiv w:val="1"/>
      <w:marLeft w:val="0"/>
      <w:marRight w:val="0"/>
      <w:marTop w:val="0"/>
      <w:marBottom w:val="0"/>
      <w:divBdr>
        <w:top w:val="none" w:sz="0" w:space="0" w:color="auto"/>
        <w:left w:val="none" w:sz="0" w:space="0" w:color="auto"/>
        <w:bottom w:val="none" w:sz="0" w:space="0" w:color="auto"/>
        <w:right w:val="none" w:sz="0" w:space="0" w:color="auto"/>
      </w:divBdr>
    </w:div>
    <w:div w:id="1746491881">
      <w:bodyDiv w:val="1"/>
      <w:marLeft w:val="0"/>
      <w:marRight w:val="0"/>
      <w:marTop w:val="0"/>
      <w:marBottom w:val="0"/>
      <w:divBdr>
        <w:top w:val="none" w:sz="0" w:space="0" w:color="auto"/>
        <w:left w:val="none" w:sz="0" w:space="0" w:color="auto"/>
        <w:bottom w:val="none" w:sz="0" w:space="0" w:color="auto"/>
        <w:right w:val="none" w:sz="0" w:space="0" w:color="auto"/>
      </w:divBdr>
    </w:div>
    <w:div w:id="1829056166">
      <w:bodyDiv w:val="1"/>
      <w:marLeft w:val="0"/>
      <w:marRight w:val="0"/>
      <w:marTop w:val="0"/>
      <w:marBottom w:val="0"/>
      <w:divBdr>
        <w:top w:val="none" w:sz="0" w:space="0" w:color="auto"/>
        <w:left w:val="none" w:sz="0" w:space="0" w:color="auto"/>
        <w:bottom w:val="none" w:sz="0" w:space="0" w:color="auto"/>
        <w:right w:val="none" w:sz="0" w:space="0" w:color="auto"/>
      </w:divBdr>
    </w:div>
    <w:div w:id="1838424472">
      <w:bodyDiv w:val="1"/>
      <w:marLeft w:val="0"/>
      <w:marRight w:val="0"/>
      <w:marTop w:val="0"/>
      <w:marBottom w:val="0"/>
      <w:divBdr>
        <w:top w:val="none" w:sz="0" w:space="0" w:color="auto"/>
        <w:left w:val="none" w:sz="0" w:space="0" w:color="auto"/>
        <w:bottom w:val="none" w:sz="0" w:space="0" w:color="auto"/>
        <w:right w:val="none" w:sz="0" w:space="0" w:color="auto"/>
      </w:divBdr>
    </w:div>
    <w:div w:id="1913848011">
      <w:bodyDiv w:val="1"/>
      <w:marLeft w:val="0"/>
      <w:marRight w:val="0"/>
      <w:marTop w:val="0"/>
      <w:marBottom w:val="0"/>
      <w:divBdr>
        <w:top w:val="none" w:sz="0" w:space="0" w:color="auto"/>
        <w:left w:val="none" w:sz="0" w:space="0" w:color="auto"/>
        <w:bottom w:val="none" w:sz="0" w:space="0" w:color="auto"/>
        <w:right w:val="none" w:sz="0" w:space="0" w:color="auto"/>
      </w:divBdr>
    </w:div>
    <w:div w:id="1920020886">
      <w:bodyDiv w:val="1"/>
      <w:marLeft w:val="0"/>
      <w:marRight w:val="0"/>
      <w:marTop w:val="0"/>
      <w:marBottom w:val="0"/>
      <w:divBdr>
        <w:top w:val="none" w:sz="0" w:space="0" w:color="auto"/>
        <w:left w:val="none" w:sz="0" w:space="0" w:color="auto"/>
        <w:bottom w:val="none" w:sz="0" w:space="0" w:color="auto"/>
        <w:right w:val="none" w:sz="0" w:space="0" w:color="auto"/>
      </w:divBdr>
    </w:div>
    <w:div w:id="1934898495">
      <w:bodyDiv w:val="1"/>
      <w:marLeft w:val="0"/>
      <w:marRight w:val="0"/>
      <w:marTop w:val="0"/>
      <w:marBottom w:val="0"/>
      <w:divBdr>
        <w:top w:val="none" w:sz="0" w:space="0" w:color="auto"/>
        <w:left w:val="none" w:sz="0" w:space="0" w:color="auto"/>
        <w:bottom w:val="none" w:sz="0" w:space="0" w:color="auto"/>
        <w:right w:val="none" w:sz="0" w:space="0" w:color="auto"/>
      </w:divBdr>
    </w:div>
    <w:div w:id="1938292794">
      <w:bodyDiv w:val="1"/>
      <w:marLeft w:val="0"/>
      <w:marRight w:val="0"/>
      <w:marTop w:val="0"/>
      <w:marBottom w:val="0"/>
      <w:divBdr>
        <w:top w:val="none" w:sz="0" w:space="0" w:color="auto"/>
        <w:left w:val="none" w:sz="0" w:space="0" w:color="auto"/>
        <w:bottom w:val="none" w:sz="0" w:space="0" w:color="auto"/>
        <w:right w:val="none" w:sz="0" w:space="0" w:color="auto"/>
      </w:divBdr>
    </w:div>
    <w:div w:id="1952201345">
      <w:bodyDiv w:val="1"/>
      <w:marLeft w:val="0"/>
      <w:marRight w:val="0"/>
      <w:marTop w:val="0"/>
      <w:marBottom w:val="0"/>
      <w:divBdr>
        <w:top w:val="none" w:sz="0" w:space="0" w:color="auto"/>
        <w:left w:val="none" w:sz="0" w:space="0" w:color="auto"/>
        <w:bottom w:val="none" w:sz="0" w:space="0" w:color="auto"/>
        <w:right w:val="none" w:sz="0" w:space="0" w:color="auto"/>
      </w:divBdr>
    </w:div>
    <w:div w:id="2050913014">
      <w:bodyDiv w:val="1"/>
      <w:marLeft w:val="0"/>
      <w:marRight w:val="0"/>
      <w:marTop w:val="0"/>
      <w:marBottom w:val="0"/>
      <w:divBdr>
        <w:top w:val="none" w:sz="0" w:space="0" w:color="auto"/>
        <w:left w:val="none" w:sz="0" w:space="0" w:color="auto"/>
        <w:bottom w:val="none" w:sz="0" w:space="0" w:color="auto"/>
        <w:right w:val="none" w:sz="0" w:space="0" w:color="auto"/>
      </w:divBdr>
    </w:div>
    <w:div w:id="206918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pa.gov/air-emissions-inventories/air-emissions-reporting-requirements-aerr" TargetMode="External"/><Relationship Id="rId3" Type="http://schemas.openxmlformats.org/officeDocument/2006/relationships/customXml" Target="../customXml/item3.xml"/><Relationship Id="rId21" Type="http://schemas.openxmlformats.org/officeDocument/2006/relationships/hyperlink" Target="https://www.epa.gov/docket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info.gov/link/fr/83/62998" TargetMode="External"/><Relationship Id="rId2" Type="http://schemas.openxmlformats.org/officeDocument/2006/relationships/customXml" Target="../customXml/item2.xml"/><Relationship Id="rId16" Type="http://schemas.openxmlformats.org/officeDocument/2006/relationships/hyperlink" Target="https://www.govinfo.gov/link/fr/81/81276" TargetMode="Externa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info.gov/link/fr/80/1226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pm.gov/oca/payrates/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link/fr/84/43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713309AF2AADD44927CE3D5FA71DEB0" ma:contentTypeVersion="26" ma:contentTypeDescription="Create a new document." ma:contentTypeScope="" ma:versionID="713468bfe905fa94a6b91774803b6b80">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6d824ec8-eff4-4383-8641-438e48224e8a" xmlns:ns7="e06c7fa4-dfb9-4ed1-9453-59917a54ab84" targetNamespace="http://schemas.microsoft.com/office/2006/metadata/properties" ma:root="true" ma:fieldsID="e0faa2a968f4b4d7b3067287cf6770d1" ns1:_="" ns3:_="" ns4:_="" ns5:_="" ns6:_="" ns7:_="">
    <xsd:import namespace="http://schemas.microsoft.com/sharepoint/v3"/>
    <xsd:import namespace="4ffa91fb-a0ff-4ac5-b2db-65c790d184a4"/>
    <xsd:import namespace="http://schemas.microsoft.com/sharepoint.v3"/>
    <xsd:import namespace="http://schemas.microsoft.com/sharepoint/v3/fields"/>
    <xsd:import namespace="6d824ec8-eff4-4383-8641-438e48224e8a"/>
    <xsd:import namespace="e06c7fa4-dfb9-4ed1-9453-59917a54ab8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ee9076b-1dd2-45d7-a2dc-8683fc5d0f60}" ma:internalName="TaxCatchAllLabel" ma:readOnly="true" ma:showField="CatchAllDataLabel" ma:web="6d824ec8-eff4-4383-8641-438e48224e8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ee9076b-1dd2-45d7-a2dc-8683fc5d0f60}" ma:internalName="TaxCatchAll" ma:showField="CatchAllData" ma:web="6d824ec8-eff4-4383-8641-438e48224e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824ec8-eff4-4383-8641-438e48224e8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06c7fa4-dfb9-4ed1-9453-59917a54ab84"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2020-04-17T17:40:33+00:00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6d824ec8-eff4-4383-8641-438e48224e8a" xsi:nil="true"/>
    <Records_x0020_Status xmlns="6d824ec8-eff4-4383-8641-438e48224e8a">Pending</Records_x0020_Status>
  </documentManagement>
</p:properties>
</file>

<file path=customXml/itemProps1.xml><?xml version="1.0" encoding="utf-8"?>
<ds:datastoreItem xmlns:ds="http://schemas.openxmlformats.org/officeDocument/2006/customXml" ds:itemID="{285B4B72-096D-42CA-96CC-88A66F64BEF2}">
  <ds:schemaRefs>
    <ds:schemaRef ds:uri="http://schemas.microsoft.com/sharepoint/v3/contenttype/forms"/>
  </ds:schemaRefs>
</ds:datastoreItem>
</file>

<file path=customXml/itemProps2.xml><?xml version="1.0" encoding="utf-8"?>
<ds:datastoreItem xmlns:ds="http://schemas.openxmlformats.org/officeDocument/2006/customXml" ds:itemID="{BA42067B-FC4A-4D1C-870A-E3F2E89DDDB4}">
  <ds:schemaRefs>
    <ds:schemaRef ds:uri="http://schemas.openxmlformats.org/officeDocument/2006/bibliography"/>
  </ds:schemaRefs>
</ds:datastoreItem>
</file>

<file path=customXml/itemProps3.xml><?xml version="1.0" encoding="utf-8"?>
<ds:datastoreItem xmlns:ds="http://schemas.openxmlformats.org/officeDocument/2006/customXml" ds:itemID="{087F3715-BD60-4568-AAF1-30F993B030E3}">
  <ds:schemaRefs>
    <ds:schemaRef ds:uri="Microsoft.SharePoint.Taxonomy.ContentTypeSync"/>
  </ds:schemaRefs>
</ds:datastoreItem>
</file>

<file path=customXml/itemProps4.xml><?xml version="1.0" encoding="utf-8"?>
<ds:datastoreItem xmlns:ds="http://schemas.openxmlformats.org/officeDocument/2006/customXml" ds:itemID="{AA366555-D8E0-480B-9B62-E550FC0F7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d824ec8-eff4-4383-8641-438e48224e8a"/>
    <ds:schemaRef ds:uri="e06c7fa4-dfb9-4ed1-9453-59917a54a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66FB51-94E8-41E3-8A41-92BF9CEE40D3}">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06c7fa4-dfb9-4ed1-9453-59917a54ab84"/>
    <ds:schemaRef ds:uri="http://schemas.microsoft.com/sharepoint/v3"/>
    <ds:schemaRef ds:uri="6d824ec8-eff4-4383-8641-438e48224e8a"/>
    <ds:schemaRef ds:uri="http://schemas.microsoft.com/office/2006/documentManagement/types"/>
    <ds:schemaRef ds:uri="http://schemas.microsoft.com/sharepoint/v3/fields"/>
    <ds:schemaRef ds:uri="http://schemas.microsoft.com/sharepoint.v3"/>
    <ds:schemaRef ds:uri="http://purl.org/dc/dcmitype/"/>
    <ds:schemaRef ds:uri="4ffa91fb-a0ff-4ac5-b2db-65c790d184a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10382</Words>
  <Characters>59183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
  <LinksUpToDate>false</LinksUpToDate>
  <CharactersWithSpaces>69427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Janet Hou</dc:creator>
  <cp:keywords/>
  <dc:description/>
  <cp:lastModifiedBy>Salahuddin, Diane</cp:lastModifiedBy>
  <cp:revision>2</cp:revision>
  <cp:lastPrinted>2020-10-21T19:52:00Z</cp:lastPrinted>
  <dcterms:created xsi:type="dcterms:W3CDTF">2021-04-30T14:27:00Z</dcterms:created>
  <dcterms:modified xsi:type="dcterms:W3CDTF">2021-04-30T14:27:00Z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0x010100E713309AF2AADD44927CE3D5FA71DEB0</vt:lpwstr>
  </property>
</Properties>
</file>