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043C32" w:rsidP="00656B4E" w:rsidRDefault="00043C32" w14:paraId="64280E54" w14:textId="77777777">
      <w:pPr>
        <w:pStyle w:val="Heading1"/>
        <w:rPr>
          <w:sz w:val="24"/>
          <w:szCs w:val="24"/>
        </w:rPr>
      </w:pPr>
      <w:r w:rsidRPr="00AD381B">
        <w:rPr>
          <w:sz w:val="24"/>
          <w:szCs w:val="24"/>
        </w:rPr>
        <w:t>SUPPORTING STATEMENT</w:t>
      </w:r>
    </w:p>
    <w:p w:rsidR="00043C32" w:rsidP="00656B4E" w:rsidRDefault="00043C32" w14:paraId="64280E55" w14:textId="0EEBC467">
      <w:pPr>
        <w:pStyle w:val="Heading1"/>
        <w:rPr>
          <w:sz w:val="24"/>
          <w:szCs w:val="24"/>
        </w:rPr>
      </w:pPr>
      <w:r w:rsidRPr="00AD381B">
        <w:rPr>
          <w:sz w:val="24"/>
          <w:szCs w:val="24"/>
        </w:rPr>
        <w:t>FOR PAPERWORK REDUCTION ACT SUBMISSION</w:t>
      </w:r>
    </w:p>
    <w:p w:rsidRPr="00656B4E" w:rsidR="00043C32" w:rsidP="00656B4E" w:rsidRDefault="00656B4E" w14:paraId="64280E56" w14:textId="58F7EC54">
      <w:pPr>
        <w:tabs>
          <w:tab w:val="left" w:pos="0"/>
        </w:tabs>
        <w:suppressAutoHyphens/>
        <w:jc w:val="center"/>
        <w:rPr>
          <w:rFonts w:asciiTheme="minorHAnsi" w:hAnsiTheme="minorHAnsi" w:cstheme="minorHAnsi"/>
          <w:szCs w:val="24"/>
        </w:rPr>
      </w:pPr>
      <w:r w:rsidRPr="00656B4E">
        <w:rPr>
          <w:rFonts w:asciiTheme="minorHAnsi" w:hAnsiTheme="minorHAnsi" w:cstheme="minorHAnsi"/>
          <w:szCs w:val="24"/>
        </w:rPr>
        <w:t>Federal Student Loan Program: Internship/Residency and Loan Debt Burden Forbearance Forms</w:t>
      </w:r>
    </w:p>
    <w:p w:rsidRPr="00AD381B" w:rsidR="00656B4E" w:rsidP="00656B4E" w:rsidRDefault="00656B4E" w14:paraId="3A32386B" w14:textId="77777777">
      <w:pPr>
        <w:tabs>
          <w:tab w:val="left" w:pos="0"/>
        </w:tabs>
        <w:suppressAutoHyphens/>
        <w:rPr>
          <w:rFonts w:ascii="Times New Roman" w:hAnsi="Times New Roman"/>
          <w:szCs w:val="24"/>
        </w:rPr>
      </w:pPr>
    </w:p>
    <w:p w:rsidR="00EA1767" w:rsidP="00656B4E"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656B4E" w:rsidRDefault="005F4E11" w14:paraId="763DBF3F" w14:textId="77777777">
      <w:pPr>
        <w:suppressAutoHyphens/>
        <w:spacing w:line="240" w:lineRule="exact"/>
        <w:ind w:left="720"/>
        <w:rPr>
          <w:rFonts w:ascii="Times New Roman" w:hAnsi="Times New Roman"/>
          <w:bCs/>
          <w:szCs w:val="24"/>
        </w:rPr>
      </w:pPr>
    </w:p>
    <w:p w:rsidR="001C1992" w:rsidP="00656B4E" w:rsidRDefault="001C1992" w14:paraId="67DA5FF9" w14:textId="2A2227A2">
      <w:pPr>
        <w:tabs>
          <w:tab w:val="left" w:pos="0"/>
        </w:tabs>
        <w:suppressAutoHyphens/>
        <w:ind w:left="720"/>
        <w:rPr>
          <w:rFonts w:asciiTheme="minorHAnsi" w:hAnsiTheme="minorHAnsi" w:cstheme="minorHAnsi"/>
          <w:szCs w:val="24"/>
        </w:rPr>
      </w:pPr>
      <w:r w:rsidRPr="001C1992">
        <w:rPr>
          <w:rFonts w:asciiTheme="minorHAnsi" w:hAnsiTheme="minorHAnsi" w:cstheme="minorHAnsi"/>
          <w:szCs w:val="24"/>
        </w:rPr>
        <w:t>Section 455(a)(1) of the Higher Education Act of 1965, as amended (the HEA) provides that unless otherwise specified, loans made under the William D. Ford Federal Direct Loan (Direct Loan) Program are to have the same terms, conditions, and benefits as loans made under the Federal Family Education Loan (FFEL) Program.  The benefits available to borrowers under the FFEL Program include provisions for forbearance based on service in a medical or dental internship or residency program, national guard duty, and having loans repaid under the Department of Defense’s (DOD) Student Loan Repayment Program and federal education loan debt burden (see §428(c)(3) of the HEA and 34 CFR 682.211(h)(1) or 685.205(a)(3), 682.211(h)(2)(iii) or 685.205(a)(7), or 682.211(h)(2)(ii)(B)</w:t>
      </w:r>
      <w:r w:rsidR="008E252B">
        <w:rPr>
          <w:rFonts w:asciiTheme="minorHAnsi" w:hAnsiTheme="minorHAnsi" w:cstheme="minorHAnsi"/>
          <w:szCs w:val="24"/>
        </w:rPr>
        <w:t>)</w:t>
      </w:r>
      <w:r w:rsidRPr="001C1992">
        <w:rPr>
          <w:rFonts w:asciiTheme="minorHAnsi" w:hAnsiTheme="minorHAnsi" w:cstheme="minorHAnsi"/>
          <w:szCs w:val="24"/>
        </w:rPr>
        <w:t>.  In addition, forbearance of repayment based on federal education loan debt burden is available to borrowers from the Federal Perkins Loan (Perkins Loan) Program (see 34 CFR 674.33).</w:t>
      </w:r>
    </w:p>
    <w:p w:rsidRPr="001C1992" w:rsidR="001C1992" w:rsidP="00656B4E" w:rsidRDefault="001C1992" w14:paraId="5395A04D" w14:textId="77777777">
      <w:pPr>
        <w:tabs>
          <w:tab w:val="left" w:pos="0"/>
        </w:tabs>
        <w:suppressAutoHyphens/>
        <w:ind w:left="720"/>
        <w:rPr>
          <w:rFonts w:asciiTheme="minorHAnsi" w:hAnsiTheme="minorHAnsi" w:cstheme="minorHAnsi"/>
          <w:szCs w:val="24"/>
        </w:rPr>
      </w:pPr>
    </w:p>
    <w:p w:rsidR="001C1992" w:rsidP="00656B4E" w:rsidRDefault="001C1992" w14:paraId="3FA0B756" w14:textId="2E339A24">
      <w:pPr>
        <w:tabs>
          <w:tab w:val="left" w:pos="0"/>
        </w:tabs>
        <w:suppressAutoHyphens/>
        <w:ind w:left="720"/>
        <w:rPr>
          <w:rFonts w:asciiTheme="minorHAnsi" w:hAnsiTheme="minorHAnsi" w:cstheme="minorHAnsi"/>
          <w:szCs w:val="24"/>
        </w:rPr>
      </w:pPr>
      <w:r w:rsidRPr="001C1992">
        <w:rPr>
          <w:rFonts w:asciiTheme="minorHAnsi" w:hAnsiTheme="minorHAnsi" w:cstheme="minorHAnsi"/>
          <w:szCs w:val="24"/>
        </w:rPr>
        <w:t xml:space="preserve">The HEA requires borrowers to agree to the terms of internship/residency or loan debt burden forbearances in writing.  In addition, the Direct Loan, FFEL, and Perkins Loan Program regulations require borrowers to provide sufficient documentation to establish that they meet the statutory and regulatory criteria for a forbearance.  The Internship/Residency/National Guard/DOD Repayment Plan Forbearance Request form serves as the means by which Direct Loan and FFEL borrowers fulfill these requirements.  The Loan Debt Burden Forbearance Request form serves as the means by which Direct Loan, FFEL, and Perkins Loan borrowers fulfill these requirements. </w:t>
      </w:r>
    </w:p>
    <w:p w:rsidRPr="001C1992" w:rsidR="001C1992" w:rsidP="00656B4E" w:rsidRDefault="001C1992" w14:paraId="0CAD2DB3" w14:textId="77777777">
      <w:pPr>
        <w:tabs>
          <w:tab w:val="left" w:pos="0"/>
        </w:tabs>
        <w:suppressAutoHyphens/>
        <w:ind w:left="720"/>
        <w:rPr>
          <w:rFonts w:asciiTheme="minorHAnsi" w:hAnsiTheme="minorHAnsi" w:cstheme="minorHAnsi"/>
          <w:szCs w:val="24"/>
        </w:rPr>
      </w:pPr>
    </w:p>
    <w:p w:rsidR="00CE189C" w:rsidP="00CE189C" w:rsidRDefault="001C1992" w14:paraId="5B0695BE" w14:textId="529309D9">
      <w:pPr>
        <w:tabs>
          <w:tab w:val="left" w:pos="-720"/>
        </w:tabs>
        <w:suppressAutoHyphens/>
        <w:ind w:left="720"/>
        <w:rPr>
          <w:rFonts w:asciiTheme="minorHAnsi" w:hAnsiTheme="minorHAnsi" w:cstheme="minorHAnsi"/>
        </w:rPr>
      </w:pPr>
      <w:r w:rsidRPr="001C1992">
        <w:rPr>
          <w:rFonts w:asciiTheme="minorHAnsi" w:hAnsiTheme="minorHAnsi" w:cstheme="minorHAnsi"/>
          <w:szCs w:val="24"/>
        </w:rPr>
        <w:t xml:space="preserve">The Department is requesting </w:t>
      </w:r>
      <w:r w:rsidR="008E252B">
        <w:rPr>
          <w:rFonts w:asciiTheme="minorHAnsi" w:hAnsiTheme="minorHAnsi" w:cstheme="minorHAnsi"/>
          <w:szCs w:val="24"/>
        </w:rPr>
        <w:t>an extension</w:t>
      </w:r>
      <w:r w:rsidRPr="001C1992">
        <w:rPr>
          <w:rFonts w:asciiTheme="minorHAnsi" w:hAnsiTheme="minorHAnsi" w:cstheme="minorHAnsi"/>
          <w:szCs w:val="24"/>
        </w:rPr>
        <w:t xml:space="preserve"> of the currently approved collection.  We are </w:t>
      </w:r>
      <w:r w:rsidR="008E252B">
        <w:rPr>
          <w:rFonts w:asciiTheme="minorHAnsi" w:hAnsiTheme="minorHAnsi" w:cstheme="minorHAnsi"/>
          <w:szCs w:val="24"/>
        </w:rPr>
        <w:t xml:space="preserve">maintaining the </w:t>
      </w:r>
      <w:r w:rsidRPr="001C1992">
        <w:rPr>
          <w:rFonts w:asciiTheme="minorHAnsi" w:hAnsiTheme="minorHAnsi" w:cstheme="minorHAnsi"/>
          <w:szCs w:val="24"/>
        </w:rPr>
        <w:t>simplif</w:t>
      </w:r>
      <w:r w:rsidR="008E252B">
        <w:rPr>
          <w:rFonts w:asciiTheme="minorHAnsi" w:hAnsiTheme="minorHAnsi" w:cstheme="minorHAnsi"/>
          <w:szCs w:val="24"/>
        </w:rPr>
        <w:t>ied</w:t>
      </w:r>
      <w:r w:rsidRPr="001C1992">
        <w:rPr>
          <w:rFonts w:asciiTheme="minorHAnsi" w:hAnsiTheme="minorHAnsi" w:cstheme="minorHAnsi"/>
          <w:szCs w:val="24"/>
        </w:rPr>
        <w:t xml:space="preserve"> and streamlin</w:t>
      </w:r>
      <w:r w:rsidR="008E252B">
        <w:rPr>
          <w:rFonts w:asciiTheme="minorHAnsi" w:hAnsiTheme="minorHAnsi" w:cstheme="minorHAnsi"/>
          <w:szCs w:val="24"/>
        </w:rPr>
        <w:t>ed</w:t>
      </w:r>
      <w:r w:rsidRPr="001C1992">
        <w:rPr>
          <w:rFonts w:asciiTheme="minorHAnsi" w:hAnsiTheme="minorHAnsi" w:cstheme="minorHAnsi"/>
          <w:szCs w:val="24"/>
        </w:rPr>
        <w:t xml:space="preserve"> forms</w:t>
      </w:r>
      <w:r w:rsidR="008E252B">
        <w:rPr>
          <w:rFonts w:asciiTheme="minorHAnsi" w:hAnsiTheme="minorHAnsi" w:cstheme="minorHAnsi"/>
          <w:szCs w:val="24"/>
        </w:rPr>
        <w:t>.</w:t>
      </w:r>
      <w:r w:rsidRPr="001C1992">
        <w:rPr>
          <w:rFonts w:asciiTheme="minorHAnsi" w:hAnsiTheme="minorHAnsi" w:cstheme="minorHAnsi"/>
          <w:szCs w:val="24"/>
        </w:rPr>
        <w:t xml:space="preserve">  </w:t>
      </w:r>
      <w:r w:rsidR="008E252B">
        <w:rPr>
          <w:rFonts w:asciiTheme="minorHAnsi" w:hAnsiTheme="minorHAnsi" w:cstheme="minorHAnsi"/>
          <w:szCs w:val="24"/>
        </w:rPr>
        <w:t>There is no change to the statutory or regulatory language or requirements.</w:t>
      </w:r>
      <w:r w:rsidR="00CE189C">
        <w:rPr>
          <w:rFonts w:asciiTheme="minorHAnsi" w:hAnsiTheme="minorHAnsi" w:cstheme="minorHAnsi"/>
          <w:szCs w:val="24"/>
        </w:rPr>
        <w:t xml:space="preserve">  Public comments were received during the 60 day comment requestion period.  </w:t>
      </w:r>
      <w:r w:rsidR="00CE189C">
        <w:rPr>
          <w:rFonts w:asciiTheme="minorHAnsi" w:hAnsiTheme="minorHAnsi" w:cstheme="minorHAnsi"/>
        </w:rPr>
        <w:t xml:space="preserve">Based on some of these comments there have been revisions to the forms.  There is no change to the burden estimates  based on these changes. </w:t>
      </w:r>
    </w:p>
    <w:p w:rsidRPr="001C7D58" w:rsidR="00AD381B" w:rsidP="001C7D58" w:rsidRDefault="00AD381B" w14:paraId="64280E59" w14:textId="77777777">
      <w:pPr>
        <w:suppressAutoHyphens/>
        <w:spacing w:line="240" w:lineRule="exact"/>
        <w:rPr>
          <w:rFonts w:ascii="Times New Roman" w:hAnsi="Times New Roman"/>
          <w:szCs w:val="24"/>
        </w:rPr>
      </w:pPr>
    </w:p>
    <w:p w:rsidR="00AD381B" w:rsidP="00656B4E"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656B4E" w:rsidRDefault="00AD381B" w14:paraId="64280E5B" w14:textId="6D06EA58">
      <w:pPr>
        <w:suppressAutoHyphens/>
        <w:spacing w:line="240" w:lineRule="exact"/>
        <w:ind w:left="720"/>
        <w:rPr>
          <w:rFonts w:ascii="Times New Roman" w:hAnsi="Times New Roman"/>
          <w:szCs w:val="24"/>
        </w:rPr>
      </w:pPr>
    </w:p>
    <w:p w:rsidRPr="001C1992" w:rsidR="001C1992" w:rsidP="00656B4E" w:rsidRDefault="001C1992" w14:paraId="7E51E02F" w14:textId="5FCE34FC">
      <w:pPr>
        <w:tabs>
          <w:tab w:val="left" w:pos="-720"/>
        </w:tabs>
        <w:suppressAutoHyphens/>
        <w:ind w:left="720"/>
        <w:rPr>
          <w:rFonts w:asciiTheme="minorHAnsi" w:hAnsiTheme="minorHAnsi" w:cstheme="minorHAnsi"/>
          <w:bCs/>
          <w:snapToGrid w:val="0"/>
        </w:rPr>
      </w:pPr>
      <w:r w:rsidRPr="001C1992">
        <w:rPr>
          <w:rFonts w:asciiTheme="minorHAnsi" w:hAnsiTheme="minorHAnsi" w:cstheme="minorHAnsi"/>
          <w:bCs/>
          <w:snapToGrid w:val="0"/>
        </w:rPr>
        <w:lastRenderedPageBreak/>
        <w:t xml:space="preserve">The Department, FFEL Program lenders and servicers, and Perkins Loan Program institutions and servicers will use the information on the approved </w:t>
      </w:r>
      <w:r w:rsidRPr="001C1992">
        <w:rPr>
          <w:rFonts w:asciiTheme="minorHAnsi" w:hAnsiTheme="minorHAnsi" w:cstheme="minorHAnsi"/>
          <w:snapToGrid w:val="0"/>
        </w:rPr>
        <w:t xml:space="preserve">Internship/Residency, National Guard Duty, or DOD Student Loan Repayment Program Forbearance Request form and Loan Debt Burden Forbearance Request </w:t>
      </w:r>
      <w:r w:rsidRPr="001C1992">
        <w:rPr>
          <w:rFonts w:asciiTheme="minorHAnsi" w:hAnsiTheme="minorHAnsi" w:cstheme="minorHAnsi"/>
          <w:bCs/>
          <w:snapToGrid w:val="0"/>
        </w:rPr>
        <w:t>form to determine that a Direct Loan, FFEL, or Perkins Loan borrower is eligible for forbearance based on service in a medical or dental internship or residency program, national guard duty, or participation in the Department of Defense Student Loan Repayment Program or based on federal education loan debt burden.  The collection of information on the forms in this clearance package continues to be necessary and will be used for the same purpose.  If the Department, FFEL Program lenders and servicers, and Perkins Loan Program institutions and servicers did not collect this information, a Direct Loan, FFEL, or Perkins Loan Program borrower would not be able to request and agree to the terms of the forbearances</w:t>
      </w:r>
      <w:r w:rsidR="008E252B">
        <w:rPr>
          <w:rFonts w:asciiTheme="minorHAnsi" w:hAnsiTheme="minorHAnsi" w:cstheme="minorHAnsi"/>
          <w:bCs/>
          <w:snapToGrid w:val="0"/>
        </w:rPr>
        <w:t xml:space="preserve"> or access statutory relief</w:t>
      </w:r>
      <w:r w:rsidRPr="001C1992">
        <w:rPr>
          <w:rFonts w:asciiTheme="minorHAnsi" w:hAnsiTheme="minorHAnsi" w:cstheme="minorHAnsi"/>
          <w:bCs/>
          <w:snapToGrid w:val="0"/>
        </w:rPr>
        <w:t>.</w:t>
      </w:r>
    </w:p>
    <w:p w:rsidRPr="00AD381B" w:rsidR="00043C32" w:rsidP="00656B4E" w:rsidRDefault="00043C32" w14:paraId="64280E5C" w14:textId="77777777">
      <w:pPr>
        <w:suppressAutoHyphens/>
        <w:spacing w:line="240" w:lineRule="exact"/>
        <w:ind w:left="720"/>
        <w:rPr>
          <w:rFonts w:ascii="Times New Roman" w:hAnsi="Times New Roman"/>
          <w:szCs w:val="24"/>
        </w:rPr>
      </w:pPr>
    </w:p>
    <w:p w:rsidRPr="00AD381B" w:rsidR="00043C32" w:rsidP="00656B4E"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656B4E" w:rsidRDefault="00AD381B" w14:paraId="64280E5E" w14:textId="77777777">
      <w:pPr>
        <w:pStyle w:val="ListParagraph"/>
        <w:tabs>
          <w:tab w:val="left" w:pos="-720"/>
        </w:tabs>
        <w:suppressAutoHyphens/>
        <w:contextualSpacing w:val="0"/>
        <w:rPr>
          <w:rFonts w:ascii="Times New Roman" w:hAnsi="Times New Roman"/>
          <w:szCs w:val="24"/>
        </w:rPr>
      </w:pPr>
    </w:p>
    <w:p w:rsidRPr="001C1992" w:rsidR="001C1992" w:rsidP="00656B4E" w:rsidRDefault="001C1992" w14:paraId="14FCB0AB" w14:textId="77777777">
      <w:pPr>
        <w:widowControl w:val="0"/>
        <w:ind w:left="720"/>
        <w:rPr>
          <w:rFonts w:asciiTheme="minorHAnsi" w:hAnsiTheme="minorHAnsi" w:cstheme="minorHAnsi"/>
          <w:snapToGrid w:val="0"/>
        </w:rPr>
      </w:pPr>
      <w:r w:rsidRPr="001C1992">
        <w:rPr>
          <w:rFonts w:asciiTheme="minorHAnsi" w:hAnsiTheme="minorHAnsi" w:cstheme="minorHAnsi"/>
          <w:snapToGrid w:val="0"/>
        </w:rPr>
        <w:t>This collection of information does not involve the use of technological processes such as electronic submission of requests.  The Department continues to examine the extent to which automated or technological collection techniques are feasible.</w:t>
      </w:r>
    </w:p>
    <w:p w:rsidR="005F4E11" w:rsidP="00656B4E" w:rsidRDefault="005F4E11" w14:paraId="50B84318" w14:textId="77777777">
      <w:pPr>
        <w:pStyle w:val="ListParagraph"/>
        <w:tabs>
          <w:tab w:val="left" w:pos="-720"/>
        </w:tabs>
        <w:suppressAutoHyphens/>
        <w:contextualSpacing w:val="0"/>
        <w:rPr>
          <w:rFonts w:ascii="Times New Roman" w:hAnsi="Times New Roman"/>
          <w:szCs w:val="24"/>
        </w:rPr>
      </w:pPr>
    </w:p>
    <w:p w:rsidR="00AD381B" w:rsidP="00656B4E"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656B4E" w:rsidRDefault="00246FE9" w14:paraId="64280E61" w14:textId="3E50282B">
      <w:pPr>
        <w:pStyle w:val="ListParagraph"/>
        <w:tabs>
          <w:tab w:val="left" w:pos="-720"/>
        </w:tabs>
        <w:suppressAutoHyphens/>
        <w:contextualSpacing w:val="0"/>
        <w:rPr>
          <w:rFonts w:ascii="Times New Roman" w:hAnsi="Times New Roman"/>
          <w:b/>
          <w:szCs w:val="24"/>
        </w:rPr>
      </w:pPr>
    </w:p>
    <w:p w:rsidRPr="001C1992" w:rsidR="001C1992" w:rsidP="00656B4E" w:rsidRDefault="001C1992" w14:paraId="277A38ED" w14:textId="77777777">
      <w:pPr>
        <w:widowControl w:val="0"/>
        <w:ind w:left="720"/>
        <w:rPr>
          <w:rFonts w:asciiTheme="minorHAnsi" w:hAnsiTheme="minorHAnsi" w:cstheme="minorHAnsi"/>
          <w:snapToGrid w:val="0"/>
        </w:rPr>
      </w:pPr>
      <w:r w:rsidRPr="001C1992">
        <w:rPr>
          <w:rFonts w:asciiTheme="minorHAnsi" w:hAnsiTheme="minorHAnsi" w:cstheme="minorHAnsi"/>
          <w:snapToGrid w:val="0"/>
        </w:rPr>
        <w:t xml:space="preserve">There is no information already available from other sources that can be used to establish a borrower’s eligibility for forbearance. </w:t>
      </w:r>
    </w:p>
    <w:p w:rsidRPr="005F4E11" w:rsidR="001C1992" w:rsidP="00656B4E" w:rsidRDefault="001C1992" w14:paraId="24F2DC2D" w14:textId="77777777">
      <w:pPr>
        <w:pStyle w:val="ListParagraph"/>
        <w:tabs>
          <w:tab w:val="left" w:pos="-720"/>
        </w:tabs>
        <w:suppressAutoHyphens/>
        <w:contextualSpacing w:val="0"/>
        <w:rPr>
          <w:rFonts w:asciiTheme="minorHAnsi" w:hAnsiTheme="minorHAnsi" w:cstheme="minorHAnsi"/>
          <w:bCs/>
          <w:szCs w:val="24"/>
        </w:rPr>
      </w:pPr>
    </w:p>
    <w:p w:rsidRPr="005F4E11" w:rsidR="00043C32" w:rsidP="00656B4E" w:rsidRDefault="00043C32"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656B4E" w:rsidRDefault="00AD381B" w14:paraId="64280E63" w14:textId="77777777">
      <w:pPr>
        <w:pStyle w:val="ListParagraph"/>
        <w:contextualSpacing w:val="0"/>
        <w:rPr>
          <w:rFonts w:ascii="Times New Roman" w:hAnsi="Times New Roman"/>
          <w:szCs w:val="24"/>
        </w:rPr>
      </w:pPr>
    </w:p>
    <w:p w:rsidR="001C1992" w:rsidP="00656B4E" w:rsidRDefault="001C1992" w14:paraId="2356F725" w14:textId="04D39313">
      <w:pPr>
        <w:pStyle w:val="ListParagraph"/>
        <w:tabs>
          <w:tab w:val="left" w:pos="0"/>
        </w:tabs>
        <w:suppressAutoHyphens/>
        <w:rPr>
          <w:rFonts w:asciiTheme="minorHAnsi" w:hAnsiTheme="minorHAnsi" w:cstheme="minorHAnsi"/>
        </w:rPr>
      </w:pPr>
      <w:r w:rsidRPr="001C1992">
        <w:rPr>
          <w:rFonts w:asciiTheme="minorHAnsi" w:hAnsiTheme="minorHAnsi" w:cstheme="minorHAnsi"/>
        </w:rPr>
        <w:t xml:space="preserve">No small businesses are affected by this information collection. </w:t>
      </w:r>
    </w:p>
    <w:p w:rsidRPr="001C1992" w:rsidR="008E252B" w:rsidP="00656B4E" w:rsidRDefault="008E252B" w14:paraId="43BDE61E" w14:textId="77777777">
      <w:pPr>
        <w:pStyle w:val="ListParagraph"/>
        <w:tabs>
          <w:tab w:val="left" w:pos="0"/>
        </w:tabs>
        <w:suppressAutoHyphens/>
        <w:rPr>
          <w:rFonts w:asciiTheme="minorHAnsi" w:hAnsiTheme="minorHAnsi" w:cstheme="minorHAnsi"/>
        </w:rPr>
      </w:pPr>
    </w:p>
    <w:p w:rsidR="00043C32" w:rsidP="00656B4E"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rsidRPr="005F4E11" w:rsidR="005F4E11" w:rsidP="00656B4E" w:rsidRDefault="005F4E11" w14:paraId="3424297C" w14:textId="6A8F3E9A">
      <w:pPr>
        <w:tabs>
          <w:tab w:val="left" w:pos="-720"/>
        </w:tabs>
        <w:suppressAutoHyphens/>
        <w:ind w:left="720"/>
        <w:rPr>
          <w:rFonts w:ascii="Times New Roman" w:hAnsi="Times New Roman"/>
          <w:bCs/>
          <w:szCs w:val="24"/>
        </w:rPr>
      </w:pPr>
    </w:p>
    <w:p w:rsidRPr="001C1992" w:rsidR="001C1992" w:rsidP="00656B4E" w:rsidRDefault="001C1992" w14:paraId="6B151FFB" w14:textId="77777777">
      <w:pPr>
        <w:widowControl w:val="0"/>
        <w:ind w:left="720"/>
        <w:rPr>
          <w:rFonts w:asciiTheme="minorHAnsi" w:hAnsiTheme="minorHAnsi" w:cstheme="minorHAnsi"/>
          <w:snapToGrid w:val="0"/>
        </w:rPr>
      </w:pPr>
      <w:r w:rsidRPr="001C1992">
        <w:rPr>
          <w:rFonts w:asciiTheme="minorHAnsi" w:hAnsiTheme="minorHAnsi" w:cstheme="minorHAnsi"/>
          <w:snapToGrid w:val="0"/>
        </w:rPr>
        <w:t xml:space="preserve">The frequency with which a borrower must request a forbearance is determined in accordance with statutory and regulatory requirements that are explained on each forbearance request form.  Less frequent data collection would not allow loan holders to process borrower requests for forbearance. </w:t>
      </w:r>
    </w:p>
    <w:p w:rsidRPr="005F4E11" w:rsidR="005F4E11" w:rsidP="00656B4E" w:rsidRDefault="005F4E11" w14:paraId="51872AEE" w14:textId="77777777">
      <w:pPr>
        <w:tabs>
          <w:tab w:val="left" w:pos="-720"/>
        </w:tabs>
        <w:suppressAutoHyphens/>
        <w:ind w:left="720"/>
        <w:rPr>
          <w:rFonts w:ascii="Times New Roman" w:hAnsi="Times New Roman"/>
          <w:bCs/>
          <w:szCs w:val="24"/>
        </w:rPr>
      </w:pPr>
    </w:p>
    <w:p w:rsidRPr="00AD381B" w:rsidR="00043C32" w:rsidP="00656B4E"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656B4E"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656B4E"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656B4E"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656B4E"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656B4E"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656B4E"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656B4E"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656B4E"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656B4E" w:rsidRDefault="00AD381B" w14:paraId="64280E77" w14:textId="77777777">
      <w:pPr>
        <w:pStyle w:val="ListParagraph"/>
        <w:rPr>
          <w:rFonts w:ascii="Times New Roman" w:hAnsi="Times New Roman"/>
          <w:bCs/>
          <w:szCs w:val="24"/>
        </w:rPr>
      </w:pPr>
    </w:p>
    <w:p w:rsidRPr="001C1992" w:rsidR="001C1992" w:rsidP="00656B4E" w:rsidRDefault="001C1992" w14:paraId="4D5B092B" w14:textId="77777777">
      <w:pPr>
        <w:tabs>
          <w:tab w:val="left" w:pos="0"/>
        </w:tabs>
        <w:suppressAutoHyphens/>
        <w:ind w:left="720"/>
        <w:rPr>
          <w:rFonts w:asciiTheme="minorHAnsi" w:hAnsiTheme="minorHAnsi" w:cstheme="minorHAnsi"/>
        </w:rPr>
      </w:pPr>
      <w:r w:rsidRPr="001C1992">
        <w:rPr>
          <w:rFonts w:asciiTheme="minorHAnsi" w:hAnsiTheme="minorHAnsi" w:cstheme="minorHAnsi"/>
        </w:rPr>
        <w:t>This information collection does not involve any of the above conditions.</w:t>
      </w:r>
    </w:p>
    <w:p w:rsidRPr="00AD381B" w:rsidR="005F4E11" w:rsidP="00656B4E" w:rsidRDefault="005F4E11" w14:paraId="6109B5F4" w14:textId="77777777">
      <w:pPr>
        <w:tabs>
          <w:tab w:val="left" w:pos="-720"/>
        </w:tabs>
        <w:suppressAutoHyphens/>
        <w:ind w:left="720"/>
        <w:rPr>
          <w:rFonts w:ascii="Times New Roman" w:hAnsi="Times New Roman"/>
          <w:szCs w:val="24"/>
        </w:rPr>
      </w:pPr>
    </w:p>
    <w:p w:rsidR="00D75313" w:rsidP="00656B4E"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656B4E"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656B4E"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656B4E"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656B4E"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656B4E"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656B4E" w:rsidRDefault="00043C32" w14:paraId="64280E7F" w14:textId="77777777">
      <w:pPr>
        <w:tabs>
          <w:tab w:val="left" w:pos="-720"/>
        </w:tabs>
        <w:suppressAutoHyphens/>
        <w:rPr>
          <w:rStyle w:val="a"/>
          <w:rFonts w:ascii="Times New Roman" w:hAnsi="Times New Roman"/>
          <w:b/>
          <w:szCs w:val="24"/>
        </w:rPr>
      </w:pPr>
    </w:p>
    <w:p w:rsidR="00043C32" w:rsidP="00656B4E"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656B4E" w:rsidRDefault="00AD381B" w14:paraId="64280E81" w14:textId="77777777">
      <w:pPr>
        <w:tabs>
          <w:tab w:val="left" w:pos="-720"/>
        </w:tabs>
        <w:suppressAutoHyphens/>
        <w:ind w:left="720"/>
        <w:rPr>
          <w:rFonts w:ascii="Times New Roman" w:hAnsi="Times New Roman"/>
          <w:bCs/>
          <w:szCs w:val="24"/>
        </w:rPr>
      </w:pPr>
    </w:p>
    <w:p w:rsidR="00CE189C" w:rsidP="00656B4E" w:rsidRDefault="001C1992" w14:paraId="20D33E35" w14:textId="77777777">
      <w:pPr>
        <w:tabs>
          <w:tab w:val="left" w:pos="-720"/>
        </w:tabs>
        <w:suppressAutoHyphens/>
        <w:ind w:left="720"/>
        <w:rPr>
          <w:rFonts w:asciiTheme="minorHAnsi" w:hAnsiTheme="minorHAnsi" w:cstheme="minorHAnsi"/>
        </w:rPr>
      </w:pPr>
      <w:r w:rsidRPr="001C1992">
        <w:rPr>
          <w:rFonts w:asciiTheme="minorHAnsi" w:hAnsiTheme="minorHAnsi" w:cstheme="minorHAnsi"/>
        </w:rPr>
        <w:t xml:space="preserve">The Department considers comments from the public when developing the currently approved forms. </w:t>
      </w:r>
    </w:p>
    <w:p w:rsidR="00CE189C" w:rsidP="00656B4E" w:rsidRDefault="00CE189C" w14:paraId="0076A488" w14:textId="68D79AF9">
      <w:pPr>
        <w:tabs>
          <w:tab w:val="left" w:pos="-720"/>
        </w:tabs>
        <w:suppressAutoHyphens/>
        <w:ind w:left="720"/>
        <w:rPr>
          <w:rFonts w:asciiTheme="minorHAnsi" w:hAnsiTheme="minorHAnsi" w:cstheme="minorHAnsi"/>
        </w:rPr>
      </w:pPr>
    </w:p>
    <w:p w:rsidR="00CE189C" w:rsidP="00656B4E" w:rsidRDefault="00CE189C" w14:paraId="32613E17" w14:textId="5D93ADF6">
      <w:pPr>
        <w:tabs>
          <w:tab w:val="left" w:pos="-720"/>
        </w:tabs>
        <w:suppressAutoHyphens/>
        <w:ind w:left="720"/>
        <w:rPr>
          <w:rFonts w:asciiTheme="minorHAnsi" w:hAnsiTheme="minorHAnsi" w:cstheme="minorHAnsi"/>
        </w:rPr>
      </w:pPr>
      <w:r>
        <w:rPr>
          <w:rFonts w:asciiTheme="minorHAnsi" w:hAnsiTheme="minorHAnsi" w:cstheme="minorHAnsi"/>
        </w:rPr>
        <w:t>On April 29, 2019, a notice was published in the Federal Register (Vol. 86, No. 81, pages 22649-22650) announcing a 60-day public review and comment period for the burden estimate for this information collection.  Three comments were received</w:t>
      </w:r>
      <w:r w:rsidR="001C7D58">
        <w:rPr>
          <w:rFonts w:asciiTheme="minorHAnsi" w:hAnsiTheme="minorHAnsi" w:cstheme="minorHAnsi"/>
        </w:rPr>
        <w:t xml:space="preserve"> and based on one of these comments the language of the forms have been slightly altered</w:t>
      </w:r>
      <w:r>
        <w:rPr>
          <w:rFonts w:asciiTheme="minorHAnsi" w:hAnsiTheme="minorHAnsi" w:cstheme="minorHAnsi"/>
        </w:rPr>
        <w:t xml:space="preserve">, see attached comment response table and updated forms.  There is no change to the burden estimates  based on these changes. </w:t>
      </w:r>
    </w:p>
    <w:p w:rsidR="00CE189C" w:rsidP="00656B4E" w:rsidRDefault="00CE189C" w14:paraId="20082EAC" w14:textId="77777777">
      <w:pPr>
        <w:tabs>
          <w:tab w:val="left" w:pos="-720"/>
        </w:tabs>
        <w:suppressAutoHyphens/>
        <w:ind w:left="720"/>
        <w:rPr>
          <w:rFonts w:asciiTheme="minorHAnsi" w:hAnsiTheme="minorHAnsi" w:cstheme="minorHAnsi"/>
        </w:rPr>
      </w:pPr>
    </w:p>
    <w:p w:rsidRPr="001C1992" w:rsidR="001C1992" w:rsidP="00656B4E" w:rsidRDefault="001C1992" w14:paraId="26439EB0" w14:textId="7C5CDD2C">
      <w:pPr>
        <w:tabs>
          <w:tab w:val="left" w:pos="-720"/>
        </w:tabs>
        <w:suppressAutoHyphens/>
        <w:ind w:left="720"/>
        <w:rPr>
          <w:rFonts w:asciiTheme="minorHAnsi" w:hAnsiTheme="minorHAnsi" w:cstheme="minorHAnsi"/>
        </w:rPr>
      </w:pPr>
      <w:r w:rsidRPr="001C1992">
        <w:rPr>
          <w:rFonts w:asciiTheme="minorHAnsi" w:hAnsiTheme="minorHAnsi" w:cstheme="minorHAnsi"/>
        </w:rPr>
        <w:t xml:space="preserve">The Department </w:t>
      </w:r>
      <w:r w:rsidR="00CE189C">
        <w:rPr>
          <w:rFonts w:asciiTheme="minorHAnsi" w:hAnsiTheme="minorHAnsi" w:cstheme="minorHAnsi"/>
        </w:rPr>
        <w:t>is now</w:t>
      </w:r>
      <w:r w:rsidRPr="001C1992">
        <w:rPr>
          <w:rFonts w:asciiTheme="minorHAnsi" w:hAnsiTheme="minorHAnsi" w:cstheme="minorHAnsi"/>
        </w:rPr>
        <w:t xml:space="preserve"> request</w:t>
      </w:r>
      <w:r w:rsidR="00CE189C">
        <w:rPr>
          <w:rFonts w:asciiTheme="minorHAnsi" w:hAnsiTheme="minorHAnsi" w:cstheme="minorHAnsi"/>
        </w:rPr>
        <w:t>ing</w:t>
      </w:r>
      <w:r w:rsidRPr="001C1992">
        <w:rPr>
          <w:rFonts w:asciiTheme="minorHAnsi" w:hAnsiTheme="minorHAnsi" w:cstheme="minorHAnsi"/>
        </w:rPr>
        <w:t xml:space="preserve"> </w:t>
      </w:r>
      <w:r w:rsidR="00CE189C">
        <w:rPr>
          <w:rFonts w:asciiTheme="minorHAnsi" w:hAnsiTheme="minorHAnsi" w:cstheme="minorHAnsi"/>
        </w:rPr>
        <w:t xml:space="preserve">a </w:t>
      </w:r>
      <w:r w:rsidRPr="001C1992">
        <w:rPr>
          <w:rFonts w:asciiTheme="minorHAnsi" w:hAnsiTheme="minorHAnsi" w:cstheme="minorHAnsi"/>
        </w:rPr>
        <w:t>30-day public comment period to be published in the Federal Register.</w:t>
      </w:r>
    </w:p>
    <w:p w:rsidR="005F4E11" w:rsidP="00656B4E" w:rsidRDefault="005F4E11" w14:paraId="477C84F0" w14:textId="77777777">
      <w:pPr>
        <w:tabs>
          <w:tab w:val="left" w:pos="-720"/>
        </w:tabs>
        <w:suppressAutoHyphens/>
        <w:ind w:left="720"/>
        <w:rPr>
          <w:rFonts w:ascii="Times New Roman" w:hAnsi="Times New Roman"/>
          <w:szCs w:val="24"/>
        </w:rPr>
      </w:pPr>
    </w:p>
    <w:p w:rsidR="00043C32" w:rsidP="00656B4E"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656B4E" w:rsidRDefault="00920F63" w14:paraId="64280E84" w14:textId="0EDE5511">
      <w:pPr>
        <w:pStyle w:val="ListParagraph"/>
        <w:tabs>
          <w:tab w:val="left" w:pos="-720"/>
        </w:tabs>
        <w:suppressAutoHyphens/>
        <w:contextualSpacing w:val="0"/>
        <w:rPr>
          <w:rFonts w:ascii="Times New Roman" w:hAnsi="Times New Roman"/>
          <w:bCs/>
          <w:szCs w:val="24"/>
        </w:rPr>
      </w:pPr>
    </w:p>
    <w:p w:rsidRPr="001C1992" w:rsidR="001C1992" w:rsidP="00656B4E" w:rsidRDefault="001C1992" w14:paraId="0EAE11CC" w14:textId="77777777">
      <w:pPr>
        <w:tabs>
          <w:tab w:val="left" w:pos="0"/>
        </w:tabs>
        <w:suppressAutoHyphens/>
        <w:ind w:left="720"/>
        <w:rPr>
          <w:rFonts w:asciiTheme="minorHAnsi" w:hAnsiTheme="minorHAnsi" w:cstheme="minorHAnsi"/>
        </w:rPr>
      </w:pPr>
      <w:r w:rsidRPr="001C1992">
        <w:rPr>
          <w:rFonts w:asciiTheme="minorHAnsi" w:hAnsiTheme="minorHAnsi" w:cstheme="minorHAnsi"/>
        </w:rPr>
        <w:t>No payments or gifts have been or will be provided to respondents.</w:t>
      </w:r>
    </w:p>
    <w:p w:rsidRPr="005F4E11" w:rsidR="00920F63" w:rsidP="00656B4E"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656B4E"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lastRenderedPageBreak/>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656B4E" w:rsidRDefault="00920F63" w14:paraId="64280E87" w14:textId="08ED8571">
      <w:pPr>
        <w:tabs>
          <w:tab w:val="left" w:pos="-720"/>
        </w:tabs>
        <w:suppressAutoHyphens/>
        <w:ind w:left="720"/>
        <w:rPr>
          <w:rFonts w:ascii="Times New Roman" w:hAnsi="Times New Roman"/>
          <w:bCs/>
          <w:szCs w:val="24"/>
        </w:rPr>
      </w:pPr>
    </w:p>
    <w:p w:rsidRPr="001C1992" w:rsidR="001C1992" w:rsidP="00656B4E" w:rsidRDefault="001C1992" w14:paraId="4B4F63AE" w14:textId="77777777">
      <w:pPr>
        <w:tabs>
          <w:tab w:val="left" w:pos="0"/>
        </w:tabs>
        <w:suppressAutoHyphens/>
        <w:ind w:left="720"/>
        <w:rPr>
          <w:rFonts w:asciiTheme="minorHAnsi" w:hAnsiTheme="minorHAnsi" w:cstheme="minorHAnsi"/>
        </w:rPr>
      </w:pPr>
      <w:r w:rsidRPr="001C1992">
        <w:rPr>
          <w:rFonts w:asciiTheme="minorHAnsi" w:hAnsiTheme="minorHAnsi" w:cstheme="minorHAnsi"/>
        </w:rPr>
        <w:t xml:space="preserve">The forms include a Privacy Act Notice that (1) informs borrowers of the statutory authority for the information collection; (2) explains that the disclosure of the information is </w:t>
      </w:r>
      <w:proofErr w:type="gramStart"/>
      <w:r w:rsidRPr="001C1992">
        <w:rPr>
          <w:rFonts w:asciiTheme="minorHAnsi" w:hAnsiTheme="minorHAnsi" w:cstheme="minorHAnsi"/>
        </w:rPr>
        <w:t>voluntary, but</w:t>
      </w:r>
      <w:proofErr w:type="gramEnd"/>
      <w:r w:rsidRPr="001C1992">
        <w:rPr>
          <w:rFonts w:asciiTheme="minorHAnsi" w:hAnsiTheme="minorHAnsi" w:cstheme="minorHAnsi"/>
        </w:rPr>
        <w:t xml:space="preserve"> is required in order to qualify for a loan discharge; and (3) identifies the third parties to whom the information may be disclosed and explains the circumstances under which those disclosures may occur.</w:t>
      </w:r>
    </w:p>
    <w:p w:rsidRPr="005F4E11" w:rsidR="00920F63" w:rsidP="00656B4E" w:rsidRDefault="00920F63" w14:paraId="64280E88" w14:textId="77777777">
      <w:pPr>
        <w:tabs>
          <w:tab w:val="left" w:pos="-720"/>
        </w:tabs>
        <w:suppressAutoHyphens/>
        <w:ind w:left="720"/>
        <w:rPr>
          <w:rFonts w:ascii="Times New Roman" w:hAnsi="Times New Roman"/>
          <w:bCs/>
          <w:szCs w:val="24"/>
        </w:rPr>
      </w:pPr>
    </w:p>
    <w:p w:rsidR="00043C32" w:rsidP="00656B4E"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656B4E" w:rsidRDefault="00920F63" w14:paraId="64280E8A" w14:textId="6031739C">
      <w:pPr>
        <w:tabs>
          <w:tab w:val="left" w:pos="-720"/>
        </w:tabs>
        <w:suppressAutoHyphens/>
        <w:ind w:left="720"/>
        <w:rPr>
          <w:rFonts w:ascii="Times New Roman" w:hAnsi="Times New Roman"/>
          <w:bCs/>
          <w:szCs w:val="24"/>
        </w:rPr>
      </w:pPr>
    </w:p>
    <w:p w:rsidRPr="001C1992" w:rsidR="001C1992" w:rsidP="00656B4E" w:rsidRDefault="001C1992" w14:paraId="7DEBDD03" w14:textId="77777777">
      <w:pPr>
        <w:widowControl w:val="0"/>
        <w:ind w:left="720"/>
        <w:rPr>
          <w:rFonts w:asciiTheme="minorHAnsi" w:hAnsiTheme="minorHAnsi" w:cstheme="minorHAnsi"/>
          <w:snapToGrid w:val="0"/>
        </w:rPr>
      </w:pPr>
      <w:r w:rsidRPr="001C1992">
        <w:rPr>
          <w:rFonts w:asciiTheme="minorHAnsi" w:hAnsiTheme="minorHAnsi" w:cstheme="minorHAnsi"/>
          <w:snapToGrid w:val="0"/>
        </w:rPr>
        <w:t>None of the forms request information of a sensitive nature.</w:t>
      </w:r>
    </w:p>
    <w:p w:rsidRPr="005F4E11" w:rsidR="00920F63" w:rsidP="00656B4E" w:rsidRDefault="00920F63" w14:paraId="64280E8B" w14:textId="77777777">
      <w:pPr>
        <w:tabs>
          <w:tab w:val="left" w:pos="-720"/>
        </w:tabs>
        <w:suppressAutoHyphens/>
        <w:ind w:left="720"/>
        <w:rPr>
          <w:rFonts w:ascii="Times New Roman" w:hAnsi="Times New Roman"/>
          <w:bCs/>
          <w:szCs w:val="24"/>
        </w:rPr>
      </w:pPr>
    </w:p>
    <w:p w:rsidRPr="00920F63" w:rsidR="00043C32" w:rsidP="00656B4E"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C224FD" w:rsidP="00656B4E"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656B4E"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656B4E"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656B4E"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656B4E"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lastRenderedPageBreak/>
        <w:t>there is no cost to respondents, indicate by entering 0 in the chart below and/or provide a statement.</w:t>
      </w:r>
    </w:p>
    <w:p w:rsidR="00756FD3" w:rsidP="00656B4E" w:rsidRDefault="00756FD3" w14:paraId="64280E93" w14:textId="77777777">
      <w:pPr>
        <w:tabs>
          <w:tab w:val="left" w:pos="-720"/>
          <w:tab w:val="left" w:pos="1247"/>
        </w:tabs>
        <w:suppressAutoHyphens/>
        <w:rPr>
          <w:rStyle w:val="a"/>
          <w:rFonts w:ascii="Times New Roman" w:hAnsi="Times New Roman"/>
          <w:b/>
          <w:szCs w:val="24"/>
        </w:rPr>
      </w:pPr>
    </w:p>
    <w:p w:rsidR="00E841BE" w:rsidP="00E841BE" w:rsidRDefault="00E841BE" w14:paraId="5FA2D37E" w14:textId="058592AF">
      <w:pPr>
        <w:tabs>
          <w:tab w:val="left" w:pos="-720"/>
        </w:tabs>
        <w:suppressAutoHyphens/>
        <w:ind w:left="720"/>
        <w:rPr>
          <w:rFonts w:asciiTheme="minorHAnsi" w:hAnsiTheme="minorHAnsi" w:cstheme="minorHAnsi"/>
        </w:rPr>
      </w:pPr>
      <w:bookmarkStart w:name="_Hlk77587758" w:id="0"/>
      <w:r w:rsidRPr="00EB5D03">
        <w:rPr>
          <w:rFonts w:asciiTheme="minorHAnsi" w:hAnsiTheme="minorHAnsi" w:cstheme="minorHAnsi"/>
          <w:szCs w:val="24"/>
        </w:rPr>
        <w:t xml:space="preserve">The Department </w:t>
      </w:r>
      <w:r>
        <w:rPr>
          <w:rFonts w:asciiTheme="minorHAnsi" w:hAnsiTheme="minorHAnsi" w:cstheme="minorHAnsi"/>
          <w:szCs w:val="24"/>
        </w:rPr>
        <w:t>files this request with the same</w:t>
      </w:r>
      <w:r w:rsidRPr="00EB5D03">
        <w:rPr>
          <w:rFonts w:asciiTheme="minorHAnsi" w:hAnsiTheme="minorHAnsi" w:cstheme="minorHAnsi"/>
          <w:szCs w:val="24"/>
        </w:rPr>
        <w:t xml:space="preserve"> total annual number of respondents</w:t>
      </w:r>
      <w:r w:rsidRPr="00FA51DA">
        <w:rPr>
          <w:rFonts w:asciiTheme="minorHAnsi" w:hAnsiTheme="minorHAnsi" w:cstheme="minorHAnsi"/>
          <w:szCs w:val="24"/>
        </w:rPr>
        <w:t xml:space="preserve"> </w:t>
      </w:r>
      <w:r w:rsidRPr="00EB5D03">
        <w:rPr>
          <w:rFonts w:asciiTheme="minorHAnsi" w:hAnsiTheme="minorHAnsi" w:cstheme="minorHAnsi"/>
          <w:szCs w:val="24"/>
        </w:rPr>
        <w:t xml:space="preserve">for this </w:t>
      </w:r>
      <w:r>
        <w:rPr>
          <w:rFonts w:asciiTheme="minorHAnsi" w:hAnsiTheme="minorHAnsi" w:cstheme="minorHAnsi"/>
          <w:szCs w:val="24"/>
        </w:rPr>
        <w:t xml:space="preserve">renewal </w:t>
      </w:r>
      <w:r w:rsidRPr="00EB5D03">
        <w:rPr>
          <w:rFonts w:asciiTheme="minorHAnsi" w:hAnsiTheme="minorHAnsi" w:cstheme="minorHAnsi"/>
          <w:szCs w:val="24"/>
        </w:rPr>
        <w:t>collection</w:t>
      </w:r>
      <w:r>
        <w:rPr>
          <w:rFonts w:asciiTheme="minorHAnsi" w:hAnsiTheme="minorHAnsi" w:cstheme="minorHAnsi"/>
          <w:szCs w:val="24"/>
        </w:rPr>
        <w:t xml:space="preserve"> as was used in the prior filing</w:t>
      </w:r>
      <w:r w:rsidRPr="00EB5D03">
        <w:rPr>
          <w:rFonts w:asciiTheme="minorHAnsi" w:hAnsiTheme="minorHAnsi" w:cstheme="minorHAnsi"/>
          <w:szCs w:val="24"/>
        </w:rPr>
        <w:t xml:space="preserve">.  </w:t>
      </w:r>
      <w:r>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these forms.  </w:t>
      </w:r>
      <w:r w:rsidRPr="00EB5D03">
        <w:rPr>
          <w:rFonts w:asciiTheme="minorHAnsi" w:hAnsiTheme="minorHAnsi" w:cstheme="minorHAnsi"/>
        </w:rPr>
        <w:t>There has been no change in the underlying statutes or regulations which support these request forms.</w:t>
      </w:r>
    </w:p>
    <w:bookmarkEnd w:id="0"/>
    <w:p w:rsidRPr="00EB5D03" w:rsidR="001C7D58" w:rsidP="00E841BE" w:rsidRDefault="001C7D58" w14:paraId="7058EEA8" w14:textId="77777777">
      <w:pPr>
        <w:tabs>
          <w:tab w:val="left" w:pos="-720"/>
        </w:tabs>
        <w:suppressAutoHyphens/>
        <w:ind w:left="720"/>
        <w:rPr>
          <w:rFonts w:asciiTheme="minorHAnsi" w:hAnsiTheme="minorHAnsi" w:cstheme="minorHAnsi"/>
        </w:rPr>
      </w:pPr>
    </w:p>
    <w:p w:rsidRPr="001C1992" w:rsidR="001C1992" w:rsidP="00656B4E" w:rsidRDefault="001C1992" w14:paraId="1E8C1075" w14:textId="3B7ED85D">
      <w:pPr>
        <w:ind w:left="700"/>
        <w:rPr>
          <w:rFonts w:asciiTheme="minorHAnsi" w:hAnsiTheme="minorHAnsi" w:cstheme="minorHAnsi"/>
          <w:szCs w:val="24"/>
        </w:rPr>
      </w:pPr>
      <w:r w:rsidRPr="001C1992">
        <w:rPr>
          <w:rFonts w:asciiTheme="minorHAnsi" w:hAnsiTheme="minorHAnsi" w:cstheme="minorHAnsi"/>
          <w:szCs w:val="24"/>
        </w:rPr>
        <w:t xml:space="preserve">The Department </w:t>
      </w:r>
      <w:r w:rsidR="00E841BE">
        <w:rPr>
          <w:rFonts w:asciiTheme="minorHAnsi" w:hAnsiTheme="minorHAnsi" w:cstheme="minorHAnsi"/>
          <w:szCs w:val="24"/>
        </w:rPr>
        <w:t>continues to</w:t>
      </w:r>
      <w:r w:rsidR="008E252B">
        <w:rPr>
          <w:rFonts w:asciiTheme="minorHAnsi" w:hAnsiTheme="minorHAnsi" w:cstheme="minorHAnsi"/>
          <w:szCs w:val="24"/>
        </w:rPr>
        <w:t xml:space="preserve"> </w:t>
      </w:r>
      <w:r w:rsidRPr="001C1992">
        <w:rPr>
          <w:rFonts w:asciiTheme="minorHAnsi" w:hAnsiTheme="minorHAnsi" w:cstheme="minorHAnsi"/>
          <w:szCs w:val="24"/>
        </w:rPr>
        <w:t>estimate</w:t>
      </w:r>
      <w:r w:rsidR="008E252B">
        <w:rPr>
          <w:rFonts w:asciiTheme="minorHAnsi" w:hAnsiTheme="minorHAnsi" w:cstheme="minorHAnsi"/>
          <w:szCs w:val="24"/>
        </w:rPr>
        <w:t xml:space="preserve"> </w:t>
      </w:r>
      <w:r w:rsidRPr="001C1992">
        <w:rPr>
          <w:rFonts w:asciiTheme="minorHAnsi" w:hAnsiTheme="minorHAnsi" w:cstheme="minorHAnsi"/>
          <w:szCs w:val="24"/>
        </w:rPr>
        <w:t xml:space="preserve">the total annual number of respondents for this collection </w:t>
      </w:r>
      <w:r w:rsidR="008E252B">
        <w:rPr>
          <w:rFonts w:asciiTheme="minorHAnsi" w:hAnsiTheme="minorHAnsi" w:cstheme="minorHAnsi"/>
          <w:szCs w:val="24"/>
        </w:rPr>
        <w:t>at</w:t>
      </w:r>
      <w:r w:rsidR="00485493">
        <w:rPr>
          <w:rFonts w:asciiTheme="minorHAnsi" w:hAnsiTheme="minorHAnsi" w:cstheme="minorHAnsi"/>
          <w:szCs w:val="24"/>
        </w:rPr>
        <w:t xml:space="preserve"> </w:t>
      </w:r>
      <w:r w:rsidRPr="001C1992">
        <w:rPr>
          <w:rFonts w:asciiTheme="minorHAnsi" w:hAnsiTheme="minorHAnsi" w:cstheme="minorHAnsi"/>
          <w:szCs w:val="24"/>
        </w:rPr>
        <w:t>27,042.  The estimated response time for the internship/residency, National Guard duty, and DOD repayment plan forbearance is .25 hours (15 minutes) with one response per respondent.  The estimated response time for the student loan debt burden forbearance is .20 hours (12 minutes) with one response per respondent.  This equates to a total estimated reporting burden of 6,393 hours.  The burden estimate for each form is calculated as follows:</w:t>
      </w:r>
    </w:p>
    <w:p w:rsidRPr="001C1992" w:rsidR="001C1992" w:rsidP="00656B4E" w:rsidRDefault="001C1992" w14:paraId="7E6010B2" w14:textId="77777777">
      <w:pPr>
        <w:suppressAutoHyphens/>
        <w:rPr>
          <w:rFonts w:asciiTheme="minorHAnsi" w:hAnsiTheme="minorHAnsi" w:cstheme="minorHAnsi"/>
          <w:szCs w:val="24"/>
        </w:rPr>
      </w:pPr>
    </w:p>
    <w:tbl>
      <w:tblPr>
        <w:tblW w:w="0" w:type="auto"/>
        <w:tblInd w:w="720" w:type="dxa"/>
        <w:tblLayout w:type="fixed"/>
        <w:tblLook w:val="0000" w:firstRow="0" w:lastRow="0" w:firstColumn="0" w:lastColumn="0" w:noHBand="0" w:noVBand="0"/>
      </w:tblPr>
      <w:tblGrid>
        <w:gridCol w:w="4428"/>
        <w:gridCol w:w="360"/>
        <w:gridCol w:w="2700"/>
      </w:tblGrid>
      <w:tr w:rsidRPr="001C1992" w:rsidR="001C1992" w:rsidTr="0044305C" w14:paraId="064B7DC2" w14:textId="77777777">
        <w:tc>
          <w:tcPr>
            <w:tcW w:w="4428" w:type="dxa"/>
          </w:tcPr>
          <w:p w:rsidRPr="001C1992" w:rsidR="001C1992" w:rsidP="00656B4E" w:rsidRDefault="001C1992" w14:paraId="466D85B5" w14:textId="77777777">
            <w:pPr>
              <w:pStyle w:val="Heading2"/>
              <w:rPr>
                <w:rFonts w:asciiTheme="minorHAnsi" w:hAnsiTheme="minorHAnsi" w:cstheme="minorHAnsi"/>
                <w:sz w:val="24"/>
                <w:szCs w:val="24"/>
              </w:rPr>
            </w:pPr>
            <w:r w:rsidRPr="001C1992">
              <w:rPr>
                <w:rFonts w:asciiTheme="minorHAnsi" w:hAnsiTheme="minorHAnsi" w:cstheme="minorHAnsi"/>
                <w:sz w:val="24"/>
                <w:szCs w:val="24"/>
              </w:rPr>
              <w:t>Internship/Residency Forbearance, National Guard Duty, DOD Repayment Plan</w:t>
            </w:r>
          </w:p>
        </w:tc>
        <w:tc>
          <w:tcPr>
            <w:tcW w:w="360" w:type="dxa"/>
          </w:tcPr>
          <w:p w:rsidRPr="001C1992" w:rsidR="001C1992" w:rsidP="00656B4E" w:rsidRDefault="001C1992" w14:paraId="72AF5322" w14:textId="77777777">
            <w:pPr>
              <w:rPr>
                <w:rFonts w:asciiTheme="minorHAnsi" w:hAnsiTheme="minorHAnsi" w:cstheme="minorHAnsi"/>
                <w:szCs w:val="24"/>
              </w:rPr>
            </w:pPr>
          </w:p>
        </w:tc>
        <w:tc>
          <w:tcPr>
            <w:tcW w:w="2700" w:type="dxa"/>
          </w:tcPr>
          <w:p w:rsidRPr="001C1992" w:rsidR="001C1992" w:rsidP="00656B4E" w:rsidRDefault="001C1992" w14:paraId="4B152C26" w14:textId="77777777">
            <w:pPr>
              <w:jc w:val="right"/>
              <w:rPr>
                <w:rFonts w:asciiTheme="minorHAnsi" w:hAnsiTheme="minorHAnsi" w:cstheme="minorHAnsi"/>
                <w:szCs w:val="24"/>
              </w:rPr>
            </w:pPr>
          </w:p>
        </w:tc>
      </w:tr>
      <w:tr w:rsidRPr="001C1992" w:rsidR="001C1992" w:rsidTr="0044305C" w14:paraId="7BC262B2" w14:textId="77777777">
        <w:tc>
          <w:tcPr>
            <w:tcW w:w="4428" w:type="dxa"/>
          </w:tcPr>
          <w:p w:rsidRPr="001C1992" w:rsidR="001C1992" w:rsidP="00656B4E" w:rsidRDefault="001C1992" w14:paraId="192427B0" w14:textId="77777777">
            <w:pPr>
              <w:rPr>
                <w:rFonts w:asciiTheme="minorHAnsi" w:hAnsiTheme="minorHAnsi" w:cstheme="minorHAnsi"/>
                <w:szCs w:val="24"/>
              </w:rPr>
            </w:pPr>
            <w:r w:rsidRPr="001C1992">
              <w:rPr>
                <w:rFonts w:asciiTheme="minorHAnsi" w:hAnsiTheme="minorHAnsi" w:cstheme="minorHAnsi"/>
                <w:szCs w:val="24"/>
              </w:rPr>
              <w:t>Estimated annual number of respondents:</w:t>
            </w:r>
          </w:p>
        </w:tc>
        <w:tc>
          <w:tcPr>
            <w:tcW w:w="360" w:type="dxa"/>
          </w:tcPr>
          <w:p w:rsidRPr="001C1992" w:rsidR="001C1992" w:rsidP="00656B4E" w:rsidRDefault="001C1992" w14:paraId="1B1344DC" w14:textId="77777777">
            <w:pPr>
              <w:rPr>
                <w:rFonts w:asciiTheme="minorHAnsi" w:hAnsiTheme="minorHAnsi" w:cstheme="minorHAnsi"/>
                <w:szCs w:val="24"/>
              </w:rPr>
            </w:pPr>
          </w:p>
        </w:tc>
        <w:tc>
          <w:tcPr>
            <w:tcW w:w="2700" w:type="dxa"/>
          </w:tcPr>
          <w:p w:rsidRPr="001C1992" w:rsidR="001C1992" w:rsidP="00656B4E" w:rsidRDefault="001C1992" w14:paraId="4D456F0F" w14:textId="77777777">
            <w:pPr>
              <w:jc w:val="right"/>
              <w:rPr>
                <w:rFonts w:asciiTheme="minorHAnsi" w:hAnsiTheme="minorHAnsi" w:cstheme="minorHAnsi"/>
                <w:szCs w:val="24"/>
              </w:rPr>
            </w:pPr>
            <w:r w:rsidRPr="001C1992">
              <w:rPr>
                <w:rFonts w:asciiTheme="minorHAnsi" w:hAnsiTheme="minorHAnsi" w:cstheme="minorHAnsi"/>
                <w:szCs w:val="24"/>
              </w:rPr>
              <w:t>19,689</w:t>
            </w:r>
          </w:p>
        </w:tc>
      </w:tr>
      <w:tr w:rsidRPr="001C1992" w:rsidR="001C1992" w:rsidTr="0044305C" w14:paraId="0E048189" w14:textId="77777777">
        <w:tc>
          <w:tcPr>
            <w:tcW w:w="4428" w:type="dxa"/>
          </w:tcPr>
          <w:p w:rsidRPr="001C1992" w:rsidR="001C1992" w:rsidP="00656B4E" w:rsidRDefault="001C1992" w14:paraId="6B51351B" w14:textId="77777777">
            <w:pPr>
              <w:rPr>
                <w:rFonts w:asciiTheme="minorHAnsi" w:hAnsiTheme="minorHAnsi" w:cstheme="minorHAnsi"/>
                <w:szCs w:val="24"/>
              </w:rPr>
            </w:pPr>
            <w:r w:rsidRPr="001C1992">
              <w:rPr>
                <w:rFonts w:asciiTheme="minorHAnsi" w:hAnsiTheme="minorHAnsi" w:cstheme="minorHAnsi"/>
                <w:szCs w:val="24"/>
              </w:rPr>
              <w:t>Number of responses per borrower:</w:t>
            </w:r>
          </w:p>
        </w:tc>
        <w:tc>
          <w:tcPr>
            <w:tcW w:w="360" w:type="dxa"/>
          </w:tcPr>
          <w:p w:rsidRPr="001C1992" w:rsidR="001C1992" w:rsidP="00656B4E" w:rsidRDefault="001C1992" w14:paraId="256F431F"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Pr>
          <w:p w:rsidRPr="001C1992" w:rsidR="001C1992" w:rsidP="00656B4E" w:rsidRDefault="001C1992" w14:paraId="386ECEE9" w14:textId="77777777">
            <w:pPr>
              <w:jc w:val="right"/>
              <w:rPr>
                <w:rFonts w:asciiTheme="minorHAnsi" w:hAnsiTheme="minorHAnsi" w:cstheme="minorHAnsi"/>
                <w:szCs w:val="24"/>
              </w:rPr>
            </w:pPr>
            <w:r w:rsidRPr="001C1992">
              <w:rPr>
                <w:rFonts w:asciiTheme="minorHAnsi" w:hAnsiTheme="minorHAnsi" w:cstheme="minorHAnsi"/>
                <w:szCs w:val="24"/>
              </w:rPr>
              <w:t>1</w:t>
            </w:r>
          </w:p>
        </w:tc>
      </w:tr>
      <w:tr w:rsidRPr="001C1992" w:rsidR="001C1992" w:rsidTr="0044305C" w14:paraId="7A862C21" w14:textId="77777777">
        <w:tc>
          <w:tcPr>
            <w:tcW w:w="4428" w:type="dxa"/>
          </w:tcPr>
          <w:p w:rsidRPr="001C1992" w:rsidR="001C1992" w:rsidP="00656B4E" w:rsidRDefault="001C1992" w14:paraId="5DEA23C8" w14:textId="77777777">
            <w:pPr>
              <w:rPr>
                <w:rFonts w:asciiTheme="minorHAnsi" w:hAnsiTheme="minorHAnsi" w:cstheme="minorHAnsi"/>
                <w:szCs w:val="24"/>
              </w:rPr>
            </w:pPr>
            <w:r w:rsidRPr="001C1992">
              <w:rPr>
                <w:rFonts w:asciiTheme="minorHAnsi" w:hAnsiTheme="minorHAnsi" w:cstheme="minorHAnsi"/>
                <w:szCs w:val="24"/>
              </w:rPr>
              <w:t>Hours per response:</w:t>
            </w:r>
          </w:p>
        </w:tc>
        <w:tc>
          <w:tcPr>
            <w:tcW w:w="360" w:type="dxa"/>
          </w:tcPr>
          <w:p w:rsidRPr="001C1992" w:rsidR="001C1992" w:rsidP="00656B4E" w:rsidRDefault="001C1992" w14:paraId="7A6BA6A4"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Borders>
              <w:bottom w:val="single" w:color="auto" w:sz="4" w:space="0"/>
            </w:tcBorders>
          </w:tcPr>
          <w:p w:rsidRPr="001C1992" w:rsidR="001C1992" w:rsidP="00656B4E" w:rsidRDefault="001C1992" w14:paraId="0EE4CC81" w14:textId="77777777">
            <w:pPr>
              <w:jc w:val="right"/>
              <w:rPr>
                <w:rFonts w:asciiTheme="minorHAnsi" w:hAnsiTheme="minorHAnsi" w:cstheme="minorHAnsi"/>
                <w:szCs w:val="24"/>
              </w:rPr>
            </w:pPr>
            <w:r w:rsidRPr="001C1992">
              <w:rPr>
                <w:rFonts w:asciiTheme="minorHAnsi" w:hAnsiTheme="minorHAnsi" w:cstheme="minorHAnsi"/>
                <w:szCs w:val="24"/>
              </w:rPr>
              <w:t xml:space="preserve"> 0.25 </w:t>
            </w:r>
          </w:p>
        </w:tc>
      </w:tr>
      <w:tr w:rsidRPr="001C1992" w:rsidR="001C1992" w:rsidTr="0044305C" w14:paraId="0CBB4CE3" w14:textId="77777777">
        <w:tc>
          <w:tcPr>
            <w:tcW w:w="4428" w:type="dxa"/>
          </w:tcPr>
          <w:p w:rsidRPr="001C1992" w:rsidR="001C1992" w:rsidP="00656B4E" w:rsidRDefault="001C1992" w14:paraId="0857E1D5" w14:textId="77777777">
            <w:pPr>
              <w:rPr>
                <w:rFonts w:asciiTheme="minorHAnsi" w:hAnsiTheme="minorHAnsi" w:cstheme="minorHAnsi"/>
                <w:szCs w:val="24"/>
              </w:rPr>
            </w:pPr>
          </w:p>
        </w:tc>
        <w:tc>
          <w:tcPr>
            <w:tcW w:w="360" w:type="dxa"/>
          </w:tcPr>
          <w:p w:rsidRPr="001C1992" w:rsidR="001C1992" w:rsidP="00656B4E" w:rsidRDefault="001C1992" w14:paraId="2E7F54F6" w14:textId="77777777">
            <w:pPr>
              <w:rPr>
                <w:rFonts w:asciiTheme="minorHAnsi" w:hAnsiTheme="minorHAnsi" w:cstheme="minorHAnsi"/>
                <w:szCs w:val="24"/>
              </w:rPr>
            </w:pPr>
          </w:p>
        </w:tc>
        <w:tc>
          <w:tcPr>
            <w:tcW w:w="2700" w:type="dxa"/>
            <w:tcBorders>
              <w:top w:val="single" w:color="auto" w:sz="4" w:space="0"/>
            </w:tcBorders>
          </w:tcPr>
          <w:p w:rsidRPr="001C1992" w:rsidR="001C1992" w:rsidP="00656B4E" w:rsidRDefault="001C1992" w14:paraId="65EB3E20" w14:textId="77777777">
            <w:pPr>
              <w:jc w:val="right"/>
              <w:rPr>
                <w:rFonts w:asciiTheme="minorHAnsi" w:hAnsiTheme="minorHAnsi" w:cstheme="minorHAnsi"/>
                <w:szCs w:val="24"/>
              </w:rPr>
            </w:pPr>
            <w:r w:rsidRPr="001C1992">
              <w:rPr>
                <w:rFonts w:asciiTheme="minorHAnsi" w:hAnsiTheme="minorHAnsi" w:cstheme="minorHAnsi"/>
                <w:szCs w:val="24"/>
              </w:rPr>
              <w:t>4,922 hours</w:t>
            </w:r>
          </w:p>
        </w:tc>
      </w:tr>
      <w:tr w:rsidRPr="001C1992" w:rsidR="001C1992" w:rsidTr="0044305C" w14:paraId="3236E26C" w14:textId="77777777">
        <w:tc>
          <w:tcPr>
            <w:tcW w:w="4428" w:type="dxa"/>
          </w:tcPr>
          <w:p w:rsidRPr="001C1992" w:rsidR="001C1992" w:rsidP="00656B4E" w:rsidRDefault="001C1992" w14:paraId="08814C3A" w14:textId="77777777">
            <w:pPr>
              <w:pStyle w:val="Heading2"/>
              <w:rPr>
                <w:rFonts w:asciiTheme="minorHAnsi" w:hAnsiTheme="minorHAnsi" w:cstheme="minorHAnsi"/>
                <w:sz w:val="24"/>
                <w:szCs w:val="24"/>
              </w:rPr>
            </w:pPr>
            <w:r w:rsidRPr="001C1992">
              <w:rPr>
                <w:rFonts w:asciiTheme="minorHAnsi" w:hAnsiTheme="minorHAnsi" w:cstheme="minorHAnsi"/>
                <w:sz w:val="24"/>
                <w:szCs w:val="24"/>
              </w:rPr>
              <w:t>Loan Debt Burden Forbearance</w:t>
            </w:r>
          </w:p>
        </w:tc>
        <w:tc>
          <w:tcPr>
            <w:tcW w:w="360" w:type="dxa"/>
          </w:tcPr>
          <w:p w:rsidRPr="001C1992" w:rsidR="001C1992" w:rsidP="00656B4E" w:rsidRDefault="001C1992" w14:paraId="6356038B" w14:textId="77777777">
            <w:pPr>
              <w:rPr>
                <w:rFonts w:asciiTheme="minorHAnsi" w:hAnsiTheme="minorHAnsi" w:cstheme="minorHAnsi"/>
                <w:szCs w:val="24"/>
              </w:rPr>
            </w:pPr>
          </w:p>
        </w:tc>
        <w:tc>
          <w:tcPr>
            <w:tcW w:w="2700" w:type="dxa"/>
          </w:tcPr>
          <w:p w:rsidRPr="001C1992" w:rsidR="001C1992" w:rsidP="00656B4E" w:rsidRDefault="001C1992" w14:paraId="75D2C75B" w14:textId="77777777">
            <w:pPr>
              <w:jc w:val="right"/>
              <w:rPr>
                <w:rFonts w:asciiTheme="minorHAnsi" w:hAnsiTheme="minorHAnsi" w:cstheme="minorHAnsi"/>
                <w:szCs w:val="24"/>
              </w:rPr>
            </w:pPr>
          </w:p>
        </w:tc>
      </w:tr>
      <w:tr w:rsidRPr="001C1992" w:rsidR="001C1992" w:rsidTr="0044305C" w14:paraId="56F12C4C" w14:textId="77777777">
        <w:tc>
          <w:tcPr>
            <w:tcW w:w="4428" w:type="dxa"/>
          </w:tcPr>
          <w:p w:rsidRPr="001C1992" w:rsidR="001C1992" w:rsidP="00656B4E" w:rsidRDefault="001C1992" w14:paraId="7E992684" w14:textId="77777777">
            <w:pPr>
              <w:rPr>
                <w:rFonts w:asciiTheme="minorHAnsi" w:hAnsiTheme="minorHAnsi" w:cstheme="minorHAnsi"/>
                <w:szCs w:val="24"/>
              </w:rPr>
            </w:pPr>
            <w:r w:rsidRPr="001C1992">
              <w:rPr>
                <w:rFonts w:asciiTheme="minorHAnsi" w:hAnsiTheme="minorHAnsi" w:cstheme="minorHAnsi"/>
                <w:szCs w:val="24"/>
              </w:rPr>
              <w:t>Estimated annual number of respondents:</w:t>
            </w:r>
          </w:p>
        </w:tc>
        <w:tc>
          <w:tcPr>
            <w:tcW w:w="360" w:type="dxa"/>
          </w:tcPr>
          <w:p w:rsidRPr="001C1992" w:rsidR="001C1992" w:rsidP="00656B4E" w:rsidRDefault="001C1992" w14:paraId="54679BA0" w14:textId="77777777">
            <w:pPr>
              <w:rPr>
                <w:rFonts w:asciiTheme="minorHAnsi" w:hAnsiTheme="minorHAnsi" w:cstheme="minorHAnsi"/>
                <w:szCs w:val="24"/>
              </w:rPr>
            </w:pPr>
          </w:p>
        </w:tc>
        <w:tc>
          <w:tcPr>
            <w:tcW w:w="2700" w:type="dxa"/>
          </w:tcPr>
          <w:p w:rsidRPr="001C1992" w:rsidR="001C1992" w:rsidP="00656B4E" w:rsidRDefault="001C1992" w14:paraId="25CA24C4" w14:textId="77777777">
            <w:pPr>
              <w:jc w:val="right"/>
              <w:rPr>
                <w:rFonts w:asciiTheme="minorHAnsi" w:hAnsiTheme="minorHAnsi" w:cstheme="minorHAnsi"/>
                <w:szCs w:val="24"/>
              </w:rPr>
            </w:pPr>
            <w:r w:rsidRPr="001C1992">
              <w:rPr>
                <w:rFonts w:asciiTheme="minorHAnsi" w:hAnsiTheme="minorHAnsi" w:cstheme="minorHAnsi"/>
                <w:szCs w:val="24"/>
              </w:rPr>
              <w:t>7,353</w:t>
            </w:r>
          </w:p>
        </w:tc>
      </w:tr>
      <w:tr w:rsidRPr="001C1992" w:rsidR="001C1992" w:rsidTr="0044305C" w14:paraId="0FA3FD6E" w14:textId="77777777">
        <w:tc>
          <w:tcPr>
            <w:tcW w:w="4428" w:type="dxa"/>
          </w:tcPr>
          <w:p w:rsidRPr="001C1992" w:rsidR="001C1992" w:rsidP="00656B4E" w:rsidRDefault="001C1992" w14:paraId="7D3D492E" w14:textId="77777777">
            <w:pPr>
              <w:rPr>
                <w:rFonts w:asciiTheme="minorHAnsi" w:hAnsiTheme="minorHAnsi" w:cstheme="minorHAnsi"/>
                <w:szCs w:val="24"/>
              </w:rPr>
            </w:pPr>
            <w:r w:rsidRPr="001C1992">
              <w:rPr>
                <w:rFonts w:asciiTheme="minorHAnsi" w:hAnsiTheme="minorHAnsi" w:cstheme="minorHAnsi"/>
                <w:szCs w:val="24"/>
              </w:rPr>
              <w:t>Number of responses per borrower:</w:t>
            </w:r>
          </w:p>
        </w:tc>
        <w:tc>
          <w:tcPr>
            <w:tcW w:w="360" w:type="dxa"/>
          </w:tcPr>
          <w:p w:rsidRPr="001C1992" w:rsidR="001C1992" w:rsidP="00656B4E" w:rsidRDefault="001C1992" w14:paraId="332D674B"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Pr>
          <w:p w:rsidRPr="001C1992" w:rsidR="001C1992" w:rsidP="00656B4E" w:rsidRDefault="001C1992" w14:paraId="6FE06C34" w14:textId="77777777">
            <w:pPr>
              <w:jc w:val="right"/>
              <w:rPr>
                <w:rFonts w:asciiTheme="minorHAnsi" w:hAnsiTheme="minorHAnsi" w:cstheme="minorHAnsi"/>
                <w:szCs w:val="24"/>
              </w:rPr>
            </w:pPr>
            <w:r w:rsidRPr="001C1992">
              <w:rPr>
                <w:rFonts w:asciiTheme="minorHAnsi" w:hAnsiTheme="minorHAnsi" w:cstheme="minorHAnsi"/>
                <w:szCs w:val="24"/>
              </w:rPr>
              <w:t>1</w:t>
            </w:r>
          </w:p>
        </w:tc>
      </w:tr>
      <w:tr w:rsidRPr="001C1992" w:rsidR="001C1992" w:rsidTr="0044305C" w14:paraId="42A4DB19" w14:textId="77777777">
        <w:tc>
          <w:tcPr>
            <w:tcW w:w="4428" w:type="dxa"/>
          </w:tcPr>
          <w:p w:rsidRPr="001C1992" w:rsidR="001C1992" w:rsidP="00656B4E" w:rsidRDefault="001C1992" w14:paraId="213E263A" w14:textId="77777777">
            <w:pPr>
              <w:rPr>
                <w:rFonts w:asciiTheme="minorHAnsi" w:hAnsiTheme="minorHAnsi" w:cstheme="minorHAnsi"/>
                <w:szCs w:val="24"/>
              </w:rPr>
            </w:pPr>
            <w:r w:rsidRPr="001C1992">
              <w:rPr>
                <w:rFonts w:asciiTheme="minorHAnsi" w:hAnsiTheme="minorHAnsi" w:cstheme="minorHAnsi"/>
                <w:szCs w:val="24"/>
              </w:rPr>
              <w:t>Hours per response:</w:t>
            </w:r>
          </w:p>
        </w:tc>
        <w:tc>
          <w:tcPr>
            <w:tcW w:w="360" w:type="dxa"/>
          </w:tcPr>
          <w:p w:rsidRPr="001C1992" w:rsidR="001C1992" w:rsidP="00656B4E" w:rsidRDefault="001C1992" w14:paraId="684D3A90"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Borders>
              <w:bottom w:val="single" w:color="auto" w:sz="4" w:space="0"/>
            </w:tcBorders>
          </w:tcPr>
          <w:p w:rsidRPr="001C1992" w:rsidR="001C1992" w:rsidP="00656B4E" w:rsidRDefault="001C1992" w14:paraId="75CC88B1" w14:textId="77777777">
            <w:pPr>
              <w:jc w:val="right"/>
              <w:rPr>
                <w:rFonts w:asciiTheme="minorHAnsi" w:hAnsiTheme="minorHAnsi" w:cstheme="minorHAnsi"/>
                <w:szCs w:val="24"/>
              </w:rPr>
            </w:pPr>
            <w:r w:rsidRPr="001C1992">
              <w:rPr>
                <w:rFonts w:asciiTheme="minorHAnsi" w:hAnsiTheme="minorHAnsi" w:cstheme="minorHAnsi"/>
                <w:szCs w:val="24"/>
              </w:rPr>
              <w:t xml:space="preserve"> 0.20</w:t>
            </w:r>
          </w:p>
        </w:tc>
      </w:tr>
      <w:tr w:rsidRPr="001C1992" w:rsidR="001C1992" w:rsidTr="0044305C" w14:paraId="58D70871" w14:textId="77777777">
        <w:tc>
          <w:tcPr>
            <w:tcW w:w="4428" w:type="dxa"/>
          </w:tcPr>
          <w:p w:rsidRPr="001C1992" w:rsidR="001C1992" w:rsidP="00656B4E" w:rsidRDefault="001C1992" w14:paraId="49761E08" w14:textId="77777777">
            <w:pPr>
              <w:rPr>
                <w:rFonts w:asciiTheme="minorHAnsi" w:hAnsiTheme="minorHAnsi" w:cstheme="minorHAnsi"/>
                <w:szCs w:val="24"/>
              </w:rPr>
            </w:pPr>
          </w:p>
        </w:tc>
        <w:tc>
          <w:tcPr>
            <w:tcW w:w="360" w:type="dxa"/>
          </w:tcPr>
          <w:p w:rsidRPr="001C1992" w:rsidR="001C1992" w:rsidP="00656B4E" w:rsidRDefault="001C1992" w14:paraId="536AEB7A" w14:textId="77777777">
            <w:pPr>
              <w:rPr>
                <w:rFonts w:asciiTheme="minorHAnsi" w:hAnsiTheme="minorHAnsi" w:cstheme="minorHAnsi"/>
                <w:szCs w:val="24"/>
              </w:rPr>
            </w:pPr>
          </w:p>
        </w:tc>
        <w:tc>
          <w:tcPr>
            <w:tcW w:w="2700" w:type="dxa"/>
            <w:tcBorders>
              <w:top w:val="single" w:color="auto" w:sz="4" w:space="0"/>
            </w:tcBorders>
          </w:tcPr>
          <w:p w:rsidRPr="001C1992" w:rsidR="001C1992" w:rsidP="00656B4E" w:rsidRDefault="001C1992" w14:paraId="47D8879A" w14:textId="77777777">
            <w:pPr>
              <w:jc w:val="right"/>
              <w:rPr>
                <w:rFonts w:asciiTheme="minorHAnsi" w:hAnsiTheme="minorHAnsi" w:cstheme="minorHAnsi"/>
                <w:szCs w:val="24"/>
              </w:rPr>
            </w:pPr>
            <w:r w:rsidRPr="001C1992">
              <w:rPr>
                <w:rFonts w:asciiTheme="minorHAnsi" w:hAnsiTheme="minorHAnsi" w:cstheme="minorHAnsi"/>
                <w:szCs w:val="24"/>
              </w:rPr>
              <w:t>1,471 hours</w:t>
            </w:r>
          </w:p>
        </w:tc>
      </w:tr>
    </w:tbl>
    <w:p w:rsidRPr="001C1992" w:rsidR="001C1992" w:rsidP="00656B4E" w:rsidRDefault="001C1992" w14:paraId="4C6BCDA9" w14:textId="77777777">
      <w:pPr>
        <w:tabs>
          <w:tab w:val="left" w:pos="-720"/>
        </w:tabs>
        <w:suppressAutoHyphens/>
        <w:ind w:left="700"/>
        <w:rPr>
          <w:rFonts w:asciiTheme="minorHAnsi" w:hAnsiTheme="minorHAnsi" w:cstheme="minorHAnsi"/>
          <w:szCs w:val="24"/>
        </w:rPr>
      </w:pPr>
    </w:p>
    <w:p w:rsidRPr="001C1992" w:rsidR="001C1992" w:rsidP="00656B4E" w:rsidRDefault="001C1992" w14:paraId="5EBDBAD6" w14:textId="77777777">
      <w:pPr>
        <w:tabs>
          <w:tab w:val="left" w:pos="-720"/>
        </w:tabs>
        <w:suppressAutoHyphens/>
        <w:ind w:left="700"/>
        <w:rPr>
          <w:rFonts w:asciiTheme="minorHAnsi" w:hAnsiTheme="minorHAnsi" w:cstheme="minorHAnsi"/>
          <w:szCs w:val="24"/>
        </w:rPr>
      </w:pPr>
      <w:r w:rsidRPr="001C1992">
        <w:rPr>
          <w:rFonts w:asciiTheme="minorHAnsi" w:hAnsiTheme="minorHAnsi" w:cstheme="minorHAnsi"/>
          <w:szCs w:val="24"/>
        </w:rPr>
        <w:t>There are no annual costs to respondents associated with operating or maintaining systems or purchasing services.</w:t>
      </w:r>
    </w:p>
    <w:p w:rsidR="00920F63" w:rsidP="00656B4E"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656B4E" w:rsidRDefault="00ED7195" w14:paraId="64280E96" w14:textId="77777777">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270" w:type="dxa"/>
        <w:tblLayout w:type="fixed"/>
        <w:tblLook w:val="0020" w:firstRow="1" w:lastRow="0" w:firstColumn="0" w:lastColumn="0" w:noHBand="0" w:noVBand="0"/>
      </w:tblPr>
      <w:tblGrid>
        <w:gridCol w:w="1800"/>
        <w:gridCol w:w="1275"/>
        <w:gridCol w:w="1080"/>
        <w:gridCol w:w="1335"/>
        <w:gridCol w:w="900"/>
        <w:gridCol w:w="1530"/>
        <w:gridCol w:w="1350"/>
      </w:tblGrid>
      <w:tr w:rsidRPr="00442E07" w:rsidR="00E841BE" w:rsidTr="00A3270B" w14:paraId="64280EAE" w14:textId="77777777">
        <w:trPr>
          <w:tblHeader/>
        </w:trPr>
        <w:tc>
          <w:tcPr>
            <w:tcW w:w="1800" w:type="dxa"/>
          </w:tcPr>
          <w:p w:rsidR="00E841BE" w:rsidP="00656B4E" w:rsidRDefault="00E841BE" w14:paraId="64280E97" w14:textId="77777777">
            <w:pPr>
              <w:jc w:val="center"/>
              <w:rPr>
                <w:rFonts w:ascii="Times New Roman" w:hAnsi="Times New Roman"/>
                <w:sz w:val="20"/>
              </w:rPr>
            </w:pPr>
          </w:p>
          <w:p w:rsidR="00E841BE" w:rsidP="00656B4E" w:rsidRDefault="00E841BE" w14:paraId="64280E98" w14:textId="77777777">
            <w:pPr>
              <w:jc w:val="center"/>
              <w:rPr>
                <w:rFonts w:ascii="Times New Roman" w:hAnsi="Times New Roman"/>
                <w:sz w:val="20"/>
              </w:rPr>
            </w:pPr>
          </w:p>
          <w:p w:rsidRPr="007F6104" w:rsidR="00E841BE" w:rsidP="00656B4E" w:rsidRDefault="00E841B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05B25" w:rsidP="00656B4E" w:rsidRDefault="00E05B25" w14:paraId="4CF2F46D" w14:textId="77777777">
            <w:pPr>
              <w:jc w:val="center"/>
              <w:rPr>
                <w:rFonts w:ascii="Times New Roman" w:hAnsi="Times New Roman"/>
                <w:sz w:val="20"/>
              </w:rPr>
            </w:pPr>
          </w:p>
          <w:p w:rsidR="00E05B25" w:rsidP="00656B4E" w:rsidRDefault="00E05B25" w14:paraId="1E0A67B3" w14:textId="77777777">
            <w:pPr>
              <w:jc w:val="center"/>
              <w:rPr>
                <w:rFonts w:ascii="Times New Roman" w:hAnsi="Times New Roman"/>
                <w:sz w:val="20"/>
              </w:rPr>
            </w:pPr>
          </w:p>
          <w:p w:rsidRPr="007F6104" w:rsidR="00E841BE" w:rsidP="00656B4E" w:rsidRDefault="00E841BE" w14:paraId="64280EA0" w14:textId="1F97CFC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841BE" w:rsidP="00656B4E" w:rsidRDefault="00E841BE" w14:paraId="64280EA1" w14:textId="77777777">
            <w:pPr>
              <w:jc w:val="center"/>
              <w:rPr>
                <w:rFonts w:ascii="Times New Roman" w:hAnsi="Times New Roman"/>
                <w:sz w:val="20"/>
              </w:rPr>
            </w:pPr>
          </w:p>
          <w:p w:rsidR="00E841BE" w:rsidP="00656B4E" w:rsidRDefault="00E841BE" w14:paraId="64280EA2" w14:textId="77777777">
            <w:pPr>
              <w:jc w:val="center"/>
              <w:rPr>
                <w:rFonts w:ascii="Times New Roman" w:hAnsi="Times New Roman"/>
                <w:sz w:val="20"/>
              </w:rPr>
            </w:pPr>
          </w:p>
          <w:p w:rsidRPr="007F6104" w:rsidR="00E841BE" w:rsidP="00656B4E" w:rsidRDefault="00E841B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841BE" w:rsidP="00656B4E" w:rsidRDefault="00E841BE" w14:paraId="64280EA4" w14:textId="77777777">
            <w:pPr>
              <w:jc w:val="center"/>
              <w:rPr>
                <w:rFonts w:ascii="Times New Roman" w:hAnsi="Times New Roman"/>
                <w:sz w:val="20"/>
              </w:rPr>
            </w:pPr>
          </w:p>
          <w:p w:rsidRPr="007F6104" w:rsidR="00E841BE" w:rsidP="00656B4E" w:rsidRDefault="00E841B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841BE" w:rsidP="00656B4E" w:rsidRDefault="00E841BE" w14:paraId="64280EA6" w14:textId="77777777">
            <w:pPr>
              <w:jc w:val="center"/>
              <w:rPr>
                <w:rFonts w:ascii="Times New Roman" w:hAnsi="Times New Roman"/>
                <w:sz w:val="20"/>
              </w:rPr>
            </w:pPr>
          </w:p>
          <w:p w:rsidRPr="007F6104" w:rsidR="00E841BE" w:rsidP="00656B4E" w:rsidRDefault="00E841BE"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841BE" w:rsidP="00656B4E" w:rsidRDefault="00E841BE" w14:paraId="64280EA8" w14:textId="77777777">
            <w:pPr>
              <w:jc w:val="center"/>
              <w:rPr>
                <w:rFonts w:ascii="Times New Roman" w:hAnsi="Times New Roman"/>
                <w:sz w:val="20"/>
              </w:rPr>
            </w:pPr>
          </w:p>
          <w:p w:rsidR="00E841BE" w:rsidP="00656B4E" w:rsidRDefault="00E841BE" w14:paraId="64280EA9" w14:textId="77777777">
            <w:pPr>
              <w:jc w:val="center"/>
              <w:rPr>
                <w:rFonts w:ascii="Times New Roman" w:hAnsi="Times New Roman"/>
                <w:sz w:val="20"/>
              </w:rPr>
            </w:pPr>
          </w:p>
          <w:p w:rsidRPr="007F6104" w:rsidR="00E841BE" w:rsidP="00656B4E" w:rsidRDefault="00E841B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841BE" w:rsidP="00656B4E" w:rsidRDefault="00E841BE" w14:paraId="64280EAB" w14:textId="77777777">
            <w:pPr>
              <w:jc w:val="center"/>
              <w:rPr>
                <w:rFonts w:ascii="Times New Roman" w:hAnsi="Times New Roman"/>
                <w:sz w:val="20"/>
              </w:rPr>
            </w:pPr>
          </w:p>
          <w:p w:rsidR="00E841BE" w:rsidP="00656B4E" w:rsidRDefault="00E841BE" w14:paraId="64280EAC" w14:textId="77777777">
            <w:pPr>
              <w:jc w:val="center"/>
              <w:rPr>
                <w:rFonts w:ascii="Times New Roman" w:hAnsi="Times New Roman"/>
                <w:sz w:val="20"/>
              </w:rPr>
            </w:pPr>
          </w:p>
          <w:p w:rsidRPr="007F6104" w:rsidR="00E841BE" w:rsidP="00656B4E" w:rsidRDefault="00E841B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841BE" w:rsidTr="00A3270B" w14:paraId="64280EB8" w14:textId="77777777">
        <w:tc>
          <w:tcPr>
            <w:tcW w:w="1800" w:type="dxa"/>
          </w:tcPr>
          <w:p w:rsidRPr="00AA5138" w:rsidR="00E841BE" w:rsidP="00656B4E" w:rsidRDefault="00E841BE" w14:paraId="64280EAF" w14:textId="393F637B">
            <w:pPr>
              <w:rPr>
                <w:rFonts w:asciiTheme="minorHAnsi" w:hAnsiTheme="minorHAnsi" w:cstheme="minorHAnsi"/>
                <w:szCs w:val="24"/>
              </w:rPr>
            </w:pPr>
            <w:r>
              <w:rPr>
                <w:rFonts w:asciiTheme="minorHAnsi" w:hAnsiTheme="minorHAnsi" w:cstheme="minorHAnsi"/>
                <w:szCs w:val="24"/>
              </w:rPr>
              <w:t>Individual (Intern residency/</w:t>
            </w:r>
            <w:r w:rsidR="00A3270B">
              <w:rPr>
                <w:rFonts w:asciiTheme="minorHAnsi" w:hAnsiTheme="minorHAnsi" w:cstheme="minorHAnsi"/>
                <w:szCs w:val="24"/>
              </w:rPr>
              <w:t>etc.)</w:t>
            </w:r>
          </w:p>
        </w:tc>
        <w:tc>
          <w:tcPr>
            <w:tcW w:w="1275" w:type="dxa"/>
          </w:tcPr>
          <w:p w:rsidRPr="00AA5138" w:rsidR="00E841BE" w:rsidP="00A3270B" w:rsidRDefault="00E841BE" w14:paraId="64280EB2" w14:textId="3B1D5387">
            <w:pPr>
              <w:jc w:val="right"/>
              <w:rPr>
                <w:rFonts w:asciiTheme="minorHAnsi" w:hAnsiTheme="minorHAnsi" w:cstheme="minorHAnsi"/>
                <w:szCs w:val="24"/>
              </w:rPr>
            </w:pPr>
            <w:r>
              <w:rPr>
                <w:rFonts w:asciiTheme="minorHAnsi" w:hAnsiTheme="minorHAnsi" w:cstheme="minorHAnsi"/>
                <w:szCs w:val="24"/>
              </w:rPr>
              <w:t>19,689</w:t>
            </w:r>
          </w:p>
        </w:tc>
        <w:tc>
          <w:tcPr>
            <w:tcW w:w="1080" w:type="dxa"/>
          </w:tcPr>
          <w:p w:rsidRPr="00AA5138" w:rsidR="00E841BE" w:rsidP="00A3270B" w:rsidRDefault="00E841BE" w14:paraId="64280EB3" w14:textId="6B9F04E9">
            <w:pPr>
              <w:jc w:val="right"/>
              <w:rPr>
                <w:rFonts w:asciiTheme="minorHAnsi" w:hAnsiTheme="minorHAnsi" w:cstheme="minorHAnsi"/>
                <w:szCs w:val="24"/>
              </w:rPr>
            </w:pPr>
            <w:r>
              <w:rPr>
                <w:rFonts w:asciiTheme="minorHAnsi" w:hAnsiTheme="minorHAnsi" w:cstheme="minorHAnsi"/>
                <w:szCs w:val="24"/>
              </w:rPr>
              <w:t>19,689</w:t>
            </w:r>
          </w:p>
        </w:tc>
        <w:tc>
          <w:tcPr>
            <w:tcW w:w="1335" w:type="dxa"/>
          </w:tcPr>
          <w:p w:rsidRPr="00AA5138" w:rsidR="00E841BE" w:rsidP="00656B4E" w:rsidRDefault="00E841BE" w14:paraId="64280EB4" w14:textId="7A2A97DC">
            <w:pPr>
              <w:jc w:val="center"/>
              <w:rPr>
                <w:rFonts w:asciiTheme="minorHAnsi" w:hAnsiTheme="minorHAnsi" w:cstheme="minorHAnsi"/>
                <w:szCs w:val="24"/>
              </w:rPr>
            </w:pPr>
            <w:r>
              <w:rPr>
                <w:rFonts w:asciiTheme="minorHAnsi" w:hAnsiTheme="minorHAnsi" w:cstheme="minorHAnsi"/>
                <w:szCs w:val="24"/>
              </w:rPr>
              <w:t>.25</w:t>
            </w:r>
          </w:p>
        </w:tc>
        <w:tc>
          <w:tcPr>
            <w:tcW w:w="900" w:type="dxa"/>
          </w:tcPr>
          <w:p w:rsidRPr="00AA5138" w:rsidR="00E841BE" w:rsidP="00A3270B" w:rsidRDefault="00E841BE" w14:paraId="64280EB5" w14:textId="1533F038">
            <w:pPr>
              <w:jc w:val="right"/>
              <w:rPr>
                <w:rFonts w:asciiTheme="minorHAnsi" w:hAnsiTheme="minorHAnsi" w:cstheme="minorHAnsi"/>
                <w:szCs w:val="24"/>
              </w:rPr>
            </w:pPr>
            <w:r>
              <w:rPr>
                <w:rFonts w:asciiTheme="minorHAnsi" w:hAnsiTheme="minorHAnsi" w:cstheme="minorHAnsi"/>
                <w:szCs w:val="24"/>
              </w:rPr>
              <w:t>4,922</w:t>
            </w:r>
          </w:p>
        </w:tc>
        <w:tc>
          <w:tcPr>
            <w:tcW w:w="1530" w:type="dxa"/>
          </w:tcPr>
          <w:p w:rsidRPr="00AA5138" w:rsidR="00E841BE" w:rsidP="00A3270B" w:rsidRDefault="00A3270B" w14:paraId="64280EB6" w14:textId="47031064">
            <w:pPr>
              <w:jc w:val="right"/>
              <w:rPr>
                <w:rFonts w:asciiTheme="minorHAnsi" w:hAnsiTheme="minorHAnsi" w:cstheme="minorHAnsi"/>
                <w:szCs w:val="24"/>
              </w:rPr>
            </w:pPr>
            <w:r>
              <w:rPr>
                <w:rFonts w:asciiTheme="minorHAnsi" w:hAnsiTheme="minorHAnsi" w:cstheme="minorHAnsi"/>
                <w:szCs w:val="24"/>
              </w:rPr>
              <w:t>$</w:t>
            </w:r>
            <w:r w:rsidR="00D17B9E">
              <w:rPr>
                <w:rFonts w:asciiTheme="minorHAnsi" w:hAnsiTheme="minorHAnsi" w:cstheme="minorHAnsi"/>
                <w:szCs w:val="24"/>
              </w:rPr>
              <w:t>17.50</w:t>
            </w:r>
          </w:p>
        </w:tc>
        <w:tc>
          <w:tcPr>
            <w:tcW w:w="1350" w:type="dxa"/>
          </w:tcPr>
          <w:p w:rsidRPr="00AA5138" w:rsidR="00E841BE" w:rsidP="000B7B23" w:rsidRDefault="000B7B23" w14:paraId="64280EB7" w14:textId="31B9B812">
            <w:pPr>
              <w:jc w:val="right"/>
              <w:rPr>
                <w:rFonts w:asciiTheme="minorHAnsi" w:hAnsiTheme="minorHAnsi" w:cstheme="minorHAnsi"/>
                <w:szCs w:val="24"/>
              </w:rPr>
            </w:pPr>
            <w:r>
              <w:rPr>
                <w:rFonts w:asciiTheme="minorHAnsi" w:hAnsiTheme="minorHAnsi" w:cstheme="minorHAnsi"/>
                <w:szCs w:val="24"/>
              </w:rPr>
              <w:t>$</w:t>
            </w:r>
            <w:r w:rsidR="00D17B9E">
              <w:rPr>
                <w:rFonts w:asciiTheme="minorHAnsi" w:hAnsiTheme="minorHAnsi" w:cstheme="minorHAnsi"/>
                <w:szCs w:val="24"/>
              </w:rPr>
              <w:t>86,135</w:t>
            </w:r>
          </w:p>
        </w:tc>
      </w:tr>
      <w:tr w:rsidRPr="00442E07" w:rsidR="00E841BE" w:rsidTr="00A3270B" w14:paraId="1E37682A" w14:textId="77777777">
        <w:tc>
          <w:tcPr>
            <w:tcW w:w="1800" w:type="dxa"/>
          </w:tcPr>
          <w:p w:rsidR="00E841BE" w:rsidP="00656B4E" w:rsidRDefault="00E841BE" w14:paraId="62A0B649" w14:textId="6C78238A">
            <w:pPr>
              <w:rPr>
                <w:rFonts w:asciiTheme="minorHAnsi" w:hAnsiTheme="minorHAnsi" w:cstheme="minorHAnsi"/>
                <w:szCs w:val="24"/>
              </w:rPr>
            </w:pPr>
            <w:r>
              <w:rPr>
                <w:rFonts w:asciiTheme="minorHAnsi" w:hAnsiTheme="minorHAnsi" w:cstheme="minorHAnsi"/>
                <w:szCs w:val="24"/>
              </w:rPr>
              <w:lastRenderedPageBreak/>
              <w:t>Individual  Loan debt burden</w:t>
            </w:r>
          </w:p>
        </w:tc>
        <w:tc>
          <w:tcPr>
            <w:tcW w:w="1275" w:type="dxa"/>
          </w:tcPr>
          <w:p w:rsidR="00E841BE" w:rsidP="00A3270B" w:rsidRDefault="00E841BE" w14:paraId="4A7E09DA" w14:textId="720EA886">
            <w:pPr>
              <w:jc w:val="right"/>
              <w:rPr>
                <w:rFonts w:asciiTheme="minorHAnsi" w:hAnsiTheme="minorHAnsi" w:cstheme="minorHAnsi"/>
                <w:szCs w:val="24"/>
              </w:rPr>
            </w:pPr>
            <w:r>
              <w:rPr>
                <w:rFonts w:asciiTheme="minorHAnsi" w:hAnsiTheme="minorHAnsi" w:cstheme="minorHAnsi"/>
                <w:szCs w:val="24"/>
              </w:rPr>
              <w:t>7,353</w:t>
            </w:r>
          </w:p>
        </w:tc>
        <w:tc>
          <w:tcPr>
            <w:tcW w:w="1080" w:type="dxa"/>
          </w:tcPr>
          <w:p w:rsidR="00E841BE" w:rsidP="00A3270B" w:rsidRDefault="00E841BE" w14:paraId="604CC949" w14:textId="24802BAA">
            <w:pPr>
              <w:jc w:val="right"/>
              <w:rPr>
                <w:rFonts w:asciiTheme="minorHAnsi" w:hAnsiTheme="minorHAnsi" w:cstheme="minorHAnsi"/>
                <w:szCs w:val="24"/>
              </w:rPr>
            </w:pPr>
            <w:r>
              <w:rPr>
                <w:rFonts w:asciiTheme="minorHAnsi" w:hAnsiTheme="minorHAnsi" w:cstheme="minorHAnsi"/>
                <w:szCs w:val="24"/>
              </w:rPr>
              <w:t>7,353</w:t>
            </w:r>
          </w:p>
        </w:tc>
        <w:tc>
          <w:tcPr>
            <w:tcW w:w="1335" w:type="dxa"/>
          </w:tcPr>
          <w:p w:rsidRPr="00AA5138" w:rsidR="00E841BE" w:rsidP="00656B4E" w:rsidRDefault="00E841BE" w14:paraId="7CD2CE3B" w14:textId="77317F98">
            <w:pPr>
              <w:jc w:val="center"/>
              <w:rPr>
                <w:rFonts w:asciiTheme="minorHAnsi" w:hAnsiTheme="minorHAnsi" w:cstheme="minorHAnsi"/>
                <w:szCs w:val="24"/>
              </w:rPr>
            </w:pPr>
            <w:r>
              <w:rPr>
                <w:rFonts w:asciiTheme="minorHAnsi" w:hAnsiTheme="minorHAnsi" w:cstheme="minorHAnsi"/>
                <w:szCs w:val="24"/>
              </w:rPr>
              <w:t>.20</w:t>
            </w:r>
          </w:p>
        </w:tc>
        <w:tc>
          <w:tcPr>
            <w:tcW w:w="900" w:type="dxa"/>
          </w:tcPr>
          <w:p w:rsidRPr="00AA5138" w:rsidR="00E841BE" w:rsidP="00A3270B" w:rsidRDefault="00E841BE" w14:paraId="3E3EB009" w14:textId="7BF02D86">
            <w:pPr>
              <w:jc w:val="right"/>
              <w:rPr>
                <w:rFonts w:asciiTheme="minorHAnsi" w:hAnsiTheme="minorHAnsi" w:cstheme="minorHAnsi"/>
                <w:szCs w:val="24"/>
              </w:rPr>
            </w:pPr>
            <w:r>
              <w:rPr>
                <w:rFonts w:asciiTheme="minorHAnsi" w:hAnsiTheme="minorHAnsi" w:cstheme="minorHAnsi"/>
                <w:szCs w:val="24"/>
              </w:rPr>
              <w:t>1,471</w:t>
            </w:r>
          </w:p>
        </w:tc>
        <w:tc>
          <w:tcPr>
            <w:tcW w:w="1530" w:type="dxa"/>
          </w:tcPr>
          <w:p w:rsidRPr="00AA5138" w:rsidR="00E841BE" w:rsidP="00A3270B" w:rsidRDefault="00A3270B" w14:paraId="05F413D4" w14:textId="6278B217">
            <w:pPr>
              <w:jc w:val="right"/>
              <w:rPr>
                <w:rFonts w:asciiTheme="minorHAnsi" w:hAnsiTheme="minorHAnsi" w:cstheme="minorHAnsi"/>
                <w:szCs w:val="24"/>
              </w:rPr>
            </w:pPr>
            <w:r>
              <w:rPr>
                <w:rFonts w:asciiTheme="minorHAnsi" w:hAnsiTheme="minorHAnsi" w:cstheme="minorHAnsi"/>
                <w:szCs w:val="24"/>
              </w:rPr>
              <w:t>$17</w:t>
            </w:r>
            <w:r w:rsidR="00D17B9E">
              <w:rPr>
                <w:rFonts w:asciiTheme="minorHAnsi" w:hAnsiTheme="minorHAnsi" w:cstheme="minorHAnsi"/>
                <w:szCs w:val="24"/>
              </w:rPr>
              <w:t>.50</w:t>
            </w:r>
          </w:p>
        </w:tc>
        <w:tc>
          <w:tcPr>
            <w:tcW w:w="1350" w:type="dxa"/>
          </w:tcPr>
          <w:p w:rsidRPr="00AA5138" w:rsidR="00E841BE" w:rsidP="000B7B23" w:rsidRDefault="000B7B23" w14:paraId="7FA95539" w14:textId="5B067377">
            <w:pPr>
              <w:jc w:val="right"/>
              <w:rPr>
                <w:rFonts w:asciiTheme="minorHAnsi" w:hAnsiTheme="minorHAnsi" w:cstheme="minorHAnsi"/>
                <w:szCs w:val="24"/>
              </w:rPr>
            </w:pPr>
            <w:r>
              <w:rPr>
                <w:rFonts w:asciiTheme="minorHAnsi" w:hAnsiTheme="minorHAnsi" w:cstheme="minorHAnsi"/>
                <w:szCs w:val="24"/>
              </w:rPr>
              <w:t>$</w:t>
            </w:r>
            <w:r w:rsidR="00D17B9E">
              <w:rPr>
                <w:rFonts w:asciiTheme="minorHAnsi" w:hAnsiTheme="minorHAnsi" w:cstheme="minorHAnsi"/>
                <w:szCs w:val="24"/>
              </w:rPr>
              <w:t>25,743</w:t>
            </w:r>
          </w:p>
        </w:tc>
      </w:tr>
      <w:tr w:rsidRPr="00442E07" w:rsidR="00E841BE" w:rsidTr="00A3270B" w14:paraId="64280EE0" w14:textId="77777777">
        <w:tc>
          <w:tcPr>
            <w:tcW w:w="1800" w:type="dxa"/>
          </w:tcPr>
          <w:p w:rsidRPr="00442E07" w:rsidR="00E841BE" w:rsidP="00656B4E" w:rsidRDefault="00E841BE"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E841BE" w:rsidP="00A3270B" w:rsidRDefault="00E841BE" w14:paraId="64280EDA" w14:textId="471212BB">
            <w:pPr>
              <w:jc w:val="right"/>
              <w:rPr>
                <w:rFonts w:asciiTheme="minorHAnsi" w:hAnsiTheme="minorHAnsi" w:cstheme="minorHAnsi"/>
                <w:b/>
                <w:bCs/>
                <w:szCs w:val="24"/>
              </w:rPr>
            </w:pPr>
            <w:r>
              <w:rPr>
                <w:rFonts w:asciiTheme="minorHAnsi" w:hAnsiTheme="minorHAnsi" w:cstheme="minorHAnsi"/>
                <w:b/>
                <w:bCs/>
                <w:szCs w:val="24"/>
              </w:rPr>
              <w:t>27,042</w:t>
            </w:r>
          </w:p>
        </w:tc>
        <w:tc>
          <w:tcPr>
            <w:tcW w:w="1080" w:type="dxa"/>
          </w:tcPr>
          <w:p w:rsidRPr="00AA5138" w:rsidR="00E841BE" w:rsidP="00A3270B" w:rsidRDefault="00E841BE" w14:paraId="64280EDB" w14:textId="71C8C4EB">
            <w:pPr>
              <w:jc w:val="right"/>
              <w:rPr>
                <w:rFonts w:asciiTheme="minorHAnsi" w:hAnsiTheme="minorHAnsi" w:cstheme="minorHAnsi"/>
                <w:b/>
                <w:bCs/>
                <w:szCs w:val="24"/>
              </w:rPr>
            </w:pPr>
            <w:r>
              <w:rPr>
                <w:rFonts w:asciiTheme="minorHAnsi" w:hAnsiTheme="minorHAnsi" w:cstheme="minorHAnsi"/>
                <w:b/>
                <w:bCs/>
                <w:szCs w:val="24"/>
              </w:rPr>
              <w:t>27,042</w:t>
            </w:r>
          </w:p>
        </w:tc>
        <w:tc>
          <w:tcPr>
            <w:tcW w:w="1335" w:type="dxa"/>
          </w:tcPr>
          <w:p w:rsidRPr="00AA5138" w:rsidR="00E841BE" w:rsidP="00656B4E" w:rsidRDefault="00E841BE" w14:paraId="64280EDC" w14:textId="77777777">
            <w:pPr>
              <w:rPr>
                <w:rFonts w:asciiTheme="minorHAnsi" w:hAnsiTheme="minorHAnsi" w:cstheme="minorHAnsi"/>
                <w:b/>
                <w:bCs/>
                <w:szCs w:val="24"/>
              </w:rPr>
            </w:pPr>
          </w:p>
        </w:tc>
        <w:tc>
          <w:tcPr>
            <w:tcW w:w="900" w:type="dxa"/>
          </w:tcPr>
          <w:p w:rsidRPr="00AA5138" w:rsidR="00E841BE" w:rsidP="00A3270B" w:rsidRDefault="00E841BE" w14:paraId="64280EDD" w14:textId="17822312">
            <w:pPr>
              <w:jc w:val="right"/>
              <w:rPr>
                <w:rFonts w:asciiTheme="minorHAnsi" w:hAnsiTheme="minorHAnsi" w:cstheme="minorHAnsi"/>
                <w:b/>
                <w:bCs/>
                <w:szCs w:val="24"/>
              </w:rPr>
            </w:pPr>
            <w:r>
              <w:rPr>
                <w:rFonts w:asciiTheme="minorHAnsi" w:hAnsiTheme="minorHAnsi" w:cstheme="minorHAnsi"/>
                <w:b/>
                <w:bCs/>
                <w:szCs w:val="24"/>
              </w:rPr>
              <w:t>6,393</w:t>
            </w:r>
          </w:p>
        </w:tc>
        <w:tc>
          <w:tcPr>
            <w:tcW w:w="1530" w:type="dxa"/>
          </w:tcPr>
          <w:p w:rsidRPr="00AA5138" w:rsidR="00E841BE" w:rsidP="00A3270B" w:rsidRDefault="00E841BE" w14:paraId="64280EDE" w14:textId="77777777">
            <w:pPr>
              <w:jc w:val="right"/>
              <w:rPr>
                <w:rFonts w:asciiTheme="minorHAnsi" w:hAnsiTheme="minorHAnsi" w:cstheme="minorHAnsi"/>
                <w:b/>
                <w:bCs/>
                <w:szCs w:val="24"/>
              </w:rPr>
            </w:pPr>
          </w:p>
        </w:tc>
        <w:tc>
          <w:tcPr>
            <w:tcW w:w="1350" w:type="dxa"/>
          </w:tcPr>
          <w:p w:rsidRPr="00AA5138" w:rsidR="00E841BE" w:rsidP="000B7B23" w:rsidRDefault="000B7B23" w14:paraId="64280EDF" w14:textId="1E13FC22">
            <w:pPr>
              <w:jc w:val="right"/>
              <w:rPr>
                <w:rFonts w:asciiTheme="minorHAnsi" w:hAnsiTheme="minorHAnsi" w:cstheme="minorHAnsi"/>
                <w:b/>
                <w:bCs/>
                <w:szCs w:val="24"/>
              </w:rPr>
            </w:pPr>
            <w:r>
              <w:rPr>
                <w:rFonts w:asciiTheme="minorHAnsi" w:hAnsiTheme="minorHAnsi" w:cstheme="minorHAnsi"/>
                <w:b/>
                <w:bCs/>
                <w:szCs w:val="24"/>
              </w:rPr>
              <w:t>$</w:t>
            </w:r>
            <w:r w:rsidR="00D17B9E">
              <w:rPr>
                <w:rFonts w:asciiTheme="minorHAnsi" w:hAnsiTheme="minorHAnsi" w:cstheme="minorHAnsi"/>
                <w:b/>
                <w:bCs/>
                <w:szCs w:val="24"/>
              </w:rPr>
              <w:t>111</w:t>
            </w:r>
            <w:r>
              <w:rPr>
                <w:rFonts w:asciiTheme="minorHAnsi" w:hAnsiTheme="minorHAnsi" w:cstheme="minorHAnsi"/>
                <w:b/>
                <w:bCs/>
                <w:szCs w:val="24"/>
              </w:rPr>
              <w:t>,</w:t>
            </w:r>
            <w:r w:rsidR="00D17B9E">
              <w:rPr>
                <w:rFonts w:asciiTheme="minorHAnsi" w:hAnsiTheme="minorHAnsi" w:cstheme="minorHAnsi"/>
                <w:b/>
                <w:bCs/>
                <w:szCs w:val="24"/>
              </w:rPr>
              <w:t>878</w:t>
            </w:r>
          </w:p>
        </w:tc>
      </w:tr>
    </w:tbl>
    <w:p w:rsidR="001A6AE0" w:rsidP="00656B4E" w:rsidRDefault="001A6AE0" w14:paraId="64280EE1" w14:textId="3F94A9DE">
      <w:pPr>
        <w:pStyle w:val="ListParagraph"/>
        <w:tabs>
          <w:tab w:val="left" w:pos="-720"/>
        </w:tabs>
        <w:suppressAutoHyphens/>
        <w:ind w:left="-864" w:right="-864"/>
        <w:rPr>
          <w:rStyle w:val="a"/>
          <w:rFonts w:ascii="Times New Roman" w:hAnsi="Times New Roman"/>
          <w:b/>
          <w:bCs/>
          <w:i/>
          <w:iCs/>
          <w:szCs w:val="24"/>
        </w:rPr>
      </w:pPr>
    </w:p>
    <w:p w:rsidRPr="00BD0B01" w:rsidR="008F6F57" w:rsidP="008F6F57" w:rsidRDefault="008F6F57" w14:paraId="4A104D16" w14:textId="1C1CA66C">
      <w:pPr>
        <w:autoSpaceDE w:val="0"/>
        <w:autoSpaceDN w:val="0"/>
        <w:adjustRightInd w:val="0"/>
        <w:ind w:left="720"/>
        <w:rPr>
          <w:rFonts w:asciiTheme="minorHAnsi" w:hAnsiTheme="minorHAnsi" w:cstheme="minorHAnsi"/>
          <w:szCs w:val="24"/>
        </w:rPr>
      </w:pPr>
      <w:r w:rsidRPr="00BD0B01">
        <w:rPr>
          <w:rFonts w:asciiTheme="minorHAnsi" w:hAnsiTheme="minorHAnsi" w:cstheme="minorHAnsi"/>
          <w:szCs w:val="24"/>
        </w:rPr>
        <w:t xml:space="preserve">Students’ hourly rate estimated using national median weekly wage for 16-24 year-olds.  Bureau of Labor Statistics, Labor Force Statistics, Table 3: Median usual weekly earnings of full-time wage and salary workers by age, race, Hispanic or Latino ethnicity, and sex, not seasonally adjusted.  Available at </w:t>
      </w:r>
      <w:hyperlink w:history="1" r:id="rId12">
        <w:r w:rsidRPr="008F6F57">
          <w:rPr>
            <w:rStyle w:val="Hyperlink"/>
            <w:rFonts w:asciiTheme="minorHAnsi" w:hAnsiTheme="minorHAnsi" w:cstheme="minorHAnsi"/>
          </w:rPr>
          <w:t>https://www.bls.gov/webapps/legacy/cpswktab3.htm</w:t>
        </w:r>
      </w:hyperlink>
      <w:r>
        <w:rPr>
          <w:rFonts w:asciiTheme="minorHAnsi" w:hAnsiTheme="minorHAnsi" w:cstheme="minorHAnsi"/>
        </w:rPr>
        <w:t xml:space="preserve"> </w:t>
      </w:r>
      <w:r w:rsidRPr="00BD0B01">
        <w:rPr>
          <w:rFonts w:asciiTheme="minorHAnsi" w:hAnsiTheme="minorHAnsi" w:cstheme="minorHAnsi"/>
          <w:szCs w:val="24"/>
        </w:rPr>
        <w:t>.</w:t>
      </w:r>
      <w:hyperlink w:history="1"/>
      <w:r w:rsidRPr="00BD0B01">
        <w:rPr>
          <w:rFonts w:asciiTheme="minorHAnsi" w:hAnsiTheme="minorHAnsi" w:cstheme="minorHAnsi"/>
          <w:szCs w:val="24"/>
        </w:rPr>
        <w:t xml:space="preserve">  Last accessed April 13, 2021.</w:t>
      </w:r>
    </w:p>
    <w:p w:rsidRPr="00A3270B" w:rsidR="008F6F57" w:rsidP="00656B4E" w:rsidRDefault="008F6F57" w14:paraId="02175BA4" w14:textId="77777777">
      <w:pPr>
        <w:pStyle w:val="ListParagraph"/>
        <w:tabs>
          <w:tab w:val="left" w:pos="-720"/>
        </w:tabs>
        <w:suppressAutoHyphens/>
        <w:ind w:left="-864" w:right="-864"/>
        <w:rPr>
          <w:rStyle w:val="a"/>
          <w:rFonts w:ascii="Times New Roman" w:hAnsi="Times New Roman"/>
          <w:szCs w:val="24"/>
        </w:rPr>
      </w:pPr>
    </w:p>
    <w:p w:rsidRPr="00ED7195" w:rsidR="00043C32" w:rsidP="00656B4E"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656B4E" w:rsidRDefault="00043C32" w14:paraId="64280EE5" w14:textId="77777777">
      <w:pPr>
        <w:tabs>
          <w:tab w:val="left" w:pos="-720"/>
        </w:tabs>
        <w:suppressAutoHyphens/>
        <w:rPr>
          <w:rFonts w:ascii="Times New Roman" w:hAnsi="Times New Roman"/>
          <w:b/>
          <w:szCs w:val="24"/>
        </w:rPr>
      </w:pPr>
    </w:p>
    <w:p w:rsidRPr="00ED7195" w:rsidR="00043C32" w:rsidP="00656B4E"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656B4E"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656B4E"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656B4E"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656B4E"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656B4E" w:rsidRDefault="00043C32" w14:paraId="64280EEB" w14:textId="77777777">
      <w:pPr>
        <w:tabs>
          <w:tab w:val="left" w:pos="-720"/>
        </w:tabs>
        <w:suppressAutoHyphens/>
        <w:rPr>
          <w:rFonts w:ascii="Times New Roman" w:hAnsi="Times New Roman"/>
          <w:b/>
          <w:szCs w:val="24"/>
        </w:rPr>
      </w:pPr>
    </w:p>
    <w:p w:rsidRPr="00ED7195" w:rsidR="00043C32" w:rsidP="00656B4E"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656B4E"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lastRenderedPageBreak/>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656B4E"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656B4E" w:rsidRDefault="00043C32" w14:paraId="64280EEF" w14:textId="489618A7">
      <w:pPr>
        <w:tabs>
          <w:tab w:val="left" w:pos="-720"/>
        </w:tabs>
        <w:suppressAutoHyphens/>
        <w:rPr>
          <w:rFonts w:ascii="Times New Roman" w:hAnsi="Times New Roman"/>
          <w:szCs w:val="24"/>
        </w:rPr>
      </w:pPr>
    </w:p>
    <w:p w:rsidRPr="001C1992" w:rsidR="001C1992" w:rsidP="00656B4E" w:rsidRDefault="001C1992" w14:paraId="4780C61F" w14:textId="77777777">
      <w:pPr>
        <w:tabs>
          <w:tab w:val="left" w:pos="-720"/>
        </w:tabs>
        <w:suppressAutoHyphens/>
        <w:ind w:left="720"/>
        <w:rPr>
          <w:rFonts w:asciiTheme="minorHAnsi" w:hAnsiTheme="minorHAnsi" w:cstheme="minorHAnsi"/>
        </w:rPr>
      </w:pPr>
      <w:r w:rsidRPr="001C1992">
        <w:rPr>
          <w:rFonts w:asciiTheme="minorHAnsi" w:hAnsiTheme="minorHAnsi" w:cstheme="minorHAnsi"/>
        </w:rPr>
        <w:t>There are no capital/startup costs to respondents.</w:t>
      </w:r>
    </w:p>
    <w:p w:rsidR="001C1992" w:rsidP="00656B4E" w:rsidRDefault="001C1992" w14:paraId="25D80F6A" w14:textId="77777777">
      <w:pPr>
        <w:tabs>
          <w:tab w:val="left" w:pos="-720"/>
        </w:tabs>
        <w:suppressAutoHyphens/>
        <w:rPr>
          <w:rFonts w:ascii="Times New Roman" w:hAnsi="Times New Roman"/>
          <w:szCs w:val="24"/>
        </w:rPr>
      </w:pPr>
    </w:p>
    <w:p w:rsidRPr="00534B4A" w:rsidR="00043C32" w:rsidP="00656B4E"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656B4E" w:rsidRDefault="00534B4A" w14:paraId="64280EF1" w14:textId="77777777">
      <w:pPr>
        <w:tabs>
          <w:tab w:val="left" w:pos="-720"/>
        </w:tabs>
        <w:suppressAutoHyphens/>
        <w:ind w:left="720"/>
        <w:rPr>
          <w:rFonts w:ascii="Times New Roman" w:hAnsi="Times New Roman"/>
          <w:szCs w:val="24"/>
        </w:rPr>
      </w:pPr>
    </w:p>
    <w:p w:rsidRPr="004C6EE8" w:rsidR="001C1992" w:rsidP="00656B4E" w:rsidRDefault="001C1992" w14:paraId="7F774670" w14:textId="77777777">
      <w:pPr>
        <w:ind w:left="720"/>
        <w:rPr>
          <w:rFonts w:asciiTheme="minorHAnsi" w:hAnsiTheme="minorHAnsi" w:cstheme="minorHAnsi"/>
        </w:rPr>
      </w:pPr>
      <w:r w:rsidRPr="004C6EE8">
        <w:rPr>
          <w:rFonts w:asciiTheme="minorHAnsi" w:hAnsiTheme="minorHAnsi" w:cstheme="minorHAnsi"/>
        </w:rPr>
        <w:t>There is no significant cost to the federal government related to these forms from FFEL Program, Direct Loan, or Perkins Loan borrowers, since loan holders and servicers distribute and process the loan discharge applications, and Department servicers do not specifically charge the government for distributing these forms.</w:t>
      </w:r>
    </w:p>
    <w:p w:rsidRPr="004C6EE8" w:rsidR="00534B4A" w:rsidP="00656B4E" w:rsidRDefault="00534B4A" w14:paraId="64280EF2" w14:textId="51A513E4">
      <w:pPr>
        <w:pStyle w:val="ListParagraph"/>
        <w:tabs>
          <w:tab w:val="left" w:pos="-720"/>
        </w:tabs>
        <w:suppressAutoHyphens/>
        <w:contextualSpacing w:val="0"/>
        <w:rPr>
          <w:rFonts w:asciiTheme="minorHAnsi" w:hAnsiTheme="minorHAnsi" w:cstheme="minorHAnsi"/>
          <w:szCs w:val="24"/>
        </w:rPr>
      </w:pPr>
    </w:p>
    <w:p w:rsidR="00800D30" w:rsidP="00656B4E"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656B4E"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656B4E"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656B4E"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656B4E" w:rsidRDefault="0052073E" w14:paraId="64280EF7" w14:textId="77777777">
            <w:pPr>
              <w:tabs>
                <w:tab w:val="left" w:pos="-720"/>
              </w:tabs>
              <w:suppressAutoHyphens/>
              <w:rPr>
                <w:rFonts w:ascii="Times New Roman" w:hAnsi="Times New Roman"/>
                <w:b/>
                <w:szCs w:val="24"/>
              </w:rPr>
            </w:pPr>
          </w:p>
        </w:tc>
        <w:tc>
          <w:tcPr>
            <w:tcW w:w="2048" w:type="dxa"/>
          </w:tcPr>
          <w:p w:rsidR="0052073E" w:rsidP="00656B4E"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656B4E"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656B4E"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656B4E"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656B4E" w:rsidRDefault="0052073E" w14:paraId="64280EFD" w14:textId="77777777">
            <w:pPr>
              <w:tabs>
                <w:tab w:val="left" w:pos="-720"/>
              </w:tabs>
              <w:suppressAutoHyphens/>
              <w:rPr>
                <w:rFonts w:ascii="Times New Roman" w:hAnsi="Times New Roman"/>
                <w:b/>
                <w:szCs w:val="24"/>
              </w:rPr>
            </w:pPr>
          </w:p>
        </w:tc>
        <w:tc>
          <w:tcPr>
            <w:tcW w:w="2829" w:type="dxa"/>
          </w:tcPr>
          <w:p w:rsidR="000B7B23" w:rsidP="000B7B23" w:rsidRDefault="000B7B23" w14:paraId="64280EFE" w14:textId="1666C545">
            <w:pPr>
              <w:tabs>
                <w:tab w:val="left" w:pos="-720"/>
              </w:tabs>
              <w:suppressAutoHyphens/>
              <w:jc w:val="right"/>
              <w:rPr>
                <w:rFonts w:ascii="Times New Roman" w:hAnsi="Times New Roman"/>
                <w:b/>
                <w:szCs w:val="24"/>
              </w:rPr>
            </w:pPr>
            <w:r>
              <w:rPr>
                <w:rFonts w:ascii="Times New Roman" w:hAnsi="Times New Roman"/>
                <w:b/>
                <w:szCs w:val="24"/>
              </w:rPr>
              <w:t>6,393</w:t>
            </w:r>
          </w:p>
        </w:tc>
        <w:tc>
          <w:tcPr>
            <w:tcW w:w="2520" w:type="dxa"/>
          </w:tcPr>
          <w:p w:rsidR="0052073E" w:rsidP="00656B4E"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656B4E"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656B4E" w:rsidRDefault="0052073E" w14:paraId="64280F02" w14:textId="77777777">
            <w:pPr>
              <w:tabs>
                <w:tab w:val="left" w:pos="-720"/>
              </w:tabs>
              <w:suppressAutoHyphens/>
              <w:rPr>
                <w:rFonts w:ascii="Times New Roman" w:hAnsi="Times New Roman"/>
                <w:b/>
                <w:szCs w:val="24"/>
              </w:rPr>
            </w:pPr>
          </w:p>
        </w:tc>
        <w:tc>
          <w:tcPr>
            <w:tcW w:w="2829" w:type="dxa"/>
          </w:tcPr>
          <w:p w:rsidR="0052073E" w:rsidP="000B7B23" w:rsidRDefault="000B7B23" w14:paraId="64280F03" w14:textId="7F90C378">
            <w:pPr>
              <w:tabs>
                <w:tab w:val="left" w:pos="-720"/>
              </w:tabs>
              <w:suppressAutoHyphens/>
              <w:jc w:val="right"/>
              <w:rPr>
                <w:rFonts w:ascii="Times New Roman" w:hAnsi="Times New Roman"/>
                <w:b/>
                <w:szCs w:val="24"/>
              </w:rPr>
            </w:pPr>
            <w:r>
              <w:rPr>
                <w:rFonts w:ascii="Times New Roman" w:hAnsi="Times New Roman"/>
                <w:b/>
                <w:szCs w:val="24"/>
              </w:rPr>
              <w:t>27,042</w:t>
            </w:r>
          </w:p>
        </w:tc>
        <w:tc>
          <w:tcPr>
            <w:tcW w:w="2520" w:type="dxa"/>
          </w:tcPr>
          <w:p w:rsidR="0052073E" w:rsidP="00656B4E"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656B4E"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656B4E" w:rsidRDefault="0052073E" w14:paraId="64280F07" w14:textId="77777777">
            <w:pPr>
              <w:tabs>
                <w:tab w:val="left" w:pos="-720"/>
              </w:tabs>
              <w:suppressAutoHyphens/>
              <w:rPr>
                <w:rFonts w:ascii="Times New Roman" w:hAnsi="Times New Roman"/>
                <w:b/>
                <w:szCs w:val="24"/>
              </w:rPr>
            </w:pPr>
          </w:p>
        </w:tc>
        <w:tc>
          <w:tcPr>
            <w:tcW w:w="2829" w:type="dxa"/>
          </w:tcPr>
          <w:p w:rsidR="0052073E" w:rsidP="000B7B23" w:rsidRDefault="000B7B23" w14:paraId="64280F08" w14:textId="5B0679AC">
            <w:pPr>
              <w:tabs>
                <w:tab w:val="left" w:pos="-720"/>
              </w:tabs>
              <w:suppressAutoHyphens/>
              <w:jc w:val="right"/>
              <w:rPr>
                <w:rFonts w:ascii="Times New Roman" w:hAnsi="Times New Roman"/>
                <w:b/>
                <w:szCs w:val="24"/>
              </w:rPr>
            </w:pPr>
            <w:r>
              <w:rPr>
                <w:rFonts w:asciiTheme="minorHAnsi" w:hAnsiTheme="minorHAnsi" w:cstheme="minorHAnsi"/>
                <w:b/>
                <w:bCs/>
                <w:szCs w:val="24"/>
              </w:rPr>
              <w:t>$</w:t>
            </w:r>
            <w:r w:rsidRPr="008F6F57" w:rsidR="008F6F57">
              <w:rPr>
                <w:rFonts w:ascii="Times New Roman" w:hAnsi="Times New Roman"/>
                <w:b/>
                <w:bCs/>
                <w:szCs w:val="24"/>
              </w:rPr>
              <w:t>111,878</w:t>
            </w:r>
          </w:p>
        </w:tc>
        <w:tc>
          <w:tcPr>
            <w:tcW w:w="2520" w:type="dxa"/>
          </w:tcPr>
          <w:p w:rsidR="0052073E" w:rsidP="00656B4E" w:rsidRDefault="0052073E" w14:paraId="64280F09" w14:textId="77777777">
            <w:pPr>
              <w:tabs>
                <w:tab w:val="left" w:pos="-720"/>
              </w:tabs>
              <w:suppressAutoHyphens/>
              <w:rPr>
                <w:rFonts w:ascii="Times New Roman" w:hAnsi="Times New Roman"/>
                <w:b/>
                <w:szCs w:val="24"/>
              </w:rPr>
            </w:pPr>
          </w:p>
        </w:tc>
      </w:tr>
    </w:tbl>
    <w:p w:rsidRPr="005F4E11" w:rsidR="00F27AAF" w:rsidP="00656B4E" w:rsidRDefault="00F27AAF" w14:paraId="64280F0B" w14:textId="77777777">
      <w:pPr>
        <w:tabs>
          <w:tab w:val="left" w:pos="-720"/>
        </w:tabs>
        <w:suppressAutoHyphens/>
        <w:ind w:left="720"/>
        <w:rPr>
          <w:rFonts w:ascii="Times New Roman" w:hAnsi="Times New Roman"/>
          <w:bCs/>
          <w:szCs w:val="24"/>
        </w:rPr>
      </w:pPr>
    </w:p>
    <w:p w:rsidR="004C6EE8" w:rsidP="00656B4E" w:rsidRDefault="004C6EE8" w14:paraId="7BF83015" w14:textId="497EAD19">
      <w:pPr>
        <w:ind w:left="720"/>
        <w:rPr>
          <w:rFonts w:asciiTheme="minorHAnsi" w:hAnsiTheme="minorHAnsi" w:cstheme="minorHAnsi"/>
        </w:rPr>
      </w:pPr>
      <w:r w:rsidRPr="004C6EE8">
        <w:rPr>
          <w:rFonts w:asciiTheme="minorHAnsi" w:hAnsiTheme="minorHAnsi" w:cstheme="minorHAnsi"/>
        </w:rPr>
        <w:t>We are requesting an extension of the burden associated with information collection 1845-0018.  The burden hours are 6,393 and the respondents/responses are 27,042.  There has been no change in the underlying statutes or regulations which support these request forms.</w:t>
      </w:r>
    </w:p>
    <w:p w:rsidR="00CE189C" w:rsidP="00656B4E" w:rsidRDefault="00CE189C" w14:paraId="1BC37B24" w14:textId="1D2D5E27">
      <w:pPr>
        <w:ind w:left="720"/>
        <w:rPr>
          <w:rFonts w:asciiTheme="minorHAnsi" w:hAnsiTheme="minorHAnsi" w:cstheme="minorHAnsi"/>
        </w:rPr>
      </w:pPr>
    </w:p>
    <w:p w:rsidR="00CE189C" w:rsidP="00CE189C" w:rsidRDefault="00CE189C" w14:paraId="3C7FE1FB" w14:textId="30E07029">
      <w:pPr>
        <w:tabs>
          <w:tab w:val="left" w:pos="-720"/>
        </w:tabs>
        <w:suppressAutoHyphens/>
        <w:ind w:left="720"/>
        <w:rPr>
          <w:rFonts w:asciiTheme="minorHAnsi" w:hAnsiTheme="minorHAnsi" w:cstheme="minorHAnsi"/>
        </w:rPr>
      </w:pPr>
      <w:r>
        <w:rPr>
          <w:rFonts w:asciiTheme="minorHAnsi" w:hAnsiTheme="minorHAnsi" w:cstheme="minorHAnsi"/>
        </w:rPr>
        <w:lastRenderedPageBreak/>
        <w:t xml:space="preserve">Based on some of the comments received during the 60 day public comment period, there have been revisions to the </w:t>
      </w:r>
      <w:r w:rsidR="001C7D58">
        <w:rPr>
          <w:rFonts w:asciiTheme="minorHAnsi" w:hAnsiTheme="minorHAnsi" w:cstheme="minorHAnsi"/>
        </w:rPr>
        <w:t xml:space="preserve">language on the </w:t>
      </w:r>
      <w:r>
        <w:rPr>
          <w:rFonts w:asciiTheme="minorHAnsi" w:hAnsiTheme="minorHAnsi" w:cstheme="minorHAnsi"/>
        </w:rPr>
        <w:t xml:space="preserve">forms, see attached comment response table and updated forms.  There is no change to the burden estimates  based on these changes. </w:t>
      </w:r>
    </w:p>
    <w:p w:rsidRPr="005F4E11" w:rsidR="00534B4A" w:rsidP="00656B4E" w:rsidRDefault="00534B4A" w14:paraId="64280F0C" w14:textId="77777777">
      <w:pPr>
        <w:tabs>
          <w:tab w:val="left" w:pos="-720"/>
        </w:tabs>
        <w:suppressAutoHyphens/>
        <w:ind w:left="720"/>
        <w:rPr>
          <w:rFonts w:ascii="Times New Roman" w:hAnsi="Times New Roman"/>
          <w:bCs/>
          <w:szCs w:val="24"/>
        </w:rPr>
      </w:pPr>
    </w:p>
    <w:p w:rsidR="00043C32" w:rsidP="00656B4E"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656B4E" w:rsidRDefault="00534B4A" w14:paraId="64280F0E" w14:textId="77777777">
      <w:pPr>
        <w:tabs>
          <w:tab w:val="left" w:pos="-720"/>
        </w:tabs>
        <w:suppressAutoHyphens/>
        <w:ind w:left="720"/>
        <w:rPr>
          <w:rFonts w:ascii="Times New Roman" w:hAnsi="Times New Roman"/>
          <w:szCs w:val="24"/>
        </w:rPr>
      </w:pPr>
    </w:p>
    <w:p w:rsidRPr="004C6EE8" w:rsidR="004C6EE8" w:rsidP="00656B4E" w:rsidRDefault="004C6EE8" w14:paraId="72E5D6F2" w14:textId="77777777">
      <w:pPr>
        <w:tabs>
          <w:tab w:val="left" w:pos="-720"/>
        </w:tabs>
        <w:suppressAutoHyphens/>
        <w:ind w:left="720"/>
        <w:rPr>
          <w:rFonts w:asciiTheme="minorHAnsi" w:hAnsiTheme="minorHAnsi" w:cstheme="minorHAnsi"/>
        </w:rPr>
      </w:pPr>
      <w:r w:rsidRPr="004C6EE8">
        <w:rPr>
          <w:rFonts w:asciiTheme="minorHAnsi" w:hAnsiTheme="minorHAnsi" w:cstheme="minorHAnsi"/>
        </w:rPr>
        <w:t>The results of this information collection will not be published.</w:t>
      </w:r>
    </w:p>
    <w:p w:rsidRPr="00534B4A" w:rsidR="00534B4A" w:rsidP="00656B4E" w:rsidRDefault="00534B4A" w14:paraId="64280F0F" w14:textId="77777777">
      <w:pPr>
        <w:tabs>
          <w:tab w:val="left" w:pos="-720"/>
        </w:tabs>
        <w:suppressAutoHyphens/>
        <w:ind w:left="720"/>
        <w:rPr>
          <w:rFonts w:ascii="Times New Roman" w:hAnsi="Times New Roman"/>
          <w:szCs w:val="24"/>
        </w:rPr>
      </w:pPr>
    </w:p>
    <w:p w:rsidRPr="00534B4A" w:rsidR="00043C32" w:rsidP="00656B4E"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656B4E" w:rsidRDefault="00534B4A" w14:paraId="64280F11" w14:textId="77777777">
      <w:pPr>
        <w:tabs>
          <w:tab w:val="left" w:pos="-720"/>
        </w:tabs>
        <w:suppressAutoHyphens/>
        <w:ind w:left="720"/>
        <w:rPr>
          <w:rFonts w:ascii="Times New Roman" w:hAnsi="Times New Roman"/>
          <w:bCs/>
          <w:szCs w:val="24"/>
        </w:rPr>
      </w:pPr>
    </w:p>
    <w:p w:rsidRPr="004C6EE8" w:rsidR="004C6EE8" w:rsidP="00656B4E" w:rsidRDefault="004C6EE8" w14:paraId="27D28CCA" w14:textId="77777777">
      <w:pPr>
        <w:tabs>
          <w:tab w:val="left" w:pos="-720"/>
        </w:tabs>
        <w:suppressAutoHyphens/>
        <w:ind w:left="720"/>
        <w:rPr>
          <w:rFonts w:asciiTheme="minorHAnsi" w:hAnsiTheme="minorHAnsi" w:cstheme="minorHAnsi"/>
        </w:rPr>
      </w:pPr>
      <w:r w:rsidRPr="004C6EE8">
        <w:rPr>
          <w:rFonts w:asciiTheme="minorHAnsi" w:hAnsiTheme="minorHAnsi" w:cstheme="minorHAnsi"/>
        </w:rPr>
        <w:t>The Department is not seeking this approval.</w:t>
      </w:r>
    </w:p>
    <w:p w:rsidRPr="00AA5138" w:rsidR="00534B4A" w:rsidP="00656B4E" w:rsidRDefault="00534B4A" w14:paraId="64280F12" w14:textId="77777777">
      <w:pPr>
        <w:tabs>
          <w:tab w:val="left" w:pos="-720"/>
        </w:tabs>
        <w:suppressAutoHyphens/>
        <w:ind w:left="720"/>
        <w:rPr>
          <w:rFonts w:ascii="Times New Roman" w:hAnsi="Times New Roman"/>
          <w:bCs/>
          <w:szCs w:val="24"/>
        </w:rPr>
      </w:pPr>
    </w:p>
    <w:p w:rsidR="001C73C0" w:rsidP="00656B4E"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C6EE8" w:rsidP="00656B4E" w:rsidRDefault="004C6EE8" w14:paraId="1B9B6FAF" w14:textId="77777777">
      <w:pPr>
        <w:pStyle w:val="ListParagraph"/>
        <w:tabs>
          <w:tab w:val="left" w:pos="-720"/>
        </w:tabs>
        <w:suppressAutoHyphens/>
        <w:rPr>
          <w:rFonts w:ascii="Times New Roman" w:hAnsi="Times New Roman"/>
        </w:rPr>
      </w:pPr>
    </w:p>
    <w:p w:rsidR="004C6EE8" w:rsidP="00656B4E" w:rsidRDefault="004C6EE8" w14:paraId="7E1DDCC7" w14:textId="3EE55425">
      <w:pPr>
        <w:pStyle w:val="ListParagraph"/>
        <w:tabs>
          <w:tab w:val="left" w:pos="-720"/>
        </w:tabs>
        <w:suppressAutoHyphens/>
        <w:rPr>
          <w:rFonts w:asciiTheme="minorHAnsi" w:hAnsiTheme="minorHAnsi" w:cstheme="minorHAnsi"/>
        </w:rPr>
      </w:pPr>
      <w:r w:rsidRPr="004C6EE8">
        <w:rPr>
          <w:rFonts w:asciiTheme="minorHAnsi" w:hAnsiTheme="minorHAnsi" w:cstheme="minorHAnsi"/>
        </w:rPr>
        <w:t>The Department is not requesting any exceptions to the "Certification for Paperwork Reduction Act Submissions".</w:t>
      </w:r>
    </w:p>
    <w:p w:rsidRPr="004C6EE8" w:rsidR="004C6EE8" w:rsidP="00656B4E" w:rsidRDefault="004C6EE8" w14:paraId="7ED9F6B0" w14:textId="77777777">
      <w:pPr>
        <w:pStyle w:val="ListParagraph"/>
        <w:tabs>
          <w:tab w:val="left" w:pos="-720"/>
        </w:tabs>
        <w:suppressAutoHyphens/>
        <w:rPr>
          <w:rFonts w:asciiTheme="minorHAnsi" w:hAnsiTheme="minorHAnsi" w:cstheme="minorHAnsi"/>
        </w:rPr>
      </w:pPr>
    </w:p>
    <w:sectPr w:rsidRPr="004C6EE8" w:rsidR="004C6EE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D701A6">
    <w:pPr>
      <w:spacing w:before="140" w:line="100" w:lineRule="exact"/>
      <w:rPr>
        <w:sz w:val="10"/>
      </w:rPr>
    </w:pPr>
  </w:p>
  <w:p w14:paraId="64280F19" w14:textId="77777777" w:rsidR="00386054" w:rsidRDefault="00D701A6">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580CF993"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C1992">
      <w:rPr>
        <w:rFonts w:ascii="Times New Roman" w:hAnsi="Times New Roman"/>
        <w:szCs w:val="24"/>
      </w:rPr>
      <w:t>1845</w:t>
    </w:r>
    <w:r w:rsidRPr="00C875E8">
      <w:rPr>
        <w:rFonts w:ascii="Times New Roman" w:hAnsi="Times New Roman"/>
        <w:szCs w:val="24"/>
      </w:rPr>
      <w:t>-</w:t>
    </w:r>
    <w:r w:rsidR="001C1992">
      <w:rPr>
        <w:rFonts w:ascii="Times New Roman" w:hAnsi="Times New Roman"/>
        <w:szCs w:val="24"/>
      </w:rPr>
      <w:t>0018</w:t>
    </w:r>
    <w:r w:rsidR="001C1992">
      <w:rPr>
        <w:rFonts w:ascii="Times New Roman" w:hAnsi="Times New Roman"/>
        <w:szCs w:val="24"/>
      </w:rPr>
      <w:tab/>
    </w:r>
    <w:r w:rsidRPr="00C875E8">
      <w:rPr>
        <w:rFonts w:ascii="Times New Roman" w:hAnsi="Times New Roman"/>
        <w:szCs w:val="24"/>
      </w:rPr>
      <w:t xml:space="preserve">Revised: </w:t>
    </w:r>
    <w:r w:rsidR="00CE189C">
      <w:rPr>
        <w:rFonts w:ascii="Times New Roman" w:hAnsi="Times New Roman"/>
        <w:szCs w:val="24"/>
      </w:rPr>
      <w:t>7/20</w:t>
    </w:r>
    <w:r w:rsidRPr="00C875E8">
      <w:rPr>
        <w:rFonts w:ascii="Times New Roman" w:hAnsi="Times New Roman"/>
        <w:szCs w:val="24"/>
      </w:rPr>
      <w:t>/</w:t>
    </w:r>
    <w:r w:rsidR="001C1992">
      <w:rPr>
        <w:rFonts w:ascii="Times New Roman" w:hAnsi="Times New Roman"/>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B7B23"/>
    <w:rsid w:val="001824F3"/>
    <w:rsid w:val="001A6AE0"/>
    <w:rsid w:val="001C1992"/>
    <w:rsid w:val="001C73C0"/>
    <w:rsid w:val="001C7D58"/>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485493"/>
    <w:rsid w:val="004C6EE8"/>
    <w:rsid w:val="0052073E"/>
    <w:rsid w:val="00534B4A"/>
    <w:rsid w:val="00575DDA"/>
    <w:rsid w:val="00581C11"/>
    <w:rsid w:val="005F4E11"/>
    <w:rsid w:val="00656B4E"/>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252B"/>
    <w:rsid w:val="008E5919"/>
    <w:rsid w:val="008F6F57"/>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3270B"/>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D2067"/>
    <w:rsid w:val="00CD47BC"/>
    <w:rsid w:val="00CE189C"/>
    <w:rsid w:val="00D17B9E"/>
    <w:rsid w:val="00D34984"/>
    <w:rsid w:val="00D36C35"/>
    <w:rsid w:val="00D701A6"/>
    <w:rsid w:val="00D75313"/>
    <w:rsid w:val="00E05B25"/>
    <w:rsid w:val="00E16ACD"/>
    <w:rsid w:val="00E17134"/>
    <w:rsid w:val="00E25EBC"/>
    <w:rsid w:val="00E66550"/>
    <w:rsid w:val="00E841BE"/>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05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webapps/legacy/cpswktab3.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3308</Words>
  <Characters>18858</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2021-07-28T12:16:00Z</dcterms:created>
  <dcterms:modified xsi:type="dcterms:W3CDTF">2021-07-28T12:16:00Z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