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02389C65">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24624">
        <w:rPr>
          <w:rFonts w:ascii="Times New Roman" w:hAnsi="Times New Roman"/>
          <w:szCs w:val="24"/>
        </w:rPr>
        <w:t>New</w:t>
      </w:r>
    </w:p>
    <w:p w:rsidRPr="00196A81" w:rsidR="00EA1767" w:rsidP="00BF1380" w:rsidRDefault="00EA1767" w14:paraId="56DDEF03" w14:textId="769B9C29">
      <w:pPr>
        <w:pStyle w:val="Header"/>
        <w:rPr>
          <w:rFonts w:ascii="Times New Roman" w:hAnsi="Times New Roman"/>
          <w:szCs w:val="24"/>
        </w:rPr>
      </w:pPr>
      <w:r w:rsidRPr="00196A81">
        <w:rPr>
          <w:rFonts w:ascii="Times New Roman" w:hAnsi="Times New Roman"/>
          <w:szCs w:val="24"/>
        </w:rPr>
        <w:t xml:space="preserve">Revised: </w:t>
      </w:r>
      <w:r w:rsidR="005F2CC4">
        <w:rPr>
          <w:rFonts w:ascii="Times New Roman" w:hAnsi="Times New Roman"/>
          <w:szCs w:val="24"/>
        </w:rPr>
        <w:t>4/25</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BB2E68" w:rsidR="004D4824" w:rsidP="00BF1380" w:rsidRDefault="000D18FC" w14:paraId="7D67F356" w14:textId="0232334E">
      <w:pPr>
        <w:rPr>
          <w:rFonts w:ascii="Times New Roman" w:hAnsi="Times New Roman"/>
          <w:szCs w:val="24"/>
        </w:rPr>
      </w:pPr>
      <w:r w:rsidRPr="00BB2E68">
        <w:rPr>
          <w:rFonts w:ascii="Times New Roman" w:hAnsi="Times New Roman"/>
          <w:szCs w:val="24"/>
        </w:rPr>
        <w:t>Under the current unprecedented national health emergency, Congress and the President have come together to offer relief to those individuals and industries affected by the COVID-19 virus under</w:t>
      </w:r>
      <w:r w:rsidRPr="00BB2E68" w:rsidR="00FE47B4">
        <w:rPr>
          <w:rFonts w:ascii="Times New Roman" w:hAnsi="Times New Roman"/>
          <w:szCs w:val="24"/>
        </w:rPr>
        <w:t xml:space="preserve"> the</w:t>
      </w:r>
      <w:r w:rsidRPr="00BB2E68">
        <w:rPr>
          <w:rFonts w:ascii="Times New Roman" w:hAnsi="Times New Roman"/>
          <w:szCs w:val="24"/>
        </w:rPr>
        <w:t xml:space="preserve"> </w:t>
      </w:r>
      <w:r w:rsidRPr="00BB2E68" w:rsidR="00FE47B4">
        <w:rPr>
          <w:rStyle w:val="normaltextrun1"/>
          <w:rFonts w:ascii="Times New Roman" w:hAnsi="Times New Roman"/>
        </w:rPr>
        <w:t>Coronavirus Aid, Relief, and Economic Security Act (CARES Act) (Pub. L. 116–136), the Coronavirus Response and Relief Supplemental Appropriations Act, 2021 (CRRSAA) (Pub. L. 116-260) and the American Rescue Plan Act of 2021 (Pub. L. 117-2</w:t>
      </w:r>
      <w:r w:rsidRPr="00BB2E68" w:rsidR="004D4824">
        <w:rPr>
          <w:rStyle w:val="normaltextrun1"/>
          <w:rFonts w:ascii="Times New Roman" w:hAnsi="Times New Roman"/>
        </w:rPr>
        <w:t>)</w:t>
      </w:r>
      <w:r w:rsidRPr="00BB2E68">
        <w:rPr>
          <w:rFonts w:ascii="Times New Roman" w:hAnsi="Times New Roman"/>
          <w:szCs w:val="24"/>
        </w:rPr>
        <w:t>.</w:t>
      </w:r>
      <w:r w:rsidRPr="00BB2E68" w:rsidR="00382AE5">
        <w:rPr>
          <w:rFonts w:ascii="Times New Roman" w:hAnsi="Times New Roman"/>
          <w:szCs w:val="24"/>
        </w:rPr>
        <w:t xml:space="preserve">  </w:t>
      </w:r>
      <w:r w:rsidRPr="00BB2E68" w:rsidR="00382AE5">
        <w:rPr>
          <w:rStyle w:val="normaltextrun1"/>
          <w:rFonts w:ascii="Times New Roman" w:hAnsi="Times New Roman"/>
        </w:rPr>
        <w:t xml:space="preserve">Institutions eligible for funding under these statutes may elect to voluntarily decline all or a portion of their </w:t>
      </w:r>
      <w:r w:rsidRPr="00BB2E68" w:rsidR="00CF2C7C">
        <w:rPr>
          <w:rStyle w:val="normaltextrun1"/>
          <w:rFonts w:ascii="Times New Roman" w:hAnsi="Times New Roman"/>
        </w:rPr>
        <w:t>Higher Education Emergency Relief Fund (</w:t>
      </w:r>
      <w:r w:rsidRPr="00BB2E68" w:rsidR="00382AE5">
        <w:rPr>
          <w:rStyle w:val="normaltextrun1"/>
          <w:rFonts w:ascii="Times New Roman" w:hAnsi="Times New Roman"/>
        </w:rPr>
        <w:t>HEERF</w:t>
      </w:r>
      <w:r w:rsidRPr="00BB2E68" w:rsidR="00CF2C7C">
        <w:rPr>
          <w:rStyle w:val="normaltextrun1"/>
          <w:rFonts w:ascii="Times New Roman" w:hAnsi="Times New Roman"/>
        </w:rPr>
        <w:t>)</w:t>
      </w:r>
      <w:r w:rsidRPr="00BB2E68" w:rsidR="00382AE5">
        <w:rPr>
          <w:rStyle w:val="normaltextrun1"/>
          <w:rFonts w:ascii="Times New Roman" w:hAnsi="Times New Roman"/>
        </w:rPr>
        <w:t xml:space="preserve"> grant awards, in which case the U.S. Department of Education (the Department) will then </w:t>
      </w:r>
      <w:r w:rsidRPr="00BB2E68" w:rsidR="00382AE5">
        <w:rPr>
          <w:rStyle w:val="spellingerror"/>
          <w:rFonts w:ascii="Times New Roman" w:hAnsi="Times New Roman"/>
        </w:rPr>
        <w:t>deobligate</w:t>
      </w:r>
      <w:r w:rsidRPr="00BB2E68" w:rsidR="00382AE5">
        <w:rPr>
          <w:rStyle w:val="normaltextrun1"/>
          <w:rFonts w:ascii="Times New Roman" w:hAnsi="Times New Roman"/>
        </w:rPr>
        <w:t xml:space="preserve"> the funds from the institution’s G5 account and will later redistribute the funds to other institutions with greater needs due to the coronavirus.  </w:t>
      </w:r>
      <w:r w:rsidRPr="00BB2E68" w:rsidR="00382AE5">
        <w:rPr>
          <w:rFonts w:ascii="Times New Roman" w:hAnsi="Times New Roman"/>
        </w:rPr>
        <w:t xml:space="preserve">In order to process the deobligation and redistribution of these funds more efficiently, the Department is requesting </w:t>
      </w:r>
      <w:r w:rsidRPr="00BB2E68" w:rsidR="00382AE5">
        <w:rPr>
          <w:rFonts w:ascii="Times New Roman" w:hAnsi="Times New Roman"/>
          <w:szCs w:val="24"/>
        </w:rPr>
        <w:t>emergency clearance</w:t>
      </w:r>
      <w:r w:rsidRPr="00BB2E68" w:rsidR="00382AE5">
        <w:rPr>
          <w:rFonts w:ascii="Times New Roman" w:hAnsi="Times New Roman"/>
        </w:rPr>
        <w:t xml:space="preserve"> of a short form that will allow these institutions to provide the Department with information regarding the funds being declined.</w:t>
      </w:r>
      <w:r w:rsidRPr="00BB2E68" w:rsidR="001853B4">
        <w:rPr>
          <w:rFonts w:ascii="Times New Roman" w:hAnsi="Times New Roman"/>
          <w:szCs w:val="24"/>
        </w:rPr>
        <w:t xml:space="preserve">  </w:t>
      </w:r>
    </w:p>
    <w:p w:rsidRPr="00BB2E68" w:rsidR="004D4824" w:rsidP="00BF1380" w:rsidRDefault="004D4824" w14:paraId="4C75D229"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110916D6">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w:t>
      </w:r>
      <w:r w:rsidR="00DD1202">
        <w:rPr>
          <w:rFonts w:ascii="Times New Roman" w:hAnsi="Times New Roman"/>
          <w:szCs w:val="24"/>
        </w:rPr>
        <w:t>deobligate and redistribute</w:t>
      </w:r>
      <w:r w:rsidR="00CF2C7C">
        <w:rPr>
          <w:rFonts w:ascii="Times New Roman" w:hAnsi="Times New Roman"/>
          <w:szCs w:val="24"/>
        </w:rPr>
        <w:t xml:space="preserve"> HEERF</w:t>
      </w:r>
      <w:r w:rsidR="00DD1202">
        <w:rPr>
          <w:rFonts w:ascii="Times New Roman" w:hAnsi="Times New Roman"/>
          <w:szCs w:val="24"/>
        </w:rPr>
        <w:t xml:space="preserve"> funds</w:t>
      </w:r>
      <w:r w:rsidR="00EF7F02">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ED26AF" w:rsidR="00063A39" w:rsidP="00BF1380" w:rsidRDefault="00A42384" w14:paraId="37776BE0" w14:textId="6F32F051">
      <w:pPr>
        <w:pStyle w:val="ListParagraph"/>
        <w:tabs>
          <w:tab w:val="left" w:pos="-720"/>
        </w:tabs>
        <w:suppressAutoHyphens/>
        <w:ind w:left="0"/>
        <w:contextualSpacing w:val="0"/>
        <w:rPr>
          <w:rFonts w:ascii="Times New Roman" w:hAnsi="Times New Roman"/>
        </w:rPr>
      </w:pPr>
      <w:r w:rsidRPr="00ED26AF">
        <w:rPr>
          <w:rFonts w:ascii="Times New Roman" w:hAnsi="Times New Roman"/>
        </w:rPr>
        <w:t xml:space="preserve">If this emergency collection is not approved, the Department will be unable to deobligate and redistribute these funds in a timely manner.  </w:t>
      </w:r>
    </w:p>
    <w:p w:rsidRPr="00196A81" w:rsidR="00A42384" w:rsidP="00BF1380" w:rsidRDefault="00A42384" w14:paraId="103A5069"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A69D3" w14:paraId="26F175CE" w14:textId="0C21094B">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w:t>
      </w:r>
      <w:r w:rsidRPr="00CB044A">
        <w:rPr>
          <w:rFonts w:ascii="Times New Roman" w:hAnsi="Times New Roman"/>
        </w:rPr>
        <w:t xml:space="preserve">by </w:t>
      </w:r>
      <w:r w:rsidR="009F79EF">
        <w:rPr>
          <w:rFonts w:ascii="Times New Roman" w:hAnsi="Times New Roman"/>
        </w:rPr>
        <w:t>May 7</w:t>
      </w:r>
      <w:r w:rsidRPr="00CB044A">
        <w:rPr>
          <w:rFonts w:ascii="Times New Roman" w:hAnsi="Times New Roman"/>
        </w:rPr>
        <w:t>, 2021 and will</w:t>
      </w:r>
      <w:r w:rsidRPr="006856D2">
        <w:rPr>
          <w:rFonts w:ascii="Times New Roman" w:hAnsi="Times New Roman"/>
        </w:rPr>
        <w:t xml:space="preserve">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w:t>
      </w:r>
      <w:r w:rsidRPr="00196A81">
        <w:rPr>
          <w:rStyle w:val="a"/>
          <w:rFonts w:ascii="Times New Roman" w:hAnsi="Times New Roman"/>
          <w:b/>
          <w:szCs w:val="24"/>
        </w:rPr>
        <w:lastRenderedPageBreak/>
        <w:t xml:space="preserve">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A44A53" w:rsidTr="00B17ED8" w14:paraId="329F9DD3" w14:textId="77777777">
        <w:tc>
          <w:tcPr>
            <w:tcW w:w="1345" w:type="dxa"/>
          </w:tcPr>
          <w:p w:rsidR="00A44A53" w:rsidP="00A44A53" w:rsidRDefault="00A44A53" w14:paraId="30631FD5" w14:textId="3B07091A">
            <w:pPr>
              <w:tabs>
                <w:tab w:val="left" w:pos="0"/>
              </w:tabs>
              <w:rPr>
                <w:rFonts w:ascii="Times New Roman" w:hAnsi="Times New Roman"/>
                <w:iCs/>
                <w:szCs w:val="24"/>
              </w:rPr>
            </w:pPr>
            <w:r>
              <w:rPr>
                <w:rFonts w:ascii="Times New Roman" w:hAnsi="Times New Roman"/>
                <w:iCs/>
                <w:szCs w:val="24"/>
              </w:rPr>
              <w:t>Private non-profit institutions</w:t>
            </w:r>
          </w:p>
        </w:tc>
        <w:tc>
          <w:tcPr>
            <w:tcW w:w="1248" w:type="dxa"/>
          </w:tcPr>
          <w:p w:rsidRPr="000F0D08" w:rsidR="00A44A53" w:rsidP="00A44A53" w:rsidRDefault="00A44A53" w14:paraId="65C8F423" w14:textId="549F3A4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A44A53" w14:paraId="694AC0AC" w14:textId="7B8CA6B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A44A53" w14:paraId="73CE7E24" w14:textId="238D62D2">
            <w:pPr>
              <w:tabs>
                <w:tab w:val="left" w:pos="0"/>
              </w:tabs>
              <w:rPr>
                <w:rFonts w:ascii="Times New Roman" w:hAnsi="Times New Roman"/>
              </w:rPr>
            </w:pPr>
            <w:r>
              <w:rPr>
                <w:rFonts w:ascii="Times New Roman" w:hAnsi="Times New Roman"/>
              </w:rPr>
              <w:t>100</w:t>
            </w:r>
          </w:p>
        </w:tc>
        <w:tc>
          <w:tcPr>
            <w:tcW w:w="1249" w:type="dxa"/>
          </w:tcPr>
          <w:p w:rsidRPr="000F0D08" w:rsidR="00A44A53" w:rsidP="00A44A53" w:rsidRDefault="00A44A53" w14:paraId="53CA2E5A" w14:textId="102FAFE2">
            <w:pPr>
              <w:tabs>
                <w:tab w:val="left" w:pos="0"/>
              </w:tabs>
              <w:rPr>
                <w:rFonts w:ascii="Times New Roman" w:hAnsi="Times New Roman"/>
              </w:rPr>
            </w:pPr>
            <w:r>
              <w:rPr>
                <w:rFonts w:ascii="Times New Roman" w:hAnsi="Times New Roman"/>
              </w:rPr>
              <w:t>100</w:t>
            </w:r>
          </w:p>
        </w:tc>
        <w:tc>
          <w:tcPr>
            <w:tcW w:w="1248" w:type="dxa"/>
          </w:tcPr>
          <w:p w:rsidR="00A44A53" w:rsidP="00A44A53" w:rsidRDefault="00A44A53" w14:paraId="0E611587" w14:textId="2B042E92">
            <w:pPr>
              <w:tabs>
                <w:tab w:val="left" w:pos="0"/>
              </w:tabs>
              <w:rPr>
                <w:rFonts w:ascii="Times New Roman" w:hAnsi="Times New Roman"/>
                <w:szCs w:val="24"/>
              </w:rPr>
            </w:pPr>
            <w:r>
              <w:rPr>
                <w:rFonts w:ascii="Times New Roman" w:hAnsi="Times New Roman"/>
                <w:szCs w:val="24"/>
              </w:rPr>
              <w:t>.5</w:t>
            </w:r>
          </w:p>
        </w:tc>
        <w:tc>
          <w:tcPr>
            <w:tcW w:w="1249" w:type="dxa"/>
          </w:tcPr>
          <w:p w:rsidR="00A44A53" w:rsidP="00A44A53" w:rsidRDefault="00205AE8" w14:paraId="7A71C03F" w14:textId="23D0DF55">
            <w:pPr>
              <w:pStyle w:val="EndnoteText"/>
              <w:tabs>
                <w:tab w:val="clear" w:pos="-720"/>
                <w:tab w:val="left" w:pos="0"/>
              </w:tabs>
              <w:suppressAutoHyphens w:val="0"/>
              <w:rPr>
                <w:rFonts w:ascii="Times New Roman" w:hAnsi="Times New Roman"/>
              </w:rPr>
            </w:pPr>
            <w:r>
              <w:rPr>
                <w:rFonts w:ascii="Times New Roman" w:hAnsi="Times New Roman"/>
              </w:rPr>
              <w:t>50</w:t>
            </w:r>
          </w:p>
          <w:p w:rsidRPr="00205AE8" w:rsidR="00205AE8" w:rsidP="00205AE8" w:rsidRDefault="00205AE8" w14:paraId="3D83A5EC" w14:textId="5098368E"/>
        </w:tc>
        <w:tc>
          <w:tcPr>
            <w:tcW w:w="1249" w:type="dxa"/>
          </w:tcPr>
          <w:p w:rsidRPr="000F0D08" w:rsidR="00A44A53" w:rsidP="00A44A53" w:rsidRDefault="00205AE8" w14:paraId="7E812C51" w14:textId="6E88FC81">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A44A53" w:rsidP="00A44A53" w:rsidRDefault="00DE0AE3" w14:paraId="3C8E1A9C" w14:textId="7D9CD9CF">
            <w:pPr>
              <w:tabs>
                <w:tab w:val="left" w:pos="0"/>
              </w:tabs>
              <w:rPr>
                <w:rFonts w:ascii="Times New Roman" w:hAnsi="Times New Roman"/>
                <w:szCs w:val="24"/>
              </w:rPr>
            </w:pPr>
            <w:r>
              <w:rPr>
                <w:rFonts w:ascii="Times New Roman" w:hAnsi="Times New Roman"/>
                <w:szCs w:val="24"/>
              </w:rPr>
              <w:t>$2,268</w:t>
            </w:r>
          </w:p>
        </w:tc>
      </w:tr>
      <w:tr w:rsidRPr="00196A81" w:rsidR="00A44A53" w:rsidTr="00B17ED8" w14:paraId="21A6FFE9" w14:textId="77777777">
        <w:tc>
          <w:tcPr>
            <w:tcW w:w="1345" w:type="dxa"/>
          </w:tcPr>
          <w:p w:rsidRPr="00196A81" w:rsidR="00A44A53" w:rsidP="00A44A53" w:rsidRDefault="00A44A53"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A44A53" w:rsidP="00A44A53" w:rsidRDefault="00A44A53"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A44A53"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A44A53" w14:paraId="64184B3C" w14:textId="71FF415B">
            <w:pPr>
              <w:tabs>
                <w:tab w:val="left" w:pos="0"/>
              </w:tabs>
              <w:rPr>
                <w:rFonts w:ascii="Times New Roman" w:hAnsi="Times New Roman"/>
                <w:szCs w:val="24"/>
              </w:rPr>
            </w:pPr>
            <w:r>
              <w:rPr>
                <w:rFonts w:ascii="Times New Roman" w:hAnsi="Times New Roman"/>
                <w:szCs w:val="24"/>
              </w:rPr>
              <w:t>25</w:t>
            </w:r>
          </w:p>
        </w:tc>
        <w:tc>
          <w:tcPr>
            <w:tcW w:w="1249" w:type="dxa"/>
          </w:tcPr>
          <w:p w:rsidRPr="0059426C" w:rsidR="00A44A53" w:rsidP="00A44A53" w:rsidRDefault="00A44A53" w14:paraId="130B3044" w14:textId="107B2AE0">
            <w:pPr>
              <w:tabs>
                <w:tab w:val="left" w:pos="0"/>
              </w:tabs>
              <w:rPr>
                <w:rFonts w:ascii="Times New Roman" w:hAnsi="Times New Roman"/>
                <w:szCs w:val="24"/>
                <w:highlight w:val="yellow"/>
              </w:rPr>
            </w:pPr>
            <w:r>
              <w:rPr>
                <w:rFonts w:ascii="Times New Roman" w:hAnsi="Times New Roman"/>
                <w:szCs w:val="24"/>
              </w:rPr>
              <w:t>25</w:t>
            </w:r>
          </w:p>
        </w:tc>
        <w:tc>
          <w:tcPr>
            <w:tcW w:w="1248" w:type="dxa"/>
          </w:tcPr>
          <w:p w:rsidRPr="000F0D08" w:rsidR="00A44A53" w:rsidP="00A44A53" w:rsidRDefault="00A44A53" w14:paraId="2F4750A9" w14:textId="5CA657E8">
            <w:pPr>
              <w:tabs>
                <w:tab w:val="left" w:pos="0"/>
              </w:tabs>
              <w:rPr>
                <w:rFonts w:ascii="Times New Roman" w:hAnsi="Times New Roman"/>
                <w:szCs w:val="24"/>
              </w:rPr>
            </w:pPr>
            <w:r>
              <w:rPr>
                <w:rFonts w:ascii="Times New Roman" w:hAnsi="Times New Roman"/>
                <w:szCs w:val="24"/>
              </w:rPr>
              <w:t>.5</w:t>
            </w:r>
          </w:p>
        </w:tc>
        <w:tc>
          <w:tcPr>
            <w:tcW w:w="1249" w:type="dxa"/>
          </w:tcPr>
          <w:p w:rsidRPr="000F0D08" w:rsidR="00A44A53" w:rsidP="00A44A53" w:rsidRDefault="00205AE8" w14:paraId="5DEE2076" w14:textId="66BC6CB3">
            <w:pPr>
              <w:pStyle w:val="EndnoteText"/>
              <w:tabs>
                <w:tab w:val="clear" w:pos="-720"/>
                <w:tab w:val="left" w:pos="0"/>
              </w:tabs>
              <w:suppressAutoHyphens w:val="0"/>
              <w:rPr>
                <w:rFonts w:ascii="Times New Roman" w:hAnsi="Times New Roman"/>
                <w:szCs w:val="24"/>
              </w:rPr>
            </w:pPr>
            <w:r>
              <w:rPr>
                <w:rFonts w:ascii="Times New Roman" w:hAnsi="Times New Roman"/>
                <w:szCs w:val="24"/>
              </w:rPr>
              <w:t>12.5</w:t>
            </w:r>
          </w:p>
        </w:tc>
        <w:tc>
          <w:tcPr>
            <w:tcW w:w="1249" w:type="dxa"/>
          </w:tcPr>
          <w:p w:rsidRPr="000F0D08" w:rsidR="00A44A53" w:rsidP="00A44A53" w:rsidRDefault="00A44A53"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A44A53" w:rsidP="00A44A53" w:rsidRDefault="00DE0AE3" w14:paraId="6B3D16F7" w14:textId="2AAE440A">
            <w:pPr>
              <w:rPr>
                <w:rFonts w:ascii="Times New Roman" w:hAnsi="Times New Roman"/>
                <w:szCs w:val="24"/>
              </w:rPr>
            </w:pPr>
            <w:r>
              <w:rPr>
                <w:rFonts w:ascii="Times New Roman" w:hAnsi="Times New Roman"/>
                <w:szCs w:val="24"/>
              </w:rPr>
              <w:t>$567</w:t>
            </w:r>
          </w:p>
        </w:tc>
      </w:tr>
      <w:tr w:rsidRPr="00196A81" w:rsidR="00A44A53" w:rsidTr="00B17ED8" w14:paraId="56DDEF90" w14:textId="77777777">
        <w:tc>
          <w:tcPr>
            <w:tcW w:w="1345" w:type="dxa"/>
          </w:tcPr>
          <w:p w:rsidRPr="00196A81" w:rsidR="00A44A53" w:rsidP="00A44A53" w:rsidRDefault="00A44A53"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A44A53" w:rsidP="00A44A53" w:rsidRDefault="00A44A53"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A44A53"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A44A53" w14:paraId="56DDEF8A" w14:textId="5B896D40">
            <w:pPr>
              <w:tabs>
                <w:tab w:val="left" w:pos="0"/>
              </w:tabs>
              <w:rPr>
                <w:rFonts w:ascii="Times New Roman" w:hAnsi="Times New Roman"/>
                <w:szCs w:val="24"/>
              </w:rPr>
            </w:pPr>
            <w:r>
              <w:rPr>
                <w:rFonts w:ascii="Times New Roman" w:hAnsi="Times New Roman"/>
                <w:szCs w:val="24"/>
              </w:rPr>
              <w:t>125</w:t>
            </w:r>
          </w:p>
        </w:tc>
        <w:tc>
          <w:tcPr>
            <w:tcW w:w="1249" w:type="dxa"/>
          </w:tcPr>
          <w:p w:rsidRPr="0059426C" w:rsidR="00A44A53" w:rsidP="00A44A53" w:rsidRDefault="00A44A53" w14:paraId="56DDEF8B" w14:textId="60288893">
            <w:pPr>
              <w:tabs>
                <w:tab w:val="left" w:pos="0"/>
              </w:tabs>
              <w:rPr>
                <w:rFonts w:ascii="Times New Roman" w:hAnsi="Times New Roman"/>
                <w:szCs w:val="24"/>
                <w:highlight w:val="yellow"/>
              </w:rPr>
            </w:pPr>
            <w:r>
              <w:rPr>
                <w:rFonts w:ascii="Times New Roman" w:hAnsi="Times New Roman"/>
                <w:szCs w:val="24"/>
              </w:rPr>
              <w:t>125</w:t>
            </w:r>
          </w:p>
        </w:tc>
        <w:tc>
          <w:tcPr>
            <w:tcW w:w="1248" w:type="dxa"/>
          </w:tcPr>
          <w:p w:rsidRPr="000F0D08" w:rsidR="00A44A53" w:rsidP="00A44A53" w:rsidRDefault="00A44A53"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A44A53" w:rsidP="00A44A53" w:rsidRDefault="00205AE8" w14:paraId="56DDEF8D" w14:textId="5FAFA569">
            <w:pPr>
              <w:tabs>
                <w:tab w:val="left" w:pos="0"/>
              </w:tabs>
              <w:rPr>
                <w:rFonts w:ascii="Times New Roman" w:hAnsi="Times New Roman"/>
                <w:szCs w:val="24"/>
              </w:rPr>
            </w:pPr>
            <w:r>
              <w:rPr>
                <w:rFonts w:ascii="Times New Roman" w:hAnsi="Times New Roman"/>
                <w:szCs w:val="24"/>
              </w:rPr>
              <w:t>62.5</w:t>
            </w:r>
          </w:p>
        </w:tc>
        <w:tc>
          <w:tcPr>
            <w:tcW w:w="1249" w:type="dxa"/>
          </w:tcPr>
          <w:p w:rsidRPr="000F0D08" w:rsidR="00A44A53" w:rsidP="00A44A53" w:rsidRDefault="00A44A53"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A44A53" w:rsidP="00A44A53" w:rsidRDefault="00DE0AE3" w14:paraId="56DDEF8F" w14:textId="5D2F2821">
            <w:pPr>
              <w:tabs>
                <w:tab w:val="left" w:pos="0"/>
              </w:tabs>
              <w:rPr>
                <w:rFonts w:ascii="Times New Roman" w:hAnsi="Times New Roman"/>
                <w:szCs w:val="24"/>
              </w:rPr>
            </w:pPr>
            <w:r>
              <w:rPr>
                <w:rFonts w:ascii="Times New Roman" w:hAnsi="Times New Roman"/>
                <w:szCs w:val="24"/>
              </w:rPr>
              <w:t>$2,835</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23D4446">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D85F7A">
        <w:rPr>
          <w:rFonts w:ascii="Times New Roman" w:hAnsi="Times New Roman"/>
          <w:iCs/>
          <w:szCs w:val="24"/>
        </w:rPr>
        <w:t>125</w:t>
      </w:r>
      <w:r w:rsidRPr="00C53440" w:rsidR="00925B95">
        <w:rPr>
          <w:rFonts w:ascii="Times New Roman" w:hAnsi="Times New Roman"/>
          <w:iCs/>
          <w:szCs w:val="24"/>
        </w:rPr>
        <w:t xml:space="preserve"> respondents </w:t>
      </w:r>
      <w:r w:rsidR="00D85F7A">
        <w:rPr>
          <w:rFonts w:ascii="Times New Roman" w:hAnsi="Times New Roman"/>
        </w:rPr>
        <w:t>62.5</w:t>
      </w:r>
      <w:r w:rsidR="009E53E0">
        <w:rPr>
          <w:rFonts w:ascii="Times New Roman" w:hAnsi="Times New Roman"/>
        </w:rPr>
        <w:t xml:space="preserve"> </w:t>
      </w:r>
      <w:r w:rsidRPr="00C53440" w:rsidR="00925B95">
        <w:rPr>
          <w:rFonts w:ascii="Times New Roman" w:hAnsi="Times New Roman"/>
          <w:iCs/>
          <w:szCs w:val="24"/>
        </w:rPr>
        <w:t>total hours</w:t>
      </w:r>
      <w:r w:rsidR="00925B95">
        <w:rPr>
          <w:rFonts w:ascii="Times New Roman" w:hAnsi="Times New Roman"/>
          <w:iCs/>
          <w:szCs w:val="24"/>
        </w:rPr>
        <w:t xml:space="preserve"> to complete and submit the required </w:t>
      </w:r>
      <w:r w:rsidR="00D85F7A">
        <w:rPr>
          <w:rFonts w:ascii="Times New Roman" w:hAnsi="Times New Roman"/>
          <w:iCs/>
          <w:szCs w:val="24"/>
        </w:rPr>
        <w:t>form</w:t>
      </w:r>
      <w:r w:rsidRPr="00531494" w:rsidR="00531494">
        <w:rPr>
          <w:rFonts w:ascii="Times New Roman" w:hAnsi="Times New Roman"/>
          <w:iCs/>
          <w:szCs w:val="24"/>
        </w:rPr>
        <w:t>.</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196A81">
        <w:rPr>
          <w:rFonts w:ascii="Times New Roman" w:hAnsi="Times New Roman"/>
          <w:b/>
          <w:szCs w:val="24"/>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w:t>
      </w:r>
      <w:r w:rsidRPr="00196A81">
        <w:rPr>
          <w:rFonts w:ascii="Times New Roman" w:hAnsi="Times New Roman"/>
          <w:b/>
          <w:szCs w:val="24"/>
        </w:rPr>
        <w:lastRenderedPageBreak/>
        <w:t>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281FFF" w14:paraId="56DDEFAE" w14:textId="106779CB">
            <w:pPr>
              <w:tabs>
                <w:tab w:val="left" w:pos="-720"/>
                <w:tab w:val="left" w:pos="0"/>
              </w:tabs>
              <w:suppressAutoHyphens/>
              <w:rPr>
                <w:rFonts w:ascii="Times New Roman" w:hAnsi="Times New Roman"/>
                <w:bCs/>
                <w:szCs w:val="24"/>
                <w:highlight w:val="yellow"/>
              </w:rPr>
            </w:pPr>
            <w:r>
              <w:rPr>
                <w:rFonts w:ascii="Times New Roman" w:hAnsi="Times New Roman"/>
              </w:rPr>
              <w:t>62.5</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281FFF" w14:paraId="56DDEFB3" w14:textId="398FDE8F">
            <w:pPr>
              <w:tabs>
                <w:tab w:val="left" w:pos="-720"/>
                <w:tab w:val="left" w:pos="0"/>
              </w:tabs>
              <w:suppressAutoHyphens/>
              <w:rPr>
                <w:rFonts w:ascii="Times New Roman" w:hAnsi="Times New Roman"/>
                <w:bCs/>
                <w:szCs w:val="24"/>
                <w:highlight w:val="yellow"/>
              </w:rPr>
            </w:pPr>
            <w:r>
              <w:rPr>
                <w:rFonts w:ascii="Times New Roman" w:hAnsi="Times New Roman"/>
                <w:szCs w:val="24"/>
              </w:rPr>
              <w:t>125</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C52C88" w:rsidRDefault="00166605" w14:paraId="2AB03966" w14:textId="1A082CBE">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F86D4C">
    <w:pPr>
      <w:spacing w:before="140" w:line="100" w:lineRule="exact"/>
      <w:rPr>
        <w:sz w:val="10"/>
      </w:rPr>
    </w:pPr>
  </w:p>
  <w:p w14:paraId="56DDEFC9" w14:textId="77777777" w:rsidR="00386054" w:rsidRDefault="00F86D4C">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D16E6"/>
    <w:rsid w:val="000D18FC"/>
    <w:rsid w:val="000D2729"/>
    <w:rsid w:val="000F0D08"/>
    <w:rsid w:val="000F2750"/>
    <w:rsid w:val="000F4EF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79BD"/>
    <w:rsid w:val="001F391A"/>
    <w:rsid w:val="00203371"/>
    <w:rsid w:val="00205AE8"/>
    <w:rsid w:val="002149F3"/>
    <w:rsid w:val="00217E2B"/>
    <w:rsid w:val="00221318"/>
    <w:rsid w:val="002225CC"/>
    <w:rsid w:val="00224A3B"/>
    <w:rsid w:val="002313E2"/>
    <w:rsid w:val="00240A39"/>
    <w:rsid w:val="00242055"/>
    <w:rsid w:val="00243B6F"/>
    <w:rsid w:val="00246FE9"/>
    <w:rsid w:val="00250100"/>
    <w:rsid w:val="002569D4"/>
    <w:rsid w:val="0025791C"/>
    <w:rsid w:val="00262A69"/>
    <w:rsid w:val="00270AF7"/>
    <w:rsid w:val="002724D6"/>
    <w:rsid w:val="00281FFF"/>
    <w:rsid w:val="002A0084"/>
    <w:rsid w:val="002A3221"/>
    <w:rsid w:val="002A69D3"/>
    <w:rsid w:val="002C3520"/>
    <w:rsid w:val="002C4CC6"/>
    <w:rsid w:val="002C7846"/>
    <w:rsid w:val="002D4DF5"/>
    <w:rsid w:val="002D5155"/>
    <w:rsid w:val="002E1485"/>
    <w:rsid w:val="002E14E0"/>
    <w:rsid w:val="002F0981"/>
    <w:rsid w:val="002F55E5"/>
    <w:rsid w:val="002F67A4"/>
    <w:rsid w:val="003114C0"/>
    <w:rsid w:val="0032078A"/>
    <w:rsid w:val="0032539E"/>
    <w:rsid w:val="00334CFD"/>
    <w:rsid w:val="00335670"/>
    <w:rsid w:val="00337880"/>
    <w:rsid w:val="0035262A"/>
    <w:rsid w:val="00362503"/>
    <w:rsid w:val="003658B8"/>
    <w:rsid w:val="00382AE5"/>
    <w:rsid w:val="00382E93"/>
    <w:rsid w:val="003860E4"/>
    <w:rsid w:val="003B1545"/>
    <w:rsid w:val="003C61E2"/>
    <w:rsid w:val="003F3EA6"/>
    <w:rsid w:val="00400F78"/>
    <w:rsid w:val="00412915"/>
    <w:rsid w:val="004237B8"/>
    <w:rsid w:val="00442E07"/>
    <w:rsid w:val="00445ED5"/>
    <w:rsid w:val="0049050B"/>
    <w:rsid w:val="004B1AEE"/>
    <w:rsid w:val="004C1696"/>
    <w:rsid w:val="004C227C"/>
    <w:rsid w:val="004C2350"/>
    <w:rsid w:val="004C3F87"/>
    <w:rsid w:val="004D4096"/>
    <w:rsid w:val="004D4824"/>
    <w:rsid w:val="0052073E"/>
    <w:rsid w:val="00531494"/>
    <w:rsid w:val="00534B4A"/>
    <w:rsid w:val="0054702D"/>
    <w:rsid w:val="005711AB"/>
    <w:rsid w:val="00575DDA"/>
    <w:rsid w:val="00581C11"/>
    <w:rsid w:val="0059426C"/>
    <w:rsid w:val="005A4CEE"/>
    <w:rsid w:val="005C1165"/>
    <w:rsid w:val="005E181A"/>
    <w:rsid w:val="005F2CC4"/>
    <w:rsid w:val="00600E13"/>
    <w:rsid w:val="0060169A"/>
    <w:rsid w:val="00616F79"/>
    <w:rsid w:val="00624624"/>
    <w:rsid w:val="006453BE"/>
    <w:rsid w:val="006473CB"/>
    <w:rsid w:val="00665232"/>
    <w:rsid w:val="0068567A"/>
    <w:rsid w:val="006856D2"/>
    <w:rsid w:val="006A292A"/>
    <w:rsid w:val="006A38F7"/>
    <w:rsid w:val="006A4EBB"/>
    <w:rsid w:val="006B4172"/>
    <w:rsid w:val="006D32B9"/>
    <w:rsid w:val="00710244"/>
    <w:rsid w:val="007118A4"/>
    <w:rsid w:val="00713B69"/>
    <w:rsid w:val="00722D7A"/>
    <w:rsid w:val="00723962"/>
    <w:rsid w:val="00727FC2"/>
    <w:rsid w:val="00755D99"/>
    <w:rsid w:val="00756FD3"/>
    <w:rsid w:val="007611CD"/>
    <w:rsid w:val="00765392"/>
    <w:rsid w:val="00790E3E"/>
    <w:rsid w:val="00793F2A"/>
    <w:rsid w:val="00794567"/>
    <w:rsid w:val="007A7678"/>
    <w:rsid w:val="007B6FC7"/>
    <w:rsid w:val="007C0A4C"/>
    <w:rsid w:val="007C3424"/>
    <w:rsid w:val="007E0FEE"/>
    <w:rsid w:val="007E465E"/>
    <w:rsid w:val="007F6104"/>
    <w:rsid w:val="007F77DD"/>
    <w:rsid w:val="00800D30"/>
    <w:rsid w:val="00807D1A"/>
    <w:rsid w:val="00815683"/>
    <w:rsid w:val="00816B96"/>
    <w:rsid w:val="0082421C"/>
    <w:rsid w:val="008529CD"/>
    <w:rsid w:val="00852B64"/>
    <w:rsid w:val="00854C40"/>
    <w:rsid w:val="00860E11"/>
    <w:rsid w:val="00866162"/>
    <w:rsid w:val="00874EFE"/>
    <w:rsid w:val="00881E8A"/>
    <w:rsid w:val="00882126"/>
    <w:rsid w:val="00887D3C"/>
    <w:rsid w:val="008933F1"/>
    <w:rsid w:val="00893D99"/>
    <w:rsid w:val="008A1394"/>
    <w:rsid w:val="008B6FC9"/>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7EE0"/>
    <w:rsid w:val="009C23D7"/>
    <w:rsid w:val="009D48E2"/>
    <w:rsid w:val="009E3E86"/>
    <w:rsid w:val="009E53E0"/>
    <w:rsid w:val="009F79EF"/>
    <w:rsid w:val="00A118A2"/>
    <w:rsid w:val="00A23F26"/>
    <w:rsid w:val="00A4001C"/>
    <w:rsid w:val="00A40AAB"/>
    <w:rsid w:val="00A42384"/>
    <w:rsid w:val="00A44A53"/>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776CC"/>
    <w:rsid w:val="00B9671B"/>
    <w:rsid w:val="00BA1D31"/>
    <w:rsid w:val="00BA218A"/>
    <w:rsid w:val="00BA4301"/>
    <w:rsid w:val="00BB208C"/>
    <w:rsid w:val="00BB2E68"/>
    <w:rsid w:val="00BD30C5"/>
    <w:rsid w:val="00BF1380"/>
    <w:rsid w:val="00BF49CC"/>
    <w:rsid w:val="00C03063"/>
    <w:rsid w:val="00C07FC2"/>
    <w:rsid w:val="00C164D3"/>
    <w:rsid w:val="00C16769"/>
    <w:rsid w:val="00C20670"/>
    <w:rsid w:val="00C224FD"/>
    <w:rsid w:val="00C36958"/>
    <w:rsid w:val="00C41664"/>
    <w:rsid w:val="00C52C88"/>
    <w:rsid w:val="00C5344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D2067"/>
    <w:rsid w:val="00CD47BC"/>
    <w:rsid w:val="00CE13BB"/>
    <w:rsid w:val="00CF2C7C"/>
    <w:rsid w:val="00D1677E"/>
    <w:rsid w:val="00D177FA"/>
    <w:rsid w:val="00D34984"/>
    <w:rsid w:val="00D36C35"/>
    <w:rsid w:val="00D463CA"/>
    <w:rsid w:val="00D6424E"/>
    <w:rsid w:val="00D642C8"/>
    <w:rsid w:val="00D66A30"/>
    <w:rsid w:val="00D67E1A"/>
    <w:rsid w:val="00D75313"/>
    <w:rsid w:val="00D80B60"/>
    <w:rsid w:val="00D85F7A"/>
    <w:rsid w:val="00D90557"/>
    <w:rsid w:val="00D966C9"/>
    <w:rsid w:val="00D97E48"/>
    <w:rsid w:val="00DB47C5"/>
    <w:rsid w:val="00DC3A4D"/>
    <w:rsid w:val="00DD1202"/>
    <w:rsid w:val="00DD1696"/>
    <w:rsid w:val="00DD2C0A"/>
    <w:rsid w:val="00DE0AE3"/>
    <w:rsid w:val="00DE1035"/>
    <w:rsid w:val="00DF11C8"/>
    <w:rsid w:val="00E01AD6"/>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26AF"/>
    <w:rsid w:val="00ED7195"/>
    <w:rsid w:val="00EF1451"/>
    <w:rsid w:val="00EF30E5"/>
    <w:rsid w:val="00EF7F02"/>
    <w:rsid w:val="00F0202F"/>
    <w:rsid w:val="00F0414F"/>
    <w:rsid w:val="00F070F3"/>
    <w:rsid w:val="00F27525"/>
    <w:rsid w:val="00F27AAF"/>
    <w:rsid w:val="00F31941"/>
    <w:rsid w:val="00F31BEC"/>
    <w:rsid w:val="00F32225"/>
    <w:rsid w:val="00F3452B"/>
    <w:rsid w:val="00F5782B"/>
    <w:rsid w:val="00F73131"/>
    <w:rsid w:val="00F75432"/>
    <w:rsid w:val="00F86D4C"/>
    <w:rsid w:val="00F87D86"/>
    <w:rsid w:val="00F92095"/>
    <w:rsid w:val="00FC669D"/>
    <w:rsid w:val="00FD4F0B"/>
    <w:rsid w:val="00FD6618"/>
    <w:rsid w:val="00FE02FC"/>
    <w:rsid w:val="00FE1BAE"/>
    <w:rsid w:val="00FE47B4"/>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 w:type="character" w:customStyle="1" w:styleId="spellingerror">
    <w:name w:val="spellingerror"/>
    <w:basedOn w:val="DefaultParagraphFont"/>
    <w:rsid w:val="0038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14498</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2021-04-27T12:58:00Z</dcterms:created>
  <dcterms:modified xsi:type="dcterms:W3CDTF">2021-04-27T12:58:00Z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