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5A" w:rsidP="00871E8D" w:rsidRDefault="00871E8D" w14:paraId="581A54D9" w14:textId="123BB455">
      <w:pPr>
        <w:tabs>
          <w:tab w:val="left" w:pos="2340"/>
        </w:tabs>
      </w:pPr>
      <w:r>
        <w:t>DATE</w:t>
      </w:r>
      <w:r>
        <w:tab/>
        <w:t>:</w:t>
      </w:r>
      <w:r w:rsidR="00C55A28">
        <w:t xml:space="preserve">  </w:t>
      </w:r>
      <w:r w:rsidR="00D46BBC">
        <w:t>August 3, 2020</w:t>
      </w:r>
    </w:p>
    <w:p w:rsidR="00871E8D" w:rsidP="00C6385A" w:rsidRDefault="00871E8D" w14:paraId="05360059" w14:textId="77777777"/>
    <w:p w:rsidR="00C6385A" w:rsidP="00C6385A" w:rsidRDefault="00C6385A" w14:paraId="03B7FEF2" w14:textId="1781D0C3">
      <w:r>
        <w:t xml:space="preserve">LAUS </w:t>
      </w:r>
      <w:r w:rsidR="00DF0C52">
        <w:t>Technical Memorandum No. S-</w:t>
      </w:r>
      <w:r w:rsidR="005D7C36">
        <w:t>20</w:t>
      </w:r>
      <w:r w:rsidR="00DF0C52">
        <w:t>-</w:t>
      </w:r>
      <w:r w:rsidR="00D46BBC">
        <w:t>15</w:t>
      </w:r>
      <w:bookmarkStart w:name="_GoBack" w:id="0"/>
      <w:bookmarkEnd w:id="0"/>
    </w:p>
    <w:p w:rsidR="00C6385A" w:rsidP="00C6385A" w:rsidRDefault="00C6385A" w14:paraId="44BC4EA0" w14:textId="77777777"/>
    <w:p w:rsidR="00C6385A" w:rsidP="00C6385A" w:rsidRDefault="00C6385A" w14:paraId="07211942" w14:textId="77777777">
      <w:pPr>
        <w:tabs>
          <w:tab w:val="left" w:pos="2347"/>
          <w:tab w:val="left" w:pos="2520"/>
        </w:tabs>
      </w:pPr>
      <w:r>
        <w:t>MEMORANDUM FOR:</w:t>
      </w:r>
      <w:r>
        <w:tab/>
        <w:t>STATE WORKFORCE AGENCY ADMINISTRATORS</w:t>
      </w:r>
    </w:p>
    <w:p w:rsidR="00C6385A" w:rsidP="00C6385A" w:rsidRDefault="00C6385A" w14:paraId="1BD2B73F" w14:textId="77777777">
      <w:pPr>
        <w:tabs>
          <w:tab w:val="left" w:pos="2347"/>
          <w:tab w:val="left" w:pos="2520"/>
        </w:tabs>
      </w:pPr>
      <w:r>
        <w:tab/>
      </w:r>
      <w:r>
        <w:tab/>
        <w:t>AND BLS REGIONAL COMMISSIONERS</w:t>
      </w:r>
    </w:p>
    <w:p w:rsidR="00C6385A" w:rsidP="00C6385A" w:rsidRDefault="00C6385A" w14:paraId="7DCC9D30" w14:textId="77777777">
      <w:pPr>
        <w:tabs>
          <w:tab w:val="left" w:pos="2347"/>
          <w:tab w:val="left" w:pos="2520"/>
        </w:tabs>
      </w:pPr>
    </w:p>
    <w:p w:rsidR="00C6385A" w:rsidP="00C6385A" w:rsidRDefault="00C6385A" w14:paraId="2DB72835" w14:textId="77777777">
      <w:pPr>
        <w:tabs>
          <w:tab w:val="left" w:pos="2347"/>
          <w:tab w:val="left" w:pos="2520"/>
        </w:tabs>
      </w:pPr>
      <w:r>
        <w:t>FROM</w:t>
      </w:r>
      <w:r>
        <w:tab/>
        <w:t>:</w:t>
      </w:r>
      <w:r>
        <w:tab/>
        <w:t>JAY A. MOUSA</w:t>
      </w:r>
    </w:p>
    <w:p w:rsidR="00C6385A" w:rsidP="00C6385A" w:rsidRDefault="00C6385A" w14:paraId="668E5723" w14:textId="77777777">
      <w:pPr>
        <w:tabs>
          <w:tab w:val="left" w:pos="2347"/>
          <w:tab w:val="left" w:pos="2520"/>
        </w:tabs>
      </w:pPr>
      <w:r>
        <w:tab/>
      </w:r>
      <w:r>
        <w:tab/>
        <w:t>Associate Commissioner</w:t>
      </w:r>
    </w:p>
    <w:p w:rsidR="00C6385A" w:rsidP="00C6385A" w:rsidRDefault="00C6385A" w14:paraId="7DB1CA67" w14:textId="77777777">
      <w:pPr>
        <w:tabs>
          <w:tab w:val="left" w:pos="2347"/>
          <w:tab w:val="left" w:pos="2520"/>
        </w:tabs>
      </w:pPr>
      <w:r>
        <w:tab/>
      </w:r>
      <w:r>
        <w:tab/>
        <w:t>Office of Field Operations</w:t>
      </w:r>
    </w:p>
    <w:p w:rsidR="00C6385A" w:rsidP="00C6385A" w:rsidRDefault="00C6385A" w14:paraId="28AED8D1" w14:textId="77777777">
      <w:pPr>
        <w:tabs>
          <w:tab w:val="left" w:pos="2347"/>
          <w:tab w:val="left" w:pos="2520"/>
        </w:tabs>
      </w:pPr>
    </w:p>
    <w:p w:rsidR="00C6385A" w:rsidP="00C6385A" w:rsidRDefault="00DF0C52" w14:paraId="56C08618" w14:textId="73902DBC">
      <w:pPr>
        <w:tabs>
          <w:tab w:val="left" w:pos="2347"/>
          <w:tab w:val="left" w:pos="2520"/>
        </w:tabs>
        <w:ind w:left="2340" w:hanging="2340"/>
      </w:pPr>
      <w:r>
        <w:t>SUBJECT</w:t>
      </w:r>
      <w:r>
        <w:tab/>
        <w:t>:</w:t>
      </w:r>
      <w:r>
        <w:tab/>
        <w:t>Program Year 20</w:t>
      </w:r>
      <w:r w:rsidR="00741FC2">
        <w:t>2</w:t>
      </w:r>
      <w:r w:rsidR="005D7C36">
        <w:t>1</w:t>
      </w:r>
      <w:r w:rsidR="00A024FC">
        <w:t xml:space="preserve"> Areas of Substantial Unemployment under the </w:t>
      </w:r>
      <w:r w:rsidR="00C6385A">
        <w:t xml:space="preserve"> </w:t>
      </w:r>
    </w:p>
    <w:p w:rsidR="00C6385A" w:rsidP="00C6385A" w:rsidRDefault="00A024FC" w14:paraId="32E51B17" w14:textId="77777777">
      <w:pPr>
        <w:tabs>
          <w:tab w:val="left" w:pos="2347"/>
          <w:tab w:val="left" w:pos="2520"/>
        </w:tabs>
        <w:ind w:left="2340" w:hanging="2340"/>
      </w:pPr>
      <w:r>
        <w:tab/>
      </w:r>
      <w:r>
        <w:tab/>
        <w:t xml:space="preserve">   Workforce </w:t>
      </w:r>
      <w:r w:rsidR="007B69CF">
        <w:t>Innovation and Opportunity</w:t>
      </w:r>
      <w:r>
        <w:t xml:space="preserve"> Act</w:t>
      </w:r>
    </w:p>
    <w:p w:rsidR="00C6385A" w:rsidP="00C6385A" w:rsidRDefault="00C6385A" w14:paraId="1A4D0911" w14:textId="77777777">
      <w:pPr>
        <w:tabs>
          <w:tab w:val="left" w:pos="2347"/>
          <w:tab w:val="left" w:pos="2520"/>
        </w:tabs>
      </w:pPr>
    </w:p>
    <w:p w:rsidR="009C0159" w:rsidRDefault="00D46BBC" w14:paraId="18617E23" w14:textId="77777777"/>
    <w:p w:rsidR="00C6385A" w:rsidRDefault="00C6385A" w14:paraId="6F30B797" w14:textId="77777777"/>
    <w:p w:rsidR="00C6385A" w:rsidP="00C6385A" w:rsidRDefault="00C6385A" w14:paraId="3B000282" w14:textId="7D37851F">
      <w:r w:rsidRPr="0093065C">
        <w:rPr>
          <w:b/>
          <w:u w:val="single"/>
        </w:rPr>
        <w:t>Purpose</w:t>
      </w:r>
      <w:r w:rsidRPr="00D13F35">
        <w:t>:</w:t>
      </w:r>
      <w:r w:rsidRPr="0093065C">
        <w:t xml:space="preserve">  </w:t>
      </w:r>
      <w:r>
        <w:t>This memorandum</w:t>
      </w:r>
      <w:r w:rsidR="00F85578">
        <w:t xml:space="preserve"> provides instructions for the development and </w:t>
      </w:r>
      <w:r w:rsidR="00365AD2">
        <w:t>submission</w:t>
      </w:r>
      <w:r w:rsidR="00DF0C52">
        <w:t xml:space="preserve"> of Program Year (PY) 20</w:t>
      </w:r>
      <w:r w:rsidR="00741FC2">
        <w:t>2</w:t>
      </w:r>
      <w:r w:rsidR="005D7C36">
        <w:t>1</w:t>
      </w:r>
      <w:r w:rsidR="00F85578">
        <w:t xml:space="preserve"> Areas of Substantial Unemployment (ASUs) under the Workforce </w:t>
      </w:r>
      <w:r w:rsidRPr="00BF29FB" w:rsidR="00BF29FB">
        <w:t xml:space="preserve">Innovation and Opportunity </w:t>
      </w:r>
      <w:r w:rsidR="00F85578">
        <w:t>Act (WI</w:t>
      </w:r>
      <w:r w:rsidR="00BF29FB">
        <w:t>O</w:t>
      </w:r>
      <w:r w:rsidR="00F85578">
        <w:t>A)</w:t>
      </w:r>
      <w:r>
        <w:t>.</w:t>
      </w:r>
    </w:p>
    <w:p w:rsidR="00C6385A" w:rsidP="00C6385A" w:rsidRDefault="00C6385A" w14:paraId="0A6D0960" w14:textId="77777777"/>
    <w:p w:rsidRPr="00603F6B" w:rsidR="00F85578" w:rsidP="00F85578" w:rsidRDefault="00C6385A" w14:paraId="140D5AAE" w14:textId="77777777">
      <w:r w:rsidRPr="0093065C">
        <w:rPr>
          <w:b/>
          <w:u w:val="single"/>
        </w:rPr>
        <w:t>Background</w:t>
      </w:r>
      <w:r w:rsidRPr="00D13F35">
        <w:t>:</w:t>
      </w:r>
      <w:r>
        <w:rPr>
          <w:b/>
        </w:rPr>
        <w:t xml:space="preserve">  </w:t>
      </w:r>
      <w:r w:rsidRPr="00603F6B" w:rsidR="00F85578">
        <w:t>The Employment and Training Administration (ETA) establishes a</w:t>
      </w:r>
      <w:r w:rsidR="00F85578">
        <w:t xml:space="preserve"> time period</w:t>
      </w:r>
      <w:r w:rsidRPr="00603F6B" w:rsidR="00F85578">
        <w:t xml:space="preserve"> for </w:t>
      </w:r>
      <w:r w:rsidR="00B2571A">
        <w:t>s</w:t>
      </w:r>
      <w:r w:rsidRPr="00603F6B" w:rsidR="00F85578">
        <w:t>tates to designate potential ASUs, which are used to determine funding allocations under the Adult and Youth Program Activities of WI</w:t>
      </w:r>
      <w:r w:rsidR="00BF29FB">
        <w:t>O</w:t>
      </w:r>
      <w:r w:rsidRPr="00603F6B" w:rsidR="00F85578">
        <w:t>A.  The Bureau of Labor Statistics (BLS) provides instructions</w:t>
      </w:r>
      <w:r w:rsidR="002B11E5">
        <w:t>, software,</w:t>
      </w:r>
      <w:r w:rsidRPr="00603F6B" w:rsidR="00F85578">
        <w:t xml:space="preserve"> and forms for the </w:t>
      </w:r>
      <w:r w:rsidR="00B2571A">
        <w:t>s</w:t>
      </w:r>
      <w:r w:rsidRPr="00603F6B" w:rsidR="00F85578">
        <w:t xml:space="preserve">tates to use in developing and submitting employment and unemployment estimates.  BLS also validates the data in </w:t>
      </w:r>
      <w:r w:rsidR="00B2571A">
        <w:t>s</w:t>
      </w:r>
      <w:r w:rsidRPr="00603F6B" w:rsidR="00F85578">
        <w:t>tate submittals.</w:t>
      </w:r>
    </w:p>
    <w:p w:rsidRPr="00603F6B" w:rsidR="00F85578" w:rsidP="00F85578" w:rsidRDefault="00F85578" w14:paraId="5F5C7E88" w14:textId="77777777"/>
    <w:p w:rsidR="008B4DDE" w:rsidP="00C6385A" w:rsidRDefault="002B148A" w14:paraId="7A6EFF85" w14:textId="7519A1A5">
      <w:r w:rsidRPr="002B148A">
        <w:rPr>
          <w:b/>
          <w:u w:val="single"/>
        </w:rPr>
        <w:t>Timing</w:t>
      </w:r>
      <w:r>
        <w:t xml:space="preserve">:  </w:t>
      </w:r>
      <w:r w:rsidRPr="002B148A" w:rsidR="00F85578">
        <w:t>This</w:t>
      </w:r>
      <w:r w:rsidR="00F85578">
        <w:t xml:space="preserve"> </w:t>
      </w:r>
      <w:r w:rsidR="00504257">
        <w:t>year’s</w:t>
      </w:r>
      <w:r w:rsidR="002C6772">
        <w:t xml:space="preserve"> time</w:t>
      </w:r>
      <w:r w:rsidR="00F85578">
        <w:t xml:space="preserve"> period for designating ASUs </w:t>
      </w:r>
      <w:r w:rsidR="005A77A7">
        <w:t xml:space="preserve">begins on </w:t>
      </w:r>
      <w:r w:rsidRPr="00CA3E6A" w:rsidR="00AA5ABB">
        <w:rPr>
          <w:u w:val="single"/>
        </w:rPr>
        <w:t>Thursday</w:t>
      </w:r>
      <w:r w:rsidRPr="00CA3E6A" w:rsidR="005A77A7">
        <w:rPr>
          <w:u w:val="single"/>
        </w:rPr>
        <w:t>, August 2</w:t>
      </w:r>
      <w:r w:rsidRPr="000849A1" w:rsidR="00CA3E6A">
        <w:rPr>
          <w:u w:val="single"/>
        </w:rPr>
        <w:t>7</w:t>
      </w:r>
      <w:r w:rsidR="005A77A7">
        <w:t xml:space="preserve">, and </w:t>
      </w:r>
      <w:r w:rsidR="00F85578">
        <w:t>runs</w:t>
      </w:r>
      <w:r w:rsidRPr="00603F6B" w:rsidR="00F85578">
        <w:t xml:space="preserve"> through </w:t>
      </w:r>
      <w:r w:rsidRPr="000849A1" w:rsidR="00B50620">
        <w:rPr>
          <w:color w:val="000000"/>
          <w:u w:val="single"/>
        </w:rPr>
        <w:t>Friday</w:t>
      </w:r>
      <w:r w:rsidRPr="00B50620" w:rsidR="00F85578">
        <w:rPr>
          <w:color w:val="000000"/>
          <w:u w:val="single"/>
        </w:rPr>
        <w:t xml:space="preserve">, October </w:t>
      </w:r>
      <w:r w:rsidRPr="000849A1" w:rsidR="00B50620">
        <w:rPr>
          <w:color w:val="000000"/>
          <w:u w:val="single"/>
        </w:rPr>
        <w:t>9</w:t>
      </w:r>
      <w:r w:rsidRPr="001D13D2" w:rsidR="00F85578">
        <w:rPr>
          <w:color w:val="000000"/>
        </w:rPr>
        <w:t xml:space="preserve">.  </w:t>
      </w:r>
      <w:r w:rsidR="00B2571A">
        <w:rPr>
          <w:color w:val="000000"/>
        </w:rPr>
        <w:t>S</w:t>
      </w:r>
      <w:r w:rsidRPr="001D13D2" w:rsidR="00F85578">
        <w:rPr>
          <w:color w:val="000000"/>
        </w:rPr>
        <w:t>tates</w:t>
      </w:r>
      <w:r w:rsidRPr="00603F6B" w:rsidR="00F85578">
        <w:t xml:space="preserve"> perform </w:t>
      </w:r>
      <w:r w:rsidRPr="00603F6B" w:rsidR="00EE7DD6">
        <w:t>th</w:t>
      </w:r>
      <w:r w:rsidR="00EE7DD6">
        <w:t>e</w:t>
      </w:r>
      <w:r w:rsidRPr="00603F6B" w:rsidR="00EE7DD6">
        <w:t xml:space="preserve"> </w:t>
      </w:r>
      <w:r w:rsidRPr="00603F6B" w:rsidR="00F85578">
        <w:t>ASU exercise under the LMI Cooperative Agreement, which includes the development of employment and unemployment estimates for designating ASUs as a deliverable under Secti</w:t>
      </w:r>
      <w:r w:rsidR="00B2571A">
        <w:t>on B.2. of the Work Statement.</w:t>
      </w:r>
    </w:p>
    <w:p w:rsidR="00C24137" w:rsidP="00C6385A" w:rsidRDefault="00C24137" w14:paraId="0F4D8289" w14:textId="77777777"/>
    <w:p w:rsidR="00C24137" w:rsidP="00C6385A" w:rsidRDefault="00C24137" w14:paraId="2B9586EE" w14:textId="66B08FC7">
      <w:r>
        <w:t>The Office of Field Operations will host WebEx tutorials on ASU concepts and definitions and</w:t>
      </w:r>
      <w:r w:rsidR="001A42D9">
        <w:t xml:space="preserve"> on</w:t>
      </w:r>
      <w:r>
        <w:t xml:space="preserve"> the use of LAUSToo for ASU designations on</w:t>
      </w:r>
      <w:r w:rsidR="00CA3E6A">
        <w:t xml:space="preserve"> Tuesday, September</w:t>
      </w:r>
      <w:r w:rsidRPr="00CA3E6A">
        <w:t xml:space="preserve"> </w:t>
      </w:r>
      <w:r w:rsidRPr="000849A1" w:rsidR="00CA3E6A">
        <w:t>1,</w:t>
      </w:r>
      <w:r w:rsidRPr="00CA3E6A">
        <w:t xml:space="preserve"> and</w:t>
      </w:r>
      <w:r w:rsidRPr="000849A1" w:rsidR="00CA3E6A">
        <w:t xml:space="preserve"> Thursday, September</w:t>
      </w:r>
      <w:r w:rsidRPr="00CA3E6A">
        <w:t xml:space="preserve"> </w:t>
      </w:r>
      <w:r w:rsidRPr="000849A1" w:rsidR="00CA3E6A">
        <w:t>3</w:t>
      </w:r>
      <w:r>
        <w:t>, respectively.</w:t>
      </w:r>
    </w:p>
    <w:p w:rsidR="00842D4B" w:rsidP="00C6385A" w:rsidRDefault="00842D4B" w14:paraId="2266250A" w14:textId="77777777"/>
    <w:p w:rsidR="00164DA1" w:rsidP="00C6385A" w:rsidRDefault="00B92815" w14:paraId="43A7BC89" w14:textId="77777777">
      <w:r>
        <w:rPr>
          <w:b/>
          <w:u w:val="single"/>
        </w:rPr>
        <w:t>ASU Definition and Qualification Requirements</w:t>
      </w:r>
      <w:r w:rsidRPr="00D13F35" w:rsidR="003B3B10">
        <w:t>:</w:t>
      </w:r>
      <w:r w:rsidR="003B3B10">
        <w:t xml:space="preserve"> </w:t>
      </w:r>
      <w:r w:rsidR="009F1109">
        <w:t xml:space="preserve"> </w:t>
      </w:r>
      <w:r>
        <w:t>An ASU is an area that is composed of any combination of LAUS areas and/or census tracts that meets the three qualification requirements set forth by ETA:</w:t>
      </w:r>
    </w:p>
    <w:p w:rsidR="00164DA1" w:rsidP="00C6385A" w:rsidRDefault="00164DA1" w14:paraId="14F8ADB0" w14:textId="77777777"/>
    <w:p w:rsidRPr="00603F6B" w:rsidR="00164DA1" w:rsidP="00164DA1" w:rsidRDefault="00164DA1" w14:paraId="232BEB37" w14:textId="06783B66">
      <w:pPr>
        <w:numPr>
          <w:ilvl w:val="0"/>
          <w:numId w:val="1"/>
        </w:numPr>
      </w:pPr>
      <w:r w:rsidRPr="00603F6B">
        <w:rPr>
          <w:i/>
        </w:rPr>
        <w:t>Unemployment rate</w:t>
      </w:r>
      <w:r w:rsidRPr="00603F6B">
        <w:t xml:space="preserve">—the 12-month average </w:t>
      </w:r>
      <w:r>
        <w:t xml:space="preserve">not seasonally adjusted </w:t>
      </w:r>
      <w:r w:rsidRPr="00603F6B">
        <w:t>unemployment rate for the reference period (July 20</w:t>
      </w:r>
      <w:r>
        <w:t>1</w:t>
      </w:r>
      <w:r w:rsidR="005D7C36">
        <w:t>9</w:t>
      </w:r>
      <w:r w:rsidRPr="00603F6B">
        <w:t xml:space="preserve"> benchmarked</w:t>
      </w:r>
      <w:r>
        <w:t xml:space="preserve"> through </w:t>
      </w:r>
      <w:r w:rsidRPr="00603F6B">
        <w:t>June 20</w:t>
      </w:r>
      <w:r w:rsidR="005D7C36">
        <w:t>20</w:t>
      </w:r>
      <w:r w:rsidRPr="00603F6B">
        <w:t xml:space="preserve"> preliminary) </w:t>
      </w:r>
      <w:r>
        <w:t>must be at least 6.5 percent.</w:t>
      </w:r>
    </w:p>
    <w:p w:rsidRPr="00603F6B" w:rsidR="00164DA1" w:rsidP="00164DA1" w:rsidRDefault="00164DA1" w14:paraId="66EB723F" w14:textId="77777777"/>
    <w:p w:rsidRPr="00603F6B" w:rsidR="00164DA1" w:rsidP="00164DA1" w:rsidRDefault="00164DA1" w14:paraId="718ACFD9" w14:textId="77777777">
      <w:pPr>
        <w:numPr>
          <w:ilvl w:val="0"/>
          <w:numId w:val="1"/>
        </w:numPr>
      </w:pPr>
      <w:r w:rsidRPr="00603F6B">
        <w:rPr>
          <w:i/>
        </w:rPr>
        <w:lastRenderedPageBreak/>
        <w:t>Population</w:t>
      </w:r>
      <w:r w:rsidRPr="00603F6B">
        <w:t xml:space="preserve">—its population must be at least 10,000 persons based on Census Bureau </w:t>
      </w:r>
      <w:r>
        <w:t>figures, as described below.</w:t>
      </w:r>
    </w:p>
    <w:p w:rsidRPr="00603F6B" w:rsidR="00164DA1" w:rsidP="00164DA1" w:rsidRDefault="00164DA1" w14:paraId="7554A66C" w14:textId="77777777"/>
    <w:p w:rsidRPr="00603F6B" w:rsidR="00164DA1" w:rsidP="00164DA1" w:rsidRDefault="00164DA1" w14:paraId="4B818155" w14:textId="45294869">
      <w:pPr>
        <w:numPr>
          <w:ilvl w:val="0"/>
          <w:numId w:val="1"/>
        </w:numPr>
      </w:pPr>
      <w:r w:rsidRPr="00603F6B">
        <w:rPr>
          <w:i/>
        </w:rPr>
        <w:t>Geography</w:t>
      </w:r>
      <w:r w:rsidRPr="00603F6B">
        <w:t>—it must be a contiguous geographic area composed of an</w:t>
      </w:r>
      <w:r w:rsidR="00EC744A">
        <w:t>y combination of LAUS areas and census tracts</w:t>
      </w:r>
      <w:r w:rsidRPr="00603F6B">
        <w:t xml:space="preserve"> within a </w:t>
      </w:r>
      <w:r w:rsidR="00B2571A">
        <w:t>s</w:t>
      </w:r>
      <w:r w:rsidRPr="00603F6B">
        <w:t>tate.  Contiguity may be accomplished if two areas are separated by a body of water (for example, river, lake, ocean) if the two areas are directly across the body of water from one another</w:t>
      </w:r>
      <w:r w:rsidR="00F35731">
        <w:t xml:space="preserve">, </w:t>
      </w:r>
      <w:r w:rsidRPr="006E5180" w:rsidR="00F35731">
        <w:t>assuming the body of water is not part of a different census tract that is not included in the ASU</w:t>
      </w:r>
      <w:r w:rsidRPr="00603F6B">
        <w:t xml:space="preserve">. </w:t>
      </w:r>
      <w:r>
        <w:t xml:space="preserve"> Contiguity is also achieved when two areas touch at only one point, as four square counties might touch.</w:t>
      </w:r>
    </w:p>
    <w:p w:rsidR="00F5553C" w:rsidP="00C6385A" w:rsidRDefault="00F5553C" w14:paraId="424B7CB6" w14:textId="77777777">
      <w:r>
        <w:t xml:space="preserve"> </w:t>
      </w:r>
    </w:p>
    <w:p w:rsidR="003B3B10" w:rsidP="00C6385A" w:rsidRDefault="00D4062F" w14:paraId="64FC1BFF" w14:textId="67FBB75B">
      <w:r>
        <w:t xml:space="preserve">A LAUS area is an area for which </w:t>
      </w:r>
      <w:r w:rsidR="00B2571A">
        <w:t>s</w:t>
      </w:r>
      <w:r>
        <w:t>tates are required under the Cooperative Agreement to submit employment and unemployment estimates to BLS each month (for example, a labor market area, county, city, or city part)</w:t>
      </w:r>
      <w:r w:rsidRPr="00F5553C" w:rsidR="00F5553C">
        <w:t>.</w:t>
      </w:r>
      <w:r w:rsidR="008F685A">
        <w:t xml:space="preserve">  State-specific areas are not considered LAUS areas for purposes of the ASU search.</w:t>
      </w:r>
    </w:p>
    <w:p w:rsidR="00AC2709" w:rsidP="00C6385A" w:rsidRDefault="00AC2709" w14:paraId="36CAE339" w14:textId="77777777"/>
    <w:p w:rsidR="00AC2709" w:rsidP="00C6385A" w:rsidRDefault="00F017FB" w14:paraId="207BD687" w14:textId="39D6B75C">
      <w:r>
        <w:t>For P</w:t>
      </w:r>
      <w:r w:rsidR="006C6B83">
        <w:t>Y</w:t>
      </w:r>
      <w:r>
        <w:t xml:space="preserve"> 20</w:t>
      </w:r>
      <w:r w:rsidR="00C27EC3">
        <w:t>2</w:t>
      </w:r>
      <w:r w:rsidR="00C50C60">
        <w:t>1</w:t>
      </w:r>
      <w:r>
        <w:t>,</w:t>
      </w:r>
      <w:r w:rsidR="00657793">
        <w:t xml:space="preserve"> 16 states and a state equivalent</w:t>
      </w:r>
      <w:r w:rsidRPr="00657793" w:rsidR="00314DC7">
        <w:t xml:space="preserve"> qualif</w:t>
      </w:r>
      <w:r w:rsidR="00657793">
        <w:t>y</w:t>
      </w:r>
      <w:r w:rsidRPr="00657793">
        <w:t xml:space="preserve"> as</w:t>
      </w:r>
      <w:r w:rsidRPr="00657793" w:rsidR="00F453BD">
        <w:t xml:space="preserve"> </w:t>
      </w:r>
      <w:r w:rsidRPr="00657793">
        <w:t>ASU</w:t>
      </w:r>
      <w:r w:rsidR="00657793">
        <w:t>s</w:t>
      </w:r>
      <w:r w:rsidRPr="00657793">
        <w:t xml:space="preserve"> in </w:t>
      </w:r>
      <w:r w:rsidR="00657793">
        <w:t>their</w:t>
      </w:r>
      <w:r w:rsidRPr="00657793">
        <w:t xml:space="preserve"> entire</w:t>
      </w:r>
      <w:r w:rsidRPr="00657793" w:rsidR="00F453BD">
        <w:t>t</w:t>
      </w:r>
      <w:r w:rsidR="00657793">
        <w:t>ies: Alaska, California, Delaware, Hawaii, Illinois, Louisiana, Michigan, Mississippi, Nevada, New Jersey, New York, Ohio, Pennsylvania, Puerto Rico, Rhode Island, Washington, and West Virginia</w:t>
      </w:r>
      <w:r w:rsidRPr="00657793" w:rsidR="00AC2709">
        <w:t>.</w:t>
      </w:r>
      <w:r w:rsidRPr="00657793">
        <w:t xml:space="preserve">  The</w:t>
      </w:r>
      <w:r w:rsidR="00657793">
        <w:t xml:space="preserve"> remaining</w:t>
      </w:r>
      <w:r w:rsidRPr="00657793">
        <w:t xml:space="preserve"> </w:t>
      </w:r>
      <w:r w:rsidR="00657793">
        <w:t>34</w:t>
      </w:r>
      <w:r w:rsidRPr="00657793">
        <w:t xml:space="preserve"> </w:t>
      </w:r>
      <w:r w:rsidRPr="00657793" w:rsidR="00B2571A">
        <w:t>s</w:t>
      </w:r>
      <w:r w:rsidRPr="00657793">
        <w:t>tates</w:t>
      </w:r>
      <w:r w:rsidRPr="00657793" w:rsidR="002B11E5">
        <w:t xml:space="preserve"> and the District of Columbia</w:t>
      </w:r>
      <w:r w:rsidRPr="00657793">
        <w:t xml:space="preserve"> do </w:t>
      </w:r>
      <w:r w:rsidRPr="00657793">
        <w:rPr>
          <w:u w:val="single"/>
        </w:rPr>
        <w:t>not</w:t>
      </w:r>
      <w:r w:rsidRPr="00657793">
        <w:t xml:space="preserve"> qualify as A</w:t>
      </w:r>
      <w:r w:rsidRPr="00657793" w:rsidR="00B05DB8">
        <w:t xml:space="preserve">SUs and will need to conduct </w:t>
      </w:r>
      <w:r w:rsidR="00C84ECE">
        <w:t xml:space="preserve">substate </w:t>
      </w:r>
      <w:r w:rsidRPr="00657793">
        <w:t>ASU search</w:t>
      </w:r>
      <w:r w:rsidRPr="00657793" w:rsidR="00B05DB8">
        <w:t>es</w:t>
      </w:r>
      <w:r>
        <w:t>.</w:t>
      </w:r>
    </w:p>
    <w:p w:rsidRPr="00603F6B" w:rsidR="00CF27AB" w:rsidP="00CF27AB" w:rsidRDefault="00CF27AB" w14:paraId="49E1C432" w14:textId="77777777"/>
    <w:p w:rsidRPr="00603F6B" w:rsidR="00CF27AB" w:rsidP="00CF27AB" w:rsidRDefault="00CF27AB" w14:paraId="7530931E" w14:textId="77777777">
      <w:pPr>
        <w:rPr>
          <w:b/>
          <w:u w:val="single"/>
        </w:rPr>
      </w:pPr>
      <w:r w:rsidRPr="00603F6B">
        <w:rPr>
          <w:b/>
          <w:u w:val="single"/>
        </w:rPr>
        <w:t>Population Data</w:t>
      </w:r>
      <w:r w:rsidRPr="00603F6B">
        <w:t xml:space="preserve">:  States have </w:t>
      </w:r>
      <w:r w:rsidR="00D61D62">
        <w:t>two</w:t>
      </w:r>
      <w:r w:rsidRPr="00603F6B">
        <w:t xml:space="preserve"> options for the population data</w:t>
      </w:r>
      <w:r w:rsidR="00D21C9F">
        <w:t xml:space="preserve"> used</w:t>
      </w:r>
      <w:r w:rsidRPr="00603F6B">
        <w:t xml:space="preserve"> to determine if </w:t>
      </w:r>
      <w:r w:rsidR="006C6B83">
        <w:t>an</w:t>
      </w:r>
      <w:r w:rsidRPr="00603F6B">
        <w:t xml:space="preserve"> ASU meets the minimum population level of 10,000 persons.  In determining the population for an ASU, a single population option</w:t>
      </w:r>
      <w:r>
        <w:t xml:space="preserve"> </w:t>
      </w:r>
      <w:r w:rsidRPr="00603F6B">
        <w:t xml:space="preserve">should be used for </w:t>
      </w:r>
      <w:r w:rsidRPr="00603F6B">
        <w:rPr>
          <w:u w:val="single"/>
        </w:rPr>
        <w:t>all</w:t>
      </w:r>
      <w:r w:rsidR="00D61D62">
        <w:t xml:space="preserve"> of its components</w:t>
      </w:r>
      <w:r>
        <w:t>.</w:t>
      </w:r>
    </w:p>
    <w:p w:rsidRPr="00603F6B" w:rsidR="00CF27AB" w:rsidP="00CF27AB" w:rsidRDefault="00CF27AB" w14:paraId="6388E7BF" w14:textId="77777777"/>
    <w:p w:rsidR="00CF27AB" w:rsidP="00CF27AB" w:rsidRDefault="00CF27AB" w14:paraId="162F825A" w14:textId="77777777">
      <w:pPr>
        <w:numPr>
          <w:ilvl w:val="0"/>
          <w:numId w:val="6"/>
        </w:numPr>
      </w:pPr>
      <w:r w:rsidRPr="00603F6B">
        <w:t>Option 1 is to use the 20</w:t>
      </w:r>
      <w:r>
        <w:t>10</w:t>
      </w:r>
      <w:r w:rsidRPr="00603F6B">
        <w:t xml:space="preserve"> </w:t>
      </w:r>
      <w:r w:rsidRPr="00603F6B" w:rsidR="00321DAE">
        <w:t xml:space="preserve">Census </w:t>
      </w:r>
      <w:r w:rsidRPr="00603F6B">
        <w:t xml:space="preserve">enumerated population from Summary File </w:t>
      </w:r>
      <w:r>
        <w:t xml:space="preserve">(SF) </w:t>
      </w:r>
      <w:r w:rsidRPr="00603F6B">
        <w:t xml:space="preserve">1.  This </w:t>
      </w:r>
      <w:r>
        <w:t xml:space="preserve">option </w:t>
      </w:r>
      <w:r w:rsidRPr="00603F6B">
        <w:t>can be used for al</w:t>
      </w:r>
      <w:r>
        <w:t>l</w:t>
      </w:r>
      <w:r w:rsidRPr="00603F6B">
        <w:t xml:space="preserve"> levels of geography</w:t>
      </w:r>
      <w:r>
        <w:t>, including census tracts</w:t>
      </w:r>
      <w:r w:rsidRPr="00603F6B">
        <w:t>.</w:t>
      </w:r>
    </w:p>
    <w:p w:rsidR="00CF27AB" w:rsidP="00CF27AB" w:rsidRDefault="00CF27AB" w14:paraId="37A862C1" w14:textId="77777777">
      <w:pPr>
        <w:pStyle w:val="ListParagraph"/>
        <w:ind w:left="0"/>
        <w:rPr>
          <w:sz w:val="24"/>
        </w:rPr>
      </w:pPr>
    </w:p>
    <w:p w:rsidR="00DC4A99" w:rsidP="00CF27AB" w:rsidRDefault="00CF27AB" w14:paraId="51E15875" w14:textId="614A6F21">
      <w:pPr>
        <w:numPr>
          <w:ilvl w:val="0"/>
          <w:numId w:val="6"/>
        </w:numPr>
      </w:pPr>
      <w:r>
        <w:t>Option 2 is to use the July 1, 201</w:t>
      </w:r>
      <w:r w:rsidR="00C50C60">
        <w:t>8</w:t>
      </w:r>
      <w:r>
        <w:t xml:space="preserve">, </w:t>
      </w:r>
      <w:proofErr w:type="spellStart"/>
      <w:r>
        <w:t>postcensal</w:t>
      </w:r>
      <w:proofErr w:type="spellEnd"/>
      <w:r>
        <w:t xml:space="preserve"> estimates</w:t>
      </w:r>
      <w:r w:rsidR="008B2F59">
        <w:t xml:space="preserve"> for LAUS areas and/or BLS-provided estimates of the Ju</w:t>
      </w:r>
      <w:r w:rsidR="00F7581A">
        <w:t>ly 1, 201</w:t>
      </w:r>
      <w:r w:rsidR="00C50C60">
        <w:t>8</w:t>
      </w:r>
      <w:r w:rsidR="00F7581A">
        <w:t xml:space="preserve">, </w:t>
      </w:r>
      <w:r w:rsidR="00B05DB8">
        <w:t>population</w:t>
      </w:r>
      <w:r w:rsidR="008B2F59">
        <w:t xml:space="preserve"> for census tracts.</w:t>
      </w:r>
      <w:r w:rsidR="008A46F9">
        <w:t xml:space="preserve">  </w:t>
      </w:r>
      <w:r w:rsidR="001B74B7">
        <w:t>BLS develops postcensal estimates for tracts by applying tract shares of county enumerated population to the postcensal estimates for counties</w:t>
      </w:r>
      <w:r w:rsidR="00DE71FD">
        <w:t>.</w:t>
      </w:r>
    </w:p>
    <w:p w:rsidR="00DC4A99" w:rsidP="00DC4A99" w:rsidRDefault="00DC4A99" w14:paraId="4D0B723F" w14:textId="77777777">
      <w:pPr>
        <w:pStyle w:val="ListParagraph"/>
      </w:pPr>
    </w:p>
    <w:p w:rsidR="00CF27AB" w:rsidP="00DC4A99" w:rsidRDefault="00AC6513" w14:paraId="4B2AAA63" w14:textId="3EE9E883">
      <w:r>
        <w:t>BLS will load b</w:t>
      </w:r>
      <w:r w:rsidR="00DC4A99">
        <w:t>oth sets of populati</w:t>
      </w:r>
      <w:r>
        <w:t xml:space="preserve">on estimates </w:t>
      </w:r>
      <w:r w:rsidR="00DC4A99">
        <w:t>into the LAUSTo</w:t>
      </w:r>
      <w:r>
        <w:t>o ASU module</w:t>
      </w:r>
      <w:r w:rsidR="00DC4A99">
        <w:t xml:space="preserve">.  The system will automatically fill </w:t>
      </w:r>
      <w:r w:rsidR="003576E4">
        <w:t>the relevant cell on each</w:t>
      </w:r>
      <w:r w:rsidR="003F2915">
        <w:t xml:space="preserve"> ASU d</w:t>
      </w:r>
      <w:r w:rsidR="00DC4A99">
        <w:t>esignation form with the July 1, 201</w:t>
      </w:r>
      <w:r w:rsidR="00C50C60">
        <w:t>8</w:t>
      </w:r>
      <w:r w:rsidR="00DC4A99">
        <w:t>, population es</w:t>
      </w:r>
      <w:r w:rsidR="003576E4">
        <w:t>timate.  In the unlikely event that</w:t>
      </w:r>
      <w:r w:rsidR="00BE7249">
        <w:t xml:space="preserve"> an ASU qualifies using the 2010 Census </w:t>
      </w:r>
      <w:r w:rsidR="00504257">
        <w:t>count</w:t>
      </w:r>
      <w:r w:rsidR="00BE7249">
        <w:t xml:space="preserve"> but not the July 1, 201</w:t>
      </w:r>
      <w:r w:rsidR="00C50C60">
        <w:t>8</w:t>
      </w:r>
      <w:r w:rsidR="00BE7249">
        <w:t xml:space="preserve">, estimate, </w:t>
      </w:r>
      <w:proofErr w:type="gramStart"/>
      <w:r w:rsidR="00BE7249">
        <w:t>the</w:t>
      </w:r>
      <w:proofErr w:type="gramEnd"/>
      <w:r w:rsidR="00BE7249">
        <w:t xml:space="preserve"> affected </w:t>
      </w:r>
      <w:r w:rsidR="00B2571A">
        <w:t>s</w:t>
      </w:r>
      <w:r w:rsidR="00DB7A52">
        <w:t>tate should contact their regional o</w:t>
      </w:r>
      <w:r w:rsidR="00BE7249">
        <w:t xml:space="preserve">ffice.  In those cases, BLS can manually modify the form to reflect the 2010 Census </w:t>
      </w:r>
      <w:r w:rsidR="008C4A5E">
        <w:t>count</w:t>
      </w:r>
      <w:r w:rsidR="00BE7249">
        <w:t>.</w:t>
      </w:r>
    </w:p>
    <w:p w:rsidRPr="00603F6B" w:rsidR="00CF27AB" w:rsidP="00CF27AB" w:rsidRDefault="00CF27AB" w14:paraId="3ED76717" w14:textId="77777777"/>
    <w:p w:rsidR="00CF27AB" w:rsidP="00CF27AB" w:rsidRDefault="00CF27AB" w14:paraId="689AB000" w14:textId="7774151C">
      <w:pPr>
        <w:autoSpaceDE w:val="0"/>
        <w:autoSpaceDN w:val="0"/>
        <w:adjustRightInd w:val="0"/>
      </w:pPr>
      <w:r>
        <w:rPr>
          <w:b/>
          <w:u w:val="single"/>
        </w:rPr>
        <w:t>ACS</w:t>
      </w:r>
      <w:r w:rsidRPr="00603F6B">
        <w:rPr>
          <w:b/>
          <w:u w:val="single"/>
        </w:rPr>
        <w:t xml:space="preserve"> Employment and Unemployment Data</w:t>
      </w:r>
      <w:r w:rsidRPr="00603F6B">
        <w:t>:</w:t>
      </w:r>
      <w:r w:rsidRPr="00603F6B">
        <w:rPr>
          <w:b/>
        </w:rPr>
        <w:t xml:space="preserve">  </w:t>
      </w:r>
      <w:r w:rsidR="00931C0B">
        <w:t>C</w:t>
      </w:r>
      <w:r>
        <w:t>ensus tracts</w:t>
      </w:r>
      <w:r w:rsidR="003E3B29">
        <w:t xml:space="preserve"> included</w:t>
      </w:r>
      <w:r>
        <w:t xml:space="preserve"> as geographic components of ASUs </w:t>
      </w:r>
      <w:r w:rsidRPr="00603F6B">
        <w:t xml:space="preserve">will </w:t>
      </w:r>
      <w:r w:rsidR="003E3B29">
        <w:t>be ACS-shared</w:t>
      </w:r>
      <w:r w:rsidR="00372C4F">
        <w:t xml:space="preserve"> from counties</w:t>
      </w:r>
      <w:r w:rsidR="003E3B29">
        <w:t xml:space="preserve"> using the</w:t>
      </w:r>
      <w:r w:rsidRPr="00603F6B">
        <w:t xml:space="preserve"> </w:t>
      </w:r>
      <w:r w:rsidR="000F4691">
        <w:t>5</w:t>
      </w:r>
      <w:r>
        <w:t>-year ACS</w:t>
      </w:r>
      <w:r w:rsidRPr="00603F6B">
        <w:t xml:space="preserve"> employment and unemployment data </w:t>
      </w:r>
      <w:r>
        <w:t xml:space="preserve">for </w:t>
      </w:r>
      <w:r w:rsidRPr="00BB4B91">
        <w:t>20</w:t>
      </w:r>
      <w:r w:rsidRPr="00BB4B91" w:rsidR="006B0DB4">
        <w:t>1</w:t>
      </w:r>
      <w:r w:rsidR="00C50C60">
        <w:t>4</w:t>
      </w:r>
      <w:r w:rsidRPr="00BB4B91">
        <w:t>-201</w:t>
      </w:r>
      <w:r w:rsidR="00C50C60">
        <w:t>8</w:t>
      </w:r>
      <w:r>
        <w:t>.</w:t>
      </w:r>
      <w:r w:rsidR="00F53303">
        <w:t xml:space="preserve">  (The lone</w:t>
      </w:r>
      <w:r w:rsidR="00935343">
        <w:t xml:space="preserve"> exception</w:t>
      </w:r>
      <w:r w:rsidR="00F53303">
        <w:t xml:space="preserve"> is Rio Arriba</w:t>
      </w:r>
      <w:r w:rsidR="00935343">
        <w:t xml:space="preserve"> County, NM, for which</w:t>
      </w:r>
      <w:r w:rsidR="00F53303">
        <w:t xml:space="preserve"> ACS 2014-2018 estimates are not available</w:t>
      </w:r>
      <w:r w:rsidR="00935343">
        <w:t>; tracts</w:t>
      </w:r>
      <w:r w:rsidR="00F53303">
        <w:t xml:space="preserve"> in Rio Arriba</w:t>
      </w:r>
      <w:r w:rsidR="00935343">
        <w:t xml:space="preserve"> County</w:t>
      </w:r>
      <w:r w:rsidR="00F53303">
        <w:t xml:space="preserve"> will be </w:t>
      </w:r>
      <w:r w:rsidR="00935343">
        <w:t>ACS-</w:t>
      </w:r>
      <w:r w:rsidR="00F53303">
        <w:t xml:space="preserve">shared using </w:t>
      </w:r>
      <w:r w:rsidR="00935343">
        <w:t xml:space="preserve">the latest available data, the </w:t>
      </w:r>
      <w:r w:rsidR="00F53303">
        <w:t>2013-2017</w:t>
      </w:r>
      <w:r w:rsidR="00935343">
        <w:t xml:space="preserve"> 5-year ACS estimates</w:t>
      </w:r>
      <w:r w:rsidR="00F53303">
        <w:t>.)</w:t>
      </w:r>
      <w:r w:rsidR="005C1B91">
        <w:t xml:space="preserve">  BLS will load ACS-shared estimates for each tract in the nation into t</w:t>
      </w:r>
      <w:r w:rsidR="0099636F">
        <w:t xml:space="preserve">he </w:t>
      </w:r>
      <w:r w:rsidR="005C1B91">
        <w:t>LAUSToo</w:t>
      </w:r>
      <w:r w:rsidR="0099636F">
        <w:t xml:space="preserve"> ASU module</w:t>
      </w:r>
      <w:r w:rsidR="005C1B91">
        <w:t>.</w:t>
      </w:r>
    </w:p>
    <w:p w:rsidR="00931C0B" w:rsidP="00CF27AB" w:rsidRDefault="00931C0B" w14:paraId="115ED741" w14:textId="77777777">
      <w:pPr>
        <w:autoSpaceDE w:val="0"/>
        <w:autoSpaceDN w:val="0"/>
        <w:adjustRightInd w:val="0"/>
      </w:pPr>
    </w:p>
    <w:p w:rsidR="00931C0B" w:rsidP="00931C0B" w:rsidRDefault="00931C0B" w14:paraId="7E7497A0" w14:textId="26FB9528">
      <w:pPr>
        <w:autoSpaceDE w:val="0"/>
        <w:autoSpaceDN w:val="0"/>
        <w:adjustRightInd w:val="0"/>
      </w:pPr>
      <w:r>
        <w:rPr>
          <w:b/>
          <w:u w:val="single"/>
        </w:rPr>
        <w:t>Shapefiles for Mapping ASUs</w:t>
      </w:r>
      <w:r w:rsidRPr="00603F6B">
        <w:t>:</w:t>
      </w:r>
      <w:r w:rsidRPr="00603F6B">
        <w:rPr>
          <w:b/>
        </w:rPr>
        <w:t xml:space="preserve">  </w:t>
      </w:r>
      <w:r w:rsidR="00CF5529">
        <w:t>States that verify contiguity of their</w:t>
      </w:r>
      <w:r w:rsidR="003B7135">
        <w:t xml:space="preserve"> tract-based</w:t>
      </w:r>
      <w:r w:rsidR="00CF5529">
        <w:t xml:space="preserve"> ASUs using mapping software should us</w:t>
      </w:r>
      <w:r w:rsidR="007C30F7">
        <w:t>e the vintage 201</w:t>
      </w:r>
      <w:r w:rsidR="00C50C60">
        <w:t>8</w:t>
      </w:r>
      <w:r w:rsidR="007C30F7">
        <w:t xml:space="preserve"> </w:t>
      </w:r>
      <w:r w:rsidR="00CF5529">
        <w:t>shapefiles produced by the Census Bureau.  The shapefile vintage should coincide with the last year</w:t>
      </w:r>
      <w:r w:rsidR="00D6016E">
        <w:t xml:space="preserve"> in the range of</w:t>
      </w:r>
      <w:r w:rsidR="00E20BE2">
        <w:t xml:space="preserve"> the ACS estimates underlying the</w:t>
      </w:r>
      <w:r w:rsidR="00CF5529">
        <w:t xml:space="preserve"> mapped</w:t>
      </w:r>
      <w:r w:rsidR="00E20BE2">
        <w:t xml:space="preserve"> data</w:t>
      </w:r>
      <w:r w:rsidR="00CF5529">
        <w:t xml:space="preserve">.  </w:t>
      </w:r>
      <w:r w:rsidR="007854C9">
        <w:t>Additional information and dow</w:t>
      </w:r>
      <w:r w:rsidR="00BE2987">
        <w:t>n</w:t>
      </w:r>
      <w:r w:rsidR="007854C9">
        <w:t>loadable shapefiles are available at</w:t>
      </w:r>
      <w:r w:rsidR="00911D35">
        <w:t xml:space="preserve"> </w:t>
      </w:r>
      <w:hyperlink w:history="1" r:id="rId8">
        <w:r w:rsidRPr="00E51FFC" w:rsidR="00C50C60">
          <w:rPr>
            <w:rStyle w:val="Hyperlink"/>
          </w:rPr>
          <w:t>https://www.census.gov/geographies/mapping-files/time-series/geo/tiger-line-file.2018.html</w:t>
        </w:r>
      </w:hyperlink>
      <w:r w:rsidR="008873A7">
        <w:t>.</w:t>
      </w:r>
      <w:r w:rsidR="007854C9">
        <w:t xml:space="preserve"> </w:t>
      </w:r>
      <w:r w:rsidR="008873A7">
        <w:t xml:space="preserve"> While vintage 2010 shapefiles are often sufficient for most purposes,</w:t>
      </w:r>
      <w:r w:rsidR="003B7135">
        <w:t xml:space="preserve"> tract</w:t>
      </w:r>
      <w:r w:rsidR="008873A7">
        <w:t xml:space="preserve"> boundary corrections</w:t>
      </w:r>
      <w:r w:rsidR="007C30F7">
        <w:t xml:space="preserve"> or changes</w:t>
      </w:r>
      <w:r w:rsidR="008873A7">
        <w:t xml:space="preserve"> that only appear in the later shapefiles may</w:t>
      </w:r>
      <w:r w:rsidR="002E0EFF">
        <w:t>, in some cases,</w:t>
      </w:r>
      <w:r w:rsidR="008873A7">
        <w:t xml:space="preserve"> affect ASU contiguity.</w:t>
      </w:r>
    </w:p>
    <w:p w:rsidRPr="00603F6B" w:rsidR="00CF27AB" w:rsidP="00CF27AB" w:rsidRDefault="00CF27AB" w14:paraId="59E9CC1C" w14:textId="77777777"/>
    <w:p w:rsidRPr="00603F6B" w:rsidR="00CF27AB" w:rsidP="00CF27AB" w:rsidRDefault="00CF27AB" w14:paraId="79483917" w14:textId="288A643F">
      <w:r w:rsidRPr="00603F6B">
        <w:rPr>
          <w:b/>
          <w:u w:val="single"/>
        </w:rPr>
        <w:t>Methods for Developing ASUs</w:t>
      </w:r>
      <w:r w:rsidRPr="00603F6B">
        <w:t xml:space="preserve">:  </w:t>
      </w:r>
      <w:r w:rsidRPr="00F03945" w:rsidR="00E310EC">
        <w:rPr>
          <w:color w:val="000000"/>
        </w:rPr>
        <w:t xml:space="preserve">For </w:t>
      </w:r>
      <w:r w:rsidR="00E310EC">
        <w:rPr>
          <w:color w:val="000000"/>
        </w:rPr>
        <w:t>Puerto Rico and the</w:t>
      </w:r>
      <w:r w:rsidRPr="00F03945" w:rsidR="00E310EC">
        <w:rPr>
          <w:color w:val="000000"/>
        </w:rPr>
        <w:t xml:space="preserve"> </w:t>
      </w:r>
      <w:r w:rsidR="00E310EC">
        <w:rPr>
          <w:color w:val="000000"/>
        </w:rPr>
        <w:t>16 states</w:t>
      </w:r>
      <w:r w:rsidRPr="00F03945" w:rsidR="00E310EC">
        <w:rPr>
          <w:color w:val="000000"/>
        </w:rPr>
        <w:t xml:space="preserve"> that qualify as ASUs in their entireties,</w:t>
      </w:r>
      <w:r w:rsidRPr="00F03945" w:rsidR="00E310EC">
        <w:rPr>
          <w:b/>
          <w:color w:val="000000"/>
        </w:rPr>
        <w:t xml:space="preserve"> </w:t>
      </w:r>
      <w:r w:rsidRPr="00F03945" w:rsidR="00E310EC">
        <w:rPr>
          <w:color w:val="000000"/>
        </w:rPr>
        <w:t xml:space="preserve">no submittal of data for substate areas is required.  </w:t>
      </w:r>
      <w:r w:rsidR="00E310EC">
        <w:rPr>
          <w:color w:val="000000"/>
        </w:rPr>
        <w:t>For the</w:t>
      </w:r>
      <w:r w:rsidRPr="0008277D" w:rsidR="00FC4D7D">
        <w:rPr>
          <w:color w:val="000000"/>
        </w:rPr>
        <w:t xml:space="preserve"> District of Columbia</w:t>
      </w:r>
      <w:r w:rsidR="00E310EC">
        <w:rPr>
          <w:color w:val="000000"/>
        </w:rPr>
        <w:t xml:space="preserve"> and the 34 states that</w:t>
      </w:r>
      <w:r w:rsidR="0008277D">
        <w:rPr>
          <w:color w:val="000000"/>
        </w:rPr>
        <w:t xml:space="preserve"> are required to conduct an ASU search</w:t>
      </w:r>
      <w:r w:rsidR="009C1E07">
        <w:rPr>
          <w:color w:val="000000"/>
        </w:rPr>
        <w:t>, two</w:t>
      </w:r>
      <w:r w:rsidRPr="00F03945" w:rsidR="001D1C5A">
        <w:rPr>
          <w:color w:val="000000"/>
        </w:rPr>
        <w:t xml:space="preserve"> </w:t>
      </w:r>
      <w:r w:rsidRPr="00F03945">
        <w:rPr>
          <w:color w:val="000000"/>
        </w:rPr>
        <w:t>basic methods can be used separately or i</w:t>
      </w:r>
      <w:r w:rsidR="00B2571A">
        <w:rPr>
          <w:color w:val="000000"/>
        </w:rPr>
        <w:t>n combination to develop ASUs:</w:t>
      </w:r>
    </w:p>
    <w:p w:rsidRPr="00603F6B" w:rsidR="00CF27AB" w:rsidP="00CF27AB" w:rsidRDefault="00CF27AB" w14:paraId="62C32F46" w14:textId="77777777"/>
    <w:p w:rsidRPr="00603F6B" w:rsidR="00CF27AB" w:rsidP="00CF27AB" w:rsidRDefault="00CF27AB" w14:paraId="74F97D73" w14:textId="77777777">
      <w:pPr>
        <w:numPr>
          <w:ilvl w:val="0"/>
          <w:numId w:val="8"/>
        </w:numPr>
      </w:pPr>
      <w:r w:rsidRPr="00603F6B">
        <w:t>Addition of areas</w:t>
      </w:r>
    </w:p>
    <w:p w:rsidRPr="00603F6B" w:rsidR="00CF27AB" w:rsidP="00CF27AB" w:rsidRDefault="00CF27AB" w14:paraId="224E89A2" w14:textId="77777777">
      <w:pPr>
        <w:numPr>
          <w:ilvl w:val="0"/>
          <w:numId w:val="8"/>
        </w:numPr>
      </w:pPr>
      <w:r w:rsidRPr="00603F6B">
        <w:t>Subtraction of areas</w:t>
      </w:r>
    </w:p>
    <w:p w:rsidRPr="00603F6B" w:rsidR="00CF27AB" w:rsidP="00CF27AB" w:rsidRDefault="00CF27AB" w14:paraId="3A02D236" w14:textId="77777777"/>
    <w:p w:rsidRPr="00603F6B" w:rsidR="00CF27AB" w:rsidP="00CF27AB" w:rsidRDefault="00CF27AB" w14:paraId="19472A9A" w14:textId="449CD1FE">
      <w:pPr>
        <w:pStyle w:val="BodyText2"/>
        <w:rPr>
          <w:rFonts w:ascii="Times New Roman" w:hAnsi="Times New Roman"/>
          <w:color w:val="auto"/>
        </w:rPr>
      </w:pPr>
      <w:r w:rsidRPr="00603F6B">
        <w:rPr>
          <w:rFonts w:ascii="Times New Roman" w:hAnsi="Times New Roman"/>
          <w:color w:val="auto"/>
        </w:rPr>
        <w:t xml:space="preserve">In the addition and subtraction methods, LAUS areas and/or </w:t>
      </w:r>
      <w:r>
        <w:rPr>
          <w:rFonts w:ascii="Times New Roman" w:hAnsi="Times New Roman"/>
          <w:color w:val="auto"/>
        </w:rPr>
        <w:t>ACS</w:t>
      </w:r>
      <w:r w:rsidRPr="00603F6B">
        <w:rPr>
          <w:rFonts w:ascii="Times New Roman" w:hAnsi="Times New Roman"/>
          <w:color w:val="auto"/>
        </w:rPr>
        <w:t xml:space="preserve">-shared </w:t>
      </w:r>
      <w:r>
        <w:rPr>
          <w:rFonts w:ascii="Times New Roman" w:hAnsi="Times New Roman"/>
          <w:color w:val="auto"/>
        </w:rPr>
        <w:t>census tracts</w:t>
      </w:r>
      <w:r w:rsidR="00751288">
        <w:rPr>
          <w:rFonts w:ascii="Times New Roman" w:hAnsi="Times New Roman"/>
          <w:color w:val="auto"/>
        </w:rPr>
        <w:t xml:space="preserve"> are added together</w:t>
      </w:r>
      <w:r w:rsidRPr="00603F6B">
        <w:rPr>
          <w:rFonts w:ascii="Times New Roman" w:hAnsi="Times New Roman"/>
          <w:color w:val="auto"/>
        </w:rPr>
        <w:t xml:space="preserve"> or subtracted from a larger geogr</w:t>
      </w:r>
      <w:r w:rsidR="00154AE0">
        <w:rPr>
          <w:rFonts w:ascii="Times New Roman" w:hAnsi="Times New Roman"/>
          <w:color w:val="auto"/>
        </w:rPr>
        <w:t>aphic area to arrive at an</w:t>
      </w:r>
      <w:r w:rsidRPr="00603F6B">
        <w:rPr>
          <w:rFonts w:ascii="Times New Roman" w:hAnsi="Times New Roman"/>
          <w:color w:val="auto"/>
        </w:rPr>
        <w:t xml:space="preserve"> ASU.  The addition method often is used by </w:t>
      </w:r>
      <w:r w:rsidR="00B2571A">
        <w:rPr>
          <w:rFonts w:ascii="Times New Roman" w:hAnsi="Times New Roman"/>
          <w:color w:val="auto"/>
        </w:rPr>
        <w:t>s</w:t>
      </w:r>
      <w:r w:rsidRPr="00603F6B">
        <w:rPr>
          <w:rFonts w:ascii="Times New Roman" w:hAnsi="Times New Roman"/>
          <w:color w:val="auto"/>
        </w:rPr>
        <w:t>tates with lower statewide unemployment rates, while the subtraction method typically is used when rates are closer to the 6.5-percent threshold</w:t>
      </w:r>
      <w:r w:rsidR="00B2571A">
        <w:rPr>
          <w:rFonts w:ascii="Times New Roman" w:hAnsi="Times New Roman"/>
          <w:color w:val="auto"/>
        </w:rPr>
        <w:t>.  Despite these generalities, s</w:t>
      </w:r>
      <w:r w:rsidRPr="00603F6B">
        <w:rPr>
          <w:rFonts w:ascii="Times New Roman" w:hAnsi="Times New Roman"/>
          <w:color w:val="auto"/>
        </w:rPr>
        <w:t xml:space="preserve">tates should use </w:t>
      </w:r>
      <w:r w:rsidR="00404F91">
        <w:rPr>
          <w:rFonts w:ascii="Times New Roman" w:hAnsi="Times New Roman"/>
          <w:color w:val="auto"/>
        </w:rPr>
        <w:t>whichever approach they prefer.</w:t>
      </w:r>
    </w:p>
    <w:p w:rsidR="008C40A4" w:rsidP="00CF27AB" w:rsidRDefault="008C40A4" w14:paraId="5A3A0646" w14:textId="77777777"/>
    <w:p w:rsidR="00CF27AB" w:rsidP="00CF27AB" w:rsidRDefault="00CF27AB" w14:paraId="7F0F8B56" w14:textId="77777777">
      <w:r>
        <w:t>In order to avoid double-counting and maintain additivit</w:t>
      </w:r>
      <w:r w:rsidR="002B6D44">
        <w:t>y to the county level, ASU components</w:t>
      </w:r>
      <w:r>
        <w:t xml:space="preserve"> in any given county may consist of either</w:t>
      </w:r>
      <w:r w:rsidR="00BC4B40">
        <w:t xml:space="preserve"> census</w:t>
      </w:r>
      <w:r>
        <w:t xml:space="preserve"> tracts or LAUS cities and city parts, but not a combination of both.</w:t>
      </w:r>
    </w:p>
    <w:p w:rsidR="002B6D44" w:rsidP="00CF27AB" w:rsidRDefault="002B6D44" w14:paraId="12614F44" w14:textId="77777777"/>
    <w:p w:rsidR="002B6D44" w:rsidP="00B2571A" w:rsidRDefault="00151448" w14:paraId="3A2AA245" w14:textId="392F81A7">
      <w:pPr>
        <w:autoSpaceDE w:val="0"/>
        <w:autoSpaceDN w:val="0"/>
        <w:adjustRightInd w:val="0"/>
      </w:pPr>
      <w:r>
        <w:t xml:space="preserve">In order to facilitate ASU designations, </w:t>
      </w:r>
      <w:r w:rsidRPr="00603F6B">
        <w:t xml:space="preserve">Excel files of </w:t>
      </w:r>
      <w:r>
        <w:t>census tract-level ACS</w:t>
      </w:r>
      <w:r w:rsidRPr="00603F6B">
        <w:t xml:space="preserve"> employment and unemployment data are being made </w:t>
      </w:r>
      <w:r w:rsidRPr="00121528">
        <w:t xml:space="preserve">available to </w:t>
      </w:r>
      <w:r w:rsidR="00B2571A">
        <w:t>s</w:t>
      </w:r>
      <w:r w:rsidRPr="00121528">
        <w:t xml:space="preserve">tates.  </w:t>
      </w:r>
      <w:r w:rsidR="00937E91">
        <w:t>T</w:t>
      </w:r>
      <w:r>
        <w:t>hese files also include geographic identifiers, derivation area ACS and LAUS employment and unemployment estimates, 2010</w:t>
      </w:r>
      <w:r w:rsidR="003B7135">
        <w:t xml:space="preserve"> and 201</w:t>
      </w:r>
      <w:r w:rsidR="00C50C60">
        <w:t>8</w:t>
      </w:r>
      <w:r>
        <w:t xml:space="preserve"> population </w:t>
      </w:r>
      <w:r w:rsidR="00320892">
        <w:t>data</w:t>
      </w:r>
      <w:r>
        <w:t>, ACS-share ratios, and LAUS-consistent tract-level la</w:t>
      </w:r>
      <w:r w:rsidR="004A3D60">
        <w:t>bor force data for the July 201</w:t>
      </w:r>
      <w:r w:rsidR="00C50C60">
        <w:t>9</w:t>
      </w:r>
      <w:r w:rsidR="004A3D60">
        <w:t xml:space="preserve"> to June 20</w:t>
      </w:r>
      <w:r w:rsidR="00C50C60">
        <w:t>20</w:t>
      </w:r>
      <w:r>
        <w:t xml:space="preserve"> period.  The “fields” worksheet in each file identifies the elements of each column in th</w:t>
      </w:r>
      <w:r w:rsidR="00937E91">
        <w:t>is</w:t>
      </w:r>
      <w:r>
        <w:t xml:space="preserve"> data worksheet.</w:t>
      </w:r>
      <w:r w:rsidR="00662A2E">
        <w:t xml:space="preserve">  </w:t>
      </w:r>
      <w:r w:rsidR="00937E91">
        <w:t>T</w:t>
      </w:r>
      <w:r w:rsidR="00662A2E">
        <w:t>he files also contain an “alternate” worksheet with data for both census tracts and all LAUS areas.  Th</w:t>
      </w:r>
      <w:r w:rsidR="00E4779F">
        <w:t>ese</w:t>
      </w:r>
      <w:r w:rsidR="00662A2E">
        <w:t xml:space="preserve"> worksheet</w:t>
      </w:r>
      <w:r w:rsidR="00E4779F">
        <w:t>s</w:t>
      </w:r>
      <w:r w:rsidR="002C73B4">
        <w:t xml:space="preserve"> also</w:t>
      </w:r>
      <w:r w:rsidR="00662A2E">
        <w:t xml:space="preserve"> may</w:t>
      </w:r>
      <w:r w:rsidR="00E4779F">
        <w:t xml:space="preserve"> </w:t>
      </w:r>
      <w:r w:rsidR="00662A2E">
        <w:t xml:space="preserve">aid </w:t>
      </w:r>
      <w:r w:rsidR="00B2571A">
        <w:t>s</w:t>
      </w:r>
      <w:r w:rsidR="00662A2E">
        <w:t>tates in creating addition/subtraction component lists for batch loading of ASUs.</w:t>
      </w:r>
    </w:p>
    <w:p w:rsidR="004E141D" w:rsidP="00CF27AB" w:rsidRDefault="004E141D" w14:paraId="64E96DCF" w14:textId="77777777"/>
    <w:p w:rsidR="004E141D" w:rsidP="00CF27AB" w:rsidRDefault="004E141D" w14:paraId="6A267D81" w14:textId="0C8D067F">
      <w:pPr>
        <w:rPr>
          <w:color w:val="000000"/>
        </w:rPr>
      </w:pPr>
      <w:r>
        <w:rPr>
          <w:b/>
          <w:u w:val="single"/>
        </w:rPr>
        <w:t>ASU Module in LAUSToo</w:t>
      </w:r>
      <w:r w:rsidRPr="00E53732">
        <w:t>:</w:t>
      </w:r>
      <w:r w:rsidRPr="00603F6B">
        <w:rPr>
          <w:color w:val="0000FF"/>
        </w:rPr>
        <w:t xml:space="preserve"> </w:t>
      </w:r>
      <w:r w:rsidRPr="00F03945">
        <w:rPr>
          <w:color w:val="000000"/>
        </w:rPr>
        <w:t xml:space="preserve"> </w:t>
      </w:r>
      <w:r w:rsidR="00F74004">
        <w:rPr>
          <w:color w:val="000000"/>
        </w:rPr>
        <w:t>Most of the inputs required</w:t>
      </w:r>
      <w:r w:rsidR="00D47192">
        <w:rPr>
          <w:color w:val="000000"/>
        </w:rPr>
        <w:t xml:space="preserve"> for the ASU forms </w:t>
      </w:r>
      <w:r w:rsidR="002220B8">
        <w:rPr>
          <w:color w:val="000000"/>
        </w:rPr>
        <w:t>are</w:t>
      </w:r>
      <w:r w:rsidR="00D47192">
        <w:rPr>
          <w:color w:val="000000"/>
        </w:rPr>
        <w:t xml:space="preserve"> automatically filled by the </w:t>
      </w:r>
      <w:r w:rsidR="00B248D1">
        <w:rPr>
          <w:color w:val="000000"/>
        </w:rPr>
        <w:t>ASU module in LAUSToo</w:t>
      </w:r>
      <w:r w:rsidR="00D47192">
        <w:rPr>
          <w:color w:val="000000"/>
        </w:rPr>
        <w:t xml:space="preserve">.  For each ASU, </w:t>
      </w:r>
      <w:r w:rsidR="00B2571A">
        <w:rPr>
          <w:color w:val="000000"/>
        </w:rPr>
        <w:t>s</w:t>
      </w:r>
      <w:r w:rsidR="00D47192">
        <w:rPr>
          <w:color w:val="000000"/>
        </w:rPr>
        <w:t>tates</w:t>
      </w:r>
      <w:r w:rsidR="002220B8">
        <w:rPr>
          <w:color w:val="000000"/>
        </w:rPr>
        <w:t xml:space="preserve"> are</w:t>
      </w:r>
      <w:r w:rsidR="00D47192">
        <w:rPr>
          <w:color w:val="000000"/>
        </w:rPr>
        <w:t xml:space="preserve"> required to enter a code, a title, and a geographic description.  Since the system will automatically generate a list of components for each ASU, </w:t>
      </w:r>
      <w:r w:rsidR="00B2571A">
        <w:rPr>
          <w:color w:val="000000"/>
        </w:rPr>
        <w:t>s</w:t>
      </w:r>
      <w:r w:rsidR="00D47192">
        <w:rPr>
          <w:color w:val="000000"/>
        </w:rPr>
        <w:t xml:space="preserve">tates can simply enter “See </w:t>
      </w:r>
      <w:r w:rsidR="000156AA">
        <w:rPr>
          <w:color w:val="000000"/>
        </w:rPr>
        <w:t>enclosed list</w:t>
      </w:r>
      <w:r w:rsidR="00D47192">
        <w:rPr>
          <w:color w:val="000000"/>
        </w:rPr>
        <w:t xml:space="preserve">” in the geographic description section.  </w:t>
      </w:r>
      <w:r w:rsidR="00DC6BC7">
        <w:rPr>
          <w:color w:val="000000"/>
        </w:rPr>
        <w:t>All other necessary information is</w:t>
      </w:r>
      <w:r w:rsidR="00D47192">
        <w:rPr>
          <w:color w:val="000000"/>
        </w:rPr>
        <w:t xml:space="preserve"> automatically populated on the ASU Designation Form by LAUSToo.</w:t>
      </w:r>
    </w:p>
    <w:p w:rsidR="00D47192" w:rsidP="00CF27AB" w:rsidRDefault="00D47192" w14:paraId="61A9BFDD" w14:textId="77777777">
      <w:pPr>
        <w:rPr>
          <w:color w:val="000000"/>
        </w:rPr>
      </w:pPr>
    </w:p>
    <w:p w:rsidR="00D47192" w:rsidP="00CF27AB" w:rsidRDefault="00F643FB" w14:paraId="483260BE" w14:textId="2DF4A2E5">
      <w:pPr>
        <w:rPr>
          <w:color w:val="000000"/>
        </w:rPr>
      </w:pPr>
      <w:r>
        <w:rPr>
          <w:color w:val="000000"/>
        </w:rPr>
        <w:t xml:space="preserve">The LAUSToo ASU module will contain all necessary population data as well as employment and unemployment estimates for all LAUS areas and ACS-shared employment and </w:t>
      </w:r>
      <w:r>
        <w:rPr>
          <w:color w:val="000000"/>
        </w:rPr>
        <w:lastRenderedPageBreak/>
        <w:t xml:space="preserve">unemployment estimates for all census tracts.  </w:t>
      </w:r>
      <w:r w:rsidR="007E3CE4">
        <w:rPr>
          <w:color w:val="000000"/>
        </w:rPr>
        <w:t xml:space="preserve">Once an ASU is created by entering a code, title, and geographic description, </w:t>
      </w:r>
      <w:r w:rsidR="00B2571A">
        <w:rPr>
          <w:color w:val="000000"/>
        </w:rPr>
        <w:t>s</w:t>
      </w:r>
      <w:r w:rsidR="007E3CE4">
        <w:rPr>
          <w:color w:val="000000"/>
        </w:rPr>
        <w:t>tates need only specify the geographic components of the ASU.  The system will calculate the resulting unemployment rate and population level.</w:t>
      </w:r>
    </w:p>
    <w:p w:rsidR="00542427" w:rsidP="00CF27AB" w:rsidRDefault="00542427" w14:paraId="4FB64299" w14:textId="77777777">
      <w:pPr>
        <w:rPr>
          <w:color w:val="000000"/>
        </w:rPr>
      </w:pPr>
    </w:p>
    <w:p w:rsidR="00542427" w:rsidP="00542427" w:rsidRDefault="00542427" w14:paraId="1E25BECD" w14:textId="6E8DB616">
      <w:pPr>
        <w:autoSpaceDE w:val="0"/>
        <w:autoSpaceDN w:val="0"/>
        <w:adjustRightInd w:val="0"/>
      </w:pPr>
      <w:r>
        <w:t xml:space="preserve">Note that, on rare occasions, </w:t>
      </w:r>
      <w:r w:rsidR="00296096">
        <w:t xml:space="preserve">a </w:t>
      </w:r>
      <w:r>
        <w:t xml:space="preserve">state may designate an ASU that seems to meet the unemployment rate criterion based on calculations using the </w:t>
      </w:r>
      <w:r w:rsidR="00F42757">
        <w:t xml:space="preserve">BLS-provided </w:t>
      </w:r>
      <w:r>
        <w:t>Excel file but that does not meet that criterion when the rate is calculated in the LAUSToo ASU module.  This is due to the way rounding is handled in the two sets of calculations.  In the Excel file, 12 months of data are averaged for each area and the averaged area data are summed to get an approximate ASU estimate.  In the LAUSToo ASU module, area data are summed for each month, creating monthly estimates for the ASU</w:t>
      </w:r>
      <w:r w:rsidR="003B7104">
        <w:t>, as required by the ASU Data Collection form</w:t>
      </w:r>
      <w:r>
        <w:t>.  The average rate for the ASU is then computed from the 12 months of summed data.  The E</w:t>
      </w:r>
      <w:r w:rsidR="00F42757">
        <w:t>xcel-based calculation is simpler</w:t>
      </w:r>
      <w:r>
        <w:t>, but the LAUSToo ASU module calculation is the correct method.  Users that designate an ASU that meet</w:t>
      </w:r>
      <w:r w:rsidR="00B248D1">
        <w:t>s the unemployment rate criterion</w:t>
      </w:r>
      <w:r>
        <w:t xml:space="preserve"> based on calculations in the Excel file but not in LAUSToo will need to</w:t>
      </w:r>
      <w:r w:rsidR="00F42757">
        <w:t xml:space="preserve"> make</w:t>
      </w:r>
      <w:r>
        <w:t xml:space="preserve"> modifications</w:t>
      </w:r>
      <w:r w:rsidR="00F42757">
        <w:t xml:space="preserve"> (typically minor)</w:t>
      </w:r>
      <w:r>
        <w:t xml:space="preserve"> to the geographic components of the ASU until it meets the rate criterion in LAUSToo. </w:t>
      </w:r>
    </w:p>
    <w:p w:rsidR="003D127B" w:rsidP="00CF27AB" w:rsidRDefault="003D127B" w14:paraId="3939AC80" w14:textId="77777777">
      <w:pPr>
        <w:rPr>
          <w:color w:val="000000"/>
        </w:rPr>
      </w:pPr>
    </w:p>
    <w:p w:rsidR="003D127B" w:rsidP="00CF27AB" w:rsidRDefault="00343EFE" w14:paraId="749B6B9C" w14:textId="5C06C118">
      <w:pPr>
        <w:rPr>
          <w:color w:val="000000"/>
        </w:rPr>
      </w:pPr>
      <w:r>
        <w:rPr>
          <w:color w:val="000000"/>
        </w:rPr>
        <w:t xml:space="preserve">For </w:t>
      </w:r>
      <w:r w:rsidR="00320892">
        <w:t xml:space="preserve">the </w:t>
      </w:r>
      <w:r w:rsidRPr="00907D20" w:rsidR="00004FAB">
        <w:t>District of Columbia</w:t>
      </w:r>
      <w:r w:rsidR="00296096">
        <w:t xml:space="preserve"> and the 34 states</w:t>
      </w:r>
      <w:r w:rsidR="00004FAB">
        <w:t xml:space="preserve"> </w:t>
      </w:r>
      <w:r w:rsidR="00320892">
        <w:t>that were required to conduct an ASU search during PY 20</w:t>
      </w:r>
      <w:r w:rsidR="00C50C60">
        <w:t>20</w:t>
      </w:r>
      <w:r w:rsidR="00320892">
        <w:t xml:space="preserve"> and that must conduct a search this year</w:t>
      </w:r>
      <w:r>
        <w:rPr>
          <w:color w:val="000000"/>
        </w:rPr>
        <w:t xml:space="preserve">, BLS has preloaded the final set of ASUs that were designated by each </w:t>
      </w:r>
      <w:r w:rsidR="00B2571A">
        <w:rPr>
          <w:color w:val="000000"/>
        </w:rPr>
        <w:t>s</w:t>
      </w:r>
      <w:r>
        <w:rPr>
          <w:color w:val="000000"/>
        </w:rPr>
        <w:t>tate into the PY 20</w:t>
      </w:r>
      <w:r w:rsidR="005B1E29">
        <w:rPr>
          <w:color w:val="000000"/>
        </w:rPr>
        <w:t>2</w:t>
      </w:r>
      <w:r w:rsidR="00C50C60">
        <w:rPr>
          <w:color w:val="000000"/>
        </w:rPr>
        <w:t>1</w:t>
      </w:r>
      <w:r>
        <w:rPr>
          <w:color w:val="000000"/>
        </w:rPr>
        <w:t xml:space="preserve"> database.  For some, this might serve as a convenient starting point for the PY 20</w:t>
      </w:r>
      <w:r w:rsidR="005B1E29">
        <w:rPr>
          <w:color w:val="000000"/>
        </w:rPr>
        <w:t>2</w:t>
      </w:r>
      <w:r w:rsidR="00C50C60">
        <w:rPr>
          <w:color w:val="000000"/>
        </w:rPr>
        <w:t>1</w:t>
      </w:r>
      <w:r>
        <w:rPr>
          <w:color w:val="000000"/>
        </w:rPr>
        <w:t xml:space="preserve"> search. (Note, however, that these areas may not qualify as ASUs in PY 20</w:t>
      </w:r>
      <w:r w:rsidR="005B1E29">
        <w:rPr>
          <w:color w:val="000000"/>
        </w:rPr>
        <w:t>2</w:t>
      </w:r>
      <w:r w:rsidR="00C50C60">
        <w:rPr>
          <w:color w:val="000000"/>
        </w:rPr>
        <w:t>1</w:t>
      </w:r>
      <w:r>
        <w:rPr>
          <w:color w:val="000000"/>
        </w:rPr>
        <w:t xml:space="preserve"> in their existing configurations as more current LAUS and ACS data are being used in PY 20</w:t>
      </w:r>
      <w:r w:rsidR="005B1E29">
        <w:rPr>
          <w:color w:val="000000"/>
        </w:rPr>
        <w:t>2</w:t>
      </w:r>
      <w:r w:rsidR="00C50C60">
        <w:rPr>
          <w:color w:val="000000"/>
        </w:rPr>
        <w:t>1</w:t>
      </w:r>
      <w:r>
        <w:rPr>
          <w:color w:val="000000"/>
        </w:rPr>
        <w:t>.)  States that prefer to start with an empty database can simply d</w:t>
      </w:r>
      <w:r w:rsidR="00263A0A">
        <w:rPr>
          <w:color w:val="000000"/>
        </w:rPr>
        <w:t>elete these areas by checking the box next to each one</w:t>
      </w:r>
      <w:r w:rsidR="008043CB">
        <w:rPr>
          <w:color w:val="000000"/>
        </w:rPr>
        <w:t xml:space="preserve"> on the main ASU screen</w:t>
      </w:r>
      <w:r w:rsidR="00263A0A">
        <w:rPr>
          <w:color w:val="000000"/>
        </w:rPr>
        <w:t xml:space="preserve"> and clicking the “Delete”</w:t>
      </w:r>
      <w:r w:rsidR="008043CB">
        <w:rPr>
          <w:color w:val="000000"/>
        </w:rPr>
        <w:t xml:space="preserve"> button</w:t>
      </w:r>
      <w:r>
        <w:rPr>
          <w:color w:val="000000"/>
        </w:rPr>
        <w:t>.</w:t>
      </w:r>
    </w:p>
    <w:p w:rsidR="003D127B" w:rsidP="00CF27AB" w:rsidRDefault="003D127B" w14:paraId="097C39F5" w14:textId="77777777">
      <w:pPr>
        <w:rPr>
          <w:color w:val="000000"/>
        </w:rPr>
      </w:pPr>
    </w:p>
    <w:p w:rsidR="003D127B" w:rsidP="00CF27AB" w:rsidRDefault="00B92795" w14:paraId="7DC83043" w14:textId="45D4436D">
      <w:pPr>
        <w:rPr>
          <w:color w:val="000000"/>
        </w:rPr>
      </w:pPr>
      <w:r>
        <w:rPr>
          <w:color w:val="000000"/>
        </w:rPr>
        <w:t>ASUs can be entered into LAUSToo using either screen or batch entry</w:t>
      </w:r>
      <w:r w:rsidR="0033351D">
        <w:rPr>
          <w:color w:val="000000"/>
        </w:rPr>
        <w:t xml:space="preserve"> or a combination of both</w:t>
      </w:r>
      <w:r>
        <w:rPr>
          <w:color w:val="000000"/>
        </w:rPr>
        <w:t xml:space="preserve">.  </w:t>
      </w:r>
      <w:r w:rsidR="00207EC7">
        <w:rPr>
          <w:color w:val="000000"/>
        </w:rPr>
        <w:t>Batch entry involves</w:t>
      </w:r>
      <w:r w:rsidR="0033351D">
        <w:rPr>
          <w:color w:val="000000"/>
        </w:rPr>
        <w:t xml:space="preserve"> two separate files; one contains the code, title, and geographic description, the other contains the addition/subtraction component list.  </w:t>
      </w:r>
      <w:r w:rsidR="00113072">
        <w:rPr>
          <w:color w:val="000000"/>
        </w:rPr>
        <w:t xml:space="preserve">See </w:t>
      </w:r>
      <w:r w:rsidR="00D00CEE">
        <w:rPr>
          <w:color w:val="000000"/>
        </w:rPr>
        <w:t>A</w:t>
      </w:r>
      <w:r w:rsidR="00113072">
        <w:rPr>
          <w:color w:val="000000"/>
        </w:rPr>
        <w:t>ttachment</w:t>
      </w:r>
      <w:r w:rsidR="00D00CEE">
        <w:rPr>
          <w:color w:val="000000"/>
        </w:rPr>
        <w:t xml:space="preserve"> 1</w:t>
      </w:r>
      <w:r w:rsidR="00113072">
        <w:rPr>
          <w:color w:val="000000"/>
        </w:rPr>
        <w:t xml:space="preserve"> for file formats and naming conventions.  Note that the ASU must be defined by screen or batch entry of the code, title</w:t>
      </w:r>
      <w:r w:rsidR="00C741E1">
        <w:rPr>
          <w:color w:val="000000"/>
        </w:rPr>
        <w:t>,</w:t>
      </w:r>
      <w:r w:rsidR="00113072">
        <w:rPr>
          <w:color w:val="000000"/>
        </w:rPr>
        <w:t xml:space="preserve"> and geographic d</w:t>
      </w:r>
      <w:r w:rsidR="0033351D">
        <w:rPr>
          <w:color w:val="000000"/>
        </w:rPr>
        <w:t>escription before the addition/subtraction</w:t>
      </w:r>
      <w:r w:rsidR="00113072">
        <w:rPr>
          <w:color w:val="000000"/>
        </w:rPr>
        <w:t xml:space="preserve"> component list can be </w:t>
      </w:r>
      <w:r w:rsidR="007E719A">
        <w:rPr>
          <w:color w:val="000000"/>
        </w:rPr>
        <w:t>entered</w:t>
      </w:r>
      <w:r w:rsidR="00113072">
        <w:rPr>
          <w:color w:val="000000"/>
        </w:rPr>
        <w:t>.</w:t>
      </w:r>
    </w:p>
    <w:p w:rsidR="00D47192" w:rsidP="00CF27AB" w:rsidRDefault="00D47192" w14:paraId="3CDADE2A" w14:textId="77777777">
      <w:pPr>
        <w:rPr>
          <w:color w:val="000000"/>
        </w:rPr>
      </w:pPr>
    </w:p>
    <w:p w:rsidR="008C40A4" w:rsidP="00CF27AB" w:rsidRDefault="007E3CE4" w14:paraId="3389C58E" w14:textId="28FF8C87">
      <w:pPr>
        <w:rPr>
          <w:color w:val="000000"/>
        </w:rPr>
      </w:pPr>
      <w:r>
        <w:rPr>
          <w:color w:val="000000"/>
        </w:rPr>
        <w:t xml:space="preserve">The system will </w:t>
      </w:r>
      <w:r w:rsidR="00055459">
        <w:rPr>
          <w:color w:val="000000"/>
        </w:rPr>
        <w:t>edit each ASU’s unemployment rate and population level to ensure</w:t>
      </w:r>
      <w:r w:rsidR="00D83528">
        <w:rPr>
          <w:color w:val="000000"/>
        </w:rPr>
        <w:t xml:space="preserve"> that</w:t>
      </w:r>
      <w:r w:rsidR="00055459">
        <w:rPr>
          <w:color w:val="000000"/>
        </w:rPr>
        <w:t xml:space="preserve"> it meets the necessary criteria.  States will not be permitted to finalize their ASUs until each ASU passes these edits</w:t>
      </w:r>
      <w:r w:rsidR="00D47192">
        <w:rPr>
          <w:color w:val="000000"/>
        </w:rPr>
        <w:t>.</w:t>
      </w:r>
      <w:r w:rsidR="007B283C">
        <w:rPr>
          <w:color w:val="000000"/>
        </w:rPr>
        <w:t xml:space="preserve">  BLS will perform additional edits after state finalization.</w:t>
      </w:r>
    </w:p>
    <w:p w:rsidR="002220B8" w:rsidP="00CF27AB" w:rsidRDefault="002220B8" w14:paraId="476C9953" w14:textId="77777777">
      <w:pPr>
        <w:rPr>
          <w:color w:val="000000"/>
        </w:rPr>
      </w:pPr>
    </w:p>
    <w:p w:rsidR="00D47192" w:rsidP="00CF27AB" w:rsidRDefault="00C64A0A" w14:paraId="2C42DC98" w14:textId="6453B4AC">
      <w:pPr>
        <w:rPr>
          <w:color w:val="000000"/>
        </w:rPr>
      </w:pPr>
      <w:r>
        <w:rPr>
          <w:color w:val="000000"/>
        </w:rPr>
        <w:t>Once ASUs are finalized, the system can generate all necessary forms:  the Designation</w:t>
      </w:r>
      <w:r w:rsidR="00F971AC">
        <w:rPr>
          <w:color w:val="000000"/>
        </w:rPr>
        <w:t xml:space="preserve"> of Potential ASU</w:t>
      </w:r>
      <w:r>
        <w:rPr>
          <w:color w:val="000000"/>
        </w:rPr>
        <w:t xml:space="preserve"> </w:t>
      </w:r>
      <w:r w:rsidR="00F971AC">
        <w:rPr>
          <w:color w:val="000000"/>
        </w:rPr>
        <w:t>f</w:t>
      </w:r>
      <w:r>
        <w:rPr>
          <w:color w:val="000000"/>
        </w:rPr>
        <w:t xml:space="preserve">orm, the </w:t>
      </w:r>
      <w:r w:rsidR="00FE2E6C">
        <w:rPr>
          <w:color w:val="000000"/>
        </w:rPr>
        <w:t xml:space="preserve">ASU </w:t>
      </w:r>
      <w:r>
        <w:rPr>
          <w:color w:val="000000"/>
        </w:rPr>
        <w:t xml:space="preserve">Data Collection </w:t>
      </w:r>
      <w:r w:rsidR="00FE2E6C">
        <w:rPr>
          <w:color w:val="000000"/>
        </w:rPr>
        <w:t xml:space="preserve">form, and the </w:t>
      </w:r>
      <w:r>
        <w:rPr>
          <w:color w:val="000000"/>
        </w:rPr>
        <w:t>add</w:t>
      </w:r>
      <w:r w:rsidR="00FE2E6C">
        <w:rPr>
          <w:color w:val="000000"/>
        </w:rPr>
        <w:t>ition</w:t>
      </w:r>
      <w:r>
        <w:rPr>
          <w:color w:val="000000"/>
        </w:rPr>
        <w:t>/sub</w:t>
      </w:r>
      <w:r w:rsidR="00FE2E6C">
        <w:rPr>
          <w:color w:val="000000"/>
        </w:rPr>
        <w:t xml:space="preserve">traction </w:t>
      </w:r>
      <w:r w:rsidR="00A31435">
        <w:rPr>
          <w:color w:val="000000"/>
        </w:rPr>
        <w:t>component list</w:t>
      </w:r>
      <w:r>
        <w:rPr>
          <w:color w:val="000000"/>
        </w:rPr>
        <w:t xml:space="preserve"> for each ASU</w:t>
      </w:r>
      <w:r w:rsidR="00D47192">
        <w:rPr>
          <w:color w:val="000000"/>
        </w:rPr>
        <w:t>.</w:t>
      </w:r>
    </w:p>
    <w:p w:rsidRPr="00603F6B" w:rsidR="00CF27AB" w:rsidP="00CF27AB" w:rsidRDefault="00CF27AB" w14:paraId="1C158C16" w14:textId="77777777"/>
    <w:p w:rsidR="00DD41E2" w:rsidP="00CF27AB" w:rsidRDefault="00CF27AB" w14:paraId="01ABEBCE" w14:textId="5743AA40">
      <w:pPr>
        <w:rPr>
          <w:color w:val="000000"/>
        </w:rPr>
      </w:pPr>
      <w:r w:rsidRPr="00603F6B">
        <w:rPr>
          <w:b/>
          <w:u w:val="single"/>
        </w:rPr>
        <w:t>Documentation and Forms Required</w:t>
      </w:r>
      <w:r w:rsidRPr="003715AA">
        <w:rPr>
          <w:color w:val="0000FF"/>
        </w:rPr>
        <w:t>:</w:t>
      </w:r>
      <w:r w:rsidRPr="00603F6B">
        <w:rPr>
          <w:color w:val="0000FF"/>
        </w:rPr>
        <w:t xml:space="preserve"> </w:t>
      </w:r>
      <w:r w:rsidRPr="00F03945">
        <w:rPr>
          <w:color w:val="000000"/>
        </w:rPr>
        <w:t xml:space="preserve"> </w:t>
      </w:r>
      <w:r w:rsidRPr="00907D20">
        <w:rPr>
          <w:color w:val="000000"/>
        </w:rPr>
        <w:t>Puer</w:t>
      </w:r>
      <w:r w:rsidRPr="00907D20" w:rsidR="001968D9">
        <w:rPr>
          <w:color w:val="000000"/>
        </w:rPr>
        <w:t>to Rico</w:t>
      </w:r>
      <w:r w:rsidR="00907D20">
        <w:rPr>
          <w:color w:val="000000"/>
        </w:rPr>
        <w:t xml:space="preserve"> and the 16 states</w:t>
      </w:r>
      <w:r w:rsidRPr="00907D20" w:rsidR="00C13457">
        <w:rPr>
          <w:color w:val="000000"/>
        </w:rPr>
        <w:t xml:space="preserve"> </w:t>
      </w:r>
      <w:r w:rsidR="00D74013">
        <w:rPr>
          <w:color w:val="000000"/>
        </w:rPr>
        <w:t>that</w:t>
      </w:r>
      <w:r w:rsidRPr="00907D20" w:rsidR="001968D9">
        <w:rPr>
          <w:color w:val="000000"/>
        </w:rPr>
        <w:t xml:space="preserve"> qualif</w:t>
      </w:r>
      <w:r w:rsidR="00907D20">
        <w:rPr>
          <w:color w:val="000000"/>
        </w:rPr>
        <w:t>y</w:t>
      </w:r>
      <w:r w:rsidRPr="00907D20" w:rsidR="001968D9">
        <w:rPr>
          <w:color w:val="000000"/>
        </w:rPr>
        <w:t xml:space="preserve"> as</w:t>
      </w:r>
      <w:r w:rsidR="00907D20">
        <w:rPr>
          <w:color w:val="000000"/>
        </w:rPr>
        <w:t xml:space="preserve"> </w:t>
      </w:r>
      <w:r w:rsidRPr="00907D20">
        <w:rPr>
          <w:color w:val="000000"/>
        </w:rPr>
        <w:t>ASU</w:t>
      </w:r>
      <w:r w:rsidR="00907D20">
        <w:rPr>
          <w:color w:val="000000"/>
        </w:rPr>
        <w:t>s</w:t>
      </w:r>
      <w:r w:rsidRPr="00907D20" w:rsidR="001968D9">
        <w:rPr>
          <w:color w:val="000000"/>
        </w:rPr>
        <w:t xml:space="preserve"> in </w:t>
      </w:r>
      <w:r w:rsidR="00907D20">
        <w:rPr>
          <w:color w:val="000000"/>
        </w:rPr>
        <w:t>their</w:t>
      </w:r>
      <w:r w:rsidRPr="00907D20" w:rsidR="001968D9">
        <w:rPr>
          <w:color w:val="000000"/>
        </w:rPr>
        <w:t xml:space="preserve"> entiret</w:t>
      </w:r>
      <w:r w:rsidR="00907D20">
        <w:rPr>
          <w:color w:val="000000"/>
        </w:rPr>
        <w:t>ies</w:t>
      </w:r>
      <w:r w:rsidRPr="00F03945">
        <w:rPr>
          <w:color w:val="000000"/>
        </w:rPr>
        <w:t xml:space="preserve"> should submit a letter</w:t>
      </w:r>
      <w:r w:rsidR="0037085E">
        <w:rPr>
          <w:color w:val="000000"/>
        </w:rPr>
        <w:t xml:space="preserve"> confirming their 12-month average unemployment rate</w:t>
      </w:r>
      <w:r w:rsidRPr="00F03945">
        <w:rPr>
          <w:color w:val="000000"/>
        </w:rPr>
        <w:t xml:space="preserve"> to</w:t>
      </w:r>
      <w:r w:rsidR="00AB5B02">
        <w:rPr>
          <w:color w:val="000000"/>
        </w:rPr>
        <w:t xml:space="preserve"> </w:t>
      </w:r>
      <w:r w:rsidR="00907D20">
        <w:rPr>
          <w:color w:val="000000"/>
        </w:rPr>
        <w:t>their</w:t>
      </w:r>
      <w:r w:rsidRPr="00F03945">
        <w:rPr>
          <w:color w:val="000000"/>
        </w:rPr>
        <w:t xml:space="preserve"> BLS</w:t>
      </w:r>
      <w:r w:rsidR="00DB7A52">
        <w:rPr>
          <w:color w:val="000000"/>
        </w:rPr>
        <w:t xml:space="preserve"> regional office, the BLS national o</w:t>
      </w:r>
      <w:r w:rsidR="00AB5B02">
        <w:rPr>
          <w:color w:val="000000"/>
        </w:rPr>
        <w:t>ffice,</w:t>
      </w:r>
      <w:r w:rsidRPr="00F03945">
        <w:rPr>
          <w:color w:val="000000"/>
        </w:rPr>
        <w:t xml:space="preserve"> and ETA</w:t>
      </w:r>
      <w:r w:rsidR="00AB5B02">
        <w:rPr>
          <w:color w:val="000000"/>
        </w:rPr>
        <w:t>.</w:t>
      </w:r>
    </w:p>
    <w:p w:rsidR="00DD41E2" w:rsidP="00CF27AB" w:rsidRDefault="00DD41E2" w14:paraId="3B820013" w14:textId="77777777">
      <w:pPr>
        <w:rPr>
          <w:color w:val="000000"/>
        </w:rPr>
      </w:pPr>
    </w:p>
    <w:p w:rsidR="00C741E1" w:rsidP="00CF27AB" w:rsidRDefault="00C13457" w14:paraId="74E2A826" w14:textId="6591AD7F">
      <w:pPr>
        <w:rPr>
          <w:color w:val="000000"/>
        </w:rPr>
      </w:pPr>
      <w:r w:rsidRPr="00907D20">
        <w:rPr>
          <w:color w:val="000000"/>
        </w:rPr>
        <w:lastRenderedPageBreak/>
        <w:t xml:space="preserve">All other </w:t>
      </w:r>
      <w:r w:rsidRPr="00907D20" w:rsidR="00B2571A">
        <w:rPr>
          <w:color w:val="000000"/>
        </w:rPr>
        <w:t>s</w:t>
      </w:r>
      <w:r w:rsidRPr="00907D20">
        <w:rPr>
          <w:color w:val="000000"/>
        </w:rPr>
        <w:t>tates and the District of Columbia</w:t>
      </w:r>
      <w:r w:rsidRPr="00F03945" w:rsidR="00CF27AB">
        <w:rPr>
          <w:color w:val="000000"/>
        </w:rPr>
        <w:t xml:space="preserve"> should submit</w:t>
      </w:r>
      <w:r w:rsidR="00AB5B02">
        <w:rPr>
          <w:color w:val="000000"/>
        </w:rPr>
        <w:t xml:space="preserve"> </w:t>
      </w:r>
      <w:r w:rsidRPr="00F03945" w:rsidR="00CF27AB">
        <w:rPr>
          <w:color w:val="000000"/>
        </w:rPr>
        <w:t>the following items</w:t>
      </w:r>
      <w:r w:rsidR="00AB5B02">
        <w:rPr>
          <w:color w:val="000000"/>
        </w:rPr>
        <w:t xml:space="preserve"> to BLS and</w:t>
      </w:r>
      <w:r w:rsidR="00DD41E2">
        <w:rPr>
          <w:color w:val="000000"/>
        </w:rPr>
        <w:t>/or</w:t>
      </w:r>
      <w:r w:rsidR="00AB5B02">
        <w:rPr>
          <w:color w:val="000000"/>
        </w:rPr>
        <w:t xml:space="preserve"> ETA</w:t>
      </w:r>
      <w:r w:rsidR="00DD41E2">
        <w:rPr>
          <w:color w:val="000000"/>
        </w:rPr>
        <w:t>.  Items to be sent to BLS s</w:t>
      </w:r>
      <w:r w:rsidR="00DB7A52">
        <w:rPr>
          <w:color w:val="000000"/>
        </w:rPr>
        <w:t>hould be submitted to both the national o</w:t>
      </w:r>
      <w:r w:rsidR="00DD41E2">
        <w:rPr>
          <w:color w:val="000000"/>
        </w:rPr>
        <w:t xml:space="preserve">ffice and the </w:t>
      </w:r>
      <w:r w:rsidR="00DB7A52">
        <w:rPr>
          <w:color w:val="000000"/>
        </w:rPr>
        <w:t>applicable regional o</w:t>
      </w:r>
      <w:r w:rsidR="00DD41E2">
        <w:rPr>
          <w:color w:val="000000"/>
        </w:rPr>
        <w:t>ffice</w:t>
      </w:r>
      <w:r w:rsidR="00B2571A">
        <w:rPr>
          <w:color w:val="000000"/>
        </w:rPr>
        <w:t>:</w:t>
      </w:r>
    </w:p>
    <w:p w:rsidRPr="00933CC7" w:rsidR="00250935" w:rsidP="00CF27AB" w:rsidRDefault="00250935" w14:paraId="3659A268" w14:textId="77777777">
      <w:pPr>
        <w:rPr>
          <w:color w:val="FF0000"/>
        </w:rPr>
      </w:pPr>
    </w:p>
    <w:tbl>
      <w:tblPr>
        <w:tblStyle w:val="TableGrid"/>
        <w:tblW w:w="0" w:type="auto"/>
        <w:jc w:val="center"/>
        <w:tblLook w:val="04A0" w:firstRow="1" w:lastRow="0" w:firstColumn="1" w:lastColumn="0" w:noHBand="0" w:noVBand="1"/>
      </w:tblPr>
      <w:tblGrid>
        <w:gridCol w:w="7195"/>
        <w:gridCol w:w="1077"/>
        <w:gridCol w:w="1078"/>
      </w:tblGrid>
      <w:tr w:rsidR="006453E4" w:rsidTr="00DD41E2" w14:paraId="62C2F718" w14:textId="77777777">
        <w:trPr>
          <w:jc w:val="center"/>
        </w:trPr>
        <w:tc>
          <w:tcPr>
            <w:tcW w:w="7195" w:type="dxa"/>
            <w:tcBorders>
              <w:bottom w:val="double" w:color="auto" w:sz="4" w:space="0"/>
            </w:tcBorders>
            <w:vAlign w:val="center"/>
          </w:tcPr>
          <w:p w:rsidRPr="00250935" w:rsidR="006453E4" w:rsidP="006453E4" w:rsidRDefault="006453E4" w14:paraId="27B83923" w14:textId="77777777">
            <w:pPr>
              <w:jc w:val="center"/>
              <w:rPr>
                <w:b/>
              </w:rPr>
            </w:pPr>
            <w:r w:rsidRPr="00250935">
              <w:rPr>
                <w:b/>
              </w:rPr>
              <w:t>Item</w:t>
            </w:r>
          </w:p>
        </w:tc>
        <w:tc>
          <w:tcPr>
            <w:tcW w:w="1077" w:type="dxa"/>
            <w:tcBorders>
              <w:bottom w:val="double" w:color="auto" w:sz="4" w:space="0"/>
            </w:tcBorders>
            <w:vAlign w:val="center"/>
          </w:tcPr>
          <w:p w:rsidRPr="00250935" w:rsidR="006453E4" w:rsidP="006453E4" w:rsidRDefault="006453E4" w14:paraId="6174C6E2" w14:textId="77777777">
            <w:pPr>
              <w:jc w:val="center"/>
              <w:rPr>
                <w:b/>
              </w:rPr>
            </w:pPr>
            <w:r w:rsidRPr="00250935">
              <w:rPr>
                <w:b/>
              </w:rPr>
              <w:t>Send to BLS</w:t>
            </w:r>
          </w:p>
        </w:tc>
        <w:tc>
          <w:tcPr>
            <w:tcW w:w="1078" w:type="dxa"/>
            <w:tcBorders>
              <w:bottom w:val="double" w:color="auto" w:sz="4" w:space="0"/>
            </w:tcBorders>
            <w:vAlign w:val="center"/>
          </w:tcPr>
          <w:p w:rsidRPr="00250935" w:rsidR="006453E4" w:rsidP="006453E4" w:rsidRDefault="006453E4" w14:paraId="57FEBDC4" w14:textId="77777777">
            <w:pPr>
              <w:jc w:val="center"/>
              <w:rPr>
                <w:b/>
              </w:rPr>
            </w:pPr>
            <w:r w:rsidRPr="00250935">
              <w:rPr>
                <w:b/>
              </w:rPr>
              <w:t>Send to ETA</w:t>
            </w:r>
          </w:p>
        </w:tc>
      </w:tr>
      <w:tr w:rsidR="006453E4" w:rsidTr="00DD41E2" w14:paraId="398498D4" w14:textId="77777777">
        <w:trPr>
          <w:jc w:val="center"/>
        </w:trPr>
        <w:tc>
          <w:tcPr>
            <w:tcW w:w="7195" w:type="dxa"/>
            <w:tcBorders>
              <w:top w:val="double" w:color="auto" w:sz="4" w:space="0"/>
              <w:bottom w:val="single" w:color="auto" w:sz="4" w:space="0"/>
            </w:tcBorders>
          </w:tcPr>
          <w:p w:rsidR="00B044B3" w:rsidP="00B044B3" w:rsidRDefault="00B044B3" w14:paraId="6C8E4D53" w14:textId="77777777">
            <w:pPr>
              <w:numPr>
                <w:ilvl w:val="0"/>
                <w:numId w:val="9"/>
              </w:numPr>
            </w:pPr>
            <w:r w:rsidRPr="00603F6B">
              <w:t>A cover letter</w:t>
            </w:r>
            <w:r>
              <w:t xml:space="preserve"> indicating:</w:t>
            </w:r>
          </w:p>
          <w:p w:rsidR="00B044B3" w:rsidP="00B044B3" w:rsidRDefault="00DD41E2" w14:paraId="2A3961CA" w14:textId="77777777">
            <w:pPr>
              <w:numPr>
                <w:ilvl w:val="1"/>
                <w:numId w:val="9"/>
              </w:numPr>
            </w:pPr>
            <w:r>
              <w:t>N</w:t>
            </w:r>
            <w:r w:rsidR="00B044B3">
              <w:t>umber of ASUs submitted</w:t>
            </w:r>
          </w:p>
          <w:p w:rsidR="00B044B3" w:rsidP="00B044B3" w:rsidRDefault="00DD41E2" w14:paraId="766946F0" w14:textId="77777777">
            <w:pPr>
              <w:numPr>
                <w:ilvl w:val="1"/>
                <w:numId w:val="9"/>
              </w:numPr>
            </w:pPr>
            <w:r>
              <w:t>N</w:t>
            </w:r>
            <w:r w:rsidR="00B044B3">
              <w:t>ame of each ASU</w:t>
            </w:r>
          </w:p>
          <w:p w:rsidR="00B044B3" w:rsidP="00B044B3" w:rsidRDefault="00DD41E2" w14:paraId="3FD36D1C" w14:textId="77777777">
            <w:pPr>
              <w:numPr>
                <w:ilvl w:val="1"/>
                <w:numId w:val="9"/>
              </w:numPr>
            </w:pPr>
            <w:r>
              <w:t>Method used to create each ASU</w:t>
            </w:r>
          </w:p>
          <w:p w:rsidR="006453E4" w:rsidP="006453E4" w:rsidRDefault="00DD41E2" w14:paraId="2D0D91D5" w14:textId="77777777">
            <w:pPr>
              <w:numPr>
                <w:ilvl w:val="1"/>
                <w:numId w:val="9"/>
              </w:numPr>
            </w:pPr>
            <w:r>
              <w:t>T</w:t>
            </w:r>
            <w:r w:rsidR="00B044B3">
              <w:t>ype</w:t>
            </w:r>
            <w:r>
              <w:t>s of areas involved in each ASU</w:t>
            </w:r>
          </w:p>
        </w:tc>
        <w:tc>
          <w:tcPr>
            <w:tcW w:w="1077" w:type="dxa"/>
            <w:tcBorders>
              <w:top w:val="double" w:color="auto" w:sz="4" w:space="0"/>
              <w:bottom w:val="single" w:color="auto" w:sz="4" w:space="0"/>
            </w:tcBorders>
          </w:tcPr>
          <w:p w:rsidR="006453E4" w:rsidP="00B044B3" w:rsidRDefault="006453E4" w14:paraId="7CA056DE" w14:textId="77777777">
            <w:pPr>
              <w:jc w:val="center"/>
            </w:pPr>
            <w:r>
              <w:t>Y</w:t>
            </w:r>
            <w:r w:rsidR="002B1221">
              <w:t>es</w:t>
            </w:r>
          </w:p>
        </w:tc>
        <w:tc>
          <w:tcPr>
            <w:tcW w:w="1078" w:type="dxa"/>
            <w:tcBorders>
              <w:top w:val="double" w:color="auto" w:sz="4" w:space="0"/>
              <w:bottom w:val="single" w:color="auto" w:sz="4" w:space="0"/>
            </w:tcBorders>
          </w:tcPr>
          <w:p w:rsidR="006453E4" w:rsidP="00B044B3" w:rsidRDefault="006453E4" w14:paraId="2E316F39" w14:textId="77777777">
            <w:pPr>
              <w:jc w:val="center"/>
            </w:pPr>
            <w:r>
              <w:t>Y</w:t>
            </w:r>
            <w:r w:rsidR="002B1221">
              <w:t>es</w:t>
            </w:r>
          </w:p>
        </w:tc>
      </w:tr>
      <w:tr w:rsidR="006453E4" w:rsidTr="00DD41E2" w14:paraId="015C7D7F" w14:textId="77777777">
        <w:trPr>
          <w:jc w:val="center"/>
        </w:trPr>
        <w:tc>
          <w:tcPr>
            <w:tcW w:w="7195" w:type="dxa"/>
            <w:tcBorders>
              <w:top w:val="single" w:color="auto" w:sz="4" w:space="0"/>
              <w:bottom w:val="single" w:color="auto" w:sz="4" w:space="0"/>
            </w:tcBorders>
          </w:tcPr>
          <w:p w:rsidRPr="00DD41E2" w:rsidR="00810C2F" w:rsidP="00810C2F" w:rsidRDefault="00810C2F" w14:paraId="2EE7BC8E" w14:textId="77777777">
            <w:pPr>
              <w:numPr>
                <w:ilvl w:val="0"/>
                <w:numId w:val="9"/>
              </w:numPr>
            </w:pPr>
            <w:r w:rsidRPr="00DD41E2">
              <w:t>Three forms generated by LAUSToo for each ASU:</w:t>
            </w:r>
          </w:p>
          <w:p w:rsidRPr="00DD41E2" w:rsidR="00810C2F" w:rsidP="00810C2F" w:rsidRDefault="00810C2F" w14:paraId="0B396EA1" w14:textId="77777777">
            <w:pPr>
              <w:numPr>
                <w:ilvl w:val="1"/>
                <w:numId w:val="9"/>
              </w:numPr>
            </w:pPr>
            <w:r w:rsidRPr="00DD41E2">
              <w:t>De</w:t>
            </w:r>
            <w:r w:rsidRPr="00DD41E2" w:rsidR="00250935">
              <w:t>signation of Potential ASU form</w:t>
            </w:r>
          </w:p>
          <w:p w:rsidRPr="00DD41E2" w:rsidR="00810C2F" w:rsidP="00810C2F" w:rsidRDefault="00810C2F" w14:paraId="3555BE34" w14:textId="77777777">
            <w:pPr>
              <w:numPr>
                <w:ilvl w:val="1"/>
                <w:numId w:val="9"/>
              </w:numPr>
            </w:pPr>
            <w:r w:rsidRPr="00DD41E2">
              <w:t xml:space="preserve">ASU </w:t>
            </w:r>
            <w:r w:rsidRPr="00DD41E2" w:rsidR="00250935">
              <w:t>Data Collection form</w:t>
            </w:r>
          </w:p>
          <w:p w:rsidRPr="00DD41E2" w:rsidR="006453E4" w:rsidP="00B044B3" w:rsidRDefault="00810C2F" w14:paraId="356E8EB5" w14:textId="77777777">
            <w:pPr>
              <w:numPr>
                <w:ilvl w:val="1"/>
                <w:numId w:val="9"/>
              </w:numPr>
            </w:pPr>
            <w:r w:rsidRPr="00DD41E2">
              <w:t xml:space="preserve">Addition/Subtraction Table (list of ASU components) </w:t>
            </w:r>
          </w:p>
        </w:tc>
        <w:tc>
          <w:tcPr>
            <w:tcW w:w="1077" w:type="dxa"/>
            <w:tcBorders>
              <w:top w:val="single" w:color="auto" w:sz="4" w:space="0"/>
              <w:bottom w:val="single" w:color="auto" w:sz="4" w:space="0"/>
            </w:tcBorders>
          </w:tcPr>
          <w:p w:rsidR="006453E4" w:rsidP="00B044B3" w:rsidRDefault="00B044B3" w14:paraId="6D6589F9" w14:textId="77777777">
            <w:pPr>
              <w:jc w:val="center"/>
            </w:pPr>
            <w:r>
              <w:t>N</w:t>
            </w:r>
            <w:r w:rsidR="002B1221">
              <w:t>o</w:t>
            </w:r>
          </w:p>
        </w:tc>
        <w:tc>
          <w:tcPr>
            <w:tcW w:w="1078" w:type="dxa"/>
            <w:tcBorders>
              <w:top w:val="single" w:color="auto" w:sz="4" w:space="0"/>
              <w:bottom w:val="single" w:color="auto" w:sz="4" w:space="0"/>
            </w:tcBorders>
          </w:tcPr>
          <w:p w:rsidR="006453E4" w:rsidP="00B044B3" w:rsidRDefault="00B044B3" w14:paraId="6B6AF596" w14:textId="77777777">
            <w:pPr>
              <w:jc w:val="center"/>
            </w:pPr>
            <w:r>
              <w:t>Y</w:t>
            </w:r>
            <w:r w:rsidR="002B1221">
              <w:t>es</w:t>
            </w:r>
          </w:p>
        </w:tc>
      </w:tr>
      <w:tr w:rsidR="006453E4" w:rsidTr="00DD41E2" w14:paraId="15F2364B" w14:textId="77777777">
        <w:trPr>
          <w:jc w:val="center"/>
        </w:trPr>
        <w:tc>
          <w:tcPr>
            <w:tcW w:w="7195" w:type="dxa"/>
            <w:tcBorders>
              <w:top w:val="single" w:color="auto" w:sz="4" w:space="0"/>
              <w:bottom w:val="single" w:color="auto" w:sz="4" w:space="0"/>
            </w:tcBorders>
          </w:tcPr>
          <w:p w:rsidRPr="00DD41E2" w:rsidR="009F236F" w:rsidP="00DD41E2" w:rsidRDefault="009F236F" w14:paraId="54472A4E" w14:textId="77777777">
            <w:pPr>
              <w:pStyle w:val="ListParagraph"/>
              <w:numPr>
                <w:ilvl w:val="0"/>
                <w:numId w:val="9"/>
              </w:numPr>
              <w:rPr>
                <w:sz w:val="24"/>
                <w:szCs w:val="24"/>
              </w:rPr>
            </w:pPr>
            <w:r w:rsidRPr="00DD41E2">
              <w:rPr>
                <w:sz w:val="24"/>
                <w:szCs w:val="24"/>
              </w:rPr>
              <w:t>Maps (optional)</w:t>
            </w:r>
          </w:p>
        </w:tc>
        <w:tc>
          <w:tcPr>
            <w:tcW w:w="1077" w:type="dxa"/>
            <w:tcBorders>
              <w:top w:val="single" w:color="auto" w:sz="4" w:space="0"/>
              <w:bottom w:val="single" w:color="auto" w:sz="4" w:space="0"/>
            </w:tcBorders>
          </w:tcPr>
          <w:p w:rsidR="006453E4" w:rsidP="00B044B3" w:rsidRDefault="00B044B3" w14:paraId="492EE2E1" w14:textId="77777777">
            <w:pPr>
              <w:jc w:val="center"/>
            </w:pPr>
            <w:r>
              <w:t>Y</w:t>
            </w:r>
            <w:r w:rsidR="002B1221">
              <w:t>es</w:t>
            </w:r>
          </w:p>
        </w:tc>
        <w:tc>
          <w:tcPr>
            <w:tcW w:w="1078" w:type="dxa"/>
            <w:tcBorders>
              <w:top w:val="single" w:color="auto" w:sz="4" w:space="0"/>
              <w:bottom w:val="single" w:color="auto" w:sz="4" w:space="0"/>
            </w:tcBorders>
          </w:tcPr>
          <w:p w:rsidR="006453E4" w:rsidP="00B044B3" w:rsidRDefault="00B044B3" w14:paraId="26C2B04D" w14:textId="77777777">
            <w:pPr>
              <w:jc w:val="center"/>
            </w:pPr>
            <w:r>
              <w:t>Y</w:t>
            </w:r>
            <w:r w:rsidR="002B1221">
              <w:t>es</w:t>
            </w:r>
          </w:p>
        </w:tc>
      </w:tr>
    </w:tbl>
    <w:p w:rsidR="00DD41E2" w:rsidP="008C40A4" w:rsidRDefault="00DD41E2" w14:paraId="08199731" w14:textId="77777777"/>
    <w:p w:rsidRPr="00603F6B" w:rsidR="000F2E90" w:rsidP="000F2E90" w:rsidRDefault="000F2E90" w14:paraId="58C9F244" w14:textId="77E15EE3">
      <w:r>
        <w:t>States</w:t>
      </w:r>
      <w:r w:rsidR="009823DF">
        <w:t xml:space="preserve"> must submit all required materials electronically, via email</w:t>
      </w:r>
      <w:r>
        <w:t xml:space="preserve">.  </w:t>
      </w:r>
      <w:r w:rsidRPr="00603F6B">
        <w:t xml:space="preserve">The contact names, phone numbers, and </w:t>
      </w:r>
      <w:r w:rsidR="009823DF">
        <w:t xml:space="preserve">email </w:t>
      </w:r>
      <w:r w:rsidRPr="00603F6B">
        <w:t xml:space="preserve">addresses for ETA and the BLS </w:t>
      </w:r>
      <w:r w:rsidR="00DB7A52">
        <w:t>n</w:t>
      </w:r>
      <w:r w:rsidRPr="00603F6B" w:rsidR="00321DAE">
        <w:t xml:space="preserve">ational </w:t>
      </w:r>
      <w:r w:rsidR="00DB7A52">
        <w:t>o</w:t>
      </w:r>
      <w:r w:rsidRPr="00603F6B" w:rsidR="00321DAE">
        <w:t xml:space="preserve">ffice </w:t>
      </w:r>
      <w:r w:rsidRPr="00603F6B">
        <w:t>are</w:t>
      </w:r>
      <w:r>
        <w:t>, respectively</w:t>
      </w:r>
      <w:r w:rsidRPr="00603F6B">
        <w:t>:</w:t>
      </w:r>
    </w:p>
    <w:p w:rsidR="000F2E90" w:rsidP="000F2E90" w:rsidRDefault="000F2E90" w14:paraId="565FEEC6" w14:textId="77777777"/>
    <w:p w:rsidRPr="003A164D" w:rsidR="00104491" w:rsidP="00104491" w:rsidRDefault="003A164D" w14:paraId="4162D881" w14:textId="1C02249A">
      <w:r w:rsidRPr="000849A1">
        <w:t>Neil P. Ridley</w:t>
      </w:r>
    </w:p>
    <w:p w:rsidRPr="003A164D" w:rsidR="00104491" w:rsidP="00104491" w:rsidRDefault="00104491" w14:paraId="0818A2E2" w14:textId="77777777">
      <w:r w:rsidRPr="003A164D">
        <w:t>U.S. Department of Labor</w:t>
      </w:r>
    </w:p>
    <w:p w:rsidRPr="003A164D" w:rsidR="00104491" w:rsidP="00104491" w:rsidRDefault="00104491" w14:paraId="342D7FA9" w14:textId="77777777">
      <w:r w:rsidRPr="003A164D">
        <w:t>Employment and Training Administration</w:t>
      </w:r>
    </w:p>
    <w:p w:rsidRPr="003A164D" w:rsidR="00104491" w:rsidP="00104491" w:rsidRDefault="00104491" w14:paraId="50873BC7" w14:textId="77777777">
      <w:r w:rsidRPr="003A164D">
        <w:t>Office of Policy Development and Research</w:t>
      </w:r>
    </w:p>
    <w:p w:rsidRPr="003A164D" w:rsidR="00104491" w:rsidP="00104491" w:rsidRDefault="00104491" w14:paraId="040F47F3" w14:textId="7DD86CD1">
      <w:r w:rsidRPr="003A164D">
        <w:t>(202) 693-3</w:t>
      </w:r>
      <w:r w:rsidRPr="000849A1" w:rsidR="003A164D">
        <w:t>649</w:t>
      </w:r>
    </w:p>
    <w:p w:rsidRPr="00603F6B" w:rsidR="000F2E90" w:rsidP="00104491" w:rsidRDefault="003A164D" w14:paraId="1F498388" w14:textId="38C6DC53">
      <w:r w:rsidRPr="000849A1">
        <w:t>Ridley</w:t>
      </w:r>
      <w:r w:rsidRPr="003A164D" w:rsidR="00104491">
        <w:t>.</w:t>
      </w:r>
      <w:r w:rsidRPr="000849A1">
        <w:t>Neil.P</w:t>
      </w:r>
      <w:r w:rsidRPr="003A164D" w:rsidR="00104491">
        <w:t>@dol.gov</w:t>
      </w:r>
    </w:p>
    <w:p w:rsidR="00104491" w:rsidP="000F2E90" w:rsidRDefault="00104491" w14:paraId="3845B3F0" w14:textId="77777777"/>
    <w:p w:rsidR="000F2E90" w:rsidP="000F2E90" w:rsidRDefault="000F2E90" w14:paraId="6247C3EF" w14:textId="77777777">
      <w:r>
        <w:t>Brian Hannon</w:t>
      </w:r>
    </w:p>
    <w:p w:rsidRPr="00603F6B" w:rsidR="000F2E90" w:rsidP="000F2E90" w:rsidRDefault="003B6AD0" w14:paraId="76348542" w14:textId="03952682">
      <w:r>
        <w:t xml:space="preserve">U.S. </w:t>
      </w:r>
      <w:r w:rsidRPr="00603F6B" w:rsidR="000F2E90">
        <w:t>Bureau of Labor Statistics</w:t>
      </w:r>
    </w:p>
    <w:p w:rsidRPr="00603F6B" w:rsidR="000F2E90" w:rsidP="000F2E90" w:rsidRDefault="000F2E90" w14:paraId="57E92239" w14:textId="77777777">
      <w:r w:rsidRPr="00603F6B">
        <w:t>Division of Local Area Unemployment Statistics</w:t>
      </w:r>
    </w:p>
    <w:p w:rsidRPr="00603F6B" w:rsidR="000F2E90" w:rsidP="000F2E90" w:rsidRDefault="000F2E90" w14:paraId="4082034D" w14:textId="4B8BA4A5">
      <w:r w:rsidRPr="00603F6B">
        <w:t>(</w:t>
      </w:r>
      <w:r w:rsidR="00EF6E95">
        <w:t>202</w:t>
      </w:r>
      <w:r w:rsidRPr="00603F6B">
        <w:t xml:space="preserve">) </w:t>
      </w:r>
      <w:r w:rsidR="00EF6E95">
        <w:t>691</w:t>
      </w:r>
      <w:r w:rsidRPr="00603F6B">
        <w:t>-</w:t>
      </w:r>
      <w:r w:rsidR="00EF6E95">
        <w:t>6655</w:t>
      </w:r>
    </w:p>
    <w:p w:rsidRPr="000F2E90" w:rsidR="00CF27AB" w:rsidP="000F2E90" w:rsidRDefault="000F2E90" w14:paraId="72FF3878" w14:textId="33437C72">
      <w:r>
        <w:t>hannon.brian</w:t>
      </w:r>
      <w:r w:rsidRPr="00603F6B">
        <w:t>@bls.gov</w:t>
      </w:r>
    </w:p>
    <w:p w:rsidRPr="00603F6B" w:rsidR="00CF27AB" w:rsidP="00CF27AB" w:rsidRDefault="00CF27AB" w14:paraId="442656F1" w14:textId="77777777"/>
    <w:p w:rsidR="00CF27AB" w:rsidP="00CF27AB" w:rsidRDefault="00D15ECD" w14:paraId="0DE2456E" w14:textId="77777777">
      <w:r>
        <w:rPr>
          <w:b/>
          <w:u w:val="single"/>
        </w:rPr>
        <w:t>Changes to ASUs</w:t>
      </w:r>
      <w:r w:rsidRPr="00603F6B" w:rsidR="00CF27AB">
        <w:rPr>
          <w:b/>
          <w:u w:val="single"/>
        </w:rPr>
        <w:t xml:space="preserve"> after Initial Submittal</w:t>
      </w:r>
      <w:r w:rsidRPr="00603F6B" w:rsidR="00CF27AB">
        <w:t xml:space="preserve">:  </w:t>
      </w:r>
      <w:r w:rsidRPr="00D15ECD" w:rsidR="00CF27AB">
        <w:t xml:space="preserve">If a </w:t>
      </w:r>
      <w:r w:rsidR="00B2571A">
        <w:t>s</w:t>
      </w:r>
      <w:r w:rsidRPr="00D15ECD" w:rsidR="00CF27AB">
        <w:t>tate</w:t>
      </w:r>
      <w:r>
        <w:t xml:space="preserve"> makes any changes or corrections to </w:t>
      </w:r>
      <w:r w:rsidR="00321DAE">
        <w:t xml:space="preserve">its </w:t>
      </w:r>
      <w:r>
        <w:t>ASUs after the initial submission, all required documentation and forms should be updated and resubmitted</w:t>
      </w:r>
      <w:r w:rsidR="008D54F8">
        <w:t xml:space="preserve"> to both BLS and ETA.</w:t>
      </w:r>
    </w:p>
    <w:p w:rsidRPr="00603F6B" w:rsidR="009A19AF" w:rsidP="00CF27AB" w:rsidRDefault="009A19AF" w14:paraId="3C8E3353" w14:textId="77777777"/>
    <w:p w:rsidRPr="00603F6B" w:rsidR="00CF27AB" w:rsidP="000F2E90" w:rsidRDefault="00CF27AB" w14:paraId="3653D0FE" w14:textId="7F39EC00">
      <w:r w:rsidRPr="00603F6B">
        <w:rPr>
          <w:b/>
          <w:u w:val="single"/>
        </w:rPr>
        <w:t>Actions Required</w:t>
      </w:r>
      <w:r w:rsidRPr="00603F6B">
        <w:t xml:space="preserve">:  The deadline for ASUs has been set by ETA as </w:t>
      </w:r>
      <w:r w:rsidRPr="00B50620">
        <w:t xml:space="preserve">October </w:t>
      </w:r>
      <w:r w:rsidRPr="000849A1" w:rsidR="00B50620">
        <w:t>9</w:t>
      </w:r>
      <w:r w:rsidRPr="00F03945">
        <w:t>.</w:t>
      </w:r>
      <w:r w:rsidR="0037010A">
        <w:t xml:space="preserve">  All submission materials noted above </w:t>
      </w:r>
      <w:r w:rsidR="004F1F13">
        <w:t>must</w:t>
      </w:r>
      <w:r w:rsidR="0037010A">
        <w:t xml:space="preserve"> be </w:t>
      </w:r>
      <w:r w:rsidRPr="00023D68" w:rsidR="0037010A">
        <w:rPr>
          <w:u w:val="single"/>
        </w:rPr>
        <w:t>received</w:t>
      </w:r>
      <w:r w:rsidR="0037010A">
        <w:t xml:space="preserve"> by BLS and ETA </w:t>
      </w:r>
      <w:r w:rsidR="003B6AD0">
        <w:t>on or</w:t>
      </w:r>
      <w:r w:rsidR="004F1F13">
        <w:t xml:space="preserve"> before</w:t>
      </w:r>
      <w:r w:rsidR="0037010A">
        <w:t xml:space="preserve"> that date.</w:t>
      </w:r>
    </w:p>
    <w:p w:rsidRPr="00603F6B" w:rsidR="00CF27AB" w:rsidP="00CF27AB" w:rsidRDefault="00CF27AB" w14:paraId="488571F2" w14:textId="77777777"/>
    <w:p w:rsidRPr="00603F6B" w:rsidR="00CF27AB" w:rsidP="00CF27AB" w:rsidRDefault="00CF27AB" w14:paraId="42712A4E" w14:textId="77777777">
      <w:r w:rsidRPr="00603F6B">
        <w:rPr>
          <w:b/>
          <w:u w:val="single"/>
        </w:rPr>
        <w:t>Inquiries</w:t>
      </w:r>
      <w:r w:rsidRPr="00603F6B">
        <w:t xml:space="preserve">:  All inquiries relating to methodological issues should be directed to the appropriate BLS </w:t>
      </w:r>
      <w:r w:rsidR="00DB7A52">
        <w:t>r</w:t>
      </w:r>
      <w:r w:rsidRPr="00603F6B">
        <w:t xml:space="preserve">egional </w:t>
      </w:r>
      <w:r w:rsidR="00DB7A52">
        <w:t>o</w:t>
      </w:r>
      <w:r w:rsidRPr="00603F6B">
        <w:t>ffice.  Questions regarding qualification of ASUs</w:t>
      </w:r>
      <w:r w:rsidR="008D54F8">
        <w:t xml:space="preserve"> in general</w:t>
      </w:r>
      <w:r w:rsidRPr="00603F6B">
        <w:t xml:space="preserve"> should be addressed to ETA.</w:t>
      </w:r>
    </w:p>
    <w:p w:rsidRPr="00603F6B" w:rsidR="00CF27AB" w:rsidP="00CF27AB" w:rsidRDefault="00CF27AB" w14:paraId="0A70C091" w14:textId="77777777"/>
    <w:p w:rsidRPr="00603F6B" w:rsidR="00CF27AB" w:rsidP="00CF27AB" w:rsidRDefault="00CF27AB" w14:paraId="22982011" w14:textId="77777777">
      <w:pPr>
        <w:outlineLvl w:val="0"/>
      </w:pPr>
      <w:r w:rsidRPr="00603F6B">
        <w:rPr>
          <w:b/>
          <w:u w:val="single"/>
        </w:rPr>
        <w:t>Effective Date</w:t>
      </w:r>
      <w:r w:rsidRPr="00603F6B">
        <w:t>:  These instructions are effective upon receipt of this memorandum.</w:t>
      </w:r>
    </w:p>
    <w:p w:rsidRPr="00603F6B" w:rsidR="00CF27AB" w:rsidP="00CF27AB" w:rsidRDefault="00CF27AB" w14:paraId="4112F827" w14:textId="77777777">
      <w:pPr>
        <w:outlineLvl w:val="0"/>
      </w:pPr>
    </w:p>
    <w:p w:rsidR="00FB188C" w:rsidP="0066066A" w:rsidRDefault="00CF27AB" w14:paraId="0FC6D10E" w14:textId="6C1FA785">
      <w:pPr>
        <w:pStyle w:val="Heading1"/>
        <w:spacing w:line="240" w:lineRule="auto"/>
        <w:rPr>
          <w:rFonts w:ascii="Times New Roman" w:hAnsi="Times New Roman"/>
          <w:color w:val="auto"/>
        </w:rPr>
      </w:pPr>
      <w:r w:rsidRPr="00603F6B">
        <w:rPr>
          <w:rFonts w:ascii="Times New Roman" w:hAnsi="Times New Roman"/>
          <w:b/>
          <w:color w:val="auto"/>
          <w:u w:val="single"/>
        </w:rPr>
        <w:t>Workload Impact</w:t>
      </w:r>
      <w:r w:rsidRPr="00603F6B">
        <w:rPr>
          <w:rFonts w:ascii="Times New Roman" w:hAnsi="Times New Roman"/>
          <w:color w:val="auto"/>
        </w:rPr>
        <w:t>:  None.  This activity is covered by the LMI Cooperative Agreement.</w:t>
      </w:r>
    </w:p>
    <w:p w:rsidR="00D466A7" w:rsidP="00D466A7" w:rsidRDefault="00D466A7" w14:paraId="594EB43E" w14:textId="77777777"/>
    <w:p w:rsidRPr="000343C6" w:rsidR="000343C6" w:rsidP="00B2571A" w:rsidRDefault="00B2571A" w14:paraId="3B65842B" w14:textId="3BDCD0ED">
      <w:pPr>
        <w:sectPr w:rsidRPr="000343C6" w:rsidR="000343C6" w:rsidSect="00876E16">
          <w:headerReference w:type="default" r:id="rId9"/>
          <w:headerReference w:type="first" r:id="rId10"/>
          <w:pgSz w:w="12240" w:h="15840"/>
          <w:pgMar w:top="1440" w:right="1440" w:bottom="1440" w:left="1440" w:header="720" w:footer="720" w:gutter="0"/>
          <w:cols w:space="720"/>
          <w:titlePg/>
          <w:docGrid w:linePitch="360"/>
        </w:sectPr>
      </w:pPr>
      <w:r w:rsidRPr="000343C6">
        <w:rPr>
          <w:b/>
          <w:u w:val="single"/>
        </w:rPr>
        <w:t>Attachment</w:t>
      </w:r>
      <w:r w:rsidRPr="00EF0ECE" w:rsidR="000343C6">
        <w:t>:</w:t>
      </w:r>
      <w:r w:rsidR="00737A20">
        <w:t xml:space="preserve"> </w:t>
      </w:r>
      <w:r w:rsidR="00B3779F">
        <w:t xml:space="preserve"> </w:t>
      </w:r>
      <w:r w:rsidR="000343C6">
        <w:t>Attachment 1 – Batch Input File Formats- included in this Word document.</w:t>
      </w:r>
    </w:p>
    <w:p w:rsidRPr="00BB2445" w:rsidR="00BA1D42" w:rsidP="003E21B6" w:rsidRDefault="00BA1D42" w14:paraId="408C30B3" w14:textId="77777777">
      <w:pPr>
        <w:jc w:val="center"/>
        <w:rPr>
          <w:b/>
        </w:rPr>
      </w:pPr>
      <w:r w:rsidRPr="00BB2445">
        <w:rPr>
          <w:b/>
        </w:rPr>
        <w:lastRenderedPageBreak/>
        <w:t>Batch Input File Formats</w:t>
      </w:r>
    </w:p>
    <w:p w:rsidR="00BA1D42" w:rsidP="00BA1D42" w:rsidRDefault="00BA1D42" w14:paraId="5D351D04" w14:textId="77777777"/>
    <w:p w:rsidR="00BA1D42" w:rsidP="00BA1D42" w:rsidRDefault="00804BEE" w14:paraId="59A7020F" w14:textId="77777777">
      <w:pPr>
        <w:rPr>
          <w:color w:val="000000"/>
        </w:rPr>
      </w:pPr>
      <w:r w:rsidRPr="003E21B6">
        <w:rPr>
          <w:b/>
        </w:rPr>
        <w:t>ASU Definition File</w:t>
      </w:r>
      <w:r w:rsidRPr="003E21B6">
        <w:t xml:space="preserve"> – </w:t>
      </w:r>
      <w:r w:rsidRPr="003E21B6" w:rsidR="00BA1D42">
        <w:rPr>
          <w:color w:val="000000"/>
        </w:rPr>
        <w:t xml:space="preserve">“ST_ASU_DEF.txt” </w:t>
      </w:r>
    </w:p>
    <w:p w:rsidRPr="00A55E12" w:rsidR="00A55E12" w:rsidP="00A55E12" w:rsidRDefault="00A55E12" w14:paraId="7706F0F5" w14:textId="77777777">
      <w:pPr>
        <w:pStyle w:val="ListParagraph"/>
        <w:numPr>
          <w:ilvl w:val="0"/>
          <w:numId w:val="16"/>
        </w:numPr>
        <w:rPr>
          <w:sz w:val="24"/>
          <w:szCs w:val="24"/>
        </w:rPr>
      </w:pPr>
      <w:r w:rsidRPr="00A55E12">
        <w:rPr>
          <w:sz w:val="24"/>
          <w:szCs w:val="24"/>
        </w:rPr>
        <w:t xml:space="preserve">Used to add ASUs.  </w:t>
      </w:r>
    </w:p>
    <w:p w:rsidRPr="003E21B6" w:rsidR="00804BEE" w:rsidP="00BA1D42" w:rsidRDefault="00804BEE" w14:paraId="6056DC57" w14:textId="77777777">
      <w:pPr>
        <w:rPr>
          <w:color w:val="000000"/>
        </w:rPr>
      </w:pPr>
    </w:p>
    <w:tbl>
      <w:tblPr>
        <w:tblStyle w:val="TableGrid"/>
        <w:tblW w:w="7560" w:type="dxa"/>
        <w:tblInd w:w="535" w:type="dxa"/>
        <w:tblLook w:val="04A0" w:firstRow="1" w:lastRow="0" w:firstColumn="1" w:lastColumn="0" w:noHBand="0" w:noVBand="1"/>
      </w:tblPr>
      <w:tblGrid>
        <w:gridCol w:w="1530"/>
        <w:gridCol w:w="6030"/>
      </w:tblGrid>
      <w:tr w:rsidRPr="003E21B6" w:rsidR="00804BEE" w:rsidTr="003E21B6" w14:paraId="27838E2B" w14:textId="77777777">
        <w:tc>
          <w:tcPr>
            <w:tcW w:w="1530" w:type="dxa"/>
            <w:tcBorders>
              <w:bottom w:val="double" w:color="auto" w:sz="4" w:space="0"/>
            </w:tcBorders>
          </w:tcPr>
          <w:p w:rsidRPr="003E21B6" w:rsidR="00804BEE" w:rsidP="003E21B6" w:rsidRDefault="00804BEE" w14:paraId="7F4FE0D3" w14:textId="77777777">
            <w:pPr>
              <w:jc w:val="center"/>
              <w:rPr>
                <w:b/>
                <w:color w:val="000000"/>
              </w:rPr>
            </w:pPr>
            <w:r w:rsidRPr="003E21B6">
              <w:rPr>
                <w:b/>
                <w:color w:val="000000"/>
              </w:rPr>
              <w:t>Position</w:t>
            </w:r>
          </w:p>
        </w:tc>
        <w:tc>
          <w:tcPr>
            <w:tcW w:w="6030" w:type="dxa"/>
            <w:tcBorders>
              <w:bottom w:val="double" w:color="auto" w:sz="4" w:space="0"/>
            </w:tcBorders>
          </w:tcPr>
          <w:p w:rsidRPr="003E21B6" w:rsidR="00804BEE" w:rsidP="003E21B6" w:rsidRDefault="00804BEE" w14:paraId="3670FC15" w14:textId="77777777">
            <w:pPr>
              <w:jc w:val="center"/>
              <w:rPr>
                <w:b/>
                <w:color w:val="000000"/>
              </w:rPr>
            </w:pPr>
            <w:r w:rsidRPr="003E21B6">
              <w:rPr>
                <w:b/>
                <w:color w:val="000000"/>
              </w:rPr>
              <w:t>Description</w:t>
            </w:r>
          </w:p>
        </w:tc>
      </w:tr>
      <w:tr w:rsidRPr="003E21B6" w:rsidR="00804BEE" w:rsidTr="003E21B6" w14:paraId="29779CD3" w14:textId="77777777">
        <w:tc>
          <w:tcPr>
            <w:tcW w:w="1530" w:type="dxa"/>
            <w:tcBorders>
              <w:top w:val="double" w:color="auto" w:sz="4" w:space="0"/>
            </w:tcBorders>
          </w:tcPr>
          <w:p w:rsidRPr="003E21B6" w:rsidR="00804BEE" w:rsidP="00BA1D42" w:rsidRDefault="00804BEE" w14:paraId="7CF1C79B" w14:textId="77777777">
            <w:pPr>
              <w:rPr>
                <w:color w:val="000000"/>
              </w:rPr>
            </w:pPr>
            <w:r w:rsidRPr="003E21B6">
              <w:rPr>
                <w:color w:val="000000"/>
              </w:rPr>
              <w:t>1 – 8</w:t>
            </w:r>
          </w:p>
        </w:tc>
        <w:tc>
          <w:tcPr>
            <w:tcW w:w="6030" w:type="dxa"/>
            <w:tcBorders>
              <w:top w:val="double" w:color="auto" w:sz="4" w:space="0"/>
            </w:tcBorders>
          </w:tcPr>
          <w:p w:rsidRPr="003E21B6" w:rsidR="00804BEE" w:rsidP="00BA1D42" w:rsidRDefault="00804BEE" w14:paraId="62838A28" w14:textId="77777777">
            <w:pPr>
              <w:rPr>
                <w:color w:val="000000"/>
              </w:rPr>
            </w:pPr>
            <w:r w:rsidRPr="003E21B6">
              <w:rPr>
                <w:color w:val="000000"/>
              </w:rPr>
              <w:t>ASU Code</w:t>
            </w:r>
          </w:p>
          <w:p w:rsidRPr="003E21B6" w:rsidR="003E21B6" w:rsidP="003E21B6" w:rsidRDefault="003E21B6" w14:paraId="6B57FC51" w14:textId="77777777">
            <w:pPr>
              <w:pStyle w:val="ListParagraph"/>
              <w:numPr>
                <w:ilvl w:val="0"/>
                <w:numId w:val="15"/>
              </w:numPr>
              <w:rPr>
                <w:color w:val="000000"/>
                <w:sz w:val="24"/>
                <w:szCs w:val="24"/>
              </w:rPr>
            </w:pPr>
            <w:r w:rsidRPr="003E21B6">
              <w:rPr>
                <w:color w:val="000000"/>
                <w:sz w:val="24"/>
                <w:szCs w:val="24"/>
              </w:rPr>
              <w:t>Must be</w:t>
            </w:r>
            <w:r w:rsidR="00B2571A">
              <w:rPr>
                <w:color w:val="000000"/>
                <w:sz w:val="24"/>
                <w:szCs w:val="24"/>
              </w:rPr>
              <w:t>gin with “SU” followed by your s</w:t>
            </w:r>
            <w:r w:rsidRPr="003E21B6">
              <w:rPr>
                <w:color w:val="000000"/>
                <w:sz w:val="24"/>
                <w:szCs w:val="24"/>
              </w:rPr>
              <w:t>tate’s FIPS code (e.g., “</w:t>
            </w:r>
            <w:r>
              <w:rPr>
                <w:color w:val="000000"/>
                <w:sz w:val="24"/>
                <w:szCs w:val="24"/>
              </w:rPr>
              <w:t>SU</w:t>
            </w:r>
            <w:r w:rsidRPr="003E21B6">
              <w:rPr>
                <w:color w:val="000000"/>
                <w:sz w:val="24"/>
                <w:szCs w:val="24"/>
              </w:rPr>
              <w:t>01” for Alabama)</w:t>
            </w:r>
            <w:r>
              <w:rPr>
                <w:color w:val="000000"/>
                <w:sz w:val="24"/>
                <w:szCs w:val="24"/>
              </w:rPr>
              <w:t>; the last four digits must be numeric</w:t>
            </w:r>
          </w:p>
        </w:tc>
      </w:tr>
      <w:tr w:rsidRPr="003E21B6" w:rsidR="00804BEE" w:rsidTr="003E21B6" w14:paraId="3899CF00" w14:textId="77777777">
        <w:trPr>
          <w:trHeight w:val="132"/>
        </w:trPr>
        <w:tc>
          <w:tcPr>
            <w:tcW w:w="1530" w:type="dxa"/>
          </w:tcPr>
          <w:p w:rsidRPr="003E21B6" w:rsidR="00804BEE" w:rsidP="00BA1D42" w:rsidRDefault="00804BEE" w14:paraId="6CC8059E" w14:textId="77777777">
            <w:pPr>
              <w:rPr>
                <w:color w:val="000000"/>
              </w:rPr>
            </w:pPr>
            <w:r w:rsidRPr="003E21B6">
              <w:rPr>
                <w:color w:val="000000"/>
              </w:rPr>
              <w:t>9</w:t>
            </w:r>
          </w:p>
        </w:tc>
        <w:tc>
          <w:tcPr>
            <w:tcW w:w="6030" w:type="dxa"/>
          </w:tcPr>
          <w:p w:rsidRPr="003E21B6" w:rsidR="00804BEE" w:rsidP="00BA1D42" w:rsidRDefault="00804BEE" w14:paraId="508C7CBA" w14:textId="77777777">
            <w:pPr>
              <w:rPr>
                <w:color w:val="000000"/>
              </w:rPr>
            </w:pPr>
            <w:r w:rsidRPr="003E21B6">
              <w:rPr>
                <w:color w:val="000000"/>
              </w:rPr>
              <w:t>Blank</w:t>
            </w:r>
          </w:p>
        </w:tc>
      </w:tr>
      <w:tr w:rsidRPr="003E21B6" w:rsidR="00804BEE" w:rsidTr="003E21B6" w14:paraId="3E5A4786" w14:textId="77777777">
        <w:trPr>
          <w:trHeight w:val="132"/>
        </w:trPr>
        <w:tc>
          <w:tcPr>
            <w:tcW w:w="1530" w:type="dxa"/>
          </w:tcPr>
          <w:p w:rsidRPr="003E21B6" w:rsidR="00804BEE" w:rsidP="00BA1D42" w:rsidRDefault="00804BEE" w14:paraId="7FA70E42" w14:textId="77777777">
            <w:pPr>
              <w:rPr>
                <w:color w:val="000000"/>
              </w:rPr>
            </w:pPr>
            <w:r w:rsidRPr="003E21B6">
              <w:rPr>
                <w:color w:val="000000"/>
              </w:rPr>
              <w:t>10 – 63</w:t>
            </w:r>
          </w:p>
        </w:tc>
        <w:tc>
          <w:tcPr>
            <w:tcW w:w="6030" w:type="dxa"/>
          </w:tcPr>
          <w:p w:rsidRPr="003E21B6" w:rsidR="00804BEE" w:rsidP="00BA1D42" w:rsidRDefault="00804BEE" w14:paraId="46DB0352" w14:textId="77777777">
            <w:pPr>
              <w:rPr>
                <w:color w:val="000000"/>
              </w:rPr>
            </w:pPr>
            <w:r w:rsidRPr="003E21B6">
              <w:rPr>
                <w:color w:val="000000"/>
              </w:rPr>
              <w:t>ASU Title</w:t>
            </w:r>
          </w:p>
          <w:p w:rsidRPr="003E21B6" w:rsidR="003E21B6" w:rsidP="003E21B6" w:rsidRDefault="003E21B6" w14:paraId="5B1B38AE" w14:textId="77777777">
            <w:pPr>
              <w:pStyle w:val="ListParagraph"/>
              <w:numPr>
                <w:ilvl w:val="0"/>
                <w:numId w:val="15"/>
              </w:numPr>
              <w:rPr>
                <w:color w:val="000000"/>
              </w:rPr>
            </w:pPr>
            <w:r w:rsidRPr="003E21B6">
              <w:rPr>
                <w:color w:val="000000"/>
                <w:sz w:val="24"/>
                <w:szCs w:val="24"/>
              </w:rPr>
              <w:t>Unused characters following the title must be padded with spaces to ensure proper field alignment</w:t>
            </w:r>
          </w:p>
        </w:tc>
      </w:tr>
      <w:tr w:rsidRPr="003E21B6" w:rsidR="00804BEE" w:rsidTr="003E21B6" w14:paraId="0670138D" w14:textId="77777777">
        <w:trPr>
          <w:trHeight w:val="156"/>
        </w:trPr>
        <w:tc>
          <w:tcPr>
            <w:tcW w:w="1530" w:type="dxa"/>
          </w:tcPr>
          <w:p w:rsidRPr="003E21B6" w:rsidR="00804BEE" w:rsidP="00BA1D42" w:rsidRDefault="00804BEE" w14:paraId="2876B121" w14:textId="77777777">
            <w:pPr>
              <w:rPr>
                <w:color w:val="000000"/>
              </w:rPr>
            </w:pPr>
            <w:r w:rsidRPr="003E21B6">
              <w:rPr>
                <w:color w:val="000000"/>
              </w:rPr>
              <w:t>64</w:t>
            </w:r>
          </w:p>
        </w:tc>
        <w:tc>
          <w:tcPr>
            <w:tcW w:w="6030" w:type="dxa"/>
          </w:tcPr>
          <w:p w:rsidRPr="003E21B6" w:rsidR="00804BEE" w:rsidP="00BA1D42" w:rsidRDefault="00804BEE" w14:paraId="6C760378" w14:textId="77777777">
            <w:pPr>
              <w:rPr>
                <w:color w:val="000000"/>
              </w:rPr>
            </w:pPr>
            <w:r w:rsidRPr="003E21B6">
              <w:rPr>
                <w:color w:val="000000"/>
              </w:rPr>
              <w:t>Blank</w:t>
            </w:r>
          </w:p>
        </w:tc>
      </w:tr>
      <w:tr w:rsidRPr="003E21B6" w:rsidR="00804BEE" w:rsidTr="003E21B6" w14:paraId="1E787537" w14:textId="77777777">
        <w:tc>
          <w:tcPr>
            <w:tcW w:w="1530" w:type="dxa"/>
          </w:tcPr>
          <w:p w:rsidRPr="003E21B6" w:rsidR="00804BEE" w:rsidP="00A55E12" w:rsidRDefault="00804BEE" w14:paraId="14AAAC91" w14:textId="77777777">
            <w:pPr>
              <w:rPr>
                <w:color w:val="000000"/>
              </w:rPr>
            </w:pPr>
            <w:r w:rsidRPr="003E21B6">
              <w:rPr>
                <w:color w:val="000000"/>
              </w:rPr>
              <w:t xml:space="preserve">65 </w:t>
            </w:r>
            <w:r w:rsidR="00A55E12">
              <w:rPr>
                <w:color w:val="000000"/>
              </w:rPr>
              <w:t xml:space="preserve">up to </w:t>
            </w:r>
            <w:r w:rsidRPr="003E21B6">
              <w:rPr>
                <w:color w:val="000000"/>
              </w:rPr>
              <w:t>358</w:t>
            </w:r>
          </w:p>
        </w:tc>
        <w:tc>
          <w:tcPr>
            <w:tcW w:w="6030" w:type="dxa"/>
          </w:tcPr>
          <w:p w:rsidRPr="00A55E12" w:rsidR="00804BEE" w:rsidP="00804BEE" w:rsidRDefault="00804BEE" w14:paraId="72AAEDD2" w14:textId="77777777">
            <w:pPr>
              <w:rPr>
                <w:color w:val="000000"/>
              </w:rPr>
            </w:pPr>
            <w:r w:rsidRPr="00A55E12">
              <w:rPr>
                <w:color w:val="000000"/>
              </w:rPr>
              <w:t xml:space="preserve">Geographic </w:t>
            </w:r>
            <w:r w:rsidR="005E70CD">
              <w:rPr>
                <w:color w:val="000000"/>
              </w:rPr>
              <w:t>description</w:t>
            </w:r>
          </w:p>
          <w:p w:rsidRPr="00A55E12" w:rsidR="00A55E12" w:rsidP="00A55E12" w:rsidRDefault="00A55E12" w14:paraId="22728581" w14:textId="77777777">
            <w:pPr>
              <w:pStyle w:val="ListParagraph"/>
              <w:numPr>
                <w:ilvl w:val="0"/>
                <w:numId w:val="15"/>
              </w:numPr>
              <w:rPr>
                <w:color w:val="000000"/>
              </w:rPr>
            </w:pPr>
            <w:r w:rsidRPr="00A55E12">
              <w:rPr>
                <w:color w:val="000000"/>
                <w:sz w:val="24"/>
                <w:szCs w:val="24"/>
              </w:rPr>
              <w:t>Unused characters do not need to be filled with spaces (i.e., the record length can be variable, so long as the geographic definition begins at position 65</w:t>
            </w:r>
            <w:r w:rsidR="00356F73">
              <w:rPr>
                <w:color w:val="000000"/>
                <w:sz w:val="24"/>
                <w:szCs w:val="24"/>
              </w:rPr>
              <w:t>)</w:t>
            </w:r>
          </w:p>
        </w:tc>
      </w:tr>
    </w:tbl>
    <w:p w:rsidRPr="003E21B6" w:rsidR="00804BEE" w:rsidP="00BA1D42" w:rsidRDefault="00804BEE" w14:paraId="0E35802C" w14:textId="77777777">
      <w:pPr>
        <w:rPr>
          <w:color w:val="000000"/>
        </w:rPr>
      </w:pPr>
    </w:p>
    <w:p w:rsidRPr="003E21B6" w:rsidR="00804BEE" w:rsidP="00BA1D42" w:rsidRDefault="00804BEE" w14:paraId="3582CC83" w14:textId="77777777">
      <w:pPr>
        <w:rPr>
          <w:color w:val="000000"/>
        </w:rPr>
      </w:pPr>
    </w:p>
    <w:p w:rsidRPr="003E21B6" w:rsidR="00804BEE" w:rsidP="00BA1D42" w:rsidRDefault="00804BEE" w14:paraId="75EC7DBA" w14:textId="77777777">
      <w:pPr>
        <w:rPr>
          <w:color w:val="000000"/>
        </w:rPr>
      </w:pPr>
    </w:p>
    <w:p w:rsidR="00BA1D42" w:rsidP="00BA1D42" w:rsidRDefault="00804BEE" w14:paraId="0CA034FF" w14:textId="77777777">
      <w:pPr>
        <w:rPr>
          <w:color w:val="000000"/>
        </w:rPr>
      </w:pPr>
      <w:r w:rsidRPr="003E21B6">
        <w:rPr>
          <w:b/>
          <w:color w:val="000000"/>
        </w:rPr>
        <w:t>ASU Component Selection File</w:t>
      </w:r>
      <w:r w:rsidRPr="003E21B6">
        <w:rPr>
          <w:color w:val="000000"/>
        </w:rPr>
        <w:t xml:space="preserve"> – </w:t>
      </w:r>
      <w:r w:rsidRPr="003E21B6" w:rsidR="00BA1D42">
        <w:rPr>
          <w:color w:val="000000"/>
        </w:rPr>
        <w:t>“ST_ASU_Comp.txt”</w:t>
      </w:r>
    </w:p>
    <w:p w:rsidRPr="00A55E12" w:rsidR="00A55E12" w:rsidP="00A55E12" w:rsidRDefault="00A55E12" w14:paraId="791DC7D1" w14:textId="77777777">
      <w:pPr>
        <w:pStyle w:val="ListParagraph"/>
        <w:numPr>
          <w:ilvl w:val="0"/>
          <w:numId w:val="15"/>
        </w:numPr>
        <w:rPr>
          <w:color w:val="000000"/>
          <w:sz w:val="24"/>
          <w:szCs w:val="24"/>
        </w:rPr>
      </w:pPr>
      <w:r w:rsidRPr="00A55E12">
        <w:rPr>
          <w:color w:val="000000"/>
          <w:sz w:val="24"/>
          <w:szCs w:val="24"/>
        </w:rPr>
        <w:t>Used to specify the components of one or more ASUs and to indicate whether the components are added or subtracted</w:t>
      </w:r>
      <w:r>
        <w:rPr>
          <w:color w:val="000000"/>
          <w:sz w:val="24"/>
          <w:szCs w:val="24"/>
        </w:rPr>
        <w:t>.</w:t>
      </w:r>
    </w:p>
    <w:p w:rsidRPr="003E21B6" w:rsidR="003E21B6" w:rsidP="003E21B6" w:rsidRDefault="003E21B6" w14:paraId="06878B13" w14:textId="77777777">
      <w:pPr>
        <w:rPr>
          <w:color w:val="000000"/>
        </w:rPr>
      </w:pPr>
    </w:p>
    <w:tbl>
      <w:tblPr>
        <w:tblStyle w:val="TableGrid"/>
        <w:tblW w:w="7560" w:type="dxa"/>
        <w:tblInd w:w="535" w:type="dxa"/>
        <w:tblLook w:val="04A0" w:firstRow="1" w:lastRow="0" w:firstColumn="1" w:lastColumn="0" w:noHBand="0" w:noVBand="1"/>
      </w:tblPr>
      <w:tblGrid>
        <w:gridCol w:w="1530"/>
        <w:gridCol w:w="6030"/>
      </w:tblGrid>
      <w:tr w:rsidRPr="003E21B6" w:rsidR="003E21B6" w:rsidTr="003E21B6" w14:paraId="397D6829" w14:textId="77777777">
        <w:tc>
          <w:tcPr>
            <w:tcW w:w="1530" w:type="dxa"/>
            <w:tcBorders>
              <w:bottom w:val="double" w:color="auto" w:sz="4" w:space="0"/>
            </w:tcBorders>
          </w:tcPr>
          <w:p w:rsidRPr="003E21B6" w:rsidR="003E21B6" w:rsidP="00073E78" w:rsidRDefault="003E21B6" w14:paraId="18EF0BFB" w14:textId="77777777">
            <w:pPr>
              <w:jc w:val="center"/>
              <w:rPr>
                <w:b/>
                <w:color w:val="000000"/>
              </w:rPr>
            </w:pPr>
            <w:r w:rsidRPr="003E21B6">
              <w:rPr>
                <w:b/>
                <w:color w:val="000000"/>
              </w:rPr>
              <w:t>Position</w:t>
            </w:r>
          </w:p>
        </w:tc>
        <w:tc>
          <w:tcPr>
            <w:tcW w:w="6030" w:type="dxa"/>
            <w:tcBorders>
              <w:bottom w:val="double" w:color="auto" w:sz="4" w:space="0"/>
            </w:tcBorders>
          </w:tcPr>
          <w:p w:rsidRPr="003E21B6" w:rsidR="003E21B6" w:rsidP="00073E78" w:rsidRDefault="003E21B6" w14:paraId="25AB58E1" w14:textId="77777777">
            <w:pPr>
              <w:jc w:val="center"/>
              <w:rPr>
                <w:b/>
                <w:color w:val="000000"/>
              </w:rPr>
            </w:pPr>
            <w:r w:rsidRPr="003E21B6">
              <w:rPr>
                <w:b/>
                <w:color w:val="000000"/>
              </w:rPr>
              <w:t>Description</w:t>
            </w:r>
          </w:p>
        </w:tc>
      </w:tr>
      <w:tr w:rsidRPr="003E21B6" w:rsidR="003E21B6" w:rsidTr="003E21B6" w14:paraId="6274F5F4" w14:textId="77777777">
        <w:tc>
          <w:tcPr>
            <w:tcW w:w="1530" w:type="dxa"/>
            <w:tcBorders>
              <w:top w:val="double" w:color="auto" w:sz="4" w:space="0"/>
            </w:tcBorders>
          </w:tcPr>
          <w:p w:rsidRPr="003E21B6" w:rsidR="003E21B6" w:rsidP="00073E78" w:rsidRDefault="003E21B6" w14:paraId="1B11BE1F" w14:textId="77777777">
            <w:pPr>
              <w:rPr>
                <w:color w:val="000000"/>
              </w:rPr>
            </w:pPr>
            <w:r w:rsidRPr="003E21B6">
              <w:rPr>
                <w:color w:val="000000"/>
              </w:rPr>
              <w:t>1 – 8</w:t>
            </w:r>
          </w:p>
        </w:tc>
        <w:tc>
          <w:tcPr>
            <w:tcW w:w="6030" w:type="dxa"/>
            <w:tcBorders>
              <w:top w:val="double" w:color="auto" w:sz="4" w:space="0"/>
            </w:tcBorders>
          </w:tcPr>
          <w:p w:rsidRPr="003E21B6" w:rsidR="003E21B6" w:rsidP="00073E78" w:rsidRDefault="003E21B6" w14:paraId="12B75AD8" w14:textId="77777777">
            <w:pPr>
              <w:rPr>
                <w:color w:val="000000"/>
              </w:rPr>
            </w:pPr>
            <w:r w:rsidRPr="003E21B6">
              <w:rPr>
                <w:color w:val="000000"/>
              </w:rPr>
              <w:t>ASU Code</w:t>
            </w:r>
          </w:p>
          <w:p w:rsidRPr="003E21B6" w:rsidR="003E21B6" w:rsidP="003E21B6" w:rsidRDefault="003E21B6" w14:paraId="1F24D10F" w14:textId="77777777">
            <w:pPr>
              <w:pStyle w:val="ListParagraph"/>
              <w:numPr>
                <w:ilvl w:val="0"/>
                <w:numId w:val="14"/>
              </w:numPr>
              <w:rPr>
                <w:color w:val="000000"/>
                <w:sz w:val="24"/>
                <w:szCs w:val="24"/>
              </w:rPr>
            </w:pPr>
            <w:r w:rsidRPr="003E21B6">
              <w:rPr>
                <w:color w:val="000000"/>
                <w:sz w:val="24"/>
                <w:szCs w:val="24"/>
              </w:rPr>
              <w:t>ASU must be added first using the “Add ASU” button or by batch loading an ASU definition file (see above)</w:t>
            </w:r>
          </w:p>
        </w:tc>
      </w:tr>
      <w:tr w:rsidRPr="003E21B6" w:rsidR="003E21B6" w:rsidTr="003E21B6" w14:paraId="0761DED9" w14:textId="77777777">
        <w:trPr>
          <w:trHeight w:val="132"/>
        </w:trPr>
        <w:tc>
          <w:tcPr>
            <w:tcW w:w="1530" w:type="dxa"/>
          </w:tcPr>
          <w:p w:rsidRPr="003E21B6" w:rsidR="003E21B6" w:rsidP="00073E78" w:rsidRDefault="003E21B6" w14:paraId="3C0C72C0" w14:textId="77777777">
            <w:pPr>
              <w:rPr>
                <w:color w:val="000000"/>
              </w:rPr>
            </w:pPr>
            <w:r w:rsidRPr="003E21B6">
              <w:rPr>
                <w:color w:val="000000"/>
              </w:rPr>
              <w:t>9</w:t>
            </w:r>
          </w:p>
        </w:tc>
        <w:tc>
          <w:tcPr>
            <w:tcW w:w="6030" w:type="dxa"/>
          </w:tcPr>
          <w:p w:rsidRPr="003E21B6" w:rsidR="003E21B6" w:rsidP="00073E78" w:rsidRDefault="003E21B6" w14:paraId="449AF2D0" w14:textId="77777777">
            <w:pPr>
              <w:rPr>
                <w:color w:val="000000"/>
              </w:rPr>
            </w:pPr>
            <w:r w:rsidRPr="003E21B6">
              <w:rPr>
                <w:color w:val="000000"/>
              </w:rPr>
              <w:t>Blank</w:t>
            </w:r>
          </w:p>
        </w:tc>
      </w:tr>
      <w:tr w:rsidRPr="003E21B6" w:rsidR="003E21B6" w:rsidTr="003E21B6" w14:paraId="1E21463E" w14:textId="77777777">
        <w:trPr>
          <w:trHeight w:val="132"/>
        </w:trPr>
        <w:tc>
          <w:tcPr>
            <w:tcW w:w="1530" w:type="dxa"/>
          </w:tcPr>
          <w:p w:rsidRPr="003E21B6" w:rsidR="003E21B6" w:rsidP="00073E78" w:rsidRDefault="003E21B6" w14:paraId="50AED0AC" w14:textId="77777777">
            <w:pPr>
              <w:rPr>
                <w:color w:val="000000"/>
              </w:rPr>
            </w:pPr>
            <w:r w:rsidRPr="003E21B6">
              <w:rPr>
                <w:color w:val="000000"/>
              </w:rPr>
              <w:t>10</w:t>
            </w:r>
          </w:p>
        </w:tc>
        <w:tc>
          <w:tcPr>
            <w:tcW w:w="6030" w:type="dxa"/>
          </w:tcPr>
          <w:p w:rsidRPr="003E21B6" w:rsidR="003E21B6" w:rsidP="00073E78" w:rsidRDefault="003E21B6" w14:paraId="5D8825E8" w14:textId="77777777">
            <w:pPr>
              <w:rPr>
                <w:color w:val="000000"/>
              </w:rPr>
            </w:pPr>
            <w:r w:rsidRPr="003E21B6">
              <w:rPr>
                <w:color w:val="000000"/>
              </w:rPr>
              <w:t xml:space="preserve">Operation </w:t>
            </w:r>
            <w:r w:rsidR="00A55E12">
              <w:rPr>
                <w:color w:val="000000"/>
              </w:rPr>
              <w:t>(+ or -)</w:t>
            </w:r>
          </w:p>
          <w:p w:rsidRPr="003E21B6" w:rsidR="003E21B6" w:rsidP="003E21B6" w:rsidRDefault="003E21B6" w14:paraId="4B2323CD" w14:textId="77777777">
            <w:pPr>
              <w:pStyle w:val="ListParagraph"/>
              <w:numPr>
                <w:ilvl w:val="0"/>
                <w:numId w:val="14"/>
              </w:numPr>
              <w:rPr>
                <w:color w:val="000000"/>
                <w:sz w:val="24"/>
                <w:szCs w:val="24"/>
              </w:rPr>
            </w:pPr>
            <w:r w:rsidRPr="003E21B6">
              <w:rPr>
                <w:color w:val="000000"/>
                <w:sz w:val="24"/>
                <w:szCs w:val="24"/>
              </w:rPr>
              <w:t xml:space="preserve">+ or </w:t>
            </w:r>
            <w:r>
              <w:rPr>
                <w:color w:val="000000"/>
                <w:sz w:val="24"/>
                <w:szCs w:val="24"/>
              </w:rPr>
              <w:t>-</w:t>
            </w:r>
            <w:r w:rsidRPr="003E21B6">
              <w:rPr>
                <w:color w:val="000000"/>
                <w:sz w:val="24"/>
                <w:szCs w:val="24"/>
              </w:rPr>
              <w:t xml:space="preserve"> for addition or subtraction, respectively</w:t>
            </w:r>
          </w:p>
        </w:tc>
      </w:tr>
      <w:tr w:rsidRPr="003E21B6" w:rsidR="003E21B6" w:rsidTr="003E21B6" w14:paraId="13D151DA" w14:textId="77777777">
        <w:trPr>
          <w:trHeight w:val="156"/>
        </w:trPr>
        <w:tc>
          <w:tcPr>
            <w:tcW w:w="1530" w:type="dxa"/>
          </w:tcPr>
          <w:p w:rsidRPr="003E21B6" w:rsidR="003E21B6" w:rsidP="00073E78" w:rsidRDefault="003E21B6" w14:paraId="7D907909" w14:textId="77777777">
            <w:pPr>
              <w:rPr>
                <w:color w:val="000000"/>
              </w:rPr>
            </w:pPr>
            <w:r w:rsidRPr="003E21B6">
              <w:rPr>
                <w:color w:val="000000"/>
              </w:rPr>
              <w:t>11</w:t>
            </w:r>
          </w:p>
        </w:tc>
        <w:tc>
          <w:tcPr>
            <w:tcW w:w="6030" w:type="dxa"/>
          </w:tcPr>
          <w:p w:rsidRPr="003E21B6" w:rsidR="003E21B6" w:rsidP="00073E78" w:rsidRDefault="003E21B6" w14:paraId="2A80372C" w14:textId="77777777">
            <w:pPr>
              <w:rPr>
                <w:color w:val="000000"/>
              </w:rPr>
            </w:pPr>
            <w:r w:rsidRPr="003E21B6">
              <w:rPr>
                <w:color w:val="000000"/>
              </w:rPr>
              <w:t>Blank</w:t>
            </w:r>
          </w:p>
        </w:tc>
      </w:tr>
      <w:tr w:rsidRPr="003E21B6" w:rsidR="003E21B6" w:rsidTr="003E21B6" w14:paraId="0AC82F20" w14:textId="77777777">
        <w:tc>
          <w:tcPr>
            <w:tcW w:w="1530" w:type="dxa"/>
          </w:tcPr>
          <w:p w:rsidRPr="003E21B6" w:rsidR="003E21B6" w:rsidP="00073E78" w:rsidRDefault="003E21B6" w14:paraId="603DDAE1" w14:textId="77777777">
            <w:pPr>
              <w:rPr>
                <w:color w:val="000000"/>
              </w:rPr>
            </w:pPr>
            <w:r w:rsidRPr="003E21B6">
              <w:rPr>
                <w:color w:val="000000"/>
              </w:rPr>
              <w:t>12 – 26 or 29</w:t>
            </w:r>
          </w:p>
        </w:tc>
        <w:tc>
          <w:tcPr>
            <w:tcW w:w="6030" w:type="dxa"/>
          </w:tcPr>
          <w:p w:rsidRPr="003E21B6" w:rsidR="003E21B6" w:rsidP="00073E78" w:rsidRDefault="003E21B6" w14:paraId="4002DCE7" w14:textId="77777777">
            <w:pPr>
              <w:rPr>
                <w:color w:val="000000"/>
              </w:rPr>
            </w:pPr>
            <w:r w:rsidRPr="003E21B6">
              <w:rPr>
                <w:color w:val="000000"/>
              </w:rPr>
              <w:t xml:space="preserve">Component Code </w:t>
            </w:r>
          </w:p>
          <w:p w:rsidRPr="003E21B6" w:rsidR="003E21B6" w:rsidP="005E70CD" w:rsidRDefault="003E21B6" w14:paraId="48E16ABA" w14:textId="77777777">
            <w:pPr>
              <w:pStyle w:val="ListParagraph"/>
              <w:numPr>
                <w:ilvl w:val="0"/>
                <w:numId w:val="13"/>
              </w:numPr>
              <w:rPr>
                <w:color w:val="000000"/>
                <w:sz w:val="24"/>
                <w:szCs w:val="24"/>
              </w:rPr>
            </w:pPr>
            <w:r w:rsidRPr="003E21B6">
              <w:rPr>
                <w:color w:val="000000"/>
                <w:sz w:val="24"/>
                <w:szCs w:val="24"/>
              </w:rPr>
              <w:t xml:space="preserve">15-character LAUS code or, for </w:t>
            </w:r>
            <w:r w:rsidR="005E70CD">
              <w:rPr>
                <w:color w:val="000000"/>
                <w:sz w:val="24"/>
                <w:szCs w:val="24"/>
              </w:rPr>
              <w:t>c</w:t>
            </w:r>
            <w:r w:rsidRPr="003E21B6">
              <w:rPr>
                <w:color w:val="000000"/>
                <w:sz w:val="24"/>
                <w:szCs w:val="24"/>
              </w:rPr>
              <w:t>ensus tracts, 18-character GEOID</w:t>
            </w:r>
            <w:r w:rsidR="00E8698D">
              <w:rPr>
                <w:color w:val="000000"/>
                <w:sz w:val="24"/>
                <w:szCs w:val="24"/>
              </w:rPr>
              <w:t xml:space="preserve"> (found in BLS-provided Excel file)</w:t>
            </w:r>
          </w:p>
        </w:tc>
      </w:tr>
    </w:tbl>
    <w:p w:rsidR="003E21B6" w:rsidP="003E21B6" w:rsidRDefault="003E21B6" w14:paraId="3CC49207" w14:textId="77777777">
      <w:pPr>
        <w:rPr>
          <w:color w:val="000000"/>
        </w:rPr>
      </w:pPr>
    </w:p>
    <w:p w:rsidRPr="00804BEE" w:rsidR="003E21B6" w:rsidP="00BA1D42" w:rsidRDefault="003E21B6" w14:paraId="5C22E13F" w14:textId="77777777">
      <w:pPr>
        <w:rPr>
          <w:color w:val="000000"/>
        </w:rPr>
      </w:pPr>
    </w:p>
    <w:sectPr w:rsidRPr="00804BEE" w:rsidR="003E21B6" w:rsidSect="00876E16">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5192" w14:textId="77777777" w:rsidR="000E7832" w:rsidRDefault="000E7832" w:rsidP="00876E16">
      <w:r>
        <w:separator/>
      </w:r>
    </w:p>
  </w:endnote>
  <w:endnote w:type="continuationSeparator" w:id="0">
    <w:p w14:paraId="698C1F33" w14:textId="77777777" w:rsidR="000E7832" w:rsidRDefault="000E7832" w:rsidP="0087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2DE86" w14:textId="77777777" w:rsidR="000E7832" w:rsidRDefault="000E7832" w:rsidP="00876E16">
      <w:r>
        <w:separator/>
      </w:r>
    </w:p>
  </w:footnote>
  <w:footnote w:type="continuationSeparator" w:id="0">
    <w:p w14:paraId="0E655678" w14:textId="77777777" w:rsidR="000E7832" w:rsidRDefault="000E7832" w:rsidP="00876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1E9EC" w14:textId="77777777" w:rsidR="00876E16" w:rsidRPr="00A764DB" w:rsidRDefault="00876E16" w:rsidP="00876E16">
    <w:pPr>
      <w:pStyle w:val="Header"/>
      <w:rPr>
        <w:rStyle w:val="PageNumber"/>
      </w:rPr>
    </w:pPr>
    <w:r w:rsidRPr="00A764DB">
      <w:rPr>
        <w:rStyle w:val="PageNumber"/>
      </w:rPr>
      <w:t>Memorandum for State Workforce Agency Administrators and BLS Regional Commissioners--</w:t>
    </w:r>
    <w:r w:rsidRPr="00A764DB">
      <w:rPr>
        <w:rStyle w:val="PageNumber"/>
      </w:rPr>
      <w:fldChar w:fldCharType="begin"/>
    </w:r>
    <w:r w:rsidRPr="00A764DB">
      <w:rPr>
        <w:rStyle w:val="PageNumber"/>
      </w:rPr>
      <w:instrText xml:space="preserve"> PAGE   \* MERGEFORMAT </w:instrText>
    </w:r>
    <w:r w:rsidRPr="00A764DB">
      <w:rPr>
        <w:rStyle w:val="PageNumber"/>
      </w:rPr>
      <w:fldChar w:fldCharType="separate"/>
    </w:r>
    <w:r w:rsidR="00D46BBC">
      <w:rPr>
        <w:rStyle w:val="PageNumber"/>
        <w:noProof/>
      </w:rPr>
      <w:t>6</w:t>
    </w:r>
    <w:r w:rsidRPr="00A764DB">
      <w:rPr>
        <w:rStyle w:val="PageNumber"/>
      </w:rPr>
      <w:fldChar w:fldCharType="end"/>
    </w:r>
  </w:p>
  <w:p w14:paraId="771802A2" w14:textId="77777777" w:rsidR="00876E16" w:rsidRDefault="00876E16" w:rsidP="00876E16">
    <w:pPr>
      <w:pStyle w:val="Header"/>
      <w:rPr>
        <w:rStyle w:val="PageNumber"/>
      </w:rPr>
    </w:pPr>
  </w:p>
  <w:p w14:paraId="6F2A0373" w14:textId="77777777" w:rsidR="00876E16" w:rsidRDefault="00876E16">
    <w:pPr>
      <w:pStyle w:val="Header"/>
    </w:pPr>
  </w:p>
  <w:p w14:paraId="39D343B2" w14:textId="77777777" w:rsidR="00876E16" w:rsidRDefault="00876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D1E4C" w14:textId="77777777" w:rsidR="00AB73EB" w:rsidRPr="00E34BC5" w:rsidRDefault="00AB73EB" w:rsidP="00AB73EB">
    <w:pPr>
      <w:pStyle w:val="Header"/>
      <w:tabs>
        <w:tab w:val="left" w:pos="3960"/>
      </w:tabs>
      <w:ind w:hanging="360"/>
      <w:rPr>
        <w:rFonts w:ascii="Arial" w:hAnsi="Arial"/>
        <w:color w:val="032F78"/>
      </w:rPr>
    </w:pPr>
    <w:r w:rsidRPr="00E34BC5">
      <w:rPr>
        <w:noProof/>
        <w:color w:val="032F78"/>
      </w:rPr>
      <w:drawing>
        <wp:anchor distT="0" distB="0" distL="114300" distR="114300" simplePos="0" relativeHeight="251659264" behindDoc="1" locked="0" layoutInCell="1" allowOverlap="1" wp14:anchorId="55209066" wp14:editId="5D507032">
          <wp:simplePos x="0" y="0"/>
          <wp:positionH relativeFrom="column">
            <wp:posOffset>5270500</wp:posOffset>
          </wp:positionH>
          <wp:positionV relativeFrom="paragraph">
            <wp:posOffset>-69850</wp:posOffset>
          </wp:positionV>
          <wp:extent cx="609600" cy="609600"/>
          <wp:effectExtent l="0" t="0" r="0" b="0"/>
          <wp:wrapTight wrapText="bothSides">
            <wp:wrapPolygon edited="0">
              <wp:start x="0" y="0"/>
              <wp:lineTo x="0" y="20925"/>
              <wp:lineTo x="20925" y="20925"/>
              <wp:lineTo x="20925" y="0"/>
              <wp:lineTo x="0" y="0"/>
            </wp:wrapPolygon>
          </wp:wrapTight>
          <wp:docPr id="103" name="Picture 103"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ue_RGB_300dp-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BC5">
      <w:rPr>
        <w:rFonts w:ascii="Arial" w:hAnsi="Arial"/>
        <w:b/>
        <w:color w:val="032F78"/>
      </w:rPr>
      <w:t xml:space="preserve">    U.S. Department of Labor</w:t>
    </w:r>
    <w:r w:rsidRPr="00E34BC5">
      <w:rPr>
        <w:rFonts w:ascii="Arial" w:hAnsi="Arial"/>
        <w:b/>
        <w:color w:val="032F78"/>
      </w:rPr>
      <w:tab/>
    </w:r>
    <w:r w:rsidRPr="00E34BC5">
      <w:rPr>
        <w:rFonts w:ascii="Arial" w:hAnsi="Arial"/>
        <w:b/>
        <w:color w:val="032F78"/>
      </w:rPr>
      <w:tab/>
    </w:r>
    <w:r w:rsidRPr="00E34BC5">
      <w:rPr>
        <w:rFonts w:ascii="Arial" w:hAnsi="Arial"/>
        <w:color w:val="032F78"/>
        <w:sz w:val="18"/>
      </w:rPr>
      <w:t>Bureau of Labor Statistics</w:t>
    </w:r>
    <w:r w:rsidRPr="00E34BC5">
      <w:rPr>
        <w:rFonts w:ascii="Arial" w:hAnsi="Arial"/>
        <w:color w:val="032F78"/>
      </w:rPr>
      <w:t xml:space="preserve"> </w:t>
    </w:r>
  </w:p>
  <w:p w14:paraId="2B504B3D" w14:textId="77777777" w:rsidR="00AB73EB" w:rsidRPr="00E34BC5" w:rsidRDefault="00AB73EB" w:rsidP="00AB73EB">
    <w:pPr>
      <w:tabs>
        <w:tab w:val="center" w:pos="4320"/>
        <w:tab w:val="right" w:pos="8640"/>
      </w:tabs>
      <w:ind w:left="3960"/>
      <w:rPr>
        <w:rFonts w:ascii="Arial" w:hAnsi="Arial"/>
        <w:color w:val="032F78"/>
      </w:rPr>
    </w:pPr>
    <w:r w:rsidRPr="00E34BC5">
      <w:rPr>
        <w:rFonts w:ascii="Arial" w:hAnsi="Arial"/>
        <w:color w:val="032F78"/>
        <w:sz w:val="18"/>
      </w:rPr>
      <w:t>2 Massachusetts Ave., N.E.</w:t>
    </w:r>
  </w:p>
  <w:p w14:paraId="42631FED" w14:textId="77777777" w:rsidR="00AB73EB" w:rsidRPr="00AC5F0D" w:rsidRDefault="00AB73EB" w:rsidP="00AB73EB">
    <w:pPr>
      <w:tabs>
        <w:tab w:val="center" w:pos="4320"/>
        <w:tab w:val="right" w:pos="8640"/>
      </w:tabs>
      <w:ind w:left="3946"/>
      <w:rPr>
        <w:rFonts w:ascii="Arial" w:hAnsi="Arial"/>
        <w:color w:val="4F81BD"/>
      </w:rPr>
    </w:pPr>
    <w:r w:rsidRPr="00E34BC5">
      <w:rPr>
        <w:rFonts w:ascii="Arial" w:hAnsi="Arial"/>
        <w:color w:val="032F78"/>
        <w:sz w:val="18"/>
      </w:rPr>
      <w:t>Washington, D.C.  20212</w:t>
    </w:r>
  </w:p>
  <w:p w14:paraId="6FCCACD9" w14:textId="77777777" w:rsidR="00AB73EB" w:rsidRDefault="00AB73EB" w:rsidP="00AB73EB">
    <w:pPr>
      <w:pStyle w:val="Header"/>
    </w:pPr>
    <w:r w:rsidRPr="000F2244">
      <w:rPr>
        <w:rFonts w:ascii="Arial" w:hAnsi="Arial"/>
        <w:b/>
        <w:color w:val="0070C0"/>
      </w:rPr>
      <w:t xml:space="preserve"> </w:t>
    </w:r>
  </w:p>
  <w:p w14:paraId="1A0FF44D" w14:textId="77777777" w:rsidR="00AB73EB" w:rsidRDefault="00AB73EB" w:rsidP="00AB73EB">
    <w:pPr>
      <w:pStyle w:val="Header"/>
    </w:pPr>
  </w:p>
  <w:p w14:paraId="0679732F" w14:textId="77777777" w:rsidR="00876E16" w:rsidRPr="00AB73EB" w:rsidRDefault="00876E16" w:rsidP="00AB73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A759C" w14:textId="77777777" w:rsidR="004E0B0D" w:rsidRPr="00BA1D42" w:rsidRDefault="004E0B0D" w:rsidP="00BA1D42">
    <w:pPr>
      <w:pStyle w:val="Header"/>
      <w:jc w:val="right"/>
    </w:pPr>
    <w:r>
      <w:t>Attachment</w:t>
    </w:r>
    <w:r w:rsidR="000343C6">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01D92"/>
    <w:multiLevelType w:val="hybridMultilevel"/>
    <w:tmpl w:val="3DE2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E79C4"/>
    <w:multiLevelType w:val="hybridMultilevel"/>
    <w:tmpl w:val="63424F84"/>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6315E"/>
    <w:multiLevelType w:val="hybridMultilevel"/>
    <w:tmpl w:val="2A56A838"/>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F3DE3"/>
    <w:multiLevelType w:val="hybridMultilevel"/>
    <w:tmpl w:val="BF42F688"/>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4693E"/>
    <w:multiLevelType w:val="hybridMultilevel"/>
    <w:tmpl w:val="43F4444A"/>
    <w:lvl w:ilvl="0" w:tplc="38708CA6">
      <w:start w:val="1"/>
      <w:numFmt w:val="lowerLetter"/>
      <w:lvlText w:val="(%1)"/>
      <w:lvlJc w:val="left"/>
      <w:pPr>
        <w:tabs>
          <w:tab w:val="num" w:pos="720"/>
        </w:tabs>
        <w:ind w:left="720" w:hanging="360"/>
      </w:pPr>
      <w:rPr>
        <w:rFonts w:hint="default"/>
      </w:rPr>
    </w:lvl>
    <w:lvl w:ilvl="1" w:tplc="461859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E96885"/>
    <w:multiLevelType w:val="hybridMultilevel"/>
    <w:tmpl w:val="A7DE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D4CEC"/>
    <w:multiLevelType w:val="hybridMultilevel"/>
    <w:tmpl w:val="5CEE6974"/>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A3D51"/>
    <w:multiLevelType w:val="hybridMultilevel"/>
    <w:tmpl w:val="0C6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85CAF"/>
    <w:multiLevelType w:val="hybridMultilevel"/>
    <w:tmpl w:val="C2E08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466BF9"/>
    <w:multiLevelType w:val="hybridMultilevel"/>
    <w:tmpl w:val="58CAB19E"/>
    <w:lvl w:ilvl="0" w:tplc="CEE601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B48BC"/>
    <w:multiLevelType w:val="hybridMultilevel"/>
    <w:tmpl w:val="6A50D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E69D3"/>
    <w:multiLevelType w:val="hybridMultilevel"/>
    <w:tmpl w:val="404ABAB2"/>
    <w:lvl w:ilvl="0" w:tplc="CEE601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36653C"/>
    <w:multiLevelType w:val="hybridMultilevel"/>
    <w:tmpl w:val="D6B0A416"/>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C0E85"/>
    <w:multiLevelType w:val="singleLevel"/>
    <w:tmpl w:val="7728CD5C"/>
    <w:lvl w:ilvl="0">
      <w:start w:val="2"/>
      <w:numFmt w:val="decimal"/>
      <w:lvlText w:val="%1."/>
      <w:lvlJc w:val="left"/>
      <w:pPr>
        <w:tabs>
          <w:tab w:val="num" w:pos="720"/>
        </w:tabs>
        <w:ind w:left="720" w:hanging="360"/>
      </w:pPr>
      <w:rPr>
        <w:rFonts w:hint="default"/>
      </w:rPr>
    </w:lvl>
  </w:abstractNum>
  <w:abstractNum w:abstractNumId="14" w15:restartNumberingAfterBreak="0">
    <w:nsid w:val="618D19C8"/>
    <w:multiLevelType w:val="hybridMultilevel"/>
    <w:tmpl w:val="89B2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82136"/>
    <w:multiLevelType w:val="singleLevel"/>
    <w:tmpl w:val="79D8C15C"/>
    <w:lvl w:ilvl="0">
      <w:start w:val="1"/>
      <w:numFmt w:val="decimal"/>
      <w:lvlText w:val="%1."/>
      <w:lvlJc w:val="left"/>
      <w:pPr>
        <w:tabs>
          <w:tab w:val="num" w:pos="720"/>
        </w:tabs>
        <w:ind w:left="720" w:hanging="360"/>
      </w:pPr>
      <w:rPr>
        <w:rFonts w:hint="default"/>
      </w:rPr>
    </w:lvl>
  </w:abstractNum>
  <w:num w:numId="1">
    <w:abstractNumId w:val="3"/>
  </w:num>
  <w:num w:numId="2">
    <w:abstractNumId w:val="13"/>
  </w:num>
  <w:num w:numId="3">
    <w:abstractNumId w:val="15"/>
  </w:num>
  <w:num w:numId="4">
    <w:abstractNumId w:val="4"/>
  </w:num>
  <w:num w:numId="5">
    <w:abstractNumId w:val="11"/>
  </w:num>
  <w:num w:numId="6">
    <w:abstractNumId w:val="6"/>
  </w:num>
  <w:num w:numId="7">
    <w:abstractNumId w:val="1"/>
  </w:num>
  <w:num w:numId="8">
    <w:abstractNumId w:val="2"/>
  </w:num>
  <w:num w:numId="9">
    <w:abstractNumId w:val="9"/>
  </w:num>
  <w:num w:numId="10">
    <w:abstractNumId w:val="10"/>
  </w:num>
  <w:num w:numId="11">
    <w:abstractNumId w:val="8"/>
  </w:num>
  <w:num w:numId="12">
    <w:abstractNumId w:val="12"/>
  </w:num>
  <w:num w:numId="13">
    <w:abstractNumId w:val="0"/>
  </w:num>
  <w:num w:numId="14">
    <w:abstractNumId w:val="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5A"/>
    <w:rsid w:val="00003339"/>
    <w:rsid w:val="00004FAB"/>
    <w:rsid w:val="00010E2C"/>
    <w:rsid w:val="00014415"/>
    <w:rsid w:val="000156AA"/>
    <w:rsid w:val="00023D68"/>
    <w:rsid w:val="0002660F"/>
    <w:rsid w:val="000343C6"/>
    <w:rsid w:val="00036395"/>
    <w:rsid w:val="00037C04"/>
    <w:rsid w:val="00046D8C"/>
    <w:rsid w:val="00054D21"/>
    <w:rsid w:val="00055459"/>
    <w:rsid w:val="00061DA7"/>
    <w:rsid w:val="000704EA"/>
    <w:rsid w:val="000716C9"/>
    <w:rsid w:val="0007593F"/>
    <w:rsid w:val="00077B13"/>
    <w:rsid w:val="0008277D"/>
    <w:rsid w:val="000849A1"/>
    <w:rsid w:val="00087AB2"/>
    <w:rsid w:val="00091644"/>
    <w:rsid w:val="000B0A81"/>
    <w:rsid w:val="000B2D54"/>
    <w:rsid w:val="000C3A89"/>
    <w:rsid w:val="000C454D"/>
    <w:rsid w:val="000D000A"/>
    <w:rsid w:val="000D5C11"/>
    <w:rsid w:val="000E1C00"/>
    <w:rsid w:val="000E7832"/>
    <w:rsid w:val="000E7C9D"/>
    <w:rsid w:val="000F2E90"/>
    <w:rsid w:val="000F4691"/>
    <w:rsid w:val="000F67ED"/>
    <w:rsid w:val="00103D71"/>
    <w:rsid w:val="00104491"/>
    <w:rsid w:val="00113072"/>
    <w:rsid w:val="00121528"/>
    <w:rsid w:val="00121ABB"/>
    <w:rsid w:val="0012692B"/>
    <w:rsid w:val="0013573D"/>
    <w:rsid w:val="00145659"/>
    <w:rsid w:val="00150997"/>
    <w:rsid w:val="00151448"/>
    <w:rsid w:val="00154AE0"/>
    <w:rsid w:val="00156F3F"/>
    <w:rsid w:val="00162AA2"/>
    <w:rsid w:val="00164DA1"/>
    <w:rsid w:val="001656BF"/>
    <w:rsid w:val="001776D0"/>
    <w:rsid w:val="001820B1"/>
    <w:rsid w:val="001865C8"/>
    <w:rsid w:val="001968D9"/>
    <w:rsid w:val="001973F5"/>
    <w:rsid w:val="001A42D9"/>
    <w:rsid w:val="001B72E4"/>
    <w:rsid w:val="001B74B7"/>
    <w:rsid w:val="001B7E37"/>
    <w:rsid w:val="001C390B"/>
    <w:rsid w:val="001D1C5A"/>
    <w:rsid w:val="001D761A"/>
    <w:rsid w:val="001E6A4E"/>
    <w:rsid w:val="001F518B"/>
    <w:rsid w:val="001F56D9"/>
    <w:rsid w:val="00205B92"/>
    <w:rsid w:val="00207EC7"/>
    <w:rsid w:val="002118EE"/>
    <w:rsid w:val="00214214"/>
    <w:rsid w:val="002220B8"/>
    <w:rsid w:val="0023283B"/>
    <w:rsid w:val="00247BE4"/>
    <w:rsid w:val="00250935"/>
    <w:rsid w:val="002605C3"/>
    <w:rsid w:val="002623C5"/>
    <w:rsid w:val="00263A0A"/>
    <w:rsid w:val="002653DF"/>
    <w:rsid w:val="00275BC9"/>
    <w:rsid w:val="0028561C"/>
    <w:rsid w:val="00296096"/>
    <w:rsid w:val="002A43B4"/>
    <w:rsid w:val="002B11E5"/>
    <w:rsid w:val="002B1221"/>
    <w:rsid w:val="002B148A"/>
    <w:rsid w:val="002B6D44"/>
    <w:rsid w:val="002C6772"/>
    <w:rsid w:val="002C73B4"/>
    <w:rsid w:val="002D1513"/>
    <w:rsid w:val="002D1B0E"/>
    <w:rsid w:val="002D1E51"/>
    <w:rsid w:val="002E0EFF"/>
    <w:rsid w:val="002E7BB6"/>
    <w:rsid w:val="002F1CAF"/>
    <w:rsid w:val="002F4C86"/>
    <w:rsid w:val="00314DC7"/>
    <w:rsid w:val="00320892"/>
    <w:rsid w:val="00321DAE"/>
    <w:rsid w:val="00330420"/>
    <w:rsid w:val="0033351D"/>
    <w:rsid w:val="00341C2E"/>
    <w:rsid w:val="00343EFE"/>
    <w:rsid w:val="0035072D"/>
    <w:rsid w:val="00352C7E"/>
    <w:rsid w:val="00352DA8"/>
    <w:rsid w:val="00356F73"/>
    <w:rsid w:val="003576E4"/>
    <w:rsid w:val="00362B6E"/>
    <w:rsid w:val="00365AD2"/>
    <w:rsid w:val="0037010A"/>
    <w:rsid w:val="0037085E"/>
    <w:rsid w:val="003715AA"/>
    <w:rsid w:val="00372C4F"/>
    <w:rsid w:val="00397122"/>
    <w:rsid w:val="003A164D"/>
    <w:rsid w:val="003A5706"/>
    <w:rsid w:val="003B3B10"/>
    <w:rsid w:val="003B6AD0"/>
    <w:rsid w:val="003B6FD2"/>
    <w:rsid w:val="003B7104"/>
    <w:rsid w:val="003B7135"/>
    <w:rsid w:val="003D127B"/>
    <w:rsid w:val="003D295F"/>
    <w:rsid w:val="003D359C"/>
    <w:rsid w:val="003D5BB9"/>
    <w:rsid w:val="003D71CC"/>
    <w:rsid w:val="003D77D8"/>
    <w:rsid w:val="003E21B6"/>
    <w:rsid w:val="003E3119"/>
    <w:rsid w:val="003E3B29"/>
    <w:rsid w:val="003E6056"/>
    <w:rsid w:val="003F2915"/>
    <w:rsid w:val="00404F91"/>
    <w:rsid w:val="00407876"/>
    <w:rsid w:val="0041512D"/>
    <w:rsid w:val="004356A7"/>
    <w:rsid w:val="00451742"/>
    <w:rsid w:val="00454AFA"/>
    <w:rsid w:val="004569BE"/>
    <w:rsid w:val="004612A1"/>
    <w:rsid w:val="0046525A"/>
    <w:rsid w:val="00485147"/>
    <w:rsid w:val="00485728"/>
    <w:rsid w:val="004868C6"/>
    <w:rsid w:val="00492BDC"/>
    <w:rsid w:val="00495A0B"/>
    <w:rsid w:val="004A3D60"/>
    <w:rsid w:val="004B347D"/>
    <w:rsid w:val="004B3823"/>
    <w:rsid w:val="004C191E"/>
    <w:rsid w:val="004C683A"/>
    <w:rsid w:val="004D2CF1"/>
    <w:rsid w:val="004E0B0D"/>
    <w:rsid w:val="004E141D"/>
    <w:rsid w:val="004F1435"/>
    <w:rsid w:val="004F1F13"/>
    <w:rsid w:val="004F6D26"/>
    <w:rsid w:val="00500493"/>
    <w:rsid w:val="0050349E"/>
    <w:rsid w:val="00504257"/>
    <w:rsid w:val="005107D9"/>
    <w:rsid w:val="00512C26"/>
    <w:rsid w:val="005207AC"/>
    <w:rsid w:val="0052538E"/>
    <w:rsid w:val="00542427"/>
    <w:rsid w:val="005476B1"/>
    <w:rsid w:val="005766EC"/>
    <w:rsid w:val="00581DA5"/>
    <w:rsid w:val="0059592F"/>
    <w:rsid w:val="005A5B86"/>
    <w:rsid w:val="005A6519"/>
    <w:rsid w:val="005A77A7"/>
    <w:rsid w:val="005B1E29"/>
    <w:rsid w:val="005C1B91"/>
    <w:rsid w:val="005C5CBC"/>
    <w:rsid w:val="005C617A"/>
    <w:rsid w:val="005C75FC"/>
    <w:rsid w:val="005D21AA"/>
    <w:rsid w:val="005D3F32"/>
    <w:rsid w:val="005D7C36"/>
    <w:rsid w:val="005E0B97"/>
    <w:rsid w:val="005E4E2C"/>
    <w:rsid w:val="005E70CD"/>
    <w:rsid w:val="00607A1D"/>
    <w:rsid w:val="00612EB9"/>
    <w:rsid w:val="006150C1"/>
    <w:rsid w:val="00621A8A"/>
    <w:rsid w:val="006227E2"/>
    <w:rsid w:val="006453E4"/>
    <w:rsid w:val="00650872"/>
    <w:rsid w:val="00657793"/>
    <w:rsid w:val="0066066A"/>
    <w:rsid w:val="00662A2E"/>
    <w:rsid w:val="006663F1"/>
    <w:rsid w:val="00666FFD"/>
    <w:rsid w:val="0068723D"/>
    <w:rsid w:val="006930EC"/>
    <w:rsid w:val="00694D4F"/>
    <w:rsid w:val="006B0DB4"/>
    <w:rsid w:val="006B0FE7"/>
    <w:rsid w:val="006B276A"/>
    <w:rsid w:val="006C33E7"/>
    <w:rsid w:val="006C6B83"/>
    <w:rsid w:val="006E5180"/>
    <w:rsid w:val="006F42B6"/>
    <w:rsid w:val="006F4732"/>
    <w:rsid w:val="00707543"/>
    <w:rsid w:val="007146CA"/>
    <w:rsid w:val="0073238C"/>
    <w:rsid w:val="00737A20"/>
    <w:rsid w:val="007408B2"/>
    <w:rsid w:val="00741FC2"/>
    <w:rsid w:val="00747EA1"/>
    <w:rsid w:val="00751288"/>
    <w:rsid w:val="00755010"/>
    <w:rsid w:val="007558C0"/>
    <w:rsid w:val="00755BC1"/>
    <w:rsid w:val="00756CE0"/>
    <w:rsid w:val="007720BF"/>
    <w:rsid w:val="00775866"/>
    <w:rsid w:val="007854C9"/>
    <w:rsid w:val="0079733E"/>
    <w:rsid w:val="007A1892"/>
    <w:rsid w:val="007B283C"/>
    <w:rsid w:val="007B2D9F"/>
    <w:rsid w:val="007B3089"/>
    <w:rsid w:val="007B41C4"/>
    <w:rsid w:val="007B69CF"/>
    <w:rsid w:val="007B7404"/>
    <w:rsid w:val="007C30F7"/>
    <w:rsid w:val="007D3B74"/>
    <w:rsid w:val="007E3CE4"/>
    <w:rsid w:val="007E719A"/>
    <w:rsid w:val="008029B8"/>
    <w:rsid w:val="008043CB"/>
    <w:rsid w:val="00804BEE"/>
    <w:rsid w:val="00810C2F"/>
    <w:rsid w:val="00825688"/>
    <w:rsid w:val="00842D4B"/>
    <w:rsid w:val="00852250"/>
    <w:rsid w:val="00871E8D"/>
    <w:rsid w:val="008768AD"/>
    <w:rsid w:val="00876E16"/>
    <w:rsid w:val="008873A7"/>
    <w:rsid w:val="008A46F9"/>
    <w:rsid w:val="008B1459"/>
    <w:rsid w:val="008B2F59"/>
    <w:rsid w:val="008B4DDE"/>
    <w:rsid w:val="008C40A4"/>
    <w:rsid w:val="008C4A5E"/>
    <w:rsid w:val="008C5DC4"/>
    <w:rsid w:val="008D54F8"/>
    <w:rsid w:val="008F685A"/>
    <w:rsid w:val="008F70FA"/>
    <w:rsid w:val="00907D20"/>
    <w:rsid w:val="00910A7B"/>
    <w:rsid w:val="00911D35"/>
    <w:rsid w:val="00931C0B"/>
    <w:rsid w:val="00935343"/>
    <w:rsid w:val="00937E91"/>
    <w:rsid w:val="00941FB2"/>
    <w:rsid w:val="0095093E"/>
    <w:rsid w:val="009639CC"/>
    <w:rsid w:val="00966AAE"/>
    <w:rsid w:val="00970D5A"/>
    <w:rsid w:val="00974DF8"/>
    <w:rsid w:val="00975CBF"/>
    <w:rsid w:val="009823DF"/>
    <w:rsid w:val="0099479C"/>
    <w:rsid w:val="0099636F"/>
    <w:rsid w:val="009A19AF"/>
    <w:rsid w:val="009A2C0B"/>
    <w:rsid w:val="009A3078"/>
    <w:rsid w:val="009A6E69"/>
    <w:rsid w:val="009B3404"/>
    <w:rsid w:val="009C1E07"/>
    <w:rsid w:val="009D7D24"/>
    <w:rsid w:val="009E2A15"/>
    <w:rsid w:val="009F1109"/>
    <w:rsid w:val="009F236F"/>
    <w:rsid w:val="00A024FC"/>
    <w:rsid w:val="00A14AC0"/>
    <w:rsid w:val="00A225B8"/>
    <w:rsid w:val="00A31435"/>
    <w:rsid w:val="00A335B2"/>
    <w:rsid w:val="00A37DB6"/>
    <w:rsid w:val="00A521C9"/>
    <w:rsid w:val="00A55E12"/>
    <w:rsid w:val="00A660CE"/>
    <w:rsid w:val="00A83CD2"/>
    <w:rsid w:val="00A907BA"/>
    <w:rsid w:val="00AA5324"/>
    <w:rsid w:val="00AA5479"/>
    <w:rsid w:val="00AA5ABB"/>
    <w:rsid w:val="00AA6F17"/>
    <w:rsid w:val="00AB5B02"/>
    <w:rsid w:val="00AB73EB"/>
    <w:rsid w:val="00AC2709"/>
    <w:rsid w:val="00AC3630"/>
    <w:rsid w:val="00AC3DF5"/>
    <w:rsid w:val="00AC6513"/>
    <w:rsid w:val="00AC7065"/>
    <w:rsid w:val="00AD6756"/>
    <w:rsid w:val="00AE6123"/>
    <w:rsid w:val="00AF120C"/>
    <w:rsid w:val="00AF3BA7"/>
    <w:rsid w:val="00AF682C"/>
    <w:rsid w:val="00B044B3"/>
    <w:rsid w:val="00B05D2E"/>
    <w:rsid w:val="00B05DB8"/>
    <w:rsid w:val="00B1546B"/>
    <w:rsid w:val="00B17F9D"/>
    <w:rsid w:val="00B23DA4"/>
    <w:rsid w:val="00B248D1"/>
    <w:rsid w:val="00B2571A"/>
    <w:rsid w:val="00B30474"/>
    <w:rsid w:val="00B3779F"/>
    <w:rsid w:val="00B50620"/>
    <w:rsid w:val="00B55144"/>
    <w:rsid w:val="00B80E0C"/>
    <w:rsid w:val="00B811CB"/>
    <w:rsid w:val="00B92795"/>
    <w:rsid w:val="00B92815"/>
    <w:rsid w:val="00B92A47"/>
    <w:rsid w:val="00B97237"/>
    <w:rsid w:val="00BA1D42"/>
    <w:rsid w:val="00BB2445"/>
    <w:rsid w:val="00BB4B91"/>
    <w:rsid w:val="00BC4B40"/>
    <w:rsid w:val="00BE2987"/>
    <w:rsid w:val="00BE2F82"/>
    <w:rsid w:val="00BE7249"/>
    <w:rsid w:val="00BF29FB"/>
    <w:rsid w:val="00BF61F2"/>
    <w:rsid w:val="00C13457"/>
    <w:rsid w:val="00C14B29"/>
    <w:rsid w:val="00C1714E"/>
    <w:rsid w:val="00C20C51"/>
    <w:rsid w:val="00C24137"/>
    <w:rsid w:val="00C27EC3"/>
    <w:rsid w:val="00C322ED"/>
    <w:rsid w:val="00C4018B"/>
    <w:rsid w:val="00C40EC0"/>
    <w:rsid w:val="00C442B8"/>
    <w:rsid w:val="00C50C60"/>
    <w:rsid w:val="00C5125C"/>
    <w:rsid w:val="00C51DF3"/>
    <w:rsid w:val="00C55A28"/>
    <w:rsid w:val="00C6298A"/>
    <w:rsid w:val="00C6385A"/>
    <w:rsid w:val="00C64A0A"/>
    <w:rsid w:val="00C741E1"/>
    <w:rsid w:val="00C75BE2"/>
    <w:rsid w:val="00C835C6"/>
    <w:rsid w:val="00C84ECE"/>
    <w:rsid w:val="00CA3E6A"/>
    <w:rsid w:val="00CB13F0"/>
    <w:rsid w:val="00CB6354"/>
    <w:rsid w:val="00CB794E"/>
    <w:rsid w:val="00CD39A1"/>
    <w:rsid w:val="00CD4402"/>
    <w:rsid w:val="00CD6D8A"/>
    <w:rsid w:val="00CE70FB"/>
    <w:rsid w:val="00CF0BBE"/>
    <w:rsid w:val="00CF27AB"/>
    <w:rsid w:val="00CF5529"/>
    <w:rsid w:val="00D00CEE"/>
    <w:rsid w:val="00D06F0C"/>
    <w:rsid w:val="00D13F35"/>
    <w:rsid w:val="00D15ECD"/>
    <w:rsid w:val="00D21C9F"/>
    <w:rsid w:val="00D32871"/>
    <w:rsid w:val="00D346A4"/>
    <w:rsid w:val="00D4062F"/>
    <w:rsid w:val="00D420AF"/>
    <w:rsid w:val="00D466A7"/>
    <w:rsid w:val="00D46BBC"/>
    <w:rsid w:val="00D47192"/>
    <w:rsid w:val="00D514C4"/>
    <w:rsid w:val="00D6016E"/>
    <w:rsid w:val="00D61D62"/>
    <w:rsid w:val="00D7105C"/>
    <w:rsid w:val="00D74013"/>
    <w:rsid w:val="00D83528"/>
    <w:rsid w:val="00D86500"/>
    <w:rsid w:val="00D90B81"/>
    <w:rsid w:val="00D9663E"/>
    <w:rsid w:val="00DB7A52"/>
    <w:rsid w:val="00DC4A99"/>
    <w:rsid w:val="00DC6BC7"/>
    <w:rsid w:val="00DD41E2"/>
    <w:rsid w:val="00DE1C88"/>
    <w:rsid w:val="00DE71FD"/>
    <w:rsid w:val="00DF0C52"/>
    <w:rsid w:val="00E042FD"/>
    <w:rsid w:val="00E20BE2"/>
    <w:rsid w:val="00E310EC"/>
    <w:rsid w:val="00E43C4C"/>
    <w:rsid w:val="00E4779F"/>
    <w:rsid w:val="00E53732"/>
    <w:rsid w:val="00E863EC"/>
    <w:rsid w:val="00E8698D"/>
    <w:rsid w:val="00E936E8"/>
    <w:rsid w:val="00E962FA"/>
    <w:rsid w:val="00EA0131"/>
    <w:rsid w:val="00EC744A"/>
    <w:rsid w:val="00ED2231"/>
    <w:rsid w:val="00EE7DD6"/>
    <w:rsid w:val="00EF0ECE"/>
    <w:rsid w:val="00EF6E95"/>
    <w:rsid w:val="00F017FB"/>
    <w:rsid w:val="00F0221C"/>
    <w:rsid w:val="00F069C5"/>
    <w:rsid w:val="00F10253"/>
    <w:rsid w:val="00F2690E"/>
    <w:rsid w:val="00F35731"/>
    <w:rsid w:val="00F4246B"/>
    <w:rsid w:val="00F42757"/>
    <w:rsid w:val="00F453BD"/>
    <w:rsid w:val="00F5158D"/>
    <w:rsid w:val="00F53303"/>
    <w:rsid w:val="00F5553C"/>
    <w:rsid w:val="00F643FB"/>
    <w:rsid w:val="00F71D89"/>
    <w:rsid w:val="00F74004"/>
    <w:rsid w:val="00F7581A"/>
    <w:rsid w:val="00F761C4"/>
    <w:rsid w:val="00F77D7D"/>
    <w:rsid w:val="00F8354D"/>
    <w:rsid w:val="00F85578"/>
    <w:rsid w:val="00F91A56"/>
    <w:rsid w:val="00F971AC"/>
    <w:rsid w:val="00FB188C"/>
    <w:rsid w:val="00FC4D7D"/>
    <w:rsid w:val="00FC6EA2"/>
    <w:rsid w:val="00FE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485D6A"/>
  <w15:chartTrackingRefBased/>
  <w15:docId w15:val="{AC19CF73-6292-44E4-AC89-FBDD6615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27AB"/>
    <w:pPr>
      <w:keepNext/>
      <w:spacing w:line="240" w:lineRule="exact"/>
      <w:outlineLvl w:val="0"/>
    </w:pPr>
    <w:rPr>
      <w:rFonts w:ascii="Courier" w:hAnsi="Courie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8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61C4"/>
    <w:rPr>
      <w:sz w:val="16"/>
      <w:szCs w:val="16"/>
    </w:rPr>
  </w:style>
  <w:style w:type="paragraph" w:styleId="CommentText">
    <w:name w:val="annotation text"/>
    <w:basedOn w:val="Normal"/>
    <w:link w:val="CommentTextChar"/>
    <w:uiPriority w:val="99"/>
    <w:semiHidden/>
    <w:unhideWhenUsed/>
    <w:rsid w:val="00F761C4"/>
    <w:rPr>
      <w:sz w:val="20"/>
      <w:szCs w:val="20"/>
    </w:rPr>
  </w:style>
  <w:style w:type="character" w:customStyle="1" w:styleId="CommentTextChar">
    <w:name w:val="Comment Text Char"/>
    <w:basedOn w:val="DefaultParagraphFont"/>
    <w:link w:val="CommentText"/>
    <w:uiPriority w:val="99"/>
    <w:semiHidden/>
    <w:rsid w:val="00F761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1C4"/>
    <w:rPr>
      <w:b/>
      <w:bCs/>
    </w:rPr>
  </w:style>
  <w:style w:type="character" w:customStyle="1" w:styleId="CommentSubjectChar">
    <w:name w:val="Comment Subject Char"/>
    <w:basedOn w:val="CommentTextChar"/>
    <w:link w:val="CommentSubject"/>
    <w:uiPriority w:val="99"/>
    <w:semiHidden/>
    <w:rsid w:val="00F761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6E16"/>
    <w:pPr>
      <w:tabs>
        <w:tab w:val="center" w:pos="4680"/>
        <w:tab w:val="right" w:pos="9360"/>
      </w:tabs>
    </w:pPr>
  </w:style>
  <w:style w:type="character" w:customStyle="1" w:styleId="HeaderChar">
    <w:name w:val="Header Char"/>
    <w:basedOn w:val="DefaultParagraphFont"/>
    <w:link w:val="Header"/>
    <w:uiPriority w:val="99"/>
    <w:rsid w:val="00876E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6E16"/>
    <w:pPr>
      <w:tabs>
        <w:tab w:val="center" w:pos="4680"/>
        <w:tab w:val="right" w:pos="9360"/>
      </w:tabs>
    </w:pPr>
  </w:style>
  <w:style w:type="character" w:customStyle="1" w:styleId="FooterChar">
    <w:name w:val="Footer Char"/>
    <w:basedOn w:val="DefaultParagraphFont"/>
    <w:link w:val="Footer"/>
    <w:uiPriority w:val="99"/>
    <w:rsid w:val="00876E16"/>
    <w:rPr>
      <w:rFonts w:ascii="Times New Roman" w:eastAsia="Times New Roman" w:hAnsi="Times New Roman" w:cs="Times New Roman"/>
      <w:sz w:val="24"/>
      <w:szCs w:val="24"/>
    </w:rPr>
  </w:style>
  <w:style w:type="character" w:styleId="PageNumber">
    <w:name w:val="page number"/>
    <w:basedOn w:val="DefaultParagraphFont"/>
    <w:rsid w:val="00876E16"/>
  </w:style>
  <w:style w:type="character" w:customStyle="1" w:styleId="Heading1Char">
    <w:name w:val="Heading 1 Char"/>
    <w:basedOn w:val="DefaultParagraphFont"/>
    <w:link w:val="Heading1"/>
    <w:rsid w:val="00CF27AB"/>
    <w:rPr>
      <w:rFonts w:ascii="Courier" w:eastAsia="Times New Roman" w:hAnsi="Courier" w:cs="Times New Roman"/>
      <w:color w:val="000000"/>
      <w:sz w:val="24"/>
      <w:szCs w:val="20"/>
    </w:rPr>
  </w:style>
  <w:style w:type="paragraph" w:styleId="BodyText">
    <w:name w:val="Body Text"/>
    <w:basedOn w:val="Normal"/>
    <w:link w:val="BodyTextChar"/>
    <w:rsid w:val="00CF27AB"/>
    <w:rPr>
      <w:rFonts w:ascii="Courier" w:hAnsi="Courier"/>
      <w:szCs w:val="20"/>
    </w:rPr>
  </w:style>
  <w:style w:type="character" w:customStyle="1" w:styleId="BodyTextChar">
    <w:name w:val="Body Text Char"/>
    <w:basedOn w:val="DefaultParagraphFont"/>
    <w:link w:val="BodyText"/>
    <w:rsid w:val="00CF27AB"/>
    <w:rPr>
      <w:rFonts w:ascii="Courier" w:eastAsia="Times New Roman" w:hAnsi="Courier" w:cs="Times New Roman"/>
      <w:sz w:val="24"/>
      <w:szCs w:val="20"/>
    </w:rPr>
  </w:style>
  <w:style w:type="paragraph" w:styleId="BodyText2">
    <w:name w:val="Body Text 2"/>
    <w:basedOn w:val="Normal"/>
    <w:link w:val="BodyText2Char"/>
    <w:rsid w:val="00CF27AB"/>
    <w:rPr>
      <w:rFonts w:ascii="Courier" w:hAnsi="Courier"/>
      <w:color w:val="000000"/>
      <w:szCs w:val="20"/>
    </w:rPr>
  </w:style>
  <w:style w:type="character" w:customStyle="1" w:styleId="BodyText2Char">
    <w:name w:val="Body Text 2 Char"/>
    <w:basedOn w:val="DefaultParagraphFont"/>
    <w:link w:val="BodyText2"/>
    <w:rsid w:val="00CF27AB"/>
    <w:rPr>
      <w:rFonts w:ascii="Courier" w:eastAsia="Times New Roman" w:hAnsi="Courier" w:cs="Times New Roman"/>
      <w:color w:val="000000"/>
      <w:sz w:val="24"/>
      <w:szCs w:val="20"/>
    </w:rPr>
  </w:style>
  <w:style w:type="paragraph" w:styleId="BodyText3">
    <w:name w:val="Body Text 3"/>
    <w:basedOn w:val="Normal"/>
    <w:link w:val="BodyText3Char"/>
    <w:rsid w:val="00CF27AB"/>
    <w:rPr>
      <w:color w:val="0000FF"/>
      <w:szCs w:val="20"/>
    </w:rPr>
  </w:style>
  <w:style w:type="character" w:customStyle="1" w:styleId="BodyText3Char">
    <w:name w:val="Body Text 3 Char"/>
    <w:basedOn w:val="DefaultParagraphFont"/>
    <w:link w:val="BodyText3"/>
    <w:rsid w:val="00CF27AB"/>
    <w:rPr>
      <w:rFonts w:ascii="Times New Roman" w:eastAsia="Times New Roman" w:hAnsi="Times New Roman" w:cs="Times New Roman"/>
      <w:color w:val="0000FF"/>
      <w:sz w:val="24"/>
      <w:szCs w:val="20"/>
    </w:rPr>
  </w:style>
  <w:style w:type="paragraph" w:styleId="BodyTextIndent">
    <w:name w:val="Body Text Indent"/>
    <w:basedOn w:val="Normal"/>
    <w:link w:val="BodyTextIndentChar"/>
    <w:rsid w:val="00CF27AB"/>
    <w:pPr>
      <w:tabs>
        <w:tab w:val="left" w:pos="720"/>
      </w:tabs>
      <w:ind w:left="1080" w:hanging="1296"/>
    </w:pPr>
    <w:rPr>
      <w:szCs w:val="20"/>
    </w:rPr>
  </w:style>
  <w:style w:type="character" w:customStyle="1" w:styleId="BodyTextIndentChar">
    <w:name w:val="Body Text Indent Char"/>
    <w:basedOn w:val="DefaultParagraphFont"/>
    <w:link w:val="BodyTextIndent"/>
    <w:rsid w:val="00CF27AB"/>
    <w:rPr>
      <w:rFonts w:ascii="Times New Roman" w:eastAsia="Times New Roman" w:hAnsi="Times New Roman" w:cs="Times New Roman"/>
      <w:sz w:val="24"/>
      <w:szCs w:val="20"/>
    </w:rPr>
  </w:style>
  <w:style w:type="paragraph" w:styleId="ListParagraph">
    <w:name w:val="List Paragraph"/>
    <w:basedOn w:val="Normal"/>
    <w:uiPriority w:val="34"/>
    <w:qFormat/>
    <w:rsid w:val="00CF27AB"/>
    <w:pPr>
      <w:ind w:left="720"/>
      <w:contextualSpacing/>
    </w:pPr>
    <w:rPr>
      <w:sz w:val="20"/>
      <w:szCs w:val="20"/>
    </w:rPr>
  </w:style>
  <w:style w:type="table" w:styleId="TableGrid">
    <w:name w:val="Table Grid"/>
    <w:basedOn w:val="TableNormal"/>
    <w:uiPriority w:val="39"/>
    <w:rsid w:val="0064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529"/>
    <w:rPr>
      <w:color w:val="0563C1" w:themeColor="hyperlink"/>
      <w:u w:val="single"/>
    </w:rPr>
  </w:style>
  <w:style w:type="character" w:styleId="FollowedHyperlink">
    <w:name w:val="FollowedHyperlink"/>
    <w:basedOn w:val="DefaultParagraphFont"/>
    <w:uiPriority w:val="99"/>
    <w:semiHidden/>
    <w:unhideWhenUsed/>
    <w:rsid w:val="008B1459"/>
    <w:rPr>
      <w:color w:val="954F72" w:themeColor="followedHyperlink"/>
      <w:u w:val="single"/>
    </w:rPr>
  </w:style>
  <w:style w:type="paragraph" w:styleId="Revision">
    <w:name w:val="Revision"/>
    <w:hidden/>
    <w:uiPriority w:val="99"/>
    <w:semiHidden/>
    <w:rsid w:val="007408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35706">
      <w:bodyDiv w:val="1"/>
      <w:marLeft w:val="0"/>
      <w:marRight w:val="0"/>
      <w:marTop w:val="0"/>
      <w:marBottom w:val="0"/>
      <w:divBdr>
        <w:top w:val="none" w:sz="0" w:space="0" w:color="auto"/>
        <w:left w:val="none" w:sz="0" w:space="0" w:color="auto"/>
        <w:bottom w:val="none" w:sz="0" w:space="0" w:color="auto"/>
        <w:right w:val="none" w:sz="0" w:space="0" w:color="auto"/>
      </w:divBdr>
      <w:divsChild>
        <w:div w:id="53111547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graphies/mapping-files/time-series/geo/tiger-line-file.201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3D52-1400-4DEE-AA3A-D2E3973B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sylva_w</dc:creator>
  <cp:keywords/>
  <dc:description/>
  <cp:lastModifiedBy>Maloney, Thomas - BLS</cp:lastModifiedBy>
  <cp:revision>5</cp:revision>
  <cp:lastPrinted>2018-07-20T18:26:00Z</cp:lastPrinted>
  <dcterms:created xsi:type="dcterms:W3CDTF">2020-07-29T02:20:00Z</dcterms:created>
  <dcterms:modified xsi:type="dcterms:W3CDTF">2020-08-03T21:11:00Z</dcterms:modified>
</cp:coreProperties>
</file>