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06B" w:rsidRPr="002A206B" w:rsidP="002A206B" w14:paraId="215C940C" w14:textId="77777777">
      <w:pPr>
        <w:widowControl/>
        <w:jc w:val="center"/>
        <w:rPr>
          <w:rFonts w:ascii="Times New Roman" w:eastAsia="SimSun" w:hAnsi="Times New Roman"/>
          <w:b/>
          <w:bCs/>
          <w:snapToGrid/>
          <w:lang w:eastAsia="zh-CN"/>
        </w:rPr>
      </w:pPr>
      <w:bookmarkStart w:id="0" w:name="_Hlk75531549"/>
      <w:r w:rsidRPr="002A206B">
        <w:rPr>
          <w:rFonts w:ascii="Times New Roman" w:eastAsia="SimSun" w:hAnsi="Times New Roman"/>
          <w:b/>
          <w:bCs/>
          <w:snapToGrid/>
          <w:lang w:eastAsia="zh-CN"/>
        </w:rPr>
        <w:t>Supporting Statement for Form SSA-1724</w:t>
      </w:r>
      <w:bookmarkEnd w:id="0"/>
    </w:p>
    <w:p w:rsidR="002A206B" w:rsidRPr="002A206B" w:rsidP="002A206B" w14:paraId="77A863D4" w14:textId="77777777">
      <w:pPr>
        <w:widowControl/>
        <w:jc w:val="center"/>
        <w:rPr>
          <w:rFonts w:ascii="Times New Roman" w:eastAsia="SimSun" w:hAnsi="Times New Roman"/>
          <w:b/>
          <w:bCs/>
          <w:snapToGrid/>
          <w:lang w:eastAsia="zh-CN"/>
        </w:rPr>
      </w:pPr>
      <w:bookmarkStart w:id="1" w:name="_Hlk75531555"/>
      <w:r w:rsidRPr="002A206B">
        <w:rPr>
          <w:rFonts w:ascii="Times New Roman" w:eastAsia="SimSun" w:hAnsi="Times New Roman"/>
          <w:b/>
          <w:bCs/>
          <w:snapToGrid/>
          <w:lang w:eastAsia="zh-CN"/>
        </w:rPr>
        <w:t xml:space="preserve">Claim for Amounts Due </w:t>
      </w:r>
      <w:r w:rsidRPr="002A206B">
        <w:rPr>
          <w:rFonts w:ascii="Times New Roman" w:eastAsia="SimSun" w:hAnsi="Times New Roman"/>
          <w:b/>
          <w:bCs/>
          <w:snapToGrid/>
          <w:lang w:eastAsia="zh-CN"/>
        </w:rPr>
        <w:t>In</w:t>
      </w:r>
      <w:r w:rsidRPr="002A206B">
        <w:rPr>
          <w:rFonts w:ascii="Times New Roman" w:eastAsia="SimSun" w:hAnsi="Times New Roman"/>
          <w:b/>
          <w:bCs/>
          <w:snapToGrid/>
          <w:lang w:eastAsia="zh-CN"/>
        </w:rPr>
        <w:t xml:space="preserve"> The Case of a Deceased Social Security Recipient </w:t>
      </w:r>
      <w:bookmarkEnd w:id="1"/>
    </w:p>
    <w:p w:rsidR="002A206B" w:rsidRPr="002A206B" w:rsidP="002A206B" w14:paraId="120AAEB2" w14:textId="77777777">
      <w:pPr>
        <w:widowControl/>
        <w:jc w:val="center"/>
        <w:rPr>
          <w:rFonts w:ascii="Times New Roman" w:eastAsia="SimSun" w:hAnsi="Times New Roman"/>
          <w:b/>
          <w:bCs/>
          <w:snapToGrid/>
          <w:lang w:eastAsia="zh-CN"/>
        </w:rPr>
      </w:pPr>
      <w:bookmarkStart w:id="2" w:name="_Hlk75531565"/>
      <w:r w:rsidRPr="002A206B">
        <w:rPr>
          <w:rFonts w:ascii="Times New Roman" w:eastAsia="SimSun" w:hAnsi="Times New Roman"/>
          <w:b/>
          <w:bCs/>
          <w:snapToGrid/>
          <w:lang w:eastAsia="zh-CN"/>
        </w:rPr>
        <w:t>20 CFR 404.503(b)</w:t>
      </w:r>
      <w:bookmarkEnd w:id="2"/>
    </w:p>
    <w:p w:rsidR="002A206B" w:rsidRPr="002A206B" w:rsidP="007074C5" w14:paraId="3EDCA979" w14:textId="77777777">
      <w:pPr>
        <w:widowControl/>
        <w:ind w:left="2880"/>
        <w:rPr>
          <w:rFonts w:ascii="Times New Roman" w:eastAsia="SimSun" w:hAnsi="Times New Roman"/>
          <w:b/>
          <w:bCs/>
          <w:snapToGrid/>
          <w:lang w:eastAsia="zh-CN"/>
        </w:rPr>
      </w:pPr>
      <w:r>
        <w:rPr>
          <w:rFonts w:ascii="Times New Roman" w:eastAsia="SimSun" w:hAnsi="Times New Roman"/>
          <w:b/>
          <w:bCs/>
          <w:snapToGrid/>
          <w:lang w:eastAsia="zh-CN"/>
        </w:rPr>
        <w:t xml:space="preserve">       </w:t>
      </w:r>
      <w:r w:rsidRPr="002A206B">
        <w:rPr>
          <w:rFonts w:ascii="Times New Roman" w:eastAsia="SimSun" w:hAnsi="Times New Roman"/>
          <w:b/>
          <w:bCs/>
          <w:snapToGrid/>
          <w:lang w:eastAsia="zh-CN"/>
        </w:rPr>
        <w:t>OMB No. 0960-0101</w:t>
      </w:r>
    </w:p>
    <w:p w:rsidR="00A45D82" w:rsidRPr="00BC7F42" w:rsidP="00A45D82" w14:paraId="67B1BAEE" w14:textId="77777777">
      <w:pPr>
        <w:pStyle w:val="Header"/>
        <w:tabs>
          <w:tab w:val="clear" w:pos="4320"/>
          <w:tab w:val="clear" w:pos="8640"/>
        </w:tabs>
        <w:rPr>
          <w:rFonts w:ascii="Times New Roman" w:hAnsi="Times New Roman"/>
        </w:rPr>
      </w:pPr>
    </w:p>
    <w:p w:rsidR="00A45D82" w:rsidRPr="002321B0" w:rsidP="00A45D82" w14:paraId="285D1E9E"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76C6B4B" w14:textId="77777777">
      <w:pPr>
        <w:pStyle w:val="Header"/>
        <w:tabs>
          <w:tab w:val="clear" w:pos="4320"/>
          <w:tab w:val="clear" w:pos="8640"/>
        </w:tabs>
        <w:rPr>
          <w:rFonts w:ascii="Times New Roman" w:hAnsi="Times New Roman"/>
        </w:rPr>
      </w:pPr>
    </w:p>
    <w:p w:rsidR="002321B0" w:rsidP="00C11CFE" w14:paraId="355CD232"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B67C50" w:rsidP="00DB21F2" w14:paraId="44F8999C" w14:textId="142489D5">
      <w:pPr>
        <w:ind w:left="720"/>
        <w:rPr>
          <w:rFonts w:ascii="Times New Roman" w:hAnsi="Times New Roman"/>
        </w:rPr>
      </w:pPr>
      <w:r w:rsidRPr="000D39C7">
        <w:rPr>
          <w:rFonts w:ascii="Times New Roman" w:hAnsi="Times New Roman"/>
        </w:rPr>
        <w:t xml:space="preserve">Section </w:t>
      </w:r>
      <w:r w:rsidRPr="00D52E0C">
        <w:rPr>
          <w:rFonts w:ascii="Times New Roman" w:hAnsi="Times New Roman"/>
          <w:i/>
          <w:iCs/>
        </w:rPr>
        <w:t>204(d)</w:t>
      </w:r>
      <w:r w:rsidRPr="000D39C7">
        <w:rPr>
          <w:rFonts w:ascii="Times New Roman" w:hAnsi="Times New Roman"/>
        </w:rPr>
        <w:t xml:space="preserve"> of the </w:t>
      </w:r>
      <w:r w:rsidRPr="00D52E0C">
        <w:rPr>
          <w:rFonts w:ascii="Times New Roman" w:hAnsi="Times New Roman"/>
          <w:i/>
          <w:iCs/>
        </w:rPr>
        <w:t>Social Security Act (Act)</w:t>
      </w:r>
      <w:r w:rsidRPr="000D39C7">
        <w:rPr>
          <w:rFonts w:ascii="Times New Roman" w:hAnsi="Times New Roman"/>
        </w:rPr>
        <w:t xml:space="preserve"> provides that if an individual dies before payment under Title II </w:t>
      </w:r>
      <w:r w:rsidR="00C11CFE">
        <w:rPr>
          <w:rFonts w:ascii="Times New Roman" w:hAnsi="Times New Roman"/>
        </w:rPr>
        <w:t xml:space="preserve">(such as old age, survivors, or disability insurance benefits) </w:t>
      </w:r>
      <w:r w:rsidRPr="000D39C7">
        <w:rPr>
          <w:rFonts w:ascii="Times New Roman" w:hAnsi="Times New Roman"/>
        </w:rPr>
        <w:t xml:space="preserve">is complete, the Social Security Administration (SSA) will pay the amount due (including the amount of any check not negotiated) to </w:t>
      </w:r>
      <w:r w:rsidR="00D52E0C">
        <w:rPr>
          <w:rFonts w:ascii="Times New Roman" w:hAnsi="Times New Roman"/>
        </w:rPr>
        <w:t xml:space="preserve">individuals </w:t>
      </w:r>
      <w:r w:rsidRPr="000D39C7">
        <w:rPr>
          <w:rFonts w:ascii="Times New Roman" w:hAnsi="Times New Roman"/>
        </w:rPr>
        <w:t>mee</w:t>
      </w:r>
      <w:r w:rsidR="00AA4CAD">
        <w:rPr>
          <w:rFonts w:ascii="Times New Roman" w:hAnsi="Times New Roman"/>
        </w:rPr>
        <w:t xml:space="preserve">ting specified qualifications. </w:t>
      </w:r>
      <w:r w:rsidR="00D52E0C">
        <w:rPr>
          <w:rFonts w:ascii="Times New Roman" w:hAnsi="Times New Roman"/>
        </w:rPr>
        <w:t xml:space="preserve"> </w:t>
      </w:r>
      <w:r w:rsidRPr="000D39C7">
        <w:rPr>
          <w:rFonts w:ascii="Times New Roman" w:hAnsi="Times New Roman"/>
        </w:rPr>
        <w:t xml:space="preserve">Section </w:t>
      </w:r>
      <w:r w:rsidRPr="00D52E0C">
        <w:rPr>
          <w:rFonts w:ascii="Times New Roman" w:hAnsi="Times New Roman"/>
          <w:i/>
          <w:iCs/>
        </w:rPr>
        <w:t>20 CFR 404.503(b)</w:t>
      </w:r>
      <w:r w:rsidRPr="000D39C7">
        <w:rPr>
          <w:rFonts w:ascii="Times New Roman" w:hAnsi="Times New Roman"/>
        </w:rPr>
        <w:t xml:space="preserve"> of the </w:t>
      </w:r>
      <w:r w:rsidRPr="00D52E0C">
        <w:rPr>
          <w:rFonts w:ascii="Times New Roman" w:hAnsi="Times New Roman"/>
          <w:i/>
          <w:iCs/>
        </w:rPr>
        <w:t>Code of Federal Regulations</w:t>
      </w:r>
      <w:r w:rsidRPr="000D39C7">
        <w:rPr>
          <w:rFonts w:ascii="Times New Roman" w:hAnsi="Times New Roman"/>
        </w:rPr>
        <w:t xml:space="preserve"> outlines the order of priority for distribution of underpayments due a deceased beneficiary.</w:t>
      </w:r>
      <w:r>
        <w:rPr>
          <w:rFonts w:ascii="Times New Roman" w:hAnsi="Times New Roman"/>
        </w:rPr>
        <w:t xml:space="preserve"> </w:t>
      </w:r>
      <w:r w:rsidR="00C11CFE">
        <w:rPr>
          <w:rFonts w:ascii="Times New Roman" w:hAnsi="Times New Roman"/>
        </w:rPr>
        <w:t xml:space="preserve"> Briefly summarized, a </w:t>
      </w:r>
      <w:r w:rsidRPr="0076250E" w:rsidR="00C11CFE">
        <w:rPr>
          <w:rFonts w:ascii="Times New Roman" w:hAnsi="Times New Roman"/>
        </w:rPr>
        <w:t>Social Security payment due a deceased beneficiary may be paid to a family member or a legal representative of the estate in the following order</w:t>
      </w:r>
      <w:r w:rsidR="00C11CFE">
        <w:rPr>
          <w:rFonts w:ascii="Times New Roman" w:hAnsi="Times New Roman"/>
        </w:rPr>
        <w:t xml:space="preserve"> of priority:</w:t>
      </w:r>
    </w:p>
    <w:p w:rsidR="00C11CFE" w:rsidP="00DB21F2" w14:paraId="58C878E9" w14:textId="1DD355E4">
      <w:pPr>
        <w:ind w:left="720"/>
        <w:rPr>
          <w:rFonts w:ascii="Times New Roman" w:hAnsi="Times New Roman"/>
        </w:rPr>
      </w:pPr>
    </w:p>
    <w:p w:rsidR="00C11CFE" w:rsidRPr="00C11CFE" w:rsidP="00C11CFE" w14:paraId="53C95C9E" w14:textId="16FF2306">
      <w:pPr>
        <w:pStyle w:val="ListParagraph"/>
        <w:numPr>
          <w:ilvl w:val="0"/>
          <w:numId w:val="7"/>
        </w:numPr>
        <w:rPr>
          <w:rFonts w:ascii="Times New Roman" w:hAnsi="Times New Roman"/>
        </w:rPr>
      </w:pPr>
      <w:r w:rsidRPr="00C11CFE">
        <w:rPr>
          <w:rFonts w:ascii="Times New Roman" w:hAnsi="Times New Roman"/>
        </w:rPr>
        <w:t xml:space="preserve">The surviving spouse who was either living in the same household as the deceased at the time of death or who, for the month of death, was entitled to a monthly benefit on the same record as the </w:t>
      </w:r>
      <w:r w:rsidRPr="00C11CFE">
        <w:rPr>
          <w:rFonts w:ascii="Times New Roman" w:hAnsi="Times New Roman"/>
        </w:rPr>
        <w:t>deceased;</w:t>
      </w:r>
    </w:p>
    <w:p w:rsidR="00C11CFE" w:rsidRPr="0076250E" w:rsidP="00C11CFE" w14:paraId="6EF2FC9A" w14:textId="77777777">
      <w:pPr>
        <w:numPr>
          <w:ilvl w:val="0"/>
          <w:numId w:val="7"/>
        </w:numPr>
        <w:rPr>
          <w:rFonts w:ascii="Times New Roman" w:hAnsi="Times New Roman"/>
        </w:rPr>
      </w:pPr>
      <w:r w:rsidRPr="0076250E">
        <w:rPr>
          <w:rFonts w:ascii="Times New Roman" w:hAnsi="Times New Roman"/>
        </w:rPr>
        <w:t xml:space="preserve">Children who, for the month of death, were entitled to a monthly benefit on the same record as the </w:t>
      </w:r>
      <w:r w:rsidRPr="0076250E">
        <w:rPr>
          <w:rFonts w:ascii="Times New Roman" w:hAnsi="Times New Roman"/>
        </w:rPr>
        <w:t>deceased;</w:t>
      </w:r>
    </w:p>
    <w:p w:rsidR="00C11CFE" w:rsidRPr="0076250E" w:rsidP="00C11CFE" w14:paraId="7AD18CAA" w14:textId="77777777">
      <w:pPr>
        <w:numPr>
          <w:ilvl w:val="0"/>
          <w:numId w:val="7"/>
        </w:numPr>
        <w:rPr>
          <w:rFonts w:ascii="Times New Roman" w:hAnsi="Times New Roman"/>
        </w:rPr>
      </w:pPr>
      <w:r w:rsidRPr="0076250E">
        <w:rPr>
          <w:rFonts w:ascii="Times New Roman" w:hAnsi="Times New Roman"/>
        </w:rPr>
        <w:t xml:space="preserve">Parents who, for the month of death, were entitled to a monthly benefit on the same record as the </w:t>
      </w:r>
      <w:r w:rsidRPr="0076250E">
        <w:rPr>
          <w:rFonts w:ascii="Times New Roman" w:hAnsi="Times New Roman"/>
        </w:rPr>
        <w:t>deceased;</w:t>
      </w:r>
    </w:p>
    <w:p w:rsidR="00C11CFE" w:rsidRPr="0076250E" w:rsidP="00C11CFE" w14:paraId="540E452D" w14:textId="77777777">
      <w:pPr>
        <w:numPr>
          <w:ilvl w:val="0"/>
          <w:numId w:val="7"/>
        </w:numPr>
        <w:rPr>
          <w:rFonts w:ascii="Times New Roman" w:hAnsi="Times New Roman"/>
        </w:rPr>
      </w:pPr>
      <w:r w:rsidRPr="0076250E">
        <w:rPr>
          <w:rFonts w:ascii="Times New Roman" w:hAnsi="Times New Roman"/>
        </w:rPr>
        <w:t xml:space="preserve">A surviving spouse not qualified under 1. </w:t>
      </w:r>
      <w:r w:rsidRPr="0076250E">
        <w:rPr>
          <w:rFonts w:ascii="Times New Roman" w:hAnsi="Times New Roman"/>
        </w:rPr>
        <w:t>above;</w:t>
      </w:r>
    </w:p>
    <w:p w:rsidR="00C11CFE" w:rsidRPr="0076250E" w:rsidP="00C11CFE" w14:paraId="4280AD15" w14:textId="77777777">
      <w:pPr>
        <w:numPr>
          <w:ilvl w:val="0"/>
          <w:numId w:val="7"/>
        </w:numPr>
        <w:rPr>
          <w:rFonts w:ascii="Times New Roman" w:hAnsi="Times New Roman"/>
        </w:rPr>
      </w:pPr>
      <w:r w:rsidRPr="0076250E">
        <w:rPr>
          <w:rFonts w:ascii="Times New Roman" w:hAnsi="Times New Roman"/>
        </w:rPr>
        <w:t xml:space="preserve">Children not qualified under 2. </w:t>
      </w:r>
      <w:r w:rsidRPr="0076250E">
        <w:rPr>
          <w:rFonts w:ascii="Times New Roman" w:hAnsi="Times New Roman"/>
        </w:rPr>
        <w:t>above;</w:t>
      </w:r>
    </w:p>
    <w:p w:rsidR="00C11CFE" w:rsidRPr="0076250E" w:rsidP="00C11CFE" w14:paraId="5D7CE162" w14:textId="77777777">
      <w:pPr>
        <w:numPr>
          <w:ilvl w:val="0"/>
          <w:numId w:val="7"/>
        </w:numPr>
        <w:rPr>
          <w:rFonts w:ascii="Times New Roman" w:hAnsi="Times New Roman"/>
        </w:rPr>
      </w:pPr>
      <w:r w:rsidRPr="0076250E">
        <w:rPr>
          <w:rFonts w:ascii="Times New Roman" w:hAnsi="Times New Roman"/>
        </w:rPr>
        <w:t xml:space="preserve">Parents not qualified under 3. </w:t>
      </w:r>
      <w:r w:rsidRPr="0076250E">
        <w:rPr>
          <w:rFonts w:ascii="Times New Roman" w:hAnsi="Times New Roman"/>
        </w:rPr>
        <w:t>above;</w:t>
      </w:r>
      <w:r w:rsidRPr="0076250E">
        <w:rPr>
          <w:rFonts w:ascii="Times New Roman" w:hAnsi="Times New Roman"/>
        </w:rPr>
        <w:t xml:space="preserve"> or</w:t>
      </w:r>
    </w:p>
    <w:p w:rsidR="00C11CFE" w:rsidRPr="00C11CFE" w:rsidP="00C11CFE" w14:paraId="5B2D0723" w14:textId="2297419F">
      <w:pPr>
        <w:pStyle w:val="ListParagraph"/>
        <w:numPr>
          <w:ilvl w:val="0"/>
          <w:numId w:val="7"/>
        </w:numPr>
        <w:rPr>
          <w:rFonts w:ascii="Times New Roman" w:hAnsi="Times New Roman"/>
        </w:rPr>
      </w:pPr>
      <w:r w:rsidRPr="0076250E">
        <w:rPr>
          <w:rFonts w:ascii="Times New Roman" w:hAnsi="Times New Roman"/>
        </w:rPr>
        <w:t>The legal representative of the deceased person's estate</w:t>
      </w:r>
      <w:r>
        <w:rPr>
          <w:rFonts w:ascii="Times New Roman" w:hAnsi="Times New Roman"/>
        </w:rPr>
        <w:t>.</w:t>
      </w:r>
    </w:p>
    <w:p w:rsidR="00B67C50" w:rsidP="00DB21F2" w14:paraId="1029E086" w14:textId="77777777">
      <w:pPr>
        <w:ind w:left="720"/>
        <w:rPr>
          <w:rFonts w:ascii="Times New Roman" w:hAnsi="Times New Roman"/>
        </w:rPr>
      </w:pPr>
    </w:p>
    <w:p w:rsidR="000D39C7" w:rsidP="00DB21F2" w14:paraId="319728E8" w14:textId="4E8B36DB">
      <w:pPr>
        <w:ind w:left="720"/>
        <w:rPr>
          <w:rFonts w:ascii="Times New Roman" w:hAnsi="Times New Roman"/>
        </w:rPr>
      </w:pPr>
      <w:r>
        <w:rPr>
          <w:rFonts w:ascii="Times New Roman" w:hAnsi="Times New Roman"/>
        </w:rPr>
        <w:t>Additionally, s</w:t>
      </w:r>
      <w:r w:rsidRPr="000D39C7">
        <w:rPr>
          <w:rFonts w:ascii="Times New Roman" w:hAnsi="Times New Roman"/>
        </w:rPr>
        <w:t xml:space="preserve">ection </w:t>
      </w:r>
      <w:r w:rsidRPr="00D52E0C">
        <w:rPr>
          <w:rFonts w:ascii="Times New Roman" w:hAnsi="Times New Roman"/>
          <w:i/>
          <w:iCs/>
        </w:rPr>
        <w:t>1870(g)</w:t>
      </w:r>
      <w:r w:rsidRPr="000D39C7">
        <w:rPr>
          <w:rFonts w:ascii="Times New Roman" w:hAnsi="Times New Roman"/>
        </w:rPr>
        <w:t xml:space="preserve"> of the </w:t>
      </w:r>
      <w:r w:rsidRPr="000D39C7">
        <w:rPr>
          <w:rFonts w:ascii="Times New Roman" w:hAnsi="Times New Roman"/>
          <w:i/>
        </w:rPr>
        <w:t>Act</w:t>
      </w:r>
      <w:r w:rsidRPr="000D39C7">
        <w:rPr>
          <w:rFonts w:ascii="Times New Roman" w:hAnsi="Times New Roman"/>
        </w:rPr>
        <w:t xml:space="preserve"> provides that the Centers for Medicare and Medicaid Services refund any excess Medicare premiums paid or withheld from Social Security, Railroad Retirement Board, or Office of Personnel Management benefit payments.  As per the </w:t>
      </w:r>
      <w:r w:rsidRPr="000D39C7">
        <w:rPr>
          <w:rFonts w:ascii="Times New Roman" w:hAnsi="Times New Roman"/>
          <w:i/>
        </w:rPr>
        <w:t>Act</w:t>
      </w:r>
      <w:r>
        <w:rPr>
          <w:rFonts w:ascii="Times New Roman" w:hAnsi="Times New Roman"/>
          <w:i/>
        </w:rPr>
        <w:t>,</w:t>
      </w:r>
      <w:r w:rsidRPr="000D39C7">
        <w:rPr>
          <w:rFonts w:ascii="Times New Roman" w:hAnsi="Times New Roman"/>
        </w:rPr>
        <w:t xml:space="preserve"> we refund these payments only to people meeting specified qualifications following the death of a Title XVIII beneficiary.  This section of the </w:t>
      </w:r>
      <w:r w:rsidRPr="00D52E0C">
        <w:rPr>
          <w:rFonts w:ascii="Times New Roman" w:hAnsi="Times New Roman"/>
          <w:i/>
          <w:iCs/>
        </w:rPr>
        <w:t>Act</w:t>
      </w:r>
      <w:r w:rsidRPr="000D39C7">
        <w:rPr>
          <w:rFonts w:ascii="Times New Roman" w:hAnsi="Times New Roman"/>
        </w:rPr>
        <w:t xml:space="preserve"> also outlines the order of priority for distribution of excess premium refunds due a deceased beneficiary</w:t>
      </w:r>
      <w:r>
        <w:rPr>
          <w:rFonts w:ascii="Times New Roman" w:hAnsi="Times New Roman"/>
        </w:rPr>
        <w:t xml:space="preserve">.  Briefly summarized, </w:t>
      </w:r>
      <w:r w:rsidRPr="0076250E">
        <w:rPr>
          <w:rFonts w:ascii="Times New Roman" w:hAnsi="Times New Roman"/>
        </w:rPr>
        <w:t>refunds may be issued to a family member or the legal representative of the estate in the following order</w:t>
      </w:r>
      <w:r>
        <w:rPr>
          <w:rFonts w:ascii="Times New Roman" w:hAnsi="Times New Roman"/>
        </w:rPr>
        <w:t xml:space="preserve"> of priority:</w:t>
      </w:r>
    </w:p>
    <w:p w:rsidR="00C11CFE" w:rsidP="00DB21F2" w14:paraId="4DC4516A" w14:textId="7F7431E3">
      <w:pPr>
        <w:ind w:left="720"/>
        <w:rPr>
          <w:rFonts w:ascii="Times New Roman" w:hAnsi="Times New Roman"/>
        </w:rPr>
      </w:pPr>
    </w:p>
    <w:p w:rsidR="00C11CFE" w:rsidP="00C11CFE" w14:paraId="60C7ADF5" w14:textId="77777777">
      <w:pPr>
        <w:pStyle w:val="ListParagraph"/>
        <w:numPr>
          <w:ilvl w:val="0"/>
          <w:numId w:val="8"/>
        </w:numPr>
        <w:rPr>
          <w:rFonts w:ascii="Times New Roman" w:hAnsi="Times New Roman"/>
        </w:rPr>
      </w:pPr>
      <w:r w:rsidRPr="00C11CFE">
        <w:rPr>
          <w:rFonts w:ascii="Times New Roman" w:hAnsi="Times New Roman"/>
        </w:rPr>
        <w:t>The legal representative of the deceased person's estate.</w:t>
      </w:r>
    </w:p>
    <w:p w:rsidR="00C11CFE" w:rsidP="00C11CFE" w14:paraId="106F6DFC" w14:textId="77777777">
      <w:pPr>
        <w:pStyle w:val="ListParagraph"/>
        <w:numPr>
          <w:ilvl w:val="0"/>
          <w:numId w:val="8"/>
        </w:numPr>
        <w:rPr>
          <w:rFonts w:ascii="Times New Roman" w:hAnsi="Times New Roman"/>
        </w:rPr>
      </w:pPr>
      <w:r w:rsidRPr="00C11CFE">
        <w:rPr>
          <w:rFonts w:ascii="Times New Roman" w:hAnsi="Times New Roman"/>
        </w:rPr>
        <w:t xml:space="preserve">The surviving spouse who was either living in the same household as the deceased at the time of death or who, for the month of death, was entitled to a monthly benefit on the same record as the </w:t>
      </w:r>
      <w:r w:rsidRPr="00C11CFE">
        <w:rPr>
          <w:rFonts w:ascii="Times New Roman" w:hAnsi="Times New Roman"/>
        </w:rPr>
        <w:t>deceased;</w:t>
      </w:r>
    </w:p>
    <w:p w:rsidR="00C11CFE" w:rsidP="00C11CFE" w14:paraId="1C88DBF2" w14:textId="0384A181">
      <w:pPr>
        <w:pStyle w:val="ListParagraph"/>
        <w:numPr>
          <w:ilvl w:val="0"/>
          <w:numId w:val="8"/>
        </w:numPr>
        <w:rPr>
          <w:rFonts w:ascii="Times New Roman" w:hAnsi="Times New Roman"/>
        </w:rPr>
      </w:pPr>
      <w:r w:rsidRPr="00C11CFE">
        <w:rPr>
          <w:rFonts w:ascii="Times New Roman" w:hAnsi="Times New Roman"/>
        </w:rPr>
        <w:t xml:space="preserve">Children who, for the month of death, were entitled to a monthly benefit on the same record as the </w:t>
      </w:r>
      <w:r w:rsidRPr="00C11CFE">
        <w:rPr>
          <w:rFonts w:ascii="Times New Roman" w:hAnsi="Times New Roman"/>
        </w:rPr>
        <w:t>deceased;</w:t>
      </w:r>
    </w:p>
    <w:p w:rsidR="00C11CFE" w:rsidRPr="0076250E" w:rsidP="00C11CFE" w14:paraId="058459EB" w14:textId="77777777">
      <w:pPr>
        <w:numPr>
          <w:ilvl w:val="0"/>
          <w:numId w:val="8"/>
        </w:numPr>
        <w:rPr>
          <w:rFonts w:ascii="Times New Roman" w:hAnsi="Times New Roman"/>
        </w:rPr>
      </w:pPr>
      <w:r w:rsidRPr="0076250E">
        <w:rPr>
          <w:rFonts w:ascii="Times New Roman" w:hAnsi="Times New Roman"/>
        </w:rPr>
        <w:t xml:space="preserve">Parents who, for the month of death, were entitled to a monthly benefit on the same record as the </w:t>
      </w:r>
      <w:r w:rsidRPr="0076250E">
        <w:rPr>
          <w:rFonts w:ascii="Times New Roman" w:hAnsi="Times New Roman"/>
        </w:rPr>
        <w:t>deceased;</w:t>
      </w:r>
    </w:p>
    <w:p w:rsidR="00C11CFE" w:rsidRPr="0076250E" w:rsidP="00C11CFE" w14:paraId="417A35A8" w14:textId="77777777">
      <w:pPr>
        <w:numPr>
          <w:ilvl w:val="0"/>
          <w:numId w:val="8"/>
        </w:numPr>
        <w:rPr>
          <w:rFonts w:ascii="Times New Roman" w:hAnsi="Times New Roman"/>
        </w:rPr>
      </w:pPr>
      <w:r w:rsidRPr="0076250E">
        <w:rPr>
          <w:rFonts w:ascii="Times New Roman" w:hAnsi="Times New Roman"/>
        </w:rPr>
        <w:t xml:space="preserve">A surviving spouse not qualified under 1. </w:t>
      </w:r>
      <w:r w:rsidRPr="0076250E">
        <w:rPr>
          <w:rFonts w:ascii="Times New Roman" w:hAnsi="Times New Roman"/>
        </w:rPr>
        <w:t>above;</w:t>
      </w:r>
    </w:p>
    <w:p w:rsidR="00C11CFE" w:rsidRPr="0076250E" w:rsidP="00C11CFE" w14:paraId="08694B19" w14:textId="77777777">
      <w:pPr>
        <w:numPr>
          <w:ilvl w:val="0"/>
          <w:numId w:val="8"/>
        </w:numPr>
        <w:rPr>
          <w:rFonts w:ascii="Times New Roman" w:hAnsi="Times New Roman"/>
        </w:rPr>
      </w:pPr>
      <w:r w:rsidRPr="0076250E">
        <w:rPr>
          <w:rFonts w:ascii="Times New Roman" w:hAnsi="Times New Roman"/>
        </w:rPr>
        <w:t xml:space="preserve">Children not qualified under 2. </w:t>
      </w:r>
      <w:r w:rsidRPr="0076250E">
        <w:rPr>
          <w:rFonts w:ascii="Times New Roman" w:hAnsi="Times New Roman"/>
        </w:rPr>
        <w:t>above;</w:t>
      </w:r>
      <w:r w:rsidRPr="0076250E">
        <w:rPr>
          <w:rFonts w:ascii="Times New Roman" w:hAnsi="Times New Roman"/>
        </w:rPr>
        <w:t xml:space="preserve"> or</w:t>
      </w:r>
    </w:p>
    <w:p w:rsidR="00C11CFE" w:rsidRPr="00C11CFE" w:rsidP="00C11CFE" w14:paraId="12348FFB" w14:textId="4A72A21F">
      <w:pPr>
        <w:pStyle w:val="ListParagraph"/>
        <w:numPr>
          <w:ilvl w:val="0"/>
          <w:numId w:val="8"/>
        </w:numPr>
        <w:rPr>
          <w:rFonts w:ascii="Times New Roman" w:hAnsi="Times New Roman"/>
        </w:rPr>
      </w:pPr>
      <w:r w:rsidRPr="0076250E">
        <w:rPr>
          <w:rFonts w:ascii="Times New Roman" w:hAnsi="Times New Roman"/>
        </w:rPr>
        <w:t>Parents not qualified under 3. above.</w:t>
      </w:r>
    </w:p>
    <w:p w:rsidR="00F57AD9" w:rsidRPr="00F57AD9" w:rsidP="00F57AD9" w14:paraId="0F0916EA" w14:textId="77777777">
      <w:pPr>
        <w:rPr>
          <w:rFonts w:ascii="Times New Roman" w:hAnsi="Times New Roman"/>
        </w:rPr>
      </w:pPr>
    </w:p>
    <w:p w:rsidR="002E18CF" w:rsidRPr="002E18CF" w:rsidP="00C11CFE" w14:paraId="6AC0BF2F" w14:textId="77777777">
      <w:pPr>
        <w:numPr>
          <w:ilvl w:val="0"/>
          <w:numId w:val="2"/>
        </w:numPr>
        <w:rPr>
          <w:rFonts w:ascii="Times New Roman" w:hAnsi="Times New Roman"/>
        </w:rPr>
      </w:pPr>
      <w:r>
        <w:rPr>
          <w:rFonts w:ascii="Times New Roman" w:hAnsi="Times New Roman"/>
          <w:b/>
        </w:rPr>
        <w:t xml:space="preserve">Description of Collection </w:t>
      </w:r>
    </w:p>
    <w:p w:rsidR="007309E2" w:rsidP="00DB21F2" w14:paraId="7F736668" w14:textId="77777777">
      <w:pPr>
        <w:ind w:left="720"/>
        <w:rPr>
          <w:rFonts w:ascii="Times New Roman" w:hAnsi="Times New Roman"/>
        </w:rPr>
      </w:pPr>
      <w:r w:rsidRPr="000D39C7">
        <w:rPr>
          <w:rFonts w:ascii="Times New Roman" w:hAnsi="Times New Roman"/>
        </w:rPr>
        <w:t>SSA uses the information Form SSA-1724</w:t>
      </w:r>
      <w:r>
        <w:rPr>
          <w:rFonts w:ascii="Times New Roman" w:hAnsi="Times New Roman"/>
        </w:rPr>
        <w:t xml:space="preserve">, Claim for Amounts Due in the Case of a Deceased Social Security Recipient,” </w:t>
      </w:r>
      <w:r w:rsidRPr="000D39C7">
        <w:rPr>
          <w:rFonts w:ascii="Times New Roman" w:hAnsi="Times New Roman"/>
        </w:rPr>
        <w:t>provides to ensure proper payment of</w:t>
      </w:r>
      <w:r>
        <w:rPr>
          <w:rFonts w:ascii="Times New Roman" w:hAnsi="Times New Roman"/>
        </w:rPr>
        <w:t xml:space="preserve"> </w:t>
      </w:r>
      <w:r w:rsidR="00255CC2">
        <w:rPr>
          <w:rFonts w:ascii="Times New Roman" w:hAnsi="Times New Roman"/>
        </w:rPr>
        <w:t xml:space="preserve">a Title II </w:t>
      </w:r>
      <w:r>
        <w:rPr>
          <w:rFonts w:ascii="Times New Roman" w:hAnsi="Times New Roman"/>
        </w:rPr>
        <w:t xml:space="preserve">underpayment or Medicare premium refund due a deceased </w:t>
      </w:r>
      <w:r w:rsidRPr="000D39C7">
        <w:rPr>
          <w:rFonts w:ascii="Times New Roman" w:hAnsi="Times New Roman"/>
        </w:rPr>
        <w:t xml:space="preserve">beneficiary. </w:t>
      </w:r>
      <w:r>
        <w:rPr>
          <w:rFonts w:ascii="Times New Roman" w:hAnsi="Times New Roman"/>
        </w:rPr>
        <w:t xml:space="preserve"> </w:t>
      </w:r>
    </w:p>
    <w:p w:rsidR="007309E2" w:rsidP="00DB21F2" w14:paraId="092C990C" w14:textId="77777777">
      <w:pPr>
        <w:ind w:left="720"/>
        <w:rPr>
          <w:rFonts w:ascii="Times New Roman" w:hAnsi="Times New Roman"/>
        </w:rPr>
      </w:pPr>
    </w:p>
    <w:p w:rsidR="00C11CFE" w:rsidP="008D1504" w14:paraId="0B076E53" w14:textId="77777777">
      <w:pPr>
        <w:ind w:left="720"/>
        <w:rPr>
          <w:rFonts w:ascii="Times New Roman" w:hAnsi="Times New Roman"/>
        </w:rPr>
      </w:pPr>
      <w:r>
        <w:rPr>
          <w:rFonts w:ascii="Times New Roman" w:hAnsi="Times New Roman"/>
        </w:rPr>
        <w:t xml:space="preserve">At times, SSA may discover that it has underpaid a beneficiary who is now deceased.  </w:t>
      </w:r>
      <w:r w:rsidR="007309E2">
        <w:rPr>
          <w:rFonts w:ascii="Times New Roman" w:hAnsi="Times New Roman"/>
        </w:rPr>
        <w:t xml:space="preserve">For Title II, </w:t>
      </w:r>
      <w:r>
        <w:rPr>
          <w:rFonts w:ascii="Times New Roman" w:hAnsi="Times New Roman"/>
        </w:rPr>
        <w:t xml:space="preserve">if </w:t>
      </w:r>
      <w:r w:rsidRPr="000D39C7" w:rsidR="000D39C7">
        <w:rPr>
          <w:rFonts w:ascii="Times New Roman" w:hAnsi="Times New Roman"/>
        </w:rPr>
        <w:t xml:space="preserve">SSA </w:t>
      </w:r>
      <w:r>
        <w:rPr>
          <w:rFonts w:ascii="Times New Roman" w:hAnsi="Times New Roman"/>
        </w:rPr>
        <w:t>has sufficient information on file to determine the identity and current addresses of all persons entitled to the underpayment, then it will proactively disburse funds to that individual(s).  If SSA does not have sufficient information in the file to identify the people entitled to the underpayment, it will use information on file to attempt to identify potential beneficiaries (such as sending letters to the last known address of potentially eligible individuals).  Less commonly, SSA may receive proactive claims or inquiries from claimants seeking to establish their eligibility for a deceased’s underpayment.</w:t>
      </w:r>
    </w:p>
    <w:p w:rsidR="00C11CFE" w:rsidP="008D1504" w14:paraId="66335F45" w14:textId="77777777">
      <w:pPr>
        <w:ind w:left="720"/>
        <w:rPr>
          <w:rFonts w:ascii="Times New Roman" w:hAnsi="Times New Roman"/>
        </w:rPr>
      </w:pPr>
    </w:p>
    <w:p w:rsidR="008D1504" w:rsidP="008D1504" w14:paraId="0EF81F2E" w14:textId="158B660C">
      <w:pPr>
        <w:ind w:left="720"/>
        <w:rPr>
          <w:rFonts w:ascii="Times New Roman" w:hAnsi="Times New Roman"/>
        </w:rPr>
      </w:pPr>
      <w:r>
        <w:rPr>
          <w:rFonts w:ascii="Times New Roman" w:hAnsi="Times New Roman"/>
        </w:rPr>
        <w:t>SSA collects the information when a surviving child(ren), parent(s), or spouse is not already entitled to a monthly benefit on the same earnings record, or there is no surviving spouse of the deceased who was living in the same household with the deceased at the time of death.  The agency also uses</w:t>
      </w:r>
      <w:r w:rsidRPr="000D39C7" w:rsidR="000D39C7">
        <w:rPr>
          <w:rFonts w:ascii="Times New Roman" w:hAnsi="Times New Roman"/>
        </w:rPr>
        <w:t xml:space="preserve"> Form SSA-1724</w:t>
      </w:r>
      <w:r w:rsidR="00255CC2">
        <w:rPr>
          <w:rFonts w:ascii="Times New Roman" w:hAnsi="Times New Roman"/>
        </w:rPr>
        <w:t xml:space="preserve"> </w:t>
      </w:r>
      <w:r w:rsidRPr="000D39C7">
        <w:rPr>
          <w:rFonts w:ascii="Times New Roman" w:hAnsi="Times New Roman"/>
        </w:rPr>
        <w:t>to request the Social Security numbers (SSN) of the peo</w:t>
      </w:r>
      <w:r>
        <w:rPr>
          <w:rFonts w:ascii="Times New Roman" w:hAnsi="Times New Roman"/>
        </w:rPr>
        <w:t xml:space="preserve">ple claiming the underpayment. </w:t>
      </w:r>
      <w:r w:rsidR="00D52E0C">
        <w:rPr>
          <w:rFonts w:ascii="Times New Roman" w:hAnsi="Times New Roman"/>
        </w:rPr>
        <w:t xml:space="preserve"> </w:t>
      </w:r>
      <w:r w:rsidRPr="000D39C7">
        <w:rPr>
          <w:rFonts w:ascii="Times New Roman" w:hAnsi="Times New Roman"/>
        </w:rPr>
        <w:t>The SSN facilitates computerized processing of the claim; use of reporting payment information; and identification of the payee to the Internal Revenue Service, i</w:t>
      </w:r>
      <w:r>
        <w:rPr>
          <w:rFonts w:ascii="Times New Roman" w:hAnsi="Times New Roman"/>
        </w:rPr>
        <w:t>f needed.</w:t>
      </w:r>
    </w:p>
    <w:p w:rsidR="008D1504" w:rsidP="008D1504" w14:paraId="5FD0D591" w14:textId="77777777">
      <w:pPr>
        <w:rPr>
          <w:rFonts w:ascii="Times New Roman" w:hAnsi="Times New Roman"/>
        </w:rPr>
      </w:pPr>
    </w:p>
    <w:p w:rsidR="00255CC2" w:rsidP="002D5C51" w14:paraId="699DFBCE" w14:textId="1FD6A61D">
      <w:pPr>
        <w:ind w:left="720"/>
        <w:rPr>
          <w:rFonts w:ascii="Times New Roman" w:hAnsi="Times New Roman"/>
        </w:rPr>
      </w:pPr>
      <w:r w:rsidRPr="002D5C51">
        <w:rPr>
          <w:rFonts w:ascii="Times New Roman" w:hAnsi="Times New Roman"/>
        </w:rPr>
        <w:t>For Title XVIII, SSA requests applicants complete Form SSA-1724 when we owe a Medicare premium refund to a deceased beneficiary who previously paid the excess premiums and there is no estate representative or record of a Title II death underpayment recipient.</w:t>
      </w:r>
      <w:r>
        <w:rPr>
          <w:rFonts w:ascii="Times New Roman" w:hAnsi="Times New Roman"/>
        </w:rPr>
        <w:t xml:space="preserve"> </w:t>
      </w:r>
    </w:p>
    <w:p w:rsidR="00C11CFE" w:rsidP="002D5C51" w14:paraId="08AF7284" w14:textId="4DC8EC79">
      <w:pPr>
        <w:ind w:left="720"/>
        <w:rPr>
          <w:rFonts w:ascii="Times New Roman" w:hAnsi="Times New Roman"/>
        </w:rPr>
      </w:pPr>
    </w:p>
    <w:p w:rsidR="00C11CFE" w:rsidP="002D5C51" w14:paraId="3024B27A" w14:textId="6E02C9CD">
      <w:pPr>
        <w:ind w:left="720"/>
        <w:rPr>
          <w:rFonts w:ascii="Times New Roman" w:hAnsi="Times New Roman"/>
        </w:rPr>
      </w:pPr>
      <w:r>
        <w:rPr>
          <w:rFonts w:ascii="Times New Roman" w:hAnsi="Times New Roman"/>
        </w:rPr>
        <w:t>At times, SSA may request proof of death, proof of the claimant’s relationship to the beneficiary, proof of disability, or proof of the claimant’s status as a legal representative of the estate if relevant and if we do not have the necessary evidence on file.</w:t>
      </w:r>
    </w:p>
    <w:p w:rsidR="00D52E0C" w:rsidP="002D5C51" w14:paraId="433A0AAF" w14:textId="77777777">
      <w:pPr>
        <w:ind w:left="720"/>
        <w:rPr>
          <w:rFonts w:ascii="Times New Roman" w:hAnsi="Times New Roman"/>
        </w:rPr>
      </w:pPr>
    </w:p>
    <w:p w:rsidR="00A45D82" w:rsidP="00D52E0C" w14:paraId="51B38454" w14:textId="7C04BB7D">
      <w:pPr>
        <w:ind w:left="720"/>
        <w:rPr>
          <w:rFonts w:ascii="Times New Roman" w:hAnsi="Times New Roman"/>
        </w:rPr>
      </w:pPr>
      <w:r w:rsidRPr="00A57F0F">
        <w:rPr>
          <w:rFonts w:ascii="Times New Roman" w:hAnsi="Times New Roman"/>
        </w:rPr>
        <w:t>The respondents are applicants for</w:t>
      </w:r>
      <w:r w:rsidR="008D0DA1">
        <w:rPr>
          <w:rFonts w:ascii="Times New Roman" w:hAnsi="Times New Roman"/>
        </w:rPr>
        <w:t xml:space="preserve"> Title II underpayments or Medicare p</w:t>
      </w:r>
      <w:r w:rsidRPr="00A57F0F">
        <w:rPr>
          <w:rFonts w:ascii="Times New Roman" w:hAnsi="Times New Roman"/>
        </w:rPr>
        <w:t xml:space="preserve">remium refunds owed to deceased beneficiaries.  </w:t>
      </w:r>
    </w:p>
    <w:p w:rsidR="00C11CFE" w:rsidRPr="00BC7F42" w:rsidP="00D52E0C" w14:paraId="5C99AF68" w14:textId="77777777">
      <w:pPr>
        <w:ind w:left="720"/>
        <w:rPr>
          <w:rFonts w:ascii="Times New Roman" w:hAnsi="Times New Roman"/>
        </w:rPr>
      </w:pPr>
    </w:p>
    <w:p w:rsidR="0036696D" w:rsidRPr="0036696D" w:rsidP="00C11CFE" w14:paraId="6EE87848" w14:textId="77777777">
      <w:pPr>
        <w:numPr>
          <w:ilvl w:val="0"/>
          <w:numId w:val="2"/>
        </w:numPr>
        <w:rPr>
          <w:rFonts w:ascii="Times New Roman" w:hAnsi="Times New Roman"/>
        </w:rPr>
      </w:pPr>
      <w:r w:rsidRPr="00BC7F42">
        <w:rPr>
          <w:rFonts w:ascii="Times New Roman" w:hAnsi="Times New Roman"/>
          <w:b/>
        </w:rPr>
        <w:t>Use of Information Technology to Collect the Information</w:t>
      </w:r>
    </w:p>
    <w:p w:rsidR="00D52E0C" w:rsidP="00D52E0C" w14:paraId="0D32C2D5" w14:textId="6F8A931D">
      <w:pPr>
        <w:ind w:left="720"/>
        <w:rPr>
          <w:rFonts w:ascii="Times New Roman" w:hAnsi="Times New Roman"/>
          <w:color w:val="000000" w:themeColor="text1"/>
        </w:rPr>
      </w:pPr>
      <w:r>
        <w:rPr>
          <w:rFonts w:ascii="Times New Roman" w:hAnsi="Times New Roman"/>
          <w:spacing w:val="-2"/>
        </w:rPr>
        <w:t>Form SSA-1724 is</w:t>
      </w:r>
      <w:r>
        <w:rPr>
          <w:rFonts w:ascii="Times New Roman" w:hAnsi="Times New Roman"/>
        </w:rPr>
        <w:t xml:space="preserve"> available on SSA's Intranet website for SSA employees to print </w:t>
      </w:r>
      <w:r>
        <w:rPr>
          <w:rFonts w:ascii="Times New Roman" w:hAnsi="Times New Roman"/>
          <w:spacing w:val="-2"/>
        </w:rPr>
        <w:t xml:space="preserve">and mail to the public. </w:t>
      </w:r>
      <w:r w:rsidR="00C11CFE">
        <w:rPr>
          <w:rFonts w:ascii="Times New Roman" w:hAnsi="Times New Roman"/>
          <w:spacing w:val="-2"/>
        </w:rPr>
        <w:t xml:space="preserve"> </w:t>
      </w:r>
      <w:r w:rsidRPr="00E90C49">
        <w:rPr>
          <w:rFonts w:ascii="Times New Roman" w:hAnsi="Times New Roman"/>
        </w:rPr>
        <w:t>Applicants can</w:t>
      </w:r>
      <w:r>
        <w:rPr>
          <w:rFonts w:ascii="Times New Roman" w:hAnsi="Times New Roman"/>
        </w:rPr>
        <w:t xml:space="preserve"> also</w:t>
      </w:r>
      <w:r w:rsidRPr="00E90C49">
        <w:rPr>
          <w:rFonts w:ascii="Times New Roman" w:hAnsi="Times New Roman"/>
        </w:rPr>
        <w:t xml:space="preserve"> complete Form SSA-172</w:t>
      </w:r>
      <w:r>
        <w:rPr>
          <w:rFonts w:ascii="Times New Roman" w:hAnsi="Times New Roman"/>
        </w:rPr>
        <w:t>4 while in an SSA field office or access the form</w:t>
      </w:r>
      <w:r w:rsidRPr="00E90C49" w:rsidR="00E90C49">
        <w:rPr>
          <w:rFonts w:ascii="Times New Roman" w:hAnsi="Times New Roman"/>
        </w:rPr>
        <w:t xml:space="preserve"> </w:t>
      </w:r>
      <w:r w:rsidR="00226716">
        <w:rPr>
          <w:rFonts w:ascii="Times New Roman" w:hAnsi="Times New Roman"/>
        </w:rPr>
        <w:t>on</w:t>
      </w:r>
      <w:r w:rsidRPr="00E90C49" w:rsidR="00E90C49">
        <w:rPr>
          <w:rFonts w:ascii="Times New Roman" w:hAnsi="Times New Roman"/>
        </w:rPr>
        <w:t xml:space="preserve"> the </w:t>
      </w:r>
      <w:r w:rsidRPr="00E90C49">
        <w:rPr>
          <w:rFonts w:ascii="Times New Roman" w:hAnsi="Times New Roman"/>
        </w:rPr>
        <w:t>internet to</w:t>
      </w:r>
      <w:r w:rsidRPr="00E90C49" w:rsidR="00E90C49">
        <w:rPr>
          <w:rFonts w:ascii="Times New Roman" w:hAnsi="Times New Roman"/>
        </w:rPr>
        <w:t xml:space="preserve"> print, fill-out, and send to SSA for processing.  </w:t>
      </w:r>
      <w:r w:rsidRPr="0066048A">
        <w:rPr>
          <w:rFonts w:ascii="Times New Roman" w:hAnsi="Times New Roman"/>
          <w:color w:val="000000" w:themeColor="text1"/>
        </w:rPr>
        <w:t>This collection does not currently have a</w:t>
      </w:r>
      <w:r w:rsidR="00C11CFE">
        <w:rPr>
          <w:rFonts w:ascii="Times New Roman" w:hAnsi="Times New Roman"/>
          <w:color w:val="000000" w:themeColor="text1"/>
        </w:rPr>
        <w:t>n electronic submission option as described in the Government Paperwork Elimination Act</w:t>
      </w:r>
      <w:r w:rsidRPr="0066048A">
        <w:rPr>
          <w:rFonts w:ascii="Times New Roman" w:hAnsi="Times New Roman"/>
          <w:color w:val="000000" w:themeColor="text1"/>
        </w:rPr>
        <w:t xml:space="preserve">,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D52E0C" w:rsidRPr="0066048A" w:rsidP="00D52E0C" w14:paraId="6A9629F3" w14:textId="77777777">
      <w:pPr>
        <w:ind w:left="720"/>
        <w:rPr>
          <w:rFonts w:ascii="Times New Roman" w:hAnsi="Times New Roman"/>
          <w:color w:val="000000" w:themeColor="text1"/>
        </w:rPr>
      </w:pPr>
    </w:p>
    <w:p w:rsidR="00814772" w:rsidRPr="00814772" w:rsidP="00D52E0C" w14:paraId="675B6654" w14:textId="6F6912A2">
      <w:pPr>
        <w:ind w:left="720"/>
        <w:rPr>
          <w:rFonts w:ascii="Times New Roman" w:hAnsi="Times New Roman"/>
          <w:i/>
        </w:rPr>
      </w:pPr>
      <w:r w:rsidRPr="0066048A">
        <w:rPr>
          <w:rFonts w:ascii="Times New Roman" w:hAnsi="Times New Roman"/>
          <w:color w:val="000000" w:themeColor="text1"/>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E90C49" w:rsidR="00E90C49">
        <w:rPr>
          <w:rFonts w:ascii="Times New Roman" w:hAnsi="Times New Roman"/>
        </w:rPr>
        <w:t>.</w:t>
      </w:r>
    </w:p>
    <w:p w:rsidR="00A45D82" w:rsidRPr="00BC7F42" w:rsidP="00A45D82" w14:paraId="38718E3D" w14:textId="77777777">
      <w:pPr>
        <w:rPr>
          <w:rFonts w:ascii="Times New Roman" w:hAnsi="Times New Roman"/>
        </w:rPr>
      </w:pPr>
    </w:p>
    <w:p w:rsidR="000C1D18" w:rsidP="00C11CFE" w14:paraId="776A9F4F" w14:textId="77777777">
      <w:pPr>
        <w:numPr>
          <w:ilvl w:val="0"/>
          <w:numId w:val="2"/>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90C49" w:rsidRPr="00DB21F2" w:rsidP="00AA4CAD" w14:paraId="506EA225" w14:textId="77777777">
      <w:pPr>
        <w:ind w:left="780"/>
        <w:rPr>
          <w:rFonts w:ascii="Times New Roman" w:hAnsi="Times New Roman"/>
        </w:rPr>
      </w:pPr>
      <w:r w:rsidRPr="00DB21F2">
        <w:rPr>
          <w:rFonts w:ascii="Times New Roman" w:hAnsi="Times New Roman"/>
        </w:rPr>
        <w:t xml:space="preserve">The nature of the information we collect and the manner in which we collect </w:t>
      </w:r>
      <w:r w:rsidRPr="00DB21F2" w:rsidR="00C027A7">
        <w:rPr>
          <w:rFonts w:ascii="Times New Roman" w:hAnsi="Times New Roman"/>
        </w:rPr>
        <w:t xml:space="preserve">it </w:t>
      </w:r>
      <w:r w:rsidR="00C027A7">
        <w:rPr>
          <w:rFonts w:ascii="Times New Roman" w:hAnsi="Times New Roman"/>
        </w:rPr>
        <w:t>precludes</w:t>
      </w:r>
      <w:r w:rsidRPr="00DB21F2">
        <w:rPr>
          <w:rFonts w:ascii="Times New Roman" w:hAnsi="Times New Roman"/>
        </w:rPr>
        <w:t xml:space="preserve"> duplication.  SSA does not use another collection instrument to obtain similar data. </w:t>
      </w:r>
    </w:p>
    <w:p w:rsidR="00A45D82" w:rsidRPr="00BC7F42" w:rsidP="00A45D82" w14:paraId="3F4F3670" w14:textId="77777777">
      <w:pPr>
        <w:pStyle w:val="Header"/>
        <w:tabs>
          <w:tab w:val="clear" w:pos="4320"/>
          <w:tab w:val="clear" w:pos="8640"/>
        </w:tabs>
        <w:ind w:left="720"/>
        <w:rPr>
          <w:rFonts w:ascii="Times New Roman" w:hAnsi="Times New Roman"/>
        </w:rPr>
      </w:pPr>
    </w:p>
    <w:p w:rsidR="00077E0E" w:rsidRPr="00077E0E" w:rsidP="00C11CFE" w14:paraId="5CE84E16" w14:textId="77777777">
      <w:pPr>
        <w:numPr>
          <w:ilvl w:val="0"/>
          <w:numId w:val="4"/>
        </w:numPr>
        <w:tabs>
          <w:tab w:val="clear" w:pos="360"/>
        </w:tabs>
        <w:ind w:left="720" w:hanging="720"/>
        <w:rPr>
          <w:rFonts w:ascii="Times New Roman" w:hAnsi="Times New Roman"/>
        </w:rPr>
      </w:pPr>
      <w:r>
        <w:rPr>
          <w:rFonts w:ascii="Times New Roman" w:hAnsi="Times New Roman"/>
          <w:b/>
        </w:rPr>
        <w:t>Minimizing Burden on Small Respondents</w:t>
      </w:r>
    </w:p>
    <w:p w:rsidR="00E90C49" w:rsidP="00DB21F2" w14:paraId="5708954E" w14:textId="77777777">
      <w:pPr>
        <w:ind w:firstLine="720"/>
        <w:rPr>
          <w:rFonts w:ascii="Times New Roman" w:hAnsi="Times New Roman"/>
        </w:rPr>
      </w:pPr>
      <w:r w:rsidRPr="00E90C49">
        <w:rPr>
          <w:rFonts w:ascii="Times New Roman" w:hAnsi="Times New Roman"/>
        </w:rPr>
        <w:t>This collection does not affect small businesses or other small entities.</w:t>
      </w:r>
    </w:p>
    <w:p w:rsidR="00E75DB0" w:rsidRPr="00077E0E" w:rsidP="00077E0E" w14:paraId="7F54C014" w14:textId="77777777">
      <w:pPr>
        <w:ind w:left="720"/>
        <w:rPr>
          <w:rFonts w:ascii="Times New Roman" w:hAnsi="Times New Roman"/>
          <w:b/>
          <w:u w:val="single"/>
        </w:rPr>
      </w:pPr>
    </w:p>
    <w:p w:rsidR="00E90C49" w:rsidP="00A45D82" w14:paraId="7159AAEF" w14:textId="77777777">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6052B" w:rsidP="00DB21F2" w14:paraId="17FF93C7" w14:textId="77777777">
      <w:pPr>
        <w:ind w:left="720"/>
        <w:rPr>
          <w:rFonts w:ascii="Times New Roman" w:hAnsi="Times New Roman"/>
        </w:rPr>
      </w:pPr>
      <w:r w:rsidRPr="00E90C49">
        <w:rPr>
          <w:rFonts w:ascii="Times New Roman" w:hAnsi="Times New Roman"/>
        </w:rPr>
        <w:t>If we did not use the SSA-1724, we would not be sure that the proper recipients are paid death underpayments or Medicare premium refunds as required by Federal law.  Because we collect the information on an as needed basis, we cannot collect it less frequently.  There are no technical or legal obstacles to burden reduction.</w:t>
      </w:r>
    </w:p>
    <w:p w:rsidR="00A45D82" w:rsidRPr="00BC7F42" w:rsidP="00A45D82" w14:paraId="42D503FF" w14:textId="77777777">
      <w:pPr>
        <w:rPr>
          <w:rFonts w:ascii="Times New Roman" w:hAnsi="Times New Roman"/>
        </w:rPr>
      </w:pPr>
    </w:p>
    <w:p w:rsidR="00127980" w:rsidP="00A45D82" w14:paraId="01072B27"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E90C49" w:rsidRPr="00E90C49" w:rsidP="00DB21F2" w14:paraId="0B0F1EA9" w14:textId="77777777">
      <w:pPr>
        <w:ind w:left="720"/>
        <w:rPr>
          <w:rFonts w:ascii="Times New Roman" w:hAnsi="Times New Roman"/>
        </w:rPr>
      </w:pPr>
      <w:r w:rsidRPr="00E90C49">
        <w:rPr>
          <w:rFonts w:ascii="Times New Roman" w:hAnsi="Times New Roman"/>
        </w:rPr>
        <w:t xml:space="preserve">There are no special circumstances that would cause SSA to conduct this information collection in a manner inconsistent with </w:t>
      </w:r>
      <w:r w:rsidRPr="00D52E0C">
        <w:rPr>
          <w:rFonts w:ascii="Times New Roman" w:hAnsi="Times New Roman"/>
          <w:i/>
          <w:iCs/>
        </w:rPr>
        <w:t>5 CFR 1320.5</w:t>
      </w:r>
      <w:r w:rsidRPr="00E90C49">
        <w:rPr>
          <w:rFonts w:ascii="Times New Roman" w:hAnsi="Times New Roman"/>
        </w:rPr>
        <w:t>.</w:t>
      </w:r>
    </w:p>
    <w:p w:rsidR="00A45D82" w:rsidRPr="00BC7F42" w:rsidP="00A45D82" w14:paraId="5E17E24E" w14:textId="77777777">
      <w:pPr>
        <w:rPr>
          <w:rFonts w:ascii="Times New Roman" w:hAnsi="Times New Roman"/>
          <w:b/>
          <w:i/>
        </w:rPr>
      </w:pPr>
    </w:p>
    <w:p w:rsidR="00A45D82" w:rsidP="00C11CFE" w14:paraId="5551B66B" w14:textId="2DFF3146">
      <w:pPr>
        <w:numPr>
          <w:ilvl w:val="0"/>
          <w:numId w:val="1"/>
        </w:numPr>
        <w:rPr>
          <w:rFonts w:ascii="Times New Roman" w:hAnsi="Times New Roman"/>
        </w:rPr>
      </w:pPr>
      <w:r w:rsidRPr="00BC7F42">
        <w:rPr>
          <w:rFonts w:ascii="Times New Roman" w:hAnsi="Times New Roman"/>
          <w:b/>
        </w:rPr>
        <w:t xml:space="preserve">Solicitation of Public Comment and Other Consultations with the Public </w:t>
      </w:r>
      <w:r w:rsidR="00527A61">
        <w:rPr>
          <w:rFonts w:ascii="Times New Roman" w:hAnsi="Times New Roman"/>
          <w:b/>
        </w:rPr>
        <w:t xml:space="preserve">        </w:t>
      </w:r>
      <w:r w:rsidRPr="00E3794E" w:rsidR="00D52E0C">
        <w:rPr>
          <w:rFonts w:ascii="Times New Roman" w:hAnsi="Times New Roman"/>
          <w:noProof/>
          <w:lang w:eastAsia="zh-CN" w:bidi="en-US"/>
        </w:rPr>
        <w:t xml:space="preserve">The 60-day advance Federal Register Notice published on </w:t>
      </w:r>
      <w:r w:rsidR="00D52E0C">
        <w:rPr>
          <w:rFonts w:ascii="Times New Roman" w:hAnsi="Times New Roman"/>
          <w:noProof/>
          <w:lang w:eastAsia="zh-CN" w:bidi="en-US"/>
        </w:rPr>
        <w:t>April 6</w:t>
      </w:r>
      <w:r w:rsidRPr="00E3794E" w:rsidR="00D52E0C">
        <w:rPr>
          <w:rFonts w:ascii="Times New Roman" w:hAnsi="Times New Roman"/>
          <w:noProof/>
          <w:lang w:eastAsia="zh-CN" w:bidi="en-US"/>
        </w:rPr>
        <w:t>, 2021 at 86</w:t>
      </w:r>
      <w:r w:rsidR="00D52E0C">
        <w:rPr>
          <w:rFonts w:ascii="Times New Roman" w:hAnsi="Times New Roman"/>
          <w:noProof/>
          <w:lang w:eastAsia="zh-CN" w:bidi="en-US"/>
        </w:rPr>
        <w:t> </w:t>
      </w:r>
      <w:r w:rsidRPr="00E3794E" w:rsidR="00D52E0C">
        <w:rPr>
          <w:rFonts w:ascii="Times New Roman" w:hAnsi="Times New Roman"/>
          <w:noProof/>
          <w:lang w:eastAsia="zh-CN" w:bidi="en-US"/>
        </w:rPr>
        <w:t>FR</w:t>
      </w:r>
      <w:r w:rsidR="00D52E0C">
        <w:rPr>
          <w:rFonts w:ascii="Times New Roman" w:hAnsi="Times New Roman"/>
          <w:noProof/>
          <w:lang w:eastAsia="zh-CN" w:bidi="en-US"/>
        </w:rPr>
        <w:t> 17874</w:t>
      </w:r>
      <w:r w:rsidRPr="00E3794E" w:rsidR="00D52E0C">
        <w:rPr>
          <w:rFonts w:ascii="Times New Roman" w:hAnsi="Times New Roman"/>
          <w:noProof/>
          <w:lang w:eastAsia="zh-CN" w:bidi="en-US"/>
        </w:rPr>
        <w:t xml:space="preserve">, and we received no public comments.  The 30-day FRN published on </w:t>
      </w:r>
      <w:r w:rsidR="00D52E0C">
        <w:rPr>
          <w:rFonts w:ascii="Times New Roman" w:hAnsi="Times New Roman"/>
          <w:noProof/>
          <w:lang w:eastAsia="zh-CN" w:bidi="en-US"/>
        </w:rPr>
        <w:t>June 23</w:t>
      </w:r>
      <w:r w:rsidRPr="00E3794E" w:rsidR="00D52E0C">
        <w:rPr>
          <w:rFonts w:ascii="Times New Roman" w:hAnsi="Times New Roman"/>
          <w:noProof/>
          <w:lang w:eastAsia="zh-CN" w:bidi="en-US"/>
        </w:rPr>
        <w:t xml:space="preserve">, 2021 at 86 FR </w:t>
      </w:r>
      <w:r w:rsidR="00D52E0C">
        <w:rPr>
          <w:rFonts w:ascii="Times New Roman" w:hAnsi="Times New Roman"/>
          <w:noProof/>
          <w:lang w:eastAsia="zh-CN" w:bidi="en-US"/>
        </w:rPr>
        <w:t>33007</w:t>
      </w:r>
      <w:r w:rsidRPr="00E3794E" w:rsidR="00D52E0C">
        <w:rPr>
          <w:rFonts w:ascii="Times New Roman" w:hAnsi="Times New Roman"/>
          <w:noProof/>
          <w:lang w:eastAsia="zh-CN" w:bidi="en-US"/>
        </w:rPr>
        <w:t>.  If we receive any comments in response to this Notice, we will forward them to OMB</w:t>
      </w:r>
      <w:r w:rsidRPr="00527A61" w:rsidR="00527A61">
        <w:rPr>
          <w:rFonts w:ascii="Times New Roman" w:hAnsi="Times New Roman"/>
          <w:b/>
        </w:rPr>
        <w:t>.</w:t>
      </w:r>
      <w:r w:rsidR="00527A61">
        <w:rPr>
          <w:rFonts w:ascii="Times New Roman" w:hAnsi="Times New Roman"/>
          <w:b/>
        </w:rPr>
        <w:t xml:space="preserve"> </w:t>
      </w:r>
      <w:r w:rsidRPr="00BC7F42">
        <w:rPr>
          <w:rFonts w:ascii="Times New Roman" w:hAnsi="Times New Roman"/>
        </w:rPr>
        <w:t xml:space="preserve"> </w:t>
      </w:r>
    </w:p>
    <w:p w:rsidR="00D52E0C" w:rsidRPr="00BC7F42" w:rsidP="00A45D82" w14:paraId="0C9F101B" w14:textId="77777777">
      <w:pPr>
        <w:rPr>
          <w:rFonts w:ascii="Times New Roman" w:hAnsi="Times New Roman"/>
        </w:rPr>
      </w:pPr>
    </w:p>
    <w:p w:rsidR="00640A26" w:rsidP="00C11CFE" w14:paraId="5BB1D584" w14:textId="77777777">
      <w:pPr>
        <w:numPr>
          <w:ilvl w:val="0"/>
          <w:numId w:val="1"/>
        </w:numPr>
        <w:rPr>
          <w:rFonts w:ascii="Times New Roman" w:hAnsi="Times New Roman"/>
          <w:b/>
        </w:rPr>
      </w:pPr>
      <w:r w:rsidRPr="00BC7F42">
        <w:rPr>
          <w:rFonts w:ascii="Times New Roman" w:hAnsi="Times New Roman"/>
          <w:b/>
        </w:rPr>
        <w:t>Payment or Gifts to Respondents</w:t>
      </w:r>
    </w:p>
    <w:p w:rsidR="00E90C49" w:rsidP="00640A26" w14:paraId="505916CC" w14:textId="77777777">
      <w:pPr>
        <w:ind w:left="720"/>
        <w:rPr>
          <w:rFonts w:ascii="Times New Roman" w:hAnsi="Times New Roman"/>
        </w:rPr>
      </w:pPr>
      <w:r w:rsidRPr="00E90C49">
        <w:rPr>
          <w:rFonts w:ascii="Times New Roman" w:hAnsi="Times New Roman"/>
        </w:rPr>
        <w:t>SSA does not provide payment or gifts to the respondents.</w:t>
      </w:r>
    </w:p>
    <w:p w:rsidR="00A45D82" w:rsidRPr="00BC7F42" w:rsidP="00A45D82" w14:paraId="04CC74E4" w14:textId="77777777">
      <w:pPr>
        <w:rPr>
          <w:rFonts w:ascii="Times New Roman" w:hAnsi="Times New Roman"/>
        </w:rPr>
      </w:pPr>
    </w:p>
    <w:p w:rsidR="00795BAB" w:rsidP="00C11CFE" w14:paraId="32AD0E12" w14:textId="77777777">
      <w:pPr>
        <w:numPr>
          <w:ilvl w:val="0"/>
          <w:numId w:val="1"/>
        </w:numPr>
        <w:rPr>
          <w:rFonts w:ascii="Times New Roman" w:hAnsi="Times New Roman"/>
          <w:b/>
        </w:rPr>
      </w:pPr>
      <w:r w:rsidRPr="00BC7F42">
        <w:rPr>
          <w:rFonts w:ascii="Times New Roman" w:hAnsi="Times New Roman"/>
          <w:b/>
        </w:rPr>
        <w:t>Assurances of Confidentiality</w:t>
      </w:r>
    </w:p>
    <w:p w:rsidR="00A45D82" w:rsidRPr="00DB21F2" w:rsidP="00DB21F2" w14:paraId="340187B4" w14:textId="77777777">
      <w:pPr>
        <w:ind w:left="720"/>
        <w:rPr>
          <w:rFonts w:ascii="Times New Roman" w:hAnsi="Times New Roman"/>
        </w:rPr>
      </w:pPr>
      <w:r w:rsidRPr="00DB21F2">
        <w:rPr>
          <w:rFonts w:ascii="Times New Roman" w:hAnsi="Times New Roman"/>
        </w:rPr>
        <w:t>SSA pro</w:t>
      </w:r>
      <w:r w:rsidRPr="00DB21F2" w:rsidR="00D0011E">
        <w:rPr>
          <w:rFonts w:ascii="Times New Roman" w:hAnsi="Times New Roman"/>
        </w:rPr>
        <w:t xml:space="preserve">tects and holds confidential the information it </w:t>
      </w:r>
      <w:r w:rsidRPr="00DB21F2" w:rsidR="00E0137B">
        <w:rPr>
          <w:rFonts w:ascii="Times New Roman" w:hAnsi="Times New Roman"/>
        </w:rPr>
        <w:t>collects</w:t>
      </w:r>
      <w:r w:rsidRPr="00DB21F2" w:rsidR="00D0011E">
        <w:rPr>
          <w:rFonts w:ascii="Times New Roman" w:hAnsi="Times New Roman"/>
        </w:rPr>
        <w:t xml:space="preserve"> i</w:t>
      </w:r>
      <w:r w:rsidRPr="00DB21F2">
        <w:rPr>
          <w:rFonts w:ascii="Times New Roman" w:hAnsi="Times New Roman"/>
        </w:rPr>
        <w:t xml:space="preserve">n accordance with </w:t>
      </w:r>
      <w:r w:rsidRPr="00D52E0C">
        <w:rPr>
          <w:rFonts w:ascii="Times New Roman" w:hAnsi="Times New Roman"/>
          <w:i/>
          <w:iCs/>
        </w:rPr>
        <w:t>42 U.S.C. 1306, 20 CFR 401</w:t>
      </w:r>
      <w:r w:rsidRPr="00DB21F2">
        <w:rPr>
          <w:rFonts w:ascii="Times New Roman" w:hAnsi="Times New Roman"/>
        </w:rPr>
        <w:t xml:space="preserve"> and </w:t>
      </w:r>
      <w:r w:rsidRPr="00D52E0C">
        <w:rPr>
          <w:rFonts w:ascii="Times New Roman" w:hAnsi="Times New Roman"/>
          <w:i/>
          <w:iCs/>
        </w:rPr>
        <w:t>402, 5 U.S.C. 552</w:t>
      </w:r>
      <w:r w:rsidRPr="00DB21F2">
        <w:rPr>
          <w:rFonts w:ascii="Times New Roman" w:hAnsi="Times New Roman"/>
        </w:rPr>
        <w:t xml:space="preserve"> (Freedom of Information Act), </w:t>
      </w:r>
      <w:r w:rsidRPr="00D52E0C">
        <w:rPr>
          <w:rFonts w:ascii="Times New Roman" w:hAnsi="Times New Roman"/>
          <w:i/>
          <w:iCs/>
        </w:rPr>
        <w:t>5 U.S.C. 552a</w:t>
      </w:r>
      <w:r w:rsidRPr="00DB21F2">
        <w:rPr>
          <w:rFonts w:ascii="Times New Roman" w:hAnsi="Times New Roman"/>
        </w:rPr>
        <w:t xml:space="preserve"> (Privacy Act of 1974)</w:t>
      </w:r>
      <w:r w:rsidRPr="00DB21F2" w:rsidR="00D0011E">
        <w:rPr>
          <w:rFonts w:ascii="Times New Roman" w:hAnsi="Times New Roman"/>
        </w:rPr>
        <w:t>,</w:t>
      </w:r>
      <w:r w:rsidRPr="00DB21F2">
        <w:rPr>
          <w:rFonts w:ascii="Times New Roman" w:hAnsi="Times New Roman"/>
        </w:rPr>
        <w:t xml:space="preserve"> and OMB Circular No. A-130</w:t>
      </w:r>
      <w:r w:rsidRPr="00DB21F2">
        <w:rPr>
          <w:rFonts w:ascii="Times New Roman" w:hAnsi="Times New Roman"/>
          <w:color w:val="0000FF"/>
        </w:rPr>
        <w:t>.</w:t>
      </w:r>
    </w:p>
    <w:p w:rsidR="00A45D82" w:rsidRPr="00BC7F42" w:rsidP="00A45D82" w14:paraId="39BFE2F3" w14:textId="77777777">
      <w:pPr>
        <w:pStyle w:val="Header"/>
        <w:tabs>
          <w:tab w:val="clear" w:pos="4320"/>
          <w:tab w:val="clear" w:pos="8640"/>
        </w:tabs>
        <w:rPr>
          <w:rFonts w:ascii="Times New Roman" w:hAnsi="Times New Roman"/>
        </w:rPr>
      </w:pPr>
    </w:p>
    <w:p w:rsidR="00D0011E" w:rsidP="00C11CFE" w14:paraId="117266F6" w14:textId="77777777">
      <w:pPr>
        <w:numPr>
          <w:ilvl w:val="0"/>
          <w:numId w:val="1"/>
        </w:numPr>
        <w:rPr>
          <w:rFonts w:ascii="Times New Roman" w:hAnsi="Times New Roman"/>
          <w:b/>
        </w:rPr>
      </w:pPr>
      <w:r w:rsidRPr="00BC7F42">
        <w:rPr>
          <w:rFonts w:ascii="Times New Roman" w:hAnsi="Times New Roman"/>
          <w:b/>
        </w:rPr>
        <w:t>Justification for Sensitive Questions</w:t>
      </w:r>
    </w:p>
    <w:p w:rsidR="00E90C49" w:rsidRPr="00E90C49" w:rsidP="00DB21F2" w14:paraId="6CE4A74F" w14:textId="77777777">
      <w:pPr>
        <w:ind w:firstLine="720"/>
        <w:rPr>
          <w:rFonts w:ascii="Times New Roman" w:hAnsi="Times New Roman"/>
        </w:rPr>
      </w:pPr>
      <w:r w:rsidRPr="00E90C49">
        <w:rPr>
          <w:rFonts w:ascii="Times New Roman" w:hAnsi="Times New Roman"/>
        </w:rPr>
        <w:t>The information collection does not contain any questions of a sensitive nature.</w:t>
      </w:r>
    </w:p>
    <w:p w:rsidR="00A45D82" w:rsidRPr="00BC7F42" w:rsidP="00A45D82" w14:paraId="1AF36788" w14:textId="77777777">
      <w:pPr>
        <w:rPr>
          <w:rFonts w:ascii="Times New Roman" w:hAnsi="Times New Roman"/>
        </w:rPr>
      </w:pPr>
    </w:p>
    <w:p w:rsidR="004179D8" w:rsidRPr="00D52E0C" w:rsidP="00C11CFE" w14:paraId="58E97B9A" w14:textId="078E51B6">
      <w:pPr>
        <w:numPr>
          <w:ilvl w:val="0"/>
          <w:numId w:val="1"/>
        </w:numPr>
        <w:rPr>
          <w:rFonts w:ascii="Times New Roman" w:hAnsi="Times New Roman"/>
          <w:b/>
        </w:rPr>
      </w:pPr>
      <w:r w:rsidRPr="00BC7F42">
        <w:rPr>
          <w:rFonts w:ascii="Times New Roman" w:hAnsi="Times New Roman"/>
          <w:b/>
        </w:rPr>
        <w:t>Estimates of Public Reporting Burden</w:t>
      </w:r>
    </w:p>
    <w:p w:rsidR="00AA4CAD" w:rsidRPr="00D52E0C" w:rsidP="00AA4CAD" w14:paraId="1037B42A" w14:textId="77777777">
      <w:pPr>
        <w:pStyle w:val="ListParagraph"/>
        <w:ind w:left="0" w:firstLine="720"/>
        <w:rPr>
          <w:rFonts w:ascii="Times New Roman" w:hAnsi="Times New Roman"/>
          <w:iCs/>
        </w:rPr>
      </w:pPr>
      <w:r w:rsidRPr="00D52E0C">
        <w:rPr>
          <w:rFonts w:ascii="Times New Roman" w:hAnsi="Times New Roman"/>
          <w:iCs/>
        </w:rPr>
        <w:t>Please see the burden chart below:</w:t>
      </w:r>
    </w:p>
    <w:p w:rsidR="00AA4CAD" w:rsidP="004238CA" w14:paraId="20DE4E68" w14:textId="50FCBD52">
      <w:pPr>
        <w:pStyle w:val="ListParagraph"/>
        <w:rPr>
          <w:rFonts w:ascii="Times New Roman" w:hAnsi="Times New Roman"/>
          <w:i/>
        </w:rPr>
      </w:pPr>
    </w:p>
    <w:tbl>
      <w:tblPr>
        <w:tblStyle w:val="TableGrid"/>
        <w:tblW w:w="11340" w:type="dxa"/>
        <w:tblInd w:w="-1445" w:type="dxa"/>
        <w:tblLook w:val="04A0"/>
      </w:tblPr>
      <w:tblGrid>
        <w:gridCol w:w="1416"/>
        <w:gridCol w:w="1523"/>
        <w:gridCol w:w="1310"/>
        <w:gridCol w:w="1190"/>
        <w:gridCol w:w="1256"/>
        <w:gridCol w:w="1389"/>
        <w:gridCol w:w="1430"/>
        <w:gridCol w:w="1826"/>
      </w:tblGrid>
      <w:tr w14:paraId="5319B17F" w14:textId="77777777" w:rsidTr="00D52E0C">
        <w:tblPrEx>
          <w:tblW w:w="11340" w:type="dxa"/>
          <w:tblInd w:w="-1445" w:type="dxa"/>
          <w:tblLook w:val="04A0"/>
        </w:tblPrEx>
        <w:tc>
          <w:tcPr>
            <w:tcW w:w="1278" w:type="dxa"/>
          </w:tcPr>
          <w:p w:rsidR="00D52E0C" w:rsidRPr="00D52E0C" w:rsidP="00D52E0C" w14:paraId="34E6B407" w14:textId="04A5F268">
            <w:pPr>
              <w:pStyle w:val="ListParagraph"/>
              <w:ind w:left="0"/>
              <w:rPr>
                <w:rFonts w:ascii="Times New Roman" w:hAnsi="Times New Roman"/>
                <w:i/>
              </w:rPr>
            </w:pPr>
            <w:r w:rsidRPr="00D52E0C">
              <w:rPr>
                <w:rFonts w:ascii="Times New Roman" w:hAnsi="Times New Roman"/>
                <w:b/>
              </w:rPr>
              <w:t>Modality of Completion</w:t>
            </w:r>
          </w:p>
        </w:tc>
        <w:tc>
          <w:tcPr>
            <w:tcW w:w="1371" w:type="dxa"/>
          </w:tcPr>
          <w:p w:rsidR="00D52E0C" w:rsidRPr="00D52E0C" w:rsidP="00D52E0C" w14:paraId="11954DFB" w14:textId="6D512638">
            <w:pPr>
              <w:pStyle w:val="ListParagraph"/>
              <w:ind w:left="0"/>
              <w:rPr>
                <w:rFonts w:ascii="Times New Roman" w:hAnsi="Times New Roman"/>
                <w:i/>
              </w:rPr>
            </w:pPr>
            <w:r w:rsidRPr="00D52E0C">
              <w:rPr>
                <w:rFonts w:ascii="Times New Roman" w:hAnsi="Times New Roman"/>
                <w:b/>
              </w:rPr>
              <w:t>Number of Respondents</w:t>
            </w:r>
          </w:p>
        </w:tc>
        <w:tc>
          <w:tcPr>
            <w:tcW w:w="1183" w:type="dxa"/>
          </w:tcPr>
          <w:p w:rsidR="00D52E0C" w:rsidRPr="00D52E0C" w:rsidP="00D52E0C" w14:paraId="27DD5D11" w14:textId="5D341326">
            <w:pPr>
              <w:pStyle w:val="ListParagraph"/>
              <w:ind w:left="0"/>
              <w:rPr>
                <w:rFonts w:ascii="Times New Roman" w:hAnsi="Times New Roman"/>
                <w:i/>
              </w:rPr>
            </w:pPr>
            <w:r w:rsidRPr="00D52E0C">
              <w:rPr>
                <w:rFonts w:ascii="Times New Roman" w:hAnsi="Times New Roman"/>
                <w:b/>
              </w:rPr>
              <w:t>Frequency of Response</w:t>
            </w:r>
          </w:p>
        </w:tc>
        <w:tc>
          <w:tcPr>
            <w:tcW w:w="1077" w:type="dxa"/>
          </w:tcPr>
          <w:p w:rsidR="00D52E0C" w:rsidRPr="00D52E0C" w:rsidP="00D52E0C" w14:paraId="72482891" w14:textId="31CF8CB8">
            <w:pPr>
              <w:pStyle w:val="ListParagraph"/>
              <w:ind w:left="0"/>
              <w:rPr>
                <w:rFonts w:ascii="Times New Roman" w:hAnsi="Times New Roman"/>
                <w:i/>
              </w:rPr>
            </w:pPr>
            <w:r w:rsidRPr="00D52E0C">
              <w:rPr>
                <w:rFonts w:ascii="Times New Roman" w:hAnsi="Times New Roman"/>
                <w:b/>
              </w:rPr>
              <w:t>Average Burden per Response (minutes)</w:t>
            </w:r>
          </w:p>
        </w:tc>
        <w:tc>
          <w:tcPr>
            <w:tcW w:w="1135" w:type="dxa"/>
          </w:tcPr>
          <w:p w:rsidR="00D52E0C" w:rsidRPr="00D52E0C" w:rsidP="00D52E0C" w14:paraId="5549493F" w14:textId="0256489D">
            <w:pPr>
              <w:pStyle w:val="ListParagraph"/>
              <w:ind w:left="0"/>
              <w:rPr>
                <w:rFonts w:ascii="Times New Roman" w:hAnsi="Times New Roman"/>
                <w:i/>
              </w:rPr>
            </w:pPr>
            <w:r w:rsidRPr="00D52E0C">
              <w:rPr>
                <w:rFonts w:ascii="Times New Roman" w:hAnsi="Times New Roman"/>
                <w:b/>
              </w:rPr>
              <w:t>Estimated Total Annual Burden (hours)</w:t>
            </w:r>
          </w:p>
        </w:tc>
        <w:tc>
          <w:tcPr>
            <w:tcW w:w="1253" w:type="dxa"/>
          </w:tcPr>
          <w:p w:rsidR="00D52E0C" w:rsidRPr="00D52E0C" w:rsidP="00D52E0C" w14:paraId="778BD86A" w14:textId="432C5360">
            <w:pPr>
              <w:pStyle w:val="ListParagraph"/>
              <w:ind w:left="0"/>
              <w:rPr>
                <w:rFonts w:ascii="Times New Roman" w:hAnsi="Times New Roman"/>
                <w:i/>
              </w:rPr>
            </w:pPr>
            <w:r w:rsidRPr="00D52E0C">
              <w:rPr>
                <w:rFonts w:ascii="Times New Roman" w:hAnsi="Times New Roman"/>
                <w:b/>
              </w:rPr>
              <w:t>Average Theoretical Hourly Cost Amount (dollars)*</w:t>
            </w:r>
          </w:p>
        </w:tc>
        <w:tc>
          <w:tcPr>
            <w:tcW w:w="1289" w:type="dxa"/>
          </w:tcPr>
          <w:p w:rsidR="00D52E0C" w:rsidRPr="00D52E0C" w:rsidP="00D52E0C" w14:paraId="4AFA553D" w14:textId="16876764">
            <w:pPr>
              <w:pStyle w:val="ListParagraph"/>
              <w:ind w:left="0"/>
              <w:rPr>
                <w:rFonts w:ascii="Times New Roman" w:hAnsi="Times New Roman"/>
                <w:i/>
              </w:rPr>
            </w:pPr>
            <w:r w:rsidRPr="00D52E0C">
              <w:rPr>
                <w:rFonts w:ascii="Times New Roman" w:hAnsi="Times New Roman"/>
                <w:b/>
                <w:bCs/>
              </w:rPr>
              <w:t>Average Wait Time in Field Office (minutes)**</w:t>
            </w:r>
          </w:p>
        </w:tc>
        <w:tc>
          <w:tcPr>
            <w:tcW w:w="2754" w:type="dxa"/>
          </w:tcPr>
          <w:p w:rsidR="00D52E0C" w:rsidRPr="00D52E0C" w:rsidP="00D52E0C" w14:paraId="00A4F362" w14:textId="639625D1">
            <w:pPr>
              <w:pStyle w:val="ListParagraph"/>
              <w:ind w:left="0"/>
              <w:rPr>
                <w:rFonts w:ascii="Times New Roman" w:hAnsi="Times New Roman"/>
                <w:i/>
              </w:rPr>
            </w:pPr>
            <w:r w:rsidRPr="00D52E0C">
              <w:rPr>
                <w:rFonts w:ascii="Times New Roman" w:hAnsi="Times New Roman"/>
                <w:b/>
              </w:rPr>
              <w:t>Total Annual Opportunity Cost (dollars)**</w:t>
            </w:r>
          </w:p>
        </w:tc>
      </w:tr>
      <w:tr w14:paraId="117B0CE4" w14:textId="77777777" w:rsidTr="00D52E0C">
        <w:tblPrEx>
          <w:tblW w:w="11340" w:type="dxa"/>
          <w:tblInd w:w="-1445" w:type="dxa"/>
          <w:tblLook w:val="04A0"/>
        </w:tblPrEx>
        <w:tc>
          <w:tcPr>
            <w:tcW w:w="1278" w:type="dxa"/>
          </w:tcPr>
          <w:p w:rsidR="00D52E0C" w:rsidRPr="00D52E0C" w:rsidP="00D52E0C" w14:paraId="1BBB2623" w14:textId="1235AF80">
            <w:pPr>
              <w:pStyle w:val="ListParagraph"/>
              <w:ind w:left="0"/>
              <w:rPr>
                <w:rFonts w:ascii="Times New Roman" w:hAnsi="Times New Roman"/>
                <w:i/>
              </w:rPr>
            </w:pPr>
            <w:r w:rsidRPr="00D52E0C">
              <w:rPr>
                <w:rFonts w:ascii="Times New Roman" w:hAnsi="Times New Roman"/>
              </w:rPr>
              <w:t>SSA-1724</w:t>
            </w:r>
          </w:p>
        </w:tc>
        <w:tc>
          <w:tcPr>
            <w:tcW w:w="1371" w:type="dxa"/>
          </w:tcPr>
          <w:p w:rsidR="00D52E0C" w:rsidRPr="00D52E0C" w:rsidP="00D52E0C" w14:paraId="75B2D937" w14:textId="309A7C8B">
            <w:pPr>
              <w:pStyle w:val="ListParagraph"/>
              <w:ind w:left="0"/>
              <w:rPr>
                <w:rFonts w:ascii="Times New Roman" w:hAnsi="Times New Roman"/>
                <w:i/>
              </w:rPr>
            </w:pPr>
            <w:r w:rsidRPr="00D52E0C">
              <w:rPr>
                <w:rFonts w:ascii="Times New Roman" w:hAnsi="Times New Roman"/>
              </w:rPr>
              <w:t>250,000</w:t>
            </w:r>
          </w:p>
        </w:tc>
        <w:tc>
          <w:tcPr>
            <w:tcW w:w="1183" w:type="dxa"/>
          </w:tcPr>
          <w:p w:rsidR="00D52E0C" w:rsidRPr="00D52E0C" w:rsidP="00D52E0C" w14:paraId="6943FE47" w14:textId="31A8BF6E">
            <w:pPr>
              <w:pStyle w:val="ListParagraph"/>
              <w:ind w:left="0"/>
              <w:rPr>
                <w:rFonts w:ascii="Times New Roman" w:hAnsi="Times New Roman"/>
                <w:i/>
              </w:rPr>
            </w:pPr>
            <w:r w:rsidRPr="00D52E0C">
              <w:rPr>
                <w:rFonts w:ascii="Times New Roman" w:hAnsi="Times New Roman"/>
              </w:rPr>
              <w:t>1</w:t>
            </w:r>
          </w:p>
        </w:tc>
        <w:tc>
          <w:tcPr>
            <w:tcW w:w="1077" w:type="dxa"/>
          </w:tcPr>
          <w:p w:rsidR="00D52E0C" w:rsidRPr="00D52E0C" w:rsidP="00D52E0C" w14:paraId="707EC7D3" w14:textId="31C4BE1F">
            <w:pPr>
              <w:pStyle w:val="ListParagraph"/>
              <w:ind w:left="0"/>
              <w:rPr>
                <w:rFonts w:ascii="Times New Roman" w:hAnsi="Times New Roman"/>
                <w:i/>
              </w:rPr>
            </w:pPr>
            <w:r w:rsidRPr="00D52E0C">
              <w:rPr>
                <w:rFonts w:ascii="Times New Roman" w:hAnsi="Times New Roman"/>
              </w:rPr>
              <w:t>10</w:t>
            </w:r>
          </w:p>
        </w:tc>
        <w:tc>
          <w:tcPr>
            <w:tcW w:w="1135" w:type="dxa"/>
          </w:tcPr>
          <w:p w:rsidR="00D52E0C" w:rsidRPr="00D52E0C" w:rsidP="00D52E0C" w14:paraId="4AC4E848" w14:textId="63BE78F6">
            <w:pPr>
              <w:pStyle w:val="ListParagraph"/>
              <w:ind w:left="0"/>
              <w:rPr>
                <w:rFonts w:ascii="Times New Roman" w:hAnsi="Times New Roman"/>
                <w:i/>
              </w:rPr>
            </w:pPr>
            <w:r w:rsidRPr="00D52E0C">
              <w:rPr>
                <w:rFonts w:ascii="Times New Roman" w:hAnsi="Times New Roman"/>
              </w:rPr>
              <w:t>41,677</w:t>
            </w:r>
          </w:p>
        </w:tc>
        <w:tc>
          <w:tcPr>
            <w:tcW w:w="1253" w:type="dxa"/>
          </w:tcPr>
          <w:p w:rsidR="00D52E0C" w:rsidRPr="00D52E0C" w:rsidP="00D52E0C" w14:paraId="7F0FEB18" w14:textId="1AEF1D17">
            <w:pPr>
              <w:pStyle w:val="ListParagraph"/>
              <w:ind w:left="0"/>
              <w:rPr>
                <w:rFonts w:ascii="Times New Roman" w:hAnsi="Times New Roman"/>
                <w:i/>
              </w:rPr>
            </w:pPr>
            <w:r w:rsidRPr="00D52E0C">
              <w:rPr>
                <w:rFonts w:ascii="Times New Roman" w:hAnsi="Times New Roman"/>
              </w:rPr>
              <w:t>$</w:t>
            </w:r>
            <w:r w:rsidR="009B0438">
              <w:rPr>
                <w:rFonts w:ascii="Times New Roman" w:hAnsi="Times New Roman"/>
              </w:rPr>
              <w:t>31.48</w:t>
            </w:r>
            <w:r w:rsidRPr="00D52E0C">
              <w:rPr>
                <w:rFonts w:ascii="Times New Roman" w:hAnsi="Times New Roman"/>
              </w:rPr>
              <w:t>*</w:t>
            </w:r>
          </w:p>
        </w:tc>
        <w:tc>
          <w:tcPr>
            <w:tcW w:w="1289" w:type="dxa"/>
          </w:tcPr>
          <w:p w:rsidR="00D52E0C" w:rsidRPr="00D52E0C" w:rsidP="00D52E0C" w14:paraId="20BAE8DD" w14:textId="56863E00">
            <w:pPr>
              <w:pStyle w:val="ListParagraph"/>
              <w:ind w:left="0"/>
              <w:rPr>
                <w:rFonts w:ascii="Times New Roman" w:hAnsi="Times New Roman"/>
                <w:i/>
              </w:rPr>
            </w:pPr>
            <w:r w:rsidRPr="00D52E0C">
              <w:rPr>
                <w:rFonts w:ascii="Times New Roman" w:hAnsi="Times New Roman"/>
              </w:rPr>
              <w:t>24**</w:t>
            </w:r>
          </w:p>
        </w:tc>
        <w:tc>
          <w:tcPr>
            <w:tcW w:w="2754" w:type="dxa"/>
          </w:tcPr>
          <w:p w:rsidR="00D52E0C" w:rsidRPr="00D52E0C" w:rsidP="00D52E0C" w14:paraId="3D84248D" w14:textId="215CED43">
            <w:pPr>
              <w:pStyle w:val="ListParagraph"/>
              <w:ind w:left="0"/>
              <w:rPr>
                <w:rFonts w:ascii="Times New Roman" w:hAnsi="Times New Roman"/>
                <w:i/>
              </w:rPr>
            </w:pPr>
            <w:r w:rsidRPr="00D52E0C">
              <w:rPr>
                <w:rFonts w:ascii="Times New Roman" w:hAnsi="Times New Roman"/>
              </w:rPr>
              <w:t>$</w:t>
            </w:r>
            <w:r w:rsidR="009B0438">
              <w:rPr>
                <w:rFonts w:ascii="Times New Roman" w:hAnsi="Times New Roman"/>
              </w:rPr>
              <w:t>4,459,992</w:t>
            </w:r>
            <w:r w:rsidRPr="00D52E0C">
              <w:rPr>
                <w:rFonts w:ascii="Times New Roman" w:hAnsi="Times New Roman"/>
              </w:rPr>
              <w:t>***</w:t>
            </w:r>
          </w:p>
        </w:tc>
      </w:tr>
    </w:tbl>
    <w:p w:rsidR="00D017C3" w:rsidP="00D017C3" w14:paraId="475A3864" w14:textId="0C55FECA">
      <w:pPr>
        <w:ind w:left="720"/>
        <w:rPr>
          <w:rFonts w:ascii="Times New Roman" w:hAnsi="Times New Roman"/>
        </w:rPr>
      </w:pPr>
      <w:r w:rsidRPr="00D52E0C">
        <w:rPr>
          <w:rFonts w:ascii="Times New Roman" w:hAnsi="Times New Roman"/>
        </w:rPr>
        <w:t xml:space="preserve">* </w:t>
      </w:r>
      <w:r w:rsidRPr="00D52E0C" w:rsidR="00D52E0C">
        <w:rPr>
          <w:rFonts w:ascii="Times New Roman" w:hAnsi="Times New Roman"/>
        </w:rPr>
        <w:t>We based this figure on average U.S. worker’s hourly wages, as reported by Bureau of Labor Statistics data (</w:t>
      </w:r>
      <w:hyperlink r:id="rId5" w:anchor="00-0000" w:history="1">
        <w:r w:rsidRPr="00D52E0C" w:rsidR="00D52E0C">
          <w:rPr>
            <w:rStyle w:val="Hyperlink"/>
            <w:rFonts w:ascii="Times New Roman" w:hAnsi="Times New Roman"/>
          </w:rPr>
          <w:t>https://www.bls.gov/oes/current/oes_nat.htm#00-0000</w:t>
        </w:r>
      </w:hyperlink>
      <w:r w:rsidRPr="00D52E0C" w:rsidR="00D52E0C">
        <w:rPr>
          <w:rFonts w:ascii="Times New Roman" w:hAnsi="Times New Roman"/>
        </w:rPr>
        <w:t>)</w:t>
      </w:r>
      <w:r w:rsidRPr="00D52E0C">
        <w:rPr>
          <w:rFonts w:ascii="Times New Roman" w:hAnsi="Times New Roman"/>
        </w:rPr>
        <w:t>.</w:t>
      </w:r>
    </w:p>
    <w:p w:rsidR="00D52E0C" w:rsidRPr="00D52E0C" w:rsidP="00D017C3" w14:paraId="5A1C52F0" w14:textId="77777777">
      <w:pPr>
        <w:ind w:left="720"/>
        <w:rPr>
          <w:rFonts w:ascii="Times New Roman" w:hAnsi="Times New Roman"/>
        </w:rPr>
      </w:pPr>
    </w:p>
    <w:p w:rsidR="00D017C3" w:rsidP="00D017C3" w14:paraId="6B322579" w14:textId="30CD0439">
      <w:pPr>
        <w:ind w:left="720"/>
        <w:rPr>
          <w:rFonts w:ascii="Times New Roman" w:hAnsi="Times New Roman"/>
        </w:rPr>
      </w:pPr>
      <w:r w:rsidRPr="00D52E0C">
        <w:rPr>
          <w:rFonts w:ascii="Times New Roman" w:hAnsi="Times New Roman"/>
        </w:rPr>
        <w:t xml:space="preserve">** </w:t>
      </w:r>
      <w:r w:rsidRPr="00D52E0C" w:rsidR="00D52E0C">
        <w:rPr>
          <w:rFonts w:ascii="Times New Roman" w:eastAsia="Calibri" w:hAnsi="Times New Roman"/>
        </w:rPr>
        <w:t>We based this figure on the average FY 2021 wait times for field offices, based on SSA’s current management information data</w:t>
      </w:r>
      <w:r w:rsidRPr="00D52E0C">
        <w:rPr>
          <w:rFonts w:ascii="Times New Roman" w:hAnsi="Times New Roman"/>
        </w:rPr>
        <w:t>.</w:t>
      </w:r>
    </w:p>
    <w:p w:rsidR="00D52E0C" w:rsidP="00D017C3" w14:paraId="4427DC4B" w14:textId="483AFE11">
      <w:pPr>
        <w:ind w:left="720"/>
        <w:rPr>
          <w:rFonts w:ascii="Times New Roman" w:hAnsi="Times New Roman"/>
        </w:rPr>
      </w:pPr>
    </w:p>
    <w:p w:rsidR="00D52E0C" w:rsidRPr="00D52E0C" w:rsidP="00D017C3" w14:paraId="1A319D55" w14:textId="475B1589">
      <w:pPr>
        <w:ind w:left="720"/>
        <w:rPr>
          <w:rFonts w:ascii="Times New Roman" w:hAnsi="Times New Roman"/>
        </w:rPr>
      </w:pPr>
      <w:r w:rsidRPr="00D52E0C">
        <w:rPr>
          <w:rFonts w:ascii="Times New Roman" w:eastAsia="Calibri"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52E0C">
        <w:rPr>
          <w:rFonts w:ascii="Times New Roman" w:eastAsia="Calibri" w:hAnsi="Times New Roman"/>
          <w:b/>
          <w:bCs/>
          <w:u w:val="single"/>
        </w:rPr>
        <w:t>There is no actual charge to respondents to complete the application</w:t>
      </w:r>
      <w:r>
        <w:rPr>
          <w:rFonts w:ascii="Times New Roman" w:eastAsia="Calibri" w:hAnsi="Times New Roman"/>
          <w:b/>
          <w:bCs/>
          <w:u w:val="single"/>
        </w:rPr>
        <w:t>.</w:t>
      </w:r>
    </w:p>
    <w:p w:rsidR="00D017C3" w:rsidP="004238CA" w14:paraId="7DD4884B" w14:textId="77777777">
      <w:pPr>
        <w:ind w:left="720"/>
        <w:rPr>
          <w:rFonts w:ascii="Times New Roman" w:hAnsi="Times New Roman"/>
        </w:rPr>
      </w:pPr>
    </w:p>
    <w:p w:rsidR="00AD7CC4" w:rsidP="00D52E0C" w14:paraId="5D7D9078" w14:textId="77777777">
      <w:pPr>
        <w:pStyle w:val="ListParagraph"/>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7E4A5A" w:rsidRPr="006C2A8B" w:rsidP="00AD7CC4" w14:paraId="351C22BD" w14:textId="77777777">
      <w:pPr>
        <w:pStyle w:val="ListParagraph"/>
        <w:ind w:left="360"/>
        <w:rPr>
          <w:rFonts w:ascii="Times New Roman" w:hAnsi="Times New Roman"/>
          <w:color w:val="00000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7"/>
        <w:gridCol w:w="1493"/>
        <w:gridCol w:w="1643"/>
        <w:gridCol w:w="1665"/>
        <w:gridCol w:w="1767"/>
      </w:tblGrid>
      <w:tr w14:paraId="51BFBA65" w14:textId="77777777" w:rsidTr="00FB3A0A">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0" w:type="dxa"/>
            <w:shd w:val="clear" w:color="auto" w:fill="auto"/>
          </w:tcPr>
          <w:p w:rsidR="00AD7CC4" w:rsidRPr="00FB3A0A" w:rsidP="00FB3A0A" w14:paraId="136D69A8" w14:textId="77777777">
            <w:pPr>
              <w:rPr>
                <w:rFonts w:ascii="Times New Roman" w:hAnsi="Times New Roman"/>
                <w:b/>
              </w:rPr>
            </w:pPr>
            <w:r w:rsidRPr="00FB3A0A">
              <w:rPr>
                <w:rFonts w:ascii="Times New Roman" w:hAnsi="Times New Roman"/>
                <w:b/>
              </w:rPr>
              <w:t>Total Number of Respondents Who Visit a Field Office</w:t>
            </w:r>
          </w:p>
        </w:tc>
        <w:tc>
          <w:tcPr>
            <w:tcW w:w="1585" w:type="dxa"/>
            <w:shd w:val="clear" w:color="auto" w:fill="auto"/>
          </w:tcPr>
          <w:p w:rsidR="00AD7CC4" w:rsidRPr="00FB3A0A" w:rsidP="00FB3A0A" w14:paraId="677AFFF6" w14:textId="77777777">
            <w:pPr>
              <w:rPr>
                <w:rFonts w:ascii="Times New Roman" w:hAnsi="Times New Roman"/>
                <w:b/>
              </w:rPr>
            </w:pPr>
            <w:r w:rsidRPr="00FB3A0A">
              <w:rPr>
                <w:rFonts w:ascii="Times New Roman" w:hAnsi="Times New Roman"/>
                <w:b/>
              </w:rPr>
              <w:t>Frequency of Response</w:t>
            </w:r>
          </w:p>
        </w:tc>
        <w:tc>
          <w:tcPr>
            <w:tcW w:w="1870" w:type="dxa"/>
            <w:shd w:val="clear" w:color="auto" w:fill="auto"/>
          </w:tcPr>
          <w:p w:rsidR="00AD7CC4" w:rsidRPr="00FB3A0A" w:rsidP="00FB3A0A" w14:paraId="74BA6777" w14:textId="77777777">
            <w:pPr>
              <w:rPr>
                <w:rFonts w:ascii="Times New Roman" w:hAnsi="Times New Roman"/>
                <w:b/>
              </w:rPr>
            </w:pPr>
            <w:r w:rsidRPr="00FB3A0A">
              <w:rPr>
                <w:rFonts w:ascii="Times New Roman" w:hAnsi="Times New Roman"/>
                <w:b/>
              </w:rPr>
              <w:t>Average One-Way Travel Time to a Field Office (minutes)</w:t>
            </w:r>
          </w:p>
        </w:tc>
        <w:tc>
          <w:tcPr>
            <w:tcW w:w="1870" w:type="dxa"/>
            <w:shd w:val="clear" w:color="auto" w:fill="auto"/>
          </w:tcPr>
          <w:p w:rsidR="00AD7CC4" w:rsidRPr="00FB3A0A" w:rsidP="00FB3A0A" w14:paraId="2E203E09" w14:textId="77777777">
            <w:pPr>
              <w:rPr>
                <w:rFonts w:ascii="Times New Roman" w:hAnsi="Times New Roman"/>
                <w:b/>
              </w:rPr>
            </w:pPr>
            <w:r w:rsidRPr="00FB3A0A">
              <w:rPr>
                <w:rFonts w:ascii="Times New Roman" w:hAnsi="Times New Roman"/>
                <w:b/>
              </w:rPr>
              <w:t>Estimated Total Travel Time to a Field Office (hours)</w:t>
            </w:r>
          </w:p>
        </w:tc>
        <w:tc>
          <w:tcPr>
            <w:tcW w:w="1870" w:type="dxa"/>
            <w:shd w:val="clear" w:color="auto" w:fill="auto"/>
          </w:tcPr>
          <w:p w:rsidR="00AD7CC4" w:rsidRPr="00FB3A0A" w:rsidP="00FB3A0A" w14:paraId="25F8B836" w14:textId="77777777">
            <w:pPr>
              <w:rPr>
                <w:rFonts w:ascii="Times New Roman" w:hAnsi="Times New Roman"/>
                <w:b/>
              </w:rPr>
            </w:pPr>
            <w:r w:rsidRPr="00FB3A0A">
              <w:rPr>
                <w:rFonts w:ascii="Times New Roman" w:hAnsi="Times New Roman"/>
                <w:b/>
              </w:rPr>
              <w:t>Total Annual Opportunity Cost for Travel Time (dollars)****</w:t>
            </w:r>
          </w:p>
        </w:tc>
      </w:tr>
      <w:tr w14:paraId="3DBAE5A0" w14:textId="77777777" w:rsidTr="00FB3A0A">
        <w:tblPrEx>
          <w:tblW w:w="0" w:type="auto"/>
          <w:tblInd w:w="355" w:type="dxa"/>
          <w:tblLook w:val="04A0"/>
        </w:tblPrEx>
        <w:tc>
          <w:tcPr>
            <w:tcW w:w="1800" w:type="dxa"/>
            <w:shd w:val="clear" w:color="auto" w:fill="auto"/>
          </w:tcPr>
          <w:p w:rsidR="00AD7CC4" w:rsidRPr="00FB3A0A" w:rsidP="00FB3A0A" w14:paraId="435E992C" w14:textId="77777777">
            <w:pPr>
              <w:jc w:val="right"/>
              <w:rPr>
                <w:rFonts w:ascii="Times New Roman" w:hAnsi="Times New Roman"/>
              </w:rPr>
            </w:pPr>
            <w:r w:rsidRPr="00FB3A0A">
              <w:rPr>
                <w:rFonts w:ascii="Times New Roman" w:hAnsi="Times New Roman"/>
              </w:rPr>
              <w:t>250,000</w:t>
            </w:r>
          </w:p>
        </w:tc>
        <w:tc>
          <w:tcPr>
            <w:tcW w:w="1585" w:type="dxa"/>
            <w:shd w:val="clear" w:color="auto" w:fill="auto"/>
          </w:tcPr>
          <w:p w:rsidR="00AD7CC4" w:rsidRPr="00FB3A0A" w:rsidP="00FB3A0A" w14:paraId="1F26F6B7" w14:textId="77777777">
            <w:pPr>
              <w:jc w:val="right"/>
              <w:rPr>
                <w:rFonts w:ascii="Times New Roman" w:hAnsi="Times New Roman"/>
              </w:rPr>
            </w:pPr>
            <w:r w:rsidRPr="00FB3A0A">
              <w:rPr>
                <w:rFonts w:ascii="Times New Roman" w:hAnsi="Times New Roman"/>
              </w:rPr>
              <w:t>1</w:t>
            </w:r>
          </w:p>
        </w:tc>
        <w:tc>
          <w:tcPr>
            <w:tcW w:w="1870" w:type="dxa"/>
            <w:shd w:val="clear" w:color="auto" w:fill="auto"/>
          </w:tcPr>
          <w:p w:rsidR="00AD7CC4" w:rsidRPr="00FB3A0A" w:rsidP="00FB3A0A" w14:paraId="34D39A21" w14:textId="77777777">
            <w:pPr>
              <w:jc w:val="right"/>
              <w:rPr>
                <w:rFonts w:ascii="Times New Roman" w:hAnsi="Times New Roman"/>
              </w:rPr>
            </w:pPr>
            <w:r w:rsidRPr="00FB3A0A">
              <w:rPr>
                <w:rFonts w:ascii="Times New Roman" w:hAnsi="Times New Roman"/>
              </w:rPr>
              <w:t>30</w:t>
            </w:r>
          </w:p>
        </w:tc>
        <w:tc>
          <w:tcPr>
            <w:tcW w:w="1870" w:type="dxa"/>
            <w:shd w:val="clear" w:color="auto" w:fill="auto"/>
          </w:tcPr>
          <w:p w:rsidR="00AD7CC4" w:rsidRPr="00FB3A0A" w:rsidP="00FB3A0A" w14:paraId="34CCC10D" w14:textId="77777777">
            <w:pPr>
              <w:jc w:val="right"/>
              <w:rPr>
                <w:rFonts w:ascii="Times New Roman" w:hAnsi="Times New Roman"/>
              </w:rPr>
            </w:pPr>
            <w:r w:rsidRPr="00FB3A0A">
              <w:rPr>
                <w:rFonts w:ascii="Times New Roman" w:hAnsi="Times New Roman"/>
              </w:rPr>
              <w:t>125,000</w:t>
            </w:r>
          </w:p>
        </w:tc>
        <w:tc>
          <w:tcPr>
            <w:tcW w:w="1870" w:type="dxa"/>
            <w:shd w:val="clear" w:color="auto" w:fill="auto"/>
          </w:tcPr>
          <w:p w:rsidR="00AD7CC4" w:rsidRPr="00FB3A0A" w:rsidP="00FB3A0A" w14:paraId="2E16DA21" w14:textId="48D3F728">
            <w:pPr>
              <w:jc w:val="right"/>
              <w:rPr>
                <w:rFonts w:ascii="Times New Roman" w:hAnsi="Times New Roman"/>
              </w:rPr>
            </w:pPr>
            <w:r w:rsidRPr="00FB3A0A">
              <w:rPr>
                <w:rFonts w:ascii="Times New Roman" w:hAnsi="Times New Roman"/>
              </w:rPr>
              <w:t>$</w:t>
            </w:r>
            <w:r w:rsidR="00D52E0C">
              <w:rPr>
                <w:rFonts w:ascii="Times New Roman" w:hAnsi="Times New Roman"/>
              </w:rPr>
              <w:t>3</w:t>
            </w:r>
            <w:r w:rsidRPr="00FB3A0A" w:rsidR="00B31254">
              <w:rPr>
                <w:rFonts w:ascii="Times New Roman" w:hAnsi="Times New Roman"/>
              </w:rPr>
              <w:t>,</w:t>
            </w:r>
            <w:r w:rsidR="009B0438">
              <w:rPr>
                <w:rFonts w:ascii="Times New Roman" w:hAnsi="Times New Roman"/>
              </w:rPr>
              <w:t>935,000</w:t>
            </w:r>
          </w:p>
        </w:tc>
      </w:tr>
    </w:tbl>
    <w:p w:rsidR="00AD7CC4" w:rsidP="00D52E0C" w14:paraId="3D5FC1A5" w14:textId="77777777">
      <w:pPr>
        <w:ind w:left="720"/>
        <w:rPr>
          <w:rFonts w:ascii="Times New Roman" w:hAnsi="Times New Roman"/>
        </w:rPr>
      </w:pPr>
      <w:r>
        <w:rPr>
          <w:rFonts w:ascii="Times New Roman" w:hAnsi="Times New Roman"/>
        </w:rPr>
        <w:t xml:space="preserve">****We based this dollar amount on the Average Theoretical Hourly Cost </w:t>
      </w:r>
      <w:r>
        <w:rPr>
          <w:rFonts w:ascii="Times New Roman" w:hAnsi="Times New Roman"/>
        </w:rPr>
        <w:t xml:space="preserve">Amount in dollars shown on the burden chart above.  </w:t>
      </w:r>
    </w:p>
    <w:p w:rsidR="00D52E0C" w:rsidP="00AD7CC4" w14:paraId="26C9EE08" w14:textId="77777777">
      <w:pPr>
        <w:ind w:left="360"/>
        <w:rPr>
          <w:rFonts w:ascii="Times New Roman" w:hAnsi="Times New Roman"/>
        </w:rPr>
      </w:pPr>
    </w:p>
    <w:p w:rsidR="00AD7CC4" w:rsidP="00D52E0C" w14:paraId="1D949F40" w14:textId="31C3275D">
      <w:pPr>
        <w:ind w:left="720"/>
        <w:rPr>
          <w:rFonts w:ascii="Times New Roman" w:hAnsi="Times New Roman"/>
        </w:rPr>
      </w:pPr>
      <w:r>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7E4A5A" w:rsidP="00AD7CC4" w14:paraId="69AE1897" w14:textId="77777777">
      <w:pPr>
        <w:pStyle w:val="ListParagraph"/>
        <w:ind w:left="360"/>
        <w:rPr>
          <w:rFonts w:ascii="Times New Roman" w:hAnsi="Times New Roman"/>
        </w:rPr>
      </w:pPr>
    </w:p>
    <w:p w:rsidR="00AD7CC4" w:rsidP="00D52E0C" w14:paraId="56F2377D" w14:textId="77777777">
      <w:pPr>
        <w:pStyle w:val="ListParagraph"/>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AD7CC4" w:rsidP="00AD7CC4" w14:paraId="2547A010" w14:textId="77777777">
      <w:pPr>
        <w:pStyle w:val="ListParagraph"/>
        <w:ind w:left="360"/>
        <w:rPr>
          <w:rFonts w:ascii="Times New Roman" w:hAnsi="Times New Roman"/>
        </w:rPr>
      </w:pPr>
    </w:p>
    <w:p w:rsidR="00AD7CC4" w:rsidRPr="002F73DF" w:rsidP="00D52E0C" w14:paraId="47D43DA2" w14:textId="72F1A6A8">
      <w:pPr>
        <w:pStyle w:val="ListParagraph"/>
        <w:tabs>
          <w:tab w:val="left" w:pos="720"/>
        </w:tabs>
        <w:rPr>
          <w:rFonts w:ascii="Times New Roman" w:hAnsi="Times New Roman"/>
          <w:b/>
        </w:rPr>
      </w:pPr>
      <w:r w:rsidRPr="00535E84">
        <w:rPr>
          <w:rFonts w:ascii="Times New Roman" w:eastAsia="Calibri" w:hAnsi="Times New Roman"/>
          <w:color w:val="000000"/>
        </w:rPr>
        <w:t>We base our burden estimates on current management information data, which includes data from actual interviews, as well as from years of conducting this information collection.  Per our management information data, we believe that 1</w:t>
      </w:r>
      <w:r>
        <w:rPr>
          <w:rFonts w:ascii="Times New Roman" w:eastAsia="Calibri" w:hAnsi="Times New Roman"/>
          <w:color w:val="000000"/>
        </w:rPr>
        <w:t>0</w:t>
      </w:r>
      <w:r w:rsidRPr="00535E84">
        <w:rPr>
          <w:rFonts w:ascii="Times New Roman" w:eastAsia="Calibri" w:hAnsi="Times New Roman"/>
          <w:color w:val="000000"/>
        </w:rPr>
        <w:t xml:space="preserve"> minutes accurately shows the average burden per response for reading the </w:t>
      </w:r>
      <w:r w:rsidRPr="00535E84">
        <w:rPr>
          <w:rFonts w:ascii="Times New Roman" w:eastAsia="Calibri" w:hAnsi="Times New Roman"/>
        </w:rPr>
        <w:t>instructions, gathering the facts, and answering the questions</w:t>
      </w:r>
      <w:r w:rsidRPr="00535E84">
        <w:rPr>
          <w:rFonts w:ascii="Times New Roman" w:eastAsia="Calibri" w:hAnsi="Times New Roman"/>
          <w:color w:val="000000"/>
        </w:rPr>
        <w:t>.  Based on our current management information data, the current burden information we provided is accurate</w:t>
      </w:r>
      <w:r>
        <w:rPr>
          <w:rFonts w:ascii="Times New Roman" w:eastAsia="Calibri" w:hAnsi="Times New Roman"/>
          <w:color w:val="000000"/>
        </w:rPr>
        <w:t xml:space="preserve">.  </w:t>
      </w:r>
      <w:r w:rsidRPr="002F73DF">
        <w:rPr>
          <w:rFonts w:ascii="Times New Roman" w:hAnsi="Times New Roman"/>
        </w:rPr>
        <w:t xml:space="preserve">The total burden for this ICR is </w:t>
      </w:r>
      <w:r w:rsidR="007E4A5A">
        <w:rPr>
          <w:rFonts w:ascii="Times New Roman" w:hAnsi="Times New Roman"/>
          <w:b/>
        </w:rPr>
        <w:t>41,677</w:t>
      </w:r>
      <w:r w:rsidRPr="002F73DF">
        <w:rPr>
          <w:rFonts w:ascii="Times New Roman" w:hAnsi="Times New Roman"/>
          <w:b/>
        </w:rPr>
        <w:t xml:space="preserve"> </w:t>
      </w:r>
      <w:r w:rsidRPr="002F73DF">
        <w:rPr>
          <w:rFonts w:ascii="Times New Roman" w:hAnsi="Times New Roman"/>
        </w:rPr>
        <w:t xml:space="preserve">burden hours (reflecting SSA management information data), which results in an associated theoretical (not actual) opportunity cost financial burden of </w:t>
      </w:r>
      <w:r w:rsidR="00E05512">
        <w:rPr>
          <w:rFonts w:ascii="Times New Roman" w:hAnsi="Times New Roman"/>
          <w:b/>
        </w:rPr>
        <w:t>$</w:t>
      </w:r>
      <w:r w:rsidR="009B0438">
        <w:rPr>
          <w:rFonts w:ascii="Times New Roman" w:hAnsi="Times New Roman"/>
          <w:b/>
        </w:rPr>
        <w:t>8,394,992</w:t>
      </w:r>
      <w:r w:rsidRPr="002F73DF">
        <w:rPr>
          <w:rFonts w:ascii="Times New Roman" w:hAnsi="Times New Roman"/>
        </w:rPr>
        <w:t>.  SSA does not charge respondents to complete our applications.</w:t>
      </w:r>
    </w:p>
    <w:p w:rsidR="003B15EC" w:rsidRPr="004C41A4" w:rsidP="004C41A4" w14:paraId="344D560E" w14:textId="77777777">
      <w:pPr>
        <w:rPr>
          <w:rFonts w:ascii="Times New Roman" w:hAnsi="Times New Roman"/>
        </w:rPr>
      </w:pPr>
      <w:r>
        <w:rPr>
          <w:rFonts w:ascii="Times New Roman" w:hAnsi="Times New Roman"/>
          <w:b/>
        </w:rPr>
        <w:tab/>
      </w:r>
    </w:p>
    <w:p w:rsidR="00A45D82" w:rsidRPr="00BC7F42" w:rsidP="00A45D82" w14:paraId="15EB27A3"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2479F2" w:rsidP="00A45D82" w14:paraId="795C55CD" w14:textId="77777777">
      <w:pPr>
        <w:ind w:left="720"/>
        <w:rPr>
          <w:rFonts w:ascii="Times New Roman" w:hAnsi="Times New Roman"/>
        </w:rPr>
      </w:pPr>
      <w:r w:rsidRPr="002479F2">
        <w:rPr>
          <w:rFonts w:ascii="Times New Roman" w:hAnsi="Times New Roman"/>
        </w:rPr>
        <w:t>This collection does not impose a known cost burden to respondents.</w:t>
      </w:r>
    </w:p>
    <w:p w:rsidR="00A45D82" w:rsidRPr="00BC7F42" w:rsidP="00A45D82" w14:paraId="6654A583" w14:textId="77777777">
      <w:pPr>
        <w:rPr>
          <w:rFonts w:ascii="Times New Roman" w:hAnsi="Times New Roman"/>
        </w:rPr>
      </w:pPr>
    </w:p>
    <w:p w:rsidR="00121032" w:rsidRPr="00121032" w:rsidP="00C11CFE" w14:paraId="585E7F29" w14:textId="77777777">
      <w:pPr>
        <w:numPr>
          <w:ilvl w:val="0"/>
          <w:numId w:val="3"/>
        </w:numPr>
        <w:tabs>
          <w:tab w:val="clear" w:pos="360"/>
          <w:tab w:val="left" w:pos="72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F02F68" w:rsidRPr="00DB21F2" w:rsidP="00DB21F2" w14:paraId="3C41294D" w14:textId="77777777">
      <w:pPr>
        <w:tabs>
          <w:tab w:val="left" w:pos="720"/>
        </w:tabs>
        <w:ind w:left="720"/>
        <w:rPr>
          <w:rFonts w:ascii="Times New Roman" w:hAnsi="Times New Roman"/>
        </w:rPr>
      </w:pPr>
      <w:r>
        <w:rPr>
          <w:rFonts w:ascii="Times New Roman" w:hAnsi="Times New Roman"/>
        </w:rPr>
        <w:t xml:space="preserve"> </w:t>
      </w:r>
    </w:p>
    <w:p w:rsidR="00F02F68" w:rsidP="008E3E68" w14:paraId="2ADA4DE9" w14:textId="6532C4F6">
      <w:pPr>
        <w:ind w:left="720"/>
        <w:rPr>
          <w:rFonts w:ascii="Times New Roman" w:hAnsi="Times New Roman"/>
          <w:color w:val="000000"/>
        </w:rPr>
      </w:pPr>
      <w:r w:rsidRPr="0047588F">
        <w:rPr>
          <w:rFonts w:ascii="Times New Roman" w:hAnsi="Times New Roman"/>
          <w:color w:val="000000"/>
        </w:rPr>
        <w:t>The annual cost to the Federa</w:t>
      </w:r>
      <w:r w:rsidR="00E57FCA">
        <w:rPr>
          <w:rFonts w:ascii="Times New Roman" w:hAnsi="Times New Roman"/>
          <w:color w:val="000000"/>
        </w:rPr>
        <w:t>l Government is approximately $</w:t>
      </w:r>
      <w:r w:rsidR="00EC015C">
        <w:rPr>
          <w:rFonts w:ascii="Times New Roman" w:hAnsi="Times New Roman"/>
          <w:color w:val="000000"/>
        </w:rPr>
        <w:t>1,444,63</w:t>
      </w:r>
      <w:r w:rsidR="002406BD">
        <w:rPr>
          <w:rFonts w:ascii="Times New Roman" w:hAnsi="Times New Roman"/>
          <w:color w:val="000000"/>
        </w:rPr>
        <w:t>1</w:t>
      </w:r>
      <w:r w:rsidR="00E87565">
        <w:rPr>
          <w:rFonts w:ascii="Times New Roman" w:hAnsi="Times New Roman"/>
          <w:color w:val="000000"/>
        </w:rPr>
        <w:t xml:space="preserve">. </w:t>
      </w:r>
      <w:r w:rsidRPr="0047588F">
        <w:rPr>
          <w:rFonts w:ascii="Times New Roman" w:hAnsi="Times New Roman"/>
          <w:color w:val="000000"/>
        </w:rPr>
        <w:t>This estimate accounts for costs from the following areas:</w:t>
      </w:r>
    </w:p>
    <w:p w:rsidR="008E3E68" w:rsidP="008E3E68" w14:paraId="44E8724A" w14:textId="77777777">
      <w:pPr>
        <w:ind w:left="720"/>
        <w:rPr>
          <w:rFonts w:ascii="Times New Roman" w:hAnsi="Times New Roman"/>
          <w:color w:val="00000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515"/>
        <w:gridCol w:w="2880"/>
      </w:tblGrid>
      <w:tr w14:paraId="348EA59A" w14:textId="77777777" w:rsidTr="008E3E68">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20" w:type="dxa"/>
            <w:shd w:val="clear" w:color="auto" w:fill="auto"/>
          </w:tcPr>
          <w:p w:rsidR="00F02F68" w:rsidRPr="00EF43B0" w:rsidP="00EF43B0" w14:paraId="13EB9C71" w14:textId="77777777">
            <w:pPr>
              <w:pStyle w:val="ListParagraph"/>
              <w:ind w:left="0"/>
              <w:rPr>
                <w:rFonts w:ascii="Times New Roman" w:hAnsi="Times New Roman"/>
                <w:b/>
                <w:bCs/>
                <w:color w:val="000000"/>
              </w:rPr>
            </w:pPr>
            <w:r w:rsidRPr="00EF43B0">
              <w:rPr>
                <w:rFonts w:ascii="Times New Roman" w:hAnsi="Times New Roman"/>
                <w:b/>
                <w:bCs/>
                <w:color w:val="000000"/>
              </w:rPr>
              <w:t>Description of Cost Factor</w:t>
            </w:r>
          </w:p>
        </w:tc>
        <w:tc>
          <w:tcPr>
            <w:tcW w:w="2515" w:type="dxa"/>
            <w:shd w:val="clear" w:color="auto" w:fill="auto"/>
          </w:tcPr>
          <w:p w:rsidR="00F02F68" w:rsidRPr="00EF43B0" w:rsidP="00EF43B0" w14:paraId="50DD68C0" w14:textId="77777777">
            <w:pPr>
              <w:pStyle w:val="ListParagraph"/>
              <w:ind w:left="0"/>
              <w:rPr>
                <w:rFonts w:ascii="Times New Roman" w:hAnsi="Times New Roman"/>
                <w:b/>
                <w:bCs/>
                <w:color w:val="000000"/>
              </w:rPr>
            </w:pPr>
            <w:r w:rsidRPr="00EF43B0">
              <w:rPr>
                <w:rFonts w:ascii="Times New Roman" w:hAnsi="Times New Roman"/>
                <w:b/>
                <w:bCs/>
                <w:color w:val="000000"/>
              </w:rPr>
              <w:t>Methodology for Estimating Cost</w:t>
            </w:r>
          </w:p>
        </w:tc>
        <w:tc>
          <w:tcPr>
            <w:tcW w:w="2880" w:type="dxa"/>
            <w:shd w:val="clear" w:color="auto" w:fill="auto"/>
          </w:tcPr>
          <w:p w:rsidR="00F02F68" w:rsidRPr="00EF43B0" w:rsidP="00EF43B0" w14:paraId="59087573" w14:textId="77777777">
            <w:pPr>
              <w:pStyle w:val="ListParagraph"/>
              <w:ind w:left="0"/>
              <w:rPr>
                <w:rFonts w:ascii="Times New Roman" w:hAnsi="Times New Roman"/>
                <w:b/>
                <w:bCs/>
                <w:color w:val="000000"/>
              </w:rPr>
            </w:pPr>
            <w:r w:rsidRPr="00EF43B0">
              <w:rPr>
                <w:rFonts w:ascii="Times New Roman" w:hAnsi="Times New Roman"/>
                <w:b/>
                <w:bCs/>
                <w:color w:val="000000"/>
              </w:rPr>
              <w:t>Cost in Dollars*</w:t>
            </w:r>
          </w:p>
        </w:tc>
      </w:tr>
      <w:tr w14:paraId="07BF197E" w14:textId="77777777" w:rsidTr="008E3E68">
        <w:tblPrEx>
          <w:tblW w:w="0" w:type="auto"/>
          <w:tblInd w:w="715" w:type="dxa"/>
          <w:tblLook w:val="04A0"/>
        </w:tblPrEx>
        <w:tc>
          <w:tcPr>
            <w:tcW w:w="2520" w:type="dxa"/>
            <w:shd w:val="clear" w:color="auto" w:fill="auto"/>
          </w:tcPr>
          <w:p w:rsidR="00F02F68" w:rsidRPr="00EF43B0" w:rsidP="00EF43B0" w14:paraId="5F73E334" w14:textId="77777777">
            <w:pPr>
              <w:pStyle w:val="ListParagraph"/>
              <w:ind w:left="0"/>
              <w:rPr>
                <w:rFonts w:ascii="Times New Roman" w:hAnsi="Times New Roman"/>
                <w:color w:val="000000"/>
              </w:rPr>
            </w:pPr>
            <w:r w:rsidRPr="00EF43B0">
              <w:rPr>
                <w:rFonts w:ascii="Times New Roman" w:hAnsi="Times New Roman"/>
                <w:color w:val="000000"/>
              </w:rPr>
              <w:t>Designing and Printing the Form</w:t>
            </w:r>
          </w:p>
        </w:tc>
        <w:tc>
          <w:tcPr>
            <w:tcW w:w="2515" w:type="dxa"/>
            <w:shd w:val="clear" w:color="auto" w:fill="auto"/>
          </w:tcPr>
          <w:p w:rsidR="00F02F68" w:rsidRPr="00EF43B0" w:rsidP="00EF43B0" w14:paraId="7BE02F0F" w14:textId="77777777">
            <w:pPr>
              <w:pStyle w:val="ListParagraph"/>
              <w:ind w:left="0"/>
              <w:rPr>
                <w:rFonts w:ascii="Times New Roman" w:hAnsi="Times New Roman"/>
                <w:color w:val="000000"/>
              </w:rPr>
            </w:pPr>
            <w:r w:rsidRPr="00EF43B0">
              <w:rPr>
                <w:rFonts w:ascii="Times New Roman" w:hAnsi="Times New Roman"/>
                <w:color w:val="000000"/>
              </w:rPr>
              <w:t>Design Cost + Printing Cost</w:t>
            </w:r>
          </w:p>
        </w:tc>
        <w:tc>
          <w:tcPr>
            <w:tcW w:w="2880" w:type="dxa"/>
            <w:shd w:val="clear" w:color="auto" w:fill="auto"/>
          </w:tcPr>
          <w:p w:rsidR="00F02F68" w:rsidRPr="008E3E68" w:rsidP="008E3E68" w14:paraId="627A453D" w14:textId="08CF0D5A">
            <w:pPr>
              <w:pStyle w:val="ListParagraph"/>
              <w:ind w:left="0"/>
              <w:jc w:val="right"/>
              <w:rPr>
                <w:rFonts w:ascii="Times New Roman" w:hAnsi="Times New Roman"/>
                <w:color w:val="000000"/>
              </w:rPr>
            </w:pPr>
            <w:r w:rsidRPr="008E3E68">
              <w:rPr>
                <w:rFonts w:ascii="Times New Roman" w:hAnsi="Times New Roman"/>
                <w:color w:val="000000"/>
              </w:rPr>
              <w:t>$58</w:t>
            </w:r>
            <w:r w:rsidR="002406BD">
              <w:rPr>
                <w:rFonts w:ascii="Times New Roman" w:hAnsi="Times New Roman"/>
                <w:color w:val="000000"/>
              </w:rPr>
              <w:t>6</w:t>
            </w:r>
          </w:p>
        </w:tc>
      </w:tr>
      <w:tr w14:paraId="524E555B" w14:textId="77777777" w:rsidTr="008E3E68">
        <w:tblPrEx>
          <w:tblW w:w="0" w:type="auto"/>
          <w:tblInd w:w="715" w:type="dxa"/>
          <w:tblLook w:val="04A0"/>
        </w:tblPrEx>
        <w:tc>
          <w:tcPr>
            <w:tcW w:w="2520" w:type="dxa"/>
            <w:shd w:val="clear" w:color="auto" w:fill="auto"/>
          </w:tcPr>
          <w:p w:rsidR="00F02F68" w:rsidRPr="00EF43B0" w:rsidP="00EF43B0" w14:paraId="4941B291" w14:textId="77777777">
            <w:pPr>
              <w:pStyle w:val="ListParagraph"/>
              <w:ind w:left="0"/>
              <w:rPr>
                <w:rFonts w:ascii="Times New Roman" w:hAnsi="Times New Roman"/>
                <w:color w:val="000000"/>
              </w:rPr>
            </w:pPr>
            <w:r w:rsidRPr="00EF43B0">
              <w:rPr>
                <w:rFonts w:ascii="Times New Roman" w:hAnsi="Times New Roman"/>
                <w:color w:val="000000"/>
              </w:rPr>
              <w:t>Distributing, Shipping, and Material Costs for the Form</w:t>
            </w:r>
          </w:p>
        </w:tc>
        <w:tc>
          <w:tcPr>
            <w:tcW w:w="2515" w:type="dxa"/>
            <w:shd w:val="clear" w:color="auto" w:fill="auto"/>
          </w:tcPr>
          <w:p w:rsidR="00F02F68" w:rsidRPr="00EF43B0" w:rsidP="00EF43B0" w14:paraId="786C3C90" w14:textId="77777777">
            <w:pPr>
              <w:pStyle w:val="ListParagraph"/>
              <w:ind w:left="0"/>
              <w:rPr>
                <w:rFonts w:ascii="Times New Roman" w:hAnsi="Times New Roman"/>
                <w:color w:val="000000"/>
              </w:rPr>
            </w:pPr>
            <w:r w:rsidRPr="00EF43B0">
              <w:rPr>
                <w:rFonts w:ascii="Times New Roman" w:hAnsi="Times New Roman"/>
                <w:color w:val="000000"/>
              </w:rPr>
              <w:t>Distribution + Shipping + Material Cost</w:t>
            </w:r>
          </w:p>
        </w:tc>
        <w:tc>
          <w:tcPr>
            <w:tcW w:w="2880" w:type="dxa"/>
            <w:shd w:val="clear" w:color="auto" w:fill="auto"/>
          </w:tcPr>
          <w:p w:rsidR="00F02F68" w:rsidRPr="008E3E68" w:rsidP="008E3E68" w14:paraId="6B5C62FC" w14:textId="77777777">
            <w:pPr>
              <w:pStyle w:val="ListParagraph"/>
              <w:ind w:left="0"/>
              <w:jc w:val="right"/>
              <w:rPr>
                <w:rFonts w:ascii="Times New Roman" w:hAnsi="Times New Roman"/>
                <w:color w:val="000000"/>
              </w:rPr>
            </w:pPr>
            <w:r w:rsidRPr="008E3E68">
              <w:rPr>
                <w:rFonts w:ascii="Times New Roman" w:hAnsi="Times New Roman"/>
                <w:color w:val="000000"/>
              </w:rPr>
              <w:t>$0</w:t>
            </w:r>
          </w:p>
        </w:tc>
      </w:tr>
      <w:tr w14:paraId="0EF52F54" w14:textId="77777777" w:rsidTr="008E3E68">
        <w:tblPrEx>
          <w:tblW w:w="0" w:type="auto"/>
          <w:tblInd w:w="715" w:type="dxa"/>
          <w:tblLook w:val="04A0"/>
        </w:tblPrEx>
        <w:tc>
          <w:tcPr>
            <w:tcW w:w="2520" w:type="dxa"/>
            <w:shd w:val="clear" w:color="auto" w:fill="auto"/>
          </w:tcPr>
          <w:p w:rsidR="00F02F68" w:rsidRPr="00EF43B0" w:rsidP="00EF43B0" w14:paraId="222D6EFC" w14:textId="77777777">
            <w:pPr>
              <w:pStyle w:val="ListParagraph"/>
              <w:ind w:left="0"/>
              <w:rPr>
                <w:rFonts w:ascii="Times New Roman" w:hAnsi="Times New Roman"/>
                <w:color w:val="000000"/>
              </w:rPr>
            </w:pPr>
            <w:r w:rsidRPr="00EF43B0">
              <w:rPr>
                <w:rFonts w:ascii="Times New Roman" w:hAnsi="Times New Roman"/>
                <w:color w:val="000000"/>
              </w:rPr>
              <w:t xml:space="preserve">SSA Employee (e.g., field office, 800 number, DDS staff) </w:t>
            </w:r>
            <w:r w:rsidRPr="00EF43B0">
              <w:rPr>
                <w:rFonts w:ascii="Times New Roman" w:hAnsi="Times New Roman"/>
                <w:color w:val="000000"/>
              </w:rPr>
              <w:t>Information Collection and Processing Time</w:t>
            </w:r>
          </w:p>
        </w:tc>
        <w:tc>
          <w:tcPr>
            <w:tcW w:w="2515" w:type="dxa"/>
            <w:shd w:val="clear" w:color="auto" w:fill="auto"/>
          </w:tcPr>
          <w:p w:rsidR="00F02F68" w:rsidRPr="00EF43B0" w:rsidP="00EF43B0" w14:paraId="440774BE" w14:textId="77777777">
            <w:pPr>
              <w:pStyle w:val="ListParagraph"/>
              <w:ind w:left="0"/>
              <w:rPr>
                <w:rFonts w:ascii="Times New Roman" w:hAnsi="Times New Roman"/>
                <w:color w:val="000000"/>
              </w:rPr>
            </w:pPr>
            <w:r w:rsidRPr="00EF43B0">
              <w:rPr>
                <w:rFonts w:ascii="Times New Roman" w:hAnsi="Times New Roman"/>
                <w:color w:val="000000"/>
              </w:rPr>
              <w:t>GS-9 employee x # of responses x processing time</w:t>
            </w:r>
          </w:p>
        </w:tc>
        <w:tc>
          <w:tcPr>
            <w:tcW w:w="2880" w:type="dxa"/>
            <w:shd w:val="clear" w:color="auto" w:fill="auto"/>
          </w:tcPr>
          <w:p w:rsidR="00F02F68" w:rsidRPr="008E3E68" w:rsidP="008E3E68" w14:paraId="6D166387" w14:textId="77777777">
            <w:pPr>
              <w:pStyle w:val="ListParagraph"/>
              <w:ind w:left="0"/>
              <w:jc w:val="right"/>
              <w:rPr>
                <w:rFonts w:ascii="Times New Roman" w:hAnsi="Times New Roman"/>
                <w:color w:val="000000"/>
              </w:rPr>
            </w:pPr>
            <w:r w:rsidRPr="008E3E68">
              <w:rPr>
                <w:rFonts w:ascii="Times New Roman" w:hAnsi="Times New Roman"/>
                <w:color w:val="000000"/>
              </w:rPr>
              <w:t>1,440,625</w:t>
            </w:r>
          </w:p>
        </w:tc>
      </w:tr>
      <w:tr w14:paraId="4A9E9D7B" w14:textId="77777777" w:rsidTr="008E3E68">
        <w:tblPrEx>
          <w:tblW w:w="0" w:type="auto"/>
          <w:tblInd w:w="715" w:type="dxa"/>
          <w:tblLook w:val="04A0"/>
        </w:tblPrEx>
        <w:tc>
          <w:tcPr>
            <w:tcW w:w="2520" w:type="dxa"/>
            <w:shd w:val="clear" w:color="auto" w:fill="auto"/>
          </w:tcPr>
          <w:p w:rsidR="00F02F68" w:rsidRPr="00EF43B0" w:rsidP="00EF43B0" w14:paraId="6F25519A" w14:textId="77777777">
            <w:pPr>
              <w:pStyle w:val="ListParagraph"/>
              <w:ind w:left="0"/>
              <w:rPr>
                <w:rFonts w:ascii="Times New Roman" w:hAnsi="Times New Roman"/>
                <w:color w:val="000000"/>
              </w:rPr>
            </w:pPr>
            <w:r w:rsidRPr="00EF43B0">
              <w:rPr>
                <w:rFonts w:ascii="Times New Roman" w:hAnsi="Times New Roman"/>
                <w:color w:val="000000"/>
              </w:rPr>
              <w:t>Full-Time Equivalent Costs</w:t>
            </w:r>
          </w:p>
        </w:tc>
        <w:tc>
          <w:tcPr>
            <w:tcW w:w="2515" w:type="dxa"/>
            <w:shd w:val="clear" w:color="auto" w:fill="auto"/>
          </w:tcPr>
          <w:p w:rsidR="00F02F68" w:rsidRPr="00EF43B0" w:rsidP="00EF43B0" w14:paraId="05B8619B" w14:textId="77777777">
            <w:pPr>
              <w:pStyle w:val="ListParagraph"/>
              <w:ind w:left="0"/>
              <w:rPr>
                <w:rFonts w:ascii="Times New Roman" w:hAnsi="Times New Roman"/>
                <w:color w:val="000000"/>
              </w:rPr>
            </w:pPr>
            <w:r w:rsidRPr="00EF43B0">
              <w:rPr>
                <w:rFonts w:ascii="Times New Roman" w:hAnsi="Times New Roman"/>
                <w:color w:val="000000"/>
              </w:rPr>
              <w:t>Out of pocket costs + Other expenses for providing this service</w:t>
            </w:r>
          </w:p>
        </w:tc>
        <w:tc>
          <w:tcPr>
            <w:tcW w:w="2880" w:type="dxa"/>
            <w:shd w:val="clear" w:color="auto" w:fill="auto"/>
          </w:tcPr>
          <w:p w:rsidR="00F02F68" w:rsidRPr="008E3E68" w:rsidP="008E3E68" w14:paraId="0D853713" w14:textId="77777777">
            <w:pPr>
              <w:pStyle w:val="ListParagraph"/>
              <w:ind w:left="0"/>
              <w:jc w:val="right"/>
              <w:rPr>
                <w:rFonts w:ascii="Times New Roman" w:hAnsi="Times New Roman"/>
                <w:color w:val="000000"/>
              </w:rPr>
            </w:pPr>
            <w:r w:rsidRPr="008E3E68">
              <w:rPr>
                <w:rFonts w:ascii="Times New Roman" w:hAnsi="Times New Roman"/>
                <w:color w:val="000000"/>
              </w:rPr>
              <w:t>$0</w:t>
            </w:r>
          </w:p>
        </w:tc>
      </w:tr>
      <w:tr w14:paraId="2C3109D2" w14:textId="77777777" w:rsidTr="008E3E68">
        <w:tblPrEx>
          <w:tblW w:w="0" w:type="auto"/>
          <w:tblInd w:w="715" w:type="dxa"/>
          <w:tblLook w:val="04A0"/>
        </w:tblPrEx>
        <w:tc>
          <w:tcPr>
            <w:tcW w:w="2520" w:type="dxa"/>
            <w:shd w:val="clear" w:color="auto" w:fill="auto"/>
          </w:tcPr>
          <w:p w:rsidR="00F02F68" w:rsidRPr="00EF43B0" w:rsidP="00EF43B0" w14:paraId="420C5FC2" w14:textId="77777777">
            <w:pPr>
              <w:pStyle w:val="ListParagraph"/>
              <w:ind w:left="0"/>
              <w:rPr>
                <w:rFonts w:ascii="Times New Roman" w:hAnsi="Times New Roman"/>
                <w:color w:val="000000"/>
              </w:rPr>
            </w:pPr>
            <w:r w:rsidRPr="00EF43B0">
              <w:rPr>
                <w:rFonts w:ascii="Times New Roman" w:hAnsi="Times New Roman"/>
                <w:color w:val="000000"/>
              </w:rPr>
              <w:t>Systems Development, Updating, and Maintenance</w:t>
            </w:r>
          </w:p>
        </w:tc>
        <w:tc>
          <w:tcPr>
            <w:tcW w:w="2515" w:type="dxa"/>
            <w:shd w:val="clear" w:color="auto" w:fill="auto"/>
          </w:tcPr>
          <w:p w:rsidR="00F02F68" w:rsidRPr="00EF43B0" w:rsidP="00EF43B0" w14:paraId="6FC27AC7" w14:textId="77777777">
            <w:pPr>
              <w:pStyle w:val="ListParagraph"/>
              <w:ind w:left="0"/>
              <w:rPr>
                <w:rFonts w:ascii="Times New Roman" w:hAnsi="Times New Roman"/>
                <w:color w:val="000000"/>
              </w:rPr>
            </w:pPr>
            <w:r w:rsidRPr="00EF43B0">
              <w:rPr>
                <w:rFonts w:ascii="Times New Roman" w:hAnsi="Times New Roman"/>
                <w:color w:val="000000"/>
              </w:rPr>
              <w:t>GS-9 employee x man hours for development, updating, maintenance</w:t>
            </w:r>
          </w:p>
        </w:tc>
        <w:tc>
          <w:tcPr>
            <w:tcW w:w="2880" w:type="dxa"/>
            <w:shd w:val="clear" w:color="auto" w:fill="auto"/>
          </w:tcPr>
          <w:p w:rsidR="00F02F68" w:rsidRPr="008E3E68" w:rsidP="008E3E68" w14:paraId="12ED1450" w14:textId="57930C98">
            <w:pPr>
              <w:pStyle w:val="ListParagraph"/>
              <w:ind w:left="0"/>
              <w:jc w:val="right"/>
              <w:rPr>
                <w:rFonts w:ascii="Times New Roman" w:hAnsi="Times New Roman"/>
                <w:bCs/>
                <w:color w:val="000000"/>
              </w:rPr>
            </w:pPr>
            <w:r w:rsidRPr="008E3E68">
              <w:rPr>
                <w:rFonts w:ascii="Times New Roman" w:hAnsi="Times New Roman"/>
                <w:bCs/>
                <w:color w:val="000000"/>
              </w:rPr>
              <w:t>$3,420</w:t>
            </w:r>
          </w:p>
        </w:tc>
      </w:tr>
      <w:tr w14:paraId="07614608" w14:textId="77777777" w:rsidTr="008E3E68">
        <w:tblPrEx>
          <w:tblW w:w="0" w:type="auto"/>
          <w:tblInd w:w="715" w:type="dxa"/>
          <w:tblLook w:val="04A0"/>
        </w:tblPrEx>
        <w:tc>
          <w:tcPr>
            <w:tcW w:w="2520" w:type="dxa"/>
            <w:shd w:val="clear" w:color="auto" w:fill="auto"/>
          </w:tcPr>
          <w:p w:rsidR="00F02F68" w:rsidRPr="00EF43B0" w:rsidP="00EF43B0" w14:paraId="70527F13" w14:textId="77777777">
            <w:pPr>
              <w:pStyle w:val="ListParagraph"/>
              <w:ind w:left="0"/>
              <w:rPr>
                <w:rFonts w:ascii="Times New Roman" w:hAnsi="Times New Roman"/>
                <w:color w:val="000000"/>
              </w:rPr>
            </w:pPr>
            <w:r w:rsidRPr="00EF43B0">
              <w:rPr>
                <w:rFonts w:ascii="Times New Roman" w:hAnsi="Times New Roman"/>
                <w:color w:val="000000"/>
              </w:rPr>
              <w:t>Quantifiable IT Costs</w:t>
            </w:r>
          </w:p>
        </w:tc>
        <w:tc>
          <w:tcPr>
            <w:tcW w:w="2515" w:type="dxa"/>
            <w:shd w:val="clear" w:color="auto" w:fill="auto"/>
          </w:tcPr>
          <w:p w:rsidR="00F02F68" w:rsidRPr="00EF43B0" w:rsidP="00EF43B0" w14:paraId="27E1E82D" w14:textId="77777777">
            <w:pPr>
              <w:pStyle w:val="ListParagraph"/>
              <w:ind w:left="0"/>
              <w:rPr>
                <w:rFonts w:ascii="Times New Roman" w:hAnsi="Times New Roman"/>
                <w:color w:val="000000"/>
              </w:rPr>
            </w:pPr>
            <w:r w:rsidRPr="00EF43B0">
              <w:rPr>
                <w:rFonts w:ascii="Times New Roman" w:hAnsi="Times New Roman"/>
                <w:color w:val="000000"/>
              </w:rPr>
              <w:t>Any additional IT costs</w:t>
            </w:r>
          </w:p>
        </w:tc>
        <w:tc>
          <w:tcPr>
            <w:tcW w:w="2880" w:type="dxa"/>
            <w:shd w:val="clear" w:color="auto" w:fill="auto"/>
          </w:tcPr>
          <w:p w:rsidR="00F02F68" w:rsidRPr="008E3E68" w:rsidP="008E3E68" w14:paraId="2094CBF5" w14:textId="77777777">
            <w:pPr>
              <w:pStyle w:val="ListParagraph"/>
              <w:ind w:left="0"/>
              <w:jc w:val="right"/>
              <w:rPr>
                <w:rFonts w:ascii="Times New Roman" w:hAnsi="Times New Roman"/>
                <w:color w:val="000000"/>
              </w:rPr>
            </w:pPr>
            <w:r w:rsidRPr="008E3E68">
              <w:rPr>
                <w:rFonts w:ascii="Times New Roman" w:hAnsi="Times New Roman"/>
                <w:color w:val="000000"/>
              </w:rPr>
              <w:t>$0</w:t>
            </w:r>
          </w:p>
        </w:tc>
      </w:tr>
      <w:tr w14:paraId="202AA3C1" w14:textId="77777777" w:rsidTr="008E3E68">
        <w:tblPrEx>
          <w:tblW w:w="0" w:type="auto"/>
          <w:tblInd w:w="715" w:type="dxa"/>
          <w:tblLook w:val="04A0"/>
        </w:tblPrEx>
        <w:tc>
          <w:tcPr>
            <w:tcW w:w="2520" w:type="dxa"/>
            <w:shd w:val="clear" w:color="auto" w:fill="auto"/>
          </w:tcPr>
          <w:p w:rsidR="00F02F68" w:rsidRPr="00EF43B0" w:rsidP="00EF43B0" w14:paraId="3991433B" w14:textId="77777777">
            <w:pPr>
              <w:pStyle w:val="ListParagraph"/>
              <w:ind w:left="0"/>
              <w:rPr>
                <w:rFonts w:ascii="Times New Roman" w:hAnsi="Times New Roman"/>
                <w:b/>
                <w:bCs/>
                <w:color w:val="000000"/>
              </w:rPr>
            </w:pPr>
            <w:r w:rsidRPr="00EF43B0">
              <w:rPr>
                <w:rFonts w:ascii="Times New Roman" w:hAnsi="Times New Roman"/>
                <w:b/>
                <w:bCs/>
                <w:color w:val="000000"/>
              </w:rPr>
              <w:t>Total</w:t>
            </w:r>
          </w:p>
        </w:tc>
        <w:tc>
          <w:tcPr>
            <w:tcW w:w="2515" w:type="dxa"/>
            <w:shd w:val="clear" w:color="auto" w:fill="auto"/>
          </w:tcPr>
          <w:p w:rsidR="00F02F68" w:rsidRPr="00EF43B0" w:rsidP="00EF43B0" w14:paraId="14CD001C" w14:textId="77777777">
            <w:pPr>
              <w:pStyle w:val="ListParagraph"/>
              <w:ind w:left="0"/>
              <w:rPr>
                <w:rFonts w:ascii="Times New Roman" w:hAnsi="Times New Roman"/>
                <w:b/>
                <w:bCs/>
                <w:color w:val="000000"/>
              </w:rPr>
            </w:pPr>
          </w:p>
        </w:tc>
        <w:tc>
          <w:tcPr>
            <w:tcW w:w="2880" w:type="dxa"/>
            <w:shd w:val="clear" w:color="auto" w:fill="auto"/>
          </w:tcPr>
          <w:p w:rsidR="00F02F68" w:rsidRPr="008E3E68" w:rsidP="008E3E68" w14:paraId="1789E533" w14:textId="4EDBA5EF">
            <w:pPr>
              <w:pStyle w:val="ListParagraph"/>
              <w:ind w:left="0"/>
              <w:jc w:val="right"/>
              <w:rPr>
                <w:rFonts w:ascii="Times New Roman" w:hAnsi="Times New Roman"/>
                <w:b/>
                <w:bCs/>
                <w:color w:val="000000"/>
              </w:rPr>
            </w:pPr>
            <w:r w:rsidRPr="008E3E68">
              <w:rPr>
                <w:rFonts w:ascii="Times New Roman" w:hAnsi="Times New Roman"/>
                <w:b/>
                <w:bCs/>
                <w:color w:val="000000"/>
              </w:rPr>
              <w:t>$1,444,63</w:t>
            </w:r>
            <w:r w:rsidR="002406BD">
              <w:rPr>
                <w:rFonts w:ascii="Times New Roman" w:hAnsi="Times New Roman"/>
                <w:b/>
                <w:bCs/>
                <w:color w:val="000000"/>
              </w:rPr>
              <w:t>1</w:t>
            </w:r>
          </w:p>
        </w:tc>
      </w:tr>
    </w:tbl>
    <w:p w:rsidR="008E3E68" w:rsidP="008E3E68" w14:paraId="472838E0" w14:textId="77777777">
      <w:pPr>
        <w:spacing w:after="160" w:line="259" w:lineRule="auto"/>
        <w:ind w:left="720"/>
        <w:rPr>
          <w:rFonts w:ascii="Times New Roman" w:hAnsi="Times New Roman" w:eastAsiaTheme="minorHAnsi"/>
          <w:color w:val="000000"/>
        </w:rPr>
      </w:pPr>
      <w:r w:rsidRPr="00F701EF">
        <w:rPr>
          <w:rFonts w:ascii="Times New Roman" w:hAnsi="Times New Roman" w:eastAsiaTheme="minorHAnsi"/>
          <w:color w:val="000000"/>
        </w:rPr>
        <w:t>* We have inserted a $0 amount for cost factors that do not apply to this collection.</w:t>
      </w:r>
    </w:p>
    <w:p w:rsidR="00A06BE2" w:rsidP="008E3E68" w14:paraId="1ED8EEDE" w14:textId="29D3253D">
      <w:pPr>
        <w:tabs>
          <w:tab w:val="left" w:pos="720"/>
        </w:tabs>
        <w:ind w:left="720"/>
        <w:rPr>
          <w:rFonts w:ascii="Times New Roman" w:hAnsi="Times New Roman"/>
        </w:rPr>
      </w:pPr>
      <w:r w:rsidRPr="00F701EF">
        <w:rPr>
          <w:rFonts w:ascii="Times New Roman" w:hAnsi="Times New Roman" w:eastAsiaTheme="minorHAnsi"/>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eastAsiaTheme="minorHAnsi"/>
          <w:color w:val="000000"/>
        </w:rPr>
        <w:t>.</w:t>
      </w:r>
    </w:p>
    <w:p w:rsidR="00A45D82" w:rsidRPr="00BC7F42" w:rsidP="00BF4955" w14:paraId="035086A1" w14:textId="77777777">
      <w:pPr>
        <w:rPr>
          <w:rFonts w:ascii="Times New Roman" w:hAnsi="Times New Roman"/>
          <w:i/>
        </w:rPr>
      </w:pPr>
    </w:p>
    <w:p w:rsidR="00063A05" w:rsidP="00A45D82" w14:paraId="43498902"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CA5F75" w:rsidP="001D1133" w14:paraId="7719E63F" w14:textId="323AB0D4">
      <w:pPr>
        <w:ind w:left="720"/>
        <w:rPr>
          <w:rFonts w:ascii="Times New Roman" w:hAnsi="Times New Roman"/>
        </w:rPr>
      </w:pPr>
      <w:r w:rsidRPr="00CC6F8D">
        <w:rPr>
          <w:rFonts w:ascii="Times New Roman" w:hAnsi="Times New Roman"/>
        </w:rPr>
        <w:t>There are no changes to the public reporting burden.</w:t>
      </w:r>
      <w:r w:rsidR="001D1133">
        <w:rPr>
          <w:rFonts w:ascii="Times New Roman" w:hAnsi="Times New Roman"/>
        </w:rPr>
        <w:t xml:space="preserve">  However, we updated the burden in ROCIS to include the </w:t>
      </w:r>
      <w:r w:rsidR="00BF61EF">
        <w:rPr>
          <w:rFonts w:ascii="Times New Roman" w:hAnsi="Times New Roman"/>
        </w:rPr>
        <w:t>30-minute</w:t>
      </w:r>
      <w:r w:rsidR="001D1133">
        <w:rPr>
          <w:rFonts w:ascii="Times New Roman" w:hAnsi="Times New Roman"/>
        </w:rPr>
        <w:t xml:space="preserve"> travel time to the field office, which increased the overall burden for this collection.</w:t>
      </w:r>
    </w:p>
    <w:p w:rsidR="00C11CFE" w:rsidP="001D1133" w14:paraId="109E8112" w14:textId="2BCA5107">
      <w:pPr>
        <w:ind w:left="720"/>
        <w:rPr>
          <w:rFonts w:ascii="Times New Roman" w:hAnsi="Times New Roman"/>
        </w:rPr>
      </w:pPr>
    </w:p>
    <w:p w:rsidR="00C11CFE" w:rsidRPr="00DB21F2" w:rsidP="001D1133" w14:paraId="0B9349F2" w14:textId="1693AD39">
      <w:pPr>
        <w:ind w:left="720"/>
        <w:rPr>
          <w:rFonts w:ascii="Times New Roman" w:hAnsi="Times New Roman"/>
          <w:b/>
        </w:rPr>
      </w:pPr>
      <w:r>
        <w:rPr>
          <w:rFonts w:ascii="Times New Roman" w:hAnsi="Times New Roman"/>
        </w:rPr>
        <w:t>*Note:  The total burden reflected in ROCIS is 266,667, while the burden cited in #12 above is 41,667.  This discrepancy is because the ROCIS burden reflects the following components:  field office waiting time + a rough estimate of a 30</w:t>
      </w:r>
      <w:r>
        <w:rPr>
          <w:rFonts w:ascii="Times New Roman" w:hAnsi="Times New Roman"/>
        </w:rPr>
        <w:noBreakHyphen/>
        <w:t>minute, one-way, drive burden.  In contrast, the chart in #12 above reflects actual burden.</w:t>
      </w:r>
    </w:p>
    <w:p w:rsidR="00145796" w:rsidRPr="00BC7F42" w:rsidP="00A45D82" w14:paraId="37A2EB89" w14:textId="77777777">
      <w:pPr>
        <w:rPr>
          <w:rFonts w:ascii="Times New Roman" w:hAnsi="Times New Roman"/>
        </w:rPr>
      </w:pPr>
    </w:p>
    <w:p w:rsidR="00063A05" w:rsidP="00A45D82" w14:paraId="0032A8EF" w14:textId="77777777">
      <w:pPr>
        <w:ind w:left="720" w:hanging="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CC6F8D" w:rsidP="00A45D82" w14:paraId="32879B36" w14:textId="77777777">
      <w:pPr>
        <w:ind w:left="720" w:hanging="720"/>
        <w:rPr>
          <w:rFonts w:ascii="Times New Roman" w:hAnsi="Times New Roman"/>
        </w:rPr>
      </w:pPr>
      <w:r>
        <w:rPr>
          <w:rFonts w:ascii="Times New Roman" w:hAnsi="Times New Roman"/>
        </w:rPr>
        <w:tab/>
      </w:r>
      <w:r w:rsidRPr="00CC6F8D">
        <w:rPr>
          <w:rFonts w:ascii="Times New Roman" w:hAnsi="Times New Roman"/>
        </w:rPr>
        <w:t>SSA will not publish the results of the information collection.</w:t>
      </w:r>
    </w:p>
    <w:p w:rsidR="00A45D82" w:rsidRPr="00BC7F42" w:rsidP="00A45D82" w14:paraId="175A3DEA" w14:textId="77777777">
      <w:pPr>
        <w:pStyle w:val="Header"/>
        <w:tabs>
          <w:tab w:val="clear" w:pos="4320"/>
          <w:tab w:val="clear" w:pos="8640"/>
        </w:tabs>
        <w:rPr>
          <w:rFonts w:ascii="Times New Roman" w:hAnsi="Times New Roman"/>
        </w:rPr>
      </w:pPr>
    </w:p>
    <w:p w:rsidR="003B30B4" w:rsidP="00A45D82" w14:paraId="7C05ECF5"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A45D82" w:rsidRPr="00C11CFE" w:rsidP="00C11CFE" w14:paraId="2E67AA13" w14:textId="46F06D55">
      <w:pPr>
        <w:pStyle w:val="NoSpacing"/>
        <w:ind w:left="720"/>
        <w:rPr>
          <w:bCs/>
          <w:iCs/>
        </w:rPr>
      </w:pPr>
      <w:r w:rsidRPr="00CC6F8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B3B12" w:rsidRPr="00DB21F2" w:rsidP="00C11CFE" w14:paraId="59F46D79" w14:textId="77777777">
      <w:pPr>
        <w:numPr>
          <w:ilvl w:val="0"/>
          <w:numId w:val="6"/>
        </w:numPr>
        <w:rPr>
          <w:rFonts w:ascii="Times New Roman" w:hAnsi="Times New Roman"/>
          <w:b/>
        </w:rPr>
      </w:pPr>
      <w:r w:rsidRPr="00BC7F42">
        <w:rPr>
          <w:rFonts w:ascii="Times New Roman" w:hAnsi="Times New Roman"/>
          <w:b/>
        </w:rPr>
        <w:t>Exceptions to Certification Statement</w:t>
      </w:r>
    </w:p>
    <w:p w:rsidR="008E3E68" w:rsidP="008E3E68" w14:paraId="5F9498B5" w14:textId="32C4CEC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B21F2">
        <w:rPr>
          <w:rFonts w:ascii="Times New Roman" w:hAnsi="Times New Roman"/>
          <w:b w:val="0"/>
          <w:i w:val="0"/>
        </w:rPr>
        <w:t xml:space="preserve">SSA is not requesting an exception to the certification requirements at </w:t>
      </w:r>
      <w:r w:rsidRPr="008E3E68">
        <w:rPr>
          <w:rFonts w:ascii="Times New Roman" w:hAnsi="Times New Roman"/>
          <w:b w:val="0"/>
          <w:iCs w:val="0"/>
        </w:rPr>
        <w:t>5 CFR</w:t>
      </w:r>
      <w:r>
        <w:rPr>
          <w:rFonts w:ascii="Times New Roman" w:hAnsi="Times New Roman"/>
          <w:b w:val="0"/>
          <w:iCs w:val="0"/>
        </w:rPr>
        <w:t> </w:t>
      </w:r>
      <w:r w:rsidRPr="008E3E68">
        <w:rPr>
          <w:rFonts w:ascii="Times New Roman" w:hAnsi="Times New Roman"/>
          <w:b w:val="0"/>
          <w:iCs w:val="0"/>
        </w:rPr>
        <w:t xml:space="preserve">1320.9 </w:t>
      </w:r>
      <w:r w:rsidRPr="00DB21F2">
        <w:rPr>
          <w:rFonts w:ascii="Times New Roman" w:hAnsi="Times New Roman"/>
          <w:b w:val="0"/>
          <w:i w:val="0"/>
        </w:rPr>
        <w:t xml:space="preserve">and related provisions at </w:t>
      </w:r>
      <w:r w:rsidRPr="008E3E68">
        <w:rPr>
          <w:rFonts w:ascii="Times New Roman" w:hAnsi="Times New Roman"/>
          <w:b w:val="0"/>
          <w:iCs w:val="0"/>
        </w:rPr>
        <w:t>5 CFR 1320.8(b)(3)</w:t>
      </w:r>
      <w:r w:rsidRPr="00DB21F2">
        <w:rPr>
          <w:rFonts w:ascii="Times New Roman" w:hAnsi="Times New Roman"/>
          <w:b w:val="0"/>
          <w:i w:val="0"/>
        </w:rPr>
        <w:t xml:space="preserve">. </w:t>
      </w:r>
    </w:p>
    <w:p w:rsidR="008E3E68" w:rsidP="008E3E68" w14:paraId="433CA04C" w14:textId="1FF018E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8E3E68" w:rsidRPr="007D344A" w:rsidP="008E3E68" w14:paraId="28EF7262" w14:textId="68EEC891">
      <w:pPr>
        <w:widowControl/>
        <w:ind w:left="90"/>
        <w:rPr>
          <w:rFonts w:ascii="Times New Roman" w:hAnsi="Times New Roman"/>
          <w:b/>
        </w:rPr>
      </w:pPr>
      <w:r w:rsidRPr="008E3E68">
        <w:rPr>
          <w:rFonts w:ascii="Times New Roman" w:hAnsi="Times New Roman"/>
          <w:b/>
        </w:rPr>
        <w:t>B.</w:t>
      </w:r>
      <w:r w:rsidRPr="008E3E68">
        <w:rPr>
          <w:rFonts w:ascii="Times New Roman" w:hAnsi="Times New Roman"/>
          <w:b/>
        </w:rPr>
        <w:tab/>
      </w:r>
      <w:r>
        <w:rPr>
          <w:rFonts w:ascii="Times New Roman" w:hAnsi="Times New Roman"/>
          <w:b/>
          <w:u w:val="single"/>
        </w:rPr>
        <w:t>Collections of Information Employing Statistical Methods</w:t>
      </w:r>
    </w:p>
    <w:p w:rsidR="008E3E68" w:rsidP="008E3E68" w14:paraId="0503F22C" w14:textId="77777777">
      <w:pPr>
        <w:ind w:left="1080"/>
        <w:rPr>
          <w:rFonts w:ascii="Times New Roman" w:hAnsi="Times New Roman"/>
          <w:b/>
          <w:u w:val="single"/>
        </w:rPr>
      </w:pPr>
    </w:p>
    <w:p w:rsidR="008E3E68" w:rsidP="008E3E68" w14:paraId="036E29ED" w14:textId="77777777">
      <w:pPr>
        <w:ind w:left="720"/>
        <w:rPr>
          <w:rFonts w:ascii="Times New Roman" w:hAnsi="Times New Roman"/>
        </w:rPr>
      </w:pPr>
      <w:r w:rsidRPr="007D344A">
        <w:rPr>
          <w:rFonts w:ascii="Times New Roman" w:hAnsi="Times New Roman"/>
        </w:rPr>
        <w:t>SSA does not use statistical methods for this information collection.</w:t>
      </w:r>
    </w:p>
    <w:p w:rsidR="008E3E68" w:rsidRPr="004C4147" w:rsidP="008E3E68" w14:paraId="58F84FC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0A1718"/>
    <w:multiLevelType w:val="hybridMultilevel"/>
    <w:tmpl w:val="384667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3DD61CE"/>
    <w:multiLevelType w:val="hybridMultilevel"/>
    <w:tmpl w:val="E0E088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092507080">
    <w:abstractNumId w:val="7"/>
  </w:num>
  <w:num w:numId="2" w16cid:durableId="1942175338">
    <w:abstractNumId w:val="6"/>
  </w:num>
  <w:num w:numId="3" w16cid:durableId="109403336">
    <w:abstractNumId w:val="5"/>
  </w:num>
  <w:num w:numId="4" w16cid:durableId="1423408280">
    <w:abstractNumId w:val="2"/>
  </w:num>
  <w:num w:numId="5" w16cid:durableId="237903933">
    <w:abstractNumId w:val="3"/>
  </w:num>
  <w:num w:numId="6" w16cid:durableId="2031755891">
    <w:abstractNumId w:val="0"/>
  </w:num>
  <w:num w:numId="7" w16cid:durableId="913514206">
    <w:abstractNumId w:val="1"/>
  </w:num>
  <w:num w:numId="8" w16cid:durableId="150189170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5D75"/>
    <w:rsid w:val="0002659C"/>
    <w:rsid w:val="0002677F"/>
    <w:rsid w:val="00063A05"/>
    <w:rsid w:val="00064229"/>
    <w:rsid w:val="0006715D"/>
    <w:rsid w:val="0007189E"/>
    <w:rsid w:val="00077720"/>
    <w:rsid w:val="00077E0E"/>
    <w:rsid w:val="00086E84"/>
    <w:rsid w:val="000958AA"/>
    <w:rsid w:val="00097A16"/>
    <w:rsid w:val="000A6AE3"/>
    <w:rsid w:val="000B2B68"/>
    <w:rsid w:val="000B3B12"/>
    <w:rsid w:val="000C151C"/>
    <w:rsid w:val="000C1D18"/>
    <w:rsid w:val="000D39C7"/>
    <w:rsid w:val="000D5F5C"/>
    <w:rsid w:val="00121032"/>
    <w:rsid w:val="00122EE2"/>
    <w:rsid w:val="00127980"/>
    <w:rsid w:val="00133C56"/>
    <w:rsid w:val="0013481E"/>
    <w:rsid w:val="00145796"/>
    <w:rsid w:val="00146275"/>
    <w:rsid w:val="0015576E"/>
    <w:rsid w:val="00157AD6"/>
    <w:rsid w:val="00161A18"/>
    <w:rsid w:val="00177414"/>
    <w:rsid w:val="001779F3"/>
    <w:rsid w:val="00186C90"/>
    <w:rsid w:val="0019026B"/>
    <w:rsid w:val="00192897"/>
    <w:rsid w:val="001A3317"/>
    <w:rsid w:val="001A65F9"/>
    <w:rsid w:val="001B7CF4"/>
    <w:rsid w:val="001C6D3A"/>
    <w:rsid w:val="001D0B21"/>
    <w:rsid w:val="001D1133"/>
    <w:rsid w:val="001E1076"/>
    <w:rsid w:val="001F4AAD"/>
    <w:rsid w:val="00202C06"/>
    <w:rsid w:val="00214370"/>
    <w:rsid w:val="00226716"/>
    <w:rsid w:val="002321B0"/>
    <w:rsid w:val="002406BD"/>
    <w:rsid w:val="00246836"/>
    <w:rsid w:val="002479F2"/>
    <w:rsid w:val="00255CC2"/>
    <w:rsid w:val="0026052B"/>
    <w:rsid w:val="00276AAF"/>
    <w:rsid w:val="002801F8"/>
    <w:rsid w:val="002A206B"/>
    <w:rsid w:val="002A4C30"/>
    <w:rsid w:val="002B00BB"/>
    <w:rsid w:val="002B0820"/>
    <w:rsid w:val="002B5578"/>
    <w:rsid w:val="002D3320"/>
    <w:rsid w:val="002D5C51"/>
    <w:rsid w:val="002E18CF"/>
    <w:rsid w:val="002E2A7C"/>
    <w:rsid w:val="002E335E"/>
    <w:rsid w:val="002F1C11"/>
    <w:rsid w:val="002F73DF"/>
    <w:rsid w:val="00302545"/>
    <w:rsid w:val="00305930"/>
    <w:rsid w:val="00310CD2"/>
    <w:rsid w:val="00315E68"/>
    <w:rsid w:val="003176E1"/>
    <w:rsid w:val="00331821"/>
    <w:rsid w:val="00333D3D"/>
    <w:rsid w:val="00340D7D"/>
    <w:rsid w:val="003465DC"/>
    <w:rsid w:val="003469CA"/>
    <w:rsid w:val="0036696D"/>
    <w:rsid w:val="0038050B"/>
    <w:rsid w:val="003A2E77"/>
    <w:rsid w:val="003A6E57"/>
    <w:rsid w:val="003A71A9"/>
    <w:rsid w:val="003B15EC"/>
    <w:rsid w:val="003B30B4"/>
    <w:rsid w:val="003C10BD"/>
    <w:rsid w:val="003E145C"/>
    <w:rsid w:val="003F00B3"/>
    <w:rsid w:val="00401DE1"/>
    <w:rsid w:val="00405548"/>
    <w:rsid w:val="0041131C"/>
    <w:rsid w:val="004145D2"/>
    <w:rsid w:val="004179D8"/>
    <w:rsid w:val="004224F9"/>
    <w:rsid w:val="004238CA"/>
    <w:rsid w:val="004317CB"/>
    <w:rsid w:val="00447EE9"/>
    <w:rsid w:val="0045065A"/>
    <w:rsid w:val="004509AD"/>
    <w:rsid w:val="004733E4"/>
    <w:rsid w:val="00475350"/>
    <w:rsid w:val="0047588F"/>
    <w:rsid w:val="00481B44"/>
    <w:rsid w:val="00484662"/>
    <w:rsid w:val="004915B5"/>
    <w:rsid w:val="004C4147"/>
    <w:rsid w:val="004C41A4"/>
    <w:rsid w:val="004E146D"/>
    <w:rsid w:val="0050197F"/>
    <w:rsid w:val="005040EC"/>
    <w:rsid w:val="00506486"/>
    <w:rsid w:val="00514E13"/>
    <w:rsid w:val="00527A61"/>
    <w:rsid w:val="00535E84"/>
    <w:rsid w:val="0056163C"/>
    <w:rsid w:val="005721D4"/>
    <w:rsid w:val="00593A36"/>
    <w:rsid w:val="00594CB3"/>
    <w:rsid w:val="005A1198"/>
    <w:rsid w:val="005B15E5"/>
    <w:rsid w:val="005C2C39"/>
    <w:rsid w:val="005D4107"/>
    <w:rsid w:val="005D5B33"/>
    <w:rsid w:val="005F208A"/>
    <w:rsid w:val="006002DD"/>
    <w:rsid w:val="006013A3"/>
    <w:rsid w:val="00613BB7"/>
    <w:rsid w:val="006160ED"/>
    <w:rsid w:val="00626C22"/>
    <w:rsid w:val="00631F1B"/>
    <w:rsid w:val="0063304D"/>
    <w:rsid w:val="00637AF5"/>
    <w:rsid w:val="00640A26"/>
    <w:rsid w:val="0066048A"/>
    <w:rsid w:val="00663881"/>
    <w:rsid w:val="00664553"/>
    <w:rsid w:val="006806E1"/>
    <w:rsid w:val="0069667B"/>
    <w:rsid w:val="006A3B6E"/>
    <w:rsid w:val="006B173F"/>
    <w:rsid w:val="006B17EF"/>
    <w:rsid w:val="006B297F"/>
    <w:rsid w:val="006C2A8B"/>
    <w:rsid w:val="006E2FB4"/>
    <w:rsid w:val="006E59B6"/>
    <w:rsid w:val="006F2B8B"/>
    <w:rsid w:val="006F4D0F"/>
    <w:rsid w:val="0070479A"/>
    <w:rsid w:val="007074C5"/>
    <w:rsid w:val="00712F1B"/>
    <w:rsid w:val="0071437B"/>
    <w:rsid w:val="007245C9"/>
    <w:rsid w:val="007256B3"/>
    <w:rsid w:val="007309E2"/>
    <w:rsid w:val="00736F55"/>
    <w:rsid w:val="00742B56"/>
    <w:rsid w:val="00745462"/>
    <w:rsid w:val="0076250E"/>
    <w:rsid w:val="00795BAB"/>
    <w:rsid w:val="007A08D1"/>
    <w:rsid w:val="007A2DEE"/>
    <w:rsid w:val="007B007C"/>
    <w:rsid w:val="007C0384"/>
    <w:rsid w:val="007C64B1"/>
    <w:rsid w:val="007D061D"/>
    <w:rsid w:val="007D17CC"/>
    <w:rsid w:val="007D22EB"/>
    <w:rsid w:val="007D344A"/>
    <w:rsid w:val="007E17BD"/>
    <w:rsid w:val="007E4A5A"/>
    <w:rsid w:val="00806984"/>
    <w:rsid w:val="00810485"/>
    <w:rsid w:val="00814772"/>
    <w:rsid w:val="00824D72"/>
    <w:rsid w:val="00825B97"/>
    <w:rsid w:val="00831CCD"/>
    <w:rsid w:val="0084775D"/>
    <w:rsid w:val="0086463A"/>
    <w:rsid w:val="008754ED"/>
    <w:rsid w:val="00876482"/>
    <w:rsid w:val="00891CA8"/>
    <w:rsid w:val="00892E12"/>
    <w:rsid w:val="008B6774"/>
    <w:rsid w:val="008D0DA1"/>
    <w:rsid w:val="008D1504"/>
    <w:rsid w:val="008D158E"/>
    <w:rsid w:val="008E3A3A"/>
    <w:rsid w:val="008E3E68"/>
    <w:rsid w:val="00906892"/>
    <w:rsid w:val="009121F5"/>
    <w:rsid w:val="009252AB"/>
    <w:rsid w:val="00940CDE"/>
    <w:rsid w:val="00951258"/>
    <w:rsid w:val="00952C5B"/>
    <w:rsid w:val="00955EC4"/>
    <w:rsid w:val="009748B6"/>
    <w:rsid w:val="00975DD8"/>
    <w:rsid w:val="009A0B16"/>
    <w:rsid w:val="009A7309"/>
    <w:rsid w:val="009B0438"/>
    <w:rsid w:val="009E3C50"/>
    <w:rsid w:val="009F0DE2"/>
    <w:rsid w:val="009F23D6"/>
    <w:rsid w:val="009F7BB3"/>
    <w:rsid w:val="00A06BE2"/>
    <w:rsid w:val="00A32C8F"/>
    <w:rsid w:val="00A337E4"/>
    <w:rsid w:val="00A33C65"/>
    <w:rsid w:val="00A34222"/>
    <w:rsid w:val="00A45D82"/>
    <w:rsid w:val="00A57F0F"/>
    <w:rsid w:val="00A651A7"/>
    <w:rsid w:val="00A67D76"/>
    <w:rsid w:val="00A706B8"/>
    <w:rsid w:val="00A75742"/>
    <w:rsid w:val="00A805BA"/>
    <w:rsid w:val="00AA06A4"/>
    <w:rsid w:val="00AA0858"/>
    <w:rsid w:val="00AA0C27"/>
    <w:rsid w:val="00AA4CAD"/>
    <w:rsid w:val="00AA6250"/>
    <w:rsid w:val="00AB0CA7"/>
    <w:rsid w:val="00AC0066"/>
    <w:rsid w:val="00AC2E93"/>
    <w:rsid w:val="00AC39FD"/>
    <w:rsid w:val="00AD0977"/>
    <w:rsid w:val="00AD48CE"/>
    <w:rsid w:val="00AD7CC4"/>
    <w:rsid w:val="00AE0527"/>
    <w:rsid w:val="00AF3BEA"/>
    <w:rsid w:val="00AF7234"/>
    <w:rsid w:val="00B007C5"/>
    <w:rsid w:val="00B01D57"/>
    <w:rsid w:val="00B1614B"/>
    <w:rsid w:val="00B31254"/>
    <w:rsid w:val="00B51EF0"/>
    <w:rsid w:val="00B525CA"/>
    <w:rsid w:val="00B60A49"/>
    <w:rsid w:val="00B67C50"/>
    <w:rsid w:val="00B741F6"/>
    <w:rsid w:val="00B92550"/>
    <w:rsid w:val="00BA1653"/>
    <w:rsid w:val="00BA401A"/>
    <w:rsid w:val="00BC5531"/>
    <w:rsid w:val="00BC7F42"/>
    <w:rsid w:val="00BD74FC"/>
    <w:rsid w:val="00BF026F"/>
    <w:rsid w:val="00BF4955"/>
    <w:rsid w:val="00BF5B0B"/>
    <w:rsid w:val="00BF61EF"/>
    <w:rsid w:val="00C027A7"/>
    <w:rsid w:val="00C0290B"/>
    <w:rsid w:val="00C11CFE"/>
    <w:rsid w:val="00C15F59"/>
    <w:rsid w:val="00C22097"/>
    <w:rsid w:val="00C25FDC"/>
    <w:rsid w:val="00C34553"/>
    <w:rsid w:val="00C34A91"/>
    <w:rsid w:val="00C377BC"/>
    <w:rsid w:val="00C5104E"/>
    <w:rsid w:val="00C60E61"/>
    <w:rsid w:val="00C67C8A"/>
    <w:rsid w:val="00C67F83"/>
    <w:rsid w:val="00C74A43"/>
    <w:rsid w:val="00C93220"/>
    <w:rsid w:val="00C941E2"/>
    <w:rsid w:val="00C96B51"/>
    <w:rsid w:val="00CA0B15"/>
    <w:rsid w:val="00CA5F75"/>
    <w:rsid w:val="00CA6CAE"/>
    <w:rsid w:val="00CB6928"/>
    <w:rsid w:val="00CB7253"/>
    <w:rsid w:val="00CB7557"/>
    <w:rsid w:val="00CC6F8D"/>
    <w:rsid w:val="00CD07B4"/>
    <w:rsid w:val="00CD667A"/>
    <w:rsid w:val="00CE1753"/>
    <w:rsid w:val="00CE23C1"/>
    <w:rsid w:val="00CE243F"/>
    <w:rsid w:val="00CF0595"/>
    <w:rsid w:val="00CF3FC4"/>
    <w:rsid w:val="00D0011E"/>
    <w:rsid w:val="00D017C3"/>
    <w:rsid w:val="00D03E8A"/>
    <w:rsid w:val="00D42EFE"/>
    <w:rsid w:val="00D44900"/>
    <w:rsid w:val="00D52E0C"/>
    <w:rsid w:val="00D5531A"/>
    <w:rsid w:val="00D66470"/>
    <w:rsid w:val="00D678F8"/>
    <w:rsid w:val="00D97D31"/>
    <w:rsid w:val="00DB04B6"/>
    <w:rsid w:val="00DB1DB4"/>
    <w:rsid w:val="00DB21F2"/>
    <w:rsid w:val="00DC5B17"/>
    <w:rsid w:val="00DD494D"/>
    <w:rsid w:val="00DE156B"/>
    <w:rsid w:val="00DE6186"/>
    <w:rsid w:val="00E0137B"/>
    <w:rsid w:val="00E05512"/>
    <w:rsid w:val="00E065DA"/>
    <w:rsid w:val="00E07E9A"/>
    <w:rsid w:val="00E3164F"/>
    <w:rsid w:val="00E3794E"/>
    <w:rsid w:val="00E437C5"/>
    <w:rsid w:val="00E57FCA"/>
    <w:rsid w:val="00E75DB0"/>
    <w:rsid w:val="00E80456"/>
    <w:rsid w:val="00E87565"/>
    <w:rsid w:val="00E90C49"/>
    <w:rsid w:val="00E956F3"/>
    <w:rsid w:val="00EA37F2"/>
    <w:rsid w:val="00EA6845"/>
    <w:rsid w:val="00EB17D0"/>
    <w:rsid w:val="00EC015C"/>
    <w:rsid w:val="00EC7EFD"/>
    <w:rsid w:val="00ED36D8"/>
    <w:rsid w:val="00ED54E4"/>
    <w:rsid w:val="00EE6086"/>
    <w:rsid w:val="00EF19D8"/>
    <w:rsid w:val="00EF4071"/>
    <w:rsid w:val="00EF43B0"/>
    <w:rsid w:val="00EF765F"/>
    <w:rsid w:val="00F028DE"/>
    <w:rsid w:val="00F02F68"/>
    <w:rsid w:val="00F0585C"/>
    <w:rsid w:val="00F107B7"/>
    <w:rsid w:val="00F11F57"/>
    <w:rsid w:val="00F14BA8"/>
    <w:rsid w:val="00F15EF8"/>
    <w:rsid w:val="00F2154D"/>
    <w:rsid w:val="00F36E53"/>
    <w:rsid w:val="00F4316C"/>
    <w:rsid w:val="00F46176"/>
    <w:rsid w:val="00F5149E"/>
    <w:rsid w:val="00F56A74"/>
    <w:rsid w:val="00F57AD9"/>
    <w:rsid w:val="00F701EF"/>
    <w:rsid w:val="00F832E5"/>
    <w:rsid w:val="00F870A3"/>
    <w:rsid w:val="00F91762"/>
    <w:rsid w:val="00F9405B"/>
    <w:rsid w:val="00FA0FE2"/>
    <w:rsid w:val="00FA34E8"/>
    <w:rsid w:val="00FA7D4E"/>
    <w:rsid w:val="00FB3A0A"/>
    <w:rsid w:val="00FC1544"/>
    <w:rsid w:val="00FC76F7"/>
    <w:rsid w:val="00FD549D"/>
    <w:rsid w:val="00FD6374"/>
    <w:rsid w:val="00FF5088"/>
    <w:rsid w:val="00FF76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67446A"/>
  <w15:chartTrackingRefBased/>
  <w15:docId w15:val="{5AFFBE0A-D594-45A5-B280-2881716D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74B1-93E5-49A5-8F75-54D20AB7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2408</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dcterms:created xsi:type="dcterms:W3CDTF">2024-07-23T18:49:00Z</dcterms:created>
  <dcterms:modified xsi:type="dcterms:W3CDTF">2024-07-23T18:54:00Z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-1043496234</vt:i4>
  </property>
  <property fmtid="{D5CDD505-2E9C-101B-9397-08002B2CF9AE}" pid="3" name="_AuthorEmail">
    <vt:lpwstr>OISP.OSSIPIP.Controls@ssa.gov</vt:lpwstr>
  </property>
  <property fmtid="{D5CDD505-2E9C-101B-9397-08002B2CF9AE}" pid="4" name="_AuthorEmailDisplayName">
    <vt:lpwstr>^OISP OSSIPIP Controls</vt:lpwstr>
  </property>
  <property fmtid="{D5CDD505-2E9C-101B-9397-08002B2CF9AE}" pid="5" name="_EmailSubject">
    <vt:lpwstr>OSSIPIP Reply: OMB Expiration Notice: 0960-0101 (SSA-1724)</vt:lpwstr>
  </property>
  <property fmtid="{D5CDD505-2E9C-101B-9397-08002B2CF9AE}" pid="6" name="_NewReviewCycle">
    <vt:lpwstr/>
  </property>
  <property fmtid="{D5CDD505-2E9C-101B-9397-08002B2CF9AE}" pid="7" name="_PreviousAdHocReviewCycleID">
    <vt:i4>-721891818</vt:i4>
  </property>
  <property fmtid="{D5CDD505-2E9C-101B-9397-08002B2CF9AE}" pid="8" name="_ReviewingToolsShownOnce">
    <vt:lpwstr/>
  </property>
</Properties>
</file>