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C0" w:rsidP="00037B2F" w:rsidRDefault="001B121E" w14:paraId="4358EACA" w14:textId="77777777">
      <w:pPr>
        <w:spacing w:before="79"/>
        <w:ind w:left="1440" w:right="1440"/>
        <w:jc w:val="center"/>
        <w:rPr>
          <w:b/>
          <w:sz w:val="24"/>
        </w:rPr>
      </w:pPr>
      <w:r>
        <w:rPr>
          <w:b/>
          <w:sz w:val="24"/>
        </w:rPr>
        <w:t>CMS Response to Public Comments Received for CMS-</w:t>
      </w:r>
      <w:r w:rsidR="00185ECA">
        <w:rPr>
          <w:b/>
          <w:sz w:val="24"/>
        </w:rPr>
        <w:t>10203</w:t>
      </w:r>
    </w:p>
    <w:p w:rsidR="00185ECA" w:rsidRDefault="00185ECA" w14:paraId="45341349" w14:textId="77777777">
      <w:pPr>
        <w:pStyle w:val="BodyText"/>
        <w:ind w:left="100" w:right="98"/>
        <w:jc w:val="both"/>
        <w:rPr>
          <w:color w:val="1F497D"/>
        </w:rPr>
      </w:pPr>
    </w:p>
    <w:p w:rsidR="00D426C0" w:rsidP="00185ECA" w:rsidRDefault="00185ECA" w14:paraId="79D4B16E" w14:textId="77777777">
      <w:pPr>
        <w:pStyle w:val="BodyText"/>
        <w:ind w:left="100" w:right="98"/>
      </w:pPr>
      <w:r>
        <w:t>CMS received two</w:t>
      </w:r>
      <w:r w:rsidR="001B121E">
        <w:t xml:space="preserve"> comments related to CMS-</w:t>
      </w:r>
      <w:r>
        <w:t>10203 (OMB control number: 0938–0701</w:t>
      </w:r>
      <w:r w:rsidR="001B121E">
        <w:t>) for the Medicare Health</w:t>
      </w:r>
      <w:r>
        <w:t xml:space="preserve"> Outcomes</w:t>
      </w:r>
      <w:r w:rsidR="001B121E">
        <w:t xml:space="preserve"> Survey</w:t>
      </w:r>
      <w:r>
        <w:t xml:space="preserve"> (HOS)</w:t>
      </w:r>
      <w:r w:rsidR="001B121E">
        <w:t>.</w:t>
      </w:r>
    </w:p>
    <w:p w:rsidR="00D426C0" w:rsidRDefault="00D426C0" w14:paraId="6FA7C7F6" w14:textId="77777777">
      <w:pPr>
        <w:pStyle w:val="BodyText"/>
        <w:spacing w:before="11"/>
        <w:rPr>
          <w:sz w:val="23"/>
        </w:rPr>
      </w:pPr>
    </w:p>
    <w:p w:rsidR="00B12D31" w:rsidP="00B12D31" w:rsidRDefault="001B121E" w14:paraId="12AF2414" w14:textId="09F763E4">
      <w:pPr>
        <w:pStyle w:val="ListParagraph"/>
        <w:numPr>
          <w:ilvl w:val="0"/>
          <w:numId w:val="1"/>
        </w:numPr>
        <w:tabs>
          <w:tab w:val="left" w:pos="460"/>
          <w:tab w:val="left" w:pos="461"/>
        </w:tabs>
        <w:spacing w:before="0"/>
        <w:ind w:right="332"/>
        <w:rPr>
          <w:sz w:val="24"/>
        </w:rPr>
      </w:pPr>
      <w:r w:rsidRPr="00DC6807">
        <w:rPr>
          <w:b/>
          <w:sz w:val="24"/>
        </w:rPr>
        <w:t>Comment:</w:t>
      </w:r>
      <w:r w:rsidRPr="00B12D31">
        <w:rPr>
          <w:sz w:val="24"/>
        </w:rPr>
        <w:t xml:space="preserve"> </w:t>
      </w:r>
      <w:r w:rsidRPr="00B12D31" w:rsidR="00185ECA">
        <w:rPr>
          <w:sz w:val="24"/>
        </w:rPr>
        <w:t xml:space="preserve">One commenter </w:t>
      </w:r>
      <w:r w:rsidRPr="00B12D31" w:rsidR="0074181A">
        <w:rPr>
          <w:sz w:val="24"/>
        </w:rPr>
        <w:t>support</w:t>
      </w:r>
      <w:r w:rsidR="000361BD">
        <w:rPr>
          <w:sz w:val="24"/>
        </w:rPr>
        <w:t>s</w:t>
      </w:r>
      <w:r w:rsidRPr="00B12D31" w:rsidR="00B12D31">
        <w:rPr>
          <w:sz w:val="24"/>
        </w:rPr>
        <w:t xml:space="preserve"> CMS’s proposed</w:t>
      </w:r>
      <w:r w:rsidRPr="00B12D31" w:rsidR="0074181A">
        <w:rPr>
          <w:sz w:val="24"/>
        </w:rPr>
        <w:t xml:space="preserve"> removal of six questions to make the survey shorter but </w:t>
      </w:r>
      <w:r w:rsidRPr="00B12D31" w:rsidR="00185ECA">
        <w:rPr>
          <w:sz w:val="24"/>
        </w:rPr>
        <w:t xml:space="preserve">asked </w:t>
      </w:r>
      <w:r w:rsidRPr="00B12D31" w:rsidR="00B12D31">
        <w:rPr>
          <w:sz w:val="24"/>
        </w:rPr>
        <w:t xml:space="preserve">that </w:t>
      </w:r>
      <w:r w:rsidRPr="00B12D31" w:rsidR="00185ECA">
        <w:rPr>
          <w:sz w:val="24"/>
        </w:rPr>
        <w:t xml:space="preserve">CMS evaluate and share the impact </w:t>
      </w:r>
      <w:r w:rsidRPr="00B12D31" w:rsidR="00B12D31">
        <w:rPr>
          <w:sz w:val="24"/>
        </w:rPr>
        <w:t>on case</w:t>
      </w:r>
      <w:r w:rsidR="002C6671">
        <w:rPr>
          <w:sz w:val="24"/>
        </w:rPr>
        <w:t>-</w:t>
      </w:r>
      <w:r w:rsidRPr="00B12D31" w:rsidR="00B12D31">
        <w:rPr>
          <w:sz w:val="24"/>
        </w:rPr>
        <w:t>mix</w:t>
      </w:r>
      <w:r w:rsidR="002C6671">
        <w:rPr>
          <w:sz w:val="24"/>
        </w:rPr>
        <w:t xml:space="preserve"> adjustment</w:t>
      </w:r>
      <w:r w:rsidRPr="00B12D31" w:rsidR="00B12D31">
        <w:rPr>
          <w:sz w:val="24"/>
        </w:rPr>
        <w:t>. Specifically, the</w:t>
      </w:r>
      <w:r w:rsidR="00037B2F">
        <w:rPr>
          <w:sz w:val="24"/>
        </w:rPr>
        <w:t xml:space="preserve"> commenter is</w:t>
      </w:r>
      <w:r w:rsidRPr="00B12D31" w:rsidR="00B12D31">
        <w:rPr>
          <w:sz w:val="24"/>
        </w:rPr>
        <w:t xml:space="preserve"> concerned</w:t>
      </w:r>
      <w:r w:rsidR="00B12D31">
        <w:rPr>
          <w:sz w:val="24"/>
        </w:rPr>
        <w:t xml:space="preserve"> </w:t>
      </w:r>
      <w:r w:rsidR="0068404C">
        <w:rPr>
          <w:sz w:val="24"/>
        </w:rPr>
        <w:t>t</w:t>
      </w:r>
      <w:r w:rsidRPr="00B12D31" w:rsidR="00B12D31">
        <w:rPr>
          <w:sz w:val="24"/>
        </w:rPr>
        <w:t>he three common chronic medical conditions</w:t>
      </w:r>
      <w:r w:rsidR="0068404C">
        <w:rPr>
          <w:sz w:val="24"/>
        </w:rPr>
        <w:t>, which they note are</w:t>
      </w:r>
      <w:r w:rsidR="00B12D31">
        <w:rPr>
          <w:sz w:val="24"/>
        </w:rPr>
        <w:t xml:space="preserve"> not </w:t>
      </w:r>
      <w:r w:rsidRPr="00B12D31" w:rsidR="00B12D31">
        <w:rPr>
          <w:sz w:val="24"/>
        </w:rPr>
        <w:t xml:space="preserve">specifically related to Star Ratings, could </w:t>
      </w:r>
      <w:r w:rsidR="00B12D31">
        <w:rPr>
          <w:sz w:val="24"/>
        </w:rPr>
        <w:t xml:space="preserve">have an impact on </w:t>
      </w:r>
      <w:r w:rsidR="002C6671">
        <w:rPr>
          <w:sz w:val="24"/>
        </w:rPr>
        <w:t>the death case-</w:t>
      </w:r>
      <w:r w:rsidRPr="00B13B0B" w:rsidR="00B12D31">
        <w:rPr>
          <w:sz w:val="24"/>
        </w:rPr>
        <w:t>mix model portion of the case</w:t>
      </w:r>
      <w:r w:rsidR="00F77E21">
        <w:rPr>
          <w:sz w:val="24"/>
        </w:rPr>
        <w:t>-</w:t>
      </w:r>
      <w:r w:rsidRPr="00B13B0B" w:rsidR="00B12D31">
        <w:rPr>
          <w:sz w:val="24"/>
        </w:rPr>
        <w:t xml:space="preserve">mix adjustment for </w:t>
      </w:r>
      <w:r w:rsidRPr="00037B2F" w:rsidR="00B12D31">
        <w:rPr>
          <w:i/>
          <w:sz w:val="24"/>
        </w:rPr>
        <w:t>Improving or Maintaining Physical Health</w:t>
      </w:r>
      <w:r w:rsidRPr="00B12D31" w:rsidR="00B12D31">
        <w:rPr>
          <w:sz w:val="24"/>
        </w:rPr>
        <w:t xml:space="preserve"> (PCS)</w:t>
      </w:r>
      <w:r w:rsidR="00B12D31">
        <w:rPr>
          <w:sz w:val="24"/>
        </w:rPr>
        <w:t xml:space="preserve">. This commenter also suggested </w:t>
      </w:r>
      <w:r w:rsidR="00037B2F">
        <w:rPr>
          <w:sz w:val="24"/>
        </w:rPr>
        <w:t xml:space="preserve">that </w:t>
      </w:r>
      <w:r w:rsidR="00B12D31">
        <w:rPr>
          <w:sz w:val="24"/>
        </w:rPr>
        <w:t xml:space="preserve">CMS </w:t>
      </w:r>
      <w:r w:rsidRPr="00B12D31" w:rsidR="00B12D31">
        <w:rPr>
          <w:sz w:val="24"/>
        </w:rPr>
        <w:t>explore removing the death case mix model from case</w:t>
      </w:r>
      <w:r w:rsidR="00F77E21">
        <w:rPr>
          <w:sz w:val="24"/>
        </w:rPr>
        <w:t>-</w:t>
      </w:r>
      <w:r w:rsidRPr="00B12D31" w:rsidR="00B12D31">
        <w:rPr>
          <w:sz w:val="24"/>
        </w:rPr>
        <w:t>mix adjustment</w:t>
      </w:r>
      <w:r w:rsidR="00B12D31">
        <w:rPr>
          <w:sz w:val="24"/>
        </w:rPr>
        <w:t>.</w:t>
      </w:r>
    </w:p>
    <w:p w:rsidR="002C6671" w:rsidP="002C6671" w:rsidRDefault="002C6671" w14:paraId="6407C28B" w14:textId="77777777">
      <w:pPr>
        <w:pStyle w:val="ListParagraph"/>
        <w:tabs>
          <w:tab w:val="left" w:pos="460"/>
          <w:tab w:val="left" w:pos="461"/>
        </w:tabs>
        <w:spacing w:before="0"/>
        <w:ind w:right="332" w:firstLine="0"/>
        <w:rPr>
          <w:sz w:val="24"/>
        </w:rPr>
      </w:pPr>
    </w:p>
    <w:p w:rsidRPr="0068404C" w:rsidR="0068404C" w:rsidP="0068404C" w:rsidRDefault="00B12D31" w14:paraId="18BF3FF1" w14:textId="35157363">
      <w:pPr>
        <w:pStyle w:val="ListParagraph"/>
        <w:tabs>
          <w:tab w:val="left" w:pos="460"/>
          <w:tab w:val="left" w:pos="461"/>
        </w:tabs>
        <w:ind w:right="332" w:firstLine="0"/>
        <w:rPr>
          <w:sz w:val="24"/>
        </w:rPr>
      </w:pPr>
      <w:r w:rsidRPr="00DC6807">
        <w:rPr>
          <w:b/>
          <w:sz w:val="24"/>
        </w:rPr>
        <w:t>Response:</w:t>
      </w:r>
      <w:r>
        <w:rPr>
          <w:sz w:val="24"/>
        </w:rPr>
        <w:t xml:space="preserve"> </w:t>
      </w:r>
      <w:r w:rsidRPr="006B1C3A" w:rsidR="0068404C">
        <w:rPr>
          <w:sz w:val="24"/>
          <w:szCs w:val="24"/>
        </w:rPr>
        <w:t xml:space="preserve">In 2020, </w:t>
      </w:r>
      <w:r w:rsidR="0068404C">
        <w:rPr>
          <w:sz w:val="24"/>
          <w:szCs w:val="24"/>
        </w:rPr>
        <w:t>CMS</w:t>
      </w:r>
      <w:r w:rsidRPr="006B1C3A" w:rsidR="0068404C">
        <w:rPr>
          <w:sz w:val="24"/>
          <w:szCs w:val="24"/>
        </w:rPr>
        <w:t xml:space="preserve"> evaluated </w:t>
      </w:r>
      <w:r w:rsidR="0068404C">
        <w:rPr>
          <w:sz w:val="24"/>
          <w:szCs w:val="24"/>
        </w:rPr>
        <w:t xml:space="preserve">the contribution of several </w:t>
      </w:r>
      <w:r w:rsidRPr="006B1C3A" w:rsidR="0068404C">
        <w:rPr>
          <w:sz w:val="24"/>
          <w:szCs w:val="24"/>
        </w:rPr>
        <w:t xml:space="preserve">items </w:t>
      </w:r>
      <w:r w:rsidR="0068404C">
        <w:rPr>
          <w:sz w:val="24"/>
          <w:szCs w:val="24"/>
        </w:rPr>
        <w:t xml:space="preserve">to the </w:t>
      </w:r>
      <w:r w:rsidRPr="006B1C3A" w:rsidR="0068404C">
        <w:rPr>
          <w:sz w:val="24"/>
          <w:szCs w:val="24"/>
        </w:rPr>
        <w:t>case-mix adjust</w:t>
      </w:r>
      <w:r w:rsidR="0068404C">
        <w:rPr>
          <w:sz w:val="24"/>
          <w:szCs w:val="24"/>
        </w:rPr>
        <w:t>ment</w:t>
      </w:r>
      <w:r w:rsidRPr="006B1C3A" w:rsidR="0068404C">
        <w:rPr>
          <w:sz w:val="24"/>
          <w:szCs w:val="24"/>
        </w:rPr>
        <w:t xml:space="preserve"> </w:t>
      </w:r>
      <w:r w:rsidR="0068404C">
        <w:rPr>
          <w:sz w:val="24"/>
          <w:szCs w:val="24"/>
        </w:rPr>
        <w:t>of</w:t>
      </w:r>
      <w:r w:rsidRPr="006B1C3A" w:rsidR="0068404C">
        <w:rPr>
          <w:sz w:val="24"/>
          <w:szCs w:val="24"/>
        </w:rPr>
        <w:t xml:space="preserve"> the HOS longitudinal measures</w:t>
      </w:r>
      <w:r w:rsidR="0068404C">
        <w:rPr>
          <w:sz w:val="24"/>
          <w:szCs w:val="24"/>
        </w:rPr>
        <w:t xml:space="preserve"> (</w:t>
      </w:r>
      <w:r w:rsidRPr="006B1C3A" w:rsidR="0068404C">
        <w:rPr>
          <w:i/>
          <w:sz w:val="24"/>
          <w:szCs w:val="24"/>
        </w:rPr>
        <w:t xml:space="preserve">Improving or Maintaining Physical Health </w:t>
      </w:r>
      <w:r w:rsidRPr="006B1C3A" w:rsidR="0068404C">
        <w:rPr>
          <w:sz w:val="24"/>
          <w:szCs w:val="24"/>
        </w:rPr>
        <w:t>and</w:t>
      </w:r>
      <w:r w:rsidRPr="006B1C3A" w:rsidR="0068404C">
        <w:rPr>
          <w:i/>
          <w:sz w:val="24"/>
          <w:szCs w:val="24"/>
        </w:rPr>
        <w:t xml:space="preserve"> </w:t>
      </w:r>
      <w:r w:rsidR="0068404C">
        <w:rPr>
          <w:i/>
          <w:sz w:val="24"/>
          <w:szCs w:val="24"/>
        </w:rPr>
        <w:t xml:space="preserve">Improving or Maintaining </w:t>
      </w:r>
      <w:r w:rsidRPr="006B1C3A" w:rsidR="0068404C">
        <w:rPr>
          <w:i/>
          <w:sz w:val="24"/>
          <w:szCs w:val="24"/>
        </w:rPr>
        <w:t>Mental Health</w:t>
      </w:r>
      <w:r w:rsidR="0068404C">
        <w:rPr>
          <w:i/>
          <w:sz w:val="24"/>
          <w:szCs w:val="24"/>
        </w:rPr>
        <w:t>)</w:t>
      </w:r>
      <w:r w:rsidR="0068404C">
        <w:rPr>
          <w:sz w:val="24"/>
          <w:szCs w:val="24"/>
        </w:rPr>
        <w:t xml:space="preserve">, including </w:t>
      </w:r>
      <w:r w:rsidR="0085578D">
        <w:rPr>
          <w:sz w:val="24"/>
          <w:szCs w:val="24"/>
        </w:rPr>
        <w:t xml:space="preserve">the </w:t>
      </w:r>
      <w:r w:rsidRPr="006B1C3A" w:rsidR="0068404C">
        <w:rPr>
          <w:sz w:val="24"/>
          <w:szCs w:val="24"/>
        </w:rPr>
        <w:t xml:space="preserve">three chronic condition indicators </w:t>
      </w:r>
      <w:bookmarkStart w:name="_Hlk69306848" w:id="0"/>
      <w:r w:rsidRPr="006B1C3A" w:rsidR="0068404C">
        <w:rPr>
          <w:sz w:val="24"/>
          <w:szCs w:val="24"/>
        </w:rPr>
        <w:t>(arthritis of the hip or knee, arthritis of the hand or wrist, and sciatica</w:t>
      </w:r>
      <w:bookmarkEnd w:id="0"/>
      <w:r w:rsidRPr="006B1C3A" w:rsidR="0068404C">
        <w:rPr>
          <w:sz w:val="24"/>
          <w:szCs w:val="24"/>
        </w:rPr>
        <w:t>)</w:t>
      </w:r>
      <w:r w:rsidR="00370CF9">
        <w:rPr>
          <w:sz w:val="24"/>
          <w:szCs w:val="24"/>
        </w:rPr>
        <w:t xml:space="preserve"> currently proposed for removal</w:t>
      </w:r>
      <w:r w:rsidR="0068404C">
        <w:rPr>
          <w:sz w:val="24"/>
          <w:szCs w:val="24"/>
        </w:rPr>
        <w:t>.</w:t>
      </w:r>
      <w:r w:rsidRPr="006B1C3A" w:rsidR="0068404C">
        <w:rPr>
          <w:sz w:val="24"/>
          <w:szCs w:val="24"/>
        </w:rPr>
        <w:t xml:space="preserve"> </w:t>
      </w:r>
      <w:r w:rsidR="0068404C">
        <w:rPr>
          <w:sz w:val="24"/>
          <w:szCs w:val="24"/>
        </w:rPr>
        <w:t>The standard deviation of changes associated with case-mix adjustment summarizes the effect of case-mix adjustment by showing the typical magnitude of change. T</w:t>
      </w:r>
      <w:r w:rsidRPr="006B1C3A" w:rsidR="0068404C">
        <w:rPr>
          <w:sz w:val="24"/>
          <w:szCs w:val="24"/>
        </w:rPr>
        <w:t>he standard deviations in the</w:t>
      </w:r>
      <w:r w:rsidRPr="006B1C3A" w:rsidR="0068404C">
        <w:rPr>
          <w:i/>
          <w:sz w:val="24"/>
          <w:szCs w:val="24"/>
        </w:rPr>
        <w:t xml:space="preserve"> Improving or Maintaining Physical Health </w:t>
      </w:r>
      <w:r w:rsidRPr="006B1C3A" w:rsidR="0068404C">
        <w:rPr>
          <w:sz w:val="24"/>
          <w:szCs w:val="24"/>
        </w:rPr>
        <w:t>and</w:t>
      </w:r>
      <w:r w:rsidRPr="006B1C3A" w:rsidR="0068404C">
        <w:rPr>
          <w:i/>
          <w:sz w:val="24"/>
          <w:szCs w:val="24"/>
        </w:rPr>
        <w:t xml:space="preserve"> </w:t>
      </w:r>
      <w:r w:rsidR="000E60C6">
        <w:rPr>
          <w:i/>
          <w:sz w:val="24"/>
          <w:szCs w:val="24"/>
        </w:rPr>
        <w:t xml:space="preserve">Improving or Maintaining </w:t>
      </w:r>
      <w:r w:rsidRPr="006B1C3A" w:rsidR="0068404C">
        <w:rPr>
          <w:i/>
          <w:sz w:val="24"/>
          <w:szCs w:val="24"/>
        </w:rPr>
        <w:t xml:space="preserve">Mental Health </w:t>
      </w:r>
      <w:r w:rsidRPr="006B1C3A" w:rsidR="0068404C">
        <w:rPr>
          <w:sz w:val="24"/>
          <w:szCs w:val="24"/>
        </w:rPr>
        <w:t xml:space="preserve">scores associated with </w:t>
      </w:r>
      <w:r w:rsidR="0068404C">
        <w:rPr>
          <w:sz w:val="24"/>
          <w:szCs w:val="24"/>
        </w:rPr>
        <w:t xml:space="preserve">removing </w:t>
      </w:r>
      <w:r w:rsidRPr="006B1C3A" w:rsidR="0068404C">
        <w:rPr>
          <w:sz w:val="24"/>
          <w:szCs w:val="24"/>
        </w:rPr>
        <w:t>these case-mix adjusters are ~0.2</w:t>
      </w:r>
      <w:r w:rsidR="0068404C">
        <w:rPr>
          <w:sz w:val="24"/>
          <w:szCs w:val="24"/>
        </w:rPr>
        <w:t xml:space="preserve"> points on a 0-100 scale</w:t>
      </w:r>
      <w:r w:rsidRPr="006B1C3A" w:rsidR="0068404C">
        <w:rPr>
          <w:sz w:val="24"/>
          <w:szCs w:val="24"/>
        </w:rPr>
        <w:t>, account</w:t>
      </w:r>
      <w:r w:rsidR="0068404C">
        <w:rPr>
          <w:sz w:val="24"/>
          <w:szCs w:val="24"/>
        </w:rPr>
        <w:t>ing</w:t>
      </w:r>
      <w:r w:rsidRPr="006B1C3A" w:rsidR="0068404C">
        <w:rPr>
          <w:sz w:val="24"/>
          <w:szCs w:val="24"/>
        </w:rPr>
        <w:t xml:space="preserve"> for approximately </w:t>
      </w:r>
      <w:r w:rsidR="0068404C">
        <w:rPr>
          <w:sz w:val="24"/>
          <w:szCs w:val="24"/>
        </w:rPr>
        <w:t>0.5</w:t>
      </w:r>
      <w:r w:rsidRPr="006B1C3A" w:rsidR="0068404C">
        <w:rPr>
          <w:sz w:val="24"/>
          <w:szCs w:val="24"/>
        </w:rPr>
        <w:t xml:space="preserve">-1% of </w:t>
      </w:r>
      <w:r w:rsidR="0068404C">
        <w:rPr>
          <w:sz w:val="24"/>
          <w:szCs w:val="24"/>
        </w:rPr>
        <w:t>case-mix adjustment variance</w:t>
      </w:r>
      <w:r w:rsidRPr="006B1C3A" w:rsidR="0068404C">
        <w:rPr>
          <w:sz w:val="24"/>
          <w:szCs w:val="24"/>
        </w:rPr>
        <w:t>. Removing these items from the HOS instrument would therefore have little impact on case-mix adjusted scores.</w:t>
      </w:r>
      <w:r w:rsidR="0068404C">
        <w:rPr>
          <w:sz w:val="24"/>
          <w:szCs w:val="24"/>
        </w:rPr>
        <w:t xml:space="preserve"> </w:t>
      </w:r>
    </w:p>
    <w:p w:rsidR="000E60C6" w:rsidP="000E60C6" w:rsidRDefault="000E60C6" w14:paraId="7C04B42C" w14:textId="77777777">
      <w:pPr>
        <w:ind w:left="460"/>
        <w:rPr>
          <w:sz w:val="24"/>
          <w:szCs w:val="24"/>
        </w:rPr>
      </w:pPr>
    </w:p>
    <w:p w:rsidR="0085578D" w:rsidP="00037B2F" w:rsidRDefault="00037B2F" w14:paraId="05972A77" w14:textId="483B43B2">
      <w:pPr>
        <w:tabs>
          <w:tab w:val="left" w:pos="460"/>
          <w:tab w:val="left" w:pos="461"/>
        </w:tabs>
        <w:ind w:left="460" w:right="332"/>
        <w:rPr>
          <w:sz w:val="24"/>
          <w:szCs w:val="24"/>
        </w:rPr>
      </w:pPr>
      <w:r>
        <w:rPr>
          <w:sz w:val="24"/>
        </w:rPr>
        <w:tab/>
      </w:r>
      <w:r w:rsidR="00370CF9">
        <w:rPr>
          <w:sz w:val="24"/>
        </w:rPr>
        <w:t xml:space="preserve">Removing </w:t>
      </w:r>
      <w:r w:rsidR="00370CF9">
        <w:rPr>
          <w:sz w:val="24"/>
          <w:szCs w:val="24"/>
        </w:rPr>
        <w:t>t</w:t>
      </w:r>
      <w:r w:rsidRPr="006E6EDC" w:rsidR="0068404C">
        <w:rPr>
          <w:sz w:val="24"/>
          <w:szCs w:val="24"/>
        </w:rPr>
        <w:t xml:space="preserve">hese </w:t>
      </w:r>
      <w:r w:rsidRPr="00B12D31" w:rsidR="00370CF9">
        <w:rPr>
          <w:sz w:val="24"/>
        </w:rPr>
        <w:t>three common chronic medical condition</w:t>
      </w:r>
      <w:r w:rsidR="00370CF9">
        <w:rPr>
          <w:sz w:val="24"/>
        </w:rPr>
        <w:t xml:space="preserve"> questions </w:t>
      </w:r>
      <w:r w:rsidRPr="006E6EDC" w:rsidR="0068404C">
        <w:rPr>
          <w:sz w:val="24"/>
          <w:szCs w:val="24"/>
        </w:rPr>
        <w:t xml:space="preserve">would reduce respondent burden while resulting in negligible </w:t>
      </w:r>
      <w:r w:rsidR="0085578D">
        <w:rPr>
          <w:sz w:val="24"/>
          <w:szCs w:val="24"/>
        </w:rPr>
        <w:t>and</w:t>
      </w:r>
      <w:r w:rsidRPr="006E6EDC" w:rsidR="0068404C">
        <w:rPr>
          <w:sz w:val="24"/>
          <w:szCs w:val="24"/>
        </w:rPr>
        <w:t xml:space="preserve"> non-substantive changes in scores.</w:t>
      </w:r>
      <w:r w:rsidR="0068404C">
        <w:rPr>
          <w:sz w:val="24"/>
          <w:szCs w:val="24"/>
        </w:rPr>
        <w:t xml:space="preserve"> </w:t>
      </w:r>
      <w:r w:rsidRPr="006E6EDC" w:rsidR="0068404C">
        <w:rPr>
          <w:sz w:val="24"/>
          <w:szCs w:val="24"/>
        </w:rPr>
        <w:t xml:space="preserve">The </w:t>
      </w:r>
      <w:r w:rsidR="005F52AE">
        <w:rPr>
          <w:sz w:val="24"/>
          <w:szCs w:val="24"/>
        </w:rPr>
        <w:t xml:space="preserve">proposed </w:t>
      </w:r>
      <w:r w:rsidRPr="006E6EDC" w:rsidR="0068404C">
        <w:rPr>
          <w:sz w:val="24"/>
          <w:szCs w:val="24"/>
        </w:rPr>
        <w:t xml:space="preserve">changes </w:t>
      </w:r>
      <w:r w:rsidR="0085578D">
        <w:rPr>
          <w:sz w:val="24"/>
          <w:szCs w:val="24"/>
        </w:rPr>
        <w:t xml:space="preserve">to the survey questionnaire </w:t>
      </w:r>
      <w:r w:rsidRPr="006E6EDC" w:rsidR="0068404C">
        <w:rPr>
          <w:sz w:val="24"/>
          <w:szCs w:val="24"/>
        </w:rPr>
        <w:t xml:space="preserve">would be implemented </w:t>
      </w:r>
      <w:r w:rsidR="0085578D">
        <w:rPr>
          <w:sz w:val="24"/>
          <w:szCs w:val="24"/>
        </w:rPr>
        <w:t>in 2022 and would not impact</w:t>
      </w:r>
      <w:r w:rsidRPr="006E6EDC" w:rsidR="0068404C">
        <w:rPr>
          <w:sz w:val="24"/>
          <w:szCs w:val="24"/>
        </w:rPr>
        <w:t xml:space="preserve"> </w:t>
      </w:r>
      <w:r w:rsidR="0085578D">
        <w:rPr>
          <w:sz w:val="24"/>
          <w:szCs w:val="24"/>
        </w:rPr>
        <w:t xml:space="preserve">case-mix adjustment for </w:t>
      </w:r>
      <w:r w:rsidR="0068404C">
        <w:rPr>
          <w:sz w:val="24"/>
          <w:szCs w:val="24"/>
        </w:rPr>
        <w:t>the</w:t>
      </w:r>
      <w:r w:rsidR="001B121E">
        <w:rPr>
          <w:sz w:val="24"/>
          <w:szCs w:val="24"/>
        </w:rPr>
        <w:t xml:space="preserve"> longitudinal HOS </w:t>
      </w:r>
      <w:r w:rsidRPr="006E6EDC" w:rsidR="0068404C">
        <w:rPr>
          <w:sz w:val="24"/>
          <w:szCs w:val="24"/>
        </w:rPr>
        <w:t xml:space="preserve">measures </w:t>
      </w:r>
      <w:r w:rsidR="0085578D">
        <w:rPr>
          <w:sz w:val="24"/>
          <w:szCs w:val="24"/>
        </w:rPr>
        <w:t xml:space="preserve">before </w:t>
      </w:r>
      <w:r w:rsidRPr="006E6EDC" w:rsidR="0068404C">
        <w:rPr>
          <w:sz w:val="24"/>
          <w:szCs w:val="24"/>
        </w:rPr>
        <w:t>the</w:t>
      </w:r>
      <w:r w:rsidR="0068404C">
        <w:rPr>
          <w:sz w:val="24"/>
          <w:szCs w:val="24"/>
        </w:rPr>
        <w:t xml:space="preserve"> </w:t>
      </w:r>
      <w:r w:rsidR="0085578D">
        <w:rPr>
          <w:sz w:val="24"/>
          <w:szCs w:val="24"/>
        </w:rPr>
        <w:t xml:space="preserve">2026 </w:t>
      </w:r>
      <w:r w:rsidR="0068404C">
        <w:rPr>
          <w:sz w:val="24"/>
          <w:szCs w:val="24"/>
        </w:rPr>
        <w:t>Star Ratings</w:t>
      </w:r>
      <w:r w:rsidRPr="006E6EDC" w:rsidR="0068404C">
        <w:rPr>
          <w:sz w:val="24"/>
          <w:szCs w:val="24"/>
        </w:rPr>
        <w:t>.</w:t>
      </w:r>
      <w:r w:rsidR="009F36E3">
        <w:rPr>
          <w:sz w:val="24"/>
          <w:szCs w:val="24"/>
        </w:rPr>
        <w:t xml:space="preserve"> </w:t>
      </w:r>
    </w:p>
    <w:p w:rsidR="0085578D" w:rsidP="00037B2F" w:rsidRDefault="0085578D" w14:paraId="5001F75A" w14:textId="77777777">
      <w:pPr>
        <w:tabs>
          <w:tab w:val="left" w:pos="460"/>
          <w:tab w:val="left" w:pos="461"/>
        </w:tabs>
        <w:ind w:left="460" w:right="332"/>
        <w:rPr>
          <w:sz w:val="24"/>
          <w:szCs w:val="24"/>
        </w:rPr>
      </w:pPr>
    </w:p>
    <w:p w:rsidR="00CC1B2D" w:rsidP="00037B2F" w:rsidRDefault="005F52AE" w14:paraId="5B8101F4" w14:textId="1344C338">
      <w:pPr>
        <w:tabs>
          <w:tab w:val="left" w:pos="460"/>
          <w:tab w:val="left" w:pos="461"/>
        </w:tabs>
        <w:ind w:left="460" w:right="332"/>
        <w:rPr>
          <w:sz w:val="24"/>
          <w:szCs w:val="24"/>
        </w:rPr>
      </w:pPr>
      <w:r>
        <w:rPr>
          <w:sz w:val="24"/>
          <w:szCs w:val="24"/>
        </w:rPr>
        <w:t xml:space="preserve">We </w:t>
      </w:r>
      <w:r w:rsidR="00E87D54">
        <w:rPr>
          <w:sz w:val="24"/>
          <w:szCs w:val="24"/>
        </w:rPr>
        <w:t xml:space="preserve">appreciate the commenter’s </w:t>
      </w:r>
      <w:r>
        <w:rPr>
          <w:sz w:val="24"/>
          <w:szCs w:val="24"/>
        </w:rPr>
        <w:t>suggestion that CMS explore removing the death case-</w:t>
      </w:r>
      <w:r w:rsidRPr="005F52AE">
        <w:rPr>
          <w:sz w:val="24"/>
          <w:szCs w:val="24"/>
        </w:rPr>
        <w:t xml:space="preserve">mix model from </w:t>
      </w:r>
      <w:r>
        <w:rPr>
          <w:sz w:val="24"/>
          <w:szCs w:val="24"/>
        </w:rPr>
        <w:t>HOS case-</w:t>
      </w:r>
      <w:r w:rsidRPr="005F52AE">
        <w:rPr>
          <w:sz w:val="24"/>
          <w:szCs w:val="24"/>
        </w:rPr>
        <w:t xml:space="preserve">mix adjustment </w:t>
      </w:r>
      <w:r>
        <w:rPr>
          <w:sz w:val="24"/>
          <w:szCs w:val="24"/>
        </w:rPr>
        <w:t>methodology</w:t>
      </w:r>
      <w:r w:rsidR="001B121E">
        <w:rPr>
          <w:sz w:val="24"/>
          <w:szCs w:val="24"/>
        </w:rPr>
        <w:t xml:space="preserve">. CMS </w:t>
      </w:r>
      <w:r>
        <w:rPr>
          <w:sz w:val="24"/>
          <w:szCs w:val="24"/>
        </w:rPr>
        <w:t xml:space="preserve">will consider this suggestion as we continue to explore </w:t>
      </w:r>
      <w:r w:rsidR="001B121E">
        <w:rPr>
          <w:sz w:val="24"/>
          <w:szCs w:val="24"/>
        </w:rPr>
        <w:t xml:space="preserve">new </w:t>
      </w:r>
      <w:r>
        <w:rPr>
          <w:sz w:val="24"/>
          <w:szCs w:val="24"/>
        </w:rPr>
        <w:t>ways to enhance the HOS</w:t>
      </w:r>
      <w:r w:rsidR="006E7AC9">
        <w:rPr>
          <w:sz w:val="24"/>
          <w:szCs w:val="24"/>
        </w:rPr>
        <w:t xml:space="preserve"> and develop less complicated measures.</w:t>
      </w:r>
    </w:p>
    <w:p w:rsidRPr="00CC1B2D" w:rsidR="00037B2F" w:rsidP="00CC1B2D" w:rsidRDefault="00037B2F" w14:paraId="7F34E526" w14:textId="77777777">
      <w:pPr>
        <w:tabs>
          <w:tab w:val="left" w:pos="460"/>
          <w:tab w:val="left" w:pos="461"/>
        </w:tabs>
        <w:ind w:right="332"/>
        <w:rPr>
          <w:sz w:val="24"/>
        </w:rPr>
      </w:pPr>
    </w:p>
    <w:p w:rsidR="0074181A" w:rsidP="002539D8" w:rsidRDefault="002539D8" w14:paraId="2B47D825" w14:textId="70602A36">
      <w:pPr>
        <w:pStyle w:val="ListParagraph"/>
        <w:numPr>
          <w:ilvl w:val="0"/>
          <w:numId w:val="1"/>
        </w:numPr>
        <w:tabs>
          <w:tab w:val="left" w:pos="460"/>
          <w:tab w:val="left" w:pos="461"/>
        </w:tabs>
        <w:spacing w:before="0"/>
        <w:ind w:right="332"/>
        <w:rPr>
          <w:sz w:val="24"/>
        </w:rPr>
      </w:pPr>
      <w:r>
        <w:rPr>
          <w:b/>
          <w:sz w:val="24"/>
        </w:rPr>
        <w:t xml:space="preserve">Comment: </w:t>
      </w:r>
      <w:r w:rsidR="006E7AC9">
        <w:rPr>
          <w:sz w:val="24"/>
        </w:rPr>
        <w:t xml:space="preserve">One commenter expressed concern </w:t>
      </w:r>
      <w:r>
        <w:rPr>
          <w:sz w:val="24"/>
        </w:rPr>
        <w:t xml:space="preserve">about </w:t>
      </w:r>
      <w:r w:rsidRPr="002539D8">
        <w:rPr>
          <w:i/>
          <w:sz w:val="24"/>
        </w:rPr>
        <w:t>Physical Functioning Activities of Daily Living</w:t>
      </w:r>
      <w:r>
        <w:rPr>
          <w:sz w:val="24"/>
        </w:rPr>
        <w:t xml:space="preserve"> (PFADL), </w:t>
      </w:r>
      <w:r w:rsidRPr="002539D8">
        <w:rPr>
          <w:sz w:val="24"/>
        </w:rPr>
        <w:t xml:space="preserve">a </w:t>
      </w:r>
      <w:r>
        <w:rPr>
          <w:sz w:val="24"/>
        </w:rPr>
        <w:t>new longitudinal change measure</w:t>
      </w:r>
      <w:r w:rsidRPr="002539D8">
        <w:rPr>
          <w:sz w:val="24"/>
        </w:rPr>
        <w:t xml:space="preserve"> derived from the </w:t>
      </w:r>
      <w:r>
        <w:rPr>
          <w:sz w:val="24"/>
        </w:rPr>
        <w:t>HOS</w:t>
      </w:r>
      <w:r w:rsidR="00831921">
        <w:rPr>
          <w:sz w:val="24"/>
        </w:rPr>
        <w:t>, and the added burden for beneficiaries and health plans</w:t>
      </w:r>
      <w:r w:rsidR="00811B2E">
        <w:rPr>
          <w:sz w:val="24"/>
        </w:rPr>
        <w:t xml:space="preserve"> </w:t>
      </w:r>
      <w:r w:rsidR="001B121E">
        <w:rPr>
          <w:sz w:val="24"/>
        </w:rPr>
        <w:t xml:space="preserve">that </w:t>
      </w:r>
      <w:r w:rsidR="00811B2E">
        <w:rPr>
          <w:sz w:val="24"/>
        </w:rPr>
        <w:t>it presents</w:t>
      </w:r>
      <w:r w:rsidR="00831921">
        <w:rPr>
          <w:sz w:val="24"/>
        </w:rPr>
        <w:t>. The commenter</w:t>
      </w:r>
      <w:r>
        <w:rPr>
          <w:sz w:val="24"/>
        </w:rPr>
        <w:t xml:space="preserve"> </w:t>
      </w:r>
      <w:r w:rsidR="001B121E">
        <w:rPr>
          <w:sz w:val="24"/>
        </w:rPr>
        <w:t xml:space="preserve">also </w:t>
      </w:r>
      <w:r w:rsidR="00811B2E">
        <w:rPr>
          <w:sz w:val="24"/>
        </w:rPr>
        <w:t>believes</w:t>
      </w:r>
      <w:r>
        <w:rPr>
          <w:sz w:val="24"/>
        </w:rPr>
        <w:t xml:space="preserve"> the wording of the </w:t>
      </w:r>
      <w:r w:rsidR="001B121E">
        <w:rPr>
          <w:sz w:val="24"/>
        </w:rPr>
        <w:t xml:space="preserve">component </w:t>
      </w:r>
      <w:r>
        <w:rPr>
          <w:sz w:val="24"/>
        </w:rPr>
        <w:t xml:space="preserve">questions sets up a pre-emptive bias against beneficiaries </w:t>
      </w:r>
      <w:r w:rsidR="00811B2E">
        <w:rPr>
          <w:sz w:val="24"/>
        </w:rPr>
        <w:t xml:space="preserve">who are disabled </w:t>
      </w:r>
      <w:r w:rsidR="000361BD">
        <w:rPr>
          <w:sz w:val="24"/>
        </w:rPr>
        <w:t xml:space="preserve">and those who </w:t>
      </w:r>
      <w:r>
        <w:rPr>
          <w:sz w:val="24"/>
        </w:rPr>
        <w:t>have permanent functional limitations</w:t>
      </w:r>
      <w:r w:rsidR="00627343">
        <w:rPr>
          <w:sz w:val="24"/>
        </w:rPr>
        <w:t>,</w:t>
      </w:r>
      <w:r>
        <w:rPr>
          <w:sz w:val="24"/>
        </w:rPr>
        <w:t xml:space="preserve"> and </w:t>
      </w:r>
      <w:r w:rsidR="00811B2E">
        <w:rPr>
          <w:sz w:val="24"/>
        </w:rPr>
        <w:t xml:space="preserve">that it </w:t>
      </w:r>
      <w:r w:rsidRPr="002539D8">
        <w:rPr>
          <w:sz w:val="24"/>
        </w:rPr>
        <w:t xml:space="preserve">allows little opportunity for </w:t>
      </w:r>
      <w:r w:rsidR="00831921">
        <w:rPr>
          <w:sz w:val="24"/>
        </w:rPr>
        <w:t xml:space="preserve">health </w:t>
      </w:r>
      <w:r w:rsidRPr="002539D8">
        <w:rPr>
          <w:sz w:val="24"/>
        </w:rPr>
        <w:t>plans that enroll individuals</w:t>
      </w:r>
      <w:r w:rsidR="0085578D">
        <w:rPr>
          <w:sz w:val="24"/>
        </w:rPr>
        <w:t xml:space="preserve"> with disabilities </w:t>
      </w:r>
      <w:r w:rsidRPr="002539D8">
        <w:rPr>
          <w:sz w:val="24"/>
        </w:rPr>
        <w:t>(SNPs) to show improvement on the measure</w:t>
      </w:r>
      <w:r w:rsidR="00831921">
        <w:rPr>
          <w:sz w:val="24"/>
        </w:rPr>
        <w:t>.</w:t>
      </w:r>
    </w:p>
    <w:p w:rsidR="00831921" w:rsidP="002539D8" w:rsidRDefault="00831921" w14:paraId="7E3BC84C" w14:textId="77777777">
      <w:pPr>
        <w:rPr>
          <w:sz w:val="24"/>
        </w:rPr>
      </w:pPr>
    </w:p>
    <w:p w:rsidR="000361BD" w:rsidP="000361BD" w:rsidRDefault="002539D8" w14:paraId="5680090A" w14:textId="77777777">
      <w:pPr>
        <w:ind w:left="460"/>
        <w:rPr>
          <w:sz w:val="24"/>
          <w:szCs w:val="24"/>
        </w:rPr>
      </w:pPr>
      <w:r w:rsidRPr="00831921">
        <w:rPr>
          <w:b/>
          <w:sz w:val="24"/>
        </w:rPr>
        <w:t>Response:</w:t>
      </w:r>
      <w:r>
        <w:rPr>
          <w:sz w:val="24"/>
        </w:rPr>
        <w:t xml:space="preserve"> </w:t>
      </w:r>
      <w:r w:rsidR="00831921">
        <w:rPr>
          <w:sz w:val="24"/>
          <w:szCs w:val="24"/>
        </w:rPr>
        <w:t xml:space="preserve">First, </w:t>
      </w:r>
      <w:r w:rsidR="005B2B1B">
        <w:rPr>
          <w:sz w:val="24"/>
          <w:szCs w:val="24"/>
        </w:rPr>
        <w:t xml:space="preserve">we </w:t>
      </w:r>
      <w:r w:rsidR="00831921">
        <w:rPr>
          <w:sz w:val="24"/>
          <w:szCs w:val="24"/>
        </w:rPr>
        <w:t>would like to clarify that the PFADL change score measure currently is a Star Ratings Display measure and</w:t>
      </w:r>
      <w:r w:rsidR="000361BD">
        <w:rPr>
          <w:sz w:val="24"/>
          <w:szCs w:val="24"/>
        </w:rPr>
        <w:t xml:space="preserve"> that it</w:t>
      </w:r>
      <w:r w:rsidR="00831921">
        <w:rPr>
          <w:sz w:val="24"/>
          <w:szCs w:val="24"/>
        </w:rPr>
        <w:t xml:space="preserve"> has not been proposed as a Star Ratings measure </w:t>
      </w:r>
      <w:r w:rsidR="00831921">
        <w:rPr>
          <w:sz w:val="24"/>
          <w:szCs w:val="24"/>
        </w:rPr>
        <w:lastRenderedPageBreak/>
        <w:t xml:space="preserve">through the regulatory process at this time. </w:t>
      </w:r>
      <w:r w:rsidR="005B2B1B">
        <w:rPr>
          <w:sz w:val="24"/>
          <w:szCs w:val="24"/>
        </w:rPr>
        <w:t xml:space="preserve">Also, all </w:t>
      </w:r>
      <w:r w:rsidR="000361BD">
        <w:rPr>
          <w:sz w:val="24"/>
          <w:szCs w:val="24"/>
        </w:rPr>
        <w:t>eight compo</w:t>
      </w:r>
      <w:r w:rsidR="005B2B1B">
        <w:rPr>
          <w:sz w:val="24"/>
          <w:szCs w:val="24"/>
        </w:rPr>
        <w:t xml:space="preserve">nent questions of the new </w:t>
      </w:r>
      <w:r w:rsidR="000361BD">
        <w:rPr>
          <w:sz w:val="24"/>
          <w:szCs w:val="24"/>
        </w:rPr>
        <w:t>measure (two physical functioning questions and six ADL questions)</w:t>
      </w:r>
      <w:r w:rsidR="005B2B1B">
        <w:rPr>
          <w:sz w:val="24"/>
          <w:szCs w:val="24"/>
        </w:rPr>
        <w:t xml:space="preserve"> are already collected by the HOS so the measure</w:t>
      </w:r>
      <w:r w:rsidR="000361BD">
        <w:rPr>
          <w:sz w:val="24"/>
          <w:szCs w:val="24"/>
        </w:rPr>
        <w:t xml:space="preserve"> do</w:t>
      </w:r>
      <w:r w:rsidR="005B2B1B">
        <w:rPr>
          <w:sz w:val="24"/>
          <w:szCs w:val="24"/>
        </w:rPr>
        <w:t>es</w:t>
      </w:r>
      <w:r w:rsidR="000361BD">
        <w:rPr>
          <w:sz w:val="24"/>
          <w:szCs w:val="24"/>
        </w:rPr>
        <w:t xml:space="preserve"> not entail any additional data collection burden </w:t>
      </w:r>
      <w:r w:rsidR="004C6A5D">
        <w:rPr>
          <w:sz w:val="24"/>
          <w:szCs w:val="24"/>
        </w:rPr>
        <w:t>for</w:t>
      </w:r>
      <w:r w:rsidR="000361BD">
        <w:rPr>
          <w:sz w:val="24"/>
          <w:szCs w:val="24"/>
        </w:rPr>
        <w:t xml:space="preserve"> plans or </w:t>
      </w:r>
      <w:r w:rsidR="005B2B1B">
        <w:rPr>
          <w:sz w:val="24"/>
          <w:szCs w:val="24"/>
        </w:rPr>
        <w:t>i</w:t>
      </w:r>
      <w:r w:rsidR="000361BD">
        <w:rPr>
          <w:sz w:val="24"/>
          <w:szCs w:val="24"/>
        </w:rPr>
        <w:t>ncreased response burden for beneficiaries</w:t>
      </w:r>
      <w:r w:rsidR="005B2B1B">
        <w:rPr>
          <w:sz w:val="24"/>
          <w:szCs w:val="24"/>
        </w:rPr>
        <w:t>.</w:t>
      </w:r>
    </w:p>
    <w:p w:rsidR="000361BD" w:rsidP="00831921" w:rsidRDefault="000361BD" w14:paraId="08E7A12C" w14:textId="77777777">
      <w:pPr>
        <w:ind w:left="460"/>
        <w:rPr>
          <w:sz w:val="24"/>
          <w:szCs w:val="24"/>
        </w:rPr>
      </w:pPr>
    </w:p>
    <w:p w:rsidR="00831921" w:rsidP="00831921" w:rsidRDefault="00811B2E" w14:paraId="6EDD32F0" w14:textId="2B6E78F6">
      <w:pPr>
        <w:ind w:left="460"/>
        <w:rPr>
          <w:sz w:val="24"/>
          <w:szCs w:val="24"/>
          <w:lang w:bidi="ar-SA"/>
        </w:rPr>
      </w:pPr>
      <w:r>
        <w:rPr>
          <w:sz w:val="24"/>
          <w:szCs w:val="24"/>
        </w:rPr>
        <w:t xml:space="preserve">CMS’s intent in the development of this measure is to use the existing HOS and HOS-M ADL items, including those that are currently used for frailty assessments for Program of All-Inclusive Care for the Elderly (PACE) and </w:t>
      </w:r>
      <w:r w:rsidR="004C6A5D">
        <w:rPr>
          <w:sz w:val="24"/>
          <w:szCs w:val="24"/>
        </w:rPr>
        <w:t>Fully-Integrated Dual Eligible Special Needs Plans (</w:t>
      </w:r>
      <w:r>
        <w:rPr>
          <w:sz w:val="24"/>
          <w:szCs w:val="24"/>
        </w:rPr>
        <w:t>FIDE-SNP</w:t>
      </w:r>
      <w:r w:rsidR="004C6A5D">
        <w:rPr>
          <w:sz w:val="24"/>
          <w:szCs w:val="24"/>
        </w:rPr>
        <w:t>)</w:t>
      </w:r>
      <w:r>
        <w:rPr>
          <w:sz w:val="24"/>
          <w:szCs w:val="24"/>
        </w:rPr>
        <w:t xml:space="preserve">. </w:t>
      </w:r>
      <w:r w:rsidR="002539D8">
        <w:rPr>
          <w:sz w:val="24"/>
          <w:szCs w:val="24"/>
        </w:rPr>
        <w:t>The</w:t>
      </w:r>
      <w:r w:rsidR="000361BD">
        <w:rPr>
          <w:sz w:val="24"/>
          <w:szCs w:val="24"/>
        </w:rPr>
        <w:t xml:space="preserve"> comment</w:t>
      </w:r>
      <w:r>
        <w:rPr>
          <w:sz w:val="24"/>
          <w:szCs w:val="24"/>
        </w:rPr>
        <w:t>er</w:t>
      </w:r>
      <w:r w:rsidR="002539D8">
        <w:rPr>
          <w:sz w:val="24"/>
          <w:szCs w:val="24"/>
        </w:rPr>
        <w:t xml:space="preserve"> </w:t>
      </w:r>
      <w:r>
        <w:rPr>
          <w:sz w:val="24"/>
          <w:szCs w:val="24"/>
        </w:rPr>
        <w:t xml:space="preserve">believes </w:t>
      </w:r>
      <w:r w:rsidR="002539D8">
        <w:rPr>
          <w:sz w:val="24"/>
          <w:szCs w:val="24"/>
        </w:rPr>
        <w:t xml:space="preserve">the wording of the ADL questions </w:t>
      </w:r>
      <w:r>
        <w:rPr>
          <w:sz w:val="24"/>
          <w:szCs w:val="24"/>
        </w:rPr>
        <w:t>(</w:t>
      </w:r>
      <w:r w:rsidR="002539D8">
        <w:rPr>
          <w:sz w:val="24"/>
          <w:szCs w:val="24"/>
        </w:rPr>
        <w:t>“…do you have any difficulty doing the following activities without special equipment or help from another person”</w:t>
      </w:r>
      <w:r>
        <w:rPr>
          <w:sz w:val="24"/>
          <w:szCs w:val="24"/>
        </w:rPr>
        <w:t>)</w:t>
      </w:r>
      <w:r w:rsidR="002539D8">
        <w:rPr>
          <w:sz w:val="24"/>
          <w:szCs w:val="24"/>
        </w:rPr>
        <w:t xml:space="preserve"> allows little opportunity for plans that enroll individuals with disabilities to show improvement on the measure. It is not clear whether basic</w:t>
      </w:r>
      <w:r>
        <w:rPr>
          <w:sz w:val="24"/>
          <w:szCs w:val="24"/>
        </w:rPr>
        <w:t>,</w:t>
      </w:r>
      <w:r w:rsidRPr="004153C7">
        <w:rPr>
          <w:sz w:val="24"/>
          <w:szCs w:val="24"/>
        </w:rPr>
        <w:t xml:space="preserve"> nonprescription</w:t>
      </w:r>
      <w:r>
        <w:rPr>
          <w:sz w:val="24"/>
          <w:szCs w:val="24"/>
        </w:rPr>
        <w:t xml:space="preserve"> </w:t>
      </w:r>
      <w:r w:rsidR="002539D8">
        <w:rPr>
          <w:sz w:val="24"/>
          <w:szCs w:val="24"/>
        </w:rPr>
        <w:t xml:space="preserve">devices, such as </w:t>
      </w:r>
      <w:r>
        <w:rPr>
          <w:sz w:val="24"/>
          <w:szCs w:val="24"/>
        </w:rPr>
        <w:t xml:space="preserve">railings, </w:t>
      </w:r>
      <w:r w:rsidR="002539D8">
        <w:rPr>
          <w:sz w:val="24"/>
          <w:szCs w:val="24"/>
        </w:rPr>
        <w:t>grab bars</w:t>
      </w:r>
      <w:r>
        <w:rPr>
          <w:sz w:val="24"/>
          <w:szCs w:val="24"/>
        </w:rPr>
        <w:t>,</w:t>
      </w:r>
      <w:r w:rsidR="002539D8">
        <w:rPr>
          <w:sz w:val="24"/>
          <w:szCs w:val="24"/>
        </w:rPr>
        <w:t xml:space="preserve"> and shower chairs, are likely to be interpreted as “special equipment” when beneficiaries respond to the</w:t>
      </w:r>
      <w:r>
        <w:rPr>
          <w:sz w:val="24"/>
          <w:szCs w:val="24"/>
        </w:rPr>
        <w:t xml:space="preserve">se </w:t>
      </w:r>
      <w:r w:rsidR="002539D8">
        <w:rPr>
          <w:sz w:val="24"/>
          <w:szCs w:val="24"/>
        </w:rPr>
        <w:t xml:space="preserve">questions. However, </w:t>
      </w:r>
      <w:r w:rsidR="004C6A5D">
        <w:rPr>
          <w:sz w:val="24"/>
          <w:szCs w:val="24"/>
        </w:rPr>
        <w:t xml:space="preserve">we </w:t>
      </w:r>
      <w:r w:rsidR="002539D8">
        <w:rPr>
          <w:sz w:val="24"/>
          <w:szCs w:val="24"/>
        </w:rPr>
        <w:t xml:space="preserve">will </w:t>
      </w:r>
      <w:r>
        <w:rPr>
          <w:sz w:val="24"/>
          <w:szCs w:val="24"/>
        </w:rPr>
        <w:t xml:space="preserve">explore this issue further as we continue </w:t>
      </w:r>
      <w:r w:rsidR="00037B2F">
        <w:rPr>
          <w:sz w:val="24"/>
          <w:szCs w:val="24"/>
        </w:rPr>
        <w:t xml:space="preserve">to </w:t>
      </w:r>
      <w:r>
        <w:rPr>
          <w:sz w:val="24"/>
          <w:szCs w:val="24"/>
        </w:rPr>
        <w:t xml:space="preserve">develop the measure. Specifically, </w:t>
      </w:r>
      <w:r w:rsidR="004C6A5D">
        <w:rPr>
          <w:sz w:val="24"/>
          <w:szCs w:val="24"/>
        </w:rPr>
        <w:t>CMS</w:t>
      </w:r>
      <w:r>
        <w:rPr>
          <w:sz w:val="24"/>
          <w:szCs w:val="24"/>
        </w:rPr>
        <w:t xml:space="preserve"> will </w:t>
      </w:r>
      <w:r w:rsidR="002539D8">
        <w:rPr>
          <w:sz w:val="24"/>
          <w:szCs w:val="24"/>
        </w:rPr>
        <w:t xml:space="preserve">consider cognitive testing of the ADL </w:t>
      </w:r>
      <w:r w:rsidR="004C6A5D">
        <w:rPr>
          <w:sz w:val="24"/>
          <w:szCs w:val="24"/>
        </w:rPr>
        <w:t>items</w:t>
      </w:r>
      <w:r w:rsidR="002539D8">
        <w:rPr>
          <w:sz w:val="24"/>
          <w:szCs w:val="24"/>
        </w:rPr>
        <w:t xml:space="preserve"> among a small number of enrollees to better understand how beneficiaries interpret that phrase. </w:t>
      </w:r>
    </w:p>
    <w:p w:rsidR="00831921" w:rsidP="00831921" w:rsidRDefault="00831921" w14:paraId="686DA7C4" w14:textId="77777777">
      <w:pPr>
        <w:ind w:left="460"/>
        <w:rPr>
          <w:sz w:val="24"/>
          <w:szCs w:val="24"/>
        </w:rPr>
      </w:pPr>
    </w:p>
    <w:p w:rsidR="004C6A5D" w:rsidP="00831921" w:rsidRDefault="002539D8" w14:paraId="51C9EFA8" w14:textId="230959AA">
      <w:pPr>
        <w:ind w:left="460"/>
        <w:rPr>
          <w:sz w:val="24"/>
          <w:szCs w:val="24"/>
        </w:rPr>
      </w:pPr>
      <w:r>
        <w:rPr>
          <w:sz w:val="24"/>
          <w:szCs w:val="24"/>
        </w:rPr>
        <w:t>Declines in MAO beneficiary physical function predict disability, institutionalization, and mortality</w:t>
      </w:r>
      <w:r w:rsidR="004C6A5D">
        <w:rPr>
          <w:sz w:val="24"/>
          <w:szCs w:val="24"/>
        </w:rPr>
        <w:t>, but w</w:t>
      </w:r>
      <w:r>
        <w:rPr>
          <w:sz w:val="24"/>
          <w:szCs w:val="24"/>
        </w:rPr>
        <w:t xml:space="preserve">ith early detection and appropriate intervention, such declines may be preventable and even reversible. Therefore, CMS remains committed to measuring MAOs’ contributions to the physical functioning of MAO beneficiaries using new measures such as the PFADL change score. CMS also recognizes that there is variation in baseline function across MAO contracts at enrollment and therefore case-mix adjusts the PFADL change score measure for baseline function scores. By doing so, there is no advantage to contracts with higher or lower functioning beneficiaries at enrollment or baseline. </w:t>
      </w:r>
    </w:p>
    <w:p w:rsidR="004C6A5D" w:rsidP="00831921" w:rsidRDefault="004C6A5D" w14:paraId="4AFBD79F" w14:textId="77777777">
      <w:pPr>
        <w:ind w:left="460"/>
        <w:rPr>
          <w:sz w:val="24"/>
          <w:szCs w:val="24"/>
        </w:rPr>
      </w:pPr>
    </w:p>
    <w:p w:rsidR="002539D8" w:rsidP="00831921" w:rsidRDefault="004C6A5D" w14:paraId="3A8BD590" w14:textId="20E345F1">
      <w:pPr>
        <w:ind w:left="460"/>
        <w:rPr>
          <w:rFonts w:asciiTheme="minorHAnsi" w:hAnsiTheme="minorHAnsi" w:cstheme="minorBidi"/>
          <w:vertAlign w:val="superscript"/>
        </w:rPr>
      </w:pPr>
      <w:r>
        <w:rPr>
          <w:sz w:val="24"/>
          <w:szCs w:val="24"/>
        </w:rPr>
        <w:t>CMS appreciates the commenter’s feedback on th</w:t>
      </w:r>
      <w:r w:rsidR="001B121E">
        <w:rPr>
          <w:sz w:val="24"/>
          <w:szCs w:val="24"/>
        </w:rPr>
        <w:t>e new PFADL</w:t>
      </w:r>
      <w:r>
        <w:rPr>
          <w:sz w:val="24"/>
          <w:szCs w:val="24"/>
        </w:rPr>
        <w:t xml:space="preserve"> measure. </w:t>
      </w:r>
      <w:r w:rsidR="002539D8">
        <w:rPr>
          <w:sz w:val="24"/>
          <w:szCs w:val="24"/>
        </w:rPr>
        <w:t xml:space="preserve">As part of </w:t>
      </w:r>
      <w:r w:rsidR="00037B2F">
        <w:rPr>
          <w:sz w:val="24"/>
          <w:szCs w:val="24"/>
        </w:rPr>
        <w:t xml:space="preserve">the </w:t>
      </w:r>
      <w:r w:rsidR="002539D8">
        <w:rPr>
          <w:sz w:val="24"/>
          <w:szCs w:val="24"/>
        </w:rPr>
        <w:t xml:space="preserve">continuing measure </w:t>
      </w:r>
      <w:r>
        <w:rPr>
          <w:sz w:val="24"/>
          <w:szCs w:val="24"/>
        </w:rPr>
        <w:t>development</w:t>
      </w:r>
      <w:r w:rsidR="002539D8">
        <w:rPr>
          <w:sz w:val="24"/>
          <w:szCs w:val="24"/>
        </w:rPr>
        <w:t xml:space="preserve">, CMS </w:t>
      </w:r>
      <w:r w:rsidR="0085578D">
        <w:rPr>
          <w:sz w:val="24"/>
          <w:szCs w:val="24"/>
        </w:rPr>
        <w:t xml:space="preserve">is planning </w:t>
      </w:r>
      <w:r w:rsidR="002539D8">
        <w:rPr>
          <w:sz w:val="24"/>
          <w:szCs w:val="24"/>
        </w:rPr>
        <w:t xml:space="preserve">additional analyses to explore </w:t>
      </w:r>
      <w:r w:rsidR="00037B2F">
        <w:rPr>
          <w:sz w:val="24"/>
          <w:szCs w:val="24"/>
        </w:rPr>
        <w:t xml:space="preserve">other </w:t>
      </w:r>
      <w:r w:rsidR="002539D8">
        <w:rPr>
          <w:sz w:val="24"/>
          <w:szCs w:val="24"/>
        </w:rPr>
        <w:t xml:space="preserve">possible beneficiary-level case-mix adjustors related to SNP status, which may include dual eligibility and/or disability (via the Original Reason for Entitlement Code). CMS is continuing to work on enhancements to the measure. </w:t>
      </w:r>
    </w:p>
    <w:p w:rsidR="002539D8" w:rsidP="002539D8" w:rsidRDefault="002539D8" w14:paraId="218CD73F" w14:textId="77777777">
      <w:pPr>
        <w:tabs>
          <w:tab w:val="left" w:pos="460"/>
          <w:tab w:val="left" w:pos="461"/>
        </w:tabs>
        <w:ind w:right="332"/>
        <w:rPr>
          <w:sz w:val="24"/>
        </w:rPr>
      </w:pPr>
      <w:bookmarkStart w:name="_GoBack" w:id="1"/>
      <w:bookmarkEnd w:id="1"/>
    </w:p>
    <w:sectPr w:rsidR="002539D8" w:rsidSect="000361B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99D61" w14:textId="77777777" w:rsidR="00185ECA" w:rsidRDefault="00185ECA" w:rsidP="00185ECA">
      <w:r>
        <w:separator/>
      </w:r>
    </w:p>
  </w:endnote>
  <w:endnote w:type="continuationSeparator" w:id="0">
    <w:p w14:paraId="2C810180" w14:textId="77777777" w:rsidR="00185ECA" w:rsidRDefault="00185ECA" w:rsidP="0018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HC Sans">
    <w:altName w:val="UH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E9A15" w14:textId="77777777" w:rsidR="00185ECA" w:rsidRDefault="00185ECA" w:rsidP="00185ECA">
      <w:r>
        <w:separator/>
      </w:r>
    </w:p>
  </w:footnote>
  <w:footnote w:type="continuationSeparator" w:id="0">
    <w:p w14:paraId="79CD9230" w14:textId="77777777" w:rsidR="00185ECA" w:rsidRDefault="00185ECA" w:rsidP="00185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773EC"/>
    <w:multiLevelType w:val="hybridMultilevel"/>
    <w:tmpl w:val="DC9A8992"/>
    <w:lvl w:ilvl="0" w:tplc="4252C2A8">
      <w:numFmt w:val="bullet"/>
      <w:lvlText w:val=""/>
      <w:lvlJc w:val="left"/>
      <w:pPr>
        <w:ind w:left="460" w:hanging="360"/>
      </w:pPr>
      <w:rPr>
        <w:rFonts w:ascii="Symbol" w:eastAsia="Symbol" w:hAnsi="Symbol" w:cs="Symbol" w:hint="default"/>
        <w:w w:val="100"/>
        <w:sz w:val="24"/>
        <w:szCs w:val="24"/>
        <w:lang w:val="en-US" w:eastAsia="en-US" w:bidi="en-US"/>
      </w:rPr>
    </w:lvl>
    <w:lvl w:ilvl="1" w:tplc="4B14A1F2">
      <w:numFmt w:val="bullet"/>
      <w:lvlText w:val="•"/>
      <w:lvlJc w:val="left"/>
      <w:pPr>
        <w:ind w:left="1370" w:hanging="360"/>
      </w:pPr>
      <w:rPr>
        <w:rFonts w:hint="default"/>
        <w:lang w:val="en-US" w:eastAsia="en-US" w:bidi="en-US"/>
      </w:rPr>
    </w:lvl>
    <w:lvl w:ilvl="2" w:tplc="4FA62C2A">
      <w:numFmt w:val="bullet"/>
      <w:lvlText w:val="•"/>
      <w:lvlJc w:val="left"/>
      <w:pPr>
        <w:ind w:left="2280" w:hanging="360"/>
      </w:pPr>
      <w:rPr>
        <w:rFonts w:hint="default"/>
        <w:lang w:val="en-US" w:eastAsia="en-US" w:bidi="en-US"/>
      </w:rPr>
    </w:lvl>
    <w:lvl w:ilvl="3" w:tplc="8E92EA08">
      <w:numFmt w:val="bullet"/>
      <w:lvlText w:val="•"/>
      <w:lvlJc w:val="left"/>
      <w:pPr>
        <w:ind w:left="3190" w:hanging="360"/>
      </w:pPr>
      <w:rPr>
        <w:rFonts w:hint="default"/>
        <w:lang w:val="en-US" w:eastAsia="en-US" w:bidi="en-US"/>
      </w:rPr>
    </w:lvl>
    <w:lvl w:ilvl="4" w:tplc="FADEC70A">
      <w:numFmt w:val="bullet"/>
      <w:lvlText w:val="•"/>
      <w:lvlJc w:val="left"/>
      <w:pPr>
        <w:ind w:left="4100" w:hanging="360"/>
      </w:pPr>
      <w:rPr>
        <w:rFonts w:hint="default"/>
        <w:lang w:val="en-US" w:eastAsia="en-US" w:bidi="en-US"/>
      </w:rPr>
    </w:lvl>
    <w:lvl w:ilvl="5" w:tplc="57C228AE">
      <w:numFmt w:val="bullet"/>
      <w:lvlText w:val="•"/>
      <w:lvlJc w:val="left"/>
      <w:pPr>
        <w:ind w:left="5010" w:hanging="360"/>
      </w:pPr>
      <w:rPr>
        <w:rFonts w:hint="default"/>
        <w:lang w:val="en-US" w:eastAsia="en-US" w:bidi="en-US"/>
      </w:rPr>
    </w:lvl>
    <w:lvl w:ilvl="6" w:tplc="19ECEFDC">
      <w:numFmt w:val="bullet"/>
      <w:lvlText w:val="•"/>
      <w:lvlJc w:val="left"/>
      <w:pPr>
        <w:ind w:left="5920" w:hanging="360"/>
      </w:pPr>
      <w:rPr>
        <w:rFonts w:hint="default"/>
        <w:lang w:val="en-US" w:eastAsia="en-US" w:bidi="en-US"/>
      </w:rPr>
    </w:lvl>
    <w:lvl w:ilvl="7" w:tplc="5688122E">
      <w:numFmt w:val="bullet"/>
      <w:lvlText w:val="•"/>
      <w:lvlJc w:val="left"/>
      <w:pPr>
        <w:ind w:left="6830" w:hanging="360"/>
      </w:pPr>
      <w:rPr>
        <w:rFonts w:hint="default"/>
        <w:lang w:val="en-US" w:eastAsia="en-US" w:bidi="en-US"/>
      </w:rPr>
    </w:lvl>
    <w:lvl w:ilvl="8" w:tplc="C9987200">
      <w:numFmt w:val="bullet"/>
      <w:lvlText w:val="•"/>
      <w:lvlJc w:val="left"/>
      <w:pPr>
        <w:ind w:left="774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C0"/>
    <w:rsid w:val="000361BD"/>
    <w:rsid w:val="00037B2F"/>
    <w:rsid w:val="000B4478"/>
    <w:rsid w:val="000E60C6"/>
    <w:rsid w:val="00185ECA"/>
    <w:rsid w:val="00195D5B"/>
    <w:rsid w:val="001B121E"/>
    <w:rsid w:val="00224DD4"/>
    <w:rsid w:val="002539D8"/>
    <w:rsid w:val="002C1AB3"/>
    <w:rsid w:val="002C6671"/>
    <w:rsid w:val="003419AD"/>
    <w:rsid w:val="00354762"/>
    <w:rsid w:val="00370CF9"/>
    <w:rsid w:val="004153C7"/>
    <w:rsid w:val="00427614"/>
    <w:rsid w:val="004C6A5D"/>
    <w:rsid w:val="005B2B1B"/>
    <w:rsid w:val="005F52AE"/>
    <w:rsid w:val="00627343"/>
    <w:rsid w:val="0068404C"/>
    <w:rsid w:val="006E7AC9"/>
    <w:rsid w:val="0074181A"/>
    <w:rsid w:val="00811B2E"/>
    <w:rsid w:val="00831921"/>
    <w:rsid w:val="0085578D"/>
    <w:rsid w:val="009418C5"/>
    <w:rsid w:val="009F36E3"/>
    <w:rsid w:val="00A55007"/>
    <w:rsid w:val="00B12D31"/>
    <w:rsid w:val="00B13B0B"/>
    <w:rsid w:val="00B42DC4"/>
    <w:rsid w:val="00CC1B2D"/>
    <w:rsid w:val="00D426C0"/>
    <w:rsid w:val="00D95662"/>
    <w:rsid w:val="00DC6807"/>
    <w:rsid w:val="00E87D54"/>
    <w:rsid w:val="00F7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2079"/>
  <w15:docId w15:val="{D1604B63-1223-4E17-8C0C-609A3579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460" w:right="2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5ECA"/>
    <w:rPr>
      <w:color w:val="0000FF" w:themeColor="hyperlink"/>
      <w:u w:val="single"/>
    </w:rPr>
  </w:style>
  <w:style w:type="paragraph" w:customStyle="1" w:styleId="Default">
    <w:name w:val="Default"/>
    <w:rsid w:val="0074181A"/>
    <w:pPr>
      <w:widowControl/>
      <w:adjustRightInd w:val="0"/>
    </w:pPr>
    <w:rPr>
      <w:rFonts w:ascii="UHC Sans" w:hAnsi="UHC Sans" w:cs="UHC Sans"/>
      <w:color w:val="000000"/>
      <w:sz w:val="24"/>
      <w:szCs w:val="24"/>
    </w:rPr>
  </w:style>
  <w:style w:type="paragraph" w:styleId="FootnoteText">
    <w:name w:val="footnote text"/>
    <w:basedOn w:val="Normal"/>
    <w:link w:val="FootnoteTextChar"/>
    <w:uiPriority w:val="99"/>
    <w:semiHidden/>
    <w:unhideWhenUsed/>
    <w:rsid w:val="0068404C"/>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68404C"/>
    <w:rPr>
      <w:sz w:val="20"/>
      <w:szCs w:val="20"/>
    </w:rPr>
  </w:style>
  <w:style w:type="character" w:styleId="FootnoteReference">
    <w:name w:val="footnote reference"/>
    <w:basedOn w:val="DefaultParagraphFont"/>
    <w:uiPriority w:val="99"/>
    <w:semiHidden/>
    <w:unhideWhenUsed/>
    <w:rsid w:val="0068404C"/>
    <w:rPr>
      <w:vertAlign w:val="superscript"/>
    </w:rPr>
  </w:style>
  <w:style w:type="character" w:styleId="CommentReference">
    <w:name w:val="annotation reference"/>
    <w:basedOn w:val="DefaultParagraphFont"/>
    <w:uiPriority w:val="99"/>
    <w:semiHidden/>
    <w:unhideWhenUsed/>
    <w:rsid w:val="0068404C"/>
    <w:rPr>
      <w:sz w:val="16"/>
      <w:szCs w:val="16"/>
    </w:rPr>
  </w:style>
  <w:style w:type="paragraph" w:styleId="CommentText">
    <w:name w:val="annotation text"/>
    <w:basedOn w:val="Normal"/>
    <w:link w:val="CommentTextChar"/>
    <w:uiPriority w:val="99"/>
    <w:semiHidden/>
    <w:unhideWhenUsed/>
    <w:rsid w:val="0068404C"/>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8404C"/>
    <w:rPr>
      <w:sz w:val="20"/>
      <w:szCs w:val="20"/>
    </w:rPr>
  </w:style>
  <w:style w:type="paragraph" w:styleId="BalloonText">
    <w:name w:val="Balloon Text"/>
    <w:basedOn w:val="Normal"/>
    <w:link w:val="BalloonTextChar"/>
    <w:uiPriority w:val="99"/>
    <w:semiHidden/>
    <w:unhideWhenUsed/>
    <w:rsid w:val="00684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04C"/>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D95662"/>
    <w:pPr>
      <w:widowControl w:val="0"/>
      <w:autoSpaceDE w:val="0"/>
      <w:autoSpaceDN w:val="0"/>
      <w:spacing w:after="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D95662"/>
    <w:rPr>
      <w:rFonts w:ascii="Times New Roman" w:eastAsia="Times New Roman" w:hAnsi="Times New Roman" w:cs="Times New Roman"/>
      <w:b/>
      <w:bCs/>
      <w:sz w:val="20"/>
      <w:szCs w:val="20"/>
      <w:lang w:bidi="en-US"/>
    </w:rPr>
  </w:style>
  <w:style w:type="paragraph" w:styleId="Revision">
    <w:name w:val="Revision"/>
    <w:hidden/>
    <w:uiPriority w:val="99"/>
    <w:semiHidden/>
    <w:rsid w:val="00A55007"/>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0484">
      <w:bodyDiv w:val="1"/>
      <w:marLeft w:val="0"/>
      <w:marRight w:val="0"/>
      <w:marTop w:val="0"/>
      <w:marBottom w:val="0"/>
      <w:divBdr>
        <w:top w:val="none" w:sz="0" w:space="0" w:color="auto"/>
        <w:left w:val="none" w:sz="0" w:space="0" w:color="auto"/>
        <w:bottom w:val="none" w:sz="0" w:space="0" w:color="auto"/>
        <w:right w:val="none" w:sz="0" w:space="0" w:color="auto"/>
      </w:divBdr>
    </w:div>
    <w:div w:id="463085968">
      <w:bodyDiv w:val="1"/>
      <w:marLeft w:val="0"/>
      <w:marRight w:val="0"/>
      <w:marTop w:val="0"/>
      <w:marBottom w:val="0"/>
      <w:divBdr>
        <w:top w:val="none" w:sz="0" w:space="0" w:color="auto"/>
        <w:left w:val="none" w:sz="0" w:space="0" w:color="auto"/>
        <w:bottom w:val="none" w:sz="0" w:space="0" w:color="auto"/>
        <w:right w:val="none" w:sz="0" w:space="0" w:color="auto"/>
      </w:divBdr>
    </w:div>
    <w:div w:id="1931158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CMS Response to Public Comments Received for CMS-R-246</vt:lpstr>
    </vt:vector>
  </TitlesOfParts>
  <Company>CMS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CMS-R-246</dc:title>
  <dc:creator>Sarah Gaillot</dc:creator>
  <cp:lastModifiedBy>KIMBERLY DEMICHELE</cp:lastModifiedBy>
  <cp:revision>2</cp:revision>
  <dcterms:created xsi:type="dcterms:W3CDTF">2021-04-27T21:18:00Z</dcterms:created>
  <dcterms:modified xsi:type="dcterms:W3CDTF">2021-04-27T21:18:00Z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Microsoft® Word 2016</vt:lpwstr>
  </property>
  <property fmtid="{D5CDD505-2E9C-101B-9397-08002B2CF9AE}" pid="4" name="LastSaved">
    <vt:filetime>2021-04-26T00:00:00Z</vt:filetime>
  </property>
</Properties>
</file>