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36859" w:rsidR="00E35DD1" w:rsidP="00767C53" w:rsidRDefault="00E35DD1" w14:paraId="4C007E29" w14:textId="77777777">
      <w:pPr>
        <w:pStyle w:val="P1-StandPara"/>
        <w:tabs>
          <w:tab w:val="left" w:pos="720"/>
          <w:tab w:val="right" w:leader="dot" w:pos="9504"/>
        </w:tabs>
        <w:spacing w:before="120" w:after="120"/>
        <w:ind w:firstLine="0"/>
        <w:jc w:val="center"/>
        <w:rPr>
          <w:rFonts w:asciiTheme="minorHAnsi" w:hAnsiTheme="minorHAnsi"/>
          <w:color w:val="FF0000"/>
          <w:szCs w:val="22"/>
        </w:rPr>
      </w:pPr>
      <w:r w:rsidRPr="00436859">
        <w:rPr>
          <w:rFonts w:asciiTheme="minorHAnsi" w:hAnsiTheme="minorHAnsi"/>
          <w:szCs w:val="22"/>
        </w:rPr>
        <w:t xml:space="preserve">Supporting </w:t>
      </w:r>
      <w:proofErr w:type="gramStart"/>
      <w:r w:rsidRPr="00436859">
        <w:rPr>
          <w:rFonts w:asciiTheme="minorHAnsi" w:hAnsiTheme="minorHAnsi"/>
          <w:szCs w:val="22"/>
        </w:rPr>
        <w:t>Statement</w:t>
      </w:r>
      <w:proofErr w:type="gramEnd"/>
      <w:r w:rsidRPr="00436859">
        <w:rPr>
          <w:rFonts w:asciiTheme="minorHAnsi" w:hAnsiTheme="minorHAnsi"/>
          <w:szCs w:val="22"/>
        </w:rPr>
        <w:t xml:space="preserve"> A for</w:t>
      </w:r>
      <w:r w:rsidRPr="00436859" w:rsidR="00EB1ADE">
        <w:rPr>
          <w:rFonts w:asciiTheme="minorHAnsi" w:hAnsiTheme="minorHAnsi"/>
          <w:szCs w:val="22"/>
        </w:rPr>
        <w:t xml:space="preserve"> Clearance</w:t>
      </w:r>
      <w:r w:rsidRPr="00436859" w:rsidR="00B35DF6">
        <w:rPr>
          <w:rFonts w:asciiTheme="minorHAnsi" w:hAnsiTheme="minorHAnsi"/>
          <w:szCs w:val="22"/>
        </w:rPr>
        <w:t xml:space="preserve"> for</w:t>
      </w:r>
    </w:p>
    <w:p w:rsidRPr="00436859" w:rsidR="00E35DD1" w:rsidP="00E35DD1" w:rsidRDefault="00E35DD1" w14:paraId="49F4CC87" w14:textId="77777777">
      <w:pPr>
        <w:pStyle w:val="P1-StandPara"/>
        <w:tabs>
          <w:tab w:val="left" w:pos="720"/>
          <w:tab w:val="right" w:leader="dot" w:pos="9504"/>
        </w:tabs>
        <w:spacing w:before="120" w:after="120"/>
        <w:ind w:firstLine="0"/>
        <w:rPr>
          <w:rFonts w:asciiTheme="minorHAnsi" w:hAnsiTheme="minorHAnsi"/>
          <w:szCs w:val="22"/>
        </w:rPr>
      </w:pPr>
      <w:r w:rsidRPr="00436859">
        <w:rPr>
          <w:rFonts w:asciiTheme="minorHAnsi" w:hAnsiTheme="minorHAnsi"/>
          <w:szCs w:val="22"/>
        </w:rPr>
        <w:t xml:space="preserve">                    </w:t>
      </w:r>
    </w:p>
    <w:p w:rsidRPr="00436859" w:rsidR="00E35DD1" w:rsidP="002A28D1" w:rsidRDefault="009F76A7" w14:paraId="4F572485" w14:textId="77777777">
      <w:pPr>
        <w:pStyle w:val="P1-StandPara"/>
        <w:tabs>
          <w:tab w:val="left" w:pos="720"/>
          <w:tab w:val="right" w:leader="dot" w:pos="9504"/>
        </w:tabs>
        <w:spacing w:before="120" w:after="120"/>
        <w:ind w:firstLine="0"/>
        <w:jc w:val="center"/>
        <w:rPr>
          <w:rFonts w:asciiTheme="minorHAnsi" w:hAnsiTheme="minorHAnsi"/>
          <w:b/>
          <w:szCs w:val="22"/>
        </w:rPr>
      </w:pPr>
      <w:r w:rsidRPr="00436859">
        <w:rPr>
          <w:rFonts w:asciiTheme="minorHAnsi" w:hAnsiTheme="minorHAnsi"/>
          <w:b/>
          <w:szCs w:val="22"/>
        </w:rPr>
        <w:t>Data and Specimen Hub (DASH)</w:t>
      </w:r>
      <w:r w:rsidRPr="00436859" w:rsidR="006E631F">
        <w:rPr>
          <w:rFonts w:asciiTheme="minorHAnsi" w:hAnsiTheme="minorHAnsi"/>
          <w:b/>
          <w:szCs w:val="22"/>
        </w:rPr>
        <w:t xml:space="preserve"> (NICHD)</w:t>
      </w:r>
    </w:p>
    <w:p w:rsidRPr="006E631F" w:rsidR="00024899" w:rsidP="006E631F" w:rsidRDefault="006E631F" w14:paraId="5D20D51C" w14:textId="0CC7EB35">
      <w:pPr>
        <w:pStyle w:val="P1-StandPara"/>
        <w:tabs>
          <w:tab w:val="left" w:pos="720"/>
          <w:tab w:val="right" w:leader="dot" w:pos="9504"/>
        </w:tabs>
        <w:spacing w:before="120" w:after="120"/>
        <w:ind w:firstLine="0"/>
        <w:jc w:val="center"/>
        <w:rPr>
          <w:rFonts w:asciiTheme="minorHAnsi" w:hAnsiTheme="minorHAnsi"/>
          <w:szCs w:val="22"/>
        </w:rPr>
      </w:pPr>
      <w:r w:rsidRPr="005F25BA">
        <w:rPr>
          <w:rFonts w:asciiTheme="minorHAnsi" w:hAnsiTheme="minorHAnsi"/>
          <w:b/>
          <w:szCs w:val="22"/>
        </w:rPr>
        <w:t xml:space="preserve">OMB Number: 0925-0744, Expiration Date: </w:t>
      </w:r>
      <w:r w:rsidRPr="005F25BA" w:rsidR="005F25BA">
        <w:rPr>
          <w:rFonts w:asciiTheme="minorHAnsi" w:hAnsiTheme="minorHAnsi"/>
          <w:b/>
          <w:szCs w:val="22"/>
        </w:rPr>
        <w:t>01/31/2022</w:t>
      </w:r>
    </w:p>
    <w:p w:rsidR="005A6E7C" w:rsidP="00E35DD1" w:rsidRDefault="005A6E7C" w14:paraId="5E587B8E" w14:textId="77777777">
      <w:pPr>
        <w:pStyle w:val="P1-StandPara"/>
        <w:tabs>
          <w:tab w:val="left" w:pos="720"/>
          <w:tab w:val="right" w:leader="dot" w:pos="9504"/>
        </w:tabs>
        <w:spacing w:before="120" w:after="120"/>
        <w:ind w:firstLine="0"/>
        <w:rPr>
          <w:rFonts w:ascii="Calibri" w:hAnsi="Calibri"/>
          <w:szCs w:val="22"/>
        </w:rPr>
      </w:pPr>
    </w:p>
    <w:p w:rsidRPr="00C50C64" w:rsidR="00E35DD1" w:rsidP="7C7D54CC" w:rsidRDefault="00E35DD1" w14:paraId="4F9C885C" w14:textId="59881C60">
      <w:pPr>
        <w:pStyle w:val="P1-StandPara"/>
        <w:tabs>
          <w:tab w:val="left" w:pos="720"/>
          <w:tab w:val="right" w:leader="dot" w:pos="9504"/>
        </w:tabs>
        <w:spacing w:before="120" w:after="120"/>
        <w:ind w:firstLine="0"/>
        <w:rPr>
          <w:rFonts w:ascii="Calibri" w:hAnsi="Calibri"/>
          <w:color w:val="000000" w:themeColor="text1"/>
        </w:rPr>
      </w:pPr>
      <w:r w:rsidRPr="682752C4">
        <w:rPr>
          <w:rFonts w:ascii="Calibri" w:hAnsi="Calibri"/>
        </w:rPr>
        <w:t>Date</w:t>
      </w:r>
      <w:r w:rsidRPr="682752C4" w:rsidR="00BE76A7">
        <w:rPr>
          <w:rFonts w:ascii="Calibri" w:hAnsi="Calibri"/>
        </w:rPr>
        <w:t>:</w:t>
      </w:r>
      <w:r w:rsidRPr="682752C4" w:rsidR="00BE76A7">
        <w:rPr>
          <w:rFonts w:ascii="Calibri" w:hAnsi="Calibri"/>
          <w:color w:val="000000" w:themeColor="text1"/>
        </w:rPr>
        <w:t xml:space="preserve"> </w:t>
      </w:r>
      <w:r w:rsidRPr="00816524" w:rsidR="0990B4F1">
        <w:rPr>
          <w:rFonts w:ascii="Calibri" w:hAnsi="Calibri"/>
        </w:rPr>
        <w:t>March</w:t>
      </w:r>
      <w:r w:rsidRPr="00816524" w:rsidR="0005067B">
        <w:rPr>
          <w:rFonts w:ascii="Calibri" w:hAnsi="Calibri"/>
        </w:rPr>
        <w:t xml:space="preserve"> </w:t>
      </w:r>
      <w:r w:rsidRPr="00816524" w:rsidR="00816524">
        <w:rPr>
          <w:rFonts w:ascii="Calibri" w:hAnsi="Calibri"/>
        </w:rPr>
        <w:t>25</w:t>
      </w:r>
      <w:r w:rsidRPr="00816524" w:rsidR="00892218">
        <w:rPr>
          <w:rFonts w:ascii="Calibri" w:hAnsi="Calibri"/>
        </w:rPr>
        <w:t>, 202</w:t>
      </w:r>
      <w:r w:rsidRPr="00816524" w:rsidR="27CA600B">
        <w:rPr>
          <w:rFonts w:ascii="Calibri" w:hAnsi="Calibri"/>
        </w:rPr>
        <w:t>1</w:t>
      </w:r>
    </w:p>
    <w:p w:rsidR="005A6E7C" w:rsidP="006E631F" w:rsidRDefault="005A6E7C" w14:paraId="361A8FF5" w14:textId="77777777">
      <w:pPr>
        <w:pStyle w:val="P1-StandPara"/>
        <w:tabs>
          <w:tab w:val="left" w:pos="720"/>
          <w:tab w:val="right" w:leader="dot" w:pos="9504"/>
        </w:tabs>
        <w:spacing w:before="120" w:line="240" w:lineRule="auto"/>
        <w:ind w:firstLine="0"/>
        <w:rPr>
          <w:rFonts w:ascii="Calibri" w:hAnsi="Calibri"/>
          <w:szCs w:val="22"/>
        </w:rPr>
      </w:pPr>
    </w:p>
    <w:p w:rsidRPr="008942E9" w:rsidR="006E631F" w:rsidP="006E631F" w:rsidRDefault="006E631F" w14:paraId="43280E8F" w14:textId="0388E735">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rsidR="006E631F" w:rsidP="006E631F" w:rsidRDefault="006E631F" w14:paraId="72C35552" w14:textId="77777777">
      <w:pPr>
        <w:numPr>
          <w:ilvl w:val="0"/>
          <w:numId w:val="24"/>
        </w:numPr>
        <w:spacing w:after="0" w:line="240" w:lineRule="auto"/>
        <w:ind w:left="810" w:hanging="450"/>
      </w:pPr>
      <w:r>
        <w:rPr>
          <w:noProof/>
        </w:rPr>
        <mc:AlternateContent>
          <mc:Choice Requires="wps">
            <w:drawing>
              <wp:anchor distT="0" distB="0" distL="114300" distR="114300" simplePos="0" relativeHeight="251658240" behindDoc="0" locked="0" layoutInCell="1" allowOverlap="1" wp14:editId="0EB50C5B" wp14:anchorId="12E24D1D">
                <wp:simplePos x="0" y="0"/>
                <wp:positionH relativeFrom="column">
                  <wp:posOffset>180340</wp:posOffset>
                </wp:positionH>
                <wp:positionV relativeFrom="paragraph">
                  <wp:posOffset>236855</wp:posOffset>
                </wp:positionV>
                <wp:extent cx="304800" cy="241300"/>
                <wp:effectExtent l="3175" t="3175" r="0" b="3175"/>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D7D8B" w:rsidR="00653CDC" w:rsidP="006E631F" w:rsidRDefault="00653CDC" w14:paraId="1C94D3A9" w14:textId="77777777">
                            <w:pPr>
                              <w:rPr>
                                <w:color w:val="000000"/>
                              </w:rPr>
                            </w:pPr>
                            <w:r w:rsidRPr="007D7D8B">
                              <w:rPr>
                                <w:color w:val="000000"/>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2E24D1D">
                <v:stroke joinstyle="miter"/>
                <v:path gradientshapeok="t" o:connecttype="rect"/>
              </v:shapetype>
              <v:shape id="Text Box 34" style="position:absolute;left:0;text-align:left;margin-left:14.2pt;margin-top:18.65pt;width:24pt;height: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">
                <v:textbox>
                  <w:txbxContent>
                    <w:p w:rsidRPr="007D7D8B" w:rsidR="00653CDC" w:rsidP="006E631F" w:rsidRDefault="00653CDC" w14:paraId="1C94D3A9" w14:textId="77777777">
                      <w:pPr>
                        <w:rPr>
                          <w:color w:val="000000"/>
                        </w:rPr>
                      </w:pPr>
                      <w:r w:rsidRPr="007D7D8B">
                        <w:rPr>
                          <w:color w:val="000000"/>
                        </w:rPr>
                        <w:t>X</w:t>
                      </w:r>
                    </w:p>
                  </w:txbxContent>
                </v:textbox>
              </v:shape>
            </w:pict>
          </mc:Fallback>
        </mc:AlternateContent>
      </w:r>
      <w:r>
        <w:t xml:space="preserve">New </w:t>
      </w:r>
      <w:r>
        <w:tab/>
      </w:r>
      <w:r>
        <w:tab/>
      </w:r>
    </w:p>
    <w:p w:rsidRPr="005F25BA" w:rsidR="006E631F" w:rsidP="006E631F" w:rsidRDefault="006E631F" w14:paraId="4AAD0EAB" w14:textId="77777777">
      <w:pPr>
        <w:numPr>
          <w:ilvl w:val="0"/>
          <w:numId w:val="24"/>
        </w:numPr>
        <w:spacing w:after="0" w:line="240" w:lineRule="auto"/>
        <w:ind w:left="540" w:hanging="180"/>
      </w:pPr>
      <w:r w:rsidRPr="005F25BA">
        <w:t xml:space="preserve">Revision </w:t>
      </w:r>
    </w:p>
    <w:p w:rsidR="006E631F" w:rsidP="006E631F" w:rsidRDefault="006E631F" w14:paraId="6C1894E7" w14:textId="77777777">
      <w:pPr>
        <w:numPr>
          <w:ilvl w:val="0"/>
          <w:numId w:val="11"/>
        </w:numPr>
        <w:spacing w:after="0" w:line="240" w:lineRule="auto"/>
      </w:pPr>
      <w:r>
        <w:t>Reinstatement with Change</w:t>
      </w:r>
    </w:p>
    <w:p w:rsidR="006E631F" w:rsidP="006E631F" w:rsidRDefault="006E631F" w14:paraId="06155982" w14:textId="77777777">
      <w:pPr>
        <w:numPr>
          <w:ilvl w:val="0"/>
          <w:numId w:val="11"/>
        </w:numPr>
        <w:spacing w:after="0" w:line="240" w:lineRule="auto"/>
      </w:pPr>
      <w:r>
        <w:t>Reinstatement without Change</w:t>
      </w:r>
    </w:p>
    <w:p w:rsidR="006E631F" w:rsidP="006E631F" w:rsidRDefault="006E631F" w14:paraId="7C177FCD" w14:textId="77777777">
      <w:pPr>
        <w:numPr>
          <w:ilvl w:val="0"/>
          <w:numId w:val="11"/>
        </w:numPr>
        <w:spacing w:after="0" w:line="240" w:lineRule="auto"/>
      </w:pPr>
      <w:r>
        <w:t>Extension</w:t>
      </w:r>
    </w:p>
    <w:p w:rsidR="006E631F" w:rsidP="006E631F" w:rsidRDefault="006E631F" w14:paraId="2C8EE8CA" w14:textId="77777777">
      <w:pPr>
        <w:numPr>
          <w:ilvl w:val="0"/>
          <w:numId w:val="11"/>
        </w:numPr>
        <w:spacing w:after="0" w:line="240" w:lineRule="auto"/>
      </w:pPr>
      <w:r>
        <w:t>Emergency</w:t>
      </w:r>
    </w:p>
    <w:p w:rsidR="006E631F" w:rsidP="006E631F" w:rsidRDefault="006E631F" w14:paraId="0185570B" w14:textId="77777777">
      <w:pPr>
        <w:numPr>
          <w:ilvl w:val="0"/>
          <w:numId w:val="11"/>
        </w:numPr>
        <w:spacing w:after="0" w:line="240" w:lineRule="auto"/>
      </w:pPr>
      <w:r>
        <w:t>Existing</w:t>
      </w:r>
    </w:p>
    <w:p w:rsidR="00EF71AA" w:rsidP="00436859" w:rsidRDefault="00EF71AA" w14:paraId="26F84D33" w14:textId="45E9657F">
      <w:pPr>
        <w:pStyle w:val="P1-StandPara"/>
        <w:tabs>
          <w:tab w:val="left" w:pos="720"/>
          <w:tab w:val="right" w:leader="dot" w:pos="9504"/>
        </w:tabs>
        <w:spacing w:before="120" w:after="120"/>
        <w:rPr>
          <w:rFonts w:ascii="Calibri" w:hAnsi="Calibri"/>
          <w:szCs w:val="22"/>
        </w:rPr>
      </w:pPr>
    </w:p>
    <w:p w:rsidR="009666B9" w:rsidP="00EF71AA" w:rsidRDefault="009666B9" w14:paraId="5B31B281" w14:textId="77777777">
      <w:pPr>
        <w:pStyle w:val="P1-StandPara"/>
        <w:tabs>
          <w:tab w:val="left" w:pos="720"/>
          <w:tab w:val="right" w:leader="dot" w:pos="9504"/>
        </w:tabs>
        <w:spacing w:before="120" w:after="120"/>
        <w:ind w:firstLine="0"/>
        <w:rPr>
          <w:rFonts w:ascii="Calibri" w:hAnsi="Calibri"/>
          <w:szCs w:val="22"/>
        </w:rPr>
      </w:pPr>
    </w:p>
    <w:p w:rsidR="009666B9" w:rsidP="00EF71AA" w:rsidRDefault="009666B9" w14:paraId="545D8B99" w14:textId="77777777">
      <w:pPr>
        <w:pStyle w:val="P1-StandPara"/>
        <w:tabs>
          <w:tab w:val="left" w:pos="720"/>
          <w:tab w:val="right" w:leader="dot" w:pos="9504"/>
        </w:tabs>
        <w:spacing w:before="120" w:after="120"/>
        <w:ind w:firstLine="0"/>
        <w:rPr>
          <w:rFonts w:ascii="Calibri" w:hAnsi="Calibri"/>
          <w:szCs w:val="22"/>
        </w:rPr>
      </w:pPr>
    </w:p>
    <w:p w:rsidRPr="008942E9" w:rsidR="00E35DD1" w:rsidP="00EF71AA" w:rsidRDefault="00E35DD1" w14:paraId="7368E34F" w14:textId="1C99D3C2">
      <w:pPr>
        <w:pStyle w:val="P1-StandPara"/>
        <w:tabs>
          <w:tab w:val="left" w:pos="720"/>
          <w:tab w:val="right" w:leader="dot" w:pos="9504"/>
        </w:tabs>
        <w:spacing w:before="120" w:after="120"/>
        <w:ind w:firstLine="0"/>
        <w:rPr>
          <w:rFonts w:ascii="Calibri" w:hAnsi="Calibri"/>
          <w:szCs w:val="22"/>
        </w:rPr>
      </w:pPr>
      <w:r w:rsidRPr="008942E9">
        <w:rPr>
          <w:rFonts w:ascii="Calibri" w:hAnsi="Calibri"/>
          <w:szCs w:val="22"/>
        </w:rPr>
        <w:t xml:space="preserve">                    </w:t>
      </w:r>
    </w:p>
    <w:p w:rsidRPr="00E35DD1" w:rsidR="006E631F" w:rsidP="006E631F" w:rsidRDefault="006E631F" w14:paraId="19E55540" w14:textId="77777777">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szCs w:val="22"/>
        </w:rPr>
        <w:t>Federal Government Employee Information:</w:t>
      </w:r>
    </w:p>
    <w:p w:rsidRPr="00635139" w:rsidR="006163F8" w:rsidP="006163F8" w:rsidRDefault="00DF4635" w14:paraId="0E042788" w14:textId="38650312">
      <w:pPr>
        <w:pStyle w:val="P1-StandPara"/>
        <w:tabs>
          <w:tab w:val="right" w:leader="dot" w:pos="9504"/>
        </w:tabs>
        <w:spacing w:before="120" w:line="240" w:lineRule="auto"/>
        <w:ind w:firstLine="0"/>
        <w:rPr>
          <w:rFonts w:asciiTheme="minorHAnsi" w:hAnsiTheme="minorHAnsi"/>
          <w:color w:val="000000" w:themeColor="text1"/>
          <w:szCs w:val="22"/>
        </w:rPr>
      </w:pPr>
      <w:r w:rsidRPr="00635139">
        <w:rPr>
          <w:rFonts w:asciiTheme="minorHAnsi" w:hAnsiTheme="minorHAnsi"/>
          <w:color w:val="000000" w:themeColor="text1"/>
          <w:szCs w:val="22"/>
          <w:highlight w:val="yellow"/>
        </w:rPr>
        <w:t>Regina Bures, Ph.D., Program Director, Population Dynamics Branch</w:t>
      </w:r>
    </w:p>
    <w:p w:rsidRPr="00436859" w:rsidR="006163F8" w:rsidP="006163F8" w:rsidRDefault="006163F8" w14:paraId="506D577C" w14:textId="77777777">
      <w:pPr>
        <w:pStyle w:val="P1-StandPara"/>
        <w:tabs>
          <w:tab w:val="left" w:pos="0"/>
          <w:tab w:val="right" w:leader="dot" w:pos="9504"/>
        </w:tabs>
        <w:spacing w:before="120" w:line="240" w:lineRule="auto"/>
        <w:ind w:firstLine="0"/>
        <w:rPr>
          <w:rFonts w:asciiTheme="minorHAnsi" w:hAnsiTheme="minorHAnsi"/>
          <w:szCs w:val="22"/>
        </w:rPr>
      </w:pPr>
      <w:r w:rsidRPr="00436859">
        <w:rPr>
          <w:rFonts w:asciiTheme="minorHAnsi" w:hAnsiTheme="minorHAnsi"/>
          <w:i/>
          <w:szCs w:val="22"/>
        </w:rPr>
        <w:t>Eunice Kennedy Shriver</w:t>
      </w:r>
      <w:r w:rsidRPr="00436859">
        <w:rPr>
          <w:rFonts w:asciiTheme="minorHAnsi" w:hAnsiTheme="minorHAnsi"/>
          <w:szCs w:val="22"/>
        </w:rPr>
        <w:t xml:space="preserve"> National Institute of Child Health and Human Development (NICHD)</w:t>
      </w:r>
    </w:p>
    <w:p w:rsidRPr="00635139" w:rsidR="006163F8" w:rsidP="006163F8" w:rsidRDefault="006163F8" w14:paraId="0DC20A0A" w14:textId="77777777">
      <w:pPr>
        <w:pStyle w:val="P1-StandPara"/>
        <w:tabs>
          <w:tab w:val="left" w:pos="720"/>
          <w:tab w:val="right" w:leader="dot" w:pos="9504"/>
        </w:tabs>
        <w:spacing w:before="120" w:line="240" w:lineRule="auto"/>
        <w:ind w:firstLine="0"/>
        <w:rPr>
          <w:rFonts w:asciiTheme="minorHAnsi" w:hAnsiTheme="minorHAnsi"/>
          <w:color w:val="000000" w:themeColor="text1"/>
          <w:szCs w:val="22"/>
        </w:rPr>
      </w:pPr>
      <w:r w:rsidRPr="00436859">
        <w:rPr>
          <w:rFonts w:asciiTheme="minorHAnsi" w:hAnsiTheme="minorHAnsi"/>
          <w:szCs w:val="22"/>
        </w:rPr>
        <w:t>National Institutes of Health</w:t>
      </w:r>
    </w:p>
    <w:p w:rsidRPr="00635139" w:rsidR="006163F8" w:rsidP="006163F8" w:rsidRDefault="00E04C7F" w14:paraId="6807DAE0" w14:textId="16339DB0">
      <w:pPr>
        <w:pStyle w:val="P1-StandPara"/>
        <w:tabs>
          <w:tab w:val="left" w:pos="720"/>
          <w:tab w:val="right" w:leader="dot" w:pos="9504"/>
        </w:tabs>
        <w:spacing w:before="120" w:line="240" w:lineRule="auto"/>
        <w:ind w:firstLine="0"/>
        <w:rPr>
          <w:rFonts w:asciiTheme="minorHAnsi" w:hAnsiTheme="minorHAnsi"/>
          <w:color w:val="000000" w:themeColor="text1"/>
          <w:szCs w:val="22"/>
        </w:rPr>
      </w:pPr>
      <w:r w:rsidRPr="00635139">
        <w:rPr>
          <w:rFonts w:asciiTheme="minorHAnsi" w:hAnsiTheme="minorHAnsi"/>
          <w:color w:val="000000" w:themeColor="text1"/>
          <w:szCs w:val="22"/>
        </w:rPr>
        <w:t>6710B</w:t>
      </w:r>
      <w:r w:rsidRPr="00635139" w:rsidR="006163F8">
        <w:rPr>
          <w:rFonts w:asciiTheme="minorHAnsi" w:hAnsiTheme="minorHAnsi"/>
          <w:color w:val="000000" w:themeColor="text1"/>
          <w:szCs w:val="22"/>
        </w:rPr>
        <w:t xml:space="preserve"> </w:t>
      </w:r>
      <w:r w:rsidRPr="00635139">
        <w:rPr>
          <w:rFonts w:asciiTheme="minorHAnsi" w:hAnsiTheme="minorHAnsi"/>
          <w:color w:val="000000" w:themeColor="text1"/>
          <w:szCs w:val="22"/>
        </w:rPr>
        <w:t xml:space="preserve">Rockledge Drive, Room </w:t>
      </w:r>
      <w:r w:rsidRPr="00635139" w:rsidR="00DF4635">
        <w:rPr>
          <w:rFonts w:asciiTheme="minorHAnsi" w:hAnsiTheme="minorHAnsi"/>
          <w:color w:val="000000" w:themeColor="text1"/>
          <w:szCs w:val="22"/>
          <w:highlight w:val="yellow"/>
        </w:rPr>
        <w:t>2160</w:t>
      </w:r>
    </w:p>
    <w:p w:rsidRPr="00635139" w:rsidR="00E35DD1" w:rsidP="006163F8" w:rsidRDefault="00E04C7F" w14:paraId="1064BAE4" w14:textId="77777777">
      <w:pPr>
        <w:pStyle w:val="P1-StandPara"/>
        <w:tabs>
          <w:tab w:val="left" w:pos="720"/>
          <w:tab w:val="right" w:leader="dot" w:pos="9504"/>
        </w:tabs>
        <w:spacing w:before="120" w:line="240" w:lineRule="auto"/>
        <w:ind w:firstLine="0"/>
        <w:rPr>
          <w:rFonts w:asciiTheme="minorHAnsi" w:hAnsiTheme="minorHAnsi"/>
          <w:color w:val="000000" w:themeColor="text1"/>
          <w:szCs w:val="22"/>
        </w:rPr>
      </w:pPr>
      <w:r w:rsidRPr="00635139">
        <w:rPr>
          <w:rFonts w:asciiTheme="minorHAnsi" w:hAnsiTheme="minorHAnsi"/>
          <w:color w:val="000000" w:themeColor="text1"/>
          <w:szCs w:val="22"/>
        </w:rPr>
        <w:t>Bethesda, MD 20817</w:t>
      </w:r>
    </w:p>
    <w:p w:rsidRPr="00635139" w:rsidR="00E35DD1" w:rsidP="00BE76A7" w:rsidRDefault="00E35DD1" w14:paraId="03626571" w14:textId="55351BBD">
      <w:pPr>
        <w:pStyle w:val="P1-StandPara"/>
        <w:tabs>
          <w:tab w:val="left" w:pos="720"/>
          <w:tab w:val="right" w:leader="dot" w:pos="9504"/>
        </w:tabs>
        <w:spacing w:before="120" w:line="240" w:lineRule="auto"/>
        <w:ind w:firstLine="0"/>
        <w:rPr>
          <w:rFonts w:asciiTheme="minorHAnsi" w:hAnsiTheme="minorHAnsi"/>
          <w:color w:val="000000" w:themeColor="text1"/>
          <w:szCs w:val="22"/>
        </w:rPr>
      </w:pPr>
      <w:r w:rsidRPr="00635139">
        <w:rPr>
          <w:rFonts w:asciiTheme="minorHAnsi" w:hAnsiTheme="minorHAnsi"/>
          <w:color w:val="000000" w:themeColor="text1"/>
          <w:szCs w:val="22"/>
        </w:rPr>
        <w:t>Telephone:</w:t>
      </w:r>
      <w:r w:rsidRPr="00635139" w:rsidR="006163F8">
        <w:rPr>
          <w:rFonts w:asciiTheme="minorHAnsi" w:hAnsiTheme="minorHAnsi"/>
          <w:color w:val="000000" w:themeColor="text1"/>
          <w:szCs w:val="22"/>
        </w:rPr>
        <w:t xml:space="preserve"> </w:t>
      </w:r>
      <w:r w:rsidRPr="00635139" w:rsidR="00DF4635">
        <w:rPr>
          <w:rFonts w:asciiTheme="minorHAnsi" w:hAnsiTheme="minorHAnsi"/>
          <w:color w:val="000000" w:themeColor="text1"/>
          <w:szCs w:val="22"/>
          <w:highlight w:val="yellow"/>
        </w:rPr>
        <w:t>301-496-9485</w:t>
      </w:r>
    </w:p>
    <w:p w:rsidRPr="00635139" w:rsidR="00E35DD1" w:rsidP="00BE76A7" w:rsidRDefault="00E35DD1" w14:paraId="055855F9" w14:textId="03CDA1F9">
      <w:pPr>
        <w:pStyle w:val="P1-StandPara"/>
        <w:tabs>
          <w:tab w:val="left" w:pos="720"/>
          <w:tab w:val="right" w:leader="dot" w:pos="9504"/>
        </w:tabs>
        <w:spacing w:before="120" w:line="240" w:lineRule="auto"/>
        <w:ind w:firstLine="0"/>
        <w:rPr>
          <w:rFonts w:asciiTheme="minorHAnsi" w:hAnsiTheme="minorHAnsi"/>
          <w:color w:val="000000" w:themeColor="text1"/>
        </w:rPr>
      </w:pPr>
      <w:r w:rsidRPr="00635139">
        <w:rPr>
          <w:rFonts w:asciiTheme="minorHAnsi" w:hAnsiTheme="minorHAnsi"/>
          <w:color w:val="000000" w:themeColor="text1"/>
        </w:rPr>
        <w:t>Email:</w:t>
      </w:r>
      <w:r w:rsidRPr="00635139" w:rsidR="21EF93E7">
        <w:rPr>
          <w:rFonts w:asciiTheme="minorHAnsi" w:hAnsiTheme="minorHAnsi"/>
          <w:color w:val="000000" w:themeColor="text1"/>
        </w:rPr>
        <w:t xml:space="preserve"> </w:t>
      </w:r>
      <w:hyperlink r:id="rId13">
        <w:r w:rsidRPr="00635139" w:rsidR="21EF93E7">
          <w:rPr>
            <w:rStyle w:val="Hyperlink"/>
            <w:rFonts w:asciiTheme="minorHAnsi" w:hAnsiTheme="minorHAnsi"/>
            <w:color w:val="000000" w:themeColor="text1"/>
            <w:highlight w:val="yellow"/>
          </w:rPr>
          <w:t>NICHD.DASH@mail.nih.gov</w:t>
        </w:r>
      </w:hyperlink>
      <w:r w:rsidRPr="00635139" w:rsidR="21EF93E7">
        <w:rPr>
          <w:rFonts w:asciiTheme="minorHAnsi" w:hAnsiTheme="minorHAnsi"/>
          <w:color w:val="000000" w:themeColor="text1"/>
        </w:rPr>
        <w:t xml:space="preserve"> </w:t>
      </w:r>
    </w:p>
    <w:p w:rsidR="006E631F" w:rsidRDefault="006E631F" w14:paraId="3E8763E0" w14:textId="34116A38">
      <w:pPr>
        <w:spacing w:after="0" w:line="240" w:lineRule="auto"/>
        <w:rPr>
          <w:rFonts w:ascii="Times New Roman" w:hAnsi="Times New Roman" w:eastAsia="Times New Roman"/>
          <w:b/>
          <w:sz w:val="24"/>
        </w:rPr>
      </w:pPr>
    </w:p>
    <w:p w:rsidRPr="008907A5" w:rsidR="00E35DD1" w:rsidP="002A28D1" w:rsidRDefault="008907A5" w14:paraId="6B0F4FC8" w14:textId="77777777">
      <w:pPr>
        <w:pStyle w:val="P1-StandPara"/>
        <w:tabs>
          <w:tab w:val="left" w:pos="720"/>
          <w:tab w:val="right" w:leader="dot" w:pos="9504"/>
        </w:tabs>
        <w:spacing w:before="120" w:after="120"/>
        <w:jc w:val="center"/>
        <w:rPr>
          <w:b/>
          <w:sz w:val="24"/>
          <w:szCs w:val="22"/>
        </w:rPr>
      </w:pPr>
      <w:r w:rsidRPr="008907A5">
        <w:rPr>
          <w:b/>
          <w:sz w:val="24"/>
          <w:szCs w:val="22"/>
        </w:rPr>
        <w:t>Table of C</w:t>
      </w:r>
      <w:r w:rsidRPr="008907A5" w:rsidR="00E35DD1">
        <w:rPr>
          <w:b/>
          <w:sz w:val="24"/>
          <w:szCs w:val="22"/>
        </w:rPr>
        <w:t>ontents</w:t>
      </w:r>
    </w:p>
    <w:p w:rsidR="00B50B17" w:rsidRDefault="00E35DD1" w14:paraId="21984724" w14:textId="27420B46">
      <w:pPr>
        <w:pStyle w:val="TOC2"/>
        <w:rPr>
          <w:rFonts w:asciiTheme="minorHAnsi" w:hAnsiTheme="minorHAnsi" w:eastAsiaTheme="minorEastAsia" w:cstheme="minorBidi"/>
          <w:noProof/>
        </w:rPr>
      </w:pPr>
      <w:r w:rsidRPr="008942E9">
        <w:fldChar w:fldCharType="begin"/>
      </w:r>
      <w:r w:rsidRPr="008942E9">
        <w:instrText xml:space="preserve"> TOC \o "1-2" \u </w:instrText>
      </w:r>
      <w:r w:rsidRPr="008942E9">
        <w:fldChar w:fldCharType="separate"/>
      </w:r>
      <w:r w:rsidR="00B50B17">
        <w:rPr>
          <w:noProof/>
        </w:rPr>
        <w:t>A.</w:t>
      </w:r>
      <w:r w:rsidR="00B50B17">
        <w:rPr>
          <w:rFonts w:asciiTheme="minorHAnsi" w:hAnsiTheme="minorHAnsi" w:eastAsiaTheme="minorEastAsia" w:cstheme="minorBidi"/>
          <w:noProof/>
        </w:rPr>
        <w:tab/>
      </w:r>
      <w:r w:rsidR="00B50B17">
        <w:rPr>
          <w:noProof/>
        </w:rPr>
        <w:t>Justification</w:t>
      </w:r>
      <w:r w:rsidR="00B50B17">
        <w:rPr>
          <w:noProof/>
        </w:rPr>
        <w:tab/>
      </w:r>
      <w:r w:rsidR="00B50B17">
        <w:rPr>
          <w:noProof/>
        </w:rPr>
        <w:fldChar w:fldCharType="begin"/>
      </w:r>
      <w:r w:rsidR="00B50B17">
        <w:rPr>
          <w:noProof/>
        </w:rPr>
        <w:instrText xml:space="preserve"> PAGEREF _Toc508106935 \h </w:instrText>
      </w:r>
      <w:r w:rsidR="00B50B17">
        <w:rPr>
          <w:noProof/>
        </w:rPr>
      </w:r>
      <w:r w:rsidR="00B50B17">
        <w:rPr>
          <w:noProof/>
        </w:rPr>
        <w:fldChar w:fldCharType="separate"/>
      </w:r>
      <w:r w:rsidR="00B50B17">
        <w:rPr>
          <w:noProof/>
        </w:rPr>
        <w:t>3</w:t>
      </w:r>
      <w:r w:rsidR="00B50B17">
        <w:rPr>
          <w:noProof/>
        </w:rPr>
        <w:fldChar w:fldCharType="end"/>
      </w:r>
    </w:p>
    <w:p w:rsidR="00B50B17" w:rsidRDefault="00B50B17" w14:paraId="69EDFDA0" w14:textId="2ABC198A">
      <w:pPr>
        <w:pStyle w:val="TOC2"/>
        <w:rPr>
          <w:rFonts w:asciiTheme="minorHAnsi" w:hAnsiTheme="minorHAnsi" w:eastAsiaTheme="minorEastAsia" w:cstheme="minorBidi"/>
          <w:noProof/>
        </w:rPr>
      </w:pPr>
      <w:r>
        <w:rPr>
          <w:noProof/>
        </w:rPr>
        <w:t>A.1</w:t>
      </w:r>
      <w:r>
        <w:rPr>
          <w:rFonts w:asciiTheme="minorHAnsi" w:hAnsiTheme="minorHAnsi" w:eastAsiaTheme="minorEastAsia" w:cstheme="minorBidi"/>
          <w:noProof/>
        </w:rPr>
        <w:tab/>
      </w:r>
      <w:r>
        <w:rPr>
          <w:noProof/>
        </w:rPr>
        <w:t>Circumstances Making the Collection of Information Necessary</w:t>
      </w:r>
      <w:r>
        <w:rPr>
          <w:noProof/>
        </w:rPr>
        <w:tab/>
      </w:r>
      <w:r>
        <w:rPr>
          <w:noProof/>
        </w:rPr>
        <w:fldChar w:fldCharType="begin"/>
      </w:r>
      <w:r>
        <w:rPr>
          <w:noProof/>
        </w:rPr>
        <w:instrText xml:space="preserve"> PAGEREF _Toc508106936 \h </w:instrText>
      </w:r>
      <w:r>
        <w:rPr>
          <w:noProof/>
        </w:rPr>
      </w:r>
      <w:r>
        <w:rPr>
          <w:noProof/>
        </w:rPr>
        <w:fldChar w:fldCharType="separate"/>
      </w:r>
      <w:r>
        <w:rPr>
          <w:noProof/>
        </w:rPr>
        <w:t>3</w:t>
      </w:r>
      <w:r>
        <w:rPr>
          <w:noProof/>
        </w:rPr>
        <w:fldChar w:fldCharType="end"/>
      </w:r>
    </w:p>
    <w:p w:rsidR="00B50B17" w:rsidRDefault="00B50B17" w14:paraId="6A27E340" w14:textId="2E4C39D4">
      <w:pPr>
        <w:pStyle w:val="TOC2"/>
        <w:rPr>
          <w:rFonts w:asciiTheme="minorHAnsi" w:hAnsiTheme="minorHAnsi" w:eastAsiaTheme="minorEastAsia" w:cstheme="minorBidi"/>
          <w:noProof/>
        </w:rPr>
      </w:pPr>
      <w:r>
        <w:rPr>
          <w:noProof/>
        </w:rPr>
        <w:t>A.2</w:t>
      </w:r>
      <w:r>
        <w:rPr>
          <w:rFonts w:asciiTheme="minorHAnsi" w:hAnsiTheme="minorHAnsi" w:eastAsiaTheme="minorEastAsia" w:cstheme="minorBidi"/>
          <w:noProof/>
        </w:rPr>
        <w:tab/>
      </w:r>
      <w:r>
        <w:rPr>
          <w:noProof/>
        </w:rPr>
        <w:t>Purpose and Use of the Information Collection</w:t>
      </w:r>
      <w:r>
        <w:rPr>
          <w:noProof/>
        </w:rPr>
        <w:tab/>
      </w:r>
      <w:r>
        <w:rPr>
          <w:noProof/>
        </w:rPr>
        <w:fldChar w:fldCharType="begin"/>
      </w:r>
      <w:r>
        <w:rPr>
          <w:noProof/>
        </w:rPr>
        <w:instrText xml:space="preserve"> PAGEREF _Toc508106937 \h </w:instrText>
      </w:r>
      <w:r>
        <w:rPr>
          <w:noProof/>
        </w:rPr>
      </w:r>
      <w:r>
        <w:rPr>
          <w:noProof/>
        </w:rPr>
        <w:fldChar w:fldCharType="separate"/>
      </w:r>
      <w:r>
        <w:rPr>
          <w:noProof/>
        </w:rPr>
        <w:t>5</w:t>
      </w:r>
      <w:r>
        <w:rPr>
          <w:noProof/>
        </w:rPr>
        <w:fldChar w:fldCharType="end"/>
      </w:r>
    </w:p>
    <w:p w:rsidR="00B50B17" w:rsidRDefault="00B50B17" w14:paraId="1745FF52" w14:textId="110F3058">
      <w:pPr>
        <w:pStyle w:val="TOC2"/>
        <w:rPr>
          <w:rFonts w:asciiTheme="minorHAnsi" w:hAnsiTheme="minorHAnsi" w:eastAsiaTheme="minorEastAsia" w:cstheme="minorBidi"/>
          <w:noProof/>
        </w:rPr>
      </w:pPr>
      <w:r>
        <w:rPr>
          <w:noProof/>
        </w:rPr>
        <w:t>A.3</w:t>
      </w:r>
      <w:r>
        <w:rPr>
          <w:rFonts w:asciiTheme="minorHAnsi" w:hAnsiTheme="minorHAnsi" w:eastAsiaTheme="minorEastAsia" w:cstheme="minorBidi"/>
          <w:noProof/>
        </w:rPr>
        <w:tab/>
      </w:r>
      <w:r>
        <w:rPr>
          <w:noProof/>
        </w:rPr>
        <w:t>Use of Information Technology and Burden Reduction</w:t>
      </w:r>
      <w:r>
        <w:rPr>
          <w:noProof/>
        </w:rPr>
        <w:tab/>
      </w:r>
      <w:r>
        <w:rPr>
          <w:noProof/>
        </w:rPr>
        <w:fldChar w:fldCharType="begin"/>
      </w:r>
      <w:r>
        <w:rPr>
          <w:noProof/>
        </w:rPr>
        <w:instrText xml:space="preserve"> PAGEREF _Toc508106938 \h </w:instrText>
      </w:r>
      <w:r>
        <w:rPr>
          <w:noProof/>
        </w:rPr>
      </w:r>
      <w:r>
        <w:rPr>
          <w:noProof/>
        </w:rPr>
        <w:fldChar w:fldCharType="separate"/>
      </w:r>
      <w:r>
        <w:rPr>
          <w:noProof/>
        </w:rPr>
        <w:t>6</w:t>
      </w:r>
      <w:r>
        <w:rPr>
          <w:noProof/>
        </w:rPr>
        <w:fldChar w:fldCharType="end"/>
      </w:r>
    </w:p>
    <w:p w:rsidR="00B50B17" w:rsidRDefault="00B50B17" w14:paraId="7360A3EF" w14:textId="6A95E53B">
      <w:pPr>
        <w:pStyle w:val="TOC2"/>
        <w:rPr>
          <w:rFonts w:asciiTheme="minorHAnsi" w:hAnsiTheme="minorHAnsi" w:eastAsiaTheme="minorEastAsia" w:cstheme="minorBidi"/>
          <w:noProof/>
        </w:rPr>
      </w:pPr>
      <w:r>
        <w:rPr>
          <w:noProof/>
        </w:rPr>
        <w:t>A.4</w:t>
      </w:r>
      <w:r>
        <w:rPr>
          <w:rFonts w:asciiTheme="minorHAnsi" w:hAnsiTheme="minorHAnsi" w:eastAsiaTheme="minorEastAsia" w:cstheme="minorBidi"/>
          <w:noProof/>
        </w:rPr>
        <w:tab/>
      </w:r>
      <w:r>
        <w:rPr>
          <w:noProof/>
        </w:rPr>
        <w:t>Efforts to Identify Duplication and Use of Similar Information</w:t>
      </w:r>
      <w:r>
        <w:rPr>
          <w:noProof/>
        </w:rPr>
        <w:tab/>
      </w:r>
      <w:r>
        <w:rPr>
          <w:noProof/>
        </w:rPr>
        <w:fldChar w:fldCharType="begin"/>
      </w:r>
      <w:r>
        <w:rPr>
          <w:noProof/>
        </w:rPr>
        <w:instrText xml:space="preserve"> PAGEREF _Toc508106939 \h </w:instrText>
      </w:r>
      <w:r>
        <w:rPr>
          <w:noProof/>
        </w:rPr>
      </w:r>
      <w:r>
        <w:rPr>
          <w:noProof/>
        </w:rPr>
        <w:fldChar w:fldCharType="separate"/>
      </w:r>
      <w:r>
        <w:rPr>
          <w:noProof/>
        </w:rPr>
        <w:t>7</w:t>
      </w:r>
      <w:r>
        <w:rPr>
          <w:noProof/>
        </w:rPr>
        <w:fldChar w:fldCharType="end"/>
      </w:r>
    </w:p>
    <w:p w:rsidR="00B50B17" w:rsidRDefault="00B50B17" w14:paraId="5D7DFC09" w14:textId="64A25003">
      <w:pPr>
        <w:pStyle w:val="TOC2"/>
        <w:rPr>
          <w:rFonts w:asciiTheme="minorHAnsi" w:hAnsiTheme="minorHAnsi" w:eastAsiaTheme="minorEastAsia" w:cstheme="minorBidi"/>
          <w:noProof/>
        </w:rPr>
      </w:pPr>
      <w:r>
        <w:rPr>
          <w:noProof/>
        </w:rPr>
        <w:t>A.5</w:t>
      </w:r>
      <w:r>
        <w:rPr>
          <w:rFonts w:asciiTheme="minorHAnsi" w:hAnsiTheme="minorHAnsi" w:eastAsiaTheme="minorEastAsia" w:cstheme="minorBidi"/>
          <w:noProof/>
        </w:rPr>
        <w:tab/>
      </w:r>
      <w:r>
        <w:rPr>
          <w:noProof/>
        </w:rPr>
        <w:t>Impact on Small Businesses or Other Small Entities</w:t>
      </w:r>
      <w:r>
        <w:rPr>
          <w:noProof/>
        </w:rPr>
        <w:tab/>
      </w:r>
      <w:r>
        <w:rPr>
          <w:noProof/>
        </w:rPr>
        <w:fldChar w:fldCharType="begin"/>
      </w:r>
      <w:r>
        <w:rPr>
          <w:noProof/>
        </w:rPr>
        <w:instrText xml:space="preserve"> PAGEREF _Toc508106940 \h </w:instrText>
      </w:r>
      <w:r>
        <w:rPr>
          <w:noProof/>
        </w:rPr>
      </w:r>
      <w:r>
        <w:rPr>
          <w:noProof/>
        </w:rPr>
        <w:fldChar w:fldCharType="separate"/>
      </w:r>
      <w:r>
        <w:rPr>
          <w:noProof/>
        </w:rPr>
        <w:t>7</w:t>
      </w:r>
      <w:r>
        <w:rPr>
          <w:noProof/>
        </w:rPr>
        <w:fldChar w:fldCharType="end"/>
      </w:r>
    </w:p>
    <w:p w:rsidR="00B50B17" w:rsidRDefault="00B50B17" w14:paraId="453ADAFB" w14:textId="6704718F">
      <w:pPr>
        <w:pStyle w:val="TOC2"/>
        <w:rPr>
          <w:rFonts w:asciiTheme="minorHAnsi" w:hAnsiTheme="minorHAnsi" w:eastAsiaTheme="minorEastAsia" w:cstheme="minorBidi"/>
          <w:noProof/>
        </w:rPr>
      </w:pPr>
      <w:r>
        <w:rPr>
          <w:noProof/>
        </w:rPr>
        <w:t>A.6</w:t>
      </w:r>
      <w:r>
        <w:rPr>
          <w:rFonts w:asciiTheme="minorHAnsi" w:hAnsiTheme="minorHAnsi" w:eastAsiaTheme="minorEastAsia" w:cstheme="minorBidi"/>
          <w:noProof/>
        </w:rPr>
        <w:tab/>
      </w:r>
      <w:r>
        <w:rPr>
          <w:noProof/>
        </w:rPr>
        <w:t>Consequences of Collecting the Information Less Frequently</w:t>
      </w:r>
      <w:r>
        <w:rPr>
          <w:noProof/>
        </w:rPr>
        <w:tab/>
      </w:r>
      <w:r>
        <w:rPr>
          <w:noProof/>
        </w:rPr>
        <w:fldChar w:fldCharType="begin"/>
      </w:r>
      <w:r>
        <w:rPr>
          <w:noProof/>
        </w:rPr>
        <w:instrText xml:space="preserve"> PAGEREF _Toc508106941 \h </w:instrText>
      </w:r>
      <w:r>
        <w:rPr>
          <w:noProof/>
        </w:rPr>
      </w:r>
      <w:r>
        <w:rPr>
          <w:noProof/>
        </w:rPr>
        <w:fldChar w:fldCharType="separate"/>
      </w:r>
      <w:r>
        <w:rPr>
          <w:noProof/>
        </w:rPr>
        <w:t>7</w:t>
      </w:r>
      <w:r>
        <w:rPr>
          <w:noProof/>
        </w:rPr>
        <w:fldChar w:fldCharType="end"/>
      </w:r>
    </w:p>
    <w:p w:rsidR="00B50B17" w:rsidRDefault="00B50B17" w14:paraId="7DEFB6BB" w14:textId="732DDD62">
      <w:pPr>
        <w:pStyle w:val="TOC2"/>
        <w:rPr>
          <w:rFonts w:asciiTheme="minorHAnsi" w:hAnsiTheme="minorHAnsi" w:eastAsiaTheme="minorEastAsia" w:cstheme="minorBidi"/>
          <w:noProof/>
        </w:rPr>
      </w:pPr>
      <w:r>
        <w:rPr>
          <w:noProof/>
        </w:rPr>
        <w:t>A.7</w:t>
      </w:r>
      <w:r>
        <w:rPr>
          <w:rFonts w:asciiTheme="minorHAnsi" w:hAnsiTheme="minorHAnsi" w:eastAsiaTheme="minorEastAsia" w:cstheme="minorBidi"/>
          <w:noProof/>
        </w:rPr>
        <w:tab/>
      </w:r>
      <w:r>
        <w:rPr>
          <w:noProof/>
        </w:rPr>
        <w:t>Special Circumstances Relating to the Guidelines of 5 CFR 1320.5</w:t>
      </w:r>
      <w:r>
        <w:rPr>
          <w:noProof/>
        </w:rPr>
        <w:tab/>
      </w:r>
      <w:r>
        <w:rPr>
          <w:noProof/>
        </w:rPr>
        <w:fldChar w:fldCharType="begin"/>
      </w:r>
      <w:r>
        <w:rPr>
          <w:noProof/>
        </w:rPr>
        <w:instrText xml:space="preserve"> PAGEREF _Toc508106942 \h </w:instrText>
      </w:r>
      <w:r>
        <w:rPr>
          <w:noProof/>
        </w:rPr>
      </w:r>
      <w:r>
        <w:rPr>
          <w:noProof/>
        </w:rPr>
        <w:fldChar w:fldCharType="separate"/>
      </w:r>
      <w:r>
        <w:rPr>
          <w:noProof/>
        </w:rPr>
        <w:t>7</w:t>
      </w:r>
      <w:r>
        <w:rPr>
          <w:noProof/>
        </w:rPr>
        <w:fldChar w:fldCharType="end"/>
      </w:r>
    </w:p>
    <w:p w:rsidR="00B50B17" w:rsidRDefault="00B50B17" w14:paraId="7042252F" w14:textId="0BF0E2D5">
      <w:pPr>
        <w:pStyle w:val="TOC2"/>
        <w:rPr>
          <w:rFonts w:asciiTheme="minorHAnsi" w:hAnsiTheme="minorHAnsi" w:eastAsiaTheme="minorEastAsia" w:cstheme="minorBidi"/>
          <w:noProof/>
        </w:rPr>
      </w:pPr>
      <w:r>
        <w:rPr>
          <w:noProof/>
        </w:rPr>
        <w:t>A.8.1</w:t>
      </w:r>
      <w:r>
        <w:rPr>
          <w:rFonts w:asciiTheme="minorHAnsi" w:hAnsiTheme="minorHAnsi" w:eastAsiaTheme="minorEastAsia" w:cstheme="minorBidi"/>
          <w:noProof/>
        </w:rPr>
        <w:tab/>
      </w:r>
      <w:r>
        <w:rPr>
          <w:noProof/>
        </w:rPr>
        <w:t>Comments in Response to the Federal Register Notice</w:t>
      </w:r>
      <w:r>
        <w:rPr>
          <w:noProof/>
        </w:rPr>
        <w:tab/>
      </w:r>
      <w:r>
        <w:rPr>
          <w:noProof/>
        </w:rPr>
        <w:fldChar w:fldCharType="begin"/>
      </w:r>
      <w:r>
        <w:rPr>
          <w:noProof/>
        </w:rPr>
        <w:instrText xml:space="preserve"> PAGEREF _Toc508106943 \h </w:instrText>
      </w:r>
      <w:r>
        <w:rPr>
          <w:noProof/>
        </w:rPr>
      </w:r>
      <w:r>
        <w:rPr>
          <w:noProof/>
        </w:rPr>
        <w:fldChar w:fldCharType="separate"/>
      </w:r>
      <w:r>
        <w:rPr>
          <w:noProof/>
        </w:rPr>
        <w:t>7</w:t>
      </w:r>
      <w:r>
        <w:rPr>
          <w:noProof/>
        </w:rPr>
        <w:fldChar w:fldCharType="end"/>
      </w:r>
    </w:p>
    <w:p w:rsidR="00B50B17" w:rsidRDefault="00B50B17" w14:paraId="349962A7" w14:textId="79C5A33D">
      <w:pPr>
        <w:pStyle w:val="TOC2"/>
        <w:rPr>
          <w:rFonts w:asciiTheme="minorHAnsi" w:hAnsiTheme="minorHAnsi" w:eastAsiaTheme="minorEastAsia" w:cstheme="minorBidi"/>
          <w:noProof/>
        </w:rPr>
      </w:pPr>
      <w:r>
        <w:rPr>
          <w:noProof/>
        </w:rPr>
        <w:t>A.8.2</w:t>
      </w:r>
      <w:r>
        <w:rPr>
          <w:rFonts w:asciiTheme="minorHAnsi" w:hAnsiTheme="minorHAnsi" w:eastAsiaTheme="minorEastAsia" w:cstheme="minorBidi"/>
          <w:noProof/>
        </w:rPr>
        <w:tab/>
      </w:r>
      <w:r>
        <w:rPr>
          <w:noProof/>
        </w:rPr>
        <w:t>Efforts to Consult Outside Agency</w:t>
      </w:r>
      <w:r>
        <w:rPr>
          <w:noProof/>
        </w:rPr>
        <w:tab/>
      </w:r>
      <w:r>
        <w:rPr>
          <w:noProof/>
        </w:rPr>
        <w:fldChar w:fldCharType="begin"/>
      </w:r>
      <w:r>
        <w:rPr>
          <w:noProof/>
        </w:rPr>
        <w:instrText xml:space="preserve"> PAGEREF _Toc508106944 \h </w:instrText>
      </w:r>
      <w:r>
        <w:rPr>
          <w:noProof/>
        </w:rPr>
      </w:r>
      <w:r>
        <w:rPr>
          <w:noProof/>
        </w:rPr>
        <w:fldChar w:fldCharType="separate"/>
      </w:r>
      <w:r>
        <w:rPr>
          <w:noProof/>
        </w:rPr>
        <w:t>7</w:t>
      </w:r>
      <w:r>
        <w:rPr>
          <w:noProof/>
        </w:rPr>
        <w:fldChar w:fldCharType="end"/>
      </w:r>
    </w:p>
    <w:p w:rsidR="00B50B17" w:rsidRDefault="00B50B17" w14:paraId="7B6A6DC4" w14:textId="5FA717A1">
      <w:pPr>
        <w:pStyle w:val="TOC2"/>
        <w:rPr>
          <w:rFonts w:asciiTheme="minorHAnsi" w:hAnsiTheme="minorHAnsi" w:eastAsiaTheme="minorEastAsia" w:cstheme="minorBidi"/>
          <w:noProof/>
        </w:rPr>
      </w:pPr>
      <w:r>
        <w:rPr>
          <w:noProof/>
        </w:rPr>
        <w:t>A.9</w:t>
      </w:r>
      <w:r>
        <w:rPr>
          <w:rFonts w:asciiTheme="minorHAnsi" w:hAnsiTheme="minorHAnsi" w:eastAsiaTheme="minorEastAsia" w:cstheme="minorBidi"/>
          <w:noProof/>
        </w:rPr>
        <w:tab/>
      </w:r>
      <w:r>
        <w:rPr>
          <w:noProof/>
        </w:rPr>
        <w:t>Explanation of Any Payment of Gift to Respondents</w:t>
      </w:r>
      <w:r>
        <w:rPr>
          <w:noProof/>
        </w:rPr>
        <w:tab/>
      </w:r>
      <w:r>
        <w:rPr>
          <w:noProof/>
        </w:rPr>
        <w:fldChar w:fldCharType="begin"/>
      </w:r>
      <w:r>
        <w:rPr>
          <w:noProof/>
        </w:rPr>
        <w:instrText xml:space="preserve"> PAGEREF _Toc508106945 \h </w:instrText>
      </w:r>
      <w:r>
        <w:rPr>
          <w:noProof/>
        </w:rPr>
      </w:r>
      <w:r>
        <w:rPr>
          <w:noProof/>
        </w:rPr>
        <w:fldChar w:fldCharType="separate"/>
      </w:r>
      <w:r>
        <w:rPr>
          <w:noProof/>
        </w:rPr>
        <w:t>8</w:t>
      </w:r>
      <w:r>
        <w:rPr>
          <w:noProof/>
        </w:rPr>
        <w:fldChar w:fldCharType="end"/>
      </w:r>
    </w:p>
    <w:p w:rsidR="00B50B17" w:rsidRDefault="00B50B17" w14:paraId="3D01F4E2" w14:textId="263F682F">
      <w:pPr>
        <w:pStyle w:val="TOC2"/>
        <w:rPr>
          <w:rFonts w:asciiTheme="minorHAnsi" w:hAnsiTheme="minorHAnsi" w:eastAsiaTheme="minorEastAsia" w:cstheme="minorBidi"/>
          <w:noProof/>
        </w:rPr>
      </w:pPr>
      <w:r>
        <w:rPr>
          <w:noProof/>
        </w:rPr>
        <w:t>A.10</w:t>
      </w:r>
      <w:r>
        <w:rPr>
          <w:rFonts w:asciiTheme="minorHAnsi" w:hAnsiTheme="minorHAnsi" w:eastAsiaTheme="minorEastAsia" w:cstheme="minorBidi"/>
          <w:noProof/>
        </w:rPr>
        <w:tab/>
      </w:r>
      <w:r>
        <w:rPr>
          <w:noProof/>
        </w:rPr>
        <w:t>Assurance of Confidentiality Provided to Respondents</w:t>
      </w:r>
      <w:r>
        <w:rPr>
          <w:noProof/>
        </w:rPr>
        <w:tab/>
      </w:r>
      <w:r>
        <w:rPr>
          <w:noProof/>
        </w:rPr>
        <w:fldChar w:fldCharType="begin"/>
      </w:r>
      <w:r>
        <w:rPr>
          <w:noProof/>
        </w:rPr>
        <w:instrText xml:space="preserve"> PAGEREF _Toc508106946 \h </w:instrText>
      </w:r>
      <w:r>
        <w:rPr>
          <w:noProof/>
        </w:rPr>
      </w:r>
      <w:r>
        <w:rPr>
          <w:noProof/>
        </w:rPr>
        <w:fldChar w:fldCharType="separate"/>
      </w:r>
      <w:r>
        <w:rPr>
          <w:noProof/>
        </w:rPr>
        <w:t>8</w:t>
      </w:r>
      <w:r>
        <w:rPr>
          <w:noProof/>
        </w:rPr>
        <w:fldChar w:fldCharType="end"/>
      </w:r>
    </w:p>
    <w:p w:rsidR="00B50B17" w:rsidRDefault="00B50B17" w14:paraId="0F1C6589" w14:textId="5EBFD745">
      <w:pPr>
        <w:pStyle w:val="TOC2"/>
        <w:rPr>
          <w:rFonts w:asciiTheme="minorHAnsi" w:hAnsiTheme="minorHAnsi" w:eastAsiaTheme="minorEastAsia" w:cstheme="minorBidi"/>
          <w:noProof/>
        </w:rPr>
      </w:pPr>
      <w:r>
        <w:rPr>
          <w:noProof/>
        </w:rPr>
        <w:t>A.11</w:t>
      </w:r>
      <w:r>
        <w:rPr>
          <w:rFonts w:asciiTheme="minorHAnsi" w:hAnsiTheme="minorHAnsi" w:eastAsiaTheme="minorEastAsia" w:cstheme="minorBidi"/>
          <w:noProof/>
        </w:rPr>
        <w:tab/>
      </w:r>
      <w:r>
        <w:rPr>
          <w:noProof/>
        </w:rPr>
        <w:t>Justification for Sensitive Questions</w:t>
      </w:r>
      <w:r>
        <w:rPr>
          <w:noProof/>
        </w:rPr>
        <w:tab/>
      </w:r>
      <w:r>
        <w:rPr>
          <w:noProof/>
        </w:rPr>
        <w:fldChar w:fldCharType="begin"/>
      </w:r>
      <w:r>
        <w:rPr>
          <w:noProof/>
        </w:rPr>
        <w:instrText xml:space="preserve"> PAGEREF _Toc508106947 \h </w:instrText>
      </w:r>
      <w:r>
        <w:rPr>
          <w:noProof/>
        </w:rPr>
      </w:r>
      <w:r>
        <w:rPr>
          <w:noProof/>
        </w:rPr>
        <w:fldChar w:fldCharType="separate"/>
      </w:r>
      <w:r>
        <w:rPr>
          <w:noProof/>
        </w:rPr>
        <w:t>9</w:t>
      </w:r>
      <w:r>
        <w:rPr>
          <w:noProof/>
        </w:rPr>
        <w:fldChar w:fldCharType="end"/>
      </w:r>
    </w:p>
    <w:p w:rsidR="00B50B17" w:rsidRDefault="00B50B17" w14:paraId="4F6FEDAB" w14:textId="1441F059">
      <w:pPr>
        <w:pStyle w:val="TOC2"/>
        <w:rPr>
          <w:rFonts w:asciiTheme="minorHAnsi" w:hAnsiTheme="minorHAnsi" w:eastAsiaTheme="minorEastAsia" w:cstheme="minorBidi"/>
          <w:noProof/>
        </w:rPr>
      </w:pPr>
      <w:r>
        <w:rPr>
          <w:noProof/>
        </w:rPr>
        <w:t>A.12.1</w:t>
      </w:r>
      <w:r>
        <w:rPr>
          <w:rFonts w:asciiTheme="minorHAnsi" w:hAnsiTheme="minorHAnsi" w:eastAsiaTheme="minorEastAsia" w:cstheme="minorBidi"/>
          <w:noProof/>
        </w:rPr>
        <w:tab/>
      </w:r>
      <w:r>
        <w:rPr>
          <w:noProof/>
        </w:rPr>
        <w:t>Estimates of Hour Burden Including Annualized Hourly Costs</w:t>
      </w:r>
      <w:r>
        <w:rPr>
          <w:noProof/>
        </w:rPr>
        <w:tab/>
      </w:r>
      <w:r>
        <w:rPr>
          <w:noProof/>
        </w:rPr>
        <w:fldChar w:fldCharType="begin"/>
      </w:r>
      <w:r>
        <w:rPr>
          <w:noProof/>
        </w:rPr>
        <w:instrText xml:space="preserve"> PAGEREF _Toc508106948 \h </w:instrText>
      </w:r>
      <w:r>
        <w:rPr>
          <w:noProof/>
        </w:rPr>
      </w:r>
      <w:r>
        <w:rPr>
          <w:noProof/>
        </w:rPr>
        <w:fldChar w:fldCharType="separate"/>
      </w:r>
      <w:r>
        <w:rPr>
          <w:noProof/>
        </w:rPr>
        <w:t>10</w:t>
      </w:r>
      <w:r>
        <w:rPr>
          <w:noProof/>
        </w:rPr>
        <w:fldChar w:fldCharType="end"/>
      </w:r>
    </w:p>
    <w:p w:rsidR="00B50B17" w:rsidRDefault="00B50B17" w14:paraId="13FD9C1B" w14:textId="0EB57B32">
      <w:pPr>
        <w:pStyle w:val="TOC2"/>
        <w:rPr>
          <w:rFonts w:asciiTheme="minorHAnsi" w:hAnsiTheme="minorHAnsi" w:eastAsiaTheme="minorEastAsia" w:cstheme="minorBidi"/>
          <w:noProof/>
        </w:rPr>
      </w:pPr>
      <w:r>
        <w:rPr>
          <w:noProof/>
        </w:rPr>
        <w:t>A.12.2</w:t>
      </w:r>
      <w:r>
        <w:rPr>
          <w:rFonts w:asciiTheme="minorHAnsi" w:hAnsiTheme="minorHAnsi" w:eastAsiaTheme="minorEastAsia" w:cstheme="minorBidi"/>
          <w:noProof/>
        </w:rPr>
        <w:tab/>
      </w:r>
      <w:r>
        <w:rPr>
          <w:noProof/>
        </w:rPr>
        <w:t>Annualized Cost to Respondents</w:t>
      </w:r>
      <w:r>
        <w:rPr>
          <w:noProof/>
        </w:rPr>
        <w:tab/>
      </w:r>
      <w:r>
        <w:rPr>
          <w:noProof/>
        </w:rPr>
        <w:fldChar w:fldCharType="begin"/>
      </w:r>
      <w:r>
        <w:rPr>
          <w:noProof/>
        </w:rPr>
        <w:instrText xml:space="preserve"> PAGEREF _Toc508106949 \h </w:instrText>
      </w:r>
      <w:r>
        <w:rPr>
          <w:noProof/>
        </w:rPr>
      </w:r>
      <w:r>
        <w:rPr>
          <w:noProof/>
        </w:rPr>
        <w:fldChar w:fldCharType="separate"/>
      </w:r>
      <w:r>
        <w:rPr>
          <w:noProof/>
        </w:rPr>
        <w:t>10</w:t>
      </w:r>
      <w:r>
        <w:rPr>
          <w:noProof/>
        </w:rPr>
        <w:fldChar w:fldCharType="end"/>
      </w:r>
    </w:p>
    <w:p w:rsidR="00B50B17" w:rsidRDefault="00B50B17" w14:paraId="035A6944" w14:textId="70235564">
      <w:pPr>
        <w:pStyle w:val="TOC2"/>
        <w:rPr>
          <w:rFonts w:asciiTheme="minorHAnsi" w:hAnsiTheme="minorHAnsi" w:eastAsiaTheme="minorEastAsia" w:cstheme="minorBidi"/>
          <w:noProof/>
        </w:rPr>
      </w:pPr>
      <w:r>
        <w:rPr>
          <w:noProof/>
        </w:rPr>
        <w:t>A.13</w:t>
      </w:r>
      <w:r>
        <w:rPr>
          <w:rFonts w:asciiTheme="minorHAnsi" w:hAnsiTheme="minorHAnsi" w:eastAsiaTheme="minorEastAsia" w:cstheme="minorBidi"/>
          <w:noProof/>
        </w:rPr>
        <w:tab/>
      </w:r>
      <w:r>
        <w:rPr>
          <w:noProof/>
        </w:rPr>
        <w:t>Estimate of Other Total Annual Cost Burden to Respondents or Record Keepers</w:t>
      </w:r>
      <w:r>
        <w:rPr>
          <w:noProof/>
        </w:rPr>
        <w:tab/>
      </w:r>
      <w:r>
        <w:rPr>
          <w:noProof/>
        </w:rPr>
        <w:fldChar w:fldCharType="begin"/>
      </w:r>
      <w:r>
        <w:rPr>
          <w:noProof/>
        </w:rPr>
        <w:instrText xml:space="preserve"> PAGEREF _Toc508106950 \h </w:instrText>
      </w:r>
      <w:r>
        <w:rPr>
          <w:noProof/>
        </w:rPr>
      </w:r>
      <w:r>
        <w:rPr>
          <w:noProof/>
        </w:rPr>
        <w:fldChar w:fldCharType="separate"/>
      </w:r>
      <w:r>
        <w:rPr>
          <w:noProof/>
        </w:rPr>
        <w:t>11</w:t>
      </w:r>
      <w:r>
        <w:rPr>
          <w:noProof/>
        </w:rPr>
        <w:fldChar w:fldCharType="end"/>
      </w:r>
    </w:p>
    <w:p w:rsidR="00B50B17" w:rsidRDefault="00B50B17" w14:paraId="3E8504AF" w14:textId="1C60A25B">
      <w:pPr>
        <w:pStyle w:val="TOC2"/>
        <w:rPr>
          <w:rFonts w:asciiTheme="minorHAnsi" w:hAnsiTheme="minorHAnsi" w:eastAsiaTheme="minorEastAsia" w:cstheme="minorBidi"/>
          <w:noProof/>
        </w:rPr>
      </w:pPr>
      <w:r>
        <w:rPr>
          <w:noProof/>
        </w:rPr>
        <w:t>A.14</w:t>
      </w:r>
      <w:r>
        <w:rPr>
          <w:rFonts w:asciiTheme="minorHAnsi" w:hAnsiTheme="minorHAnsi" w:eastAsiaTheme="minorEastAsia" w:cstheme="minorBidi"/>
          <w:noProof/>
        </w:rPr>
        <w:tab/>
      </w:r>
      <w:r>
        <w:rPr>
          <w:noProof/>
        </w:rPr>
        <w:t>Annualized Cost to the Federal Government</w:t>
      </w:r>
      <w:r>
        <w:rPr>
          <w:noProof/>
        </w:rPr>
        <w:tab/>
      </w:r>
      <w:r>
        <w:rPr>
          <w:noProof/>
        </w:rPr>
        <w:fldChar w:fldCharType="begin"/>
      </w:r>
      <w:r>
        <w:rPr>
          <w:noProof/>
        </w:rPr>
        <w:instrText xml:space="preserve"> PAGEREF _Toc508106951 \h </w:instrText>
      </w:r>
      <w:r>
        <w:rPr>
          <w:noProof/>
        </w:rPr>
      </w:r>
      <w:r>
        <w:rPr>
          <w:noProof/>
        </w:rPr>
        <w:fldChar w:fldCharType="separate"/>
      </w:r>
      <w:r>
        <w:rPr>
          <w:noProof/>
        </w:rPr>
        <w:t>11</w:t>
      </w:r>
      <w:r>
        <w:rPr>
          <w:noProof/>
        </w:rPr>
        <w:fldChar w:fldCharType="end"/>
      </w:r>
    </w:p>
    <w:p w:rsidR="00B50B17" w:rsidRDefault="00B50B17" w14:paraId="10118325" w14:textId="3EEDF4EC">
      <w:pPr>
        <w:pStyle w:val="TOC2"/>
        <w:rPr>
          <w:rFonts w:asciiTheme="minorHAnsi" w:hAnsiTheme="minorHAnsi" w:eastAsiaTheme="minorEastAsia" w:cstheme="minorBidi"/>
          <w:noProof/>
        </w:rPr>
      </w:pPr>
      <w:r>
        <w:rPr>
          <w:noProof/>
        </w:rPr>
        <w:t>A.15</w:t>
      </w:r>
      <w:r>
        <w:rPr>
          <w:rFonts w:asciiTheme="minorHAnsi" w:hAnsiTheme="minorHAnsi" w:eastAsiaTheme="minorEastAsia" w:cstheme="minorBidi"/>
          <w:noProof/>
        </w:rPr>
        <w:tab/>
      </w:r>
      <w:r>
        <w:rPr>
          <w:noProof/>
        </w:rPr>
        <w:t>Explanation for Program Changes or Adjustments</w:t>
      </w:r>
      <w:r>
        <w:rPr>
          <w:noProof/>
        </w:rPr>
        <w:tab/>
      </w:r>
      <w:r>
        <w:rPr>
          <w:noProof/>
        </w:rPr>
        <w:fldChar w:fldCharType="begin"/>
      </w:r>
      <w:r>
        <w:rPr>
          <w:noProof/>
        </w:rPr>
        <w:instrText xml:space="preserve"> PAGEREF _Toc508106952 \h </w:instrText>
      </w:r>
      <w:r>
        <w:rPr>
          <w:noProof/>
        </w:rPr>
      </w:r>
      <w:r>
        <w:rPr>
          <w:noProof/>
        </w:rPr>
        <w:fldChar w:fldCharType="separate"/>
      </w:r>
      <w:r>
        <w:rPr>
          <w:noProof/>
        </w:rPr>
        <w:t>11</w:t>
      </w:r>
      <w:r>
        <w:rPr>
          <w:noProof/>
        </w:rPr>
        <w:fldChar w:fldCharType="end"/>
      </w:r>
    </w:p>
    <w:p w:rsidR="00B50B17" w:rsidRDefault="00B50B17" w14:paraId="0AE0E68E" w14:textId="4EE3CA96">
      <w:pPr>
        <w:pStyle w:val="TOC2"/>
        <w:rPr>
          <w:rFonts w:asciiTheme="minorHAnsi" w:hAnsiTheme="minorHAnsi" w:eastAsiaTheme="minorEastAsia" w:cstheme="minorBidi"/>
          <w:noProof/>
        </w:rPr>
      </w:pPr>
      <w:r>
        <w:rPr>
          <w:noProof/>
        </w:rPr>
        <w:t>A.16</w:t>
      </w:r>
      <w:r>
        <w:rPr>
          <w:rFonts w:asciiTheme="minorHAnsi" w:hAnsiTheme="minorHAnsi" w:eastAsiaTheme="minorEastAsia" w:cstheme="minorBidi"/>
          <w:noProof/>
        </w:rPr>
        <w:tab/>
      </w:r>
      <w:r>
        <w:rPr>
          <w:noProof/>
        </w:rPr>
        <w:t>Plans for Tabulation and Publication and Project Time Schedule</w:t>
      </w:r>
      <w:r>
        <w:rPr>
          <w:noProof/>
        </w:rPr>
        <w:tab/>
      </w:r>
      <w:r>
        <w:rPr>
          <w:noProof/>
        </w:rPr>
        <w:fldChar w:fldCharType="begin"/>
      </w:r>
      <w:r>
        <w:rPr>
          <w:noProof/>
        </w:rPr>
        <w:instrText xml:space="preserve"> PAGEREF _Toc508106953 \h </w:instrText>
      </w:r>
      <w:r>
        <w:rPr>
          <w:noProof/>
        </w:rPr>
      </w:r>
      <w:r>
        <w:rPr>
          <w:noProof/>
        </w:rPr>
        <w:fldChar w:fldCharType="separate"/>
      </w:r>
      <w:r>
        <w:rPr>
          <w:noProof/>
        </w:rPr>
        <w:t>11</w:t>
      </w:r>
      <w:r>
        <w:rPr>
          <w:noProof/>
        </w:rPr>
        <w:fldChar w:fldCharType="end"/>
      </w:r>
    </w:p>
    <w:p w:rsidR="00B50B17" w:rsidRDefault="00B50B17" w14:paraId="70F98D54" w14:textId="59D2B30F">
      <w:pPr>
        <w:pStyle w:val="TOC2"/>
        <w:rPr>
          <w:rFonts w:asciiTheme="minorHAnsi" w:hAnsiTheme="minorHAnsi" w:eastAsiaTheme="minorEastAsia" w:cstheme="minorBidi"/>
          <w:noProof/>
        </w:rPr>
      </w:pPr>
      <w:r>
        <w:rPr>
          <w:noProof/>
        </w:rPr>
        <w:t>A.17</w:t>
      </w:r>
      <w:r>
        <w:rPr>
          <w:rFonts w:asciiTheme="minorHAnsi" w:hAnsiTheme="minorHAnsi" w:eastAsiaTheme="minorEastAsia" w:cstheme="minorBidi"/>
          <w:noProof/>
        </w:rPr>
        <w:tab/>
      </w:r>
      <w:r>
        <w:rPr>
          <w:noProof/>
        </w:rPr>
        <w:t>Reason(s) Display of OMB Expiration Date is Inappropriate</w:t>
      </w:r>
      <w:r>
        <w:rPr>
          <w:noProof/>
        </w:rPr>
        <w:tab/>
      </w:r>
      <w:r>
        <w:rPr>
          <w:noProof/>
        </w:rPr>
        <w:fldChar w:fldCharType="begin"/>
      </w:r>
      <w:r>
        <w:rPr>
          <w:noProof/>
        </w:rPr>
        <w:instrText xml:space="preserve"> PAGEREF _Toc508106954 \h </w:instrText>
      </w:r>
      <w:r>
        <w:rPr>
          <w:noProof/>
        </w:rPr>
      </w:r>
      <w:r>
        <w:rPr>
          <w:noProof/>
        </w:rPr>
        <w:fldChar w:fldCharType="separate"/>
      </w:r>
      <w:r>
        <w:rPr>
          <w:noProof/>
        </w:rPr>
        <w:t>12</w:t>
      </w:r>
      <w:r>
        <w:rPr>
          <w:noProof/>
        </w:rPr>
        <w:fldChar w:fldCharType="end"/>
      </w:r>
    </w:p>
    <w:p w:rsidR="00B50B17" w:rsidRDefault="00B50B17" w14:paraId="30AFD51D" w14:textId="54CE0A1F">
      <w:pPr>
        <w:pStyle w:val="TOC2"/>
        <w:rPr>
          <w:rFonts w:asciiTheme="minorHAnsi" w:hAnsiTheme="minorHAnsi" w:eastAsiaTheme="minorEastAsia" w:cstheme="minorBidi"/>
          <w:noProof/>
        </w:rPr>
      </w:pPr>
      <w:r>
        <w:rPr>
          <w:noProof/>
        </w:rPr>
        <w:t>A.18</w:t>
      </w:r>
      <w:r>
        <w:rPr>
          <w:rFonts w:asciiTheme="minorHAnsi" w:hAnsiTheme="minorHAnsi" w:eastAsiaTheme="minorEastAsia" w:cstheme="minorBidi"/>
          <w:noProof/>
        </w:rPr>
        <w:tab/>
      </w:r>
      <w:r>
        <w:rPr>
          <w:noProof/>
        </w:rPr>
        <w:t>Exceptions to Certification for Paperwork Reduction Act Submissions</w:t>
      </w:r>
      <w:r>
        <w:rPr>
          <w:noProof/>
        </w:rPr>
        <w:tab/>
      </w:r>
      <w:r>
        <w:rPr>
          <w:noProof/>
        </w:rPr>
        <w:fldChar w:fldCharType="begin"/>
      </w:r>
      <w:r>
        <w:rPr>
          <w:noProof/>
        </w:rPr>
        <w:instrText xml:space="preserve"> PAGEREF _Toc508106955 \h </w:instrText>
      </w:r>
      <w:r>
        <w:rPr>
          <w:noProof/>
        </w:rPr>
      </w:r>
      <w:r>
        <w:rPr>
          <w:noProof/>
        </w:rPr>
        <w:fldChar w:fldCharType="separate"/>
      </w:r>
      <w:r>
        <w:rPr>
          <w:noProof/>
        </w:rPr>
        <w:t>12</w:t>
      </w:r>
      <w:r>
        <w:rPr>
          <w:noProof/>
        </w:rPr>
        <w:fldChar w:fldCharType="end"/>
      </w:r>
    </w:p>
    <w:p w:rsidR="00A94851" w:rsidP="00BA3D7A" w:rsidRDefault="00E35DD1" w14:paraId="108D743E" w14:textId="5630A2ED">
      <w:r w:rsidRPr="008942E9">
        <w:fldChar w:fldCharType="end"/>
      </w:r>
    </w:p>
    <w:p w:rsidR="00A94851" w:rsidRDefault="00A94851" w14:paraId="22E73D69" w14:textId="77777777">
      <w:pPr>
        <w:spacing w:after="0" w:line="240" w:lineRule="auto"/>
      </w:pPr>
      <w:r>
        <w:br w:type="page"/>
      </w:r>
    </w:p>
    <w:p w:rsidRPr="00151055" w:rsidR="00A94851" w:rsidP="00151055" w:rsidRDefault="00151055" w14:paraId="1C2B9A6C" w14:textId="60330681">
      <w:pPr>
        <w:spacing w:before="240" w:after="0"/>
        <w:jc w:val="center"/>
        <w:rPr>
          <w:rFonts w:ascii="Times New Roman" w:hAnsi="Times New Roman"/>
          <w:b/>
          <w:sz w:val="24"/>
          <w:szCs w:val="24"/>
        </w:rPr>
      </w:pPr>
      <w:r w:rsidRPr="00151055">
        <w:rPr>
          <w:rFonts w:ascii="Times New Roman" w:hAnsi="Times New Roman"/>
          <w:b/>
          <w:sz w:val="24"/>
          <w:szCs w:val="24"/>
        </w:rPr>
        <w:lastRenderedPageBreak/>
        <w:t>Attachments</w:t>
      </w:r>
      <w:bookmarkStart w:name="_Toc442286350" w:id="0"/>
      <w:bookmarkStart w:name="_Toc508106956" w:id="1"/>
    </w:p>
    <w:p w:rsidR="00A94851" w:rsidP="00A94851" w:rsidRDefault="00A94851" w14:paraId="4FCFDA54" w14:textId="4DD270CD">
      <w:pPr>
        <w:spacing w:before="240" w:after="0"/>
      </w:pPr>
      <w:r>
        <w:t xml:space="preserve">Attachment A2.1: </w:t>
      </w:r>
      <w:r w:rsidRPr="00102A15">
        <w:t>NICHD DASH –</w:t>
      </w:r>
      <w:r>
        <w:t xml:space="preserve"> </w:t>
      </w:r>
      <w:bookmarkEnd w:id="0"/>
      <w:r>
        <w:t xml:space="preserve">User Registration </w:t>
      </w:r>
      <w:bookmarkStart w:name="_Toc442286352" w:id="2"/>
      <w:bookmarkStart w:name="_Toc496770708" w:id="3"/>
      <w:bookmarkStart w:name="_Toc508106957" w:id="4"/>
      <w:bookmarkEnd w:id="1"/>
    </w:p>
    <w:p w:rsidR="00A94851" w:rsidP="00A94851" w:rsidRDefault="00A94851" w14:paraId="73F7B216" w14:textId="76A87E12">
      <w:pPr>
        <w:spacing w:before="240" w:after="0"/>
      </w:pPr>
      <w:r>
        <w:t xml:space="preserve">Attachment A2.2: NICHD DASH </w:t>
      </w:r>
      <w:r w:rsidRPr="00102A15">
        <w:t>–</w:t>
      </w:r>
      <w:bookmarkEnd w:id="2"/>
      <w:bookmarkEnd w:id="3"/>
      <w:r>
        <w:t xml:space="preserve"> Data Submission </w:t>
      </w:r>
      <w:bookmarkStart w:name="_Toc508106958" w:id="5"/>
      <w:bookmarkEnd w:id="4"/>
    </w:p>
    <w:p w:rsidRPr="00113D8C" w:rsidR="00A94851" w:rsidP="00A94851" w:rsidRDefault="00A94851" w14:paraId="0077F394" w14:textId="35AC4B2B">
      <w:pPr>
        <w:spacing w:before="240" w:after="0"/>
        <w:rPr>
          <w:color w:val="000000" w:themeColor="text1"/>
        </w:rPr>
      </w:pPr>
      <w:r w:rsidRPr="006D0886">
        <w:t xml:space="preserve">Attachment A2.3: NICHD DASH – Institutional </w:t>
      </w:r>
      <w:r w:rsidRPr="00113D8C">
        <w:rPr>
          <w:color w:val="000000" w:themeColor="text1"/>
        </w:rPr>
        <w:t>Certification Template</w:t>
      </w:r>
      <w:bookmarkEnd w:id="5"/>
      <w:r w:rsidRPr="00113D8C">
        <w:rPr>
          <w:color w:val="000000" w:themeColor="text1"/>
        </w:rPr>
        <w:t xml:space="preserve"> </w:t>
      </w:r>
      <w:bookmarkStart w:name="_Toc508106959" w:id="6"/>
    </w:p>
    <w:p w:rsidRPr="00113D8C" w:rsidR="00A94851" w:rsidP="00A94851" w:rsidRDefault="00A94851" w14:paraId="14C8125E" w14:textId="2DCC7987">
      <w:pPr>
        <w:spacing w:before="240" w:after="0"/>
        <w:rPr>
          <w:color w:val="000000" w:themeColor="text1"/>
        </w:rPr>
      </w:pPr>
      <w:r w:rsidRPr="00113D8C">
        <w:rPr>
          <w:color w:val="000000" w:themeColor="text1"/>
        </w:rPr>
        <w:t xml:space="preserve">Attachment A2.4: NICHD DASH – Data Request </w:t>
      </w:r>
      <w:bookmarkStart w:name="_Toc508106960" w:id="7"/>
      <w:bookmarkEnd w:id="6"/>
    </w:p>
    <w:p w:rsidRPr="00113D8C" w:rsidR="00A94851" w:rsidP="00A94851" w:rsidRDefault="00A94851" w14:paraId="5A7549F5" w14:textId="185EFFC5">
      <w:pPr>
        <w:spacing w:before="240" w:after="0"/>
        <w:rPr>
          <w:color w:val="000000" w:themeColor="text1"/>
        </w:rPr>
      </w:pPr>
      <w:r w:rsidRPr="00113D8C">
        <w:rPr>
          <w:color w:val="000000" w:themeColor="text1"/>
        </w:rPr>
        <w:t>Attachment A2.5: NICHD DASH – Biospecimen Request Form</w:t>
      </w:r>
      <w:bookmarkStart w:name="_Toc508106961" w:id="8"/>
      <w:bookmarkEnd w:id="7"/>
      <w:r w:rsidRPr="00113D8C" w:rsidR="00E4635B">
        <w:rPr>
          <w:color w:val="000000" w:themeColor="text1"/>
        </w:rPr>
        <w:t xml:space="preserve"> </w:t>
      </w:r>
    </w:p>
    <w:p w:rsidRPr="00113D8C" w:rsidR="00A94851" w:rsidP="00A94851" w:rsidRDefault="00A94851" w14:paraId="60A32EFB" w14:textId="453B5214">
      <w:pPr>
        <w:spacing w:before="240" w:after="0"/>
        <w:rPr>
          <w:color w:val="000000" w:themeColor="text1"/>
        </w:rPr>
      </w:pPr>
      <w:r w:rsidRPr="00113D8C">
        <w:rPr>
          <w:color w:val="000000" w:themeColor="text1"/>
        </w:rPr>
        <w:t>Attachment A2.6: NICHD DASH – Data Use Annual Progress Report</w:t>
      </w:r>
      <w:bookmarkStart w:name="_Toc508106962" w:id="9"/>
      <w:bookmarkEnd w:id="8"/>
      <w:r w:rsidRPr="00113D8C" w:rsidR="00E4635B">
        <w:rPr>
          <w:color w:val="000000" w:themeColor="text1"/>
        </w:rPr>
        <w:t xml:space="preserve"> </w:t>
      </w:r>
    </w:p>
    <w:p w:rsidRPr="00113D8C" w:rsidR="00A94851" w:rsidP="00A94851" w:rsidRDefault="00A94851" w14:paraId="6F4E35C9" w14:textId="66BB7CD9">
      <w:pPr>
        <w:spacing w:before="240" w:after="0"/>
        <w:rPr>
          <w:color w:val="000000" w:themeColor="text1"/>
        </w:rPr>
      </w:pPr>
      <w:r w:rsidRPr="00113D8C">
        <w:rPr>
          <w:color w:val="000000" w:themeColor="text1"/>
        </w:rPr>
        <w:t>Attachment A2.7: NICHD DASH – Biospecimen Use Annual Progress Report</w:t>
      </w:r>
      <w:bookmarkEnd w:id="9"/>
      <w:r w:rsidRPr="00113D8C" w:rsidR="007177A4">
        <w:rPr>
          <w:color w:val="000000" w:themeColor="text1"/>
        </w:rPr>
        <w:t xml:space="preserve"> </w:t>
      </w:r>
    </w:p>
    <w:p w:rsidRPr="00113D8C" w:rsidR="00210814" w:rsidP="00A94851" w:rsidRDefault="00210814" w14:paraId="34D40A02" w14:textId="79C93BBF">
      <w:pPr>
        <w:spacing w:before="240" w:after="0"/>
        <w:rPr>
          <w:color w:val="000000" w:themeColor="text1"/>
          <w:highlight w:val="yellow"/>
        </w:rPr>
      </w:pPr>
      <w:r w:rsidRPr="00113D8C">
        <w:rPr>
          <w:color w:val="000000" w:themeColor="text1"/>
          <w:highlight w:val="yellow"/>
        </w:rPr>
        <w:t>Attachment</w:t>
      </w:r>
      <w:r w:rsidRPr="00113D8C" w:rsidR="00890CDF">
        <w:rPr>
          <w:color w:val="000000" w:themeColor="text1"/>
          <w:highlight w:val="yellow"/>
        </w:rPr>
        <w:t xml:space="preserve"> A2.8: NICHD DASH – Study Catalog </w:t>
      </w:r>
      <w:r w:rsidRPr="00113D8C" w:rsidR="00A93D00">
        <w:rPr>
          <w:color w:val="000000" w:themeColor="text1"/>
          <w:highlight w:val="yellow"/>
        </w:rPr>
        <w:t>Submission</w:t>
      </w:r>
    </w:p>
    <w:p w:rsidRPr="00113D8C" w:rsidR="00272F6F" w:rsidP="00A94851" w:rsidRDefault="009D0FE6" w14:paraId="38060F0A" w14:textId="6E45DAE8">
      <w:pPr>
        <w:spacing w:before="240" w:after="0"/>
        <w:rPr>
          <w:color w:val="000000" w:themeColor="text1"/>
        </w:rPr>
      </w:pPr>
      <w:r w:rsidRPr="00113D8C">
        <w:rPr>
          <w:color w:val="000000" w:themeColor="text1"/>
          <w:highlight w:val="yellow"/>
        </w:rPr>
        <w:t>Attachment A2.9: NICHD DASH – Data Collection Catalog Submission</w:t>
      </w:r>
    </w:p>
    <w:p w:rsidRPr="00113D8C" w:rsidR="00151055" w:rsidP="00A94851" w:rsidRDefault="00151055" w14:paraId="690CEC74" w14:textId="2F3DBD2D">
      <w:pPr>
        <w:spacing w:before="240" w:after="0"/>
        <w:rPr>
          <w:color w:val="000000" w:themeColor="text1"/>
        </w:rPr>
      </w:pPr>
      <w:r w:rsidRPr="00113D8C">
        <w:rPr>
          <w:color w:val="000000" w:themeColor="text1"/>
        </w:rPr>
        <w:t>Attachment A3.1: DASH Privacy Impact Assessment</w:t>
      </w:r>
      <w:r w:rsidR="003667C8">
        <w:rPr>
          <w:color w:val="000000" w:themeColor="text1"/>
        </w:rPr>
        <w:t xml:space="preserve"> </w:t>
      </w:r>
    </w:p>
    <w:p w:rsidR="003068CC" w:rsidP="00BA3D7A" w:rsidRDefault="003068CC" w14:paraId="5BFEB9F4" w14:textId="77777777"/>
    <w:p w:rsidR="00EF64BB" w:rsidP="00BA3D7A" w:rsidRDefault="00EF64BB" w14:paraId="1DB1376F" w14:textId="77777777"/>
    <w:p w:rsidR="00EF64BB" w:rsidP="00BA3D7A" w:rsidRDefault="00EF64BB" w14:paraId="32A85230" w14:textId="77777777"/>
    <w:p w:rsidR="00EF64BB" w:rsidP="00BA3D7A" w:rsidRDefault="00EF64BB" w14:paraId="7E65C7C0" w14:textId="77777777"/>
    <w:p w:rsidR="00EF64BB" w:rsidP="00BA3D7A" w:rsidRDefault="00EF64BB" w14:paraId="21ACFDCF" w14:textId="77777777"/>
    <w:p w:rsidR="00EF64BB" w:rsidP="00BA3D7A" w:rsidRDefault="00EF64BB" w14:paraId="0491C366" w14:textId="77777777"/>
    <w:p w:rsidR="00EF64BB" w:rsidP="00BA3D7A" w:rsidRDefault="00EF64BB" w14:paraId="6701C152" w14:textId="77777777"/>
    <w:p w:rsidR="00EF64BB" w:rsidP="00BA3D7A" w:rsidRDefault="00EF64BB" w14:paraId="49625981" w14:textId="77777777"/>
    <w:p w:rsidR="00EF64BB" w:rsidP="00BA3D7A" w:rsidRDefault="00EF64BB" w14:paraId="5D108739" w14:textId="77777777"/>
    <w:p w:rsidR="00EF64BB" w:rsidP="00BA3D7A" w:rsidRDefault="00EF64BB" w14:paraId="5E207BFC" w14:textId="77777777"/>
    <w:p w:rsidR="00EF64BB" w:rsidP="00BA3D7A" w:rsidRDefault="00EF64BB" w14:paraId="1F414A11" w14:textId="77777777"/>
    <w:p w:rsidR="00EF64BB" w:rsidP="00BA3D7A" w:rsidRDefault="00EF64BB" w14:paraId="26C327A6" w14:textId="77777777"/>
    <w:p w:rsidR="00EF64BB" w:rsidP="00BA3D7A" w:rsidRDefault="00EF64BB" w14:paraId="27D4CAFF" w14:textId="77777777"/>
    <w:p w:rsidR="00EF64BB" w:rsidP="00BA3D7A" w:rsidRDefault="00EF64BB" w14:paraId="297C5B40" w14:textId="77777777"/>
    <w:p w:rsidR="00EF64BB" w:rsidP="00BA3D7A" w:rsidRDefault="00EF64BB" w14:paraId="22C56C16" w14:textId="77777777"/>
    <w:p w:rsidR="00EF64BB" w:rsidP="00BA3D7A" w:rsidRDefault="00EF64BB" w14:paraId="0AD04690" w14:textId="77777777"/>
    <w:p w:rsidRPr="008942E9" w:rsidR="006A45F9" w:rsidP="004C5217" w:rsidRDefault="0024646A" w14:paraId="5F12C62F" w14:textId="77777777">
      <w:pPr>
        <w:pStyle w:val="Heading2"/>
      </w:pPr>
      <w:bookmarkStart w:name="_Toc442286329" w:id="10"/>
      <w:bookmarkStart w:name="_Toc508106935" w:id="11"/>
      <w:r>
        <w:t>A.</w:t>
      </w:r>
      <w:r>
        <w:tab/>
      </w:r>
      <w:r w:rsidRPr="008942E9" w:rsidR="00BE76A7">
        <w:t>Justification</w:t>
      </w:r>
      <w:bookmarkEnd w:id="10"/>
      <w:bookmarkEnd w:id="11"/>
    </w:p>
    <w:p w:rsidRPr="0020474D" w:rsidR="006D0886" w:rsidP="00551F98" w:rsidRDefault="007263F0" w14:paraId="2368031A" w14:textId="14A14530">
      <w:pPr>
        <w:rPr>
          <w:color w:val="C00000"/>
        </w:rPr>
      </w:pPr>
      <w:r w:rsidRPr="006D0886">
        <w:rPr>
          <w:color w:val="000000" w:themeColor="text1"/>
        </w:rPr>
        <w:t>This is a request to revise the previously approved</w:t>
      </w:r>
      <w:r w:rsidRPr="006D0886" w:rsidR="00094DBC">
        <w:rPr>
          <w:color w:val="000000" w:themeColor="text1"/>
        </w:rPr>
        <w:t xml:space="preserve"> </w:t>
      </w:r>
      <w:r w:rsidRPr="006D0886" w:rsidR="00135A52">
        <w:rPr>
          <w:color w:val="000000" w:themeColor="text1"/>
        </w:rPr>
        <w:t>submission</w:t>
      </w:r>
      <w:r w:rsidRPr="006D0886" w:rsidR="00094DBC">
        <w:rPr>
          <w:color w:val="000000" w:themeColor="text1"/>
        </w:rPr>
        <w:t xml:space="preserve"> </w:t>
      </w:r>
      <w:r w:rsidRPr="006D0886" w:rsidR="000F761D">
        <w:rPr>
          <w:color w:val="000000" w:themeColor="text1"/>
        </w:rPr>
        <w:t xml:space="preserve">to </w:t>
      </w:r>
      <w:r w:rsidRPr="006D0886" w:rsidR="00135A52">
        <w:rPr>
          <w:color w:val="000000" w:themeColor="text1"/>
        </w:rPr>
        <w:t xml:space="preserve">add </w:t>
      </w:r>
      <w:r w:rsidRPr="006D0886">
        <w:rPr>
          <w:color w:val="000000" w:themeColor="text1"/>
        </w:rPr>
        <w:t>the collection of</w:t>
      </w:r>
      <w:r w:rsidRPr="006D0886" w:rsidR="002F5F62">
        <w:rPr>
          <w:color w:val="000000" w:themeColor="text1"/>
        </w:rPr>
        <w:t xml:space="preserve"> </w:t>
      </w:r>
      <w:r w:rsidRPr="00D56D32" w:rsidR="00007F00">
        <w:rPr>
          <w:color w:val="000000" w:themeColor="text1"/>
        </w:rPr>
        <w:t xml:space="preserve">additional </w:t>
      </w:r>
      <w:r w:rsidRPr="00D56D32">
        <w:rPr>
          <w:color w:val="000000" w:themeColor="text1"/>
        </w:rPr>
        <w:t xml:space="preserve">information </w:t>
      </w:r>
      <w:r w:rsidRPr="00D56D32" w:rsidR="00181A46">
        <w:rPr>
          <w:color w:val="000000" w:themeColor="text1"/>
        </w:rPr>
        <w:t>from</w:t>
      </w:r>
      <w:r w:rsidRPr="006D0886" w:rsidR="00C375EB">
        <w:rPr>
          <w:color w:val="000000" w:themeColor="text1"/>
        </w:rPr>
        <w:t xml:space="preserve"> Users</w:t>
      </w:r>
      <w:r w:rsidRPr="006D0886" w:rsidR="00181A46">
        <w:rPr>
          <w:color w:val="000000" w:themeColor="text1"/>
        </w:rPr>
        <w:t xml:space="preserve"> </w:t>
      </w:r>
      <w:r w:rsidRPr="00113D8C" w:rsidR="00007F00">
        <w:rPr>
          <w:color w:val="000000" w:themeColor="text1"/>
        </w:rPr>
        <w:t xml:space="preserve">who will </w:t>
      </w:r>
      <w:r w:rsidRPr="00113D8C" w:rsidR="006D0886">
        <w:rPr>
          <w:color w:val="000000" w:themeColor="text1"/>
        </w:rPr>
        <w:t xml:space="preserve">submit </w:t>
      </w:r>
      <w:r w:rsidRPr="00113D8C" w:rsidR="006D0886">
        <w:rPr>
          <w:color w:val="000000" w:themeColor="text1"/>
          <w:highlight w:val="yellow"/>
        </w:rPr>
        <w:t xml:space="preserve">information </w:t>
      </w:r>
      <w:r w:rsidRPr="00113D8C" w:rsidR="0020474D">
        <w:rPr>
          <w:color w:val="000000" w:themeColor="text1"/>
          <w:highlight w:val="yellow"/>
        </w:rPr>
        <w:t>to NICHD Data and Spe</w:t>
      </w:r>
      <w:r w:rsidRPr="00113D8C" w:rsidR="00653CDC">
        <w:rPr>
          <w:color w:val="000000" w:themeColor="text1"/>
          <w:highlight w:val="yellow"/>
        </w:rPr>
        <w:t>c</w:t>
      </w:r>
      <w:r w:rsidRPr="00113D8C" w:rsidR="0020474D">
        <w:rPr>
          <w:color w:val="000000" w:themeColor="text1"/>
          <w:highlight w:val="yellow"/>
        </w:rPr>
        <w:t xml:space="preserve">imen Hub (DASH) </w:t>
      </w:r>
      <w:r w:rsidRPr="00113D8C" w:rsidR="006D0886">
        <w:rPr>
          <w:color w:val="000000" w:themeColor="text1"/>
          <w:highlight w:val="yellow"/>
        </w:rPr>
        <w:t>about studies</w:t>
      </w:r>
      <w:r w:rsidRPr="00113D8C" w:rsidR="00451B23">
        <w:rPr>
          <w:color w:val="000000" w:themeColor="text1"/>
          <w:highlight w:val="yellow"/>
        </w:rPr>
        <w:t xml:space="preserve">, </w:t>
      </w:r>
      <w:r w:rsidRPr="00113D8C" w:rsidR="006E7F31">
        <w:rPr>
          <w:color w:val="000000" w:themeColor="text1"/>
          <w:highlight w:val="yellow"/>
        </w:rPr>
        <w:t xml:space="preserve">and </w:t>
      </w:r>
      <w:r w:rsidRPr="00113D8C" w:rsidR="00451B23">
        <w:rPr>
          <w:color w:val="000000" w:themeColor="text1"/>
          <w:highlight w:val="yellow"/>
        </w:rPr>
        <w:t xml:space="preserve">data collections </w:t>
      </w:r>
      <w:r w:rsidRPr="00113D8C" w:rsidR="006D0886">
        <w:rPr>
          <w:color w:val="000000" w:themeColor="text1"/>
          <w:highlight w:val="yellow"/>
        </w:rPr>
        <w:t xml:space="preserve">stored in </w:t>
      </w:r>
      <w:r w:rsidRPr="00113D8C" w:rsidR="00DF4635">
        <w:rPr>
          <w:color w:val="000000" w:themeColor="text1"/>
          <w:highlight w:val="yellow"/>
        </w:rPr>
        <w:t>publicly accessible</w:t>
      </w:r>
      <w:r w:rsidRPr="00113D8C" w:rsidR="00CF079B">
        <w:rPr>
          <w:color w:val="000000" w:themeColor="text1"/>
          <w:highlight w:val="yellow"/>
        </w:rPr>
        <w:t xml:space="preserve"> external</w:t>
      </w:r>
      <w:r w:rsidRPr="00113D8C" w:rsidR="00DF4635">
        <w:rPr>
          <w:color w:val="000000" w:themeColor="text1"/>
          <w:highlight w:val="yellow"/>
        </w:rPr>
        <w:t xml:space="preserve"> archive</w:t>
      </w:r>
      <w:r w:rsidRPr="00113D8C" w:rsidR="007622F3">
        <w:rPr>
          <w:color w:val="000000" w:themeColor="text1"/>
          <w:highlight w:val="yellow"/>
        </w:rPr>
        <w:t>s</w:t>
      </w:r>
      <w:r w:rsidRPr="00113D8C" w:rsidR="00653CDC">
        <w:rPr>
          <w:color w:val="000000" w:themeColor="text1"/>
          <w:highlight w:val="yellow"/>
        </w:rPr>
        <w:t xml:space="preserve"> – a process </w:t>
      </w:r>
      <w:r w:rsidRPr="00113D8C" w:rsidR="00DF4635">
        <w:rPr>
          <w:color w:val="000000" w:themeColor="text1"/>
          <w:highlight w:val="yellow"/>
        </w:rPr>
        <w:t xml:space="preserve">hereinafter referred to as </w:t>
      </w:r>
      <w:r w:rsidRPr="00113D8C" w:rsidR="00CF079B">
        <w:rPr>
          <w:color w:val="000000" w:themeColor="text1"/>
          <w:highlight w:val="yellow"/>
        </w:rPr>
        <w:t>‘</w:t>
      </w:r>
      <w:r w:rsidRPr="00113D8C" w:rsidR="004845E6">
        <w:rPr>
          <w:color w:val="000000" w:themeColor="text1"/>
          <w:highlight w:val="yellow"/>
        </w:rPr>
        <w:t>c</w:t>
      </w:r>
      <w:r w:rsidRPr="00113D8C" w:rsidR="00DF4635">
        <w:rPr>
          <w:color w:val="000000" w:themeColor="text1"/>
          <w:highlight w:val="yellow"/>
        </w:rPr>
        <w:t>atalog</w:t>
      </w:r>
      <w:r w:rsidRPr="00113D8C" w:rsidR="00653CDC">
        <w:rPr>
          <w:color w:val="000000" w:themeColor="text1"/>
          <w:highlight w:val="yellow"/>
        </w:rPr>
        <w:t>ing</w:t>
      </w:r>
      <w:r w:rsidRPr="00113D8C" w:rsidR="00CF079B">
        <w:rPr>
          <w:color w:val="000000" w:themeColor="text1"/>
          <w:highlight w:val="yellow"/>
        </w:rPr>
        <w:t>’</w:t>
      </w:r>
      <w:r w:rsidRPr="00113D8C" w:rsidR="00653CDC">
        <w:rPr>
          <w:color w:val="000000" w:themeColor="text1"/>
          <w:highlight w:val="yellow"/>
        </w:rPr>
        <w:t xml:space="preserve"> in DASH</w:t>
      </w:r>
      <w:r w:rsidRPr="00113D8C" w:rsidR="00DF4635">
        <w:rPr>
          <w:color w:val="000000" w:themeColor="text1"/>
          <w:highlight w:val="yellow"/>
        </w:rPr>
        <w:t>.</w:t>
      </w:r>
      <w:r w:rsidRPr="00113D8C" w:rsidR="00FC7622">
        <w:rPr>
          <w:color w:val="000000" w:themeColor="text1"/>
        </w:rPr>
        <w:t xml:space="preserve"> </w:t>
      </w:r>
    </w:p>
    <w:p w:rsidRPr="00113D8C" w:rsidR="00A77835" w:rsidP="00551F98" w:rsidRDefault="00D727FD" w14:paraId="5B42A202" w14:textId="77777777">
      <w:pPr>
        <w:rPr>
          <w:color w:val="000000" w:themeColor="text1"/>
          <w:highlight w:val="yellow"/>
        </w:rPr>
      </w:pPr>
      <w:r w:rsidRPr="006D0886">
        <w:t xml:space="preserve">DASH </w:t>
      </w:r>
      <w:r w:rsidRPr="006D0886" w:rsidR="00F97E27">
        <w:t>has been</w:t>
      </w:r>
      <w:r w:rsidRPr="006D0886" w:rsidR="00405DB5">
        <w:t xml:space="preserve"> e</w:t>
      </w:r>
      <w:r w:rsidRPr="006D0886" w:rsidR="00873C26">
        <w:t xml:space="preserve">stablished by NICHD </w:t>
      </w:r>
      <w:r w:rsidRPr="006D0886" w:rsidR="00405DB5">
        <w:t xml:space="preserve">as a data sharing mechanism for </w:t>
      </w:r>
      <w:r w:rsidRPr="006D0886" w:rsidR="00553516">
        <w:t xml:space="preserve">biomedical research </w:t>
      </w:r>
      <w:r w:rsidRPr="006D0886" w:rsidR="00405DB5">
        <w:t>investigators.</w:t>
      </w:r>
      <w:r w:rsidRPr="006D0886" w:rsidR="007263F0">
        <w:t xml:space="preserve"> </w:t>
      </w:r>
      <w:r w:rsidRPr="006D0886" w:rsidR="00405DB5">
        <w:t xml:space="preserve">It </w:t>
      </w:r>
      <w:r w:rsidRPr="006D0886" w:rsidR="009F76A7">
        <w:t>serve</w:t>
      </w:r>
      <w:r w:rsidRPr="006D0886" w:rsidR="007263F0">
        <w:t>s</w:t>
      </w:r>
      <w:r w:rsidRPr="006D0886" w:rsidR="009F76A7">
        <w:t xml:space="preserve"> as a </w:t>
      </w:r>
      <w:r w:rsidRPr="006D0886" w:rsidR="001236A8">
        <w:t xml:space="preserve">centralized resource for </w:t>
      </w:r>
      <w:r w:rsidRPr="006D0886" w:rsidR="00553516">
        <w:t>investigators</w:t>
      </w:r>
      <w:r w:rsidRPr="006D0886" w:rsidR="001236A8">
        <w:t xml:space="preserve"> to </w:t>
      </w:r>
      <w:r w:rsidRPr="00113D8C" w:rsidR="000F25B4">
        <w:rPr>
          <w:color w:val="000000" w:themeColor="text1"/>
          <w:highlight w:val="yellow"/>
        </w:rPr>
        <w:t>share</w:t>
      </w:r>
      <w:r w:rsidRPr="00113D8C" w:rsidR="000F25B4">
        <w:rPr>
          <w:color w:val="000000" w:themeColor="text1"/>
        </w:rPr>
        <w:t xml:space="preserve"> </w:t>
      </w:r>
      <w:r w:rsidRPr="00113D8C" w:rsidR="001236A8">
        <w:rPr>
          <w:color w:val="000000" w:themeColor="text1"/>
        </w:rPr>
        <w:t>and access de-id</w:t>
      </w:r>
      <w:r w:rsidRPr="00113D8C" w:rsidR="008C0810">
        <w:rPr>
          <w:color w:val="000000" w:themeColor="text1"/>
        </w:rPr>
        <w:t xml:space="preserve">entified </w:t>
      </w:r>
      <w:r w:rsidRPr="00113D8C" w:rsidR="00027959">
        <w:rPr>
          <w:color w:val="000000" w:themeColor="text1"/>
        </w:rPr>
        <w:t xml:space="preserve">study </w:t>
      </w:r>
      <w:r w:rsidRPr="00113D8C" w:rsidR="008C0810">
        <w:rPr>
          <w:color w:val="000000" w:themeColor="text1"/>
        </w:rPr>
        <w:t>data</w:t>
      </w:r>
      <w:r w:rsidRPr="00113D8C" w:rsidR="00373426">
        <w:rPr>
          <w:color w:val="000000" w:themeColor="text1"/>
        </w:rPr>
        <w:t xml:space="preserve"> from studies funded by NICHD</w:t>
      </w:r>
      <w:r w:rsidRPr="00113D8C" w:rsidR="00F31452">
        <w:rPr>
          <w:color w:val="000000" w:themeColor="text1"/>
        </w:rPr>
        <w:t xml:space="preserve">. </w:t>
      </w:r>
      <w:r w:rsidRPr="00113D8C" w:rsidR="00CF079B">
        <w:rPr>
          <w:color w:val="000000" w:themeColor="text1"/>
          <w:highlight w:val="yellow"/>
        </w:rPr>
        <w:t xml:space="preserve">DASH also serves as a portal for requesting biospecimens from selected DASH studies. </w:t>
      </w:r>
    </w:p>
    <w:p w:rsidRPr="00113D8C" w:rsidR="001A42A3" w:rsidP="00551F98" w:rsidRDefault="009F76A7" w14:paraId="6E49D1A3" w14:textId="410DDF2A">
      <w:pPr>
        <w:rPr>
          <w:color w:val="000000" w:themeColor="text1"/>
        </w:rPr>
      </w:pPr>
      <w:r w:rsidRPr="00113D8C">
        <w:rPr>
          <w:color w:val="000000" w:themeColor="text1"/>
        </w:rPr>
        <w:t xml:space="preserve">Anyone </w:t>
      </w:r>
      <w:r w:rsidRPr="00113D8C" w:rsidR="008E08F7">
        <w:rPr>
          <w:color w:val="000000" w:themeColor="text1"/>
        </w:rPr>
        <w:t>can</w:t>
      </w:r>
      <w:r w:rsidRPr="00113D8C">
        <w:rPr>
          <w:color w:val="000000" w:themeColor="text1"/>
        </w:rPr>
        <w:t xml:space="preserve"> access </w:t>
      </w:r>
      <w:r w:rsidRPr="00113D8C" w:rsidR="00B17D81">
        <w:rPr>
          <w:color w:val="000000" w:themeColor="text1"/>
        </w:rPr>
        <w:t>NICHD DASH</w:t>
      </w:r>
      <w:r w:rsidRPr="00113D8C">
        <w:rPr>
          <w:color w:val="000000" w:themeColor="text1"/>
        </w:rPr>
        <w:t xml:space="preserve"> to browse and view descriptive information about </w:t>
      </w:r>
      <w:r w:rsidRPr="00113D8C" w:rsidR="006372C5">
        <w:rPr>
          <w:color w:val="000000" w:themeColor="text1"/>
        </w:rPr>
        <w:t>the</w:t>
      </w:r>
      <w:r w:rsidRPr="00113D8C" w:rsidR="00CF18CD">
        <w:rPr>
          <w:color w:val="000000" w:themeColor="text1"/>
        </w:rPr>
        <w:t xml:space="preserve"> </w:t>
      </w:r>
      <w:r w:rsidRPr="00113D8C" w:rsidR="009A2E90">
        <w:rPr>
          <w:color w:val="000000" w:themeColor="text1"/>
        </w:rPr>
        <w:t>studies</w:t>
      </w:r>
      <w:r w:rsidRPr="00113D8C" w:rsidR="00A77835">
        <w:rPr>
          <w:color w:val="000000" w:themeColor="text1"/>
        </w:rPr>
        <w:t xml:space="preserve"> and </w:t>
      </w:r>
      <w:r w:rsidRPr="00113D8C" w:rsidR="00C1753F">
        <w:rPr>
          <w:color w:val="000000" w:themeColor="text1"/>
          <w:highlight w:val="yellow"/>
        </w:rPr>
        <w:t>data collections</w:t>
      </w:r>
      <w:r w:rsidRPr="00113D8C" w:rsidR="006372C5">
        <w:rPr>
          <w:color w:val="000000" w:themeColor="text1"/>
        </w:rPr>
        <w:t xml:space="preserve"> </w:t>
      </w:r>
      <w:r w:rsidRPr="00113D8C">
        <w:rPr>
          <w:color w:val="000000" w:themeColor="text1"/>
        </w:rPr>
        <w:t xml:space="preserve">without creating an account. Users who wish to </w:t>
      </w:r>
      <w:r w:rsidRPr="00113D8C" w:rsidR="008E08F7">
        <w:rPr>
          <w:color w:val="000000" w:themeColor="text1"/>
        </w:rPr>
        <w:t>submit</w:t>
      </w:r>
      <w:r w:rsidRPr="00113D8C">
        <w:rPr>
          <w:color w:val="000000" w:themeColor="text1"/>
        </w:rPr>
        <w:t xml:space="preserve"> </w:t>
      </w:r>
      <w:r w:rsidRPr="00113D8C" w:rsidR="00537BAD">
        <w:rPr>
          <w:color w:val="000000" w:themeColor="text1"/>
          <w:highlight w:val="yellow"/>
        </w:rPr>
        <w:t>studies</w:t>
      </w:r>
      <w:r w:rsidRPr="00113D8C" w:rsidR="00537BAD">
        <w:rPr>
          <w:color w:val="000000" w:themeColor="text1"/>
        </w:rPr>
        <w:t xml:space="preserve"> </w:t>
      </w:r>
      <w:r w:rsidRPr="00113D8C" w:rsidR="003068CC">
        <w:rPr>
          <w:color w:val="000000" w:themeColor="text1"/>
        </w:rPr>
        <w:t xml:space="preserve">or request </w:t>
      </w:r>
      <w:r w:rsidRPr="00113D8C" w:rsidR="00D55544">
        <w:rPr>
          <w:color w:val="000000" w:themeColor="text1"/>
        </w:rPr>
        <w:t xml:space="preserve">data </w:t>
      </w:r>
      <w:r w:rsidRPr="00113D8C" w:rsidR="00E24D50">
        <w:rPr>
          <w:color w:val="000000" w:themeColor="text1"/>
          <w:highlight w:val="yellow"/>
        </w:rPr>
        <w:t>stored in DASH</w:t>
      </w:r>
      <w:r w:rsidRPr="00113D8C" w:rsidR="00537BAD">
        <w:rPr>
          <w:color w:val="000000" w:themeColor="text1"/>
          <w:highlight w:val="yellow"/>
        </w:rPr>
        <w:t>,</w:t>
      </w:r>
      <w:r w:rsidRPr="00113D8C" w:rsidR="00E24D50">
        <w:rPr>
          <w:color w:val="000000" w:themeColor="text1"/>
        </w:rPr>
        <w:t xml:space="preserve"> </w:t>
      </w:r>
      <w:r w:rsidRPr="00113D8C" w:rsidR="00F3590D">
        <w:rPr>
          <w:color w:val="000000" w:themeColor="text1"/>
        </w:rPr>
        <w:t>and/</w:t>
      </w:r>
      <w:r w:rsidRPr="00113D8C" w:rsidR="003068CC">
        <w:rPr>
          <w:color w:val="000000" w:themeColor="text1"/>
        </w:rPr>
        <w:t xml:space="preserve">or </w:t>
      </w:r>
      <w:r w:rsidRPr="00113D8C" w:rsidR="004E7B17">
        <w:rPr>
          <w:color w:val="000000" w:themeColor="text1"/>
        </w:rPr>
        <w:t xml:space="preserve">request </w:t>
      </w:r>
      <w:r w:rsidRPr="00113D8C" w:rsidR="00660117">
        <w:rPr>
          <w:color w:val="000000" w:themeColor="text1"/>
        </w:rPr>
        <w:t>biospecimen</w:t>
      </w:r>
      <w:r w:rsidRPr="00113D8C" w:rsidR="00E24D50">
        <w:rPr>
          <w:color w:val="000000" w:themeColor="text1"/>
        </w:rPr>
        <w:t>s</w:t>
      </w:r>
      <w:r w:rsidRPr="00113D8C" w:rsidR="00CF18CD">
        <w:rPr>
          <w:color w:val="000000" w:themeColor="text1"/>
        </w:rPr>
        <w:t xml:space="preserve"> </w:t>
      </w:r>
      <w:r w:rsidRPr="00113D8C" w:rsidR="00E87D23">
        <w:rPr>
          <w:color w:val="000000" w:themeColor="text1"/>
        </w:rPr>
        <w:t>(</w:t>
      </w:r>
      <w:r w:rsidRPr="00113D8C" w:rsidR="004E7B17">
        <w:rPr>
          <w:color w:val="000000" w:themeColor="text1"/>
        </w:rPr>
        <w:t>stored in NICHD contracted Biorepository</w:t>
      </w:r>
      <w:r w:rsidRPr="00113D8C" w:rsidR="00E87D23">
        <w:rPr>
          <w:color w:val="000000" w:themeColor="text1"/>
        </w:rPr>
        <w:t>)</w:t>
      </w:r>
      <w:r w:rsidRPr="00113D8C" w:rsidR="004E7B17">
        <w:rPr>
          <w:color w:val="000000" w:themeColor="text1"/>
        </w:rPr>
        <w:t xml:space="preserve"> </w:t>
      </w:r>
      <w:r w:rsidRPr="00113D8C">
        <w:rPr>
          <w:color w:val="000000" w:themeColor="text1"/>
        </w:rPr>
        <w:t>must register for an account</w:t>
      </w:r>
      <w:r w:rsidRPr="00113D8C" w:rsidR="009E78E5">
        <w:rPr>
          <w:color w:val="000000" w:themeColor="text1"/>
          <w:highlight w:val="yellow"/>
        </w:rPr>
        <w:t xml:space="preserve">; Users who wish to submit a study catalog </w:t>
      </w:r>
      <w:r w:rsidRPr="00113D8C" w:rsidR="00C95EF3">
        <w:rPr>
          <w:color w:val="000000" w:themeColor="text1"/>
          <w:highlight w:val="yellow"/>
        </w:rPr>
        <w:t xml:space="preserve">and/or data collection catalog </w:t>
      </w:r>
      <w:r w:rsidRPr="00113D8C" w:rsidR="009E78E5">
        <w:rPr>
          <w:color w:val="000000" w:themeColor="text1"/>
          <w:highlight w:val="yellow"/>
        </w:rPr>
        <w:t>must also register</w:t>
      </w:r>
      <w:r w:rsidRPr="00113D8C" w:rsidR="009A2E90">
        <w:rPr>
          <w:color w:val="000000" w:themeColor="text1"/>
          <w:highlight w:val="yellow"/>
        </w:rPr>
        <w:t xml:space="preserve"> for an account</w:t>
      </w:r>
      <w:r w:rsidRPr="00113D8C" w:rsidR="00037032">
        <w:rPr>
          <w:color w:val="000000" w:themeColor="text1"/>
          <w:highlight w:val="yellow"/>
        </w:rPr>
        <w:t>.</w:t>
      </w:r>
      <w:r w:rsidRPr="00113D8C" w:rsidR="00CF18CD">
        <w:rPr>
          <w:color w:val="000000" w:themeColor="text1"/>
        </w:rPr>
        <w:t xml:space="preserve"> </w:t>
      </w:r>
    </w:p>
    <w:p w:rsidRPr="008942E9" w:rsidR="000F3043" w:rsidP="004C5217" w:rsidRDefault="000F3043" w14:paraId="4134B698" w14:textId="77777777">
      <w:pPr>
        <w:pStyle w:val="Heading2"/>
      </w:pPr>
      <w:bookmarkStart w:name="_Toc442286330" w:id="12"/>
      <w:bookmarkStart w:name="_Toc508106936" w:id="13"/>
      <w:r w:rsidRPr="008942E9">
        <w:t>A.1</w:t>
      </w:r>
      <w:r w:rsidRPr="008942E9">
        <w:tab/>
        <w:t xml:space="preserve">Circumstances Making the Collection of Information </w:t>
      </w:r>
      <w:r w:rsidRPr="00F74737">
        <w:t>Necessary</w:t>
      </w:r>
      <w:bookmarkEnd w:id="12"/>
      <w:bookmarkEnd w:id="13"/>
    </w:p>
    <w:p w:rsidR="00094A92" w:rsidP="001F3E66" w:rsidRDefault="001F3E66" w14:paraId="1E4DC25B" w14:textId="798FC186">
      <w:r>
        <w:t xml:space="preserve">This document contains information supporting a request for the </w:t>
      </w:r>
      <w:r w:rsidR="00C75AF5">
        <w:t>OMB</w:t>
      </w:r>
      <w:r>
        <w:t xml:space="preserve"> to appr</w:t>
      </w:r>
      <w:r w:rsidR="00094A92">
        <w:t xml:space="preserve">ove </w:t>
      </w:r>
      <w:r w:rsidRPr="00505CEA" w:rsidR="00094A92">
        <w:t xml:space="preserve">a clearance </w:t>
      </w:r>
      <w:r w:rsidRPr="00505CEA" w:rsidR="004A5873">
        <w:t>for the collection of</w:t>
      </w:r>
      <w:r w:rsidRPr="00505CEA" w:rsidR="00094A92">
        <w:t xml:space="preserve"> information </w:t>
      </w:r>
      <w:r w:rsidRPr="00505CEA" w:rsidR="00F21368">
        <w:t>during</w:t>
      </w:r>
      <w:r w:rsidR="006D2F15">
        <w:t xml:space="preserve"> </w:t>
      </w:r>
      <w:r w:rsidR="00C375EB">
        <w:t>user registration, data submission,</w:t>
      </w:r>
      <w:r w:rsidRPr="00113D8C" w:rsidR="00DF4635">
        <w:rPr>
          <w:color w:val="000000" w:themeColor="text1"/>
        </w:rPr>
        <w:t xml:space="preserve"> </w:t>
      </w:r>
      <w:r w:rsidRPr="00113D8C" w:rsidR="00DF4635">
        <w:rPr>
          <w:color w:val="000000" w:themeColor="text1"/>
          <w:highlight w:val="yellow"/>
        </w:rPr>
        <w:t>study catalog</w:t>
      </w:r>
      <w:r w:rsidRPr="00113D8C" w:rsidR="00CF18CD">
        <w:rPr>
          <w:color w:val="000000" w:themeColor="text1"/>
          <w:highlight w:val="yellow"/>
        </w:rPr>
        <w:t xml:space="preserve"> submission</w:t>
      </w:r>
      <w:r w:rsidRPr="00113D8C" w:rsidR="00DF4635">
        <w:rPr>
          <w:color w:val="000000" w:themeColor="text1"/>
          <w:highlight w:val="yellow"/>
        </w:rPr>
        <w:t>,</w:t>
      </w:r>
      <w:r w:rsidRPr="00113D8C" w:rsidR="00C375EB">
        <w:rPr>
          <w:color w:val="000000" w:themeColor="text1"/>
          <w:highlight w:val="yellow"/>
        </w:rPr>
        <w:t xml:space="preserve"> </w:t>
      </w:r>
      <w:r w:rsidRPr="00113D8C" w:rsidR="0092589C">
        <w:rPr>
          <w:color w:val="000000" w:themeColor="text1"/>
          <w:highlight w:val="yellow"/>
        </w:rPr>
        <w:t>data collection catalog submission,</w:t>
      </w:r>
      <w:r w:rsidRPr="00113D8C" w:rsidR="0092589C">
        <w:rPr>
          <w:color w:val="000000" w:themeColor="text1"/>
        </w:rPr>
        <w:t xml:space="preserve"> </w:t>
      </w:r>
      <w:r w:rsidRPr="006255F6" w:rsidR="00690287">
        <w:t>I</w:t>
      </w:r>
      <w:r w:rsidRPr="006255F6" w:rsidR="000F761D">
        <w:t xml:space="preserve">nstitutional </w:t>
      </w:r>
      <w:r w:rsidRPr="006255F6" w:rsidR="00AB6601">
        <w:t>Certification</w:t>
      </w:r>
      <w:r w:rsidRPr="006255F6" w:rsidR="00690287">
        <w:t xml:space="preserve"> </w:t>
      </w:r>
      <w:r w:rsidRPr="006255F6" w:rsidR="000F761D">
        <w:t>submission</w:t>
      </w:r>
      <w:r w:rsidRPr="00D56D32" w:rsidR="000F761D">
        <w:t xml:space="preserve">, </w:t>
      </w:r>
      <w:r w:rsidRPr="00D56D32" w:rsidR="00C375EB">
        <w:t>data request,</w:t>
      </w:r>
      <w:r w:rsidRPr="00D56D32" w:rsidR="00F21368">
        <w:t xml:space="preserve"> </w:t>
      </w:r>
      <w:r w:rsidRPr="006255F6" w:rsidR="00660117">
        <w:t>biospecimen</w:t>
      </w:r>
      <w:r w:rsidRPr="006255F6" w:rsidR="003F3AD9">
        <w:t xml:space="preserve"> request</w:t>
      </w:r>
      <w:r w:rsidRPr="006255F6" w:rsidR="00A5631D">
        <w:t xml:space="preserve">, </w:t>
      </w:r>
      <w:r w:rsidRPr="006255F6" w:rsidR="00690287">
        <w:t xml:space="preserve">and </w:t>
      </w:r>
      <w:r w:rsidRPr="006255F6" w:rsidR="00A5631D">
        <w:t>annual progress report request</w:t>
      </w:r>
      <w:r w:rsidRPr="00D56D32" w:rsidR="00094A92">
        <w:t xml:space="preserve"> associated</w:t>
      </w:r>
      <w:r w:rsidRPr="00505CEA" w:rsidR="00094A92">
        <w:t xml:space="preserve"> with </w:t>
      </w:r>
      <w:r w:rsidRPr="004B18F8">
        <w:t>NICHD</w:t>
      </w:r>
      <w:r w:rsidRPr="004B18F8" w:rsidR="00690287">
        <w:t xml:space="preserve"> </w:t>
      </w:r>
      <w:r w:rsidRPr="004B18F8" w:rsidR="00094A92">
        <w:t>DASH</w:t>
      </w:r>
      <w:r w:rsidR="007A7005">
        <w:t>.</w:t>
      </w:r>
      <w:r w:rsidR="000B213D">
        <w:t xml:space="preserve"> </w:t>
      </w:r>
      <w:hyperlink w:history="1" r:id="rId14">
        <w:r w:rsidRPr="0078633B" w:rsidR="000B213D">
          <w:rPr>
            <w:rStyle w:val="Hyperlink"/>
          </w:rPr>
          <w:t>Public Law 87-838</w:t>
        </w:r>
      </w:hyperlink>
      <w:r w:rsidR="0078633B">
        <w:t xml:space="preserve"> (enacted October 17, 1962)</w:t>
      </w:r>
      <w:r w:rsidRPr="000B213D" w:rsidR="000B213D">
        <w:t xml:space="preserve"> authorized the establishment of Institute of Chil</w:t>
      </w:r>
      <w:r w:rsidR="0078633B">
        <w:t xml:space="preserve">d Health and Human Development </w:t>
      </w:r>
      <w:r w:rsidRPr="000B213D" w:rsidR="000B213D">
        <w:t>for the conduct and support of research and training relating to maternal health, child health and human development, including research and training in the special health problems and requirements of mothers and children and in the basic sciences relating to the processes of human growth and development, i</w:t>
      </w:r>
      <w:r w:rsidR="000B213D">
        <w:t xml:space="preserve">ncluding prenatal development. The information to be collected will be used </w:t>
      </w:r>
      <w:r w:rsidR="00591523">
        <w:t>for</w:t>
      </w:r>
      <w:r w:rsidRPr="000C1415" w:rsidR="000B213D">
        <w:rPr>
          <w:lang w:val="en"/>
        </w:rPr>
        <w:t xml:space="preserve"> </w:t>
      </w:r>
      <w:r w:rsidR="000B213D">
        <w:rPr>
          <w:lang w:val="en"/>
        </w:rPr>
        <w:t>identifying Users and ensuring proper use and security of NICHD DAS</w:t>
      </w:r>
      <w:r w:rsidRPr="00D56D32" w:rsidR="000B213D">
        <w:rPr>
          <w:lang w:val="en"/>
        </w:rPr>
        <w:t xml:space="preserve">H </w:t>
      </w:r>
      <w:r w:rsidRPr="00D56D32" w:rsidR="00CF132C">
        <w:rPr>
          <w:lang w:val="en"/>
        </w:rPr>
        <w:t xml:space="preserve">study </w:t>
      </w:r>
      <w:r w:rsidRPr="00D56D32" w:rsidR="000B213D">
        <w:rPr>
          <w:lang w:val="en"/>
        </w:rPr>
        <w:t>data</w:t>
      </w:r>
      <w:r w:rsidRPr="00D56D32" w:rsidR="003F3AD9">
        <w:rPr>
          <w:lang w:val="en"/>
        </w:rPr>
        <w:t xml:space="preserve"> </w:t>
      </w:r>
      <w:r w:rsidRPr="006255F6" w:rsidR="003F3AD9">
        <w:rPr>
          <w:lang w:val="en"/>
        </w:rPr>
        <w:t>and</w:t>
      </w:r>
      <w:r w:rsidRPr="006255F6" w:rsidR="00F3590D">
        <w:rPr>
          <w:lang w:val="en"/>
        </w:rPr>
        <w:t>/or</w:t>
      </w:r>
      <w:r w:rsidRPr="006255F6" w:rsidR="003F3AD9">
        <w:rPr>
          <w:lang w:val="en"/>
        </w:rPr>
        <w:t xml:space="preserve"> </w:t>
      </w:r>
      <w:r w:rsidRPr="006255F6" w:rsidR="00660117">
        <w:rPr>
          <w:lang w:val="en"/>
        </w:rPr>
        <w:t>biospecimen</w:t>
      </w:r>
      <w:r w:rsidRPr="006255F6" w:rsidR="0069424D">
        <w:rPr>
          <w:lang w:val="en"/>
        </w:rPr>
        <w:t xml:space="preserve"> inventories</w:t>
      </w:r>
      <w:r w:rsidRPr="006255F6" w:rsidR="000B213D">
        <w:t>.</w:t>
      </w:r>
      <w:r w:rsidR="007A7005">
        <w:t xml:space="preserve"> </w:t>
      </w:r>
    </w:p>
    <w:p w:rsidR="00ED7061" w:rsidP="001F3E66" w:rsidRDefault="005E0F7E" w14:paraId="2825EE6F" w14:textId="4A658057">
      <w:r w:rsidRPr="005E0F7E">
        <w:t xml:space="preserve">NICHD conducts </w:t>
      </w:r>
      <w:r w:rsidR="0080210E">
        <w:t xml:space="preserve">and funds </w:t>
      </w:r>
      <w:r w:rsidRPr="005E0F7E">
        <w:t>over 2000 clinical research studies annually</w:t>
      </w:r>
      <w:r w:rsidR="00AA343F">
        <w:t xml:space="preserve">. </w:t>
      </w:r>
      <w:r w:rsidRPr="00A627A4" w:rsidR="00591523">
        <w:t>Most</w:t>
      </w:r>
      <w:r w:rsidR="00591523">
        <w:t xml:space="preserve"> of</w:t>
      </w:r>
      <w:r w:rsidRPr="005E0F7E">
        <w:t xml:space="preserve"> the</w:t>
      </w:r>
      <w:r w:rsidR="00AA343F">
        <w:t>se</w:t>
      </w:r>
      <w:r w:rsidRPr="005E0F7E">
        <w:t xml:space="preserve"> studies are </w:t>
      </w:r>
      <w:r w:rsidRPr="00D56D32" w:rsidR="00ED7061">
        <w:t>conducted at various academic and research institutions across the U.S. as well as other countries. The data</w:t>
      </w:r>
      <w:r w:rsidRPr="00D56D32" w:rsidR="00F3590D">
        <w:t xml:space="preserve"> </w:t>
      </w:r>
      <w:r w:rsidRPr="006255F6" w:rsidR="00F3590D">
        <w:t>and biospecimens</w:t>
      </w:r>
      <w:r w:rsidRPr="00D56D32" w:rsidR="00ED7061">
        <w:t xml:space="preserve"> generated from these studies are under the purview of the study investigators and </w:t>
      </w:r>
      <w:r w:rsidRPr="00D56D32" w:rsidR="00C87449">
        <w:t>are</w:t>
      </w:r>
      <w:r w:rsidRPr="00D56D32" w:rsidR="00ED7061">
        <w:t xml:space="preserve"> not easily accessible due to challenges with storage locations, </w:t>
      </w:r>
      <w:proofErr w:type="gramStart"/>
      <w:r w:rsidRPr="00D56D32" w:rsidR="00ED7061">
        <w:t>formats</w:t>
      </w:r>
      <w:proofErr w:type="gramEnd"/>
      <w:r w:rsidRPr="00D56D32" w:rsidR="00ED7061">
        <w:t xml:space="preserve"> and structure. To address these challenges and enable broader data</w:t>
      </w:r>
      <w:r w:rsidR="003F2FD2">
        <w:t xml:space="preserve"> sharing</w:t>
      </w:r>
      <w:r w:rsidRPr="00D56D32" w:rsidR="00F3590D">
        <w:t xml:space="preserve"> </w:t>
      </w:r>
      <w:r w:rsidRPr="006255F6" w:rsidR="00F3590D">
        <w:t>and biospecimen</w:t>
      </w:r>
      <w:r w:rsidRPr="00D56D32" w:rsidR="00ED7061">
        <w:t xml:space="preserve"> </w:t>
      </w:r>
      <w:r w:rsidR="003F2FD2">
        <w:t>access</w:t>
      </w:r>
      <w:r w:rsidR="00ED7061">
        <w:t xml:space="preserve">, </w:t>
      </w:r>
      <w:r w:rsidR="001F3E66">
        <w:t>NICHD established DASH (</w:t>
      </w:r>
      <w:hyperlink w:history="1" r:id="rId15">
        <w:r w:rsidRPr="001F3E66" w:rsidR="001F3E66">
          <w:rPr>
            <w:rStyle w:val="Hyperlink"/>
          </w:rPr>
          <w:t>https://dash.nichd.nih.gov/</w:t>
        </w:r>
      </w:hyperlink>
      <w:r w:rsidR="00AA343F">
        <w:t>)</w:t>
      </w:r>
      <w:r w:rsidR="003F2FD2">
        <w:t xml:space="preserve"> –</w:t>
      </w:r>
      <w:r w:rsidR="00AA343F">
        <w:t xml:space="preserve"> </w:t>
      </w:r>
      <w:r w:rsidR="001F3E66">
        <w:t xml:space="preserve">a </w:t>
      </w:r>
      <w:r w:rsidRPr="001236A8" w:rsidR="001236A8">
        <w:t xml:space="preserve">centralized resource for researchers to store and access de-identified </w:t>
      </w:r>
      <w:r w:rsidRPr="004B18F8" w:rsidR="006D2F15">
        <w:t>study</w:t>
      </w:r>
      <w:r w:rsidRPr="00257238" w:rsidR="006D2F15">
        <w:t xml:space="preserve"> </w:t>
      </w:r>
      <w:r w:rsidRPr="00257238" w:rsidR="001236A8">
        <w:t>data</w:t>
      </w:r>
      <w:r w:rsidRPr="00257238" w:rsidR="003F3AD9">
        <w:t xml:space="preserve"> </w:t>
      </w:r>
      <w:r w:rsidRPr="006255F6" w:rsidR="00294754">
        <w:t>and</w:t>
      </w:r>
      <w:r w:rsidRPr="006255F6" w:rsidR="003F3AD9">
        <w:t xml:space="preserve"> </w:t>
      </w:r>
      <w:r w:rsidRPr="006255F6" w:rsidR="0069424D">
        <w:t>biospecimen inventories</w:t>
      </w:r>
      <w:r w:rsidR="003F2FD2">
        <w:t xml:space="preserve"> (</w:t>
      </w:r>
      <w:r w:rsidRPr="006255F6" w:rsidR="006D2F15">
        <w:t xml:space="preserve">a list of biospecimens available at the NICHD </w:t>
      </w:r>
      <w:r w:rsidR="003F2FD2">
        <w:t xml:space="preserve">contracted </w:t>
      </w:r>
      <w:r w:rsidRPr="006255F6" w:rsidR="006D2F15">
        <w:t>Biorepository</w:t>
      </w:r>
      <w:r w:rsidR="003F2FD2">
        <w:t>)</w:t>
      </w:r>
      <w:r w:rsidRPr="00D56D32" w:rsidR="006D2F15">
        <w:t xml:space="preserve">- </w:t>
      </w:r>
      <w:r w:rsidRPr="00D56D32" w:rsidR="001236A8">
        <w:t>from studies funded by NICHD</w:t>
      </w:r>
      <w:r w:rsidRPr="00D56D32" w:rsidR="001F3E66">
        <w:t xml:space="preserve">. </w:t>
      </w:r>
      <w:r w:rsidRPr="00D56D32" w:rsidR="00AA343F">
        <w:t>DASH</w:t>
      </w:r>
      <w:r w:rsidRPr="00D56D32" w:rsidR="001F3E66">
        <w:t xml:space="preserve"> will allow NICHD funded extramural and intramural investigators to comply with NIH </w:t>
      </w:r>
      <w:r w:rsidRPr="00D56D32" w:rsidR="00C87449">
        <w:t xml:space="preserve">data sharing </w:t>
      </w:r>
      <w:r w:rsidRPr="00D56D32" w:rsidR="001F3E66">
        <w:t>policies</w:t>
      </w:r>
      <w:r w:rsidR="003F2FD2">
        <w:t xml:space="preserve"> and enable </w:t>
      </w:r>
      <w:r w:rsidRPr="006255F6" w:rsidR="006D2F15">
        <w:t xml:space="preserve">access </w:t>
      </w:r>
      <w:r w:rsidR="003F2FD2">
        <w:t xml:space="preserve">to </w:t>
      </w:r>
      <w:r w:rsidRPr="006255F6" w:rsidR="006D2F15">
        <w:t>study</w:t>
      </w:r>
      <w:r w:rsidRPr="006255F6" w:rsidR="001F3E66">
        <w:t xml:space="preserve"> data</w:t>
      </w:r>
      <w:r w:rsidRPr="006255F6" w:rsidR="006D2F15">
        <w:t xml:space="preserve"> </w:t>
      </w:r>
      <w:r w:rsidR="003F2FD2">
        <w:t xml:space="preserve">and </w:t>
      </w:r>
      <w:r w:rsidRPr="006255F6" w:rsidR="006D2F15">
        <w:t xml:space="preserve">biospecimens </w:t>
      </w:r>
      <w:r w:rsidRPr="006255F6" w:rsidR="001F3E66">
        <w:t>for purposes of secondary research</w:t>
      </w:r>
      <w:r w:rsidRPr="00D56D32" w:rsidR="001F3E66">
        <w:t>.</w:t>
      </w:r>
      <w:r w:rsidR="00ED7061">
        <w:t xml:space="preserve"> </w:t>
      </w:r>
      <w:r w:rsidR="006D2F15">
        <w:t xml:space="preserve"> </w:t>
      </w:r>
    </w:p>
    <w:p w:rsidRPr="006255F6" w:rsidR="00ED7061" w:rsidP="00553516" w:rsidRDefault="00ED7061" w14:paraId="5238D5D7" w14:textId="36104181">
      <w:pPr>
        <w:spacing w:after="60"/>
        <w:rPr>
          <w:color w:val="C00000"/>
        </w:rPr>
      </w:pPr>
      <w:r w:rsidRPr="00D56D32">
        <w:lastRenderedPageBreak/>
        <w:t xml:space="preserve">Establishing a central data </w:t>
      </w:r>
      <w:r w:rsidRPr="006255F6" w:rsidR="003B5110">
        <w:t>and</w:t>
      </w:r>
      <w:r w:rsidRPr="006255F6" w:rsidR="00294754">
        <w:t xml:space="preserve"> biospecimen </w:t>
      </w:r>
      <w:r w:rsidRPr="006255F6" w:rsidR="0069424D">
        <w:t>inventory</w:t>
      </w:r>
      <w:r w:rsidRPr="00D56D32" w:rsidR="0069424D">
        <w:t xml:space="preserve"> </w:t>
      </w:r>
      <w:r w:rsidRPr="00D56D32">
        <w:t xml:space="preserve">sharing resource such as NICHD DASH </w:t>
      </w:r>
      <w:r w:rsidRPr="00D56D32" w:rsidR="00CD2F83">
        <w:t xml:space="preserve">also meets the objectives of </w:t>
      </w:r>
      <w:r w:rsidRPr="00D56D32" w:rsidR="00553516">
        <w:t>various</w:t>
      </w:r>
      <w:r w:rsidRPr="00D56D32">
        <w:t xml:space="preserve"> </w:t>
      </w:r>
      <w:r w:rsidRPr="00D56D32" w:rsidR="00553516">
        <w:t xml:space="preserve">NIH and </w:t>
      </w:r>
      <w:r w:rsidRPr="00D56D32">
        <w:t>federal data sharing initiatives, including:</w:t>
      </w:r>
    </w:p>
    <w:p w:rsidR="00553516" w:rsidP="0039417E" w:rsidRDefault="00553516" w14:paraId="697077D0" w14:textId="77777777">
      <w:pPr>
        <w:numPr>
          <w:ilvl w:val="0"/>
          <w:numId w:val="20"/>
        </w:numPr>
        <w:spacing w:after="60"/>
      </w:pPr>
      <w:r w:rsidRPr="0080210E">
        <w:rPr>
          <w:i/>
        </w:rPr>
        <w:t>NIH Big Data to Knowledge (BD2K)</w:t>
      </w:r>
      <w:r>
        <w:rPr>
          <w:i/>
        </w:rPr>
        <w:t xml:space="preserve"> Program (2012) </w:t>
      </w:r>
      <w:r>
        <w:t>– I</w:t>
      </w:r>
      <w:r w:rsidRPr="00ED7061">
        <w:t>nc</w:t>
      </w:r>
      <w:r w:rsidR="00AA343F">
        <w:t>ludes the Data and Informatics I</w:t>
      </w:r>
      <w:r w:rsidRPr="00ED7061">
        <w:t>nitiative aimed at facilitating the use of and maximizing the value of biomedical data by improving data sharing policies, cataloging research data</w:t>
      </w:r>
    </w:p>
    <w:p w:rsidR="0080210E" w:rsidP="0039417E" w:rsidRDefault="00ED7061" w14:paraId="1AB1572F" w14:textId="77777777">
      <w:pPr>
        <w:numPr>
          <w:ilvl w:val="0"/>
          <w:numId w:val="20"/>
        </w:numPr>
        <w:spacing w:after="60"/>
      </w:pPr>
      <w:r w:rsidRPr="0080210E">
        <w:rPr>
          <w:bCs/>
          <w:i/>
        </w:rPr>
        <w:t>Federal Policy on Public Access</w:t>
      </w:r>
      <w:r w:rsidR="0080210E">
        <w:rPr>
          <w:bCs/>
          <w:i/>
        </w:rPr>
        <w:t xml:space="preserve"> (Feb 2013)</w:t>
      </w:r>
      <w:r w:rsidRPr="00ED7061">
        <w:rPr>
          <w:b/>
          <w:bCs/>
        </w:rPr>
        <w:t xml:space="preserve"> </w:t>
      </w:r>
      <w:r w:rsidR="0080210E">
        <w:rPr>
          <w:bCs/>
        </w:rPr>
        <w:t>– Th</w:t>
      </w:r>
      <w:r w:rsidRPr="00ED7061">
        <w:t>e White House Office of Science Technology and Policy Memo on increasing access to the results of federally funded scientific research includes an objective to store digitally formatted scientific data enabling search, retrieve, and analyze capabilities</w:t>
      </w:r>
    </w:p>
    <w:p w:rsidR="0080210E" w:rsidP="00553516" w:rsidRDefault="0080210E" w14:paraId="206A59C7" w14:textId="77777777">
      <w:pPr>
        <w:numPr>
          <w:ilvl w:val="0"/>
          <w:numId w:val="20"/>
        </w:numPr>
      </w:pPr>
      <w:r>
        <w:rPr>
          <w:i/>
        </w:rPr>
        <w:t xml:space="preserve">The White House </w:t>
      </w:r>
      <w:r w:rsidRPr="0080210E" w:rsidR="00ED7061">
        <w:rPr>
          <w:i/>
        </w:rPr>
        <w:t xml:space="preserve">Open Data </w:t>
      </w:r>
      <w:r>
        <w:rPr>
          <w:i/>
        </w:rPr>
        <w:t>Policy (May 2013)</w:t>
      </w:r>
      <w:r w:rsidRPr="00ED7061" w:rsidR="00ED7061">
        <w:t xml:space="preserve"> – </w:t>
      </w:r>
      <w:r>
        <w:t>M</w:t>
      </w:r>
      <w:r w:rsidRPr="00ED7061" w:rsidR="00ED7061">
        <w:t>andates that ‘data are released to the public in ways that make the data easy to find, accessible, and usable’</w:t>
      </w:r>
    </w:p>
    <w:p w:rsidR="00EE41AE" w:rsidP="003A2519" w:rsidRDefault="00EE41AE" w14:paraId="2B02E782" w14:textId="1FA266E4">
      <w:r>
        <w:t xml:space="preserve">By facilitating </w:t>
      </w:r>
      <w:r w:rsidRPr="004B18F8" w:rsidR="00C906D3">
        <w:t>study</w:t>
      </w:r>
      <w:r w:rsidR="00C906D3">
        <w:t xml:space="preserve"> </w:t>
      </w:r>
      <w:r>
        <w:t>data</w:t>
      </w:r>
      <w:r w:rsidRPr="00D56D32" w:rsidR="00E4635B">
        <w:t>,</w:t>
      </w:r>
      <w:r w:rsidRPr="003F2FD2" w:rsidR="00294754">
        <w:t xml:space="preserve"> biospecimen</w:t>
      </w:r>
      <w:r w:rsidRPr="003F2FD2" w:rsidR="0069424D">
        <w:t xml:space="preserve"> inventory</w:t>
      </w:r>
      <w:r w:rsidRPr="00113D8C" w:rsidR="00E4635B">
        <w:rPr>
          <w:color w:val="000000" w:themeColor="text1"/>
          <w:highlight w:val="yellow"/>
        </w:rPr>
        <w:t>, study catalog</w:t>
      </w:r>
      <w:r w:rsidRPr="00113D8C" w:rsidR="00292C87">
        <w:rPr>
          <w:color w:val="000000" w:themeColor="text1"/>
          <w:highlight w:val="yellow"/>
        </w:rPr>
        <w:t>, and data collection catalog</w:t>
      </w:r>
      <w:r w:rsidRPr="00113D8C">
        <w:rPr>
          <w:color w:val="000000" w:themeColor="text1"/>
        </w:rPr>
        <w:t xml:space="preserve"> sharing</w:t>
      </w:r>
      <w:r w:rsidRPr="00D56D32">
        <w:t xml:space="preserve">, NICHD will promote the secondary use of </w:t>
      </w:r>
      <w:r w:rsidRPr="00D56D32" w:rsidR="00294754">
        <w:t>study</w:t>
      </w:r>
      <w:r w:rsidRPr="00D56D32" w:rsidR="00594963">
        <w:t xml:space="preserve"> </w:t>
      </w:r>
      <w:r w:rsidRPr="00D56D32">
        <w:t xml:space="preserve">data </w:t>
      </w:r>
      <w:r w:rsidRPr="00D56D32" w:rsidR="00ED70A8">
        <w:t xml:space="preserve">and </w:t>
      </w:r>
      <w:r w:rsidRPr="003F2FD2" w:rsidR="00660117">
        <w:t>biospecimens</w:t>
      </w:r>
      <w:r w:rsidRPr="00D56D32" w:rsidR="00ED70A8">
        <w:t xml:space="preserve"> </w:t>
      </w:r>
      <w:r w:rsidRPr="00D56D32">
        <w:t>already collected</w:t>
      </w:r>
      <w:r w:rsidRPr="00D56D32" w:rsidR="00C906D3">
        <w:t>;</w:t>
      </w:r>
      <w:r w:rsidRPr="00D56D32">
        <w:t xml:space="preserve"> </w:t>
      </w:r>
      <w:r w:rsidRPr="00D56D32" w:rsidR="000C050C">
        <w:t>reinforce open scientific inquiry</w:t>
      </w:r>
      <w:r w:rsidRPr="00D56D32" w:rsidR="00C906D3">
        <w:t>;</w:t>
      </w:r>
      <w:r w:rsidRPr="00D56D32" w:rsidR="000C050C">
        <w:t xml:space="preserve"> </w:t>
      </w:r>
      <w:r w:rsidRPr="00D56D32">
        <w:t>bring together investigators from multiple disciplines</w:t>
      </w:r>
      <w:r w:rsidRPr="00D56D32" w:rsidR="00C906D3">
        <w:t>;</w:t>
      </w:r>
      <w:r w:rsidR="000C050C">
        <w:t xml:space="preserve"> </w:t>
      </w:r>
      <w:r>
        <w:t xml:space="preserve">and </w:t>
      </w:r>
      <w:r w:rsidR="000C050C">
        <w:t>ultimately</w:t>
      </w:r>
      <w:r w:rsidR="00C906D3">
        <w:t>,</w:t>
      </w:r>
      <w:r w:rsidR="000C050C">
        <w:t xml:space="preserve"> </w:t>
      </w:r>
      <w:r>
        <w:t xml:space="preserve">advance the scientific mission of NICHD. </w:t>
      </w:r>
    </w:p>
    <w:p w:rsidRPr="00C65BF5" w:rsidR="00FE1F36" w:rsidP="003A2519" w:rsidRDefault="00591523" w14:paraId="29783341" w14:textId="5D177801">
      <w:pPr>
        <w:rPr>
          <w:lang w:val="en"/>
        </w:rPr>
      </w:pPr>
      <w:r>
        <w:t>To</w:t>
      </w:r>
      <w:r w:rsidR="008548C5">
        <w:t xml:space="preserve"> </w:t>
      </w:r>
      <w:r w:rsidR="005E0F7E">
        <w:t xml:space="preserve">enable </w:t>
      </w:r>
      <w:r w:rsidR="008548C5">
        <w:t>data sharing</w:t>
      </w:r>
      <w:r w:rsidR="005E0F7E">
        <w:t xml:space="preserve"> through DASH, information</w:t>
      </w:r>
      <w:r w:rsidR="00CF132C">
        <w:t xml:space="preserve"> </w:t>
      </w:r>
      <w:r w:rsidRPr="004162EC" w:rsidR="00CF132C">
        <w:t>on Users, research s</w:t>
      </w:r>
      <w:r w:rsidRPr="00D56D32" w:rsidR="00CF132C">
        <w:t xml:space="preserve">tudies </w:t>
      </w:r>
      <w:r w:rsidRPr="00E73BE7" w:rsidR="00CF132C">
        <w:t>and associated biospecimen</w:t>
      </w:r>
      <w:r w:rsidRPr="00D56D32" w:rsidR="005E0F7E">
        <w:t xml:space="preserve"> will be collected</w:t>
      </w:r>
      <w:r w:rsidRPr="00D56D32" w:rsidR="00234057">
        <w:t xml:space="preserve"> from the U</w:t>
      </w:r>
      <w:r w:rsidRPr="00D56D32" w:rsidR="005E0F7E">
        <w:t>sers of the system.</w:t>
      </w:r>
      <w:r w:rsidRPr="00D56D32" w:rsidR="009B152D">
        <w:t xml:space="preserve"> </w:t>
      </w:r>
      <w:r w:rsidRPr="00D56D32" w:rsidR="005E0F7E">
        <w:t xml:space="preserve">User information </w:t>
      </w:r>
      <w:r w:rsidRPr="00D56D32" w:rsidR="00FE1F36">
        <w:t xml:space="preserve">stored in </w:t>
      </w:r>
      <w:r w:rsidRPr="00D56D32" w:rsidR="00B17D81">
        <w:t>NICHD DASH</w:t>
      </w:r>
      <w:r w:rsidRPr="00D56D32" w:rsidR="00FE1F36">
        <w:t xml:space="preserve"> is protected under the</w:t>
      </w:r>
      <w:r w:rsidRPr="00D56D32" w:rsidR="00FE1F36">
        <w:rPr>
          <w:lang w:val="en"/>
        </w:rPr>
        <w:t xml:space="preserve"> </w:t>
      </w:r>
      <w:r w:rsidRPr="00D56D32" w:rsidR="00FE1F36">
        <w:rPr>
          <w:bCs/>
          <w:lang w:val="en"/>
        </w:rPr>
        <w:t>Privacy Act of 1974</w:t>
      </w:r>
      <w:r w:rsidRPr="00D56D32" w:rsidR="00FE1F36">
        <w:rPr>
          <w:lang w:val="en"/>
        </w:rPr>
        <w:t xml:space="preserve"> (</w:t>
      </w:r>
      <w:proofErr w:type="spellStart"/>
      <w:r w:rsidR="003B791B">
        <w:fldChar w:fldCharType="begin"/>
      </w:r>
      <w:r w:rsidR="003B791B">
        <w:instrText xml:space="preserve"> HYPERLINK "http://legislink.org/us/pl-93-579" </w:instrText>
      </w:r>
      <w:r w:rsidR="003B791B">
        <w:fldChar w:fldCharType="separate"/>
      </w:r>
      <w:r w:rsidRPr="00D56D32" w:rsidR="00FE1F36">
        <w:rPr>
          <w:rStyle w:val="Hyperlink"/>
          <w:lang w:val="en"/>
        </w:rPr>
        <w:t>Pub.L</w:t>
      </w:r>
      <w:proofErr w:type="spellEnd"/>
      <w:r w:rsidRPr="00D56D32" w:rsidR="00FE1F36">
        <w:rPr>
          <w:rStyle w:val="Hyperlink"/>
          <w:lang w:val="en"/>
        </w:rPr>
        <w:t>. 93–579</w:t>
      </w:r>
      <w:r w:rsidR="003B791B">
        <w:rPr>
          <w:rStyle w:val="Hyperlink"/>
          <w:lang w:val="en"/>
        </w:rPr>
        <w:fldChar w:fldCharType="end"/>
      </w:r>
      <w:r w:rsidRPr="00D56D32" w:rsidR="00FE1F36">
        <w:rPr>
          <w:lang w:val="en"/>
        </w:rPr>
        <w:t>, 88 Stat. </w:t>
      </w:r>
      <w:hyperlink w:history="1" r:id="rId16">
        <w:r w:rsidRPr="00D56D32" w:rsidR="00FE1F36">
          <w:rPr>
            <w:rStyle w:val="Hyperlink"/>
            <w:lang w:val="en"/>
          </w:rPr>
          <w:t>1896</w:t>
        </w:r>
      </w:hyperlink>
      <w:r w:rsidRPr="00D56D32" w:rsidR="00FE1F36">
        <w:rPr>
          <w:lang w:val="en"/>
        </w:rPr>
        <w:t>, enacted December 31, 1974, 5 U.S.C. </w:t>
      </w:r>
      <w:hyperlink w:history="1" r:id="rId17">
        <w:r w:rsidRPr="00D56D32" w:rsidR="00FE1F36">
          <w:rPr>
            <w:rStyle w:val="Hyperlink"/>
            <w:lang w:val="en"/>
          </w:rPr>
          <w:t>§ 552a</w:t>
        </w:r>
      </w:hyperlink>
      <w:r w:rsidRPr="00D56D32" w:rsidR="00FE1F36">
        <w:rPr>
          <w:lang w:val="en"/>
        </w:rPr>
        <w:t>)</w:t>
      </w:r>
      <w:r w:rsidRPr="00D56D32" w:rsidR="002A28D1">
        <w:rPr>
          <w:lang w:val="en"/>
        </w:rPr>
        <w:t xml:space="preserve">, </w:t>
      </w:r>
      <w:r w:rsidRPr="00D56D32" w:rsidR="00FE1F36">
        <w:rPr>
          <w:lang w:val="en"/>
        </w:rPr>
        <w:t>which establishes a Code of Fair Inf</w:t>
      </w:r>
      <w:r w:rsidRPr="00C65BF5" w:rsidR="00FE1F36">
        <w:rPr>
          <w:lang w:val="en"/>
        </w:rPr>
        <w:t>ormation Practice that governs the collection, maintenance, use, and dissemination of personally identifiable inform</w:t>
      </w:r>
      <w:r w:rsidRPr="00C65BF5" w:rsidR="002A28D1">
        <w:rPr>
          <w:lang w:val="en"/>
        </w:rPr>
        <w:t xml:space="preserve">ation about individuals </w:t>
      </w:r>
      <w:r w:rsidRPr="00C65BF5" w:rsidR="00FE1F36">
        <w:rPr>
          <w:lang w:val="en"/>
        </w:rPr>
        <w:t>maintained in systems of records by federal agencies.</w:t>
      </w:r>
      <w:r w:rsidRPr="00C65BF5" w:rsidR="00793F00">
        <w:rPr>
          <w:lang w:val="en"/>
        </w:rPr>
        <w:t xml:space="preserve"> Though the</w:t>
      </w:r>
      <w:r w:rsidRPr="00C65BF5" w:rsidR="00E16967">
        <w:rPr>
          <w:lang w:val="en"/>
        </w:rPr>
        <w:t xml:space="preserve"> </w:t>
      </w:r>
      <w:r w:rsidRPr="00C65BF5" w:rsidR="00294754">
        <w:rPr>
          <w:lang w:val="en"/>
        </w:rPr>
        <w:t>study</w:t>
      </w:r>
      <w:r w:rsidRPr="00C65BF5" w:rsidR="00793F00">
        <w:rPr>
          <w:lang w:val="en"/>
        </w:rPr>
        <w:t xml:space="preserve"> d</w:t>
      </w:r>
      <w:r w:rsidRPr="00C65BF5" w:rsidR="00FE1F36">
        <w:rPr>
          <w:lang w:val="en"/>
        </w:rPr>
        <w:t>ata</w:t>
      </w:r>
      <w:r w:rsidRPr="00C65BF5" w:rsidR="00ED70A8">
        <w:rPr>
          <w:lang w:val="en"/>
        </w:rPr>
        <w:t xml:space="preserve"> and </w:t>
      </w:r>
      <w:r w:rsidRPr="00C65BF5" w:rsidR="00660117">
        <w:rPr>
          <w:lang w:val="en"/>
        </w:rPr>
        <w:t>biospecimen</w:t>
      </w:r>
      <w:r w:rsidRPr="00C65BF5" w:rsidR="0069424D">
        <w:rPr>
          <w:lang w:val="en"/>
        </w:rPr>
        <w:t xml:space="preserve"> inventorie</w:t>
      </w:r>
      <w:r w:rsidRPr="00C65BF5" w:rsidR="00660117">
        <w:rPr>
          <w:lang w:val="en"/>
        </w:rPr>
        <w:t>s</w:t>
      </w:r>
      <w:r w:rsidRPr="00C65BF5" w:rsidR="00FE1F36">
        <w:rPr>
          <w:lang w:val="en"/>
        </w:rPr>
        <w:t xml:space="preserve"> stored in NICHD DASH will be de-iden</w:t>
      </w:r>
      <w:r w:rsidRPr="00C65BF5" w:rsidR="00793F00">
        <w:rPr>
          <w:lang w:val="en"/>
        </w:rPr>
        <w:t>tified, r</w:t>
      </w:r>
      <w:r w:rsidRPr="00C65BF5" w:rsidR="00FE1F36">
        <w:rPr>
          <w:lang w:val="en"/>
        </w:rPr>
        <w:t xml:space="preserve">isks to individuals, groups, or communities will be balanced carefully with potential benefits of the knowledge to be gained through </w:t>
      </w:r>
      <w:r w:rsidRPr="00C65BF5" w:rsidR="00B17D81">
        <w:rPr>
          <w:lang w:val="en"/>
        </w:rPr>
        <w:t>NICHD DASH</w:t>
      </w:r>
      <w:r w:rsidRPr="00C65BF5" w:rsidR="00FE1F36">
        <w:rPr>
          <w:lang w:val="en"/>
        </w:rPr>
        <w:t>.</w:t>
      </w:r>
      <w:r w:rsidRPr="00C65BF5" w:rsidR="008E32F4">
        <w:rPr>
          <w:lang w:val="en"/>
        </w:rPr>
        <w:t xml:space="preserve"> </w:t>
      </w:r>
      <w:r w:rsidRPr="00C65BF5" w:rsidR="009B152D">
        <w:t>To protect the privacy of research participants and the confidentiality of their data</w:t>
      </w:r>
      <w:r w:rsidRPr="00C65BF5" w:rsidR="00ED70A8">
        <w:t xml:space="preserve"> and</w:t>
      </w:r>
      <w:r w:rsidRPr="00C65BF5" w:rsidR="00294754">
        <w:t>/or</w:t>
      </w:r>
      <w:r w:rsidRPr="00C65BF5" w:rsidR="00ED70A8">
        <w:t xml:space="preserve"> </w:t>
      </w:r>
      <w:r w:rsidRPr="00C65BF5" w:rsidR="00660117">
        <w:t>bio</w:t>
      </w:r>
      <w:r w:rsidRPr="00C65BF5" w:rsidR="00ED70A8">
        <w:t>specimens</w:t>
      </w:r>
      <w:r w:rsidRPr="00C65BF5" w:rsidR="009B152D">
        <w:t xml:space="preserve">, the NICHD DASH </w:t>
      </w:r>
      <w:r w:rsidRPr="00C65BF5" w:rsidR="009E54F2">
        <w:t xml:space="preserve">Data Access </w:t>
      </w:r>
      <w:r w:rsidRPr="00C65BF5" w:rsidR="009B152D">
        <w:t>Committee</w:t>
      </w:r>
      <w:r w:rsidRPr="00C65BF5" w:rsidR="00C906D3">
        <w:t xml:space="preserve"> (DAC)</w:t>
      </w:r>
      <w:r w:rsidRPr="00C65BF5" w:rsidR="009B152D">
        <w:t xml:space="preserve"> </w:t>
      </w:r>
      <w:r w:rsidRPr="00C65BF5" w:rsidR="0069424D">
        <w:t>and the NICHD DASH Biospecimen Access Committee</w:t>
      </w:r>
      <w:r w:rsidRPr="00C65BF5" w:rsidR="00C906D3">
        <w:t xml:space="preserve"> (BAC) </w:t>
      </w:r>
      <w:r w:rsidRPr="00C65BF5" w:rsidR="009B152D">
        <w:t xml:space="preserve">will </w:t>
      </w:r>
      <w:r w:rsidRPr="00C65BF5" w:rsidR="009E54F2">
        <w:t>review</w:t>
      </w:r>
      <w:r w:rsidRPr="00C65BF5" w:rsidR="009B152D">
        <w:t xml:space="preserve"> the request for </w:t>
      </w:r>
      <w:r w:rsidRPr="00C65BF5" w:rsidR="00163529">
        <w:t xml:space="preserve">the </w:t>
      </w:r>
      <w:r w:rsidRPr="00C65BF5" w:rsidR="009B152D">
        <w:t>proposed study</w:t>
      </w:r>
      <w:r w:rsidRPr="00C65BF5" w:rsidR="0069424D">
        <w:t xml:space="preserve"> data and </w:t>
      </w:r>
      <w:r w:rsidRPr="00C65BF5" w:rsidR="00C906D3">
        <w:t>biospecimen</w:t>
      </w:r>
      <w:r w:rsidRPr="00C65BF5" w:rsidR="00E73BE7">
        <w:t>s</w:t>
      </w:r>
      <w:r w:rsidRPr="00C65BF5" w:rsidR="009729D4">
        <w:t>,</w:t>
      </w:r>
      <w:r w:rsidRPr="00C65BF5" w:rsidR="009B152D">
        <w:t xml:space="preserve"> </w:t>
      </w:r>
      <w:r w:rsidRPr="00C65BF5" w:rsidR="009729D4">
        <w:t>as well as</w:t>
      </w:r>
      <w:r w:rsidRPr="00C65BF5" w:rsidR="009B152D">
        <w:t xml:space="preserve"> monitor the use of NICHD DASH data</w:t>
      </w:r>
      <w:r w:rsidRPr="00C65BF5" w:rsidR="00ED70A8">
        <w:t xml:space="preserve"> and </w:t>
      </w:r>
      <w:r w:rsidRPr="00C65BF5" w:rsidR="009729D4">
        <w:t xml:space="preserve">NICHD Biorepository </w:t>
      </w:r>
      <w:r w:rsidRPr="00C65BF5" w:rsidR="00660117">
        <w:t>biospecimens</w:t>
      </w:r>
      <w:r w:rsidRPr="00C65BF5" w:rsidR="009729D4">
        <w:t xml:space="preserve">, respectively. </w:t>
      </w:r>
    </w:p>
    <w:p w:rsidRPr="00C65BF5" w:rsidR="000F3043" w:rsidP="004C5217" w:rsidRDefault="000F3043" w14:paraId="035313F7" w14:textId="77777777">
      <w:pPr>
        <w:pStyle w:val="Heading2"/>
      </w:pPr>
      <w:bookmarkStart w:name="_Toc443881743" w:id="14"/>
      <w:bookmarkStart w:name="_Toc451592232" w:id="15"/>
      <w:bookmarkStart w:name="_Toc5610273" w:id="16"/>
      <w:bookmarkStart w:name="_Toc99178779" w:id="17"/>
      <w:bookmarkStart w:name="_Toc442286331" w:id="18"/>
      <w:bookmarkStart w:name="_Toc508106937" w:id="19"/>
      <w:r w:rsidRPr="00C65BF5">
        <w:t>A.2</w:t>
      </w:r>
      <w:r w:rsidRPr="00C65BF5" w:rsidR="00825984">
        <w:tab/>
      </w:r>
      <w:r w:rsidRPr="00C65BF5">
        <w:t>Purpose and Use of the Information</w:t>
      </w:r>
      <w:bookmarkEnd w:id="14"/>
      <w:bookmarkEnd w:id="15"/>
      <w:bookmarkEnd w:id="16"/>
      <w:bookmarkEnd w:id="17"/>
      <w:r w:rsidRPr="00C65BF5">
        <w:t xml:space="preserve"> Collection</w:t>
      </w:r>
      <w:bookmarkEnd w:id="18"/>
      <w:bookmarkEnd w:id="19"/>
    </w:p>
    <w:p w:rsidRPr="006D0886" w:rsidR="00D32F43" w:rsidP="00D32F43" w:rsidRDefault="00D32F43" w14:paraId="057C26CC" w14:textId="77777777">
      <w:r w:rsidRPr="00113D8C">
        <w:rPr>
          <w:color w:val="000000" w:themeColor="text1"/>
        </w:rPr>
        <w:t xml:space="preserve">Information will be collected from those wishing to create an account, sufficient to identify them as unique Users. Those submitting or requesting data and/or biospecimens will be required to provide additional supporting information to ensure proper use and security of NICHD DASH study data and biospecimens. Additionally, </w:t>
      </w:r>
      <w:r w:rsidRPr="00113D8C">
        <w:rPr>
          <w:color w:val="000000" w:themeColor="text1"/>
          <w:highlight w:val="yellow"/>
        </w:rPr>
        <w:t>these</w:t>
      </w:r>
      <w:r w:rsidRPr="00113D8C">
        <w:rPr>
          <w:color w:val="000000" w:themeColor="text1"/>
        </w:rPr>
        <w:t xml:space="preserve"> Users will be required to submit an annual progress report to provide data and/or biospecimen usage information. The information collected from Users who register in NICHD DASH and submit or request data and/or biospecimens</w:t>
      </w:r>
      <w:r w:rsidRPr="00113D8C">
        <w:rPr>
          <w:color w:val="000000" w:themeColor="text1"/>
          <w:highlight w:val="yellow"/>
        </w:rPr>
        <w:t>, or submit study catalogs and/or data collection catalogs,</w:t>
      </w:r>
      <w:r w:rsidRPr="00113D8C">
        <w:rPr>
          <w:color w:val="000000" w:themeColor="text1"/>
        </w:rPr>
        <w:t xml:space="preserve"> will </w:t>
      </w:r>
      <w:r w:rsidRPr="006D0886">
        <w:t>be used to monitor submissions and requests, Users’ experience with DASH, as well as to notify interested recipients of updates to study data or biospecimen inventories available through NICHD DASH.</w:t>
      </w:r>
    </w:p>
    <w:p w:rsidR="00D32F43" w:rsidP="00E16967" w:rsidRDefault="00D32F43" w14:paraId="1E24D13F" w14:textId="63FBF7AD">
      <w:pPr>
        <w:rPr>
          <w:color w:val="000000" w:themeColor="text1"/>
        </w:rPr>
      </w:pPr>
      <w:r w:rsidRPr="006D0886">
        <w:lastRenderedPageBreak/>
        <w:t xml:space="preserve">The potential for public benefit to be achieved through sharing study data and/or biospecimen inventories </w:t>
      </w:r>
      <w:r w:rsidRPr="00113D8C">
        <w:rPr>
          <w:color w:val="000000" w:themeColor="text1"/>
          <w:highlight w:val="yellow"/>
        </w:rPr>
        <w:t>through DASH</w:t>
      </w:r>
      <w:r w:rsidRPr="00113D8C">
        <w:rPr>
          <w:color w:val="000000" w:themeColor="text1"/>
        </w:rPr>
        <w:t xml:space="preserve"> </w:t>
      </w:r>
      <w:r w:rsidRPr="006D0886">
        <w:t xml:space="preserve">for secondary analysis is significant. </w:t>
      </w:r>
      <w:r w:rsidRPr="00113D8C">
        <w:rPr>
          <w:color w:val="000000" w:themeColor="text1"/>
          <w:highlight w:val="yellow"/>
        </w:rPr>
        <w:t>Additionally, the ability to centralize information regarding where to find and how to access, studies, and data collections funded by NICHD stored across various public archives (i.e., cataloged studies and data collections) helps to promote information discovery and reuse of data.</w:t>
      </w:r>
      <w:r w:rsidRPr="00113D8C">
        <w:rPr>
          <w:color w:val="000000" w:themeColor="text1"/>
        </w:rPr>
        <w:t xml:space="preserve"> </w:t>
      </w:r>
      <w:r w:rsidRPr="006D0886">
        <w:t xml:space="preserve">NICHD DASH supports NICHD’s mission to ensure that every person is born healthy and wanted; that women suffer no harmful effects from reproductive processes; that all children have the chance to achieve their full potential for healthy and productive lives, free from disease or disability; and to ensure the health, productivity, independence, and well-being of all people through optimal rehabilitation. Study data and biospecimen sharing and reuse will promote testing of new hypotheses from data and biospecimens already collected, facilitate trans-disciplinary collaboration, accelerate scientific </w:t>
      </w:r>
      <w:proofErr w:type="gramStart"/>
      <w:r w:rsidRPr="006D0886">
        <w:t>findings</w:t>
      </w:r>
      <w:proofErr w:type="gramEnd"/>
      <w:r w:rsidRPr="006D0886">
        <w:t xml:space="preserve"> and enable NICHD to maximize the return on its investments in research.</w:t>
      </w:r>
    </w:p>
    <w:p w:rsidR="005B6230" w:rsidP="00E16967" w:rsidRDefault="00A160E6" w14:paraId="2531ABEC" w14:textId="3EC17150">
      <w:pPr>
        <w:rPr>
          <w:color w:val="000000" w:themeColor="text1"/>
        </w:rPr>
      </w:pPr>
      <w:r w:rsidRPr="682752C4">
        <w:rPr>
          <w:color w:val="000000" w:themeColor="text1"/>
        </w:rPr>
        <w:t>T</w:t>
      </w:r>
      <w:r w:rsidRPr="682752C4" w:rsidR="00583EE7">
        <w:rPr>
          <w:color w:val="000000" w:themeColor="text1"/>
        </w:rPr>
        <w:t xml:space="preserve">he </w:t>
      </w:r>
      <w:r w:rsidRPr="682752C4" w:rsidR="00D05E34">
        <w:rPr>
          <w:color w:val="000000" w:themeColor="text1"/>
        </w:rPr>
        <w:t xml:space="preserve">initial </w:t>
      </w:r>
      <w:r w:rsidRPr="682752C4" w:rsidR="00135A52">
        <w:rPr>
          <w:color w:val="000000" w:themeColor="text1"/>
        </w:rPr>
        <w:t>information collection package</w:t>
      </w:r>
      <w:r w:rsidRPr="682752C4" w:rsidR="00D05E34">
        <w:rPr>
          <w:color w:val="000000" w:themeColor="text1"/>
        </w:rPr>
        <w:t xml:space="preserve"> </w:t>
      </w:r>
      <w:r w:rsidRPr="682752C4" w:rsidR="00690287">
        <w:rPr>
          <w:color w:val="000000" w:themeColor="text1"/>
        </w:rPr>
        <w:t xml:space="preserve">that was approved by OMB </w:t>
      </w:r>
      <w:r w:rsidRPr="682752C4" w:rsidR="00135A52">
        <w:rPr>
          <w:color w:val="000000" w:themeColor="text1"/>
        </w:rPr>
        <w:t>included forms for</w:t>
      </w:r>
      <w:r w:rsidRPr="682752C4" w:rsidR="00D05E34">
        <w:rPr>
          <w:color w:val="000000" w:themeColor="text1"/>
        </w:rPr>
        <w:t xml:space="preserve"> user registration, data submission and data request </w:t>
      </w:r>
      <w:r w:rsidRPr="682752C4" w:rsidR="001270FA">
        <w:rPr>
          <w:color w:val="000000" w:themeColor="text1"/>
        </w:rPr>
        <w:t>forms for</w:t>
      </w:r>
      <w:r w:rsidRPr="682752C4" w:rsidR="00690287">
        <w:rPr>
          <w:color w:val="000000" w:themeColor="text1"/>
        </w:rPr>
        <w:t xml:space="preserve"> </w:t>
      </w:r>
      <w:r w:rsidRPr="682752C4" w:rsidR="00D05E34">
        <w:rPr>
          <w:color w:val="000000" w:themeColor="text1"/>
        </w:rPr>
        <w:t>NICHD DASH.</w:t>
      </w:r>
      <w:r w:rsidRPr="682752C4" w:rsidR="004D37D9">
        <w:rPr>
          <w:color w:val="000000" w:themeColor="text1"/>
        </w:rPr>
        <w:t xml:space="preserve"> </w:t>
      </w:r>
      <w:r w:rsidRPr="682752C4" w:rsidR="004D37D9">
        <w:rPr>
          <w:color w:val="000000" w:themeColor="text1"/>
          <w:highlight w:val="yellow"/>
        </w:rPr>
        <w:t>A revised information collection package</w:t>
      </w:r>
      <w:r w:rsidRPr="682752C4" w:rsidR="00486F53">
        <w:rPr>
          <w:color w:val="000000" w:themeColor="text1"/>
          <w:highlight w:val="yellow"/>
        </w:rPr>
        <w:t xml:space="preserve"> </w:t>
      </w:r>
      <w:r w:rsidRPr="682752C4" w:rsidR="00F92128">
        <w:rPr>
          <w:color w:val="000000" w:themeColor="text1"/>
          <w:highlight w:val="yellow"/>
        </w:rPr>
        <w:t xml:space="preserve">previously </w:t>
      </w:r>
      <w:r w:rsidRPr="682752C4" w:rsidR="004D37D9">
        <w:rPr>
          <w:color w:val="000000" w:themeColor="text1"/>
          <w:highlight w:val="yellow"/>
        </w:rPr>
        <w:t>submitted and approved by OMB included additional forms for Institutional Certification submission, biospecimen submission and request, and annual progress report submission to NICHD DASH.</w:t>
      </w:r>
      <w:r w:rsidRPr="682752C4" w:rsidR="00D05E34">
        <w:rPr>
          <w:color w:val="000000" w:themeColor="text1"/>
        </w:rPr>
        <w:t xml:space="preserve"> To date</w:t>
      </w:r>
      <w:r w:rsidRPr="682752C4" w:rsidR="00007F00">
        <w:rPr>
          <w:color w:val="000000" w:themeColor="text1"/>
        </w:rPr>
        <w:t>,</w:t>
      </w:r>
      <w:r w:rsidRPr="682752C4" w:rsidR="00D05E34">
        <w:rPr>
          <w:color w:val="000000" w:themeColor="text1"/>
        </w:rPr>
        <w:t xml:space="preserve"> </w:t>
      </w:r>
      <w:r w:rsidRPr="682752C4" w:rsidR="00007F00">
        <w:rPr>
          <w:color w:val="000000" w:themeColor="text1"/>
        </w:rPr>
        <w:t>DASH has</w:t>
      </w:r>
      <w:r w:rsidRPr="682752C4" w:rsidR="00D05E34">
        <w:rPr>
          <w:color w:val="000000" w:themeColor="text1"/>
        </w:rPr>
        <w:t xml:space="preserve"> a total of </w:t>
      </w:r>
      <w:r w:rsidRPr="00174BA5" w:rsidR="3319C775">
        <w:rPr>
          <w:highlight w:val="yellow"/>
        </w:rPr>
        <w:t>2,162</w:t>
      </w:r>
      <w:r w:rsidRPr="682752C4" w:rsidR="005D7473">
        <w:t xml:space="preserve"> </w:t>
      </w:r>
      <w:r w:rsidRPr="682752C4" w:rsidR="00D05E34">
        <w:rPr>
          <w:color w:val="000000" w:themeColor="text1"/>
        </w:rPr>
        <w:t>registered user</w:t>
      </w:r>
      <w:r w:rsidRPr="682752C4" w:rsidR="00D05E34">
        <w:t xml:space="preserve">s, </w:t>
      </w:r>
      <w:r w:rsidRPr="00174BA5" w:rsidR="002C0EA4">
        <w:rPr>
          <w:highlight w:val="yellow"/>
        </w:rPr>
        <w:t>1</w:t>
      </w:r>
      <w:r w:rsidRPr="00174BA5" w:rsidR="133D58B3">
        <w:rPr>
          <w:highlight w:val="yellow"/>
        </w:rPr>
        <w:t>80</w:t>
      </w:r>
      <w:r w:rsidRPr="682752C4" w:rsidR="00D05E34">
        <w:t xml:space="preserve"> stud</w:t>
      </w:r>
      <w:r w:rsidRPr="682752C4" w:rsidR="00D05E34">
        <w:rPr>
          <w:color w:val="000000" w:themeColor="text1"/>
        </w:rPr>
        <w:t>y data submissi</w:t>
      </w:r>
      <w:r w:rsidRPr="682752C4" w:rsidR="00D05E34">
        <w:t xml:space="preserve">ons, </w:t>
      </w:r>
      <w:r w:rsidRPr="00174BA5" w:rsidR="002C0EA4">
        <w:rPr>
          <w:highlight w:val="yellow"/>
        </w:rPr>
        <w:t>2</w:t>
      </w:r>
      <w:r w:rsidRPr="00174BA5" w:rsidR="526F7082">
        <w:rPr>
          <w:highlight w:val="yellow"/>
        </w:rPr>
        <w:t>96</w:t>
      </w:r>
      <w:r w:rsidRPr="682752C4" w:rsidR="002C0EA4">
        <w:rPr>
          <w:color w:val="00B050"/>
        </w:rPr>
        <w:t xml:space="preserve"> </w:t>
      </w:r>
      <w:r w:rsidRPr="682752C4" w:rsidR="00D05E34">
        <w:t>appr</w:t>
      </w:r>
      <w:r w:rsidRPr="682752C4" w:rsidR="00D05E34">
        <w:rPr>
          <w:color w:val="000000" w:themeColor="text1"/>
        </w:rPr>
        <w:t>oved data requests</w:t>
      </w:r>
      <w:r w:rsidRPr="682752C4" w:rsidR="00E802E5">
        <w:rPr>
          <w:color w:val="000000" w:themeColor="text1"/>
        </w:rPr>
        <w:t xml:space="preserve">, </w:t>
      </w:r>
      <w:r w:rsidRPr="00174BA5" w:rsidR="00E802E5">
        <w:rPr>
          <w:color w:val="000000" w:themeColor="text1"/>
          <w:highlight w:val="yellow"/>
        </w:rPr>
        <w:t>and</w:t>
      </w:r>
      <w:r w:rsidRPr="00174BA5" w:rsidR="00E802E5">
        <w:rPr>
          <w:highlight w:val="yellow"/>
        </w:rPr>
        <w:t xml:space="preserve"> </w:t>
      </w:r>
      <w:r w:rsidRPr="00174BA5" w:rsidR="0092589C">
        <w:rPr>
          <w:highlight w:val="yellow"/>
        </w:rPr>
        <w:t>6</w:t>
      </w:r>
      <w:r w:rsidRPr="00174BA5" w:rsidR="00E802E5">
        <w:rPr>
          <w:highlight w:val="yellow"/>
        </w:rPr>
        <w:t xml:space="preserve"> bios</w:t>
      </w:r>
      <w:r w:rsidRPr="00174BA5" w:rsidR="00E802E5">
        <w:rPr>
          <w:color w:val="000000" w:themeColor="text1"/>
          <w:highlight w:val="yellow"/>
        </w:rPr>
        <w:t>pecimen requests</w:t>
      </w:r>
      <w:r w:rsidRPr="00174BA5" w:rsidR="00D05E34">
        <w:rPr>
          <w:color w:val="000000" w:themeColor="text1"/>
          <w:highlight w:val="yellow"/>
        </w:rPr>
        <w:t>.</w:t>
      </w:r>
      <w:r w:rsidRPr="682752C4" w:rsidR="00D05E34">
        <w:rPr>
          <w:color w:val="000000" w:themeColor="text1"/>
        </w:rPr>
        <w:t xml:space="preserve"> This revised </w:t>
      </w:r>
      <w:r w:rsidRPr="682752C4" w:rsidR="00135A52">
        <w:rPr>
          <w:color w:val="000000" w:themeColor="text1"/>
        </w:rPr>
        <w:t>information collection</w:t>
      </w:r>
      <w:r w:rsidRPr="682752C4" w:rsidR="00D05E34">
        <w:rPr>
          <w:color w:val="000000" w:themeColor="text1"/>
        </w:rPr>
        <w:t xml:space="preserve"> </w:t>
      </w:r>
      <w:r w:rsidRPr="682752C4" w:rsidR="00135A52">
        <w:rPr>
          <w:color w:val="000000" w:themeColor="text1"/>
        </w:rPr>
        <w:t xml:space="preserve">package </w:t>
      </w:r>
      <w:r w:rsidRPr="682752C4" w:rsidR="00690287">
        <w:rPr>
          <w:color w:val="000000" w:themeColor="text1"/>
        </w:rPr>
        <w:t xml:space="preserve">is being submitted to OMB to obtain </w:t>
      </w:r>
      <w:r w:rsidRPr="682752C4" w:rsidR="00D05E34">
        <w:rPr>
          <w:color w:val="000000" w:themeColor="text1"/>
        </w:rPr>
        <w:t xml:space="preserve">clearance for the collection of information during </w:t>
      </w:r>
      <w:r w:rsidRPr="682752C4" w:rsidR="004D37D9">
        <w:rPr>
          <w:color w:val="000000" w:themeColor="text1"/>
          <w:highlight w:val="yellow"/>
        </w:rPr>
        <w:t xml:space="preserve">study catalog </w:t>
      </w:r>
      <w:r w:rsidRPr="682752C4" w:rsidR="00954BCE">
        <w:rPr>
          <w:color w:val="000000" w:themeColor="text1"/>
          <w:highlight w:val="yellow"/>
        </w:rPr>
        <w:t xml:space="preserve">and data collection catalog </w:t>
      </w:r>
      <w:r w:rsidRPr="682752C4" w:rsidR="004D37D9">
        <w:rPr>
          <w:color w:val="000000" w:themeColor="text1"/>
          <w:highlight w:val="yellow"/>
        </w:rPr>
        <w:t>submission to DASH.</w:t>
      </w:r>
    </w:p>
    <w:p w:rsidRPr="00C65BF5" w:rsidR="0039417E" w:rsidP="0039417E" w:rsidRDefault="0039417E" w14:paraId="1277AE7C" w14:textId="74AE4D9B">
      <w:pPr>
        <w:rPr>
          <w:i/>
        </w:rPr>
      </w:pPr>
      <w:r w:rsidRPr="00C65BF5">
        <w:rPr>
          <w:b/>
        </w:rPr>
        <w:t>Users creating an account</w:t>
      </w:r>
      <w:r w:rsidRPr="00C65BF5">
        <w:t xml:space="preserve"> </w:t>
      </w:r>
      <w:r w:rsidRPr="00C65BF5" w:rsidR="00D378DD">
        <w:t xml:space="preserve">to register </w:t>
      </w:r>
      <w:r w:rsidRPr="00C65BF5">
        <w:t xml:space="preserve">will electronically submit essential information necessary to uniquely identify them in NICHD DASH </w:t>
      </w:r>
      <w:r w:rsidRPr="00C65BF5" w:rsidR="00831AFF">
        <w:t>(</w:t>
      </w:r>
      <w:r w:rsidRPr="00C65BF5" w:rsidR="006162D6">
        <w:rPr>
          <w:i/>
          <w:color w:val="000000" w:themeColor="text1"/>
        </w:rPr>
        <w:t>Attachment A.2-</w:t>
      </w:r>
      <w:r w:rsidRPr="00C65BF5" w:rsidR="009500DA">
        <w:rPr>
          <w:i/>
          <w:color w:val="000000" w:themeColor="text1"/>
        </w:rPr>
        <w:t>1</w:t>
      </w:r>
      <w:r w:rsidRPr="00C65BF5" w:rsidR="000B3512">
        <w:rPr>
          <w:i/>
          <w:color w:val="000000" w:themeColor="text1"/>
        </w:rPr>
        <w:t xml:space="preserve"> </w:t>
      </w:r>
      <w:r w:rsidRPr="00C65BF5" w:rsidR="006162D6">
        <w:rPr>
          <w:i/>
          <w:color w:val="000000" w:themeColor="text1"/>
        </w:rPr>
        <w:t>User Registration</w:t>
      </w:r>
      <w:r w:rsidRPr="00C65BF5" w:rsidR="00831AFF">
        <w:rPr>
          <w:i/>
        </w:rPr>
        <w:t>)</w:t>
      </w:r>
      <w:r w:rsidRPr="00C65BF5" w:rsidR="001270FA">
        <w:rPr>
          <w:i/>
        </w:rPr>
        <w:t>.</w:t>
      </w:r>
    </w:p>
    <w:p w:rsidRPr="00C65BF5" w:rsidR="007B61DF" w:rsidP="007B61DF" w:rsidRDefault="0039417E" w14:paraId="146D881E" w14:textId="6D95217A">
      <w:pPr>
        <w:rPr>
          <w:i/>
          <w:color w:val="000000" w:themeColor="text1"/>
        </w:rPr>
      </w:pPr>
      <w:r w:rsidRPr="00C65BF5">
        <w:rPr>
          <w:b/>
        </w:rPr>
        <w:t>Users submitting study data</w:t>
      </w:r>
      <w:r w:rsidRPr="00C65BF5" w:rsidR="00115207">
        <w:rPr>
          <w:b/>
        </w:rPr>
        <w:t xml:space="preserve"> and biospecimens</w:t>
      </w:r>
      <w:r w:rsidRPr="00C65BF5">
        <w:rPr>
          <w:b/>
        </w:rPr>
        <w:t xml:space="preserve"> </w:t>
      </w:r>
      <w:r w:rsidRPr="00C65BF5">
        <w:t>to NICHD DASH will be required to provide information about the study investigator and descriptive information about the study. They will also be required to upload study documentation</w:t>
      </w:r>
      <w:r w:rsidRPr="00C65BF5" w:rsidR="001270FA">
        <w:t xml:space="preserve"> and</w:t>
      </w:r>
      <w:r w:rsidRPr="00C65BF5">
        <w:t xml:space="preserve"> data</w:t>
      </w:r>
      <w:r w:rsidRPr="00C65BF5" w:rsidR="001270FA">
        <w:t xml:space="preserve"> (</w:t>
      </w:r>
      <w:r w:rsidRPr="00C65BF5" w:rsidR="001270FA">
        <w:rPr>
          <w:i/>
          <w:color w:val="000000" w:themeColor="text1"/>
        </w:rPr>
        <w:t>Attachment A.2-</w:t>
      </w:r>
      <w:r w:rsidRPr="00C65BF5" w:rsidR="000B3512">
        <w:rPr>
          <w:i/>
          <w:color w:val="000000" w:themeColor="text1"/>
        </w:rPr>
        <w:t>2</w:t>
      </w:r>
      <w:r w:rsidRPr="00C65BF5" w:rsidR="00DF471E">
        <w:rPr>
          <w:i/>
          <w:color w:val="000000" w:themeColor="text1"/>
        </w:rPr>
        <w:t xml:space="preserve"> </w:t>
      </w:r>
      <w:r w:rsidRPr="00C65BF5" w:rsidR="001270FA">
        <w:rPr>
          <w:i/>
          <w:color w:val="000000" w:themeColor="text1"/>
        </w:rPr>
        <w:t>Data Submission</w:t>
      </w:r>
      <w:r w:rsidRPr="00C65BF5" w:rsidR="00BC6FC0">
        <w:rPr>
          <w:i/>
          <w:color w:val="538135" w:themeColor="accent6" w:themeShade="BF"/>
        </w:rPr>
        <w:t>)</w:t>
      </w:r>
      <w:r w:rsidRPr="00C65BF5" w:rsidR="00C20096">
        <w:rPr>
          <w:i/>
          <w:color w:val="538135" w:themeColor="accent6" w:themeShade="BF"/>
        </w:rPr>
        <w:t>.</w:t>
      </w:r>
      <w:r w:rsidRPr="00C65BF5">
        <w:t xml:space="preserve"> </w:t>
      </w:r>
      <w:r w:rsidRPr="00C65BF5" w:rsidR="00C20096">
        <w:t xml:space="preserve">NICHD DASH is adding a new form for </w:t>
      </w:r>
      <w:r w:rsidRPr="00C65BF5">
        <w:t>Institutional Certification</w:t>
      </w:r>
      <w:r w:rsidRPr="00C65BF5" w:rsidR="00F0203C">
        <w:rPr>
          <w:i/>
        </w:rPr>
        <w:t xml:space="preserve"> </w:t>
      </w:r>
      <w:r w:rsidRPr="00C65BF5" w:rsidR="00B858BE">
        <w:t>from</w:t>
      </w:r>
      <w:r w:rsidRPr="00C65BF5">
        <w:t xml:space="preserve"> the submitting institution stating that the data</w:t>
      </w:r>
      <w:r w:rsidRPr="00C65BF5" w:rsidR="00BC6FC0">
        <w:t>,</w:t>
      </w:r>
      <w:r w:rsidRPr="00C65BF5">
        <w:t xml:space="preserve"> </w:t>
      </w:r>
      <w:r w:rsidRPr="00C65BF5" w:rsidR="00BC6FC0">
        <w:t xml:space="preserve">biospecimens, and the biospecimen inventory have </w:t>
      </w:r>
      <w:r w:rsidRPr="00C65BF5">
        <w:t xml:space="preserve">been de-identified to the standards set forth in the HHS Regulations for the Protection of Human Subjects and that an Institutional Review Board or Privacy Committee has assessed the proposed data </w:t>
      </w:r>
      <w:r w:rsidRPr="00C65BF5" w:rsidR="00BC6FC0">
        <w:t xml:space="preserve">and/or biospecimen </w:t>
      </w:r>
      <w:r w:rsidRPr="00C65BF5">
        <w:t xml:space="preserve">sharing for risks, privacy considerations, and </w:t>
      </w:r>
      <w:r w:rsidRPr="00C65BF5" w:rsidR="001B0CE6">
        <w:t>alignment with informed consent</w:t>
      </w:r>
      <w:r w:rsidRPr="00C65BF5" w:rsidR="00831AFF">
        <w:t xml:space="preserve"> (</w:t>
      </w:r>
      <w:r w:rsidRPr="00C65BF5" w:rsidR="001270FA">
        <w:rPr>
          <w:i/>
          <w:color w:val="000000" w:themeColor="text1"/>
        </w:rPr>
        <w:t>Attachment A.2-</w:t>
      </w:r>
      <w:r w:rsidRPr="00C65BF5" w:rsidR="000B3512">
        <w:rPr>
          <w:i/>
          <w:color w:val="000000" w:themeColor="text1"/>
        </w:rPr>
        <w:t>3</w:t>
      </w:r>
      <w:r w:rsidRPr="00C65BF5" w:rsidR="001270FA">
        <w:rPr>
          <w:i/>
          <w:color w:val="000000" w:themeColor="text1"/>
        </w:rPr>
        <w:t xml:space="preserve"> Institutional Certification Template</w:t>
      </w:r>
      <w:r w:rsidRPr="00C65BF5" w:rsidR="001B0CE6">
        <w:rPr>
          <w:i/>
          <w:color w:val="000000" w:themeColor="text1"/>
        </w:rPr>
        <w:t>)</w:t>
      </w:r>
      <w:r w:rsidRPr="00C65BF5" w:rsidR="00642FAA">
        <w:rPr>
          <w:i/>
          <w:color w:val="000000" w:themeColor="text1"/>
        </w:rPr>
        <w:t>.</w:t>
      </w:r>
      <w:r w:rsidRPr="00C65BF5" w:rsidR="007B61DF">
        <w:rPr>
          <w:i/>
          <w:color w:val="000000" w:themeColor="text1"/>
        </w:rPr>
        <w:t xml:space="preserve"> </w:t>
      </w:r>
    </w:p>
    <w:p w:rsidRPr="00113D8C" w:rsidR="00B67B52" w:rsidP="007B61DF" w:rsidRDefault="00BE3A01" w14:paraId="7E4CBA79" w14:textId="55AB4D8E">
      <w:pPr>
        <w:rPr>
          <w:iCs/>
          <w:color w:val="000000" w:themeColor="text1"/>
          <w:highlight w:val="yellow"/>
        </w:rPr>
      </w:pPr>
      <w:r w:rsidRPr="00113D8C">
        <w:rPr>
          <w:b/>
          <w:bCs/>
          <w:iCs/>
          <w:color w:val="000000" w:themeColor="text1"/>
          <w:highlight w:val="yellow"/>
        </w:rPr>
        <w:t>Users submitting a study catalog</w:t>
      </w:r>
      <w:r w:rsidRPr="00113D8C">
        <w:rPr>
          <w:iCs/>
          <w:color w:val="000000" w:themeColor="text1"/>
          <w:highlight w:val="yellow"/>
        </w:rPr>
        <w:t xml:space="preserve"> to NICHD DASH will be required to provide descriptive information about the study and where </w:t>
      </w:r>
      <w:r w:rsidRPr="00113D8C" w:rsidR="008246D0">
        <w:rPr>
          <w:iCs/>
          <w:color w:val="000000" w:themeColor="text1"/>
          <w:highlight w:val="yellow"/>
        </w:rPr>
        <w:t>the study</w:t>
      </w:r>
      <w:r w:rsidRPr="00113D8C">
        <w:rPr>
          <w:iCs/>
          <w:color w:val="000000" w:themeColor="text1"/>
          <w:highlight w:val="yellow"/>
        </w:rPr>
        <w:t xml:space="preserve"> is stored. </w:t>
      </w:r>
      <w:r w:rsidRPr="00113D8C" w:rsidR="00B67B52">
        <w:rPr>
          <w:iCs/>
          <w:color w:val="000000" w:themeColor="text1"/>
          <w:highlight w:val="yellow"/>
        </w:rPr>
        <w:t>Data and documentation associated with studies cataloged in DASH will not be</w:t>
      </w:r>
      <w:r w:rsidRPr="00113D8C" w:rsidR="008246D0">
        <w:rPr>
          <w:iCs/>
          <w:color w:val="000000" w:themeColor="text1"/>
          <w:highlight w:val="yellow"/>
        </w:rPr>
        <w:t xml:space="preserve"> submitted or be</w:t>
      </w:r>
      <w:r w:rsidRPr="00113D8C" w:rsidR="00B67B52">
        <w:rPr>
          <w:iCs/>
          <w:color w:val="000000" w:themeColor="text1"/>
          <w:highlight w:val="yellow"/>
        </w:rPr>
        <w:t xml:space="preserve"> available for request through DASH. Users </w:t>
      </w:r>
      <w:r w:rsidRPr="00113D8C" w:rsidR="00993CDA">
        <w:rPr>
          <w:iCs/>
          <w:color w:val="000000" w:themeColor="text1"/>
          <w:highlight w:val="yellow"/>
        </w:rPr>
        <w:t xml:space="preserve">must </w:t>
      </w:r>
      <w:r w:rsidRPr="00113D8C" w:rsidR="00B67B52">
        <w:rPr>
          <w:iCs/>
          <w:color w:val="000000" w:themeColor="text1"/>
          <w:highlight w:val="yellow"/>
        </w:rPr>
        <w:t>navigate to the external archive</w:t>
      </w:r>
      <w:r w:rsidRPr="00113D8C" w:rsidR="00993CDA">
        <w:rPr>
          <w:iCs/>
          <w:color w:val="000000" w:themeColor="text1"/>
          <w:highlight w:val="yellow"/>
        </w:rPr>
        <w:t xml:space="preserve"> to request and obtain these study related items</w:t>
      </w:r>
      <w:r w:rsidRPr="00113D8C" w:rsidR="00A2229D">
        <w:rPr>
          <w:iCs/>
          <w:color w:val="000000" w:themeColor="text1"/>
          <w:highlight w:val="yellow"/>
        </w:rPr>
        <w:t>,</w:t>
      </w:r>
      <w:r w:rsidRPr="00113D8C" w:rsidR="00993CDA">
        <w:rPr>
          <w:iCs/>
          <w:color w:val="000000" w:themeColor="text1"/>
          <w:highlight w:val="yellow"/>
        </w:rPr>
        <w:t xml:space="preserve"> </w:t>
      </w:r>
      <w:r w:rsidRPr="00113D8C" w:rsidR="00B67B52">
        <w:rPr>
          <w:iCs/>
          <w:color w:val="000000" w:themeColor="text1"/>
          <w:highlight w:val="yellow"/>
        </w:rPr>
        <w:t xml:space="preserve">using the study URL provided </w:t>
      </w:r>
      <w:r w:rsidRPr="00113D8C" w:rsidR="008246D0">
        <w:rPr>
          <w:iCs/>
          <w:color w:val="000000" w:themeColor="text1"/>
          <w:highlight w:val="yellow"/>
        </w:rPr>
        <w:t>by the submitter</w:t>
      </w:r>
      <w:r w:rsidRPr="00113D8C" w:rsidR="00993CDA">
        <w:rPr>
          <w:iCs/>
          <w:color w:val="000000" w:themeColor="text1"/>
          <w:highlight w:val="yellow"/>
        </w:rPr>
        <w:t xml:space="preserve"> in DASH</w:t>
      </w:r>
      <w:r w:rsidRPr="00113D8C" w:rsidR="00E4635B">
        <w:rPr>
          <w:iCs/>
          <w:color w:val="000000" w:themeColor="text1"/>
          <w:highlight w:val="yellow"/>
        </w:rPr>
        <w:t xml:space="preserve"> </w:t>
      </w:r>
      <w:r w:rsidRPr="00113D8C" w:rsidR="007177A4">
        <w:rPr>
          <w:i/>
          <w:color w:val="000000" w:themeColor="text1"/>
          <w:highlight w:val="yellow"/>
        </w:rPr>
        <w:t>(New information collection form; Attachment A.2-</w:t>
      </w:r>
      <w:r w:rsidRPr="00113D8C" w:rsidR="001A7FD0">
        <w:rPr>
          <w:i/>
          <w:color w:val="000000" w:themeColor="text1"/>
          <w:highlight w:val="yellow"/>
        </w:rPr>
        <w:t>8</w:t>
      </w:r>
      <w:r w:rsidRPr="00113D8C" w:rsidR="007177A4">
        <w:rPr>
          <w:i/>
          <w:color w:val="000000" w:themeColor="text1"/>
          <w:highlight w:val="yellow"/>
        </w:rPr>
        <w:t xml:space="preserve"> Study Catalog Submission)</w:t>
      </w:r>
      <w:r w:rsidRPr="00113D8C" w:rsidR="008246D0">
        <w:rPr>
          <w:iCs/>
          <w:color w:val="000000" w:themeColor="text1"/>
          <w:highlight w:val="yellow"/>
        </w:rPr>
        <w:t xml:space="preserve">. </w:t>
      </w:r>
    </w:p>
    <w:p w:rsidRPr="00113D8C" w:rsidR="001A2C2B" w:rsidP="007B61DF" w:rsidRDefault="001A2C2B" w14:paraId="27CB17CE" w14:textId="6A3559B9">
      <w:pPr>
        <w:rPr>
          <w:iCs/>
          <w:color w:val="000000" w:themeColor="text1"/>
        </w:rPr>
      </w:pPr>
      <w:r w:rsidRPr="00113D8C">
        <w:rPr>
          <w:b/>
          <w:bCs/>
          <w:iCs/>
          <w:color w:val="000000" w:themeColor="text1"/>
          <w:highlight w:val="yellow"/>
        </w:rPr>
        <w:t>Users submitting a data collection catalog</w:t>
      </w:r>
      <w:r w:rsidRPr="00113D8C">
        <w:rPr>
          <w:iCs/>
          <w:color w:val="000000" w:themeColor="text1"/>
          <w:highlight w:val="yellow"/>
        </w:rPr>
        <w:t xml:space="preserve"> to NICHD DASH will be required to provide descriptive information about the data collection and where it is stored. Data and documentation associated with data collections cataloged in DASH will not be submitted or available for request through DASH. Users must navigate </w:t>
      </w:r>
      <w:r w:rsidRPr="00113D8C" w:rsidR="000E0708">
        <w:rPr>
          <w:iCs/>
          <w:color w:val="000000" w:themeColor="text1"/>
          <w:highlight w:val="yellow"/>
        </w:rPr>
        <w:t xml:space="preserve">to the external archive to request and obtain these data collection related items, using the data </w:t>
      </w:r>
      <w:r w:rsidRPr="00113D8C" w:rsidR="000E0708">
        <w:rPr>
          <w:iCs/>
          <w:color w:val="000000" w:themeColor="text1"/>
          <w:highlight w:val="yellow"/>
        </w:rPr>
        <w:lastRenderedPageBreak/>
        <w:t xml:space="preserve">collection URL provided by the submitter in DASH </w:t>
      </w:r>
      <w:r w:rsidRPr="00113D8C" w:rsidR="000E0708">
        <w:rPr>
          <w:i/>
          <w:color w:val="000000" w:themeColor="text1"/>
          <w:highlight w:val="yellow"/>
        </w:rPr>
        <w:t>(New information collection form; Attachment A.2-9 Data Collection Catalog Submission)</w:t>
      </w:r>
      <w:r w:rsidRPr="00113D8C" w:rsidR="000E0708">
        <w:rPr>
          <w:iCs/>
          <w:color w:val="000000" w:themeColor="text1"/>
          <w:highlight w:val="yellow"/>
        </w:rPr>
        <w:t>.</w:t>
      </w:r>
    </w:p>
    <w:p w:rsidRPr="00C65BF5" w:rsidR="004A77B0" w:rsidP="007B61DF" w:rsidRDefault="004A77B0" w14:paraId="490B9BCC" w14:textId="15179673">
      <w:pPr>
        <w:rPr>
          <w:b/>
          <w:color w:val="000000" w:themeColor="text1"/>
        </w:rPr>
      </w:pPr>
      <w:r w:rsidRPr="00163529">
        <w:rPr>
          <w:b/>
        </w:rPr>
        <w:t xml:space="preserve">Users requesting </w:t>
      </w:r>
      <w:r>
        <w:rPr>
          <w:b/>
        </w:rPr>
        <w:t xml:space="preserve">de-identified </w:t>
      </w:r>
      <w:r w:rsidRPr="004162EC">
        <w:rPr>
          <w:b/>
        </w:rPr>
        <w:t>study</w:t>
      </w:r>
      <w:r>
        <w:rPr>
          <w:b/>
        </w:rPr>
        <w:t xml:space="preserve"> </w:t>
      </w:r>
      <w:r w:rsidRPr="00163529">
        <w:rPr>
          <w:b/>
        </w:rPr>
        <w:t>data</w:t>
      </w:r>
      <w:r w:rsidRPr="000C1415">
        <w:rPr>
          <w:b/>
        </w:rPr>
        <w:t xml:space="preserve"> </w:t>
      </w:r>
      <w:r w:rsidRPr="00862A18">
        <w:t xml:space="preserve">will be required to provide information about the </w:t>
      </w:r>
      <w:r w:rsidRPr="00B64C9C">
        <w:t>study</w:t>
      </w:r>
      <w:r w:rsidRPr="00862A18">
        <w:t xml:space="preserve"> </w:t>
      </w:r>
      <w:r w:rsidRPr="004162EC">
        <w:t xml:space="preserve">investigator and a brief description of the proposed research use of the study data requested from NICHD DASH. The investigator and the authorized institutional official will be required to sign a NICHD DASH Data Use Agreement stating that the recipient will use the study data only for the approved research; will not share study data with individuals’ other than the approved affiliates; will protect study data confidentiality, will not attempt to identify individual </w:t>
      </w:r>
      <w:r w:rsidRPr="00C65BF5">
        <w:t>participants from whom study data were obtained; and will follow appropriate study data security protections (</w:t>
      </w:r>
      <w:r w:rsidRPr="00C65BF5" w:rsidR="006162D6">
        <w:rPr>
          <w:i/>
          <w:color w:val="000000" w:themeColor="text1"/>
        </w:rPr>
        <w:t>Attachment A.2-</w:t>
      </w:r>
      <w:r w:rsidRPr="00C65BF5" w:rsidR="009500DA">
        <w:rPr>
          <w:i/>
          <w:color w:val="000000" w:themeColor="text1"/>
        </w:rPr>
        <w:t>4</w:t>
      </w:r>
      <w:r w:rsidRPr="00C65BF5" w:rsidR="006162D6">
        <w:rPr>
          <w:i/>
          <w:color w:val="000000" w:themeColor="text1"/>
        </w:rPr>
        <w:t xml:space="preserve"> Data Request</w:t>
      </w:r>
      <w:r w:rsidRPr="00C65BF5">
        <w:rPr>
          <w:i/>
          <w:color w:val="000000" w:themeColor="text1"/>
        </w:rPr>
        <w:t>)</w:t>
      </w:r>
      <w:r w:rsidRPr="00C65BF5">
        <w:rPr>
          <w:color w:val="000000" w:themeColor="text1"/>
        </w:rPr>
        <w:t xml:space="preserve">. The NICHD DASH DAC will review the study data requests to determine whether the proposed research use is scientifically and ethically appropriate and does not conflict with constraints or study data use limitations identified by the institutions that submitted the study data to NICHD DASH. </w:t>
      </w:r>
    </w:p>
    <w:p w:rsidRPr="002C7560" w:rsidR="004C5217" w:rsidP="004C5217" w:rsidRDefault="004C5217" w14:paraId="5D64C417" w14:textId="6353BD27">
      <w:pPr>
        <w:tabs>
          <w:tab w:val="left" w:pos="0"/>
        </w:tabs>
        <w:rPr>
          <w:color w:val="000000" w:themeColor="text1"/>
        </w:rPr>
      </w:pPr>
      <w:r w:rsidRPr="00C65BF5">
        <w:rPr>
          <w:b/>
          <w:color w:val="000000" w:themeColor="text1"/>
        </w:rPr>
        <w:t xml:space="preserve">Users requesting biospecimens </w:t>
      </w:r>
      <w:r w:rsidRPr="00C65BF5">
        <w:rPr>
          <w:color w:val="000000" w:themeColor="text1"/>
        </w:rPr>
        <w:t xml:space="preserve">through NICHD DASH from the NICHD Biorepository will be required to upload the Biospecimen Request Form and submit a Material Transfer Agreement. The Biospecimen Request Form must include a brief description of the proposed research use of the biospecimens, the funding source, and </w:t>
      </w:r>
      <w:r w:rsidRPr="00C65BF5" w:rsidR="00DB74F6">
        <w:rPr>
          <w:color w:val="000000" w:themeColor="text1"/>
        </w:rPr>
        <w:t xml:space="preserve">the </w:t>
      </w:r>
      <w:r w:rsidRPr="00C65BF5">
        <w:rPr>
          <w:color w:val="000000" w:themeColor="text1"/>
        </w:rPr>
        <w:t>optimal and minimal amount required for the biospecimen (</w:t>
      </w:r>
      <w:r w:rsidRPr="00C65BF5" w:rsidR="002863B9">
        <w:rPr>
          <w:i/>
          <w:color w:val="000000" w:themeColor="text1"/>
        </w:rPr>
        <w:t>Attachment A.2-</w:t>
      </w:r>
      <w:r w:rsidRPr="00C65BF5" w:rsidR="009500DA">
        <w:rPr>
          <w:i/>
          <w:color w:val="000000" w:themeColor="text1"/>
        </w:rPr>
        <w:t xml:space="preserve">5 </w:t>
      </w:r>
      <w:r w:rsidRPr="00C65BF5">
        <w:rPr>
          <w:i/>
          <w:color w:val="000000" w:themeColor="text1"/>
        </w:rPr>
        <w:t>Biospecimen Request</w:t>
      </w:r>
      <w:r w:rsidRPr="00C65BF5" w:rsidR="00842883">
        <w:rPr>
          <w:i/>
          <w:color w:val="000000" w:themeColor="text1"/>
        </w:rPr>
        <w:t xml:space="preserve"> Form</w:t>
      </w:r>
      <w:r w:rsidRPr="00C65BF5">
        <w:rPr>
          <w:i/>
          <w:color w:val="000000" w:themeColor="text1"/>
        </w:rPr>
        <w:t xml:space="preserve">). </w:t>
      </w:r>
      <w:r w:rsidRPr="00C65BF5">
        <w:rPr>
          <w:color w:val="000000" w:themeColor="text1"/>
        </w:rPr>
        <w:t>The investigator and designated institutional official will be required to sign a NICHD DASH Material Transfer Agreement stating that</w:t>
      </w:r>
      <w:r w:rsidRPr="002C7560">
        <w:rPr>
          <w:color w:val="000000" w:themeColor="text1"/>
        </w:rPr>
        <w:t xml:space="preserve"> the recipient will abide by appropriate laws, rules, and regulations associated with human subjects research and private information; will not share biospecimens with individuals other than the approved affiliates; will protect biospecimen confidentiality; will not attempt to identify participants from the biospecimens; will follow appropriate biospecimen security protections</w:t>
      </w:r>
      <w:r w:rsidRPr="002C7560" w:rsidR="00A5727F">
        <w:rPr>
          <w:color w:val="000000" w:themeColor="text1"/>
        </w:rPr>
        <w:t>; and will limit the use of biospecimens for the approved research plan only</w:t>
      </w:r>
      <w:r w:rsidRPr="002C7560">
        <w:rPr>
          <w:color w:val="000000" w:themeColor="text1"/>
        </w:rPr>
        <w:t xml:space="preserve">. </w:t>
      </w:r>
    </w:p>
    <w:p w:rsidRPr="004C5217" w:rsidR="004C5217" w:rsidP="0039417E" w:rsidRDefault="004C5217" w14:paraId="7DC37E2B" w14:textId="511BDA95">
      <w:r w:rsidRPr="002C7560">
        <w:t xml:space="preserve">The DASH BAC will </w:t>
      </w:r>
      <w:r w:rsidRPr="002C7560" w:rsidR="00D26228">
        <w:t>evaluate the scientific and ethical appropriateness of the request as well as ensure that the research plan does not conflict with the biospecimen use limitations provided by the submitter of the biospecimens.</w:t>
      </w:r>
      <w:r w:rsidRPr="00D56D32" w:rsidR="00D26228">
        <w:t xml:space="preserve">  </w:t>
      </w:r>
      <w:r w:rsidRPr="002C7560" w:rsidR="00D26228">
        <w:t>The DASH BAC will also</w:t>
      </w:r>
      <w:r w:rsidRPr="00D56D32" w:rsidR="00D26228">
        <w:t xml:space="preserve"> </w:t>
      </w:r>
      <w:r w:rsidRPr="002C7560">
        <w:t xml:space="preserve">ensure </w:t>
      </w:r>
      <w:r w:rsidRPr="002C7560" w:rsidR="00D26228">
        <w:t xml:space="preserve">that </w:t>
      </w:r>
      <w:r w:rsidRPr="002C7560">
        <w:t>the Users requesting biospecimen(s) through NICHD DASH from the NICHD Biorepository meet the appropriate security measures (e.g., physical security, information technology security, user training)</w:t>
      </w:r>
      <w:r w:rsidRPr="002C7560" w:rsidR="00A5727F">
        <w:t xml:space="preserve">. </w:t>
      </w:r>
    </w:p>
    <w:p w:rsidR="00D52F20" w:rsidP="00F73C10" w:rsidRDefault="00F73C10" w14:paraId="11FD9D07" w14:textId="0BA5B538">
      <w:r w:rsidRPr="002C7560">
        <w:rPr>
          <w:b/>
        </w:rPr>
        <w:t>U</w:t>
      </w:r>
      <w:r w:rsidRPr="002C7560" w:rsidR="00367819">
        <w:rPr>
          <w:b/>
        </w:rPr>
        <w:t xml:space="preserve">sers </w:t>
      </w:r>
      <w:r w:rsidRPr="002C7560" w:rsidR="004D4107">
        <w:rPr>
          <w:b/>
        </w:rPr>
        <w:t>of study data and/</w:t>
      </w:r>
      <w:r w:rsidRPr="002C7560">
        <w:rPr>
          <w:b/>
        </w:rPr>
        <w:t xml:space="preserve">or biospecimens </w:t>
      </w:r>
      <w:r w:rsidRPr="002C7560">
        <w:t xml:space="preserve">will be </w:t>
      </w:r>
      <w:r w:rsidRPr="00C65BF5">
        <w:t xml:space="preserve">asked to submit an </w:t>
      </w:r>
      <w:r w:rsidRPr="00C65BF5" w:rsidR="00E87D28">
        <w:t xml:space="preserve">Annual </w:t>
      </w:r>
      <w:r w:rsidRPr="00C65BF5" w:rsidR="009500DA">
        <w:t>P</w:t>
      </w:r>
      <w:r w:rsidRPr="00C65BF5" w:rsidR="00E87D28">
        <w:t xml:space="preserve">rogress Report </w:t>
      </w:r>
      <w:r w:rsidRPr="00C65BF5">
        <w:t xml:space="preserve">summarizing research accomplishments, patent </w:t>
      </w:r>
      <w:r w:rsidRPr="00C65BF5">
        <w:rPr>
          <w:color w:val="000000" w:themeColor="text1"/>
        </w:rPr>
        <w:t xml:space="preserve">applications (or approvals), and any updates to the list of </w:t>
      </w:r>
      <w:r w:rsidRPr="00C65BF5" w:rsidR="00DC051B">
        <w:rPr>
          <w:color w:val="000000" w:themeColor="text1"/>
        </w:rPr>
        <w:t>affiliates (</w:t>
      </w:r>
      <w:r w:rsidRPr="00C65BF5" w:rsidR="001B0CE6">
        <w:rPr>
          <w:i/>
          <w:color w:val="000000" w:themeColor="text1"/>
        </w:rPr>
        <w:t>Attachment A</w:t>
      </w:r>
      <w:r w:rsidRPr="00C65BF5" w:rsidR="002863B9">
        <w:rPr>
          <w:i/>
          <w:color w:val="000000" w:themeColor="text1"/>
        </w:rPr>
        <w:t>.2-</w:t>
      </w:r>
      <w:r w:rsidRPr="00C65BF5" w:rsidR="009500DA">
        <w:rPr>
          <w:i/>
          <w:color w:val="000000" w:themeColor="text1"/>
        </w:rPr>
        <w:t xml:space="preserve">6 </w:t>
      </w:r>
      <w:r w:rsidRPr="00C65BF5" w:rsidR="002F0ED4">
        <w:rPr>
          <w:i/>
          <w:color w:val="000000" w:themeColor="text1"/>
        </w:rPr>
        <w:t>Data Use Annual Progress Re</w:t>
      </w:r>
      <w:r w:rsidRPr="00C65BF5" w:rsidR="004604B1">
        <w:rPr>
          <w:i/>
          <w:color w:val="000000" w:themeColor="text1"/>
        </w:rPr>
        <w:t>port</w:t>
      </w:r>
      <w:r w:rsidRPr="00C65BF5" w:rsidR="00FB599F">
        <w:rPr>
          <w:i/>
          <w:color w:val="000000" w:themeColor="text1"/>
        </w:rPr>
        <w:t>;</w:t>
      </w:r>
      <w:r w:rsidRPr="00C65BF5" w:rsidR="004604B1">
        <w:rPr>
          <w:i/>
          <w:color w:val="000000" w:themeColor="text1"/>
        </w:rPr>
        <w:t xml:space="preserve"> </w:t>
      </w:r>
      <w:r w:rsidRPr="00C65BF5" w:rsidR="004A77B0">
        <w:rPr>
          <w:i/>
          <w:color w:val="000000" w:themeColor="text1"/>
        </w:rPr>
        <w:t>Attachment A</w:t>
      </w:r>
      <w:r w:rsidRPr="00C65BF5" w:rsidR="002863B9">
        <w:rPr>
          <w:i/>
          <w:color w:val="000000" w:themeColor="text1"/>
        </w:rPr>
        <w:t>.2-</w:t>
      </w:r>
      <w:r w:rsidRPr="00C65BF5" w:rsidR="009500DA">
        <w:rPr>
          <w:i/>
          <w:color w:val="000000" w:themeColor="text1"/>
        </w:rPr>
        <w:t xml:space="preserve">7 </w:t>
      </w:r>
      <w:r w:rsidRPr="00C65BF5" w:rsidR="002F0ED4">
        <w:rPr>
          <w:i/>
          <w:color w:val="000000" w:themeColor="text1"/>
        </w:rPr>
        <w:t>Biospecimen Use Annual Progress Report</w:t>
      </w:r>
      <w:r w:rsidRPr="00C65BF5" w:rsidR="00DC051B">
        <w:rPr>
          <w:i/>
          <w:color w:val="000000" w:themeColor="text1"/>
        </w:rPr>
        <w:t>)</w:t>
      </w:r>
      <w:r w:rsidRPr="00C65BF5">
        <w:rPr>
          <w:color w:val="000000" w:themeColor="text1"/>
        </w:rPr>
        <w:t xml:space="preserve">. </w:t>
      </w:r>
      <w:r w:rsidRPr="00C65BF5" w:rsidR="00A66654">
        <w:t xml:space="preserve">Annual reports are a standard reporting tool used by NIH with grants and contracts, and for use of NIH resources such as data and biospecimens.  This requirement will be specified in the material transfer agreement.  </w:t>
      </w:r>
      <w:r w:rsidRPr="00C65BF5" w:rsidR="007E1976">
        <w:rPr>
          <w:color w:val="000000" w:themeColor="text1"/>
        </w:rPr>
        <w:t xml:space="preserve"> </w:t>
      </w:r>
      <w:r w:rsidRPr="00C65BF5" w:rsidR="00E87D28">
        <w:rPr>
          <w:color w:val="000000" w:themeColor="text1"/>
        </w:rPr>
        <w:t xml:space="preserve">Many of the fields in </w:t>
      </w:r>
      <w:r w:rsidRPr="00C65BF5" w:rsidR="00E87D28">
        <w:t>the Annual Progress Report will be auto-populated</w:t>
      </w:r>
      <w:r w:rsidRPr="002C7560" w:rsidR="00E87D28">
        <w:t xml:space="preserve"> by the system.</w:t>
      </w:r>
    </w:p>
    <w:p w:rsidRPr="00D56D32" w:rsidR="009A49A3" w:rsidP="00F73C10" w:rsidRDefault="009A49A3" w14:paraId="497DC054" w14:textId="77777777">
      <w:bookmarkStart w:name="_Hlk497726618" w:id="20"/>
      <w:r w:rsidRPr="00F73C10">
        <w:t xml:space="preserve">The information collected is limited to the essential data required to ensure the management of Users in NICHD DASH is efficient and the sharing of data </w:t>
      </w:r>
      <w:r w:rsidRPr="002C7560">
        <w:t>and biospecimens</w:t>
      </w:r>
      <w:r w:rsidRPr="00D56D32">
        <w:t xml:space="preserve"> among investigators is effective. The primary uses of the information collected </w:t>
      </w:r>
      <w:r w:rsidRPr="00D56D32" w:rsidR="00D52F20">
        <w:t>from Users</w:t>
      </w:r>
      <w:r w:rsidRPr="00D56D32" w:rsidR="004D4107">
        <w:t xml:space="preserve"> </w:t>
      </w:r>
      <w:r w:rsidRPr="00D56D32">
        <w:t>by NICHD will be to:</w:t>
      </w:r>
      <w:bookmarkEnd w:id="20"/>
    </w:p>
    <w:p w:rsidRPr="00D56D32" w:rsidR="009A49A3" w:rsidP="009A49A3" w:rsidRDefault="009A49A3" w14:paraId="78483325" w14:textId="3D18B110">
      <w:pPr>
        <w:pStyle w:val="Caption"/>
        <w:numPr>
          <w:ilvl w:val="0"/>
          <w:numId w:val="21"/>
        </w:numPr>
        <w:spacing w:after="0"/>
        <w:rPr>
          <w:b w:val="0"/>
          <w:sz w:val="22"/>
          <w:szCs w:val="22"/>
        </w:rPr>
      </w:pPr>
      <w:bookmarkStart w:name="_Hlk497726634" w:id="21"/>
      <w:r w:rsidRPr="7ACF761B">
        <w:rPr>
          <w:b w:val="0"/>
          <w:sz w:val="22"/>
          <w:szCs w:val="22"/>
        </w:rPr>
        <w:lastRenderedPageBreak/>
        <w:t xml:space="preserve">Communicate with the Users </w:t>
      </w:r>
      <w:r w:rsidRPr="7ACF761B" w:rsidR="00F73C10">
        <w:rPr>
          <w:b w:val="0"/>
          <w:sz w:val="22"/>
          <w:szCs w:val="22"/>
        </w:rPr>
        <w:t>regarding</w:t>
      </w:r>
      <w:r w:rsidRPr="7ACF761B">
        <w:rPr>
          <w:b w:val="0"/>
          <w:sz w:val="22"/>
          <w:szCs w:val="22"/>
        </w:rPr>
        <w:t xml:space="preserve"> data submission, </w:t>
      </w:r>
      <w:r w:rsidRPr="00271ADC" w:rsidR="00AF1E53">
        <w:rPr>
          <w:b w:val="0"/>
          <w:color w:val="000000" w:themeColor="text1"/>
          <w:sz w:val="22"/>
          <w:szCs w:val="22"/>
          <w:highlight w:val="yellow"/>
        </w:rPr>
        <w:t>study catalog submission, data collection catalog submission,</w:t>
      </w:r>
      <w:r w:rsidRPr="00271ADC" w:rsidDel="00AF1E53" w:rsidR="00AF1E53">
        <w:rPr>
          <w:b w:val="0"/>
          <w:color w:val="000000" w:themeColor="text1"/>
          <w:sz w:val="22"/>
          <w:szCs w:val="22"/>
        </w:rPr>
        <w:t xml:space="preserve"> </w:t>
      </w:r>
      <w:r w:rsidRPr="7ACF761B">
        <w:rPr>
          <w:b w:val="0"/>
          <w:sz w:val="22"/>
          <w:szCs w:val="22"/>
        </w:rPr>
        <w:t>data requests</w:t>
      </w:r>
      <w:r w:rsidRPr="7ACF761B" w:rsidR="00EB16FC">
        <w:rPr>
          <w:b w:val="0"/>
          <w:sz w:val="22"/>
          <w:szCs w:val="22"/>
        </w:rPr>
        <w:t xml:space="preserve"> </w:t>
      </w:r>
      <w:r w:rsidRPr="7ACF761B" w:rsidR="00F73C10">
        <w:rPr>
          <w:b w:val="0"/>
          <w:sz w:val="22"/>
          <w:szCs w:val="22"/>
        </w:rPr>
        <w:t>and</w:t>
      </w:r>
      <w:r w:rsidRPr="7ACF761B">
        <w:rPr>
          <w:b w:val="0"/>
          <w:sz w:val="22"/>
          <w:szCs w:val="22"/>
        </w:rPr>
        <w:t xml:space="preserve"> biospecimen requests </w:t>
      </w:r>
    </w:p>
    <w:p w:rsidRPr="00D56D32" w:rsidR="009A49A3" w:rsidP="009A49A3" w:rsidRDefault="009A49A3" w14:paraId="04DEF7E6" w14:textId="0D3A328D">
      <w:pPr>
        <w:pStyle w:val="Caption"/>
        <w:numPr>
          <w:ilvl w:val="0"/>
          <w:numId w:val="21"/>
        </w:numPr>
        <w:spacing w:after="0"/>
        <w:rPr>
          <w:b w:val="0"/>
          <w:sz w:val="22"/>
        </w:rPr>
      </w:pPr>
      <w:r w:rsidRPr="00D56D32">
        <w:rPr>
          <w:b w:val="0"/>
          <w:sz w:val="22"/>
        </w:rPr>
        <w:t xml:space="preserve">Monitor data submissions, </w:t>
      </w:r>
      <w:r w:rsidRPr="00271ADC" w:rsidR="00AF1E53">
        <w:rPr>
          <w:b w:val="0"/>
          <w:color w:val="000000" w:themeColor="text1"/>
          <w:sz w:val="22"/>
          <w:highlight w:val="yellow"/>
        </w:rPr>
        <w:t>study catalog submission, data collection catalog submission,</w:t>
      </w:r>
      <w:r w:rsidRPr="00271ADC" w:rsidR="00AF1E53">
        <w:rPr>
          <w:b w:val="0"/>
          <w:color w:val="000000" w:themeColor="text1"/>
          <w:sz w:val="22"/>
        </w:rPr>
        <w:t xml:space="preserve"> </w:t>
      </w:r>
      <w:r w:rsidRPr="00D56D32">
        <w:rPr>
          <w:b w:val="0"/>
          <w:sz w:val="22"/>
        </w:rPr>
        <w:t xml:space="preserve">data requests </w:t>
      </w:r>
      <w:r w:rsidRPr="002C7560">
        <w:rPr>
          <w:b w:val="0"/>
          <w:sz w:val="22"/>
        </w:rPr>
        <w:t>and biospecimen requests</w:t>
      </w:r>
    </w:p>
    <w:p w:rsidRPr="00D56D32" w:rsidR="009A49A3" w:rsidP="009A49A3" w:rsidRDefault="009A49A3" w14:paraId="78D8E3EE" w14:textId="77777777">
      <w:pPr>
        <w:pStyle w:val="Caption"/>
        <w:numPr>
          <w:ilvl w:val="0"/>
          <w:numId w:val="21"/>
        </w:numPr>
        <w:spacing w:after="0"/>
        <w:rPr>
          <w:b w:val="0"/>
          <w:sz w:val="22"/>
        </w:rPr>
      </w:pPr>
      <w:r w:rsidRPr="00862A18">
        <w:rPr>
          <w:b w:val="0"/>
          <w:sz w:val="22"/>
        </w:rPr>
        <w:t xml:space="preserve">Notify interested </w:t>
      </w:r>
      <w:r w:rsidR="00F73C10">
        <w:rPr>
          <w:b w:val="0"/>
          <w:sz w:val="22"/>
        </w:rPr>
        <w:t xml:space="preserve">Users </w:t>
      </w:r>
      <w:r w:rsidRPr="00862A18">
        <w:rPr>
          <w:b w:val="0"/>
          <w:sz w:val="22"/>
        </w:rPr>
        <w:t xml:space="preserve">of updates to </w:t>
      </w:r>
      <w:r w:rsidRPr="00D56D32">
        <w:rPr>
          <w:b w:val="0"/>
          <w:sz w:val="22"/>
        </w:rPr>
        <w:t xml:space="preserve">data </w:t>
      </w:r>
      <w:r w:rsidRPr="002C7560">
        <w:rPr>
          <w:b w:val="0"/>
          <w:sz w:val="22"/>
        </w:rPr>
        <w:t>and biospecimen</w:t>
      </w:r>
      <w:r w:rsidRPr="002C7560" w:rsidR="00DC051B">
        <w:rPr>
          <w:b w:val="0"/>
          <w:sz w:val="22"/>
        </w:rPr>
        <w:t xml:space="preserve"> inventories</w:t>
      </w:r>
      <w:r w:rsidRPr="00D56D32" w:rsidR="00DC051B">
        <w:rPr>
          <w:b w:val="0"/>
          <w:sz w:val="22"/>
        </w:rPr>
        <w:t xml:space="preserve"> </w:t>
      </w:r>
      <w:r w:rsidRPr="00D56D32">
        <w:rPr>
          <w:b w:val="0"/>
          <w:sz w:val="22"/>
        </w:rPr>
        <w:t>stored in NICHD DASH</w:t>
      </w:r>
    </w:p>
    <w:p w:rsidRPr="00D56D32" w:rsidR="009A49A3" w:rsidP="009A49A3" w:rsidRDefault="009A49A3" w14:paraId="33AD1633" w14:textId="2D05CD7F">
      <w:pPr>
        <w:pStyle w:val="Caption"/>
        <w:numPr>
          <w:ilvl w:val="0"/>
          <w:numId w:val="21"/>
        </w:numPr>
        <w:rPr>
          <w:rFonts w:asciiTheme="minorHAnsi" w:hAnsiTheme="minorHAnsi"/>
          <w:b w:val="0"/>
          <w:sz w:val="22"/>
          <w:szCs w:val="22"/>
        </w:rPr>
      </w:pPr>
      <w:r w:rsidRPr="7ACF761B">
        <w:rPr>
          <w:b w:val="0"/>
          <w:sz w:val="22"/>
          <w:szCs w:val="22"/>
        </w:rPr>
        <w:t xml:space="preserve">Help NICHD understand the use of NICHD DASH </w:t>
      </w:r>
      <w:r w:rsidRPr="7ACF761B" w:rsidR="00EB16FC">
        <w:rPr>
          <w:b w:val="0"/>
          <w:sz w:val="22"/>
          <w:szCs w:val="22"/>
        </w:rPr>
        <w:t xml:space="preserve">study </w:t>
      </w:r>
      <w:r w:rsidRPr="7ACF761B">
        <w:rPr>
          <w:b w:val="0"/>
          <w:sz w:val="22"/>
          <w:szCs w:val="22"/>
        </w:rPr>
        <w:t>data</w:t>
      </w:r>
      <w:r w:rsidRPr="7ACF761B" w:rsidR="00DC051B">
        <w:rPr>
          <w:b w:val="0"/>
          <w:sz w:val="22"/>
          <w:szCs w:val="22"/>
        </w:rPr>
        <w:t xml:space="preserve"> and biospecimen inventories</w:t>
      </w:r>
      <w:r w:rsidRPr="7ACF761B">
        <w:rPr>
          <w:b w:val="0"/>
          <w:sz w:val="22"/>
          <w:szCs w:val="22"/>
        </w:rPr>
        <w:t xml:space="preserve"> by the research community</w:t>
      </w:r>
      <w:bookmarkEnd w:id="21"/>
    </w:p>
    <w:p w:rsidRPr="004A77B0" w:rsidR="009A49A3" w:rsidP="000C1415" w:rsidRDefault="004A77B0" w14:paraId="12397C5F" w14:textId="3B91B873">
      <w:pPr>
        <w:pStyle w:val="P1-StandPara"/>
        <w:spacing w:line="276" w:lineRule="auto"/>
        <w:ind w:firstLine="0"/>
        <w:rPr>
          <w:rFonts w:asciiTheme="minorHAnsi" w:hAnsiTheme="minorHAnsi"/>
        </w:rPr>
      </w:pPr>
      <w:r w:rsidRPr="002C7560">
        <w:rPr>
          <w:rFonts w:asciiTheme="minorHAnsi" w:hAnsiTheme="minorHAnsi"/>
          <w:color w:val="000000"/>
        </w:rPr>
        <w:t>All the data collected from use of NICHD DASH except for</w:t>
      </w:r>
      <w:r w:rsidRPr="002C7560" w:rsidR="00190BB3">
        <w:rPr>
          <w:rFonts w:asciiTheme="minorHAnsi" w:hAnsiTheme="minorHAnsi"/>
          <w:color w:val="000000"/>
        </w:rPr>
        <w:t xml:space="preserve"> certain </w:t>
      </w:r>
      <w:r w:rsidRPr="002C7560">
        <w:rPr>
          <w:rFonts w:asciiTheme="minorHAnsi" w:hAnsiTheme="minorHAnsi"/>
          <w:color w:val="000000"/>
        </w:rPr>
        <w:t xml:space="preserve">information provided in the </w:t>
      </w:r>
      <w:r w:rsidRPr="002C7560" w:rsidR="00341560">
        <w:rPr>
          <w:rFonts w:asciiTheme="minorHAnsi" w:hAnsiTheme="minorHAnsi"/>
          <w:color w:val="000000"/>
        </w:rPr>
        <w:t xml:space="preserve">Annual Progress Reports </w:t>
      </w:r>
      <w:r w:rsidRPr="002C7560" w:rsidR="003A45F1">
        <w:rPr>
          <w:rFonts w:asciiTheme="minorHAnsi" w:hAnsiTheme="minorHAnsi"/>
          <w:color w:val="000000"/>
        </w:rPr>
        <w:t xml:space="preserve">such as </w:t>
      </w:r>
      <w:r w:rsidRPr="002C7560" w:rsidR="00190BB3">
        <w:rPr>
          <w:rFonts w:asciiTheme="minorHAnsi" w:hAnsiTheme="minorHAnsi"/>
          <w:color w:val="000000"/>
        </w:rPr>
        <w:t xml:space="preserve">aggregate </w:t>
      </w:r>
      <w:r w:rsidRPr="002C7560" w:rsidR="003A45F1">
        <w:rPr>
          <w:rFonts w:asciiTheme="minorHAnsi" w:hAnsiTheme="minorHAnsi"/>
          <w:color w:val="000000"/>
        </w:rPr>
        <w:t xml:space="preserve">number of publications or </w:t>
      </w:r>
      <w:r w:rsidRPr="002C7560" w:rsidR="00190BB3">
        <w:rPr>
          <w:rFonts w:asciiTheme="minorHAnsi" w:hAnsiTheme="minorHAnsi"/>
          <w:color w:val="000000"/>
        </w:rPr>
        <w:t xml:space="preserve">any </w:t>
      </w:r>
      <w:r w:rsidRPr="002C7560" w:rsidR="003A45F1">
        <w:rPr>
          <w:rFonts w:asciiTheme="minorHAnsi" w:hAnsiTheme="minorHAnsi"/>
          <w:color w:val="000000"/>
        </w:rPr>
        <w:t xml:space="preserve">significant findings from data and biospecimen use, </w:t>
      </w:r>
      <w:r w:rsidRPr="002C7560">
        <w:rPr>
          <w:rFonts w:asciiTheme="minorHAnsi" w:hAnsiTheme="minorHAnsi"/>
          <w:color w:val="000000"/>
        </w:rPr>
        <w:t xml:space="preserve">are for the purposes of internal administrative management of NICHD DASH. </w:t>
      </w:r>
      <w:r w:rsidRPr="002C7560" w:rsidR="003A45F1">
        <w:rPr>
          <w:rFonts w:asciiTheme="minorHAnsi" w:hAnsiTheme="minorHAnsi"/>
          <w:color w:val="000000"/>
        </w:rPr>
        <w:t xml:space="preserve">The </w:t>
      </w:r>
      <w:r w:rsidRPr="002C7560" w:rsidR="00190BB3">
        <w:rPr>
          <w:rFonts w:asciiTheme="minorHAnsi" w:hAnsiTheme="minorHAnsi"/>
          <w:color w:val="000000"/>
        </w:rPr>
        <w:t xml:space="preserve">aggregate </w:t>
      </w:r>
      <w:r w:rsidRPr="002C7560" w:rsidR="003A45F1">
        <w:rPr>
          <w:rFonts w:asciiTheme="minorHAnsi" w:hAnsiTheme="minorHAnsi"/>
          <w:color w:val="000000"/>
        </w:rPr>
        <w:t xml:space="preserve">number of publications or significant findings from DASH data or biospecimen reuse </w:t>
      </w:r>
      <w:r w:rsidRPr="002C7560">
        <w:rPr>
          <w:rFonts w:asciiTheme="minorHAnsi" w:hAnsiTheme="minorHAnsi"/>
          <w:color w:val="000000"/>
        </w:rPr>
        <w:t xml:space="preserve">may be used in publications describing </w:t>
      </w:r>
      <w:r w:rsidRPr="002C7560" w:rsidR="00190BB3">
        <w:rPr>
          <w:rFonts w:asciiTheme="minorHAnsi" w:hAnsiTheme="minorHAnsi"/>
          <w:color w:val="000000"/>
        </w:rPr>
        <w:t>value</w:t>
      </w:r>
      <w:r w:rsidRPr="002C7560">
        <w:rPr>
          <w:rFonts w:asciiTheme="minorHAnsi" w:hAnsiTheme="minorHAnsi"/>
          <w:color w:val="000000"/>
        </w:rPr>
        <w:t xml:space="preserve"> of the DASH system</w:t>
      </w:r>
      <w:r w:rsidRPr="002C7560" w:rsidR="00190BB3">
        <w:rPr>
          <w:rFonts w:asciiTheme="minorHAnsi" w:hAnsiTheme="minorHAnsi"/>
          <w:color w:val="000000"/>
        </w:rPr>
        <w:t xml:space="preserve"> for the broader scientific community</w:t>
      </w:r>
      <w:r w:rsidRPr="002C7560">
        <w:rPr>
          <w:rFonts w:asciiTheme="minorHAnsi" w:hAnsiTheme="minorHAnsi"/>
          <w:color w:val="000000"/>
        </w:rPr>
        <w:t>.</w:t>
      </w:r>
      <w:r w:rsidRPr="0097787B">
        <w:rPr>
          <w:rFonts w:asciiTheme="minorHAnsi" w:hAnsiTheme="minorHAnsi"/>
          <w:color w:val="000000"/>
        </w:rPr>
        <w:t xml:space="preserve"> </w:t>
      </w:r>
      <w:r w:rsidRPr="0097787B" w:rsidR="009A49A3">
        <w:rPr>
          <w:rFonts w:asciiTheme="minorHAnsi" w:hAnsiTheme="minorHAnsi"/>
        </w:rPr>
        <w:t xml:space="preserve"> </w:t>
      </w:r>
    </w:p>
    <w:p w:rsidRPr="00082051" w:rsidR="00A00CF8" w:rsidP="004C5217" w:rsidRDefault="00A00CF8" w14:paraId="4264F3D2" w14:textId="77777777">
      <w:pPr>
        <w:pStyle w:val="Heading2"/>
      </w:pPr>
      <w:bookmarkStart w:name="_Toc442286332" w:id="22"/>
      <w:bookmarkStart w:name="_Toc508106938" w:id="23"/>
      <w:r w:rsidRPr="00082051">
        <w:t>A.3</w:t>
      </w:r>
      <w:r w:rsidR="00825984">
        <w:tab/>
      </w:r>
      <w:r w:rsidRPr="00082051">
        <w:t>Use of Information Technology and Burden Reduction</w:t>
      </w:r>
      <w:bookmarkEnd w:id="22"/>
      <w:bookmarkEnd w:id="23"/>
    </w:p>
    <w:p w:rsidR="00417BD6" w:rsidP="00AE7879" w:rsidRDefault="00D41B9F" w14:paraId="35EA98AE" w14:textId="2B52AB78">
      <w:pPr>
        <w:ind w:left="45"/>
      </w:pPr>
      <w:bookmarkStart w:name="_Toc443881745" w:id="24"/>
      <w:bookmarkStart w:name="_Toc451592234" w:id="25"/>
      <w:bookmarkStart w:name="_Toc5610275" w:id="26"/>
      <w:bookmarkStart w:name="_Toc99178781" w:id="27"/>
      <w:r>
        <w:t xml:space="preserve">User information collected in </w:t>
      </w:r>
      <w:r w:rsidRPr="00AE7879" w:rsidR="00AE7879">
        <w:t>NIC</w:t>
      </w:r>
      <w:r w:rsidR="004C3851">
        <w:t>HD DASH will</w:t>
      </w:r>
      <w:r>
        <w:t xml:space="preserve"> be through the </w:t>
      </w:r>
      <w:r w:rsidRPr="00AE7879" w:rsidR="00AE7879">
        <w:t xml:space="preserve">web-based portal that enables Users to </w:t>
      </w:r>
      <w:r w:rsidR="004C3851">
        <w:t xml:space="preserve">electronically register for an account, </w:t>
      </w:r>
      <w:r w:rsidRPr="00AE7879" w:rsidR="00AE7879">
        <w:t xml:space="preserve">request data </w:t>
      </w:r>
      <w:r w:rsidRPr="00D56D32" w:rsidR="00AE7879">
        <w:t>access</w:t>
      </w:r>
      <w:r w:rsidRPr="00D56D32" w:rsidR="004C3851">
        <w:t>,</w:t>
      </w:r>
      <w:r w:rsidRPr="00D56D32" w:rsidR="00EF18A7">
        <w:t xml:space="preserve"> </w:t>
      </w:r>
      <w:r w:rsidRPr="002C7560" w:rsidR="00EF18A7">
        <w:t xml:space="preserve">request </w:t>
      </w:r>
      <w:r w:rsidRPr="002C7560" w:rsidR="00660117">
        <w:t>biospecimens</w:t>
      </w:r>
      <w:r w:rsidRPr="00D56D32" w:rsidR="00EF18A7">
        <w:t>,</w:t>
      </w:r>
      <w:r w:rsidRPr="00D56D32" w:rsidR="004C3851">
        <w:t xml:space="preserve"> submit data</w:t>
      </w:r>
      <w:r w:rsidRPr="002C7560" w:rsidR="004D4107">
        <w:t xml:space="preserve">, submit biospecimen </w:t>
      </w:r>
      <w:r w:rsidRPr="00271ADC" w:rsidR="004D4107">
        <w:rPr>
          <w:color w:val="000000" w:themeColor="text1"/>
        </w:rPr>
        <w:t>inventories</w:t>
      </w:r>
      <w:r w:rsidRPr="00271ADC" w:rsidR="001C4928">
        <w:rPr>
          <w:color w:val="000000" w:themeColor="text1"/>
          <w:highlight w:val="yellow"/>
        </w:rPr>
        <w:t xml:space="preserve">, catalog information associated with </w:t>
      </w:r>
      <w:r w:rsidRPr="00271ADC" w:rsidR="007177A4">
        <w:rPr>
          <w:color w:val="000000" w:themeColor="text1"/>
          <w:highlight w:val="yellow"/>
        </w:rPr>
        <w:t xml:space="preserve">studies </w:t>
      </w:r>
      <w:r w:rsidRPr="00271ADC" w:rsidR="001C4928">
        <w:rPr>
          <w:color w:val="000000" w:themeColor="text1"/>
          <w:highlight w:val="yellow"/>
        </w:rPr>
        <w:t xml:space="preserve">stored </w:t>
      </w:r>
      <w:r w:rsidRPr="00271ADC" w:rsidR="007177A4">
        <w:rPr>
          <w:color w:val="000000" w:themeColor="text1"/>
          <w:highlight w:val="yellow"/>
        </w:rPr>
        <w:t>in an external public data archive</w:t>
      </w:r>
      <w:r w:rsidRPr="00271ADC" w:rsidR="00476E9F">
        <w:rPr>
          <w:color w:val="000000" w:themeColor="text1"/>
          <w:highlight w:val="yellow"/>
        </w:rPr>
        <w:t>, and catalog information associated with</w:t>
      </w:r>
      <w:r w:rsidRPr="00271ADC" w:rsidR="00BB187C">
        <w:rPr>
          <w:color w:val="000000" w:themeColor="text1"/>
          <w:highlight w:val="yellow"/>
        </w:rPr>
        <w:t xml:space="preserve"> data</w:t>
      </w:r>
      <w:r w:rsidRPr="00271ADC" w:rsidR="00476E9F">
        <w:rPr>
          <w:color w:val="000000" w:themeColor="text1"/>
          <w:highlight w:val="yellow"/>
        </w:rPr>
        <w:t xml:space="preserve"> collections</w:t>
      </w:r>
      <w:r w:rsidRPr="00271ADC" w:rsidR="00592E2D">
        <w:rPr>
          <w:color w:val="000000" w:themeColor="text1"/>
          <w:highlight w:val="yellow"/>
        </w:rPr>
        <w:t xml:space="preserve"> stor</w:t>
      </w:r>
      <w:r w:rsidRPr="00271ADC" w:rsidR="009A2096">
        <w:rPr>
          <w:color w:val="000000" w:themeColor="text1"/>
          <w:highlight w:val="yellow"/>
        </w:rPr>
        <w:t>ed external to DASH</w:t>
      </w:r>
      <w:r w:rsidRPr="00271ADC" w:rsidR="00AE7879">
        <w:rPr>
          <w:color w:val="000000" w:themeColor="text1"/>
          <w:highlight w:val="yellow"/>
        </w:rPr>
        <w:t>.</w:t>
      </w:r>
      <w:r w:rsidRPr="00271ADC" w:rsidR="00AE7879">
        <w:rPr>
          <w:color w:val="000000" w:themeColor="text1"/>
        </w:rPr>
        <w:t xml:space="preserve"> </w:t>
      </w:r>
      <w:r w:rsidRPr="00271ADC" w:rsidR="009C79AD">
        <w:rPr>
          <w:color w:val="000000" w:themeColor="text1"/>
        </w:rPr>
        <w:t xml:space="preserve">User accounts will be automatically </w:t>
      </w:r>
      <w:r w:rsidRPr="00271ADC" w:rsidR="00E31200">
        <w:rPr>
          <w:color w:val="000000" w:themeColor="text1"/>
        </w:rPr>
        <w:t>generated.</w:t>
      </w:r>
      <w:r w:rsidRPr="00271ADC" w:rsidR="00417BD6">
        <w:rPr>
          <w:color w:val="000000" w:themeColor="text1"/>
        </w:rPr>
        <w:t xml:space="preserve"> If the User who registers in the system is </w:t>
      </w:r>
      <w:r w:rsidRPr="00271ADC" w:rsidR="00DC051B">
        <w:rPr>
          <w:color w:val="000000" w:themeColor="text1"/>
        </w:rPr>
        <w:t xml:space="preserve">the </w:t>
      </w:r>
      <w:r w:rsidRPr="00271ADC" w:rsidR="00417BD6">
        <w:rPr>
          <w:color w:val="000000" w:themeColor="text1"/>
        </w:rPr>
        <w:t xml:space="preserve">same as the Submitter </w:t>
      </w:r>
      <w:r w:rsidR="00417BD6">
        <w:t xml:space="preserve">or </w:t>
      </w:r>
      <w:r w:rsidRPr="002C7560" w:rsidR="00417BD6">
        <w:rPr>
          <w:color w:val="000000" w:themeColor="text1"/>
        </w:rPr>
        <w:t xml:space="preserve">Requestor, </w:t>
      </w:r>
      <w:r w:rsidR="00417BD6">
        <w:t>the system will auto-populate the User information fields from the registration page minimizing the burden on t</w:t>
      </w:r>
      <w:r w:rsidRPr="00D56D32" w:rsidR="00417BD6">
        <w:t xml:space="preserve">he User. Similarly, any study information field that recurs in the system will be auto-populated from prior entry. </w:t>
      </w:r>
      <w:r w:rsidRPr="002C7560" w:rsidR="002E63F4">
        <w:t xml:space="preserve">For the annual progress reports, </w:t>
      </w:r>
      <w:r w:rsidRPr="002C7560" w:rsidR="00A068DF">
        <w:t>t</w:t>
      </w:r>
      <w:r w:rsidRPr="002C7560" w:rsidR="00D571C2">
        <w:t xml:space="preserve">he system will auto-populate the </w:t>
      </w:r>
      <w:r w:rsidR="008570AD">
        <w:t xml:space="preserve">fields for their </w:t>
      </w:r>
      <w:r w:rsidRPr="002C7560" w:rsidR="00D571C2">
        <w:t>research plan, affiliates, collaborators and associates from the data or specimen request to minimize the burden on the User</w:t>
      </w:r>
      <w:r w:rsidRPr="00D56D32" w:rsidR="00D571C2">
        <w:t>. NICHD</w:t>
      </w:r>
      <w:r w:rsidR="00D571C2">
        <w:t xml:space="preserve"> DASH is designed such that Users will not be asked to enter information more than once in the system.</w:t>
      </w:r>
    </w:p>
    <w:p w:rsidR="00F74737" w:rsidP="00F74737" w:rsidRDefault="00417BD6" w14:paraId="03F01971" w14:textId="77777777">
      <w:r>
        <w:t xml:space="preserve">A </w:t>
      </w:r>
      <w:r w:rsidRPr="00417BD6">
        <w:t>Privacy Impact Assessment</w:t>
      </w:r>
      <w:r>
        <w:t xml:space="preserve"> (PIA) has been completed for NICHD DASH by the</w:t>
      </w:r>
      <w:r w:rsidR="002A3AFC">
        <w:t xml:space="preserve"> NICHD Privacy Office</w:t>
      </w:r>
      <w:r>
        <w:t xml:space="preserve">. </w:t>
      </w:r>
      <w:r w:rsidR="00F74737">
        <w:t xml:space="preserve">NICHD DASH </w:t>
      </w:r>
      <w:r w:rsidRPr="00AE7879" w:rsidR="00F74737">
        <w:t>will operate in accordance with existing NIH policies and the Federal Privacy Act t</w:t>
      </w:r>
      <w:r w:rsidR="00F74737">
        <w:t>o e</w:t>
      </w:r>
      <w:r w:rsidRPr="00AE7879" w:rsidR="00F74737">
        <w:t>nsure that no sensitive or personally identifiable information, located in federal systems of records</w:t>
      </w:r>
      <w:r w:rsidR="00F74737">
        <w:t xml:space="preserve"> is being shared in violation of these policies. </w:t>
      </w:r>
    </w:p>
    <w:p w:rsidRPr="008942E9" w:rsidR="00685B30" w:rsidP="004C5217" w:rsidRDefault="00685B30" w14:paraId="2D0CA971" w14:textId="77777777">
      <w:pPr>
        <w:pStyle w:val="Heading2"/>
      </w:pPr>
      <w:bookmarkStart w:name="_Toc442286333" w:id="28"/>
      <w:bookmarkStart w:name="_Toc508106939" w:id="29"/>
      <w:r w:rsidRPr="008942E9">
        <w:t>A.4</w:t>
      </w:r>
      <w:r w:rsidRPr="008942E9">
        <w:tab/>
        <w:t xml:space="preserve">Efforts to </w:t>
      </w:r>
      <w:r w:rsidRPr="00082051">
        <w:t>Identify</w:t>
      </w:r>
      <w:r w:rsidRPr="008942E9">
        <w:t xml:space="preserve"> Duplication and Use of Similar Information</w:t>
      </w:r>
      <w:bookmarkEnd w:id="24"/>
      <w:bookmarkEnd w:id="25"/>
      <w:bookmarkEnd w:id="26"/>
      <w:bookmarkEnd w:id="27"/>
      <w:bookmarkEnd w:id="28"/>
      <w:bookmarkEnd w:id="29"/>
    </w:p>
    <w:p w:rsidR="00AE7879" w:rsidP="00AE7879" w:rsidRDefault="00C80EC5" w14:paraId="59CD2007" w14:textId="0E588A66">
      <w:bookmarkStart w:name="_Toc443881746" w:id="30"/>
      <w:bookmarkStart w:name="_Toc451592235" w:id="31"/>
      <w:bookmarkStart w:name="_Toc5610276" w:id="32"/>
      <w:bookmarkStart w:name="_Toc99178782" w:id="33"/>
      <w:r>
        <w:t>NICHD DASH is primarily a resource for the biomedical research community that includes both NICHD funded and non-funded investigators. Information collected from these Users is not available in any other systems or federal records; hence this data collection is unique.</w:t>
      </w:r>
      <w:r w:rsidR="00234057">
        <w:t xml:space="preserve">  </w:t>
      </w:r>
    </w:p>
    <w:p w:rsidRPr="00113D8C" w:rsidR="004649F9" w:rsidP="004649F9" w:rsidRDefault="004649F9" w14:paraId="42829277" w14:textId="77777777">
      <w:pPr>
        <w:rPr>
          <w:color w:val="000000" w:themeColor="text1"/>
          <w:highlight w:val="yellow"/>
        </w:rPr>
      </w:pPr>
      <w:r w:rsidRPr="00113D8C">
        <w:rPr>
          <w:color w:val="000000" w:themeColor="text1"/>
          <w:highlight w:val="yellow"/>
        </w:rPr>
        <w:t xml:space="preserve">NICHD also supports other public archives, data collections, and resources, such as Data Sharing for Demographic Research (DSDR), NICHD/DIPHR Biospecimen Repository Access and Data Sharing (BRADS), the Down Syndrome Registry (DS-Connect), Zebrafish Information Network (ZFIN), etc. In addition to these NICHD-funded public archives, many collaborative studies funded through NICHD are dispersed across </w:t>
      </w:r>
      <w:r w:rsidRPr="00113D8C">
        <w:rPr>
          <w:color w:val="000000" w:themeColor="text1"/>
          <w:highlight w:val="yellow"/>
        </w:rPr>
        <w:lastRenderedPageBreak/>
        <w:t xml:space="preserve">other National Institutes of Health (NIH) designated archives, including the National Heart, Lung, and Blood Institute (NHLBI) Biologic Specimen and Data Repository Information Coordinating Center (BioLINCC), and other NIH-wide repositories, such as the Database of Genotypes and Phenotypes (dbGaP). </w:t>
      </w:r>
      <w:r w:rsidRPr="00113D8C">
        <w:rPr>
          <w:color w:val="000000" w:themeColor="text1"/>
          <w:highlight w:val="yellow"/>
        </w:rPr>
        <w:tab/>
      </w:r>
    </w:p>
    <w:p w:rsidRPr="004649F9" w:rsidR="004649F9" w:rsidP="00AE7879" w:rsidRDefault="004649F9" w14:paraId="75C21EE7" w14:textId="35FD4A16">
      <w:pPr>
        <w:rPr>
          <w:color w:val="000000" w:themeColor="text1"/>
        </w:rPr>
      </w:pPr>
      <w:r w:rsidRPr="00113D8C">
        <w:rPr>
          <w:color w:val="000000" w:themeColor="text1"/>
          <w:highlight w:val="yellow"/>
        </w:rPr>
        <w:t>In an effort to link these data resources and increase the visibility of NICHD-funded studies and data collections, DASH will enable Users to catalog studies and data collections stored in other external archives to facilitate their discovery through DASH. Users submitting studies or data collections for cataloging in DASH will provide descriptive information about the study required to populate the Study Overview Page in DASH. This cataloging process closely mirrors the existing study data submission process in DASH; however, no study documentation or data will be uploaded to DASH. Requesters will be directed to the external archive via a URL link to obtain access to the data stored in the external archives and resources.</w:t>
      </w:r>
      <w:r w:rsidRPr="00113D8C">
        <w:rPr>
          <w:color w:val="000000" w:themeColor="text1"/>
        </w:rPr>
        <w:t xml:space="preserve"> </w:t>
      </w:r>
    </w:p>
    <w:p w:rsidRPr="00082051" w:rsidR="00685B30" w:rsidP="004C5217" w:rsidRDefault="00685B30" w14:paraId="2D528D6D" w14:textId="77777777">
      <w:pPr>
        <w:pStyle w:val="Heading2"/>
      </w:pPr>
      <w:bookmarkStart w:name="_Toc442286334" w:id="34"/>
      <w:bookmarkStart w:name="_Toc508106940" w:id="35"/>
      <w:r w:rsidRPr="00082051">
        <w:t>A.5</w:t>
      </w:r>
      <w:r w:rsidRPr="00082051">
        <w:tab/>
        <w:t>Impact on Small Businesses or Other Small Entities</w:t>
      </w:r>
      <w:bookmarkEnd w:id="30"/>
      <w:bookmarkEnd w:id="31"/>
      <w:bookmarkEnd w:id="32"/>
      <w:bookmarkEnd w:id="33"/>
      <w:bookmarkEnd w:id="34"/>
      <w:bookmarkEnd w:id="35"/>
    </w:p>
    <w:p w:rsidRPr="00953199" w:rsidR="004231A6" w:rsidP="004231A6" w:rsidRDefault="004231A6" w14:paraId="5308631E" w14:textId="77777777">
      <w:bookmarkStart w:name="_Toc443881747" w:id="36"/>
      <w:bookmarkStart w:name="_Toc451592236" w:id="37"/>
      <w:bookmarkStart w:name="_Toc5610277" w:id="38"/>
      <w:bookmarkStart w:name="_Toc99178783" w:id="39"/>
      <w:r w:rsidRPr="00953199">
        <w:t>No small businesses will be involved in this study.</w:t>
      </w:r>
    </w:p>
    <w:p w:rsidRPr="00082051" w:rsidR="00685B30" w:rsidP="004C5217" w:rsidRDefault="00685B30" w14:paraId="03CF4B8C" w14:textId="77777777">
      <w:pPr>
        <w:pStyle w:val="Heading2"/>
      </w:pPr>
      <w:bookmarkStart w:name="_Toc442286335" w:id="40"/>
      <w:bookmarkStart w:name="_Toc508106941" w:id="41"/>
      <w:r w:rsidRPr="00082051">
        <w:t>A.6</w:t>
      </w:r>
      <w:r w:rsidRPr="00082051">
        <w:tab/>
        <w:t>Consequences of Collecting the Information Less Frequently</w:t>
      </w:r>
      <w:bookmarkEnd w:id="36"/>
      <w:bookmarkEnd w:id="37"/>
      <w:bookmarkEnd w:id="38"/>
      <w:bookmarkEnd w:id="39"/>
      <w:bookmarkEnd w:id="40"/>
      <w:bookmarkEnd w:id="41"/>
    </w:p>
    <w:p w:rsidR="00617864" w:rsidP="00663B49" w:rsidRDefault="004B4683" w14:paraId="4291DE93" w14:textId="04F4BA85">
      <w:r>
        <w:t>Information</w:t>
      </w:r>
      <w:r w:rsidR="00663B49">
        <w:t xml:space="preserve"> will be </w:t>
      </w:r>
      <w:r w:rsidRPr="00D56D32" w:rsidR="00663B49">
        <w:t>collected</w:t>
      </w:r>
      <w:r w:rsidRPr="00D56D32" w:rsidR="002F7A78">
        <w:t xml:space="preserve"> only once from</w:t>
      </w:r>
      <w:r w:rsidRPr="00D56D32" w:rsidR="00663B49">
        <w:t xml:space="preserve"> each</w:t>
      </w:r>
      <w:r w:rsidRPr="00D56D32" w:rsidR="00A85FC8">
        <w:t xml:space="preserve"> </w:t>
      </w:r>
      <w:r w:rsidRPr="00D56D32" w:rsidR="00CB4500">
        <w:t>User</w:t>
      </w:r>
      <w:r w:rsidRPr="00D56D32" w:rsidR="00617864">
        <w:t xml:space="preserve"> for each study</w:t>
      </w:r>
      <w:r w:rsidRPr="00D56D32" w:rsidR="00DC051B">
        <w:t xml:space="preserve"> data</w:t>
      </w:r>
      <w:r w:rsidRPr="00D56D32" w:rsidR="001C4928">
        <w:t>,</w:t>
      </w:r>
      <w:r w:rsidRPr="00D56D32" w:rsidR="001C4928">
        <w:rPr>
          <w:color w:val="C00000"/>
        </w:rPr>
        <w:t xml:space="preserve"> </w:t>
      </w:r>
      <w:r w:rsidRPr="00271ADC" w:rsidR="001C4928">
        <w:rPr>
          <w:color w:val="000000" w:themeColor="text1"/>
          <w:highlight w:val="yellow"/>
        </w:rPr>
        <w:t>study catalog,</w:t>
      </w:r>
      <w:r w:rsidRPr="00271ADC" w:rsidR="00617864">
        <w:rPr>
          <w:color w:val="000000" w:themeColor="text1"/>
          <w:highlight w:val="yellow"/>
        </w:rPr>
        <w:t xml:space="preserve"> </w:t>
      </w:r>
      <w:r w:rsidRPr="00271ADC" w:rsidR="5F9AE10F">
        <w:rPr>
          <w:color w:val="000000" w:themeColor="text1"/>
          <w:highlight w:val="yellow"/>
        </w:rPr>
        <w:t>data collection catalog,</w:t>
      </w:r>
      <w:r w:rsidRPr="00271ADC" w:rsidR="00617864">
        <w:rPr>
          <w:color w:val="000000" w:themeColor="text1"/>
        </w:rPr>
        <w:t xml:space="preserve"> </w:t>
      </w:r>
      <w:r w:rsidRPr="008570AD" w:rsidR="004D4107">
        <w:t xml:space="preserve">and biospecimen inventory </w:t>
      </w:r>
      <w:r w:rsidRPr="008570AD" w:rsidR="00617864">
        <w:t>submission</w:t>
      </w:r>
      <w:r w:rsidRPr="00D56D32" w:rsidR="00820245">
        <w:t>,</w:t>
      </w:r>
      <w:r w:rsidRPr="00D56D32" w:rsidR="004D4107">
        <w:t xml:space="preserve"> and </w:t>
      </w:r>
      <w:r w:rsidRPr="00D56D32" w:rsidR="00DC051B">
        <w:t xml:space="preserve">study </w:t>
      </w:r>
      <w:r w:rsidRPr="00D56D32" w:rsidR="00820245">
        <w:t xml:space="preserve">data </w:t>
      </w:r>
      <w:r w:rsidRPr="00D56D32" w:rsidR="004D4107">
        <w:t>or</w:t>
      </w:r>
      <w:r w:rsidRPr="00D56D32" w:rsidR="00820245">
        <w:t xml:space="preserve"> </w:t>
      </w:r>
      <w:r w:rsidRPr="00D56D32" w:rsidR="00660117">
        <w:t>biospecimen</w:t>
      </w:r>
      <w:r w:rsidRPr="00D56D32" w:rsidR="00820245">
        <w:t xml:space="preserve"> request</w:t>
      </w:r>
      <w:r w:rsidRPr="00D56D32" w:rsidR="00663B49">
        <w:t>.</w:t>
      </w:r>
      <w:r w:rsidRPr="00D56D32" w:rsidR="00617864">
        <w:t xml:space="preserve"> Once entered into NICHD DASH, the system will store the data and </w:t>
      </w:r>
      <w:r w:rsidRPr="00D56D32" w:rsidR="00A15D80">
        <w:t xml:space="preserve">auto-populate </w:t>
      </w:r>
      <w:r w:rsidRPr="00D56D32" w:rsidR="00617864">
        <w:t>when</w:t>
      </w:r>
      <w:r w:rsidR="00CE28B4">
        <w:t xml:space="preserve"> </w:t>
      </w:r>
      <w:r w:rsidR="00617864">
        <w:t xml:space="preserve">the User performs other functions related to the specific study.   </w:t>
      </w:r>
    </w:p>
    <w:p w:rsidRPr="00FF6388" w:rsidR="00663B49" w:rsidP="00663B49" w:rsidRDefault="00663B49" w14:paraId="71148763" w14:textId="2F665F1C">
      <w:pPr>
        <w:rPr>
          <w:color w:val="000000" w:themeColor="text1"/>
        </w:rPr>
      </w:pPr>
      <w:r w:rsidRPr="005A0690">
        <w:t>T</w:t>
      </w:r>
      <w:r>
        <w:t xml:space="preserve">he information requested in NICHD DASH </w:t>
      </w:r>
      <w:r w:rsidR="004B4683">
        <w:t xml:space="preserve">electronic </w:t>
      </w:r>
      <w:r>
        <w:t>forms do</w:t>
      </w:r>
      <w:r w:rsidR="004D4107">
        <w:t>es</w:t>
      </w:r>
      <w:r>
        <w:t xml:space="preserve"> not ask Users</w:t>
      </w:r>
      <w:r w:rsidRPr="005A0690">
        <w:t xml:space="preserve"> to generate any </w:t>
      </w:r>
      <w:r w:rsidR="00CE28B4">
        <w:t xml:space="preserve">new </w:t>
      </w:r>
      <w:r w:rsidRPr="005A0690" w:rsidR="00591523">
        <w:t>information</w:t>
      </w:r>
      <w:r w:rsidR="002F7A78">
        <w:t xml:space="preserve"> other than what they already have available and is </w:t>
      </w:r>
      <w:r w:rsidRPr="005A0690">
        <w:t>fundamental to conducting any research study.</w:t>
      </w:r>
      <w:r w:rsidR="004B4683">
        <w:t xml:space="preserve"> Th</w:t>
      </w:r>
      <w:r w:rsidR="002F7A78">
        <w:t xml:space="preserve">e </w:t>
      </w:r>
      <w:r w:rsidR="004B4683">
        <w:t>information is gathered following a User initiated</w:t>
      </w:r>
      <w:r w:rsidR="00CF661F">
        <w:t>-</w:t>
      </w:r>
      <w:r w:rsidR="004B4683">
        <w:t>request and</w:t>
      </w:r>
      <w:r>
        <w:t xml:space="preserve"> </w:t>
      </w:r>
      <w:r w:rsidR="004B4683">
        <w:t>is</w:t>
      </w:r>
      <w:r>
        <w:t xml:space="preserve"> collected on </w:t>
      </w:r>
      <w:r w:rsidR="00CE28B4">
        <w:t>a</w:t>
      </w:r>
      <w:r>
        <w:t xml:space="preserve"> needed basis. </w:t>
      </w:r>
      <w:r w:rsidR="002B34F4">
        <w:t xml:space="preserve"> </w:t>
      </w:r>
      <w:r w:rsidRPr="00A42BDD" w:rsidR="009500DA">
        <w:rPr>
          <w:color w:val="538135" w:themeColor="accent6" w:themeShade="BF"/>
        </w:rPr>
        <w:t xml:space="preserve"> </w:t>
      </w:r>
      <w:r w:rsidRPr="008570AD" w:rsidR="002E63F4">
        <w:rPr>
          <w:color w:val="000000" w:themeColor="text1"/>
        </w:rPr>
        <w:t>A</w:t>
      </w:r>
      <w:r w:rsidRPr="008570AD" w:rsidR="009500DA">
        <w:rPr>
          <w:color w:val="000000" w:themeColor="text1"/>
        </w:rPr>
        <w:t>n Annual Progress Report</w:t>
      </w:r>
      <w:r w:rsidRPr="008570AD" w:rsidR="00A42BDD">
        <w:rPr>
          <w:color w:val="000000" w:themeColor="text1"/>
        </w:rPr>
        <w:t xml:space="preserve"> </w:t>
      </w:r>
      <w:r w:rsidRPr="008570AD" w:rsidR="002E63F4">
        <w:rPr>
          <w:color w:val="000000" w:themeColor="text1"/>
        </w:rPr>
        <w:t xml:space="preserve">is necessary to keep track of progress of study data and biospecimen use from NICHD DASH to ensure that research conducted with DASH data and NICHD biospecimens conforms to the </w:t>
      </w:r>
      <w:r w:rsidRPr="008570AD" w:rsidR="006949BB">
        <w:rPr>
          <w:color w:val="000000" w:themeColor="text1"/>
        </w:rPr>
        <w:t>D</w:t>
      </w:r>
      <w:r w:rsidRPr="008570AD" w:rsidR="002E63F4">
        <w:rPr>
          <w:color w:val="000000" w:themeColor="text1"/>
        </w:rPr>
        <w:t xml:space="preserve">ata </w:t>
      </w:r>
      <w:r w:rsidRPr="008570AD" w:rsidR="006949BB">
        <w:rPr>
          <w:color w:val="000000" w:themeColor="text1"/>
        </w:rPr>
        <w:t>U</w:t>
      </w:r>
      <w:r w:rsidRPr="008570AD" w:rsidR="002E63F4">
        <w:rPr>
          <w:color w:val="000000" w:themeColor="text1"/>
        </w:rPr>
        <w:t xml:space="preserve">se </w:t>
      </w:r>
      <w:r w:rsidRPr="008570AD" w:rsidR="006949BB">
        <w:rPr>
          <w:color w:val="000000" w:themeColor="text1"/>
        </w:rPr>
        <w:t>A</w:t>
      </w:r>
      <w:r w:rsidRPr="008570AD" w:rsidR="002E63F4">
        <w:rPr>
          <w:color w:val="000000" w:themeColor="text1"/>
        </w:rPr>
        <w:t>greement</w:t>
      </w:r>
      <w:r w:rsidRPr="008570AD" w:rsidR="006949BB">
        <w:rPr>
          <w:color w:val="000000" w:themeColor="text1"/>
        </w:rPr>
        <w:t xml:space="preserve"> and the Material Transfer Agreement, respectively</w:t>
      </w:r>
      <w:r w:rsidRPr="00D56D32" w:rsidR="002E63F4">
        <w:rPr>
          <w:color w:val="000000" w:themeColor="text1"/>
        </w:rPr>
        <w:t>.</w:t>
      </w:r>
      <w:r w:rsidRPr="00FF6388" w:rsidR="002E63F4">
        <w:rPr>
          <w:color w:val="000000" w:themeColor="text1"/>
        </w:rPr>
        <w:t xml:space="preserve"> </w:t>
      </w:r>
    </w:p>
    <w:p w:rsidRPr="00082051" w:rsidR="00685B30" w:rsidP="004C5217" w:rsidRDefault="00E67B10" w14:paraId="3B9AE6F0" w14:textId="77777777">
      <w:pPr>
        <w:pStyle w:val="Heading2"/>
      </w:pPr>
      <w:bookmarkStart w:name="_Toc443881748" w:id="42"/>
      <w:bookmarkStart w:name="_Toc451592237" w:id="43"/>
      <w:bookmarkStart w:name="_Toc5610278" w:id="44"/>
      <w:bookmarkStart w:name="_Toc99178784" w:id="45"/>
      <w:bookmarkStart w:name="_Toc442286336" w:id="46"/>
      <w:bookmarkStart w:name="_Toc508106942" w:id="47"/>
      <w:r w:rsidRPr="00082051">
        <w:t>A.7</w:t>
      </w:r>
      <w:r w:rsidRPr="00082051">
        <w:tab/>
      </w:r>
      <w:r w:rsidRPr="00082051" w:rsidR="00685B30">
        <w:t>Special Circumstances Relating to the Guidelines of 5 CFR 1320.5</w:t>
      </w:r>
      <w:bookmarkEnd w:id="42"/>
      <w:bookmarkEnd w:id="43"/>
      <w:bookmarkEnd w:id="44"/>
      <w:bookmarkEnd w:id="45"/>
      <w:bookmarkEnd w:id="46"/>
      <w:bookmarkEnd w:id="47"/>
    </w:p>
    <w:p w:rsidRPr="008942E9" w:rsidR="00685B30" w:rsidP="00443F2D" w:rsidRDefault="00443F2D" w14:paraId="409A5656" w14:textId="77777777">
      <w:r>
        <w:t>Not Applicable.</w:t>
      </w:r>
    </w:p>
    <w:p w:rsidRPr="00082051" w:rsidR="0036208F" w:rsidP="004C5217" w:rsidRDefault="00685B30" w14:paraId="7BEEF037" w14:textId="77777777">
      <w:pPr>
        <w:pStyle w:val="Heading2"/>
      </w:pPr>
      <w:bookmarkStart w:name="_Toc442286337" w:id="48"/>
      <w:bookmarkStart w:name="_Toc508106943" w:id="49"/>
      <w:bookmarkStart w:name="_Toc443881749" w:id="50"/>
      <w:bookmarkStart w:name="_Toc451592238" w:id="51"/>
      <w:bookmarkStart w:name="_Toc5610279" w:id="52"/>
      <w:bookmarkStart w:name="_Toc99178785" w:id="53"/>
      <w:r w:rsidRPr="00082051">
        <w:t>A.8</w:t>
      </w:r>
      <w:r w:rsidRPr="00082051" w:rsidR="0036208F">
        <w:t>.1</w:t>
      </w:r>
      <w:r w:rsidR="00825984">
        <w:tab/>
      </w:r>
      <w:r w:rsidRPr="00082051">
        <w:t>Comments in Response to the Federal Register Notice</w:t>
      </w:r>
      <w:bookmarkEnd w:id="48"/>
      <w:bookmarkEnd w:id="49"/>
      <w:r w:rsidRPr="00082051">
        <w:t xml:space="preserve"> </w:t>
      </w:r>
    </w:p>
    <w:bookmarkEnd w:id="50"/>
    <w:bookmarkEnd w:id="51"/>
    <w:bookmarkEnd w:id="52"/>
    <w:bookmarkEnd w:id="53"/>
    <w:p w:rsidRPr="00C60E48" w:rsidR="00A3363E" w:rsidP="682752C4" w:rsidRDefault="00443F2D" w14:paraId="1882590E" w14:textId="51A41CE8">
      <w:pPr>
        <w:rPr>
          <w:highlight w:val="yellow"/>
        </w:rPr>
      </w:pPr>
      <w:r w:rsidRPr="00C60E48">
        <w:rPr>
          <w:highlight w:val="yellow"/>
        </w:rPr>
        <w:t xml:space="preserve">The </w:t>
      </w:r>
      <w:r w:rsidRPr="00C60E48" w:rsidR="009D0F28">
        <w:rPr>
          <w:highlight w:val="yellow"/>
        </w:rPr>
        <w:t>6</w:t>
      </w:r>
      <w:r w:rsidRPr="00C60E48">
        <w:rPr>
          <w:highlight w:val="yellow"/>
        </w:rPr>
        <w:t>0-Day Federal Register notice was published on</w:t>
      </w:r>
      <w:r w:rsidRPr="00C60E48" w:rsidR="006D5837">
        <w:rPr>
          <w:highlight w:val="yellow"/>
        </w:rPr>
        <w:t xml:space="preserve"> </w:t>
      </w:r>
      <w:r w:rsidRPr="00C60E48" w:rsidR="00E537DA">
        <w:rPr>
          <w:highlight w:val="yellow"/>
        </w:rPr>
        <w:t>01</w:t>
      </w:r>
      <w:r w:rsidRPr="00C60E48" w:rsidR="00CF5C6C">
        <w:rPr>
          <w:highlight w:val="yellow"/>
        </w:rPr>
        <w:t>/</w:t>
      </w:r>
      <w:r w:rsidRPr="00C60E48" w:rsidR="00860C76">
        <w:rPr>
          <w:highlight w:val="yellow"/>
        </w:rPr>
        <w:t>14</w:t>
      </w:r>
      <w:r w:rsidRPr="00C60E48" w:rsidR="00CF5C6C">
        <w:rPr>
          <w:highlight w:val="yellow"/>
        </w:rPr>
        <w:t>/</w:t>
      </w:r>
      <w:r w:rsidRPr="00C60E48" w:rsidR="00860C76">
        <w:rPr>
          <w:highlight w:val="yellow"/>
        </w:rPr>
        <w:t>2021</w:t>
      </w:r>
      <w:r w:rsidRPr="00C60E48" w:rsidR="00310766">
        <w:rPr>
          <w:highlight w:val="yellow"/>
        </w:rPr>
        <w:t xml:space="preserve">, Vol. </w:t>
      </w:r>
      <w:r w:rsidRPr="00C60E48" w:rsidR="00522A31">
        <w:rPr>
          <w:highlight w:val="yellow"/>
        </w:rPr>
        <w:t>86</w:t>
      </w:r>
      <w:r w:rsidRPr="00C60E48" w:rsidR="00310766">
        <w:rPr>
          <w:highlight w:val="yellow"/>
        </w:rPr>
        <w:t xml:space="preserve">, pg. </w:t>
      </w:r>
      <w:r w:rsidRPr="00C60E48" w:rsidR="0026495C">
        <w:rPr>
          <w:highlight w:val="yellow"/>
        </w:rPr>
        <w:t>3160-3162</w:t>
      </w:r>
      <w:r w:rsidRPr="00C60E48" w:rsidR="00505CEA">
        <w:rPr>
          <w:highlight w:val="yellow"/>
        </w:rPr>
        <w:t>.  No</w:t>
      </w:r>
      <w:r w:rsidRPr="00C60E48">
        <w:rPr>
          <w:highlight w:val="yellow"/>
        </w:rPr>
        <w:t xml:space="preserve"> public comments were received.</w:t>
      </w:r>
      <w:r w:rsidRPr="00C60E48" w:rsidR="00505CEA">
        <w:rPr>
          <w:highlight w:val="yellow"/>
        </w:rPr>
        <w:t xml:space="preserve"> </w:t>
      </w:r>
    </w:p>
    <w:p w:rsidR="0036208F" w:rsidP="004C5217" w:rsidRDefault="0036208F" w14:paraId="5B9F374A" w14:textId="77777777">
      <w:pPr>
        <w:pStyle w:val="Heading2"/>
      </w:pPr>
      <w:bookmarkStart w:name="_Toc442286338" w:id="54"/>
      <w:bookmarkStart w:name="_Toc508106944" w:id="55"/>
      <w:r w:rsidRPr="00082051">
        <w:t>A.8.2</w:t>
      </w:r>
      <w:r w:rsidRPr="00082051">
        <w:tab/>
        <w:t>Efforts to Consult Outside Agency</w:t>
      </w:r>
      <w:bookmarkEnd w:id="54"/>
      <w:bookmarkEnd w:id="55"/>
    </w:p>
    <w:p w:rsidR="00DC504C" w:rsidP="00CD2523" w:rsidRDefault="0018396C" w14:paraId="0618FD7C" w14:textId="77777777">
      <w:r>
        <w:t>During the planning phase of establishing a data archive, t</w:t>
      </w:r>
      <w:r w:rsidR="00CD2523">
        <w:t xml:space="preserve">he NICHD DASH Committee conducted an extensive </w:t>
      </w:r>
      <w:r w:rsidR="00DC504C">
        <w:t xml:space="preserve">feasibility </w:t>
      </w:r>
      <w:r w:rsidR="00CD2523">
        <w:t>analysis of</w:t>
      </w:r>
      <w:r w:rsidR="00016B37">
        <w:t xml:space="preserve"> over 18 </w:t>
      </w:r>
      <w:r w:rsidR="00CD2523">
        <w:t>NIH and external data archives to</w:t>
      </w:r>
      <w:r>
        <w:t xml:space="preserve"> </w:t>
      </w:r>
      <w:r w:rsidR="009E54F2">
        <w:t>determine</w:t>
      </w:r>
      <w:r>
        <w:t xml:space="preserve"> if any of the existing archives would be adequate to meet </w:t>
      </w:r>
      <w:r w:rsidR="00016B37">
        <w:t xml:space="preserve">NICHD’s </w:t>
      </w:r>
      <w:r>
        <w:t xml:space="preserve">data sharing goals. </w:t>
      </w:r>
      <w:r w:rsidR="00016B37">
        <w:t xml:space="preserve">The NICHD DASH Committee consulted </w:t>
      </w:r>
      <w:r w:rsidR="00016B37">
        <w:lastRenderedPageBreak/>
        <w:t>e</w:t>
      </w:r>
      <w:r>
        <w:t xml:space="preserve">xperts </w:t>
      </w:r>
      <w:r w:rsidR="00A15D80">
        <w:t xml:space="preserve">and viewed demonstrations </w:t>
      </w:r>
      <w:r>
        <w:t>from many of the archives</w:t>
      </w:r>
      <w:r w:rsidR="00A15D80">
        <w:t xml:space="preserve">, including </w:t>
      </w:r>
      <w:r w:rsidR="00016B37">
        <w:t>the</w:t>
      </w:r>
      <w:r>
        <w:t xml:space="preserve"> </w:t>
      </w:r>
      <w:r w:rsidRPr="0018396C">
        <w:t>N</w:t>
      </w:r>
      <w:r>
        <w:t>ational Heart Lung and Blood Institute (N</w:t>
      </w:r>
      <w:r w:rsidRPr="0018396C">
        <w:t>HLBI</w:t>
      </w:r>
      <w:r>
        <w:t xml:space="preserve">) </w:t>
      </w:r>
      <w:r w:rsidRPr="00DC504C" w:rsidR="00DC504C">
        <w:t>Biologic Specimen and Data Repository Information Coordinating Center</w:t>
      </w:r>
      <w:r>
        <w:t xml:space="preserve"> (</w:t>
      </w:r>
      <w:r w:rsidRPr="0018396C">
        <w:t>BioLINCC</w:t>
      </w:r>
      <w:r>
        <w:t xml:space="preserve">), </w:t>
      </w:r>
      <w:r w:rsidR="00DC504C">
        <w:t xml:space="preserve">the </w:t>
      </w:r>
      <w:r w:rsidRPr="0018396C">
        <w:t>National Children’s Study</w:t>
      </w:r>
      <w:r>
        <w:t xml:space="preserve"> (NCS</w:t>
      </w:r>
      <w:r w:rsidR="00016B37">
        <w:t xml:space="preserve">), NICHD’s </w:t>
      </w:r>
      <w:r w:rsidRPr="00016B37" w:rsidR="00016B37">
        <w:t>Biospecimen Repository Access and Data Sharing program (BRAD</w:t>
      </w:r>
      <w:r w:rsidR="00016B37">
        <w:t xml:space="preserve">S) and CDC’s </w:t>
      </w:r>
      <w:r w:rsidRPr="00016B37" w:rsidR="00016B37">
        <w:t>National Health and Nutrition Examination Survey (NHANES</w:t>
      </w:r>
      <w:r w:rsidR="00DC504C">
        <w:t xml:space="preserve">). The feasibility analysis included evaluations of the breadth of research data topics and types, ease of data submission and discovery, policies and governance, system scalability and flexibility, </w:t>
      </w:r>
      <w:r w:rsidR="00A15D80">
        <w:t xml:space="preserve">and </w:t>
      </w:r>
      <w:r w:rsidR="00DC504C">
        <w:t xml:space="preserve">advanced functionality such as data analytics and linkage to biospecimens.   </w:t>
      </w:r>
    </w:p>
    <w:p w:rsidRPr="00082051" w:rsidR="00685B30" w:rsidP="004C5217" w:rsidRDefault="00685B30" w14:paraId="07C12B3B" w14:textId="77777777">
      <w:pPr>
        <w:pStyle w:val="Heading2"/>
      </w:pPr>
      <w:bookmarkStart w:name="_Toc442286339" w:id="56"/>
      <w:bookmarkStart w:name="_Toc508106945" w:id="57"/>
      <w:r w:rsidRPr="00082051">
        <w:t>A.9</w:t>
      </w:r>
      <w:r w:rsidRPr="00082051">
        <w:tab/>
        <w:t>Explanation of Any Payment of Gift to Respondents</w:t>
      </w:r>
      <w:bookmarkEnd w:id="56"/>
      <w:bookmarkEnd w:id="57"/>
    </w:p>
    <w:p w:rsidRPr="00953199" w:rsidR="00443F2D" w:rsidP="00443F2D" w:rsidRDefault="00443F2D" w14:paraId="18A43E38" w14:textId="77777777">
      <w:r w:rsidRPr="00953199">
        <w:t xml:space="preserve">No </w:t>
      </w:r>
      <w:r>
        <w:t>incentives</w:t>
      </w:r>
      <w:r w:rsidRPr="00953199">
        <w:t xml:space="preserve"> will be provided to respondents.</w:t>
      </w:r>
    </w:p>
    <w:p w:rsidRPr="00082051" w:rsidR="00685B30" w:rsidP="004C5217" w:rsidRDefault="0024646A" w14:paraId="6FF39E44" w14:textId="77777777">
      <w:pPr>
        <w:pStyle w:val="Heading2"/>
      </w:pPr>
      <w:bookmarkStart w:name="_Toc442286340" w:id="58"/>
      <w:bookmarkStart w:name="_Toc508106946" w:id="59"/>
      <w:r>
        <w:t>A.10</w:t>
      </w:r>
      <w:r>
        <w:tab/>
      </w:r>
      <w:r w:rsidRPr="00082051" w:rsidR="00685B30">
        <w:t>Assurance of Confidentiality Provided to Respondents</w:t>
      </w:r>
      <w:bookmarkEnd w:id="58"/>
      <w:bookmarkEnd w:id="59"/>
    </w:p>
    <w:p w:rsidR="006646B7" w:rsidP="00FB5625" w:rsidRDefault="00443F2D" w14:paraId="700B922F" w14:textId="77777777">
      <w:r>
        <w:t xml:space="preserve">Data collected </w:t>
      </w:r>
      <w:r w:rsidR="000F5819">
        <w:t xml:space="preserve">in </w:t>
      </w:r>
      <w:r w:rsidR="00B17D81">
        <w:t>NICHD DASH</w:t>
      </w:r>
      <w:r>
        <w:t xml:space="preserve"> will be stored and used according to the </w:t>
      </w:r>
      <w:r w:rsidRPr="00FA2D25">
        <w:t>Federal Privacy Act</w:t>
      </w:r>
      <w:r w:rsidR="000F5819">
        <w:t xml:space="preserve"> of 1974</w:t>
      </w:r>
      <w:r>
        <w:t xml:space="preserve">. The Federal Privacy Act ensures that no sensitive or personally identifiable information, located in federal systems of records (e.g., Recipient NIH records), is being shared. </w:t>
      </w:r>
      <w:r w:rsidRPr="00041CEE">
        <w:t>A system of records is any group of records under the control of a federal agency from which information is retrieved by the name of the individual or by some identifying number, symbol, or other identif</w:t>
      </w:r>
      <w:r w:rsidR="009F4144">
        <w:t>ying</w:t>
      </w:r>
      <w:r w:rsidRPr="00041CEE">
        <w:t xml:space="preserve"> particular assigned to the individual. </w:t>
      </w:r>
    </w:p>
    <w:p w:rsidR="00BB5FE0" w:rsidP="00FB5625" w:rsidRDefault="00443F2D" w14:paraId="06F3FC1B" w14:textId="7C86FA16">
      <w:r w:rsidRPr="00041CEE">
        <w:t>The information requested from the</w:t>
      </w:r>
      <w:r>
        <w:t xml:space="preserve"> </w:t>
      </w:r>
      <w:r w:rsidR="004B4683">
        <w:t>User</w:t>
      </w:r>
      <w:r w:rsidR="00B170E1">
        <w:t xml:space="preserve"> seeking to</w:t>
      </w:r>
      <w:r w:rsidR="000F5819">
        <w:t xml:space="preserve"> submit </w:t>
      </w:r>
      <w:r w:rsidRPr="005A6071" w:rsidR="00CF661F">
        <w:t>study</w:t>
      </w:r>
      <w:r w:rsidR="00CF661F">
        <w:t xml:space="preserve"> </w:t>
      </w:r>
      <w:r w:rsidR="00820245">
        <w:t>da</w:t>
      </w:r>
      <w:r w:rsidRPr="00D56D32" w:rsidR="00820245">
        <w:t>ta</w:t>
      </w:r>
      <w:r w:rsidRPr="00D56D32" w:rsidR="009F4144">
        <w:t xml:space="preserve"> </w:t>
      </w:r>
      <w:r w:rsidRPr="008570AD" w:rsidR="009F4144">
        <w:t>and/or biospecimen inventories</w:t>
      </w:r>
      <w:r w:rsidRPr="008570AD" w:rsidR="00820245">
        <w:t>,</w:t>
      </w:r>
      <w:r w:rsidRPr="00D56D32" w:rsidR="00820245">
        <w:t xml:space="preserve"> </w:t>
      </w:r>
      <w:r w:rsidRPr="00DF586F" w:rsidR="001C4928">
        <w:rPr>
          <w:color w:val="000000" w:themeColor="text1"/>
          <w:highlight w:val="yellow"/>
        </w:rPr>
        <w:t>catalog studies</w:t>
      </w:r>
      <w:r w:rsidRPr="00DF586F" w:rsidR="00D75D24">
        <w:rPr>
          <w:color w:val="000000" w:themeColor="text1"/>
          <w:highlight w:val="yellow"/>
        </w:rPr>
        <w:t xml:space="preserve"> or </w:t>
      </w:r>
      <w:r w:rsidRPr="00DF586F" w:rsidR="00292C87">
        <w:rPr>
          <w:color w:val="000000" w:themeColor="text1"/>
          <w:highlight w:val="yellow"/>
        </w:rPr>
        <w:t>data collections,</w:t>
      </w:r>
      <w:r w:rsidRPr="00DF586F" w:rsidR="00292C87">
        <w:rPr>
          <w:color w:val="000000" w:themeColor="text1"/>
        </w:rPr>
        <w:t xml:space="preserve"> </w:t>
      </w:r>
      <w:r w:rsidRPr="00D56D32" w:rsidR="000F5819">
        <w:t xml:space="preserve">request </w:t>
      </w:r>
      <w:r w:rsidRPr="00D56D32" w:rsidR="00CF661F">
        <w:t xml:space="preserve">study </w:t>
      </w:r>
      <w:r w:rsidRPr="00D56D32" w:rsidR="00B170E1">
        <w:t>data</w:t>
      </w:r>
      <w:r w:rsidRPr="00D56D32" w:rsidR="00D817FB">
        <w:t xml:space="preserve"> in NICHD DASH,</w:t>
      </w:r>
      <w:r w:rsidRPr="00D56D32" w:rsidR="009F4144">
        <w:t xml:space="preserve"> and</w:t>
      </w:r>
      <w:r w:rsidRPr="00D56D32" w:rsidR="00D817FB">
        <w:t xml:space="preserve"> </w:t>
      </w:r>
      <w:r w:rsidRPr="008570AD" w:rsidR="00D817FB">
        <w:t>request</w:t>
      </w:r>
      <w:r w:rsidRPr="008570AD" w:rsidR="009F4144">
        <w:t xml:space="preserve"> </w:t>
      </w:r>
      <w:r w:rsidRPr="008570AD" w:rsidR="00660117">
        <w:t>biospecimens</w:t>
      </w:r>
      <w:r w:rsidRPr="008570AD" w:rsidR="00B170E1">
        <w:t xml:space="preserve"> </w:t>
      </w:r>
      <w:r w:rsidRPr="008570AD" w:rsidR="00D817FB">
        <w:t>through</w:t>
      </w:r>
      <w:r w:rsidRPr="008570AD" w:rsidR="000F5819">
        <w:t xml:space="preserve"> </w:t>
      </w:r>
      <w:r w:rsidRPr="008570AD" w:rsidR="00B170E1">
        <w:t xml:space="preserve">NICHD DASH </w:t>
      </w:r>
      <w:r w:rsidRPr="008570AD" w:rsidR="00F0203C">
        <w:t xml:space="preserve">available from the </w:t>
      </w:r>
      <w:r w:rsidRPr="008570AD" w:rsidR="00D817FB">
        <w:t xml:space="preserve">NICHD </w:t>
      </w:r>
      <w:r w:rsidRPr="008570AD" w:rsidR="00F0203C">
        <w:t>B</w:t>
      </w:r>
      <w:r w:rsidRPr="008570AD" w:rsidR="00D817FB">
        <w:t>iorepository</w:t>
      </w:r>
      <w:r w:rsidRPr="00D56D32" w:rsidR="00D817FB">
        <w:t xml:space="preserve"> </w:t>
      </w:r>
      <w:r w:rsidRPr="00D56D32">
        <w:t>may</w:t>
      </w:r>
      <w:r w:rsidRPr="00041CEE">
        <w:t xml:space="preserve"> be </w:t>
      </w:r>
      <w:r w:rsidRPr="00655F26" w:rsidR="00655F26">
        <w:t xml:space="preserve">made public in part or in whole </w:t>
      </w:r>
      <w:r w:rsidRPr="00041CEE">
        <w:t>for tracking and reporting purposes.</w:t>
      </w:r>
      <w:r w:rsidR="009F4144">
        <w:t xml:space="preserve"> A </w:t>
      </w:r>
      <w:r w:rsidRPr="00DD3BB8" w:rsidR="00DD3BB8">
        <w:t>Privacy Impact Assessment (PIA) has been completed for NICHD DASH by the NICHD Privacy Office</w:t>
      </w:r>
      <w:r w:rsidR="00C439B9">
        <w:t xml:space="preserve"> </w:t>
      </w:r>
      <w:r w:rsidRPr="00C439B9" w:rsidR="00C439B9">
        <w:rPr>
          <w:highlight w:val="yellow"/>
        </w:rPr>
        <w:t xml:space="preserve">and the Privacy Act Memo from the NICHD ISSO is </w:t>
      </w:r>
      <w:r w:rsidRPr="0010135D" w:rsidR="00C439B9">
        <w:rPr>
          <w:highlight w:val="yellow"/>
        </w:rPr>
        <w:t>attached</w:t>
      </w:r>
      <w:r w:rsidRPr="0010135D" w:rsidR="0010135D">
        <w:rPr>
          <w:highlight w:val="yellow"/>
        </w:rPr>
        <w:t xml:space="preserve"> (Attachment A3.1</w:t>
      </w:r>
      <w:r w:rsidR="0010135D">
        <w:t>)</w:t>
      </w:r>
      <w:r w:rsidRPr="00DD3BB8" w:rsidR="00DD3BB8">
        <w:t>. NICHD DASH will operate in accordance with existing NIH policies and the Federal Privacy Act to ensure that no sensitive or personally identifiable information, located in federal systems of records is being shared in violation of these policies.</w:t>
      </w:r>
      <w:r w:rsidRPr="00041CEE">
        <w:t xml:space="preserve"> </w:t>
      </w:r>
    </w:p>
    <w:p w:rsidR="00D23B35" w:rsidP="00FB5625" w:rsidRDefault="00D817FB" w14:paraId="591B41FE" w14:textId="77777777">
      <w:r w:rsidRPr="005A6071">
        <w:rPr>
          <w:b/>
        </w:rPr>
        <w:t>Study</w:t>
      </w:r>
      <w:r>
        <w:rPr>
          <w:b/>
        </w:rPr>
        <w:t xml:space="preserve"> </w:t>
      </w:r>
      <w:r w:rsidRPr="00D56D32">
        <w:rPr>
          <w:b/>
        </w:rPr>
        <w:t>d</w:t>
      </w:r>
      <w:r w:rsidRPr="00D56D32" w:rsidR="00BB5FE0">
        <w:rPr>
          <w:b/>
        </w:rPr>
        <w:t xml:space="preserve">ata </w:t>
      </w:r>
      <w:r w:rsidRPr="008570AD" w:rsidR="0022205C">
        <w:rPr>
          <w:b/>
        </w:rPr>
        <w:t>and/</w:t>
      </w:r>
      <w:r w:rsidRPr="008570AD" w:rsidR="009F4144">
        <w:rPr>
          <w:b/>
        </w:rPr>
        <w:t>or biospecimen inventory</w:t>
      </w:r>
      <w:r w:rsidRPr="00D56D32" w:rsidR="009F4144">
        <w:rPr>
          <w:b/>
        </w:rPr>
        <w:t xml:space="preserve"> </w:t>
      </w:r>
      <w:r w:rsidRPr="00D56D32" w:rsidR="00BB5FE0">
        <w:rPr>
          <w:b/>
        </w:rPr>
        <w:t>submitters</w:t>
      </w:r>
      <w:r w:rsidRPr="00D56D32" w:rsidR="00BB5FE0">
        <w:t xml:space="preserve"> through an Institutional Certification </w:t>
      </w:r>
      <w:r w:rsidRPr="00D56D32" w:rsidR="00306B7C">
        <w:t xml:space="preserve">are </w:t>
      </w:r>
      <w:r w:rsidRPr="00D56D32" w:rsidR="00BB5FE0">
        <w:t xml:space="preserve">required to provide assurance that the </w:t>
      </w:r>
      <w:r w:rsidRPr="00D56D32">
        <w:t xml:space="preserve">study </w:t>
      </w:r>
      <w:r w:rsidRPr="00D56D32" w:rsidR="00BB5FE0">
        <w:t>data</w:t>
      </w:r>
      <w:r w:rsidRPr="00D56D32">
        <w:t>,</w:t>
      </w:r>
      <w:r w:rsidRPr="00D56D32" w:rsidR="009F4144">
        <w:t xml:space="preserve"> </w:t>
      </w:r>
      <w:r w:rsidRPr="008570AD" w:rsidR="009F4144">
        <w:t>biospecimen</w:t>
      </w:r>
      <w:r w:rsidRPr="008570AD" w:rsidR="0022205C">
        <w:t xml:space="preserve"> inventory</w:t>
      </w:r>
      <w:r w:rsidRPr="008570AD">
        <w:t>, and biospecimen(s)</w:t>
      </w:r>
      <w:r w:rsidRPr="008570AD" w:rsidR="00BB5FE0">
        <w:t xml:space="preserve"> ha</w:t>
      </w:r>
      <w:r w:rsidRPr="008570AD">
        <w:t>ve</w:t>
      </w:r>
      <w:r w:rsidRPr="00D56D32" w:rsidR="00BB5FE0">
        <w:t xml:space="preserve"> been de-identified to the standards set forth in the HHS Regulations for the Protection of Human Subjects and that an Institutional Review Board or Privacy Committe</w:t>
      </w:r>
      <w:r w:rsidRPr="00D56D32" w:rsidR="009F4144">
        <w:t>e has a</w:t>
      </w:r>
      <w:r w:rsidRPr="00D56D32">
        <w:t xml:space="preserve">ssessed the proposed study data, </w:t>
      </w:r>
      <w:r w:rsidRPr="008570AD" w:rsidR="009F4144">
        <w:t>biospecimen inventory</w:t>
      </w:r>
      <w:r w:rsidRPr="008570AD">
        <w:t>, and biospecimen(s)</w:t>
      </w:r>
      <w:r w:rsidRPr="00D56D32" w:rsidR="00BB5FE0">
        <w:t xml:space="preserve"> sharing for risks, privacy considerations, and alignment with </w:t>
      </w:r>
      <w:r w:rsidRPr="00D56D32" w:rsidR="009F4144">
        <w:t xml:space="preserve">the </w:t>
      </w:r>
      <w:r w:rsidRPr="00D56D32" w:rsidR="00BB5FE0">
        <w:t xml:space="preserve">informed consent. </w:t>
      </w:r>
      <w:r w:rsidRPr="00D56D32" w:rsidR="009F4144">
        <w:t>Study</w:t>
      </w:r>
      <w:r w:rsidRPr="00D56D32" w:rsidR="00BB5FE0">
        <w:t xml:space="preserve"> data</w:t>
      </w:r>
      <w:r w:rsidRPr="00D56D32" w:rsidR="0022205C">
        <w:t xml:space="preserve"> </w:t>
      </w:r>
      <w:r w:rsidRPr="008570AD" w:rsidR="0022205C">
        <w:t>and/</w:t>
      </w:r>
      <w:r w:rsidRPr="008570AD" w:rsidR="009F4144">
        <w:t>or biospecimen inventor</w:t>
      </w:r>
      <w:r w:rsidRPr="008570AD">
        <w:t>ies</w:t>
      </w:r>
      <w:r w:rsidRPr="00D56D32" w:rsidR="0022205C">
        <w:t xml:space="preserve"> </w:t>
      </w:r>
      <w:r w:rsidRPr="00D56D32" w:rsidR="00BB5FE0">
        <w:t xml:space="preserve">submitted to NICHD DASH will be stored initially in a staging area until the de-identification status is verified by the archive staff and approved by the respective NICHD Division/Branch/Center Chief of the study. Only </w:t>
      </w:r>
      <w:r w:rsidRPr="00D56D32" w:rsidR="00D04A14">
        <w:t xml:space="preserve">study </w:t>
      </w:r>
      <w:r w:rsidRPr="00D56D32" w:rsidR="00BB5FE0">
        <w:t>data</w:t>
      </w:r>
      <w:r w:rsidRPr="00D56D32" w:rsidR="0022205C">
        <w:t xml:space="preserve"> </w:t>
      </w:r>
      <w:r w:rsidRPr="008570AD" w:rsidR="0022205C">
        <w:t>and/or biospecimen inventor</w:t>
      </w:r>
      <w:r w:rsidRPr="008570AD" w:rsidR="00A443D5">
        <w:t>ies</w:t>
      </w:r>
      <w:r w:rsidRPr="00D56D32" w:rsidR="00BB5FE0">
        <w:t xml:space="preserve"> that ha</w:t>
      </w:r>
      <w:r w:rsidRPr="00D56D32" w:rsidR="00A443D5">
        <w:t>ve</w:t>
      </w:r>
      <w:r w:rsidRPr="00D56D32" w:rsidR="00BB5FE0">
        <w:t xml:space="preserve"> been approved</w:t>
      </w:r>
      <w:r w:rsidRPr="00D56D32" w:rsidR="00A15D80">
        <w:t xml:space="preserve"> will be shared </w:t>
      </w:r>
      <w:r w:rsidRPr="00D56D32" w:rsidR="00BB5FE0">
        <w:t>with the research community.</w:t>
      </w:r>
    </w:p>
    <w:p w:rsidR="00D23B35" w:rsidP="00D06428" w:rsidRDefault="00D817FB" w14:paraId="05BF913B" w14:textId="77777777">
      <w:r w:rsidRPr="00D56D32">
        <w:rPr>
          <w:b/>
        </w:rPr>
        <w:t>Study d</w:t>
      </w:r>
      <w:r w:rsidRPr="00D56D32" w:rsidR="00156166">
        <w:rPr>
          <w:b/>
        </w:rPr>
        <w:t>ata</w:t>
      </w:r>
      <w:r w:rsidRPr="00D56D32" w:rsidR="0022205C">
        <w:rPr>
          <w:b/>
        </w:rPr>
        <w:t xml:space="preserve"> </w:t>
      </w:r>
      <w:r w:rsidRPr="008570AD" w:rsidR="0022205C">
        <w:rPr>
          <w:b/>
        </w:rPr>
        <w:t>and/or biospecimen</w:t>
      </w:r>
      <w:r w:rsidRPr="008570AD" w:rsidR="00156166">
        <w:rPr>
          <w:b/>
        </w:rPr>
        <w:t xml:space="preserve"> requestors</w:t>
      </w:r>
      <w:r w:rsidRPr="00D56D32" w:rsidR="00156166">
        <w:t xml:space="preserve"> through t</w:t>
      </w:r>
      <w:r w:rsidRPr="00D56D32" w:rsidR="00D76656">
        <w:t xml:space="preserve">he NICHD DASH </w:t>
      </w:r>
      <w:r w:rsidRPr="00D56D32" w:rsidR="00443F2D">
        <w:t>D</w:t>
      </w:r>
      <w:r w:rsidRPr="00D56D32" w:rsidR="00D76656">
        <w:t xml:space="preserve">ata Use Agreement </w:t>
      </w:r>
      <w:r w:rsidRPr="00D56D32" w:rsidR="0022205C">
        <w:t>or</w:t>
      </w:r>
      <w:r w:rsidRPr="00D56D32" w:rsidR="00A2286C">
        <w:rPr>
          <w:b/>
        </w:rPr>
        <w:t xml:space="preserve"> </w:t>
      </w:r>
      <w:r w:rsidRPr="00D56D32" w:rsidR="00A2286C">
        <w:t xml:space="preserve">through the </w:t>
      </w:r>
      <w:r w:rsidRPr="008570AD" w:rsidR="00A2286C">
        <w:t>NICHD DASH</w:t>
      </w:r>
      <w:r w:rsidRPr="00D56D32" w:rsidR="00A2286C">
        <w:t xml:space="preserve"> </w:t>
      </w:r>
      <w:r w:rsidRPr="008570AD" w:rsidR="00A2286C">
        <w:t>Material Transfer Agreement</w:t>
      </w:r>
      <w:r w:rsidRPr="00D56D32" w:rsidR="0022205C">
        <w:t xml:space="preserve"> are</w:t>
      </w:r>
      <w:r w:rsidRPr="00D56D32" w:rsidR="00D76656">
        <w:t xml:space="preserve"> </w:t>
      </w:r>
      <w:r w:rsidRPr="00D56D32" w:rsidR="00443F2D">
        <w:t>provide</w:t>
      </w:r>
      <w:r w:rsidRPr="00D56D32" w:rsidR="0022205C">
        <w:t>d</w:t>
      </w:r>
      <w:r w:rsidRPr="00D56D32" w:rsidR="00443F2D">
        <w:t xml:space="preserve"> a Privacy Act Notification pursuant to Public Law 93-579, Privacy Act of 1974, 5 U.S.C. Section 552a.</w:t>
      </w:r>
      <w:r w:rsidRPr="00D56D32" w:rsidR="00655F26">
        <w:t xml:space="preserve"> </w:t>
      </w:r>
      <w:r w:rsidRPr="00D56D32" w:rsidR="00443F2D">
        <w:t xml:space="preserve">Authority for the collection of the information requested from </w:t>
      </w:r>
      <w:r w:rsidRPr="00D56D32" w:rsidR="004B4683">
        <w:t>Users</w:t>
      </w:r>
      <w:r w:rsidRPr="00D56D32" w:rsidR="00443F2D">
        <w:t xml:space="preserve"> comes from the authorities regarding</w:t>
      </w:r>
      <w:r w:rsidRPr="00041CEE" w:rsidR="00443F2D">
        <w:t xml:space="preserve"> the establishment of the National Institutes of Health, its </w:t>
      </w:r>
      <w:r w:rsidRPr="00041CEE" w:rsidR="00443F2D">
        <w:lastRenderedPageBreak/>
        <w:t xml:space="preserve">general authority to conduct and fund research and to provide training assistance, and its general authority to maintain records in connection with these and its other functions (42 U.S.C. 203, 241, 289l-1 and 44 U.S.C. 3101), and Section 301 and 493 of </w:t>
      </w:r>
      <w:r w:rsidR="008B57CE">
        <w:t xml:space="preserve">the Public Health Service Act. </w:t>
      </w:r>
      <w:r w:rsidRPr="00041CEE" w:rsidR="00443F2D">
        <w:t>These records will be maintained in accordance with the Privacy Act System of Record Notice 09-25-0200 (</w:t>
      </w:r>
      <w:hyperlink w:history="1" r:id="rId18">
        <w:r w:rsidRPr="008B57CE" w:rsidR="00443F2D">
          <w:rPr>
            <w:rStyle w:val="Hyperlink"/>
          </w:rPr>
          <w:t>http://oma.od.nih.gov/public/ms/privacy/pafiles/0200.htm</w:t>
        </w:r>
      </w:hyperlink>
      <w:r w:rsidRPr="00041CEE" w:rsidR="00443F2D">
        <w:t>) covering “Clinical, Basic and Population-based Research Studies of the National Institutes of Health (N</w:t>
      </w:r>
      <w:r w:rsidR="008B57CE">
        <w:t>IH), HHS/NIH/OD”.</w:t>
      </w:r>
      <w:r w:rsidRPr="008942E9" w:rsidR="00685B30">
        <w:tab/>
      </w:r>
    </w:p>
    <w:p w:rsidRPr="008942E9" w:rsidR="00685B30" w:rsidP="004C5217" w:rsidRDefault="00D23B35" w14:paraId="213343C0" w14:textId="77777777">
      <w:pPr>
        <w:pStyle w:val="Heading2"/>
      </w:pPr>
      <w:bookmarkStart w:name="_Toc442286341" w:id="60"/>
      <w:bookmarkStart w:name="_Toc508106947" w:id="61"/>
      <w:r>
        <w:t>A.11</w:t>
      </w:r>
      <w:r>
        <w:tab/>
      </w:r>
      <w:r w:rsidRPr="008942E9" w:rsidR="00685B30">
        <w:t>Justification for Sensitive Questions</w:t>
      </w:r>
      <w:bookmarkEnd w:id="60"/>
      <w:bookmarkEnd w:id="61"/>
    </w:p>
    <w:p w:rsidRPr="00DF586F" w:rsidR="00106518" w:rsidP="008B57CE" w:rsidRDefault="00106518" w14:paraId="46BAE2E2" w14:textId="26EDBB87">
      <w:pPr>
        <w:rPr>
          <w:color w:val="000000" w:themeColor="text1"/>
        </w:rPr>
      </w:pPr>
      <w:r>
        <w:t>T</w:t>
      </w:r>
      <w:r w:rsidRPr="00106518">
        <w:t xml:space="preserve">he ‘multi-race’ category </w:t>
      </w:r>
      <w:r w:rsidR="00F82137">
        <w:t xml:space="preserve">question </w:t>
      </w:r>
      <w:r>
        <w:t>in the Data Submission Form</w:t>
      </w:r>
      <w:r w:rsidR="001C4928">
        <w:rPr>
          <w:color w:val="C00000"/>
        </w:rPr>
        <w:t xml:space="preserve"> </w:t>
      </w:r>
      <w:r w:rsidRPr="00DF586F" w:rsidR="001C4928">
        <w:rPr>
          <w:color w:val="000000" w:themeColor="text1"/>
          <w:highlight w:val="yellow"/>
        </w:rPr>
        <w:t xml:space="preserve">and Study </w:t>
      </w:r>
      <w:r w:rsidRPr="00DF586F" w:rsidR="00696872">
        <w:rPr>
          <w:color w:val="000000" w:themeColor="text1"/>
          <w:highlight w:val="yellow"/>
        </w:rPr>
        <w:t>Catalog Submission Form</w:t>
      </w:r>
      <w:r w:rsidRPr="00DF586F" w:rsidR="0022205C">
        <w:rPr>
          <w:color w:val="000000" w:themeColor="text1"/>
          <w:highlight w:val="yellow"/>
        </w:rPr>
        <w:t xml:space="preserve"> </w:t>
      </w:r>
      <w:r w:rsidRPr="00DF586F" w:rsidR="00696872">
        <w:rPr>
          <w:color w:val="000000" w:themeColor="text1"/>
          <w:highlight w:val="yellow"/>
        </w:rPr>
        <w:t>are</w:t>
      </w:r>
      <w:r w:rsidRPr="00DF586F" w:rsidR="00F82137">
        <w:rPr>
          <w:color w:val="000000" w:themeColor="text1"/>
        </w:rPr>
        <w:t xml:space="preserve"> of </w:t>
      </w:r>
      <w:r w:rsidRPr="00DF586F">
        <w:rPr>
          <w:color w:val="000000" w:themeColor="text1"/>
        </w:rPr>
        <w:t xml:space="preserve">sensitive nature but </w:t>
      </w:r>
      <w:r w:rsidRPr="00DF586F" w:rsidR="00187A1E">
        <w:rPr>
          <w:color w:val="000000" w:themeColor="text1"/>
        </w:rPr>
        <w:t xml:space="preserve">it is included </w:t>
      </w:r>
      <w:r w:rsidRPr="00DF586F">
        <w:rPr>
          <w:color w:val="000000" w:themeColor="text1"/>
        </w:rPr>
        <w:t xml:space="preserve">because DASH is an archive for </w:t>
      </w:r>
      <w:r w:rsidRPr="00DF586F" w:rsidR="00696872">
        <w:rPr>
          <w:color w:val="000000" w:themeColor="text1"/>
          <w:highlight w:val="yellow"/>
        </w:rPr>
        <w:t>sharing</w:t>
      </w:r>
      <w:r w:rsidRPr="00DF586F" w:rsidR="00696872">
        <w:rPr>
          <w:color w:val="000000" w:themeColor="text1"/>
        </w:rPr>
        <w:t xml:space="preserve"> </w:t>
      </w:r>
      <w:r w:rsidRPr="00DF586F" w:rsidR="005B3897">
        <w:rPr>
          <w:color w:val="000000" w:themeColor="text1"/>
        </w:rPr>
        <w:t xml:space="preserve">study </w:t>
      </w:r>
      <w:r w:rsidRPr="00DF586F">
        <w:rPr>
          <w:color w:val="000000" w:themeColor="text1"/>
        </w:rPr>
        <w:t>data</w:t>
      </w:r>
      <w:r w:rsidRPr="00DF586F" w:rsidR="005B3897">
        <w:rPr>
          <w:color w:val="000000" w:themeColor="text1"/>
        </w:rPr>
        <w:t xml:space="preserve"> and biospecimen inventories</w:t>
      </w:r>
      <w:r w:rsidRPr="00DF586F">
        <w:rPr>
          <w:color w:val="000000" w:themeColor="text1"/>
        </w:rPr>
        <w:t xml:space="preserve"> from NICHD funded studies that have been completed, including those conducted prior to 1977,</w:t>
      </w:r>
      <w:r w:rsidRPr="00DF586F" w:rsidR="00FB0D59">
        <w:rPr>
          <w:color w:val="000000" w:themeColor="text1"/>
        </w:rPr>
        <w:t xml:space="preserve"> when OMB defined new race standards and eliminated the ‘multi-race’ category. NICHD DASH</w:t>
      </w:r>
      <w:r w:rsidRPr="00DF586F" w:rsidR="00696872">
        <w:rPr>
          <w:color w:val="000000" w:themeColor="text1"/>
        </w:rPr>
        <w:t xml:space="preserve"> </w:t>
      </w:r>
      <w:r w:rsidRPr="00DF586F" w:rsidR="00FB0D59">
        <w:rPr>
          <w:color w:val="000000" w:themeColor="text1"/>
        </w:rPr>
        <w:t xml:space="preserve">preserves the originally collected </w:t>
      </w:r>
      <w:r w:rsidRPr="00DF586F" w:rsidR="0022205C">
        <w:rPr>
          <w:color w:val="000000" w:themeColor="text1"/>
        </w:rPr>
        <w:t xml:space="preserve">study </w:t>
      </w:r>
      <w:r w:rsidRPr="00DF586F" w:rsidR="00FB0D59">
        <w:rPr>
          <w:color w:val="000000" w:themeColor="text1"/>
        </w:rPr>
        <w:t>data</w:t>
      </w:r>
      <w:r w:rsidRPr="00DF586F" w:rsidR="0022205C">
        <w:rPr>
          <w:color w:val="000000" w:themeColor="text1"/>
        </w:rPr>
        <w:t xml:space="preserve"> and/or biospecimen</w:t>
      </w:r>
      <w:r w:rsidRPr="00DF586F" w:rsidR="00FB0D59">
        <w:rPr>
          <w:color w:val="000000" w:themeColor="text1"/>
        </w:rPr>
        <w:t xml:space="preserve"> </w:t>
      </w:r>
      <w:r w:rsidRPr="00DF586F" w:rsidR="00187A1E">
        <w:rPr>
          <w:color w:val="000000" w:themeColor="text1"/>
        </w:rPr>
        <w:t>‘</w:t>
      </w:r>
      <w:r w:rsidRPr="00DF586F" w:rsidR="00FB0D59">
        <w:rPr>
          <w:color w:val="000000" w:themeColor="text1"/>
        </w:rPr>
        <w:t>as is</w:t>
      </w:r>
      <w:r w:rsidRPr="00DF586F" w:rsidR="00187A1E">
        <w:rPr>
          <w:color w:val="000000" w:themeColor="text1"/>
        </w:rPr>
        <w:t>’</w:t>
      </w:r>
      <w:r w:rsidRPr="00DF586F" w:rsidR="00FB0D59">
        <w:rPr>
          <w:color w:val="000000" w:themeColor="text1"/>
        </w:rPr>
        <w:t xml:space="preserve"> and does not manipulate any of the fields. Therefore, NICHD DASH system will </w:t>
      </w:r>
      <w:r w:rsidRPr="00DF586F" w:rsidR="00187A1E">
        <w:rPr>
          <w:color w:val="000000" w:themeColor="text1"/>
        </w:rPr>
        <w:t xml:space="preserve">need to </w:t>
      </w:r>
      <w:r w:rsidRPr="00DF586F" w:rsidR="00FB0D59">
        <w:rPr>
          <w:color w:val="000000" w:themeColor="text1"/>
        </w:rPr>
        <w:t>reflect race categories that these older studies used.</w:t>
      </w:r>
    </w:p>
    <w:p w:rsidR="00EF71AA" w:rsidP="00EF71AA" w:rsidRDefault="00FB0D59" w14:paraId="153A06C4" w14:textId="7E7E7388">
      <w:r w:rsidRPr="00DF586F">
        <w:rPr>
          <w:color w:val="000000" w:themeColor="text1"/>
        </w:rPr>
        <w:t>None of the other i</w:t>
      </w:r>
      <w:r w:rsidRPr="00DF586F" w:rsidR="004412E3">
        <w:rPr>
          <w:color w:val="000000" w:themeColor="text1"/>
        </w:rPr>
        <w:t xml:space="preserve">nformation </w:t>
      </w:r>
      <w:r w:rsidRPr="00DF586F" w:rsidR="006A2603">
        <w:rPr>
          <w:color w:val="000000" w:themeColor="text1"/>
        </w:rPr>
        <w:t xml:space="preserve">collected </w:t>
      </w:r>
      <w:r w:rsidRPr="00DF586F" w:rsidR="00591523">
        <w:rPr>
          <w:color w:val="000000" w:themeColor="text1"/>
        </w:rPr>
        <w:t xml:space="preserve">during </w:t>
      </w:r>
      <w:r w:rsidRPr="00DF586F" w:rsidR="005B3897">
        <w:rPr>
          <w:color w:val="000000" w:themeColor="text1"/>
        </w:rPr>
        <w:t xml:space="preserve">study </w:t>
      </w:r>
      <w:r w:rsidRPr="00DF586F" w:rsidR="00591523">
        <w:rPr>
          <w:color w:val="000000" w:themeColor="text1"/>
        </w:rPr>
        <w:t>data</w:t>
      </w:r>
      <w:r w:rsidRPr="00DF586F" w:rsidR="0022205C">
        <w:rPr>
          <w:color w:val="000000" w:themeColor="text1"/>
        </w:rPr>
        <w:t xml:space="preserve"> and/or biospecimen inventory</w:t>
      </w:r>
      <w:r w:rsidRPr="00DF586F" w:rsidR="004412E3">
        <w:rPr>
          <w:color w:val="000000" w:themeColor="text1"/>
        </w:rPr>
        <w:t xml:space="preserve"> submission</w:t>
      </w:r>
      <w:r w:rsidRPr="00DF586F" w:rsidR="00A2286C">
        <w:rPr>
          <w:color w:val="000000" w:themeColor="text1"/>
        </w:rPr>
        <w:t>,</w:t>
      </w:r>
      <w:r w:rsidRPr="00DF586F" w:rsidR="00696872">
        <w:rPr>
          <w:color w:val="000000" w:themeColor="text1"/>
        </w:rPr>
        <w:t xml:space="preserve"> </w:t>
      </w:r>
      <w:r w:rsidRPr="00DF586F" w:rsidR="00696872">
        <w:rPr>
          <w:color w:val="000000" w:themeColor="text1"/>
          <w:highlight w:val="yellow"/>
        </w:rPr>
        <w:t>study</w:t>
      </w:r>
      <w:r w:rsidRPr="00DF586F" w:rsidR="00696872">
        <w:rPr>
          <w:color w:val="000000" w:themeColor="text1"/>
        </w:rPr>
        <w:t xml:space="preserve"> </w:t>
      </w:r>
      <w:r w:rsidRPr="00DF586F" w:rsidR="00696872">
        <w:rPr>
          <w:color w:val="000000" w:themeColor="text1"/>
          <w:highlight w:val="yellow"/>
        </w:rPr>
        <w:t>catalog submission,</w:t>
      </w:r>
      <w:r w:rsidRPr="00DF586F" w:rsidR="00A2286C">
        <w:rPr>
          <w:color w:val="000000" w:themeColor="text1"/>
          <w:highlight w:val="yellow"/>
        </w:rPr>
        <w:t xml:space="preserve"> </w:t>
      </w:r>
      <w:r w:rsidRPr="00DF586F" w:rsidR="007F3EF1">
        <w:rPr>
          <w:color w:val="000000" w:themeColor="text1"/>
          <w:highlight w:val="yellow"/>
        </w:rPr>
        <w:t>data collection catalog submission,</w:t>
      </w:r>
      <w:r w:rsidRPr="00DF586F" w:rsidR="007F3EF1">
        <w:rPr>
          <w:color w:val="000000" w:themeColor="text1"/>
        </w:rPr>
        <w:t xml:space="preserve"> </w:t>
      </w:r>
      <w:r w:rsidRPr="00DF586F" w:rsidR="00591523">
        <w:rPr>
          <w:color w:val="000000" w:themeColor="text1"/>
        </w:rPr>
        <w:t>data</w:t>
      </w:r>
      <w:r w:rsidRPr="00DF586F" w:rsidR="0022205C">
        <w:rPr>
          <w:color w:val="000000" w:themeColor="text1"/>
        </w:rPr>
        <w:t xml:space="preserve"> </w:t>
      </w:r>
      <w:r w:rsidRPr="00DF586F" w:rsidR="006A2603">
        <w:rPr>
          <w:color w:val="000000" w:themeColor="text1"/>
        </w:rPr>
        <w:t xml:space="preserve">request in </w:t>
      </w:r>
      <w:r w:rsidRPr="00DF586F" w:rsidR="008B57CE">
        <w:rPr>
          <w:color w:val="000000" w:themeColor="text1"/>
        </w:rPr>
        <w:t>NICHD DASH</w:t>
      </w:r>
      <w:r w:rsidRPr="00DF586F" w:rsidR="005B3897">
        <w:rPr>
          <w:color w:val="000000" w:themeColor="text1"/>
        </w:rPr>
        <w:t>, or biospecimen request through DASH for biospecimens available in the NICHD Biorepository</w:t>
      </w:r>
      <w:r w:rsidRPr="00DF586F" w:rsidR="008B57CE">
        <w:rPr>
          <w:color w:val="000000" w:themeColor="text1"/>
        </w:rPr>
        <w:t xml:space="preserve"> </w:t>
      </w:r>
      <w:r w:rsidRPr="00DF586F" w:rsidR="006A2603">
        <w:rPr>
          <w:color w:val="000000" w:themeColor="text1"/>
        </w:rPr>
        <w:t xml:space="preserve">include </w:t>
      </w:r>
      <w:r w:rsidRPr="00DF586F" w:rsidR="008B57CE">
        <w:rPr>
          <w:color w:val="000000" w:themeColor="text1"/>
        </w:rPr>
        <w:t xml:space="preserve">questions of a sensitive nature, such as </w:t>
      </w:r>
      <w:r w:rsidRPr="00DF586F" w:rsidR="00D154F9">
        <w:rPr>
          <w:color w:val="000000" w:themeColor="text1"/>
        </w:rPr>
        <w:t>salary, Social Security number, use of alcohol or drugs</w:t>
      </w:r>
      <w:r w:rsidR="00D154F9">
        <w:t xml:space="preserve">, </w:t>
      </w:r>
      <w:r w:rsidRPr="008B57CE" w:rsidR="008B57CE">
        <w:t>sexual behavior and attitudes, religious beliefs, and other matters that are commonly considered private</w:t>
      </w:r>
      <w:r w:rsidR="00D154F9">
        <w:t>.</w:t>
      </w:r>
      <w:r w:rsidRPr="008B57CE" w:rsidR="008B57CE">
        <w:t xml:space="preserve"> </w:t>
      </w:r>
      <w:bookmarkStart w:name="_Toc442286342" w:id="62"/>
      <w:bookmarkStart w:name="_Toc508106948" w:id="63"/>
    </w:p>
    <w:p w:rsidRPr="00811391" w:rsidR="00D04A14" w:rsidP="00EF71AA" w:rsidRDefault="00685B30" w14:paraId="09FFDB31" w14:textId="6E223A15">
      <w:pPr>
        <w:rPr>
          <w:rFonts w:ascii="Times New Roman" w:hAnsi="Times New Roman"/>
          <w:b/>
        </w:rPr>
      </w:pPr>
      <w:r w:rsidRPr="00811391">
        <w:rPr>
          <w:rFonts w:ascii="Times New Roman" w:hAnsi="Times New Roman"/>
          <w:b/>
        </w:rPr>
        <w:t>A.12</w:t>
      </w:r>
      <w:r w:rsidRPr="00811391" w:rsidR="00BF491C">
        <w:rPr>
          <w:rFonts w:ascii="Times New Roman" w:hAnsi="Times New Roman"/>
          <w:b/>
        </w:rPr>
        <w:t>.1</w:t>
      </w:r>
      <w:r w:rsidRPr="00811391">
        <w:rPr>
          <w:rFonts w:ascii="Times New Roman" w:hAnsi="Times New Roman"/>
          <w:b/>
        </w:rPr>
        <w:tab/>
      </w:r>
      <w:r w:rsidRPr="00811391" w:rsidR="000C005A">
        <w:rPr>
          <w:rFonts w:ascii="Times New Roman" w:hAnsi="Times New Roman"/>
          <w:b/>
        </w:rPr>
        <w:t>Estimates of Hour Burden Including Annualized Hourly Costs</w:t>
      </w:r>
      <w:bookmarkEnd w:id="62"/>
      <w:bookmarkEnd w:id="63"/>
    </w:p>
    <w:p w:rsidRPr="008907A5" w:rsidR="008907A5" w:rsidP="008907A5" w:rsidRDefault="008907A5" w14:paraId="37889F39" w14:textId="77777777">
      <w:pPr>
        <w:pStyle w:val="P1-StandPara"/>
        <w:rPr>
          <w:sz w:val="10"/>
        </w:rPr>
      </w:pPr>
    </w:p>
    <w:tbl>
      <w:tblPr>
        <w:tblW w:w="9753" w:type="dxa"/>
        <w:jc w:val="center"/>
        <w:tblCellMar>
          <w:left w:w="100" w:type="dxa"/>
          <w:right w:w="100" w:type="dxa"/>
        </w:tblCellMar>
        <w:tblLook w:val="0000" w:firstRow="0" w:lastRow="0" w:firstColumn="0" w:lastColumn="0" w:noHBand="0" w:noVBand="0"/>
      </w:tblPr>
      <w:tblGrid>
        <w:gridCol w:w="3927"/>
        <w:gridCol w:w="1388"/>
        <w:gridCol w:w="1385"/>
        <w:gridCol w:w="1572"/>
        <w:gridCol w:w="1481"/>
      </w:tblGrid>
      <w:tr w:rsidRPr="00026BE6" w:rsidR="00FB5625" w:rsidTr="35698269" w14:paraId="361C6668" w14:textId="77777777">
        <w:trPr>
          <w:cantSplit/>
          <w:trHeight w:val="336"/>
          <w:jc w:val="center"/>
        </w:trPr>
        <w:tc>
          <w:tcPr>
            <w:tcW w:w="9753" w:type="dxa"/>
            <w:gridSpan w:val="5"/>
            <w:tcBorders>
              <w:top w:val="single" w:color="auto" w:sz="6" w:space="0"/>
              <w:left w:val="single" w:color="auto" w:sz="6" w:space="0"/>
              <w:right w:val="single" w:color="auto" w:sz="6" w:space="0"/>
            </w:tcBorders>
            <w:shd w:val="clear" w:color="auto" w:fill="F2F2F2" w:themeFill="background1" w:themeFillShade="F2"/>
            <w:vAlign w:val="center"/>
          </w:tcPr>
          <w:p w:rsidRPr="005E2BD5" w:rsidR="00FB5625" w:rsidP="00723118" w:rsidRDefault="00FB5625" w14:paraId="0F511EEF" w14:textId="77777777">
            <w:pPr>
              <w:spacing w:after="0" w:line="240" w:lineRule="auto"/>
              <w:ind w:left="360"/>
              <w:jc w:val="center"/>
              <w:rPr>
                <w:b/>
              </w:rPr>
            </w:pPr>
            <w:r w:rsidRPr="005E2BD5">
              <w:rPr>
                <w:b/>
              </w:rPr>
              <w:t>Annual Burden Hours</w:t>
            </w:r>
            <w:r w:rsidRPr="005E2BD5" w:rsidR="009946BB">
              <w:rPr>
                <w:b/>
              </w:rPr>
              <w:t xml:space="preserve"> Estimate</w:t>
            </w:r>
          </w:p>
        </w:tc>
      </w:tr>
      <w:tr w:rsidRPr="004954BE" w:rsidR="00FB5625" w:rsidTr="35698269" w14:paraId="240E41F0" w14:textId="77777777">
        <w:trPr>
          <w:cantSplit/>
          <w:trHeight w:val="403"/>
          <w:jc w:val="center"/>
        </w:trPr>
        <w:tc>
          <w:tcPr>
            <w:tcW w:w="3927" w:type="dxa"/>
            <w:tcBorders>
              <w:top w:val="single" w:color="auto" w:sz="6" w:space="0"/>
              <w:left w:val="single" w:color="auto" w:sz="6" w:space="0"/>
            </w:tcBorders>
            <w:vAlign w:val="center"/>
          </w:tcPr>
          <w:p w:rsidRPr="004954BE" w:rsidR="00FB5625" w:rsidP="005E2BD5" w:rsidRDefault="00FB5625" w14:paraId="7A91645E" w14:textId="77777777">
            <w:pPr>
              <w:spacing w:after="0"/>
              <w:rPr>
                <w:b/>
              </w:rPr>
            </w:pPr>
            <w:r w:rsidRPr="004954BE">
              <w:rPr>
                <w:b/>
              </w:rPr>
              <w:t>Form</w:t>
            </w:r>
          </w:p>
        </w:tc>
        <w:tc>
          <w:tcPr>
            <w:tcW w:w="1388" w:type="dxa"/>
            <w:tcBorders>
              <w:top w:val="single" w:color="auto" w:sz="6" w:space="0"/>
              <w:left w:val="single" w:color="auto" w:sz="6" w:space="0"/>
            </w:tcBorders>
            <w:vAlign w:val="center"/>
          </w:tcPr>
          <w:p w:rsidRPr="005E2BD5" w:rsidR="00FB5625" w:rsidP="005E2BD5" w:rsidRDefault="00FB5625" w14:paraId="36C45A04" w14:textId="77777777">
            <w:pPr>
              <w:spacing w:after="0"/>
              <w:jc w:val="center"/>
              <w:rPr>
                <w:b/>
              </w:rPr>
            </w:pPr>
            <w:r w:rsidRPr="005E2BD5">
              <w:rPr>
                <w:b/>
              </w:rPr>
              <w:t>Number of Respondents</w:t>
            </w:r>
          </w:p>
        </w:tc>
        <w:tc>
          <w:tcPr>
            <w:tcW w:w="1385" w:type="dxa"/>
            <w:tcBorders>
              <w:top w:val="single" w:color="auto" w:sz="6" w:space="0"/>
              <w:left w:val="single" w:color="auto" w:sz="6" w:space="0"/>
            </w:tcBorders>
            <w:vAlign w:val="center"/>
          </w:tcPr>
          <w:p w:rsidRPr="004954BE" w:rsidR="00FB5625" w:rsidP="005E2BD5" w:rsidRDefault="00EF2D14" w14:paraId="25BE2CA3" w14:textId="2D7DD396">
            <w:pPr>
              <w:spacing w:after="0"/>
              <w:jc w:val="center"/>
              <w:rPr>
                <w:b/>
              </w:rPr>
            </w:pPr>
            <w:r>
              <w:rPr>
                <w:b/>
              </w:rPr>
              <w:t>Number of Responses per Respondent</w:t>
            </w:r>
            <w:r w:rsidRPr="004954BE" w:rsidR="00FB5625">
              <w:rPr>
                <w:b/>
              </w:rPr>
              <w:t xml:space="preserve"> </w:t>
            </w:r>
          </w:p>
        </w:tc>
        <w:tc>
          <w:tcPr>
            <w:tcW w:w="1572" w:type="dxa"/>
            <w:tcBorders>
              <w:top w:val="single" w:color="auto" w:sz="6" w:space="0"/>
              <w:left w:val="single" w:color="auto" w:sz="6" w:space="0"/>
            </w:tcBorders>
            <w:vAlign w:val="center"/>
          </w:tcPr>
          <w:p w:rsidRPr="004954BE" w:rsidR="00FB5625" w:rsidP="005E2BD5" w:rsidRDefault="009946BB" w14:paraId="0BC3333F" w14:textId="77777777">
            <w:pPr>
              <w:spacing w:after="0"/>
              <w:jc w:val="center"/>
              <w:rPr>
                <w:b/>
              </w:rPr>
            </w:pPr>
            <w:r>
              <w:rPr>
                <w:b/>
              </w:rPr>
              <w:t>Average Time Per Response (in H</w:t>
            </w:r>
            <w:r w:rsidRPr="004954BE" w:rsidR="00FB5625">
              <w:rPr>
                <w:b/>
              </w:rPr>
              <w:t>ours)</w:t>
            </w:r>
          </w:p>
        </w:tc>
        <w:tc>
          <w:tcPr>
            <w:tcW w:w="1481" w:type="dxa"/>
            <w:tcBorders>
              <w:top w:val="single" w:color="auto" w:sz="6" w:space="0"/>
              <w:left w:val="single" w:color="auto" w:sz="6" w:space="0"/>
              <w:right w:val="single" w:color="auto" w:sz="6" w:space="0"/>
            </w:tcBorders>
            <w:vAlign w:val="center"/>
          </w:tcPr>
          <w:p w:rsidRPr="004954BE" w:rsidR="00FB5625" w:rsidP="005E2BD5" w:rsidRDefault="00FB5625" w14:paraId="5A91BD0B" w14:textId="77777777">
            <w:pPr>
              <w:spacing w:after="0"/>
              <w:jc w:val="center"/>
              <w:rPr>
                <w:b/>
              </w:rPr>
            </w:pPr>
            <w:r w:rsidRPr="004954BE">
              <w:rPr>
                <w:b/>
              </w:rPr>
              <w:t>Total Annual Burden Hour</w:t>
            </w:r>
          </w:p>
        </w:tc>
      </w:tr>
      <w:tr w:rsidRPr="00026BE6" w:rsidR="00FB5625" w:rsidTr="35698269" w14:paraId="01B858E4" w14:textId="77777777">
        <w:trPr>
          <w:cantSplit/>
          <w:trHeight w:val="65"/>
          <w:jc w:val="center"/>
        </w:trPr>
        <w:tc>
          <w:tcPr>
            <w:tcW w:w="3927" w:type="dxa"/>
            <w:tcBorders>
              <w:top w:val="single" w:color="auto" w:sz="6" w:space="0"/>
              <w:left w:val="single" w:color="auto" w:sz="6" w:space="0"/>
              <w:bottom w:val="single" w:color="auto" w:sz="6" w:space="0"/>
            </w:tcBorders>
            <w:vAlign w:val="center"/>
          </w:tcPr>
          <w:p w:rsidRPr="004604B1" w:rsidR="00FB5625" w:rsidP="005E2BD5" w:rsidRDefault="006F1B10" w14:paraId="52046017" w14:textId="77777777">
            <w:pPr>
              <w:spacing w:after="0"/>
            </w:pPr>
            <w:r w:rsidRPr="004604B1">
              <w:t>User Registration</w:t>
            </w:r>
          </w:p>
        </w:tc>
        <w:tc>
          <w:tcPr>
            <w:tcW w:w="1388" w:type="dxa"/>
            <w:tcBorders>
              <w:top w:val="single" w:color="auto" w:sz="6" w:space="0"/>
              <w:left w:val="single" w:color="auto" w:sz="6" w:space="0"/>
              <w:bottom w:val="single" w:color="auto" w:sz="6" w:space="0"/>
            </w:tcBorders>
            <w:vAlign w:val="center"/>
          </w:tcPr>
          <w:p w:rsidRPr="004604B1" w:rsidR="00FB5625" w:rsidP="005E2BD5" w:rsidRDefault="00D52F20" w14:paraId="0CE72C46" w14:textId="77777777">
            <w:pPr>
              <w:spacing w:after="0"/>
              <w:jc w:val="center"/>
            </w:pPr>
            <w:r>
              <w:t>200</w:t>
            </w:r>
          </w:p>
        </w:tc>
        <w:tc>
          <w:tcPr>
            <w:tcW w:w="1385" w:type="dxa"/>
            <w:tcBorders>
              <w:top w:val="single" w:color="auto" w:sz="6" w:space="0"/>
              <w:left w:val="single" w:color="auto" w:sz="6" w:space="0"/>
              <w:bottom w:val="single" w:color="auto" w:sz="6" w:space="0"/>
            </w:tcBorders>
            <w:vAlign w:val="center"/>
          </w:tcPr>
          <w:p w:rsidRPr="004604B1" w:rsidR="00FB5625" w:rsidP="005E2BD5" w:rsidRDefault="00FB5625" w14:paraId="1B9A2BB6" w14:textId="77777777">
            <w:pPr>
              <w:spacing w:after="0"/>
              <w:jc w:val="center"/>
            </w:pPr>
            <w:r w:rsidRPr="004604B1">
              <w:t>1</w:t>
            </w:r>
          </w:p>
        </w:tc>
        <w:tc>
          <w:tcPr>
            <w:tcW w:w="1572" w:type="dxa"/>
            <w:tcBorders>
              <w:top w:val="single" w:color="auto" w:sz="6" w:space="0"/>
              <w:left w:val="single" w:color="auto" w:sz="6" w:space="0"/>
              <w:bottom w:val="single" w:color="auto" w:sz="6" w:space="0"/>
            </w:tcBorders>
            <w:vAlign w:val="center"/>
          </w:tcPr>
          <w:p w:rsidRPr="004604B1" w:rsidR="00FB5625" w:rsidP="005E2BD5" w:rsidRDefault="00FB5625" w14:paraId="048B9407" w14:textId="77777777">
            <w:pPr>
              <w:spacing w:after="0"/>
              <w:jc w:val="center"/>
            </w:pPr>
            <w:r w:rsidRPr="004604B1">
              <w:t>5/60</w:t>
            </w:r>
          </w:p>
        </w:tc>
        <w:tc>
          <w:tcPr>
            <w:tcW w:w="1481" w:type="dxa"/>
            <w:tcBorders>
              <w:top w:val="single" w:color="auto" w:sz="6" w:space="0"/>
              <w:left w:val="single" w:color="auto" w:sz="6" w:space="0"/>
              <w:bottom w:val="single" w:color="auto" w:sz="6" w:space="0"/>
              <w:right w:val="single" w:color="auto" w:sz="6" w:space="0"/>
            </w:tcBorders>
            <w:vAlign w:val="center"/>
          </w:tcPr>
          <w:p w:rsidRPr="004604B1" w:rsidR="00FB5625" w:rsidP="005E2BD5" w:rsidRDefault="006162D6" w14:paraId="79BA78C7" w14:textId="77777777">
            <w:pPr>
              <w:spacing w:after="0"/>
              <w:jc w:val="center"/>
            </w:pPr>
            <w:r>
              <w:t>17</w:t>
            </w:r>
          </w:p>
        </w:tc>
      </w:tr>
      <w:tr w:rsidRPr="00026BE6" w:rsidR="00FB5625" w:rsidTr="35698269" w14:paraId="2DCF689A" w14:textId="77777777">
        <w:trPr>
          <w:cantSplit/>
          <w:trHeight w:val="228"/>
          <w:jc w:val="center"/>
        </w:trPr>
        <w:tc>
          <w:tcPr>
            <w:tcW w:w="3927" w:type="dxa"/>
            <w:tcBorders>
              <w:top w:val="single" w:color="auto" w:sz="6" w:space="0"/>
              <w:left w:val="single" w:color="auto" w:sz="6" w:space="0"/>
              <w:bottom w:val="single" w:color="auto" w:sz="6" w:space="0"/>
            </w:tcBorders>
            <w:vAlign w:val="center"/>
          </w:tcPr>
          <w:p w:rsidRPr="004604B1" w:rsidR="00FB5625" w:rsidP="005E2BD5" w:rsidRDefault="00FB5625" w14:paraId="1836DA34" w14:textId="77777777">
            <w:pPr>
              <w:spacing w:after="0"/>
            </w:pPr>
            <w:r w:rsidRPr="004604B1">
              <w:t>Data</w:t>
            </w:r>
            <w:r w:rsidRPr="004604B1" w:rsidR="006F1B10">
              <w:t xml:space="preserve"> </w:t>
            </w:r>
            <w:r w:rsidR="00D27D68">
              <w:t xml:space="preserve">and Biospecimen Inventory </w:t>
            </w:r>
            <w:r w:rsidRPr="004604B1" w:rsidR="006F1B10">
              <w:t>Submission</w:t>
            </w:r>
          </w:p>
        </w:tc>
        <w:tc>
          <w:tcPr>
            <w:tcW w:w="1388" w:type="dxa"/>
            <w:tcBorders>
              <w:top w:val="single" w:color="auto" w:sz="6" w:space="0"/>
              <w:left w:val="single" w:color="auto" w:sz="6" w:space="0"/>
              <w:bottom w:val="single" w:color="auto" w:sz="6" w:space="0"/>
            </w:tcBorders>
            <w:vAlign w:val="center"/>
          </w:tcPr>
          <w:p w:rsidRPr="004604B1" w:rsidR="00FB5625" w:rsidP="005E2BD5" w:rsidRDefault="00FB5625" w14:paraId="0B5DB94A" w14:textId="77777777">
            <w:pPr>
              <w:spacing w:after="0"/>
              <w:jc w:val="center"/>
            </w:pPr>
            <w:r w:rsidRPr="004604B1">
              <w:t>36</w:t>
            </w:r>
          </w:p>
        </w:tc>
        <w:tc>
          <w:tcPr>
            <w:tcW w:w="1385" w:type="dxa"/>
            <w:tcBorders>
              <w:top w:val="single" w:color="auto" w:sz="6" w:space="0"/>
              <w:left w:val="single" w:color="auto" w:sz="6" w:space="0"/>
              <w:bottom w:val="single" w:color="auto" w:sz="6" w:space="0"/>
            </w:tcBorders>
            <w:vAlign w:val="center"/>
          </w:tcPr>
          <w:p w:rsidRPr="004604B1" w:rsidR="00FB5625" w:rsidP="005E2BD5" w:rsidRDefault="00FB5625" w14:paraId="2599FF6F" w14:textId="77777777">
            <w:pPr>
              <w:spacing w:after="0"/>
              <w:jc w:val="center"/>
            </w:pPr>
            <w:r w:rsidRPr="004604B1">
              <w:t>1</w:t>
            </w:r>
          </w:p>
        </w:tc>
        <w:tc>
          <w:tcPr>
            <w:tcW w:w="1572" w:type="dxa"/>
            <w:tcBorders>
              <w:top w:val="single" w:color="auto" w:sz="6" w:space="0"/>
              <w:left w:val="single" w:color="auto" w:sz="6" w:space="0"/>
              <w:bottom w:val="single" w:color="auto" w:sz="6" w:space="0"/>
            </w:tcBorders>
            <w:vAlign w:val="center"/>
          </w:tcPr>
          <w:p w:rsidRPr="004604B1" w:rsidR="00FB5625" w:rsidP="005E2BD5" w:rsidRDefault="00FB5625" w14:paraId="1FE91DF7" w14:textId="77777777">
            <w:pPr>
              <w:spacing w:after="0"/>
              <w:jc w:val="center"/>
            </w:pPr>
            <w:r w:rsidRPr="004604B1">
              <w:t>2</w:t>
            </w:r>
          </w:p>
        </w:tc>
        <w:tc>
          <w:tcPr>
            <w:tcW w:w="1481" w:type="dxa"/>
            <w:tcBorders>
              <w:top w:val="single" w:color="auto" w:sz="6" w:space="0"/>
              <w:left w:val="single" w:color="auto" w:sz="6" w:space="0"/>
              <w:bottom w:val="single" w:color="auto" w:sz="6" w:space="0"/>
              <w:right w:val="single" w:color="auto" w:sz="6" w:space="0"/>
            </w:tcBorders>
            <w:vAlign w:val="center"/>
          </w:tcPr>
          <w:p w:rsidRPr="004604B1" w:rsidR="00FB5625" w:rsidP="005E2BD5" w:rsidRDefault="00453A78" w14:paraId="4D2F6200" w14:textId="77777777">
            <w:pPr>
              <w:spacing w:after="0"/>
              <w:jc w:val="center"/>
            </w:pPr>
            <w:r>
              <w:t>72</w:t>
            </w:r>
          </w:p>
        </w:tc>
      </w:tr>
      <w:tr w:rsidRPr="00113D8C" w:rsidR="00113D8C" w:rsidTr="35698269" w14:paraId="553126D1" w14:textId="77777777">
        <w:trPr>
          <w:cantSplit/>
          <w:trHeight w:val="282"/>
          <w:jc w:val="center"/>
        </w:trPr>
        <w:tc>
          <w:tcPr>
            <w:tcW w:w="3927" w:type="dxa"/>
            <w:tcBorders>
              <w:top w:val="single" w:color="auto" w:sz="6" w:space="0"/>
              <w:left w:val="single" w:color="auto" w:sz="6" w:space="0"/>
              <w:bottom w:val="single" w:color="auto" w:sz="6" w:space="0"/>
            </w:tcBorders>
            <w:vAlign w:val="center"/>
          </w:tcPr>
          <w:p w:rsidRPr="00113D8C" w:rsidR="003E32FB" w:rsidP="006F1B10" w:rsidRDefault="003E32FB" w14:paraId="5F21FBD0" w14:textId="6952B691">
            <w:pPr>
              <w:spacing w:after="0"/>
              <w:rPr>
                <w:color w:val="000000" w:themeColor="text1"/>
                <w:highlight w:val="yellow"/>
              </w:rPr>
            </w:pPr>
            <w:r w:rsidRPr="00113D8C">
              <w:rPr>
                <w:color w:val="000000" w:themeColor="text1"/>
                <w:highlight w:val="yellow"/>
              </w:rPr>
              <w:t>Study Catalog Submission</w:t>
            </w:r>
          </w:p>
        </w:tc>
        <w:tc>
          <w:tcPr>
            <w:tcW w:w="1388" w:type="dxa"/>
            <w:tcBorders>
              <w:top w:val="single" w:color="auto" w:sz="6" w:space="0"/>
              <w:left w:val="single" w:color="auto" w:sz="6" w:space="0"/>
              <w:bottom w:val="single" w:color="auto" w:sz="6" w:space="0"/>
            </w:tcBorders>
            <w:vAlign w:val="center"/>
          </w:tcPr>
          <w:p w:rsidRPr="00113D8C" w:rsidR="003E32FB" w:rsidP="005E2BD5" w:rsidRDefault="686DA8AB" w14:paraId="35C63EF8" w14:textId="49CB12E1">
            <w:pPr>
              <w:spacing w:after="0"/>
              <w:jc w:val="center"/>
              <w:rPr>
                <w:color w:val="000000" w:themeColor="text1"/>
                <w:highlight w:val="yellow"/>
              </w:rPr>
            </w:pPr>
            <w:r w:rsidRPr="00113D8C">
              <w:rPr>
                <w:color w:val="000000" w:themeColor="text1"/>
                <w:highlight w:val="yellow"/>
              </w:rPr>
              <w:t>1</w:t>
            </w:r>
            <w:r w:rsidRPr="00113D8C" w:rsidR="6C2FF5E7">
              <w:rPr>
                <w:color w:val="000000" w:themeColor="text1"/>
                <w:highlight w:val="yellow"/>
              </w:rPr>
              <w:t>0</w:t>
            </w:r>
          </w:p>
        </w:tc>
        <w:tc>
          <w:tcPr>
            <w:tcW w:w="1385" w:type="dxa"/>
            <w:tcBorders>
              <w:top w:val="single" w:color="auto" w:sz="6" w:space="0"/>
              <w:left w:val="single" w:color="auto" w:sz="6" w:space="0"/>
              <w:bottom w:val="single" w:color="auto" w:sz="6" w:space="0"/>
            </w:tcBorders>
            <w:vAlign w:val="center"/>
          </w:tcPr>
          <w:p w:rsidRPr="00113D8C" w:rsidR="003E32FB" w:rsidP="005E2BD5" w:rsidRDefault="003E32FB" w14:paraId="116A72DC" w14:textId="2532BB22">
            <w:pPr>
              <w:spacing w:after="0"/>
              <w:jc w:val="center"/>
              <w:rPr>
                <w:color w:val="000000" w:themeColor="text1"/>
                <w:highlight w:val="yellow"/>
              </w:rPr>
            </w:pPr>
            <w:r w:rsidRPr="00113D8C">
              <w:rPr>
                <w:color w:val="000000" w:themeColor="text1"/>
                <w:highlight w:val="yellow"/>
              </w:rPr>
              <w:t>1</w:t>
            </w:r>
          </w:p>
        </w:tc>
        <w:tc>
          <w:tcPr>
            <w:tcW w:w="1572" w:type="dxa"/>
            <w:tcBorders>
              <w:top w:val="single" w:color="auto" w:sz="6" w:space="0"/>
              <w:left w:val="single" w:color="auto" w:sz="6" w:space="0"/>
              <w:bottom w:val="single" w:color="auto" w:sz="6" w:space="0"/>
            </w:tcBorders>
            <w:vAlign w:val="center"/>
          </w:tcPr>
          <w:p w:rsidRPr="00113D8C" w:rsidR="003E32FB" w:rsidP="005E2BD5" w:rsidRDefault="00811391" w14:paraId="3BC50F54" w14:textId="7C04099C">
            <w:pPr>
              <w:spacing w:after="0"/>
              <w:jc w:val="center"/>
              <w:rPr>
                <w:color w:val="000000" w:themeColor="text1"/>
                <w:highlight w:val="yellow"/>
              </w:rPr>
            </w:pPr>
            <w:r w:rsidRPr="00113D8C">
              <w:rPr>
                <w:color w:val="000000" w:themeColor="text1"/>
                <w:highlight w:val="yellow"/>
              </w:rPr>
              <w:t>30/60</w:t>
            </w:r>
          </w:p>
        </w:tc>
        <w:tc>
          <w:tcPr>
            <w:tcW w:w="1481" w:type="dxa"/>
            <w:tcBorders>
              <w:top w:val="single" w:color="auto" w:sz="6" w:space="0"/>
              <w:left w:val="single" w:color="auto" w:sz="6" w:space="0"/>
              <w:bottom w:val="single" w:color="auto" w:sz="6" w:space="0"/>
              <w:right w:val="single" w:color="auto" w:sz="6" w:space="0"/>
            </w:tcBorders>
            <w:vAlign w:val="center"/>
          </w:tcPr>
          <w:p w:rsidRPr="00113D8C" w:rsidR="003E32FB" w:rsidP="005E2BD5" w:rsidRDefault="00031F7D" w14:paraId="11E9E634" w14:textId="1C6B7CD6">
            <w:pPr>
              <w:spacing w:after="0"/>
              <w:jc w:val="center"/>
              <w:rPr>
                <w:color w:val="000000" w:themeColor="text1"/>
                <w:highlight w:val="yellow"/>
              </w:rPr>
            </w:pPr>
            <w:r w:rsidRPr="00113D8C">
              <w:rPr>
                <w:color w:val="000000" w:themeColor="text1"/>
                <w:highlight w:val="yellow"/>
              </w:rPr>
              <w:t>5</w:t>
            </w:r>
          </w:p>
        </w:tc>
      </w:tr>
      <w:tr w:rsidRPr="00113D8C" w:rsidR="00113D8C" w:rsidTr="35698269" w14:paraId="275F65D0" w14:textId="77777777">
        <w:trPr>
          <w:cantSplit/>
          <w:trHeight w:val="282"/>
          <w:jc w:val="center"/>
        </w:trPr>
        <w:tc>
          <w:tcPr>
            <w:tcW w:w="3927" w:type="dxa"/>
            <w:tcBorders>
              <w:top w:val="single" w:color="auto" w:sz="6" w:space="0"/>
              <w:left w:val="single" w:color="auto" w:sz="6" w:space="0"/>
              <w:bottom w:val="single" w:color="auto" w:sz="6" w:space="0"/>
            </w:tcBorders>
            <w:vAlign w:val="center"/>
          </w:tcPr>
          <w:p w:rsidRPr="00113D8C" w:rsidR="007F3EF1" w:rsidP="006F1B10" w:rsidRDefault="007F3EF1" w14:paraId="6A23EC9D" w14:textId="4E26DF23">
            <w:pPr>
              <w:spacing w:after="0"/>
              <w:rPr>
                <w:color w:val="000000" w:themeColor="text1"/>
                <w:highlight w:val="yellow"/>
              </w:rPr>
            </w:pPr>
            <w:r w:rsidRPr="00113D8C">
              <w:rPr>
                <w:color w:val="000000" w:themeColor="text1"/>
                <w:highlight w:val="yellow"/>
              </w:rPr>
              <w:t>Data Collection Catalog Submission</w:t>
            </w:r>
          </w:p>
        </w:tc>
        <w:tc>
          <w:tcPr>
            <w:tcW w:w="1388" w:type="dxa"/>
            <w:tcBorders>
              <w:top w:val="single" w:color="auto" w:sz="6" w:space="0"/>
              <w:left w:val="single" w:color="auto" w:sz="6" w:space="0"/>
              <w:bottom w:val="single" w:color="auto" w:sz="6" w:space="0"/>
            </w:tcBorders>
            <w:vAlign w:val="center"/>
          </w:tcPr>
          <w:p w:rsidRPr="00113D8C" w:rsidR="007F3EF1" w:rsidP="35698269" w:rsidRDefault="03439D94" w14:paraId="7F3944BC" w14:textId="5B870FFF">
            <w:pPr>
              <w:spacing w:after="0"/>
              <w:jc w:val="center"/>
              <w:rPr>
                <w:color w:val="000000" w:themeColor="text1"/>
                <w:highlight w:val="yellow"/>
              </w:rPr>
            </w:pPr>
            <w:r w:rsidRPr="00113D8C">
              <w:rPr>
                <w:color w:val="000000" w:themeColor="text1"/>
                <w:highlight w:val="yellow"/>
              </w:rPr>
              <w:t>6</w:t>
            </w:r>
          </w:p>
        </w:tc>
        <w:tc>
          <w:tcPr>
            <w:tcW w:w="1385" w:type="dxa"/>
            <w:tcBorders>
              <w:top w:val="single" w:color="auto" w:sz="6" w:space="0"/>
              <w:left w:val="single" w:color="auto" w:sz="6" w:space="0"/>
              <w:bottom w:val="single" w:color="auto" w:sz="6" w:space="0"/>
            </w:tcBorders>
            <w:vAlign w:val="center"/>
          </w:tcPr>
          <w:p w:rsidRPr="00113D8C" w:rsidR="007F3EF1" w:rsidP="005E2BD5" w:rsidRDefault="007F3EF1" w14:paraId="530ECA3F" w14:textId="444B3362">
            <w:pPr>
              <w:spacing w:after="0"/>
              <w:jc w:val="center"/>
              <w:rPr>
                <w:color w:val="000000" w:themeColor="text1"/>
                <w:highlight w:val="yellow"/>
              </w:rPr>
            </w:pPr>
            <w:r w:rsidRPr="00113D8C">
              <w:rPr>
                <w:color w:val="000000" w:themeColor="text1"/>
                <w:highlight w:val="yellow"/>
              </w:rPr>
              <w:t>1</w:t>
            </w:r>
          </w:p>
        </w:tc>
        <w:tc>
          <w:tcPr>
            <w:tcW w:w="1572" w:type="dxa"/>
            <w:tcBorders>
              <w:top w:val="single" w:color="auto" w:sz="6" w:space="0"/>
              <w:left w:val="single" w:color="auto" w:sz="6" w:space="0"/>
              <w:bottom w:val="single" w:color="auto" w:sz="6" w:space="0"/>
            </w:tcBorders>
            <w:vAlign w:val="center"/>
          </w:tcPr>
          <w:p w:rsidRPr="00113D8C" w:rsidR="007F3EF1" w:rsidP="005E2BD5" w:rsidRDefault="007F3EF1" w14:paraId="7971A6BA" w14:textId="76ABDBB6">
            <w:pPr>
              <w:spacing w:after="0"/>
              <w:jc w:val="center"/>
              <w:rPr>
                <w:color w:val="000000" w:themeColor="text1"/>
                <w:highlight w:val="yellow"/>
              </w:rPr>
            </w:pPr>
            <w:r w:rsidRPr="00113D8C">
              <w:rPr>
                <w:color w:val="000000" w:themeColor="text1"/>
                <w:highlight w:val="yellow"/>
              </w:rPr>
              <w:t>15/60</w:t>
            </w:r>
          </w:p>
        </w:tc>
        <w:tc>
          <w:tcPr>
            <w:tcW w:w="1481" w:type="dxa"/>
            <w:tcBorders>
              <w:top w:val="single" w:color="auto" w:sz="6" w:space="0"/>
              <w:left w:val="single" w:color="auto" w:sz="6" w:space="0"/>
              <w:bottom w:val="single" w:color="auto" w:sz="6" w:space="0"/>
              <w:right w:val="single" w:color="auto" w:sz="6" w:space="0"/>
            </w:tcBorders>
            <w:vAlign w:val="center"/>
          </w:tcPr>
          <w:p w:rsidRPr="00113D8C" w:rsidR="007F3EF1" w:rsidP="005E2BD5" w:rsidRDefault="00824F7A" w14:paraId="18163797" w14:textId="5EFBEE9B">
            <w:pPr>
              <w:spacing w:after="0"/>
              <w:jc w:val="center"/>
              <w:rPr>
                <w:color w:val="000000" w:themeColor="text1"/>
                <w:highlight w:val="yellow"/>
              </w:rPr>
            </w:pPr>
            <w:r w:rsidRPr="00113D8C">
              <w:rPr>
                <w:color w:val="000000" w:themeColor="text1"/>
                <w:highlight w:val="yellow"/>
              </w:rPr>
              <w:t>2</w:t>
            </w:r>
          </w:p>
        </w:tc>
      </w:tr>
      <w:tr w:rsidRPr="00113D8C" w:rsidR="00113D8C" w:rsidTr="35698269" w14:paraId="744E24B9" w14:textId="77777777">
        <w:trPr>
          <w:cantSplit/>
          <w:trHeight w:val="282"/>
          <w:jc w:val="center"/>
        </w:trPr>
        <w:tc>
          <w:tcPr>
            <w:tcW w:w="3927" w:type="dxa"/>
            <w:tcBorders>
              <w:top w:val="single" w:color="auto" w:sz="6" w:space="0"/>
              <w:left w:val="single" w:color="auto" w:sz="6" w:space="0"/>
              <w:bottom w:val="single" w:color="auto" w:sz="6" w:space="0"/>
            </w:tcBorders>
            <w:vAlign w:val="center"/>
          </w:tcPr>
          <w:p w:rsidRPr="00113D8C" w:rsidR="00FB5625" w:rsidP="006F1B10" w:rsidRDefault="006F1B10" w14:paraId="08ECA42E" w14:textId="77777777">
            <w:pPr>
              <w:spacing w:after="0"/>
              <w:rPr>
                <w:color w:val="000000" w:themeColor="text1"/>
              </w:rPr>
            </w:pPr>
            <w:r w:rsidRPr="00113D8C">
              <w:rPr>
                <w:color w:val="000000" w:themeColor="text1"/>
              </w:rPr>
              <w:t xml:space="preserve">Data </w:t>
            </w:r>
            <w:r w:rsidRPr="00113D8C" w:rsidR="00FB5625">
              <w:rPr>
                <w:color w:val="000000" w:themeColor="text1"/>
              </w:rPr>
              <w:t>Request</w:t>
            </w:r>
            <w:r w:rsidRPr="00113D8C" w:rsidR="004604B1">
              <w:rPr>
                <w:color w:val="000000" w:themeColor="text1"/>
              </w:rPr>
              <w:t xml:space="preserve"> </w:t>
            </w:r>
          </w:p>
        </w:tc>
        <w:tc>
          <w:tcPr>
            <w:tcW w:w="1388" w:type="dxa"/>
            <w:tcBorders>
              <w:top w:val="single" w:color="auto" w:sz="6" w:space="0"/>
              <w:left w:val="single" w:color="auto" w:sz="6" w:space="0"/>
              <w:bottom w:val="single" w:color="auto" w:sz="6" w:space="0"/>
            </w:tcBorders>
            <w:vAlign w:val="center"/>
          </w:tcPr>
          <w:p w:rsidRPr="00113D8C" w:rsidR="00FB5625" w:rsidP="005E2BD5" w:rsidRDefault="00FB5625" w14:paraId="79633014" w14:textId="77777777">
            <w:pPr>
              <w:spacing w:after="0"/>
              <w:jc w:val="center"/>
              <w:rPr>
                <w:color w:val="000000" w:themeColor="text1"/>
              </w:rPr>
            </w:pPr>
            <w:r w:rsidRPr="00113D8C">
              <w:rPr>
                <w:color w:val="000000" w:themeColor="text1"/>
              </w:rPr>
              <w:t>60</w:t>
            </w:r>
          </w:p>
        </w:tc>
        <w:tc>
          <w:tcPr>
            <w:tcW w:w="1385" w:type="dxa"/>
            <w:tcBorders>
              <w:top w:val="single" w:color="auto" w:sz="6" w:space="0"/>
              <w:left w:val="single" w:color="auto" w:sz="6" w:space="0"/>
              <w:bottom w:val="single" w:color="auto" w:sz="6" w:space="0"/>
            </w:tcBorders>
            <w:vAlign w:val="center"/>
          </w:tcPr>
          <w:p w:rsidRPr="00113D8C" w:rsidR="00FB5625" w:rsidP="005E2BD5" w:rsidRDefault="00FB5625" w14:paraId="6D387862" w14:textId="77777777">
            <w:pPr>
              <w:spacing w:after="0"/>
              <w:jc w:val="center"/>
              <w:rPr>
                <w:color w:val="000000" w:themeColor="text1"/>
              </w:rPr>
            </w:pPr>
            <w:r w:rsidRPr="00113D8C">
              <w:rPr>
                <w:color w:val="000000" w:themeColor="text1"/>
              </w:rPr>
              <w:t>1</w:t>
            </w:r>
          </w:p>
        </w:tc>
        <w:tc>
          <w:tcPr>
            <w:tcW w:w="1572" w:type="dxa"/>
            <w:tcBorders>
              <w:top w:val="single" w:color="auto" w:sz="6" w:space="0"/>
              <w:left w:val="single" w:color="auto" w:sz="6" w:space="0"/>
              <w:bottom w:val="single" w:color="auto" w:sz="6" w:space="0"/>
            </w:tcBorders>
            <w:vAlign w:val="center"/>
          </w:tcPr>
          <w:p w:rsidRPr="00113D8C" w:rsidR="00FB5625" w:rsidP="005E2BD5" w:rsidRDefault="00370E35" w14:paraId="2A6F3107" w14:textId="77777777">
            <w:pPr>
              <w:spacing w:after="0"/>
              <w:jc w:val="center"/>
              <w:rPr>
                <w:color w:val="000000" w:themeColor="text1"/>
              </w:rPr>
            </w:pPr>
            <w:r w:rsidRPr="00113D8C">
              <w:rPr>
                <w:color w:val="000000" w:themeColor="text1"/>
              </w:rPr>
              <w:t>1</w:t>
            </w:r>
          </w:p>
        </w:tc>
        <w:tc>
          <w:tcPr>
            <w:tcW w:w="1481" w:type="dxa"/>
            <w:tcBorders>
              <w:top w:val="single" w:color="auto" w:sz="6" w:space="0"/>
              <w:left w:val="single" w:color="auto" w:sz="6" w:space="0"/>
              <w:bottom w:val="single" w:color="auto" w:sz="6" w:space="0"/>
              <w:right w:val="single" w:color="auto" w:sz="6" w:space="0"/>
            </w:tcBorders>
            <w:vAlign w:val="center"/>
          </w:tcPr>
          <w:p w:rsidRPr="00113D8C" w:rsidR="00FB5625" w:rsidP="005E2BD5" w:rsidRDefault="00453A78" w14:paraId="06B8A2E7" w14:textId="77777777">
            <w:pPr>
              <w:spacing w:after="0"/>
              <w:jc w:val="center"/>
              <w:rPr>
                <w:color w:val="000000" w:themeColor="text1"/>
              </w:rPr>
            </w:pPr>
            <w:r w:rsidRPr="00113D8C">
              <w:rPr>
                <w:color w:val="000000" w:themeColor="text1"/>
              </w:rPr>
              <w:t>60</w:t>
            </w:r>
          </w:p>
        </w:tc>
      </w:tr>
      <w:tr w:rsidRPr="00113D8C" w:rsidR="00113D8C" w:rsidTr="35698269" w14:paraId="51E6AEEF" w14:textId="77777777">
        <w:trPr>
          <w:cantSplit/>
          <w:trHeight w:val="309"/>
          <w:jc w:val="center"/>
        </w:trPr>
        <w:tc>
          <w:tcPr>
            <w:tcW w:w="3927" w:type="dxa"/>
            <w:tcBorders>
              <w:top w:val="single" w:color="auto" w:sz="6" w:space="0"/>
              <w:left w:val="single" w:color="auto" w:sz="6" w:space="0"/>
              <w:bottom w:val="single" w:color="auto" w:sz="4" w:space="0"/>
            </w:tcBorders>
            <w:shd w:val="clear" w:color="auto" w:fill="auto"/>
            <w:vAlign w:val="center"/>
          </w:tcPr>
          <w:p w:rsidRPr="00113D8C" w:rsidR="00472C23" w:rsidP="00472C23" w:rsidRDefault="00472C23" w14:paraId="74E3BEDF" w14:textId="77777777">
            <w:pPr>
              <w:spacing w:after="0"/>
              <w:rPr>
                <w:color w:val="000000" w:themeColor="text1"/>
              </w:rPr>
            </w:pPr>
            <w:r w:rsidRPr="00113D8C">
              <w:rPr>
                <w:color w:val="000000" w:themeColor="text1"/>
              </w:rPr>
              <w:t>Biospecimen Request</w:t>
            </w:r>
            <w:r w:rsidRPr="00113D8C" w:rsidR="00E01DA2">
              <w:rPr>
                <w:color w:val="000000" w:themeColor="text1"/>
              </w:rPr>
              <w:t xml:space="preserve"> </w:t>
            </w:r>
          </w:p>
        </w:tc>
        <w:tc>
          <w:tcPr>
            <w:tcW w:w="1388" w:type="dxa"/>
            <w:tcBorders>
              <w:top w:val="single" w:color="auto" w:sz="6" w:space="0"/>
              <w:left w:val="single" w:color="auto" w:sz="6" w:space="0"/>
              <w:bottom w:val="single" w:color="auto" w:sz="4" w:space="0"/>
            </w:tcBorders>
            <w:shd w:val="clear" w:color="auto" w:fill="auto"/>
            <w:vAlign w:val="center"/>
          </w:tcPr>
          <w:p w:rsidRPr="00113D8C" w:rsidR="00472C23" w:rsidP="00472C23" w:rsidRDefault="00BF4F1B" w14:paraId="601E5FFB" w14:textId="77777777">
            <w:pPr>
              <w:spacing w:after="0"/>
              <w:jc w:val="center"/>
              <w:rPr>
                <w:color w:val="000000" w:themeColor="text1"/>
              </w:rPr>
            </w:pPr>
            <w:r w:rsidRPr="00113D8C">
              <w:rPr>
                <w:color w:val="000000" w:themeColor="text1"/>
              </w:rPr>
              <w:t>36</w:t>
            </w:r>
          </w:p>
        </w:tc>
        <w:tc>
          <w:tcPr>
            <w:tcW w:w="1385" w:type="dxa"/>
            <w:tcBorders>
              <w:top w:val="single" w:color="auto" w:sz="6" w:space="0"/>
              <w:left w:val="single" w:color="auto" w:sz="6" w:space="0"/>
              <w:bottom w:val="single" w:color="auto" w:sz="4" w:space="0"/>
            </w:tcBorders>
            <w:shd w:val="clear" w:color="auto" w:fill="auto"/>
            <w:vAlign w:val="center"/>
          </w:tcPr>
          <w:p w:rsidRPr="00113D8C" w:rsidR="00472C23" w:rsidP="00472C23" w:rsidRDefault="00472C23" w14:paraId="0854FA7A" w14:textId="77777777">
            <w:pPr>
              <w:spacing w:after="0"/>
              <w:jc w:val="center"/>
              <w:rPr>
                <w:color w:val="000000" w:themeColor="text1"/>
              </w:rPr>
            </w:pPr>
            <w:r w:rsidRPr="00113D8C">
              <w:rPr>
                <w:color w:val="000000" w:themeColor="text1"/>
              </w:rPr>
              <w:t>1</w:t>
            </w:r>
          </w:p>
        </w:tc>
        <w:tc>
          <w:tcPr>
            <w:tcW w:w="1572" w:type="dxa"/>
            <w:tcBorders>
              <w:top w:val="single" w:color="auto" w:sz="6" w:space="0"/>
              <w:left w:val="single" w:color="auto" w:sz="6" w:space="0"/>
              <w:bottom w:val="single" w:color="auto" w:sz="4" w:space="0"/>
            </w:tcBorders>
            <w:shd w:val="clear" w:color="auto" w:fill="auto"/>
            <w:vAlign w:val="center"/>
          </w:tcPr>
          <w:p w:rsidRPr="00113D8C" w:rsidR="00472C23" w:rsidP="00472C23" w:rsidRDefault="00472C23" w14:paraId="3F19C913" w14:textId="77777777">
            <w:pPr>
              <w:spacing w:after="0"/>
              <w:jc w:val="center"/>
              <w:rPr>
                <w:color w:val="000000" w:themeColor="text1"/>
              </w:rPr>
            </w:pPr>
            <w:r w:rsidRPr="00113D8C">
              <w:rPr>
                <w:color w:val="000000" w:themeColor="text1"/>
              </w:rPr>
              <w:t>1</w:t>
            </w:r>
          </w:p>
        </w:tc>
        <w:tc>
          <w:tcPr>
            <w:tcW w:w="1481" w:type="dxa"/>
            <w:tcBorders>
              <w:top w:val="single" w:color="auto" w:sz="6" w:space="0"/>
              <w:left w:val="single" w:color="auto" w:sz="6" w:space="0"/>
              <w:bottom w:val="single" w:color="auto" w:sz="4" w:space="0"/>
              <w:right w:val="single" w:color="auto" w:sz="6" w:space="0"/>
            </w:tcBorders>
            <w:shd w:val="clear" w:color="auto" w:fill="auto"/>
            <w:vAlign w:val="center"/>
          </w:tcPr>
          <w:p w:rsidRPr="00113D8C" w:rsidR="00472C23" w:rsidP="00472C23" w:rsidRDefault="00453A78" w14:paraId="5B43C4ED" w14:textId="77777777">
            <w:pPr>
              <w:spacing w:after="0"/>
              <w:jc w:val="center"/>
              <w:rPr>
                <w:color w:val="000000" w:themeColor="text1"/>
              </w:rPr>
            </w:pPr>
            <w:r w:rsidRPr="00113D8C">
              <w:rPr>
                <w:color w:val="000000" w:themeColor="text1"/>
              </w:rPr>
              <w:t>36</w:t>
            </w:r>
          </w:p>
        </w:tc>
      </w:tr>
      <w:tr w:rsidRPr="00113D8C" w:rsidR="00113D8C" w:rsidTr="35698269" w14:paraId="23F8C489" w14:textId="77777777">
        <w:trPr>
          <w:cantSplit/>
          <w:trHeight w:val="309"/>
          <w:jc w:val="center"/>
        </w:trPr>
        <w:tc>
          <w:tcPr>
            <w:tcW w:w="3927" w:type="dxa"/>
            <w:tcBorders>
              <w:top w:val="single" w:color="auto" w:sz="6" w:space="0"/>
              <w:left w:val="single" w:color="auto" w:sz="6" w:space="0"/>
              <w:bottom w:val="single" w:color="auto" w:sz="4" w:space="0"/>
            </w:tcBorders>
            <w:shd w:val="clear" w:color="auto" w:fill="auto"/>
            <w:vAlign w:val="center"/>
          </w:tcPr>
          <w:p w:rsidRPr="00113D8C" w:rsidR="00472C23" w:rsidP="00472C23" w:rsidRDefault="00472C23" w14:paraId="19D1E3D0" w14:textId="77777777">
            <w:pPr>
              <w:spacing w:after="0"/>
              <w:rPr>
                <w:color w:val="000000" w:themeColor="text1"/>
              </w:rPr>
            </w:pPr>
            <w:r w:rsidRPr="00113D8C">
              <w:rPr>
                <w:color w:val="000000" w:themeColor="text1"/>
              </w:rPr>
              <w:t>Data Use Annual Progress Report</w:t>
            </w:r>
          </w:p>
        </w:tc>
        <w:tc>
          <w:tcPr>
            <w:tcW w:w="1388" w:type="dxa"/>
            <w:tcBorders>
              <w:top w:val="single" w:color="auto" w:sz="6" w:space="0"/>
              <w:left w:val="single" w:color="auto" w:sz="6" w:space="0"/>
              <w:bottom w:val="single" w:color="auto" w:sz="4" w:space="0"/>
            </w:tcBorders>
            <w:shd w:val="clear" w:color="auto" w:fill="auto"/>
            <w:vAlign w:val="center"/>
          </w:tcPr>
          <w:p w:rsidRPr="00113D8C" w:rsidR="00472C23" w:rsidP="00472C23" w:rsidRDefault="00D27D68" w14:paraId="241D6600" w14:textId="77777777">
            <w:pPr>
              <w:spacing w:after="0"/>
              <w:jc w:val="center"/>
              <w:rPr>
                <w:color w:val="000000" w:themeColor="text1"/>
              </w:rPr>
            </w:pPr>
            <w:r w:rsidRPr="00113D8C">
              <w:rPr>
                <w:color w:val="000000" w:themeColor="text1"/>
              </w:rPr>
              <w:t>60</w:t>
            </w:r>
          </w:p>
        </w:tc>
        <w:tc>
          <w:tcPr>
            <w:tcW w:w="1385" w:type="dxa"/>
            <w:tcBorders>
              <w:top w:val="single" w:color="auto" w:sz="6" w:space="0"/>
              <w:left w:val="single" w:color="auto" w:sz="6" w:space="0"/>
              <w:bottom w:val="single" w:color="auto" w:sz="4" w:space="0"/>
            </w:tcBorders>
            <w:shd w:val="clear" w:color="auto" w:fill="auto"/>
            <w:vAlign w:val="center"/>
          </w:tcPr>
          <w:p w:rsidRPr="00113D8C" w:rsidR="00472C23" w:rsidP="00472C23" w:rsidRDefault="00472C23" w14:paraId="16DED3C3" w14:textId="77777777">
            <w:pPr>
              <w:spacing w:after="0"/>
              <w:jc w:val="center"/>
              <w:rPr>
                <w:color w:val="000000" w:themeColor="text1"/>
              </w:rPr>
            </w:pPr>
            <w:r w:rsidRPr="00113D8C">
              <w:rPr>
                <w:color w:val="000000" w:themeColor="text1"/>
              </w:rPr>
              <w:t>1</w:t>
            </w:r>
          </w:p>
        </w:tc>
        <w:tc>
          <w:tcPr>
            <w:tcW w:w="1572" w:type="dxa"/>
            <w:tcBorders>
              <w:top w:val="single" w:color="auto" w:sz="6" w:space="0"/>
              <w:left w:val="single" w:color="auto" w:sz="6" w:space="0"/>
              <w:bottom w:val="single" w:color="auto" w:sz="4" w:space="0"/>
            </w:tcBorders>
            <w:shd w:val="clear" w:color="auto" w:fill="auto"/>
            <w:vAlign w:val="center"/>
          </w:tcPr>
          <w:p w:rsidRPr="00113D8C" w:rsidR="00472C23" w:rsidP="00472C23" w:rsidRDefault="00472C23" w14:paraId="7D6E976F" w14:textId="77777777">
            <w:pPr>
              <w:spacing w:after="0"/>
              <w:jc w:val="center"/>
              <w:rPr>
                <w:color w:val="000000" w:themeColor="text1"/>
              </w:rPr>
            </w:pPr>
            <w:r w:rsidRPr="00113D8C">
              <w:rPr>
                <w:color w:val="000000" w:themeColor="text1"/>
              </w:rPr>
              <w:t>10/60</w:t>
            </w:r>
          </w:p>
        </w:tc>
        <w:tc>
          <w:tcPr>
            <w:tcW w:w="1481" w:type="dxa"/>
            <w:tcBorders>
              <w:top w:val="single" w:color="auto" w:sz="6" w:space="0"/>
              <w:left w:val="single" w:color="auto" w:sz="6" w:space="0"/>
              <w:bottom w:val="single" w:color="auto" w:sz="4" w:space="0"/>
              <w:right w:val="single" w:color="auto" w:sz="6" w:space="0"/>
            </w:tcBorders>
            <w:shd w:val="clear" w:color="auto" w:fill="auto"/>
            <w:vAlign w:val="center"/>
          </w:tcPr>
          <w:p w:rsidRPr="00113D8C" w:rsidR="00472C23" w:rsidP="00472C23" w:rsidRDefault="00453A78" w14:paraId="16B474FD" w14:textId="77777777">
            <w:pPr>
              <w:spacing w:after="0"/>
              <w:jc w:val="center"/>
              <w:rPr>
                <w:color w:val="000000" w:themeColor="text1"/>
              </w:rPr>
            </w:pPr>
            <w:r w:rsidRPr="00113D8C">
              <w:rPr>
                <w:color w:val="000000" w:themeColor="text1"/>
              </w:rPr>
              <w:t>10</w:t>
            </w:r>
          </w:p>
        </w:tc>
      </w:tr>
      <w:tr w:rsidRPr="00113D8C" w:rsidR="00113D8C" w:rsidTr="35698269" w14:paraId="5A17C145" w14:textId="77777777">
        <w:trPr>
          <w:cantSplit/>
          <w:trHeight w:val="309"/>
          <w:jc w:val="center"/>
        </w:trPr>
        <w:tc>
          <w:tcPr>
            <w:tcW w:w="3927" w:type="dxa"/>
            <w:tcBorders>
              <w:top w:val="single" w:color="auto" w:sz="6" w:space="0"/>
              <w:left w:val="single" w:color="auto" w:sz="6" w:space="0"/>
              <w:bottom w:val="single" w:color="auto" w:sz="4" w:space="0"/>
            </w:tcBorders>
            <w:shd w:val="clear" w:color="auto" w:fill="auto"/>
            <w:vAlign w:val="center"/>
          </w:tcPr>
          <w:p w:rsidRPr="00113D8C" w:rsidR="00472C23" w:rsidP="00472C23" w:rsidRDefault="00472C23" w14:paraId="19987F35" w14:textId="77777777">
            <w:pPr>
              <w:spacing w:after="0"/>
              <w:rPr>
                <w:color w:val="000000" w:themeColor="text1"/>
              </w:rPr>
            </w:pPr>
            <w:r w:rsidRPr="00113D8C">
              <w:rPr>
                <w:color w:val="000000" w:themeColor="text1"/>
              </w:rPr>
              <w:t>Biospecimen Use Annual Progress Report</w:t>
            </w:r>
          </w:p>
        </w:tc>
        <w:tc>
          <w:tcPr>
            <w:tcW w:w="1388" w:type="dxa"/>
            <w:tcBorders>
              <w:top w:val="single" w:color="auto" w:sz="6" w:space="0"/>
              <w:left w:val="single" w:color="auto" w:sz="6" w:space="0"/>
              <w:bottom w:val="single" w:color="auto" w:sz="4" w:space="0"/>
            </w:tcBorders>
            <w:shd w:val="clear" w:color="auto" w:fill="auto"/>
            <w:vAlign w:val="center"/>
          </w:tcPr>
          <w:p w:rsidRPr="00113D8C" w:rsidR="00472C23" w:rsidP="00472C23" w:rsidRDefault="00D27D68" w14:paraId="0A54DA04" w14:textId="77777777">
            <w:pPr>
              <w:spacing w:after="0"/>
              <w:jc w:val="center"/>
              <w:rPr>
                <w:color w:val="000000" w:themeColor="text1"/>
              </w:rPr>
            </w:pPr>
            <w:r w:rsidRPr="00113D8C">
              <w:rPr>
                <w:color w:val="000000" w:themeColor="text1"/>
              </w:rPr>
              <w:t>36</w:t>
            </w:r>
          </w:p>
        </w:tc>
        <w:tc>
          <w:tcPr>
            <w:tcW w:w="1385" w:type="dxa"/>
            <w:tcBorders>
              <w:top w:val="single" w:color="auto" w:sz="6" w:space="0"/>
              <w:left w:val="single" w:color="auto" w:sz="6" w:space="0"/>
              <w:bottom w:val="single" w:color="auto" w:sz="4" w:space="0"/>
            </w:tcBorders>
            <w:shd w:val="clear" w:color="auto" w:fill="auto"/>
            <w:vAlign w:val="center"/>
          </w:tcPr>
          <w:p w:rsidRPr="00113D8C" w:rsidR="00472C23" w:rsidP="00472C23" w:rsidRDefault="00472C23" w14:paraId="743C830C" w14:textId="77777777">
            <w:pPr>
              <w:spacing w:after="0"/>
              <w:jc w:val="center"/>
              <w:rPr>
                <w:color w:val="000000" w:themeColor="text1"/>
              </w:rPr>
            </w:pPr>
            <w:r w:rsidRPr="00113D8C">
              <w:rPr>
                <w:color w:val="000000" w:themeColor="text1"/>
              </w:rPr>
              <w:t>1</w:t>
            </w:r>
          </w:p>
        </w:tc>
        <w:tc>
          <w:tcPr>
            <w:tcW w:w="1572" w:type="dxa"/>
            <w:tcBorders>
              <w:top w:val="single" w:color="auto" w:sz="6" w:space="0"/>
              <w:left w:val="single" w:color="auto" w:sz="6" w:space="0"/>
              <w:bottom w:val="single" w:color="auto" w:sz="4" w:space="0"/>
            </w:tcBorders>
            <w:shd w:val="clear" w:color="auto" w:fill="auto"/>
            <w:vAlign w:val="center"/>
          </w:tcPr>
          <w:p w:rsidRPr="00113D8C" w:rsidR="00472C23" w:rsidP="00472C23" w:rsidRDefault="00472C23" w14:paraId="507C5B05" w14:textId="77777777">
            <w:pPr>
              <w:spacing w:after="0"/>
              <w:jc w:val="center"/>
              <w:rPr>
                <w:color w:val="000000" w:themeColor="text1"/>
              </w:rPr>
            </w:pPr>
            <w:r w:rsidRPr="00113D8C">
              <w:rPr>
                <w:color w:val="000000" w:themeColor="text1"/>
              </w:rPr>
              <w:t>10/60</w:t>
            </w:r>
          </w:p>
        </w:tc>
        <w:tc>
          <w:tcPr>
            <w:tcW w:w="1481" w:type="dxa"/>
            <w:tcBorders>
              <w:top w:val="single" w:color="auto" w:sz="6" w:space="0"/>
              <w:left w:val="single" w:color="auto" w:sz="6" w:space="0"/>
              <w:bottom w:val="single" w:color="auto" w:sz="4" w:space="0"/>
              <w:right w:val="single" w:color="auto" w:sz="6" w:space="0"/>
            </w:tcBorders>
            <w:shd w:val="clear" w:color="auto" w:fill="auto"/>
            <w:vAlign w:val="center"/>
          </w:tcPr>
          <w:p w:rsidRPr="00113D8C" w:rsidR="00472C23" w:rsidP="00472C23" w:rsidRDefault="00453A78" w14:paraId="4DBCABCD" w14:textId="77777777">
            <w:pPr>
              <w:spacing w:after="0"/>
              <w:jc w:val="center"/>
              <w:rPr>
                <w:color w:val="000000" w:themeColor="text1"/>
              </w:rPr>
            </w:pPr>
            <w:r w:rsidRPr="00113D8C">
              <w:rPr>
                <w:color w:val="000000" w:themeColor="text1"/>
              </w:rPr>
              <w:t>6</w:t>
            </w:r>
          </w:p>
        </w:tc>
      </w:tr>
      <w:tr w:rsidRPr="00113D8C" w:rsidR="00113D8C" w:rsidTr="35698269" w14:paraId="7F0839F4" w14:textId="77777777">
        <w:trPr>
          <w:cantSplit/>
          <w:trHeight w:val="309"/>
          <w:jc w:val="center"/>
        </w:trPr>
        <w:tc>
          <w:tcPr>
            <w:tcW w:w="3927" w:type="dxa"/>
            <w:tcBorders>
              <w:top w:val="single" w:color="auto" w:sz="6" w:space="0"/>
              <w:left w:val="single" w:color="auto" w:sz="6" w:space="0"/>
              <w:bottom w:val="single" w:color="auto" w:sz="4" w:space="0"/>
            </w:tcBorders>
            <w:shd w:val="clear" w:color="auto" w:fill="auto"/>
            <w:vAlign w:val="center"/>
          </w:tcPr>
          <w:p w:rsidRPr="00113D8C" w:rsidR="00472C23" w:rsidP="00472C23" w:rsidRDefault="00472C23" w14:paraId="5C5E6030" w14:textId="77777777">
            <w:pPr>
              <w:spacing w:after="0"/>
              <w:rPr>
                <w:color w:val="000000" w:themeColor="text1"/>
              </w:rPr>
            </w:pPr>
            <w:r w:rsidRPr="00113D8C">
              <w:rPr>
                <w:color w:val="000000" w:themeColor="text1"/>
              </w:rPr>
              <w:t>I</w:t>
            </w:r>
            <w:r w:rsidRPr="00113D8C" w:rsidR="00AE1599">
              <w:rPr>
                <w:color w:val="000000" w:themeColor="text1"/>
              </w:rPr>
              <w:t xml:space="preserve">nstitutional Certification </w:t>
            </w:r>
            <w:r w:rsidRPr="00113D8C" w:rsidR="005B027C">
              <w:rPr>
                <w:color w:val="000000" w:themeColor="text1"/>
              </w:rPr>
              <w:t>Template</w:t>
            </w:r>
            <w:r w:rsidRPr="00113D8C">
              <w:rPr>
                <w:color w:val="000000" w:themeColor="text1"/>
              </w:rPr>
              <w:t xml:space="preserve"> </w:t>
            </w:r>
          </w:p>
        </w:tc>
        <w:tc>
          <w:tcPr>
            <w:tcW w:w="1388" w:type="dxa"/>
            <w:tcBorders>
              <w:top w:val="single" w:color="auto" w:sz="6" w:space="0"/>
              <w:left w:val="single" w:color="auto" w:sz="6" w:space="0"/>
              <w:bottom w:val="single" w:color="auto" w:sz="4" w:space="0"/>
            </w:tcBorders>
            <w:shd w:val="clear" w:color="auto" w:fill="auto"/>
            <w:vAlign w:val="center"/>
          </w:tcPr>
          <w:p w:rsidRPr="00113D8C" w:rsidR="00472C23" w:rsidP="00472C23" w:rsidRDefault="00472C23" w14:paraId="2B9CEF66" w14:textId="77777777">
            <w:pPr>
              <w:spacing w:after="0"/>
              <w:jc w:val="center"/>
              <w:rPr>
                <w:color w:val="000000" w:themeColor="text1"/>
              </w:rPr>
            </w:pPr>
            <w:r w:rsidRPr="00113D8C">
              <w:rPr>
                <w:color w:val="000000" w:themeColor="text1"/>
              </w:rPr>
              <w:t>36</w:t>
            </w:r>
          </w:p>
        </w:tc>
        <w:tc>
          <w:tcPr>
            <w:tcW w:w="1385" w:type="dxa"/>
            <w:tcBorders>
              <w:top w:val="single" w:color="auto" w:sz="6" w:space="0"/>
              <w:left w:val="single" w:color="auto" w:sz="6" w:space="0"/>
              <w:bottom w:val="single" w:color="auto" w:sz="4" w:space="0"/>
            </w:tcBorders>
            <w:shd w:val="clear" w:color="auto" w:fill="auto"/>
            <w:vAlign w:val="center"/>
          </w:tcPr>
          <w:p w:rsidRPr="00113D8C" w:rsidR="00472C23" w:rsidP="00472C23" w:rsidRDefault="00472C23" w14:paraId="3E98ED5A" w14:textId="77777777">
            <w:pPr>
              <w:spacing w:after="0"/>
              <w:jc w:val="center"/>
              <w:rPr>
                <w:color w:val="000000" w:themeColor="text1"/>
              </w:rPr>
            </w:pPr>
            <w:r w:rsidRPr="00113D8C">
              <w:rPr>
                <w:color w:val="000000" w:themeColor="text1"/>
              </w:rPr>
              <w:t>1</w:t>
            </w:r>
          </w:p>
        </w:tc>
        <w:tc>
          <w:tcPr>
            <w:tcW w:w="1572" w:type="dxa"/>
            <w:tcBorders>
              <w:top w:val="single" w:color="auto" w:sz="6" w:space="0"/>
              <w:left w:val="single" w:color="auto" w:sz="6" w:space="0"/>
              <w:bottom w:val="single" w:color="auto" w:sz="4" w:space="0"/>
            </w:tcBorders>
            <w:shd w:val="clear" w:color="auto" w:fill="auto"/>
            <w:vAlign w:val="center"/>
          </w:tcPr>
          <w:p w:rsidRPr="00113D8C" w:rsidR="00472C23" w:rsidP="00472C23" w:rsidRDefault="00472C23" w14:paraId="0BD6729C" w14:textId="77777777">
            <w:pPr>
              <w:spacing w:after="0"/>
              <w:jc w:val="center"/>
              <w:rPr>
                <w:color w:val="000000" w:themeColor="text1"/>
              </w:rPr>
            </w:pPr>
            <w:r w:rsidRPr="00113D8C">
              <w:rPr>
                <w:color w:val="000000" w:themeColor="text1"/>
              </w:rPr>
              <w:t>5/60</w:t>
            </w:r>
          </w:p>
        </w:tc>
        <w:tc>
          <w:tcPr>
            <w:tcW w:w="1481" w:type="dxa"/>
            <w:tcBorders>
              <w:top w:val="single" w:color="auto" w:sz="6" w:space="0"/>
              <w:left w:val="single" w:color="auto" w:sz="6" w:space="0"/>
              <w:bottom w:val="single" w:color="auto" w:sz="4" w:space="0"/>
              <w:right w:val="single" w:color="auto" w:sz="6" w:space="0"/>
            </w:tcBorders>
            <w:shd w:val="clear" w:color="auto" w:fill="auto"/>
            <w:vAlign w:val="center"/>
          </w:tcPr>
          <w:p w:rsidRPr="00113D8C" w:rsidR="00472C23" w:rsidP="00472C23" w:rsidRDefault="00453A78" w14:paraId="3CF78724" w14:textId="77777777">
            <w:pPr>
              <w:spacing w:after="0"/>
              <w:jc w:val="center"/>
              <w:rPr>
                <w:color w:val="000000" w:themeColor="text1"/>
              </w:rPr>
            </w:pPr>
            <w:r w:rsidRPr="00113D8C">
              <w:rPr>
                <w:color w:val="000000" w:themeColor="text1"/>
              </w:rPr>
              <w:t>3</w:t>
            </w:r>
          </w:p>
        </w:tc>
      </w:tr>
      <w:tr w:rsidRPr="00113D8C" w:rsidR="00113D8C" w:rsidTr="35698269" w14:paraId="1C7176DF" w14:textId="77777777">
        <w:trPr>
          <w:cantSplit/>
          <w:trHeight w:val="309"/>
          <w:jc w:val="center"/>
        </w:trPr>
        <w:tc>
          <w:tcPr>
            <w:tcW w:w="3927" w:type="dxa"/>
            <w:tcBorders>
              <w:top w:val="single" w:color="auto" w:sz="6" w:space="0"/>
              <w:left w:val="single" w:color="auto" w:sz="6" w:space="0"/>
              <w:bottom w:val="single" w:color="auto" w:sz="4" w:space="0"/>
            </w:tcBorders>
            <w:shd w:val="clear" w:color="auto" w:fill="F2F2F2" w:themeFill="background1" w:themeFillShade="F2"/>
            <w:vAlign w:val="center"/>
          </w:tcPr>
          <w:p w:rsidRPr="00113D8C" w:rsidR="00472C23" w:rsidP="00472C23" w:rsidRDefault="00472C23" w14:paraId="79A44996" w14:textId="77777777">
            <w:pPr>
              <w:spacing w:after="0"/>
              <w:rPr>
                <w:b/>
                <w:color w:val="000000" w:themeColor="text1"/>
              </w:rPr>
            </w:pPr>
            <w:r w:rsidRPr="00113D8C">
              <w:rPr>
                <w:b/>
                <w:color w:val="000000" w:themeColor="text1"/>
              </w:rPr>
              <w:t xml:space="preserve">Total </w:t>
            </w:r>
          </w:p>
        </w:tc>
        <w:tc>
          <w:tcPr>
            <w:tcW w:w="1388" w:type="dxa"/>
            <w:tcBorders>
              <w:top w:val="single" w:color="auto" w:sz="6" w:space="0"/>
              <w:left w:val="single" w:color="auto" w:sz="6" w:space="0"/>
              <w:bottom w:val="single" w:color="auto" w:sz="4" w:space="0"/>
            </w:tcBorders>
            <w:shd w:val="clear" w:color="auto" w:fill="F2F2F2" w:themeFill="background1" w:themeFillShade="F2"/>
            <w:vAlign w:val="center"/>
          </w:tcPr>
          <w:p w:rsidRPr="00113D8C" w:rsidR="00472C23" w:rsidP="00472C23" w:rsidRDefault="00453A78" w14:paraId="2EA7FAC0" w14:textId="77777777">
            <w:pPr>
              <w:spacing w:after="0"/>
              <w:jc w:val="center"/>
              <w:rPr>
                <w:b/>
                <w:color w:val="000000" w:themeColor="text1"/>
              </w:rPr>
            </w:pPr>
            <w:r w:rsidRPr="00113D8C">
              <w:rPr>
                <w:b/>
                <w:color w:val="000000" w:themeColor="text1"/>
              </w:rPr>
              <w:t>200</w:t>
            </w:r>
          </w:p>
        </w:tc>
        <w:tc>
          <w:tcPr>
            <w:tcW w:w="1385" w:type="dxa"/>
            <w:tcBorders>
              <w:top w:val="single" w:color="auto" w:sz="6" w:space="0"/>
              <w:left w:val="single" w:color="auto" w:sz="6" w:space="0"/>
              <w:bottom w:val="single" w:color="auto" w:sz="4" w:space="0"/>
            </w:tcBorders>
            <w:shd w:val="clear" w:color="auto" w:fill="F2F2F2" w:themeFill="background1" w:themeFillShade="F2"/>
            <w:vAlign w:val="center"/>
          </w:tcPr>
          <w:p w:rsidRPr="00113D8C" w:rsidR="00472C23" w:rsidP="35698269" w:rsidRDefault="00B40392" w14:paraId="7D4B69F1" w14:textId="439D8186">
            <w:pPr>
              <w:spacing w:after="0"/>
              <w:jc w:val="center"/>
              <w:rPr>
                <w:b/>
                <w:bCs/>
                <w:color w:val="000000" w:themeColor="text1"/>
              </w:rPr>
            </w:pPr>
            <w:r>
              <w:rPr>
                <w:b/>
                <w:color w:val="000000" w:themeColor="text1"/>
              </w:rPr>
              <w:t>480</w:t>
            </w:r>
          </w:p>
        </w:tc>
        <w:tc>
          <w:tcPr>
            <w:tcW w:w="1572" w:type="dxa"/>
            <w:tcBorders>
              <w:top w:val="single" w:color="auto" w:sz="6" w:space="0"/>
              <w:left w:val="single" w:color="auto" w:sz="6" w:space="0"/>
              <w:bottom w:val="single" w:color="auto" w:sz="4" w:space="0"/>
            </w:tcBorders>
            <w:shd w:val="clear" w:color="auto" w:fill="F2F2F2" w:themeFill="background1" w:themeFillShade="F2"/>
            <w:vAlign w:val="center"/>
          </w:tcPr>
          <w:p w:rsidRPr="00113D8C" w:rsidR="00472C23" w:rsidP="00472C23" w:rsidRDefault="00472C23" w14:paraId="512C4CB8" w14:textId="77777777">
            <w:pPr>
              <w:spacing w:after="0"/>
              <w:jc w:val="center"/>
              <w:rPr>
                <w:b/>
                <w:color w:val="000000" w:themeColor="text1"/>
              </w:rPr>
            </w:pPr>
          </w:p>
        </w:tc>
        <w:tc>
          <w:tcPr>
            <w:tcW w:w="1481" w:type="dxa"/>
            <w:tcBorders>
              <w:top w:val="single" w:color="auto" w:sz="6" w:space="0"/>
              <w:left w:val="single" w:color="auto" w:sz="6" w:space="0"/>
              <w:bottom w:val="single" w:color="auto" w:sz="4" w:space="0"/>
              <w:right w:val="single" w:color="auto" w:sz="6" w:space="0"/>
            </w:tcBorders>
            <w:shd w:val="clear" w:color="auto" w:fill="F2F2F2" w:themeFill="background1" w:themeFillShade="F2"/>
            <w:vAlign w:val="center"/>
          </w:tcPr>
          <w:p w:rsidRPr="00113D8C" w:rsidR="00472C23" w:rsidP="35698269" w:rsidRDefault="000411CA" w14:paraId="2B880696" w14:textId="4F6E4AD3">
            <w:pPr>
              <w:spacing w:after="0"/>
              <w:jc w:val="center"/>
              <w:rPr>
                <w:b/>
                <w:bCs/>
                <w:color w:val="000000" w:themeColor="text1"/>
              </w:rPr>
            </w:pPr>
            <w:r w:rsidRPr="00113D8C">
              <w:rPr>
                <w:b/>
                <w:bCs/>
                <w:color w:val="000000" w:themeColor="text1"/>
                <w:highlight w:val="yellow"/>
              </w:rPr>
              <w:t>2</w:t>
            </w:r>
            <w:r w:rsidRPr="00113D8C" w:rsidR="00332AA0">
              <w:rPr>
                <w:b/>
                <w:bCs/>
                <w:color w:val="000000" w:themeColor="text1"/>
                <w:highlight w:val="yellow"/>
              </w:rPr>
              <w:t>1</w:t>
            </w:r>
            <w:r w:rsidRPr="00113D8C" w:rsidR="00E21EE9">
              <w:rPr>
                <w:b/>
                <w:bCs/>
                <w:color w:val="000000" w:themeColor="text1"/>
                <w:highlight w:val="yellow"/>
              </w:rPr>
              <w:t>1</w:t>
            </w:r>
          </w:p>
        </w:tc>
      </w:tr>
    </w:tbl>
    <w:p w:rsidRPr="00811391" w:rsidR="006F1B10" w:rsidP="004C5217" w:rsidRDefault="006F1B10" w14:paraId="76825956" w14:textId="1906E9D0">
      <w:pPr>
        <w:pStyle w:val="Heading2"/>
      </w:pPr>
      <w:bookmarkStart w:name="_Toc442286343" w:id="64"/>
      <w:bookmarkStart w:name="_Toc508106949" w:id="65"/>
      <w:r>
        <w:lastRenderedPageBreak/>
        <w:t>A.12.</w:t>
      </w:r>
      <w:r w:rsidRPr="008942E9">
        <w:t>2</w:t>
      </w:r>
      <w:r w:rsidRPr="008942E9">
        <w:tab/>
      </w:r>
      <w:r w:rsidRPr="00811391">
        <w:t>Annualized Cost to Respondents</w:t>
      </w:r>
      <w:bookmarkEnd w:id="64"/>
      <w:bookmarkEnd w:id="65"/>
    </w:p>
    <w:tbl>
      <w:tblPr>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37"/>
        <w:gridCol w:w="1643"/>
        <w:gridCol w:w="1800"/>
        <w:gridCol w:w="2340"/>
      </w:tblGrid>
      <w:tr w:rsidRPr="00862A18" w:rsidR="004D2870" w:rsidTr="00D850DF" w14:paraId="7802BCC6" w14:textId="77777777">
        <w:trPr>
          <w:trHeight w:val="296"/>
        </w:trPr>
        <w:tc>
          <w:tcPr>
            <w:tcW w:w="9720" w:type="dxa"/>
            <w:gridSpan w:val="4"/>
            <w:shd w:val="clear" w:color="auto" w:fill="F2F2F2"/>
          </w:tcPr>
          <w:p w:rsidRPr="00862A18" w:rsidR="004D2870" w:rsidP="00D850DF" w:rsidRDefault="004D2870" w14:paraId="5F73C969" w14:textId="77777777">
            <w:pPr>
              <w:tabs>
                <w:tab w:val="left" w:pos="1583"/>
              </w:tabs>
              <w:spacing w:after="0" w:line="240" w:lineRule="auto"/>
              <w:ind w:left="360"/>
              <w:jc w:val="center"/>
              <w:rPr>
                <w:b/>
              </w:rPr>
            </w:pPr>
            <w:r w:rsidRPr="00862A18">
              <w:rPr>
                <w:b/>
              </w:rPr>
              <w:t>Total Annual Cost Burden Estimate</w:t>
            </w:r>
          </w:p>
        </w:tc>
      </w:tr>
      <w:tr w:rsidRPr="00862A18" w:rsidR="004D2870" w:rsidTr="00D850DF" w14:paraId="4452AF4F" w14:textId="77777777">
        <w:tc>
          <w:tcPr>
            <w:tcW w:w="3937" w:type="dxa"/>
          </w:tcPr>
          <w:p w:rsidRPr="00862A18" w:rsidR="004D2870" w:rsidP="00D850DF" w:rsidRDefault="00175535" w14:paraId="1C10ECE5" w14:textId="6CFE3A56">
            <w:pPr>
              <w:spacing w:after="0"/>
              <w:rPr>
                <w:b/>
              </w:rPr>
            </w:pPr>
            <w:r w:rsidRPr="00174BA5">
              <w:rPr>
                <w:b/>
                <w:highlight w:val="yellow"/>
              </w:rPr>
              <w:t xml:space="preserve">Type of Respondent </w:t>
            </w:r>
          </w:p>
        </w:tc>
        <w:tc>
          <w:tcPr>
            <w:tcW w:w="1643" w:type="dxa"/>
          </w:tcPr>
          <w:p w:rsidRPr="00862A18" w:rsidR="004D2870" w:rsidP="00D850DF" w:rsidRDefault="004D2870" w14:paraId="505CD57F" w14:textId="77777777">
            <w:pPr>
              <w:spacing w:after="0"/>
              <w:jc w:val="center"/>
              <w:rPr>
                <w:b/>
              </w:rPr>
            </w:pPr>
            <w:r w:rsidRPr="00862A18">
              <w:rPr>
                <w:b/>
              </w:rPr>
              <w:t>Total Annual Burden Hours</w:t>
            </w:r>
          </w:p>
        </w:tc>
        <w:tc>
          <w:tcPr>
            <w:tcW w:w="1800" w:type="dxa"/>
            <w:tcBorders>
              <w:bottom w:val="single" w:color="auto" w:sz="4" w:space="0"/>
            </w:tcBorders>
          </w:tcPr>
          <w:p w:rsidRPr="00862A18" w:rsidR="004D2870" w:rsidP="00D850DF" w:rsidRDefault="004D2870" w14:paraId="14774DD8" w14:textId="77777777">
            <w:pPr>
              <w:spacing w:after="0"/>
              <w:jc w:val="center"/>
              <w:rPr>
                <w:b/>
              </w:rPr>
            </w:pPr>
            <w:r w:rsidRPr="00862A18">
              <w:rPr>
                <w:b/>
              </w:rPr>
              <w:t>Wage rate</w:t>
            </w:r>
          </w:p>
        </w:tc>
        <w:tc>
          <w:tcPr>
            <w:tcW w:w="2340" w:type="dxa"/>
            <w:tcBorders>
              <w:bottom w:val="single" w:color="auto" w:sz="4" w:space="0"/>
            </w:tcBorders>
          </w:tcPr>
          <w:p w:rsidRPr="00862A18" w:rsidR="004D2870" w:rsidP="00D850DF" w:rsidRDefault="004D2870" w14:paraId="3FF20FBD" w14:textId="3F990234">
            <w:pPr>
              <w:spacing w:after="0"/>
              <w:jc w:val="center"/>
              <w:rPr>
                <w:b/>
              </w:rPr>
            </w:pPr>
            <w:r w:rsidRPr="00862A18">
              <w:rPr>
                <w:b/>
              </w:rPr>
              <w:t>Total Cost</w:t>
            </w:r>
          </w:p>
        </w:tc>
      </w:tr>
      <w:tr w:rsidRPr="0043185F" w:rsidR="004D2870" w:rsidTr="00D850DF" w14:paraId="6044C3C3" w14:textId="77777777">
        <w:tc>
          <w:tcPr>
            <w:tcW w:w="3937" w:type="dxa"/>
          </w:tcPr>
          <w:p w:rsidRPr="00174BA5" w:rsidR="004D2870" w:rsidP="00D850DF" w:rsidRDefault="00175535" w14:paraId="331C47E3" w14:textId="1674116A">
            <w:pPr>
              <w:spacing w:after="0"/>
              <w:rPr>
                <w:b/>
                <w:color w:val="000000" w:themeColor="text1"/>
                <w:highlight w:val="yellow"/>
              </w:rPr>
            </w:pPr>
            <w:r w:rsidRPr="00174BA5">
              <w:rPr>
                <w:color w:val="000000" w:themeColor="text1"/>
                <w:highlight w:val="yellow"/>
              </w:rPr>
              <w:t xml:space="preserve">Medical Scientist </w:t>
            </w:r>
          </w:p>
        </w:tc>
        <w:tc>
          <w:tcPr>
            <w:tcW w:w="1643" w:type="dxa"/>
            <w:tcBorders>
              <w:right w:val="single" w:color="auto" w:sz="4" w:space="0"/>
            </w:tcBorders>
            <w:vAlign w:val="center"/>
          </w:tcPr>
          <w:p w:rsidRPr="00174BA5" w:rsidR="004D2870" w:rsidP="00D850DF" w:rsidRDefault="00175535" w14:paraId="5EFE8F4D" w14:textId="1F11F60E">
            <w:pPr>
              <w:spacing w:after="0"/>
              <w:jc w:val="center"/>
              <w:rPr>
                <w:color w:val="000000" w:themeColor="text1"/>
                <w:highlight w:val="yellow"/>
              </w:rPr>
            </w:pPr>
            <w:r w:rsidRPr="00174BA5">
              <w:rPr>
                <w:color w:val="000000" w:themeColor="text1"/>
                <w:highlight w:val="yellow"/>
              </w:rPr>
              <w:t>211</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rsidRPr="00174BA5" w:rsidR="004D2870" w:rsidP="00D850DF" w:rsidRDefault="004D2870" w14:paraId="66CC73E2" w14:textId="77777777">
            <w:pPr>
              <w:pStyle w:val="NormalWeb"/>
              <w:spacing w:before="0" w:beforeAutospacing="0" w:after="0" w:afterAutospacing="0" w:line="276" w:lineRule="auto"/>
              <w:jc w:val="center"/>
              <w:rPr>
                <w:rFonts w:ascii="Calibri" w:hAnsi="Calibri" w:cs="Arial"/>
                <w:color w:val="000000" w:themeColor="text1"/>
                <w:sz w:val="22"/>
                <w:szCs w:val="22"/>
                <w:highlight w:val="yellow"/>
              </w:rPr>
            </w:pPr>
            <w:r w:rsidRPr="00174BA5">
              <w:rPr>
                <w:rFonts w:ascii="Calibri" w:hAnsi="Calibri" w:eastAsia="Calibri" w:cs="Arial"/>
                <w:color w:val="000000" w:themeColor="text1"/>
                <w:kern w:val="24"/>
                <w:sz w:val="22"/>
                <w:szCs w:val="22"/>
                <w:highlight w:val="yellow"/>
              </w:rPr>
              <w:t>$47.49</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rsidRPr="00174BA5" w:rsidR="004D2870" w:rsidP="00D850DF" w:rsidRDefault="004D2870" w14:paraId="4C86890E" w14:textId="400A2328">
            <w:pPr>
              <w:pStyle w:val="NormalWeb"/>
              <w:spacing w:before="0" w:beforeAutospacing="0" w:after="0" w:afterAutospacing="0" w:line="276" w:lineRule="auto"/>
              <w:jc w:val="center"/>
              <w:rPr>
                <w:rFonts w:ascii="Calibri" w:hAnsi="Calibri" w:cs="Arial"/>
                <w:color w:val="000000" w:themeColor="text1"/>
                <w:sz w:val="22"/>
                <w:szCs w:val="22"/>
                <w:highlight w:val="yellow"/>
              </w:rPr>
            </w:pPr>
            <w:r w:rsidRPr="00174BA5">
              <w:rPr>
                <w:rFonts w:ascii="Calibri" w:hAnsi="Calibri" w:cs="Arial"/>
                <w:color w:val="000000" w:themeColor="text1"/>
                <w:sz w:val="22"/>
                <w:szCs w:val="22"/>
                <w:highlight w:val="yellow"/>
              </w:rPr>
              <w:t>$</w:t>
            </w:r>
            <w:r w:rsidRPr="00174BA5" w:rsidR="00175535">
              <w:rPr>
                <w:rFonts w:ascii="Calibri" w:hAnsi="Calibri" w:cs="Arial"/>
                <w:color w:val="000000" w:themeColor="text1"/>
                <w:sz w:val="22"/>
                <w:szCs w:val="22"/>
                <w:highlight w:val="yellow"/>
              </w:rPr>
              <w:t>10,020.39</w:t>
            </w:r>
          </w:p>
        </w:tc>
      </w:tr>
    </w:tbl>
    <w:p w:rsidR="004D2870" w:rsidP="004D2870" w:rsidRDefault="004D2870" w14:paraId="60436E47" w14:textId="77777777">
      <w:pPr>
        <w:spacing w:before="240"/>
        <w:rPr>
          <w:color w:val="000000" w:themeColor="text1"/>
          <w:sz w:val="18"/>
        </w:rPr>
      </w:pPr>
      <w:r w:rsidRPr="0043185F">
        <w:rPr>
          <w:color w:val="000000" w:themeColor="text1"/>
          <w:sz w:val="18"/>
        </w:rPr>
        <w:t xml:space="preserve">Salary/Wage Source: Bureau of Labor Statistics/Occupational Employment and Wages, </w:t>
      </w:r>
      <w:r w:rsidRPr="0043185F">
        <w:rPr>
          <w:color w:val="000000" w:themeColor="text1"/>
          <w:sz w:val="18"/>
          <w:highlight w:val="yellow"/>
        </w:rPr>
        <w:t>May 2019</w:t>
      </w:r>
      <w:r w:rsidRPr="0043185F">
        <w:rPr>
          <w:color w:val="000000" w:themeColor="text1"/>
          <w:sz w:val="18"/>
        </w:rPr>
        <w:t xml:space="preserve">: Occupational Code 19-1042, Medical Scientists, national estimates: </w:t>
      </w:r>
      <w:hyperlink w:history="1" r:id="rId19">
        <w:r w:rsidRPr="0043185F">
          <w:rPr>
            <w:rStyle w:val="Hyperlink"/>
            <w:color w:val="000000" w:themeColor="text1"/>
            <w:sz w:val="18"/>
            <w:highlight w:val="yellow"/>
          </w:rPr>
          <w:t>http://www.bls.gov/oes/current/oes191042.htm</w:t>
        </w:r>
      </w:hyperlink>
      <w:r w:rsidRPr="0043185F">
        <w:rPr>
          <w:color w:val="000000" w:themeColor="text1"/>
          <w:sz w:val="18"/>
        </w:rPr>
        <w:t xml:space="preserve"> </w:t>
      </w:r>
    </w:p>
    <w:p w:rsidRPr="00E35DD1" w:rsidR="00FF72FC" w:rsidP="004C5217" w:rsidRDefault="00FF72FC" w14:paraId="768BC9D0" w14:textId="77777777">
      <w:pPr>
        <w:pStyle w:val="Heading2"/>
      </w:pPr>
      <w:bookmarkStart w:name="_Toc442286344" w:id="66"/>
      <w:bookmarkStart w:name="_Toc508106950" w:id="67"/>
      <w:r w:rsidRPr="00E35DD1">
        <w:t>A.13</w:t>
      </w:r>
      <w:r w:rsidRPr="00E35DD1">
        <w:tab/>
        <w:t>Estimate of Other Total Annual Cost Burden to Respondents or Record Keepers</w:t>
      </w:r>
      <w:bookmarkEnd w:id="66"/>
      <w:bookmarkEnd w:id="67"/>
    </w:p>
    <w:p w:rsidR="00FB5625" w:rsidP="00FB5625" w:rsidRDefault="00FB5625" w14:paraId="6BCA18C9" w14:textId="77777777">
      <w:r>
        <w:t>There are no additional costs other than the respondents’ burden given in A12</w:t>
      </w:r>
      <w:r w:rsidR="00914F18">
        <w:t>.</w:t>
      </w:r>
    </w:p>
    <w:p w:rsidR="00FF72FC" w:rsidP="004C5217" w:rsidRDefault="00FF72FC" w14:paraId="4325CA56" w14:textId="77777777">
      <w:pPr>
        <w:pStyle w:val="Heading2"/>
      </w:pPr>
      <w:bookmarkStart w:name="_Toc442286345" w:id="68"/>
      <w:bookmarkStart w:name="_Toc508106951" w:id="69"/>
      <w:r w:rsidRPr="008942E9">
        <w:t>A.14</w:t>
      </w:r>
      <w:r w:rsidRPr="008942E9">
        <w:tab/>
      </w:r>
      <w:r w:rsidRPr="009E3FC7">
        <w:t>Annualized Cost to the Federal Government</w:t>
      </w:r>
      <w:bookmarkEnd w:id="68"/>
      <w:bookmarkEnd w:id="69"/>
      <w:r w:rsidRPr="009E3FC7">
        <w:t xml:space="preserve">  </w:t>
      </w:r>
    </w:p>
    <w:p w:rsidRPr="0043185F" w:rsidR="004C617C" w:rsidP="004C617C" w:rsidRDefault="004C617C" w14:paraId="1BD00DB3" w14:textId="5081612C">
      <w:pPr>
        <w:pStyle w:val="P1-StandPara"/>
        <w:ind w:firstLine="0"/>
        <w:rPr>
          <w:rFonts w:ascii="Calibri" w:hAnsi="Calibri"/>
          <w:color w:val="000000" w:themeColor="text1"/>
        </w:rPr>
      </w:pPr>
      <w:r w:rsidRPr="00BD19F7">
        <w:rPr>
          <w:rFonts w:ascii="Calibri" w:hAnsi="Calibri"/>
        </w:rPr>
        <w:t xml:space="preserve">The annualized cost to the federal </w:t>
      </w:r>
      <w:r w:rsidRPr="00C3161E">
        <w:rPr>
          <w:rFonts w:ascii="Calibri" w:hAnsi="Calibri"/>
        </w:rPr>
        <w:t xml:space="preserve">government is </w:t>
      </w:r>
      <w:r w:rsidRPr="0043185F">
        <w:rPr>
          <w:rFonts w:ascii="Calibri" w:hAnsi="Calibri"/>
          <w:color w:val="000000" w:themeColor="text1"/>
          <w:highlight w:val="yellow"/>
        </w:rPr>
        <w:t>$ 1</w:t>
      </w:r>
      <w:r w:rsidRPr="0043185F" w:rsidR="001A23E3">
        <w:rPr>
          <w:rFonts w:ascii="Calibri" w:hAnsi="Calibri"/>
          <w:color w:val="000000" w:themeColor="text1"/>
          <w:highlight w:val="yellow"/>
        </w:rPr>
        <w:t>5,022.46</w:t>
      </w:r>
    </w:p>
    <w:p w:rsidRPr="0043185F" w:rsidR="008907A5" w:rsidP="008907A5" w:rsidRDefault="008907A5" w14:paraId="17AA584F" w14:textId="77777777">
      <w:pPr>
        <w:pStyle w:val="P1-StandPara"/>
        <w:rPr>
          <w:color w:val="000000" w:themeColor="text1"/>
          <w:sz w:val="10"/>
          <w:szCs w:val="10"/>
        </w:rPr>
      </w:pPr>
    </w:p>
    <w:tbl>
      <w:tblPr>
        <w:tblW w:w="9522" w:type="dxa"/>
        <w:tblInd w:w="108"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43185F" w:rsidR="0043185F" w:rsidTr="008B6DAE" w14:paraId="27D19B51"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hideMark/>
          </w:tcPr>
          <w:p w:rsidRPr="0043185F" w:rsidR="00531918" w:rsidP="008B6DAE" w:rsidRDefault="00531918" w14:paraId="7D0A7EBA" w14:textId="77777777">
            <w:pPr>
              <w:jc w:val="center"/>
              <w:rPr>
                <w:b/>
                <w:bCs/>
                <w:color w:val="000000" w:themeColor="text1"/>
              </w:rPr>
            </w:pPr>
            <w:r w:rsidRPr="0043185F">
              <w:rPr>
                <w:b/>
                <w:bCs/>
                <w:color w:val="000000" w:themeColor="text1"/>
              </w:rPr>
              <w:t>Staff</w:t>
            </w:r>
          </w:p>
        </w:tc>
        <w:tc>
          <w:tcPr>
            <w:tcW w:w="1440" w:type="dxa"/>
            <w:tcBorders>
              <w:top w:val="single" w:color="auto" w:sz="8" w:space="0"/>
              <w:left w:val="nil"/>
              <w:bottom w:val="single" w:color="auto" w:sz="8" w:space="0"/>
              <w:right w:val="single" w:color="auto" w:sz="8" w:space="0"/>
            </w:tcBorders>
            <w:shd w:val="clear" w:color="auto" w:fill="auto"/>
          </w:tcPr>
          <w:p w:rsidRPr="0043185F" w:rsidR="00531918" w:rsidP="008B6DAE" w:rsidRDefault="00531918" w14:paraId="16AC8FF9" w14:textId="77777777">
            <w:pPr>
              <w:jc w:val="center"/>
              <w:rPr>
                <w:b/>
                <w:bCs/>
                <w:color w:val="000000" w:themeColor="text1"/>
              </w:rPr>
            </w:pPr>
            <w:r w:rsidRPr="0043185F">
              <w:rPr>
                <w:b/>
                <w:bCs/>
                <w:color w:val="000000" w:themeColor="text1"/>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hideMark/>
          </w:tcPr>
          <w:p w:rsidRPr="0043185F" w:rsidR="00531918" w:rsidP="008B6DAE" w:rsidRDefault="00531918" w14:paraId="751BF43C" w14:textId="77777777">
            <w:pPr>
              <w:jc w:val="center"/>
              <w:rPr>
                <w:b/>
                <w:bCs/>
                <w:color w:val="000000" w:themeColor="text1"/>
              </w:rPr>
            </w:pPr>
            <w:r w:rsidRPr="0043185F">
              <w:rPr>
                <w:b/>
                <w:bCs/>
                <w:color w:val="000000" w:themeColor="text1"/>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hideMark/>
          </w:tcPr>
          <w:p w:rsidRPr="0043185F" w:rsidR="00531918" w:rsidP="008B6DAE" w:rsidRDefault="00531918" w14:paraId="4C758527" w14:textId="77777777">
            <w:pPr>
              <w:jc w:val="center"/>
              <w:rPr>
                <w:b/>
                <w:bCs/>
                <w:color w:val="000000" w:themeColor="text1"/>
              </w:rPr>
            </w:pPr>
            <w:r w:rsidRPr="0043185F">
              <w:rPr>
                <w:b/>
                <w:bCs/>
                <w:color w:val="000000" w:themeColor="text1"/>
              </w:rPr>
              <w:t>% of Effort</w:t>
            </w:r>
          </w:p>
        </w:tc>
        <w:tc>
          <w:tcPr>
            <w:tcW w:w="1363" w:type="dxa"/>
            <w:tcBorders>
              <w:top w:val="single" w:color="auto" w:sz="8" w:space="0"/>
              <w:left w:val="nil"/>
              <w:bottom w:val="single" w:color="auto" w:sz="8" w:space="0"/>
              <w:right w:val="single" w:color="auto" w:sz="8" w:space="0"/>
            </w:tcBorders>
            <w:shd w:val="clear" w:color="auto" w:fill="auto"/>
          </w:tcPr>
          <w:p w:rsidRPr="0043185F" w:rsidR="00531918" w:rsidP="008B6DAE" w:rsidRDefault="00531918" w14:paraId="5381FD9C" w14:textId="77777777">
            <w:pPr>
              <w:jc w:val="center"/>
              <w:rPr>
                <w:b/>
                <w:bCs/>
                <w:color w:val="000000" w:themeColor="text1"/>
              </w:rPr>
            </w:pPr>
            <w:r w:rsidRPr="0043185F">
              <w:rPr>
                <w:b/>
                <w:bCs/>
                <w:color w:val="000000" w:themeColor="text1"/>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43185F" w:rsidR="00531918" w:rsidP="008B6DAE" w:rsidRDefault="00531918" w14:paraId="3CEB3EB6" w14:textId="77777777">
            <w:pPr>
              <w:jc w:val="center"/>
              <w:rPr>
                <w:b/>
                <w:bCs/>
                <w:color w:val="000000" w:themeColor="text1"/>
              </w:rPr>
            </w:pPr>
            <w:r w:rsidRPr="0043185F">
              <w:rPr>
                <w:b/>
                <w:bCs/>
                <w:color w:val="000000" w:themeColor="text1"/>
              </w:rPr>
              <w:t>Total Cost to Gov’t</w:t>
            </w:r>
          </w:p>
        </w:tc>
      </w:tr>
      <w:tr w:rsidRPr="0043185F" w:rsidR="0043185F" w:rsidTr="008B6DAE" w14:paraId="652788CC" w14:textId="77777777">
        <w:trPr>
          <w:trHeight w:val="871"/>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rsidRPr="0043185F" w:rsidR="00531918" w:rsidP="008B6DAE" w:rsidRDefault="008B6DAE" w14:paraId="2F404C0B" w14:textId="77777777">
            <w:pPr>
              <w:spacing w:after="0"/>
              <w:rPr>
                <w:b/>
                <w:color w:val="000000" w:themeColor="text1"/>
              </w:rPr>
            </w:pPr>
            <w:r w:rsidRPr="0043185F">
              <w:rPr>
                <w:b/>
                <w:color w:val="000000" w:themeColor="text1"/>
              </w:rPr>
              <w:t xml:space="preserve">Federal Oversight </w:t>
            </w:r>
            <w:proofErr w:type="gramStart"/>
            <w:r w:rsidRPr="0043185F">
              <w:rPr>
                <w:b/>
                <w:color w:val="000000" w:themeColor="text1"/>
              </w:rPr>
              <w:t xml:space="preserve">- </w:t>
            </w:r>
            <w:r w:rsidRPr="0043185F">
              <w:rPr>
                <w:rFonts w:cs="Arial"/>
                <w:color w:val="000000" w:themeColor="text1"/>
                <w:kern w:val="24"/>
              </w:rPr>
              <w:t xml:space="preserve"> Application</w:t>
            </w:r>
            <w:proofErr w:type="gramEnd"/>
            <w:r w:rsidRPr="0043185F">
              <w:rPr>
                <w:rFonts w:cs="Arial"/>
                <w:color w:val="000000" w:themeColor="text1"/>
                <w:kern w:val="24"/>
              </w:rPr>
              <w:t xml:space="preserve"> Lead/ Program Officer</w:t>
            </w:r>
          </w:p>
        </w:tc>
        <w:tc>
          <w:tcPr>
            <w:tcW w:w="1440" w:type="dxa"/>
            <w:tcBorders>
              <w:top w:val="nil"/>
              <w:left w:val="nil"/>
              <w:bottom w:val="single" w:color="auto" w:sz="8" w:space="0"/>
              <w:right w:val="single" w:color="auto" w:sz="8" w:space="0"/>
            </w:tcBorders>
          </w:tcPr>
          <w:p w:rsidRPr="0043185F" w:rsidR="00531918" w:rsidP="008B6DAE" w:rsidRDefault="008B6DAE" w14:paraId="50B1FEC3" w14:textId="77777777">
            <w:pPr>
              <w:jc w:val="center"/>
              <w:rPr>
                <w:color w:val="000000" w:themeColor="text1"/>
              </w:rPr>
            </w:pPr>
            <w:r w:rsidRPr="0043185F">
              <w:rPr>
                <w:rFonts w:cs="Arial"/>
                <w:color w:val="000000" w:themeColor="text1"/>
                <w:kern w:val="24"/>
              </w:rPr>
              <w:t>GS-15/ Step 4</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tcPr>
          <w:p w:rsidRPr="0043185F" w:rsidR="00531918" w:rsidP="008B6DAE" w:rsidRDefault="008B6DAE" w14:paraId="57876497" w14:textId="76028CEE">
            <w:pPr>
              <w:jc w:val="center"/>
              <w:rPr>
                <w:color w:val="000000" w:themeColor="text1"/>
              </w:rPr>
            </w:pPr>
            <w:r w:rsidRPr="0043185F">
              <w:rPr>
                <w:rFonts w:cs="Arial"/>
                <w:color w:val="000000" w:themeColor="text1"/>
                <w:kern w:val="24"/>
                <w:highlight w:val="yellow"/>
              </w:rPr>
              <w:t>$</w:t>
            </w:r>
            <w:r w:rsidRPr="0043185F" w:rsidR="00C3161E">
              <w:rPr>
                <w:rFonts w:cs="Arial"/>
                <w:color w:val="000000" w:themeColor="text1"/>
                <w:kern w:val="24"/>
                <w:highlight w:val="yellow"/>
              </w:rPr>
              <w:t xml:space="preserve"> 156,973</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tcPr>
          <w:p w:rsidRPr="0043185F" w:rsidR="00531918" w:rsidP="008B6DAE" w:rsidRDefault="004C617C" w14:paraId="002AE853" w14:textId="77777777">
            <w:pPr>
              <w:jc w:val="center"/>
              <w:rPr>
                <w:color w:val="000000" w:themeColor="text1"/>
              </w:rPr>
            </w:pPr>
            <w:r w:rsidRPr="0043185F">
              <w:rPr>
                <w:color w:val="000000" w:themeColor="text1"/>
              </w:rPr>
              <w:t>2.0</w:t>
            </w:r>
          </w:p>
        </w:tc>
        <w:tc>
          <w:tcPr>
            <w:tcW w:w="1363" w:type="dxa"/>
            <w:tcBorders>
              <w:top w:val="nil"/>
              <w:left w:val="nil"/>
              <w:bottom w:val="single" w:color="auto" w:sz="8" w:space="0"/>
              <w:right w:val="single" w:color="auto" w:sz="8" w:space="0"/>
            </w:tcBorders>
            <w:shd w:val="clear" w:color="auto" w:fill="BFBFBF"/>
          </w:tcPr>
          <w:p w:rsidRPr="0043185F" w:rsidR="00531918" w:rsidP="008B6DAE" w:rsidRDefault="00531918" w14:paraId="091F681C" w14:textId="77777777">
            <w:pPr>
              <w:jc w:val="center"/>
              <w:rPr>
                <w:color w:val="000000" w:themeColor="text1"/>
              </w:rPr>
            </w:pPr>
          </w:p>
        </w:tc>
        <w:tc>
          <w:tcPr>
            <w:tcW w:w="1363" w:type="dxa"/>
            <w:tcBorders>
              <w:top w:val="nil"/>
              <w:left w:val="nil"/>
              <w:bottom w:val="single" w:color="auto" w:sz="8" w:space="0"/>
              <w:right w:val="single" w:color="auto" w:sz="8" w:space="0"/>
            </w:tcBorders>
          </w:tcPr>
          <w:p w:rsidRPr="0043185F" w:rsidR="00531918" w:rsidP="00BB2499" w:rsidRDefault="008B6DAE" w14:paraId="14E9B73E" w14:textId="37AB145D">
            <w:pPr>
              <w:jc w:val="center"/>
              <w:rPr>
                <w:color w:val="000000" w:themeColor="text1"/>
              </w:rPr>
            </w:pPr>
            <w:r w:rsidRPr="0043185F">
              <w:rPr>
                <w:rFonts w:cs="Arial"/>
                <w:color w:val="000000" w:themeColor="text1"/>
                <w:kern w:val="24"/>
                <w:highlight w:val="yellow"/>
              </w:rPr>
              <w:t xml:space="preserve">$ </w:t>
            </w:r>
            <w:r w:rsidRPr="0043185F" w:rsidR="001A23E3">
              <w:rPr>
                <w:rFonts w:cs="Arial"/>
                <w:color w:val="000000" w:themeColor="text1"/>
                <w:kern w:val="24"/>
                <w:highlight w:val="yellow"/>
              </w:rPr>
              <w:t>3,139.46</w:t>
            </w:r>
          </w:p>
        </w:tc>
      </w:tr>
      <w:tr w:rsidRPr="0043185F" w:rsidR="0043185F" w:rsidTr="008B6DAE" w14:paraId="18533D9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rsidRPr="0043185F" w:rsidR="008B6DAE" w:rsidP="008B6DAE" w:rsidRDefault="00531918" w14:paraId="38B7EF69" w14:textId="77777777">
            <w:pPr>
              <w:spacing w:after="0"/>
              <w:rPr>
                <w:rFonts w:cs="Arial"/>
                <w:color w:val="000000" w:themeColor="text1"/>
                <w:kern w:val="24"/>
              </w:rPr>
            </w:pPr>
            <w:r w:rsidRPr="0043185F">
              <w:rPr>
                <w:b/>
                <w:color w:val="000000" w:themeColor="text1"/>
              </w:rPr>
              <w:t>Contractor Cost</w:t>
            </w:r>
            <w:r w:rsidRPr="0043185F" w:rsidR="008B6DAE">
              <w:rPr>
                <w:rFonts w:cs="Arial"/>
                <w:color w:val="000000" w:themeColor="text1"/>
                <w:kern w:val="24"/>
              </w:rPr>
              <w:t xml:space="preserve"> – </w:t>
            </w:r>
          </w:p>
          <w:p w:rsidRPr="0043185F" w:rsidR="00531918" w:rsidP="008B6DAE" w:rsidRDefault="008B6DAE" w14:paraId="03686385" w14:textId="77777777">
            <w:pPr>
              <w:rPr>
                <w:b/>
                <w:color w:val="000000" w:themeColor="text1"/>
              </w:rPr>
            </w:pPr>
            <w:r w:rsidRPr="0043185F">
              <w:rPr>
                <w:rFonts w:cs="Arial"/>
                <w:color w:val="000000" w:themeColor="text1"/>
                <w:kern w:val="24"/>
              </w:rPr>
              <w:t>Archive Administrator/ Content Analyst</w:t>
            </w:r>
          </w:p>
        </w:tc>
        <w:tc>
          <w:tcPr>
            <w:tcW w:w="1440" w:type="dxa"/>
            <w:tcBorders>
              <w:top w:val="nil"/>
              <w:left w:val="nil"/>
              <w:bottom w:val="single" w:color="auto" w:sz="8" w:space="0"/>
              <w:right w:val="single" w:color="auto" w:sz="8" w:space="0"/>
            </w:tcBorders>
            <w:shd w:val="clear" w:color="auto" w:fill="BFBFBF"/>
          </w:tcPr>
          <w:p w:rsidRPr="0043185F" w:rsidR="00531918" w:rsidP="008B6DAE" w:rsidRDefault="00531918" w14:paraId="56BE86A9" w14:textId="77777777">
            <w:pPr>
              <w:jc w:val="center"/>
              <w:rPr>
                <w:color w:val="000000" w:themeColor="text1"/>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tcPr>
          <w:p w:rsidRPr="0043185F" w:rsidR="00531918" w:rsidP="002D17CA" w:rsidRDefault="008B6DAE" w14:paraId="6640D4B6" w14:textId="77777777">
            <w:pPr>
              <w:jc w:val="center"/>
              <w:rPr>
                <w:color w:val="000000" w:themeColor="text1"/>
              </w:rPr>
            </w:pPr>
            <w:r w:rsidRPr="0043185F">
              <w:rPr>
                <w:color w:val="000000" w:themeColor="text1"/>
              </w:rPr>
              <w:t xml:space="preserve">$ </w:t>
            </w:r>
            <w:r w:rsidRPr="0043185F" w:rsidR="004C5217">
              <w:rPr>
                <w:color w:val="000000" w:themeColor="text1"/>
              </w:rPr>
              <w:t>118,830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tcPr>
          <w:p w:rsidRPr="0043185F" w:rsidR="00531918" w:rsidP="008B6DAE" w:rsidRDefault="00D272C7" w14:paraId="602D49B8" w14:textId="77777777">
            <w:pPr>
              <w:jc w:val="center"/>
              <w:rPr>
                <w:color w:val="000000" w:themeColor="text1"/>
              </w:rPr>
            </w:pPr>
            <w:r w:rsidRPr="0043185F">
              <w:rPr>
                <w:color w:val="000000" w:themeColor="text1"/>
              </w:rPr>
              <w:t>10</w:t>
            </w:r>
            <w:r w:rsidRPr="0043185F" w:rsidR="002D17CA">
              <w:rPr>
                <w:color w:val="000000" w:themeColor="text1"/>
              </w:rPr>
              <w:t>.0</w:t>
            </w:r>
          </w:p>
        </w:tc>
        <w:tc>
          <w:tcPr>
            <w:tcW w:w="1363" w:type="dxa"/>
            <w:tcBorders>
              <w:top w:val="nil"/>
              <w:left w:val="nil"/>
              <w:bottom w:val="single" w:color="auto" w:sz="8" w:space="0"/>
              <w:right w:val="single" w:color="auto" w:sz="8" w:space="0"/>
            </w:tcBorders>
          </w:tcPr>
          <w:p w:rsidRPr="0043185F" w:rsidR="00531918" w:rsidP="008B6DAE" w:rsidRDefault="003D7FAB" w14:paraId="4471FE7F" w14:textId="77777777">
            <w:pPr>
              <w:jc w:val="center"/>
              <w:rPr>
                <w:color w:val="000000" w:themeColor="text1"/>
              </w:rPr>
            </w:pPr>
            <w:r w:rsidRPr="0043185F">
              <w:rPr>
                <w:color w:val="000000" w:themeColor="text1"/>
              </w:rPr>
              <w:t>N/A</w:t>
            </w:r>
          </w:p>
        </w:tc>
        <w:tc>
          <w:tcPr>
            <w:tcW w:w="1363" w:type="dxa"/>
            <w:tcBorders>
              <w:top w:val="nil"/>
              <w:left w:val="nil"/>
              <w:bottom w:val="single" w:color="auto" w:sz="8" w:space="0"/>
              <w:right w:val="single" w:color="auto" w:sz="8" w:space="0"/>
            </w:tcBorders>
          </w:tcPr>
          <w:p w:rsidRPr="0043185F" w:rsidR="00531918" w:rsidP="00D272C7" w:rsidRDefault="002D17CA" w14:paraId="643D2221" w14:textId="77777777">
            <w:pPr>
              <w:jc w:val="center"/>
              <w:rPr>
                <w:color w:val="000000" w:themeColor="text1"/>
              </w:rPr>
            </w:pPr>
            <w:r w:rsidRPr="0043185F">
              <w:rPr>
                <w:color w:val="000000" w:themeColor="text1"/>
              </w:rPr>
              <w:t xml:space="preserve">$ </w:t>
            </w:r>
            <w:r w:rsidRPr="0043185F" w:rsidR="004C5217">
              <w:rPr>
                <w:color w:val="000000" w:themeColor="text1"/>
              </w:rPr>
              <w:t>11,883.00</w:t>
            </w:r>
          </w:p>
        </w:tc>
      </w:tr>
      <w:tr w:rsidRPr="0043185F" w:rsidR="0043185F" w:rsidTr="00931710" w14:paraId="7895E904" w14:textId="77777777">
        <w:trPr>
          <w:trHeight w:val="300"/>
        </w:trPr>
        <w:tc>
          <w:tcPr>
            <w:tcW w:w="8159" w:type="dxa"/>
            <w:gridSpan w:val="5"/>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43185F" w:rsidR="00102A15" w:rsidP="00102A15" w:rsidRDefault="00102A15" w14:paraId="4C6E3EB1" w14:textId="77777777">
            <w:pPr>
              <w:rPr>
                <w:color w:val="000000" w:themeColor="text1"/>
              </w:rPr>
            </w:pPr>
            <w:r w:rsidRPr="0043185F">
              <w:rPr>
                <w:b/>
                <w:color w:val="000000" w:themeColor="text1"/>
              </w:rPr>
              <w:t>Total Cost</w:t>
            </w:r>
          </w:p>
        </w:tc>
        <w:tc>
          <w:tcPr>
            <w:tcW w:w="1363" w:type="dxa"/>
            <w:tcBorders>
              <w:top w:val="nil"/>
              <w:left w:val="nil"/>
              <w:bottom w:val="single" w:color="auto" w:sz="8" w:space="0"/>
              <w:right w:val="single" w:color="auto" w:sz="8" w:space="0"/>
            </w:tcBorders>
          </w:tcPr>
          <w:p w:rsidRPr="0043185F" w:rsidR="00102A15" w:rsidP="004C617C" w:rsidRDefault="00102A15" w14:paraId="3C67E3AB" w14:textId="5C0B9238">
            <w:pPr>
              <w:jc w:val="center"/>
              <w:rPr>
                <w:b/>
                <w:color w:val="000000" w:themeColor="text1"/>
              </w:rPr>
            </w:pPr>
            <w:r w:rsidRPr="0043185F">
              <w:rPr>
                <w:b/>
                <w:color w:val="000000" w:themeColor="text1"/>
                <w:highlight w:val="yellow"/>
              </w:rPr>
              <w:t>$</w:t>
            </w:r>
            <w:r w:rsidRPr="0043185F" w:rsidR="001A23E3">
              <w:rPr>
                <w:b/>
                <w:color w:val="000000" w:themeColor="text1"/>
                <w:highlight w:val="yellow"/>
              </w:rPr>
              <w:t xml:space="preserve"> 15,022.46</w:t>
            </w:r>
            <w:r w:rsidRPr="0043185F" w:rsidR="001A23E3">
              <w:rPr>
                <w:b/>
                <w:color w:val="000000" w:themeColor="text1"/>
              </w:rPr>
              <w:t xml:space="preserve">  </w:t>
            </w:r>
            <w:r w:rsidRPr="0043185F">
              <w:rPr>
                <w:b/>
                <w:color w:val="000000" w:themeColor="text1"/>
              </w:rPr>
              <w:t xml:space="preserve">  </w:t>
            </w:r>
          </w:p>
        </w:tc>
      </w:tr>
    </w:tbl>
    <w:p w:rsidRPr="00A70E41" w:rsidR="00531918" w:rsidP="00A70E41" w:rsidRDefault="00102A15" w14:paraId="2A192CC0" w14:textId="22112404">
      <w:pPr>
        <w:spacing w:before="240"/>
        <w:rPr>
          <w:sz w:val="18"/>
          <w:szCs w:val="18"/>
        </w:rPr>
      </w:pPr>
      <w:r w:rsidRPr="00102A15">
        <w:rPr>
          <w:sz w:val="18"/>
          <w:szCs w:val="18"/>
        </w:rPr>
        <w:t xml:space="preserve">Salary/Wage Source: Office of Personnel Management </w:t>
      </w:r>
      <w:r w:rsidRPr="0043185F" w:rsidR="00B25A0E">
        <w:rPr>
          <w:color w:val="000000" w:themeColor="text1"/>
          <w:sz w:val="18"/>
          <w:szCs w:val="18"/>
          <w:highlight w:val="yellow"/>
        </w:rPr>
        <w:t>20</w:t>
      </w:r>
      <w:r w:rsidRPr="0043185F" w:rsidR="00811391">
        <w:rPr>
          <w:color w:val="000000" w:themeColor="text1"/>
          <w:sz w:val="18"/>
          <w:szCs w:val="18"/>
          <w:highlight w:val="yellow"/>
        </w:rPr>
        <w:t>20</w:t>
      </w:r>
      <w:r w:rsidRPr="00102A15" w:rsidR="00B25A0E">
        <w:rPr>
          <w:sz w:val="18"/>
          <w:szCs w:val="18"/>
        </w:rPr>
        <w:t xml:space="preserve"> </w:t>
      </w:r>
      <w:r w:rsidRPr="00102A15">
        <w:rPr>
          <w:sz w:val="18"/>
          <w:szCs w:val="18"/>
        </w:rPr>
        <w:t>General Schedule Locality Salary Table for various GS-levels; contractor rates based on GSA IT schedules.</w:t>
      </w:r>
    </w:p>
    <w:p w:rsidRPr="00AE7DFF" w:rsidR="000D1AF4" w:rsidP="00980B2E" w:rsidRDefault="00FF72FC" w14:paraId="68440E7B" w14:textId="3DBA0837">
      <w:pPr>
        <w:pStyle w:val="Heading2"/>
        <w:rPr>
          <w:highlight w:val="yellow"/>
        </w:rPr>
      </w:pPr>
      <w:bookmarkStart w:name="_Toc442286346" w:id="70"/>
      <w:bookmarkStart w:name="_Toc508106952" w:id="71"/>
      <w:r w:rsidRPr="00E35DD1">
        <w:t>A.15</w:t>
      </w:r>
      <w:r w:rsidRPr="00E35DD1">
        <w:tab/>
        <w:t>Explanation for Program Changes or Adjustments</w:t>
      </w:r>
      <w:bookmarkStart w:name="_Toc443881759" w:id="72"/>
      <w:bookmarkStart w:name="_Toc451592246" w:id="73"/>
      <w:bookmarkStart w:name="_Toc5610287" w:id="74"/>
      <w:bookmarkStart w:name="_Toc99178793" w:id="75"/>
      <w:bookmarkEnd w:id="70"/>
      <w:bookmarkEnd w:id="71"/>
    </w:p>
    <w:p w:rsidRPr="00DF586F" w:rsidR="003778AD" w:rsidP="00F02DE5" w:rsidRDefault="00DC427D" w14:paraId="57E362E4" w14:textId="5219F0FA">
      <w:pPr>
        <w:rPr>
          <w:color w:val="000000" w:themeColor="text1"/>
          <w:highlight w:val="yellow"/>
        </w:rPr>
      </w:pPr>
      <w:r w:rsidRPr="00DF586F">
        <w:rPr>
          <w:color w:val="000000" w:themeColor="text1"/>
          <w:highlight w:val="yellow"/>
        </w:rPr>
        <w:t xml:space="preserve">NICHD DASH is expanding its functionality to facilitate the findability of NICHD-funded studies and data collections shared through other publicly accessible archives. The new functionality will enable investigators to discover studies and data collections available through other publicly accessible archives for the purposes of secondary research. Establishing a central resource to showcase all NICHD-funded studies and data collections, including those housed in DASH and in other archives, in a standardized format also helps address the objectives of various NIH and federal data sharing and data science initiatives. </w:t>
      </w:r>
    </w:p>
    <w:p w:rsidRPr="0043185F" w:rsidR="00DC427D" w:rsidP="00B029D9" w:rsidRDefault="00DC427D" w14:paraId="5D04A2EB" w14:textId="5D614294">
      <w:pPr>
        <w:rPr>
          <w:color w:val="000000" w:themeColor="text1"/>
        </w:rPr>
      </w:pPr>
      <w:r w:rsidRPr="682752C4">
        <w:rPr>
          <w:color w:val="000000" w:themeColor="text1"/>
          <w:highlight w:val="yellow"/>
        </w:rPr>
        <w:lastRenderedPageBreak/>
        <w:t>Enabling these new functionalities, however, will necessitate additional information gathering, as described in section A.2, Purpose and Use of the Information Collection.</w:t>
      </w:r>
      <w:r w:rsidRPr="682752C4" w:rsidR="003778AD">
        <w:rPr>
          <w:color w:val="000000" w:themeColor="text1"/>
          <w:highlight w:val="yellow"/>
        </w:rPr>
        <w:t xml:space="preserve"> Accordingly, </w:t>
      </w:r>
      <w:r w:rsidRPr="682752C4" w:rsidR="00AB0E2C">
        <w:rPr>
          <w:color w:val="000000" w:themeColor="text1"/>
          <w:highlight w:val="yellow"/>
        </w:rPr>
        <w:t xml:space="preserve">there will be two </w:t>
      </w:r>
      <w:r w:rsidRPr="682752C4" w:rsidR="0050050F">
        <w:rPr>
          <w:color w:val="000000" w:themeColor="text1"/>
          <w:highlight w:val="yellow"/>
        </w:rPr>
        <w:t xml:space="preserve">new data collections forms implemented </w:t>
      </w:r>
      <w:r w:rsidRPr="682752C4" w:rsidR="00360495">
        <w:rPr>
          <w:color w:val="000000" w:themeColor="text1"/>
          <w:highlight w:val="yellow"/>
        </w:rPr>
        <w:t xml:space="preserve">for users to </w:t>
      </w:r>
      <w:r w:rsidRPr="682752C4" w:rsidR="00B029D9">
        <w:rPr>
          <w:color w:val="000000" w:themeColor="text1"/>
          <w:highlight w:val="yellow"/>
        </w:rPr>
        <w:t>submit information about their research study</w:t>
      </w:r>
      <w:r w:rsidRPr="682752C4" w:rsidR="00360495">
        <w:rPr>
          <w:color w:val="000000" w:themeColor="text1"/>
          <w:highlight w:val="yellow"/>
        </w:rPr>
        <w:t xml:space="preserve"> </w:t>
      </w:r>
      <w:r w:rsidRPr="682752C4" w:rsidR="00113D8C">
        <w:rPr>
          <w:i/>
          <w:iCs/>
          <w:color w:val="000000" w:themeColor="text1"/>
          <w:highlight w:val="yellow"/>
        </w:rPr>
        <w:t>(New information collection form; Attachment A.2-8 Study Catalog Submission)</w:t>
      </w:r>
      <w:r w:rsidRPr="682752C4" w:rsidR="00113D8C">
        <w:rPr>
          <w:color w:val="000000" w:themeColor="text1"/>
          <w:highlight w:val="yellow"/>
        </w:rPr>
        <w:t xml:space="preserve"> </w:t>
      </w:r>
      <w:r w:rsidRPr="682752C4" w:rsidR="00B029D9">
        <w:rPr>
          <w:color w:val="000000" w:themeColor="text1"/>
          <w:highlight w:val="yellow"/>
        </w:rPr>
        <w:t xml:space="preserve">or data collection </w:t>
      </w:r>
      <w:r w:rsidRPr="682752C4" w:rsidR="00B7212A">
        <w:rPr>
          <w:color w:val="000000" w:themeColor="text1"/>
          <w:highlight w:val="yellow"/>
        </w:rPr>
        <w:t>(</w:t>
      </w:r>
      <w:r w:rsidRPr="682752C4" w:rsidR="00B7212A">
        <w:rPr>
          <w:i/>
          <w:iCs/>
          <w:color w:val="000000" w:themeColor="text1"/>
          <w:highlight w:val="yellow"/>
        </w:rPr>
        <w:t>New information collection form; Attachment A.2-9 Data Collection Catalog Submission</w:t>
      </w:r>
      <w:r w:rsidRPr="682752C4" w:rsidR="00B7212A">
        <w:rPr>
          <w:color w:val="000000" w:themeColor="text1"/>
          <w:highlight w:val="yellow"/>
        </w:rPr>
        <w:t>)</w:t>
      </w:r>
      <w:r w:rsidRPr="682752C4" w:rsidR="00B029D9">
        <w:rPr>
          <w:color w:val="000000" w:themeColor="text1"/>
          <w:highlight w:val="yellow"/>
        </w:rPr>
        <w:t xml:space="preserve"> stored in </w:t>
      </w:r>
      <w:r w:rsidRPr="682752C4" w:rsidR="00DF586F">
        <w:rPr>
          <w:color w:val="000000" w:themeColor="text1"/>
          <w:highlight w:val="yellow"/>
        </w:rPr>
        <w:t>another publicly accessible archive – a process referred to as ‘cataloging’ in DASH.</w:t>
      </w:r>
    </w:p>
    <w:p w:rsidRPr="00FB5625" w:rsidR="00FF72FC" w:rsidP="004C5217" w:rsidRDefault="00FF72FC" w14:paraId="51D7D46B" w14:textId="77777777">
      <w:pPr>
        <w:pStyle w:val="Heading2"/>
      </w:pPr>
      <w:bookmarkStart w:name="_Toc442286347" w:id="76"/>
      <w:bookmarkStart w:name="_Toc508106953" w:id="77"/>
      <w:r w:rsidRPr="00FB5625">
        <w:t>A.16</w:t>
      </w:r>
      <w:r w:rsidRPr="00FB5625">
        <w:tab/>
        <w:t>Plans for Tabulation and Publication and Project Time Schedule</w:t>
      </w:r>
      <w:bookmarkEnd w:id="72"/>
      <w:bookmarkEnd w:id="73"/>
      <w:bookmarkEnd w:id="74"/>
      <w:bookmarkEnd w:id="75"/>
      <w:bookmarkEnd w:id="76"/>
      <w:bookmarkEnd w:id="77"/>
    </w:p>
    <w:p w:rsidR="007D54C0" w:rsidP="007D54C0" w:rsidRDefault="004A77B0" w14:paraId="5FFCFCAA" w14:textId="7455E0F1">
      <w:r w:rsidRPr="00EF71AA">
        <w:rPr>
          <w:color w:val="000000"/>
        </w:rPr>
        <w:t>All</w:t>
      </w:r>
      <w:r w:rsidRPr="00EF71AA" w:rsidR="00D362E0">
        <w:rPr>
          <w:color w:val="000000"/>
        </w:rPr>
        <w:t xml:space="preserve"> the data collected from use of NICHD</w:t>
      </w:r>
      <w:r w:rsidR="00D362E0">
        <w:rPr>
          <w:color w:val="000000"/>
        </w:rPr>
        <w:t xml:space="preserve"> DASH </w:t>
      </w:r>
      <w:r w:rsidRPr="00980B2E" w:rsidR="00D362E0">
        <w:rPr>
          <w:color w:val="000000"/>
        </w:rPr>
        <w:t xml:space="preserve">except for information provided in the </w:t>
      </w:r>
      <w:r w:rsidRPr="00980B2E" w:rsidR="00AE3B22">
        <w:rPr>
          <w:color w:val="000000"/>
        </w:rPr>
        <w:t>A</w:t>
      </w:r>
      <w:r w:rsidRPr="00980B2E" w:rsidR="00D362E0">
        <w:rPr>
          <w:color w:val="000000"/>
        </w:rPr>
        <w:t xml:space="preserve">nnual </w:t>
      </w:r>
      <w:r w:rsidRPr="00980B2E" w:rsidR="00AE3B22">
        <w:rPr>
          <w:color w:val="000000"/>
        </w:rPr>
        <w:t>P</w:t>
      </w:r>
      <w:r w:rsidRPr="00980B2E" w:rsidR="00D362E0">
        <w:rPr>
          <w:color w:val="000000"/>
        </w:rPr>
        <w:t>rogress</w:t>
      </w:r>
      <w:r w:rsidRPr="00D56D32" w:rsidR="00AE3B22">
        <w:rPr>
          <w:color w:val="000000"/>
        </w:rPr>
        <w:t xml:space="preserve"> </w:t>
      </w:r>
      <w:r w:rsidRPr="00980B2E" w:rsidR="00AE3B22">
        <w:rPr>
          <w:color w:val="000000"/>
        </w:rPr>
        <w:t>Report</w:t>
      </w:r>
      <w:r w:rsidRPr="00D56D32" w:rsidR="00AE3B22">
        <w:rPr>
          <w:color w:val="000000"/>
        </w:rPr>
        <w:t xml:space="preserve"> </w:t>
      </w:r>
      <w:r w:rsidRPr="00D56D32" w:rsidR="00D362E0">
        <w:rPr>
          <w:color w:val="000000"/>
        </w:rPr>
        <w:t xml:space="preserve">are for the purposes of internal administrative management of NICHD DASH. </w:t>
      </w:r>
      <w:r w:rsidRPr="00980B2E" w:rsidR="00D362E0">
        <w:t xml:space="preserve">Information gathered through the </w:t>
      </w:r>
      <w:r w:rsidRPr="00980B2E" w:rsidR="00AE3B22">
        <w:t>A</w:t>
      </w:r>
      <w:r w:rsidRPr="00980B2E" w:rsidR="00D362E0">
        <w:t xml:space="preserve">nnual </w:t>
      </w:r>
      <w:r w:rsidRPr="00980B2E" w:rsidR="00AE3B22">
        <w:t>P</w:t>
      </w:r>
      <w:r w:rsidRPr="00980B2E" w:rsidR="00D362E0">
        <w:t xml:space="preserve">rogress </w:t>
      </w:r>
      <w:r w:rsidRPr="00980B2E" w:rsidR="00AE3B22">
        <w:rPr>
          <w:color w:val="000000"/>
        </w:rPr>
        <w:t>R</w:t>
      </w:r>
      <w:r w:rsidRPr="00980B2E" w:rsidR="00D362E0">
        <w:rPr>
          <w:color w:val="000000"/>
        </w:rPr>
        <w:t>eport may be used in publications describing performance of the DASH system.</w:t>
      </w:r>
      <w:r w:rsidR="00D362E0">
        <w:rPr>
          <w:color w:val="000000"/>
        </w:rPr>
        <w:t xml:space="preserve"> </w:t>
      </w:r>
    </w:p>
    <w:p w:rsidRPr="00E35DD1" w:rsidR="00FF72FC" w:rsidP="004C5217" w:rsidRDefault="00FF72FC" w14:paraId="0775DFE6" w14:textId="77777777">
      <w:pPr>
        <w:pStyle w:val="Heading2"/>
      </w:pPr>
      <w:bookmarkStart w:name="_Toc442286348" w:id="78"/>
      <w:bookmarkStart w:name="_Toc508106954" w:id="79"/>
      <w:r w:rsidRPr="00E35DD1">
        <w:t>A.17</w:t>
      </w:r>
      <w:r w:rsidRPr="00E35DD1">
        <w:tab/>
        <w:t>Reason(s) Display of OMB Expiration Date is Inappropriate</w:t>
      </w:r>
      <w:bookmarkEnd w:id="78"/>
      <w:bookmarkEnd w:id="79"/>
    </w:p>
    <w:p w:rsidRPr="005275E9" w:rsidR="007D54C0" w:rsidP="007D54C0" w:rsidRDefault="007D54C0" w14:paraId="501B41BC" w14:textId="77777777">
      <w:r>
        <w:t>Not applicable.</w:t>
      </w:r>
    </w:p>
    <w:p w:rsidRPr="00E35DD1" w:rsidR="00FF72FC" w:rsidP="004C5217" w:rsidRDefault="00FF72FC" w14:paraId="40B5B891" w14:textId="77777777">
      <w:pPr>
        <w:pStyle w:val="Heading2"/>
      </w:pPr>
      <w:bookmarkStart w:name="_Toc442286349" w:id="80"/>
      <w:bookmarkStart w:name="_Toc508106955" w:id="81"/>
      <w:r w:rsidRPr="00024899">
        <w:t>A.18</w:t>
      </w:r>
      <w:r w:rsidRPr="00024899">
        <w:tab/>
        <w:t>Exceptions to Certification for Paperwork Reduction Act Submissions</w:t>
      </w:r>
      <w:bookmarkEnd w:id="80"/>
      <w:bookmarkEnd w:id="81"/>
    </w:p>
    <w:p w:rsidR="004C5217" w:rsidP="00767C53" w:rsidRDefault="007D54C0" w14:paraId="16766267" w14:textId="77777777">
      <w:bookmarkStart w:name="_Toc425378799" w:id="82"/>
      <w:r w:rsidRPr="00AF2770">
        <w:t>The data</w:t>
      </w:r>
      <w:r w:rsidR="00DF434B">
        <w:t xml:space="preserve"> in NICHD DASH</w:t>
      </w:r>
      <w:r w:rsidRPr="00AF2770">
        <w:t xml:space="preserve"> are collected in a manner consistent with the certification statement. No exceptions are requested.</w:t>
      </w:r>
      <w:bookmarkEnd w:id="82"/>
    </w:p>
    <w:p w:rsidRPr="00F02DE5" w:rsidR="00F02DE5" w:rsidP="00F02DE5" w:rsidRDefault="00F02DE5" w14:paraId="6E2EC256" w14:textId="77777777">
      <w:pPr>
        <w:pStyle w:val="P1-StandPara"/>
        <w:ind w:firstLine="0"/>
      </w:pPr>
    </w:p>
    <w:sectPr w:rsidRPr="00F02DE5" w:rsidR="00F02DE5" w:rsidSect="00FE6EA5">
      <w:footerReference w:type="even" r:id="rId20"/>
      <w:footerReference w:type="default" r:id="rId21"/>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6B74EA" w14:textId="77777777" w:rsidR="009F34EE" w:rsidRDefault="009F34EE">
      <w:pPr>
        <w:spacing w:after="0" w:line="240" w:lineRule="auto"/>
      </w:pPr>
      <w:r>
        <w:separator/>
      </w:r>
    </w:p>
  </w:endnote>
  <w:endnote w:type="continuationSeparator" w:id="0">
    <w:p w14:paraId="68A57078" w14:textId="77777777" w:rsidR="009F34EE" w:rsidRDefault="009F34EE">
      <w:pPr>
        <w:spacing w:after="0" w:line="240" w:lineRule="auto"/>
      </w:pPr>
      <w:r>
        <w:continuationSeparator/>
      </w:r>
    </w:p>
  </w:endnote>
  <w:endnote w:type="continuationNotice" w:id="1">
    <w:p w14:paraId="6C68E119" w14:textId="77777777" w:rsidR="009F34EE" w:rsidRDefault="009F34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106CB" w14:textId="77777777" w:rsidR="00653CDC" w:rsidRDefault="00653CDC" w:rsidP="00966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4E5DB4" w14:textId="77777777" w:rsidR="00653CDC" w:rsidRDefault="00653CDC">
    <w:pPr>
      <w:pStyle w:val="Footer"/>
    </w:pPr>
  </w:p>
  <w:p w14:paraId="7D6DB8EC" w14:textId="77777777" w:rsidR="00653CDC" w:rsidRDefault="00653CDC" w:rsidP="000C14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EF223" w14:textId="273EB7BA" w:rsidR="00653CDC" w:rsidRDefault="00653CDC" w:rsidP="00862A18">
    <w:pPr>
      <w:pStyle w:val="Footer"/>
      <w:pBdr>
        <w:top w:val="single" w:sz="4" w:space="1" w:color="D9D9D9"/>
      </w:pBdr>
      <w:jc w:val="right"/>
    </w:pPr>
    <w:r>
      <w:fldChar w:fldCharType="begin"/>
    </w:r>
    <w:r>
      <w:instrText xml:space="preserve"> PAGE   \* MERGEFORMAT </w:instrText>
    </w:r>
    <w:r>
      <w:fldChar w:fldCharType="separate"/>
    </w:r>
    <w:r>
      <w:rPr>
        <w:noProof/>
      </w:rPr>
      <w:t>11</w:t>
    </w:r>
    <w:r>
      <w:rPr>
        <w:noProof/>
      </w:rPr>
      <w:fldChar w:fldCharType="end"/>
    </w:r>
  </w:p>
  <w:p w14:paraId="3FBC1224" w14:textId="77777777" w:rsidR="00653CDC" w:rsidRDefault="00653CDC" w:rsidP="000C1415">
    <w:pPr>
      <w:pStyle w:val="Footer"/>
      <w:jc w:val="center"/>
    </w:pPr>
  </w:p>
  <w:p w14:paraId="2D10B86F" w14:textId="77777777" w:rsidR="00653CDC" w:rsidRDefault="00653CDC" w:rsidP="000C14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D630E" w14:textId="77777777" w:rsidR="009F34EE" w:rsidRDefault="009F34EE">
      <w:pPr>
        <w:spacing w:after="0" w:line="240" w:lineRule="auto"/>
      </w:pPr>
      <w:r>
        <w:separator/>
      </w:r>
    </w:p>
  </w:footnote>
  <w:footnote w:type="continuationSeparator" w:id="0">
    <w:p w14:paraId="57AF39F0" w14:textId="77777777" w:rsidR="009F34EE" w:rsidRDefault="009F34EE">
      <w:pPr>
        <w:spacing w:after="0" w:line="240" w:lineRule="auto"/>
      </w:pPr>
      <w:r>
        <w:continuationSeparator/>
      </w:r>
    </w:p>
  </w:footnote>
  <w:footnote w:type="continuationNotice" w:id="1">
    <w:p w14:paraId="76C3745C" w14:textId="77777777" w:rsidR="009F34EE" w:rsidRDefault="009F34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9A2DBD"/>
    <w:multiLevelType w:val="hybridMultilevel"/>
    <w:tmpl w:val="D554AC3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24B7B"/>
    <w:multiLevelType w:val="hybridMultilevel"/>
    <w:tmpl w:val="01B8677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82D20"/>
    <w:multiLevelType w:val="hybridMultilevel"/>
    <w:tmpl w:val="043A65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F42DAF"/>
    <w:multiLevelType w:val="hybridMultilevel"/>
    <w:tmpl w:val="8D1E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600A61"/>
    <w:multiLevelType w:val="hybridMultilevel"/>
    <w:tmpl w:val="43B26F68"/>
    <w:lvl w:ilvl="0" w:tplc="EDC44010">
      <w:start w:val="1"/>
      <w:numFmt w:val="bullet"/>
      <w:lvlText w:val=""/>
      <w:lvlJc w:val="left"/>
      <w:pPr>
        <w:ind w:left="1080" w:hanging="360"/>
      </w:pPr>
      <w:rPr>
        <w:rFonts w:ascii="Symbol" w:hAnsi="Symbol"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A442D96"/>
    <w:multiLevelType w:val="hybridMultilevel"/>
    <w:tmpl w:val="043A65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FC17E4"/>
    <w:multiLevelType w:val="hybridMultilevel"/>
    <w:tmpl w:val="6C4CFFA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602E1E9F"/>
    <w:multiLevelType w:val="hybridMultilevel"/>
    <w:tmpl w:val="278C9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890EB9"/>
    <w:multiLevelType w:val="hybridMultilevel"/>
    <w:tmpl w:val="8E6C6C7E"/>
    <w:lvl w:ilvl="0" w:tplc="D610B378">
      <w:start w:val="1"/>
      <w:numFmt w:val="decimal"/>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6CCD4224"/>
    <w:multiLevelType w:val="hybridMultilevel"/>
    <w:tmpl w:val="8F52C31E"/>
    <w:lvl w:ilvl="0" w:tplc="03C62C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AA389D"/>
    <w:multiLevelType w:val="hybridMultilevel"/>
    <w:tmpl w:val="3D82F21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7A0440D5"/>
    <w:multiLevelType w:val="hybridMultilevel"/>
    <w:tmpl w:val="C7C8F776"/>
    <w:lvl w:ilvl="0" w:tplc="EA7E9A1E">
      <w:start w:val="1"/>
      <w:numFmt w:val="bullet"/>
      <w:pStyle w:val="Body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87D0E"/>
    <w:multiLevelType w:val="hybridMultilevel"/>
    <w:tmpl w:val="043A65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
  </w:num>
  <w:num w:numId="3">
    <w:abstractNumId w:val="16"/>
  </w:num>
  <w:num w:numId="4">
    <w:abstractNumId w:val="0"/>
  </w:num>
  <w:num w:numId="5">
    <w:abstractNumId w:val="6"/>
  </w:num>
  <w:num w:numId="6">
    <w:abstractNumId w:val="5"/>
  </w:num>
  <w:num w:numId="7">
    <w:abstractNumId w:val="9"/>
  </w:num>
  <w:num w:numId="8">
    <w:abstractNumId w:val="11"/>
  </w:num>
  <w:num w:numId="9">
    <w:abstractNumId w:val="10"/>
  </w:num>
  <w:num w:numId="10">
    <w:abstractNumId w:val="17"/>
  </w:num>
  <w:num w:numId="11">
    <w:abstractNumId w:val="1"/>
  </w:num>
  <w:num w:numId="12">
    <w:abstractNumId w:val="21"/>
  </w:num>
  <w:num w:numId="13">
    <w:abstractNumId w:val="15"/>
  </w:num>
  <w:num w:numId="14">
    <w:abstractNumId w:val="13"/>
  </w:num>
  <w:num w:numId="15">
    <w:abstractNumId w:val="7"/>
  </w:num>
  <w:num w:numId="16">
    <w:abstractNumId w:val="2"/>
  </w:num>
  <w:num w:numId="17">
    <w:abstractNumId w:val="14"/>
  </w:num>
  <w:num w:numId="18">
    <w:abstractNumId w:val="19"/>
  </w:num>
  <w:num w:numId="19">
    <w:abstractNumId w:val="23"/>
  </w:num>
  <w:num w:numId="20">
    <w:abstractNumId w:val="8"/>
  </w:num>
  <w:num w:numId="21">
    <w:abstractNumId w:val="4"/>
  </w:num>
  <w:num w:numId="22">
    <w:abstractNumId w:val="22"/>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06C6"/>
    <w:rsid w:val="00005525"/>
    <w:rsid w:val="00007F00"/>
    <w:rsid w:val="00010574"/>
    <w:rsid w:val="000110B0"/>
    <w:rsid w:val="00015253"/>
    <w:rsid w:val="00016B37"/>
    <w:rsid w:val="0002236F"/>
    <w:rsid w:val="00023A92"/>
    <w:rsid w:val="00024899"/>
    <w:rsid w:val="00026BE6"/>
    <w:rsid w:val="00027959"/>
    <w:rsid w:val="00030D64"/>
    <w:rsid w:val="00031D25"/>
    <w:rsid w:val="00031F7D"/>
    <w:rsid w:val="000357B3"/>
    <w:rsid w:val="00037032"/>
    <w:rsid w:val="00037752"/>
    <w:rsid w:val="00037EF1"/>
    <w:rsid w:val="000400C5"/>
    <w:rsid w:val="000411CA"/>
    <w:rsid w:val="0004204E"/>
    <w:rsid w:val="0004300B"/>
    <w:rsid w:val="0005067B"/>
    <w:rsid w:val="000509F2"/>
    <w:rsid w:val="00051406"/>
    <w:rsid w:val="00057673"/>
    <w:rsid w:val="00061843"/>
    <w:rsid w:val="0006441A"/>
    <w:rsid w:val="00065E81"/>
    <w:rsid w:val="00082051"/>
    <w:rsid w:val="00082EA7"/>
    <w:rsid w:val="00082F46"/>
    <w:rsid w:val="00083A5E"/>
    <w:rsid w:val="00084845"/>
    <w:rsid w:val="00087E1C"/>
    <w:rsid w:val="00094A92"/>
    <w:rsid w:val="00094DBC"/>
    <w:rsid w:val="0009603B"/>
    <w:rsid w:val="000A21E0"/>
    <w:rsid w:val="000A461D"/>
    <w:rsid w:val="000A4E43"/>
    <w:rsid w:val="000A6A84"/>
    <w:rsid w:val="000A7BA0"/>
    <w:rsid w:val="000B109E"/>
    <w:rsid w:val="000B1CF7"/>
    <w:rsid w:val="000B213D"/>
    <w:rsid w:val="000B2D02"/>
    <w:rsid w:val="000B3512"/>
    <w:rsid w:val="000B4252"/>
    <w:rsid w:val="000B5B32"/>
    <w:rsid w:val="000B6D3C"/>
    <w:rsid w:val="000C005A"/>
    <w:rsid w:val="000C050C"/>
    <w:rsid w:val="000C1415"/>
    <w:rsid w:val="000C23CD"/>
    <w:rsid w:val="000C5BBC"/>
    <w:rsid w:val="000D0639"/>
    <w:rsid w:val="000D1AF4"/>
    <w:rsid w:val="000D2FB3"/>
    <w:rsid w:val="000D5395"/>
    <w:rsid w:val="000E0708"/>
    <w:rsid w:val="000E0D2B"/>
    <w:rsid w:val="000E33E4"/>
    <w:rsid w:val="000F25B4"/>
    <w:rsid w:val="000F2E87"/>
    <w:rsid w:val="000F3043"/>
    <w:rsid w:val="000F3B99"/>
    <w:rsid w:val="000F5819"/>
    <w:rsid w:val="000F761D"/>
    <w:rsid w:val="0010135D"/>
    <w:rsid w:val="00102A15"/>
    <w:rsid w:val="00104F51"/>
    <w:rsid w:val="00106518"/>
    <w:rsid w:val="00110777"/>
    <w:rsid w:val="00113D8C"/>
    <w:rsid w:val="00115207"/>
    <w:rsid w:val="0011528C"/>
    <w:rsid w:val="001174F9"/>
    <w:rsid w:val="00117843"/>
    <w:rsid w:val="0012007B"/>
    <w:rsid w:val="00120B31"/>
    <w:rsid w:val="001236A8"/>
    <w:rsid w:val="00125D58"/>
    <w:rsid w:val="001270FA"/>
    <w:rsid w:val="0012716A"/>
    <w:rsid w:val="001272AF"/>
    <w:rsid w:val="00131868"/>
    <w:rsid w:val="001329AA"/>
    <w:rsid w:val="00133494"/>
    <w:rsid w:val="00135A52"/>
    <w:rsid w:val="00137D07"/>
    <w:rsid w:val="00142B34"/>
    <w:rsid w:val="00147044"/>
    <w:rsid w:val="00150DD2"/>
    <w:rsid w:val="00151055"/>
    <w:rsid w:val="00152D24"/>
    <w:rsid w:val="00153669"/>
    <w:rsid w:val="00154313"/>
    <w:rsid w:val="0015585D"/>
    <w:rsid w:val="00156166"/>
    <w:rsid w:val="00163529"/>
    <w:rsid w:val="00170EC9"/>
    <w:rsid w:val="00174BA5"/>
    <w:rsid w:val="00175535"/>
    <w:rsid w:val="00175B9A"/>
    <w:rsid w:val="00181A46"/>
    <w:rsid w:val="001836DA"/>
    <w:rsid w:val="00183908"/>
    <w:rsid w:val="0018396C"/>
    <w:rsid w:val="00187968"/>
    <w:rsid w:val="00187A1E"/>
    <w:rsid w:val="00190232"/>
    <w:rsid w:val="00190BB3"/>
    <w:rsid w:val="00192D4A"/>
    <w:rsid w:val="0019580C"/>
    <w:rsid w:val="0019785B"/>
    <w:rsid w:val="001A23E3"/>
    <w:rsid w:val="001A2C2B"/>
    <w:rsid w:val="001A42A3"/>
    <w:rsid w:val="001A528A"/>
    <w:rsid w:val="001A539A"/>
    <w:rsid w:val="001A6047"/>
    <w:rsid w:val="001A7687"/>
    <w:rsid w:val="001A7708"/>
    <w:rsid w:val="001A7FD0"/>
    <w:rsid w:val="001B0CE6"/>
    <w:rsid w:val="001B1209"/>
    <w:rsid w:val="001B63E6"/>
    <w:rsid w:val="001C28D8"/>
    <w:rsid w:val="001C4928"/>
    <w:rsid w:val="001C6F86"/>
    <w:rsid w:val="001C7F0F"/>
    <w:rsid w:val="001D0854"/>
    <w:rsid w:val="001D4A69"/>
    <w:rsid w:val="001D5FB4"/>
    <w:rsid w:val="001E130D"/>
    <w:rsid w:val="001F329B"/>
    <w:rsid w:val="001F3E66"/>
    <w:rsid w:val="001F52A8"/>
    <w:rsid w:val="001F7C19"/>
    <w:rsid w:val="00200602"/>
    <w:rsid w:val="0020474D"/>
    <w:rsid w:val="002068AE"/>
    <w:rsid w:val="00210406"/>
    <w:rsid w:val="00210814"/>
    <w:rsid w:val="00211B1D"/>
    <w:rsid w:val="002210C7"/>
    <w:rsid w:val="00221C6F"/>
    <w:rsid w:val="0022205C"/>
    <w:rsid w:val="002239A3"/>
    <w:rsid w:val="0022456F"/>
    <w:rsid w:val="00226362"/>
    <w:rsid w:val="00230268"/>
    <w:rsid w:val="00234057"/>
    <w:rsid w:val="00241242"/>
    <w:rsid w:val="00245089"/>
    <w:rsid w:val="0024646A"/>
    <w:rsid w:val="00247D4A"/>
    <w:rsid w:val="00247F56"/>
    <w:rsid w:val="00255F7C"/>
    <w:rsid w:val="00257238"/>
    <w:rsid w:val="00257567"/>
    <w:rsid w:val="00257F03"/>
    <w:rsid w:val="0026432C"/>
    <w:rsid w:val="0026437D"/>
    <w:rsid w:val="002648A1"/>
    <w:rsid w:val="0026495C"/>
    <w:rsid w:val="00265C64"/>
    <w:rsid w:val="002670CD"/>
    <w:rsid w:val="00271ADC"/>
    <w:rsid w:val="00272F6F"/>
    <w:rsid w:val="002863B9"/>
    <w:rsid w:val="002877DB"/>
    <w:rsid w:val="00290933"/>
    <w:rsid w:val="00291F6A"/>
    <w:rsid w:val="00292C87"/>
    <w:rsid w:val="0029364F"/>
    <w:rsid w:val="00294754"/>
    <w:rsid w:val="00296CF5"/>
    <w:rsid w:val="0029776E"/>
    <w:rsid w:val="002A044E"/>
    <w:rsid w:val="002A0651"/>
    <w:rsid w:val="002A28D1"/>
    <w:rsid w:val="002A3AFC"/>
    <w:rsid w:val="002A5264"/>
    <w:rsid w:val="002A6643"/>
    <w:rsid w:val="002B0030"/>
    <w:rsid w:val="002B0C85"/>
    <w:rsid w:val="002B23C3"/>
    <w:rsid w:val="002B2616"/>
    <w:rsid w:val="002B2FF7"/>
    <w:rsid w:val="002B34F4"/>
    <w:rsid w:val="002B766B"/>
    <w:rsid w:val="002C0EA4"/>
    <w:rsid w:val="002C12F6"/>
    <w:rsid w:val="002C7560"/>
    <w:rsid w:val="002C7E78"/>
    <w:rsid w:val="002D0389"/>
    <w:rsid w:val="002D17CA"/>
    <w:rsid w:val="002D2E74"/>
    <w:rsid w:val="002D3C18"/>
    <w:rsid w:val="002E13C8"/>
    <w:rsid w:val="002E1F03"/>
    <w:rsid w:val="002E5D8F"/>
    <w:rsid w:val="002E63F4"/>
    <w:rsid w:val="002E798D"/>
    <w:rsid w:val="002F0465"/>
    <w:rsid w:val="002F0ED4"/>
    <w:rsid w:val="002F20F2"/>
    <w:rsid w:val="002F4317"/>
    <w:rsid w:val="002F47E0"/>
    <w:rsid w:val="002F5F62"/>
    <w:rsid w:val="002F7A78"/>
    <w:rsid w:val="003033F6"/>
    <w:rsid w:val="003068CC"/>
    <w:rsid w:val="00306992"/>
    <w:rsid w:val="00306B7C"/>
    <w:rsid w:val="003101B5"/>
    <w:rsid w:val="00310766"/>
    <w:rsid w:val="00310EED"/>
    <w:rsid w:val="00312856"/>
    <w:rsid w:val="00313B28"/>
    <w:rsid w:val="00316AE4"/>
    <w:rsid w:val="003215D0"/>
    <w:rsid w:val="00323BF2"/>
    <w:rsid w:val="00325663"/>
    <w:rsid w:val="00326A92"/>
    <w:rsid w:val="003315ED"/>
    <w:rsid w:val="00332AA0"/>
    <w:rsid w:val="003349AD"/>
    <w:rsid w:val="003353E1"/>
    <w:rsid w:val="00341560"/>
    <w:rsid w:val="00345326"/>
    <w:rsid w:val="00346EEA"/>
    <w:rsid w:val="00346F2D"/>
    <w:rsid w:val="00347F7D"/>
    <w:rsid w:val="0035037E"/>
    <w:rsid w:val="00354AAA"/>
    <w:rsid w:val="00355322"/>
    <w:rsid w:val="00356D9D"/>
    <w:rsid w:val="00360495"/>
    <w:rsid w:val="0036208F"/>
    <w:rsid w:val="003667C8"/>
    <w:rsid w:val="00367819"/>
    <w:rsid w:val="00370E35"/>
    <w:rsid w:val="00371FAC"/>
    <w:rsid w:val="00373426"/>
    <w:rsid w:val="0037555B"/>
    <w:rsid w:val="003765B2"/>
    <w:rsid w:val="003778AD"/>
    <w:rsid w:val="00383306"/>
    <w:rsid w:val="00387552"/>
    <w:rsid w:val="0039218C"/>
    <w:rsid w:val="003938FD"/>
    <w:rsid w:val="00393F04"/>
    <w:rsid w:val="0039417E"/>
    <w:rsid w:val="003A2519"/>
    <w:rsid w:val="003A45F1"/>
    <w:rsid w:val="003A4E25"/>
    <w:rsid w:val="003A59B3"/>
    <w:rsid w:val="003A6AA4"/>
    <w:rsid w:val="003A6E71"/>
    <w:rsid w:val="003A7D4F"/>
    <w:rsid w:val="003B07CB"/>
    <w:rsid w:val="003B46A8"/>
    <w:rsid w:val="003B5110"/>
    <w:rsid w:val="003B56AC"/>
    <w:rsid w:val="003B791B"/>
    <w:rsid w:val="003C05B1"/>
    <w:rsid w:val="003C4064"/>
    <w:rsid w:val="003C6D25"/>
    <w:rsid w:val="003D0D7F"/>
    <w:rsid w:val="003D1B1B"/>
    <w:rsid w:val="003D1DC2"/>
    <w:rsid w:val="003D28E7"/>
    <w:rsid w:val="003D6C00"/>
    <w:rsid w:val="003D7386"/>
    <w:rsid w:val="003D7FAB"/>
    <w:rsid w:val="003E0DDB"/>
    <w:rsid w:val="003E3254"/>
    <w:rsid w:val="003E32FB"/>
    <w:rsid w:val="003E4C8E"/>
    <w:rsid w:val="003E5C04"/>
    <w:rsid w:val="003E7734"/>
    <w:rsid w:val="003F019C"/>
    <w:rsid w:val="003F22FF"/>
    <w:rsid w:val="003F2FD2"/>
    <w:rsid w:val="003F3AD9"/>
    <w:rsid w:val="003F677D"/>
    <w:rsid w:val="003F7B52"/>
    <w:rsid w:val="00403609"/>
    <w:rsid w:val="004036A7"/>
    <w:rsid w:val="00405DB5"/>
    <w:rsid w:val="004067BD"/>
    <w:rsid w:val="00407155"/>
    <w:rsid w:val="004110FD"/>
    <w:rsid w:val="004141A9"/>
    <w:rsid w:val="00414A7F"/>
    <w:rsid w:val="004162EC"/>
    <w:rsid w:val="00417BD6"/>
    <w:rsid w:val="0042250E"/>
    <w:rsid w:val="00422725"/>
    <w:rsid w:val="00422B2C"/>
    <w:rsid w:val="004231A6"/>
    <w:rsid w:val="00424792"/>
    <w:rsid w:val="004267DB"/>
    <w:rsid w:val="00427538"/>
    <w:rsid w:val="0043185F"/>
    <w:rsid w:val="00431A19"/>
    <w:rsid w:val="0043321C"/>
    <w:rsid w:val="00436859"/>
    <w:rsid w:val="004412E3"/>
    <w:rsid w:val="004415E5"/>
    <w:rsid w:val="00443F2D"/>
    <w:rsid w:val="0044659A"/>
    <w:rsid w:val="004513E3"/>
    <w:rsid w:val="00451B23"/>
    <w:rsid w:val="00453A78"/>
    <w:rsid w:val="004541F8"/>
    <w:rsid w:val="00455DED"/>
    <w:rsid w:val="00457433"/>
    <w:rsid w:val="004604B1"/>
    <w:rsid w:val="00461E97"/>
    <w:rsid w:val="004649F9"/>
    <w:rsid w:val="004716CF"/>
    <w:rsid w:val="00472C23"/>
    <w:rsid w:val="00474D37"/>
    <w:rsid w:val="00476E9F"/>
    <w:rsid w:val="00477B13"/>
    <w:rsid w:val="004803D6"/>
    <w:rsid w:val="00480CE0"/>
    <w:rsid w:val="00482B01"/>
    <w:rsid w:val="00483DE3"/>
    <w:rsid w:val="00483F96"/>
    <w:rsid w:val="004845E6"/>
    <w:rsid w:val="0048552B"/>
    <w:rsid w:val="004859B9"/>
    <w:rsid w:val="00486F53"/>
    <w:rsid w:val="00487133"/>
    <w:rsid w:val="00490A68"/>
    <w:rsid w:val="0049539B"/>
    <w:rsid w:val="004954BE"/>
    <w:rsid w:val="0049754B"/>
    <w:rsid w:val="00497B81"/>
    <w:rsid w:val="004A3A12"/>
    <w:rsid w:val="004A5873"/>
    <w:rsid w:val="004A77B0"/>
    <w:rsid w:val="004B18F8"/>
    <w:rsid w:val="004B27F3"/>
    <w:rsid w:val="004B4683"/>
    <w:rsid w:val="004B4CBB"/>
    <w:rsid w:val="004B6DD4"/>
    <w:rsid w:val="004C0341"/>
    <w:rsid w:val="004C0507"/>
    <w:rsid w:val="004C2898"/>
    <w:rsid w:val="004C3851"/>
    <w:rsid w:val="004C5217"/>
    <w:rsid w:val="004C617C"/>
    <w:rsid w:val="004C6921"/>
    <w:rsid w:val="004D1E99"/>
    <w:rsid w:val="004D2870"/>
    <w:rsid w:val="004D37D9"/>
    <w:rsid w:val="004D409A"/>
    <w:rsid w:val="004D4107"/>
    <w:rsid w:val="004D4AA3"/>
    <w:rsid w:val="004D656C"/>
    <w:rsid w:val="004E7B17"/>
    <w:rsid w:val="004F062A"/>
    <w:rsid w:val="00500441"/>
    <w:rsid w:val="0050050F"/>
    <w:rsid w:val="00502DC0"/>
    <w:rsid w:val="00502E7C"/>
    <w:rsid w:val="00505CEA"/>
    <w:rsid w:val="0051355F"/>
    <w:rsid w:val="005150E7"/>
    <w:rsid w:val="00515F7D"/>
    <w:rsid w:val="00515F86"/>
    <w:rsid w:val="005163EA"/>
    <w:rsid w:val="00520851"/>
    <w:rsid w:val="00522A31"/>
    <w:rsid w:val="0052315F"/>
    <w:rsid w:val="00531918"/>
    <w:rsid w:val="00537BAD"/>
    <w:rsid w:val="00537BCF"/>
    <w:rsid w:val="005410EA"/>
    <w:rsid w:val="00541340"/>
    <w:rsid w:val="00542C28"/>
    <w:rsid w:val="0054555C"/>
    <w:rsid w:val="00547159"/>
    <w:rsid w:val="00551F98"/>
    <w:rsid w:val="00553516"/>
    <w:rsid w:val="00553911"/>
    <w:rsid w:val="00561B31"/>
    <w:rsid w:val="0056219F"/>
    <w:rsid w:val="005634FB"/>
    <w:rsid w:val="00564CC0"/>
    <w:rsid w:val="00564D85"/>
    <w:rsid w:val="005669BD"/>
    <w:rsid w:val="00567D2E"/>
    <w:rsid w:val="00571E07"/>
    <w:rsid w:val="00572CD8"/>
    <w:rsid w:val="00576D01"/>
    <w:rsid w:val="00583568"/>
    <w:rsid w:val="00583697"/>
    <w:rsid w:val="00583EE7"/>
    <w:rsid w:val="0058531F"/>
    <w:rsid w:val="00591523"/>
    <w:rsid w:val="00592E2D"/>
    <w:rsid w:val="005934E9"/>
    <w:rsid w:val="00593680"/>
    <w:rsid w:val="00594422"/>
    <w:rsid w:val="00594963"/>
    <w:rsid w:val="00597368"/>
    <w:rsid w:val="00597FEC"/>
    <w:rsid w:val="005A0738"/>
    <w:rsid w:val="005A0D5B"/>
    <w:rsid w:val="005A172E"/>
    <w:rsid w:val="005A3DB8"/>
    <w:rsid w:val="005A6071"/>
    <w:rsid w:val="005A6E7C"/>
    <w:rsid w:val="005B027C"/>
    <w:rsid w:val="005B3897"/>
    <w:rsid w:val="005B3E48"/>
    <w:rsid w:val="005B4696"/>
    <w:rsid w:val="005B4A2B"/>
    <w:rsid w:val="005B6230"/>
    <w:rsid w:val="005C3BE3"/>
    <w:rsid w:val="005C3DE6"/>
    <w:rsid w:val="005C5F75"/>
    <w:rsid w:val="005D06B1"/>
    <w:rsid w:val="005D130B"/>
    <w:rsid w:val="005D7473"/>
    <w:rsid w:val="005E0F7E"/>
    <w:rsid w:val="005E2BD5"/>
    <w:rsid w:val="005E313A"/>
    <w:rsid w:val="005E31F3"/>
    <w:rsid w:val="005E3E43"/>
    <w:rsid w:val="005E550F"/>
    <w:rsid w:val="005E7305"/>
    <w:rsid w:val="005F25BA"/>
    <w:rsid w:val="005F262B"/>
    <w:rsid w:val="005F334D"/>
    <w:rsid w:val="005F4A54"/>
    <w:rsid w:val="005F6254"/>
    <w:rsid w:val="005F7CB0"/>
    <w:rsid w:val="0060307D"/>
    <w:rsid w:val="00603E74"/>
    <w:rsid w:val="0060695C"/>
    <w:rsid w:val="006162D6"/>
    <w:rsid w:val="006163F8"/>
    <w:rsid w:val="00617864"/>
    <w:rsid w:val="006252BA"/>
    <w:rsid w:val="006255F6"/>
    <w:rsid w:val="00627DA3"/>
    <w:rsid w:val="006335E4"/>
    <w:rsid w:val="00635139"/>
    <w:rsid w:val="00635A17"/>
    <w:rsid w:val="00635FDE"/>
    <w:rsid w:val="006372C5"/>
    <w:rsid w:val="0064034D"/>
    <w:rsid w:val="00642FAA"/>
    <w:rsid w:val="00644811"/>
    <w:rsid w:val="00653CDC"/>
    <w:rsid w:val="00655F26"/>
    <w:rsid w:val="00660117"/>
    <w:rsid w:val="00660267"/>
    <w:rsid w:val="006613C2"/>
    <w:rsid w:val="006625EF"/>
    <w:rsid w:val="00663B49"/>
    <w:rsid w:val="006646B7"/>
    <w:rsid w:val="00667F69"/>
    <w:rsid w:val="006704F5"/>
    <w:rsid w:val="0067266F"/>
    <w:rsid w:val="006729F7"/>
    <w:rsid w:val="00674025"/>
    <w:rsid w:val="006743D0"/>
    <w:rsid w:val="006760FD"/>
    <w:rsid w:val="00681A87"/>
    <w:rsid w:val="006838D3"/>
    <w:rsid w:val="00684D32"/>
    <w:rsid w:val="00685B30"/>
    <w:rsid w:val="006900C7"/>
    <w:rsid w:val="00690287"/>
    <w:rsid w:val="00690D3C"/>
    <w:rsid w:val="00692892"/>
    <w:rsid w:val="006934E2"/>
    <w:rsid w:val="0069424D"/>
    <w:rsid w:val="006949BB"/>
    <w:rsid w:val="00696872"/>
    <w:rsid w:val="006A2603"/>
    <w:rsid w:val="006A45F9"/>
    <w:rsid w:val="006A5D42"/>
    <w:rsid w:val="006C1DB1"/>
    <w:rsid w:val="006C2DAC"/>
    <w:rsid w:val="006D0886"/>
    <w:rsid w:val="006D2F15"/>
    <w:rsid w:val="006D32F0"/>
    <w:rsid w:val="006D5837"/>
    <w:rsid w:val="006E0FB4"/>
    <w:rsid w:val="006E3B97"/>
    <w:rsid w:val="006E4DB5"/>
    <w:rsid w:val="006E52F8"/>
    <w:rsid w:val="006E631F"/>
    <w:rsid w:val="006E679E"/>
    <w:rsid w:val="006E7F31"/>
    <w:rsid w:val="006F0867"/>
    <w:rsid w:val="006F1B10"/>
    <w:rsid w:val="006F369D"/>
    <w:rsid w:val="006F41DE"/>
    <w:rsid w:val="006F4DE0"/>
    <w:rsid w:val="00704B18"/>
    <w:rsid w:val="007063F8"/>
    <w:rsid w:val="007077E2"/>
    <w:rsid w:val="00707C33"/>
    <w:rsid w:val="00710BA5"/>
    <w:rsid w:val="00717158"/>
    <w:rsid w:val="007177A4"/>
    <w:rsid w:val="00723118"/>
    <w:rsid w:val="00724D4E"/>
    <w:rsid w:val="007263F0"/>
    <w:rsid w:val="007271CF"/>
    <w:rsid w:val="00731679"/>
    <w:rsid w:val="007340DE"/>
    <w:rsid w:val="00737CE2"/>
    <w:rsid w:val="007428F6"/>
    <w:rsid w:val="00746C3A"/>
    <w:rsid w:val="00752C31"/>
    <w:rsid w:val="00752CE6"/>
    <w:rsid w:val="007542DE"/>
    <w:rsid w:val="00754AB0"/>
    <w:rsid w:val="00761FFF"/>
    <w:rsid w:val="007622F3"/>
    <w:rsid w:val="0076255E"/>
    <w:rsid w:val="00767C53"/>
    <w:rsid w:val="007756A1"/>
    <w:rsid w:val="00776CCA"/>
    <w:rsid w:val="007821FA"/>
    <w:rsid w:val="007822C8"/>
    <w:rsid w:val="00782C39"/>
    <w:rsid w:val="00783079"/>
    <w:rsid w:val="007861F9"/>
    <w:rsid w:val="0078633B"/>
    <w:rsid w:val="0079118C"/>
    <w:rsid w:val="00791C54"/>
    <w:rsid w:val="00793F00"/>
    <w:rsid w:val="007A24C3"/>
    <w:rsid w:val="007A7005"/>
    <w:rsid w:val="007A7C1C"/>
    <w:rsid w:val="007B12EB"/>
    <w:rsid w:val="007B1830"/>
    <w:rsid w:val="007B23FD"/>
    <w:rsid w:val="007B5BFB"/>
    <w:rsid w:val="007B61DF"/>
    <w:rsid w:val="007C1A89"/>
    <w:rsid w:val="007C1F7B"/>
    <w:rsid w:val="007C2F03"/>
    <w:rsid w:val="007C50F3"/>
    <w:rsid w:val="007C5527"/>
    <w:rsid w:val="007D11BF"/>
    <w:rsid w:val="007D4DB3"/>
    <w:rsid w:val="007D54C0"/>
    <w:rsid w:val="007D5FA3"/>
    <w:rsid w:val="007D7D8B"/>
    <w:rsid w:val="007E00BC"/>
    <w:rsid w:val="007E0F97"/>
    <w:rsid w:val="007E1976"/>
    <w:rsid w:val="007E4CEA"/>
    <w:rsid w:val="007E571A"/>
    <w:rsid w:val="007F1433"/>
    <w:rsid w:val="007F3988"/>
    <w:rsid w:val="007F3EF1"/>
    <w:rsid w:val="007F5FDD"/>
    <w:rsid w:val="00800D8A"/>
    <w:rsid w:val="0080210E"/>
    <w:rsid w:val="0080281E"/>
    <w:rsid w:val="00802CB5"/>
    <w:rsid w:val="00804E6E"/>
    <w:rsid w:val="00811391"/>
    <w:rsid w:val="008126CB"/>
    <w:rsid w:val="008151F7"/>
    <w:rsid w:val="00816504"/>
    <w:rsid w:val="0081650D"/>
    <w:rsid w:val="00816524"/>
    <w:rsid w:val="00820245"/>
    <w:rsid w:val="00820E8D"/>
    <w:rsid w:val="008246D0"/>
    <w:rsid w:val="00824D7E"/>
    <w:rsid w:val="00824F7A"/>
    <w:rsid w:val="00825984"/>
    <w:rsid w:val="008316C6"/>
    <w:rsid w:val="00831AFF"/>
    <w:rsid w:val="00833342"/>
    <w:rsid w:val="00833911"/>
    <w:rsid w:val="008359FA"/>
    <w:rsid w:val="00835BE3"/>
    <w:rsid w:val="00840921"/>
    <w:rsid w:val="0084176E"/>
    <w:rsid w:val="00842883"/>
    <w:rsid w:val="00843BDB"/>
    <w:rsid w:val="008548C5"/>
    <w:rsid w:val="008570AD"/>
    <w:rsid w:val="00860C76"/>
    <w:rsid w:val="0086248B"/>
    <w:rsid w:val="00862A18"/>
    <w:rsid w:val="0086334E"/>
    <w:rsid w:val="0086397A"/>
    <w:rsid w:val="00871EF6"/>
    <w:rsid w:val="008732AE"/>
    <w:rsid w:val="00873C26"/>
    <w:rsid w:val="00884C9C"/>
    <w:rsid w:val="0088563E"/>
    <w:rsid w:val="008907A5"/>
    <w:rsid w:val="00890CDF"/>
    <w:rsid w:val="00892218"/>
    <w:rsid w:val="00892602"/>
    <w:rsid w:val="008942E9"/>
    <w:rsid w:val="00894FF4"/>
    <w:rsid w:val="00896A48"/>
    <w:rsid w:val="008A2E03"/>
    <w:rsid w:val="008A5D80"/>
    <w:rsid w:val="008A67D2"/>
    <w:rsid w:val="008B4FF2"/>
    <w:rsid w:val="008B57CE"/>
    <w:rsid w:val="008B5AC7"/>
    <w:rsid w:val="008B6057"/>
    <w:rsid w:val="008B619C"/>
    <w:rsid w:val="008B6DAE"/>
    <w:rsid w:val="008B7517"/>
    <w:rsid w:val="008C0215"/>
    <w:rsid w:val="008C0810"/>
    <w:rsid w:val="008C34A2"/>
    <w:rsid w:val="008C37AB"/>
    <w:rsid w:val="008C4770"/>
    <w:rsid w:val="008C4DF2"/>
    <w:rsid w:val="008D4D17"/>
    <w:rsid w:val="008D54CF"/>
    <w:rsid w:val="008E08F7"/>
    <w:rsid w:val="008E32F4"/>
    <w:rsid w:val="008E5C41"/>
    <w:rsid w:val="008F109B"/>
    <w:rsid w:val="008F557C"/>
    <w:rsid w:val="008F7DB8"/>
    <w:rsid w:val="009030DF"/>
    <w:rsid w:val="00911E12"/>
    <w:rsid w:val="00913143"/>
    <w:rsid w:val="00913AB0"/>
    <w:rsid w:val="00914F18"/>
    <w:rsid w:val="0091730D"/>
    <w:rsid w:val="00922CC2"/>
    <w:rsid w:val="00923052"/>
    <w:rsid w:val="00924F05"/>
    <w:rsid w:val="0092589C"/>
    <w:rsid w:val="00926BCC"/>
    <w:rsid w:val="00927A7B"/>
    <w:rsid w:val="00931710"/>
    <w:rsid w:val="00936B07"/>
    <w:rsid w:val="00941822"/>
    <w:rsid w:val="00945099"/>
    <w:rsid w:val="009457F5"/>
    <w:rsid w:val="009463AA"/>
    <w:rsid w:val="009500DA"/>
    <w:rsid w:val="00950AAB"/>
    <w:rsid w:val="00953843"/>
    <w:rsid w:val="00954BCE"/>
    <w:rsid w:val="00961CE0"/>
    <w:rsid w:val="0096557C"/>
    <w:rsid w:val="00965616"/>
    <w:rsid w:val="00965F3A"/>
    <w:rsid w:val="009666B9"/>
    <w:rsid w:val="009667B2"/>
    <w:rsid w:val="009710AB"/>
    <w:rsid w:val="009729D4"/>
    <w:rsid w:val="00972E2A"/>
    <w:rsid w:val="00973562"/>
    <w:rsid w:val="0097531C"/>
    <w:rsid w:val="009760BD"/>
    <w:rsid w:val="0097787B"/>
    <w:rsid w:val="00980B2E"/>
    <w:rsid w:val="00980ECF"/>
    <w:rsid w:val="009810A0"/>
    <w:rsid w:val="0098280F"/>
    <w:rsid w:val="0098356E"/>
    <w:rsid w:val="00984195"/>
    <w:rsid w:val="009901C3"/>
    <w:rsid w:val="00992B97"/>
    <w:rsid w:val="00992CC1"/>
    <w:rsid w:val="00993CDA"/>
    <w:rsid w:val="009946BB"/>
    <w:rsid w:val="0099719E"/>
    <w:rsid w:val="00997351"/>
    <w:rsid w:val="009A2096"/>
    <w:rsid w:val="009A2E90"/>
    <w:rsid w:val="009A49A3"/>
    <w:rsid w:val="009A69D6"/>
    <w:rsid w:val="009A7068"/>
    <w:rsid w:val="009A79BD"/>
    <w:rsid w:val="009B07E1"/>
    <w:rsid w:val="009B152D"/>
    <w:rsid w:val="009B5C6D"/>
    <w:rsid w:val="009C0685"/>
    <w:rsid w:val="009C06A4"/>
    <w:rsid w:val="009C0D66"/>
    <w:rsid w:val="009C3E9D"/>
    <w:rsid w:val="009C446B"/>
    <w:rsid w:val="009C49A0"/>
    <w:rsid w:val="009C579A"/>
    <w:rsid w:val="009C6168"/>
    <w:rsid w:val="009C68AA"/>
    <w:rsid w:val="009C75C7"/>
    <w:rsid w:val="009C79AD"/>
    <w:rsid w:val="009D022A"/>
    <w:rsid w:val="009D0F28"/>
    <w:rsid w:val="009D0FE6"/>
    <w:rsid w:val="009D35B5"/>
    <w:rsid w:val="009D4A16"/>
    <w:rsid w:val="009D7CEC"/>
    <w:rsid w:val="009E29A1"/>
    <w:rsid w:val="009E3FC7"/>
    <w:rsid w:val="009E4720"/>
    <w:rsid w:val="009E54F2"/>
    <w:rsid w:val="009E78E5"/>
    <w:rsid w:val="009F1981"/>
    <w:rsid w:val="009F34EE"/>
    <w:rsid w:val="009F4144"/>
    <w:rsid w:val="009F488A"/>
    <w:rsid w:val="009F68D7"/>
    <w:rsid w:val="009F7607"/>
    <w:rsid w:val="009F76A7"/>
    <w:rsid w:val="009F76B3"/>
    <w:rsid w:val="00A00CF8"/>
    <w:rsid w:val="00A04725"/>
    <w:rsid w:val="00A065ED"/>
    <w:rsid w:val="00A068DF"/>
    <w:rsid w:val="00A13510"/>
    <w:rsid w:val="00A142D2"/>
    <w:rsid w:val="00A14870"/>
    <w:rsid w:val="00A15D80"/>
    <w:rsid w:val="00A160E6"/>
    <w:rsid w:val="00A2229D"/>
    <w:rsid w:val="00A2286C"/>
    <w:rsid w:val="00A27455"/>
    <w:rsid w:val="00A3363E"/>
    <w:rsid w:val="00A42BDD"/>
    <w:rsid w:val="00A437FA"/>
    <w:rsid w:val="00A443D5"/>
    <w:rsid w:val="00A51F66"/>
    <w:rsid w:val="00A54D89"/>
    <w:rsid w:val="00A5631D"/>
    <w:rsid w:val="00A5727F"/>
    <w:rsid w:val="00A627A4"/>
    <w:rsid w:val="00A66654"/>
    <w:rsid w:val="00A70AA3"/>
    <w:rsid w:val="00A70E41"/>
    <w:rsid w:val="00A726AD"/>
    <w:rsid w:val="00A75509"/>
    <w:rsid w:val="00A76A23"/>
    <w:rsid w:val="00A77835"/>
    <w:rsid w:val="00A84D28"/>
    <w:rsid w:val="00A85FC8"/>
    <w:rsid w:val="00A86220"/>
    <w:rsid w:val="00A86BCA"/>
    <w:rsid w:val="00A93D00"/>
    <w:rsid w:val="00A94851"/>
    <w:rsid w:val="00AA343F"/>
    <w:rsid w:val="00AA4EDC"/>
    <w:rsid w:val="00AA786E"/>
    <w:rsid w:val="00AB0E2C"/>
    <w:rsid w:val="00AB4532"/>
    <w:rsid w:val="00AB5D88"/>
    <w:rsid w:val="00AB6601"/>
    <w:rsid w:val="00AB6626"/>
    <w:rsid w:val="00AC1703"/>
    <w:rsid w:val="00AC1CDF"/>
    <w:rsid w:val="00AC5708"/>
    <w:rsid w:val="00AC5E11"/>
    <w:rsid w:val="00AD2E4E"/>
    <w:rsid w:val="00AD656C"/>
    <w:rsid w:val="00AE0806"/>
    <w:rsid w:val="00AE1599"/>
    <w:rsid w:val="00AE2321"/>
    <w:rsid w:val="00AE36B7"/>
    <w:rsid w:val="00AE3A44"/>
    <w:rsid w:val="00AE3B22"/>
    <w:rsid w:val="00AE420C"/>
    <w:rsid w:val="00AE7879"/>
    <w:rsid w:val="00AE7DFF"/>
    <w:rsid w:val="00AF1E53"/>
    <w:rsid w:val="00AF2020"/>
    <w:rsid w:val="00AF3D70"/>
    <w:rsid w:val="00AF73AC"/>
    <w:rsid w:val="00B00A57"/>
    <w:rsid w:val="00B00EB3"/>
    <w:rsid w:val="00B02897"/>
    <w:rsid w:val="00B029D9"/>
    <w:rsid w:val="00B03736"/>
    <w:rsid w:val="00B039F7"/>
    <w:rsid w:val="00B059EA"/>
    <w:rsid w:val="00B10575"/>
    <w:rsid w:val="00B10973"/>
    <w:rsid w:val="00B16AB5"/>
    <w:rsid w:val="00B170E1"/>
    <w:rsid w:val="00B17D81"/>
    <w:rsid w:val="00B20768"/>
    <w:rsid w:val="00B20C52"/>
    <w:rsid w:val="00B234DC"/>
    <w:rsid w:val="00B23C72"/>
    <w:rsid w:val="00B25A0E"/>
    <w:rsid w:val="00B35DF6"/>
    <w:rsid w:val="00B36C76"/>
    <w:rsid w:val="00B40392"/>
    <w:rsid w:val="00B46574"/>
    <w:rsid w:val="00B5028C"/>
    <w:rsid w:val="00B50B17"/>
    <w:rsid w:val="00B54792"/>
    <w:rsid w:val="00B613BF"/>
    <w:rsid w:val="00B61450"/>
    <w:rsid w:val="00B61623"/>
    <w:rsid w:val="00B64C9C"/>
    <w:rsid w:val="00B65A88"/>
    <w:rsid w:val="00B67391"/>
    <w:rsid w:val="00B67B52"/>
    <w:rsid w:val="00B7212A"/>
    <w:rsid w:val="00B73F2E"/>
    <w:rsid w:val="00B7491D"/>
    <w:rsid w:val="00B83113"/>
    <w:rsid w:val="00B84F35"/>
    <w:rsid w:val="00B858BE"/>
    <w:rsid w:val="00B87FAD"/>
    <w:rsid w:val="00B90D04"/>
    <w:rsid w:val="00B91B1F"/>
    <w:rsid w:val="00B91BA8"/>
    <w:rsid w:val="00B9232F"/>
    <w:rsid w:val="00BA3D7A"/>
    <w:rsid w:val="00BA4E88"/>
    <w:rsid w:val="00BA585D"/>
    <w:rsid w:val="00BA6170"/>
    <w:rsid w:val="00BA789F"/>
    <w:rsid w:val="00BB187C"/>
    <w:rsid w:val="00BB2499"/>
    <w:rsid w:val="00BB3097"/>
    <w:rsid w:val="00BB41ED"/>
    <w:rsid w:val="00BB51A1"/>
    <w:rsid w:val="00BB5FE0"/>
    <w:rsid w:val="00BC0A78"/>
    <w:rsid w:val="00BC1D48"/>
    <w:rsid w:val="00BC5F57"/>
    <w:rsid w:val="00BC6FC0"/>
    <w:rsid w:val="00BC703A"/>
    <w:rsid w:val="00BD087B"/>
    <w:rsid w:val="00BD0BDD"/>
    <w:rsid w:val="00BD19F7"/>
    <w:rsid w:val="00BD63BA"/>
    <w:rsid w:val="00BD6C39"/>
    <w:rsid w:val="00BE2156"/>
    <w:rsid w:val="00BE37F5"/>
    <w:rsid w:val="00BE3A01"/>
    <w:rsid w:val="00BE5EFA"/>
    <w:rsid w:val="00BE76A7"/>
    <w:rsid w:val="00BE7F6A"/>
    <w:rsid w:val="00BF0C39"/>
    <w:rsid w:val="00BF317A"/>
    <w:rsid w:val="00BF491C"/>
    <w:rsid w:val="00BF4F1B"/>
    <w:rsid w:val="00BF5811"/>
    <w:rsid w:val="00C00015"/>
    <w:rsid w:val="00C03057"/>
    <w:rsid w:val="00C14A68"/>
    <w:rsid w:val="00C15C32"/>
    <w:rsid w:val="00C1753F"/>
    <w:rsid w:val="00C20096"/>
    <w:rsid w:val="00C20EC4"/>
    <w:rsid w:val="00C219C3"/>
    <w:rsid w:val="00C21E90"/>
    <w:rsid w:val="00C2456D"/>
    <w:rsid w:val="00C24E3C"/>
    <w:rsid w:val="00C25DCA"/>
    <w:rsid w:val="00C3149E"/>
    <w:rsid w:val="00C3161E"/>
    <w:rsid w:val="00C3560A"/>
    <w:rsid w:val="00C36B5C"/>
    <w:rsid w:val="00C375EB"/>
    <w:rsid w:val="00C37E21"/>
    <w:rsid w:val="00C439B9"/>
    <w:rsid w:val="00C44ADA"/>
    <w:rsid w:val="00C470B8"/>
    <w:rsid w:val="00C50C64"/>
    <w:rsid w:val="00C52812"/>
    <w:rsid w:val="00C60E48"/>
    <w:rsid w:val="00C6188B"/>
    <w:rsid w:val="00C65BF5"/>
    <w:rsid w:val="00C7086A"/>
    <w:rsid w:val="00C73867"/>
    <w:rsid w:val="00C75AF5"/>
    <w:rsid w:val="00C76458"/>
    <w:rsid w:val="00C77316"/>
    <w:rsid w:val="00C80EC5"/>
    <w:rsid w:val="00C8182F"/>
    <w:rsid w:val="00C8699A"/>
    <w:rsid w:val="00C87449"/>
    <w:rsid w:val="00C906D3"/>
    <w:rsid w:val="00C90C3F"/>
    <w:rsid w:val="00C91560"/>
    <w:rsid w:val="00C953D4"/>
    <w:rsid w:val="00C95EF3"/>
    <w:rsid w:val="00CA1497"/>
    <w:rsid w:val="00CA5318"/>
    <w:rsid w:val="00CA61A8"/>
    <w:rsid w:val="00CA7A28"/>
    <w:rsid w:val="00CB1213"/>
    <w:rsid w:val="00CB2461"/>
    <w:rsid w:val="00CB4500"/>
    <w:rsid w:val="00CC3375"/>
    <w:rsid w:val="00CC4710"/>
    <w:rsid w:val="00CC543B"/>
    <w:rsid w:val="00CD16EC"/>
    <w:rsid w:val="00CD2523"/>
    <w:rsid w:val="00CD2F83"/>
    <w:rsid w:val="00CD4DE9"/>
    <w:rsid w:val="00CE28B4"/>
    <w:rsid w:val="00CE3DEE"/>
    <w:rsid w:val="00CE5196"/>
    <w:rsid w:val="00CF0424"/>
    <w:rsid w:val="00CF0449"/>
    <w:rsid w:val="00CF079B"/>
    <w:rsid w:val="00CF132C"/>
    <w:rsid w:val="00CF18CD"/>
    <w:rsid w:val="00CF3704"/>
    <w:rsid w:val="00CF3D12"/>
    <w:rsid w:val="00CF446D"/>
    <w:rsid w:val="00CF486E"/>
    <w:rsid w:val="00CF5C6C"/>
    <w:rsid w:val="00CF61B2"/>
    <w:rsid w:val="00CF661F"/>
    <w:rsid w:val="00CF71E4"/>
    <w:rsid w:val="00D00178"/>
    <w:rsid w:val="00D04A14"/>
    <w:rsid w:val="00D05BEA"/>
    <w:rsid w:val="00D05E34"/>
    <w:rsid w:val="00D06428"/>
    <w:rsid w:val="00D140F3"/>
    <w:rsid w:val="00D1496A"/>
    <w:rsid w:val="00D154F9"/>
    <w:rsid w:val="00D15892"/>
    <w:rsid w:val="00D17548"/>
    <w:rsid w:val="00D21A77"/>
    <w:rsid w:val="00D233BF"/>
    <w:rsid w:val="00D23B35"/>
    <w:rsid w:val="00D2516E"/>
    <w:rsid w:val="00D25D2B"/>
    <w:rsid w:val="00D26228"/>
    <w:rsid w:val="00D27061"/>
    <w:rsid w:val="00D272C7"/>
    <w:rsid w:val="00D27D68"/>
    <w:rsid w:val="00D3289B"/>
    <w:rsid w:val="00D32F43"/>
    <w:rsid w:val="00D33E3E"/>
    <w:rsid w:val="00D34BE5"/>
    <w:rsid w:val="00D3626F"/>
    <w:rsid w:val="00D362E0"/>
    <w:rsid w:val="00D378DD"/>
    <w:rsid w:val="00D41B9F"/>
    <w:rsid w:val="00D424F0"/>
    <w:rsid w:val="00D44757"/>
    <w:rsid w:val="00D44AD7"/>
    <w:rsid w:val="00D502DA"/>
    <w:rsid w:val="00D52F20"/>
    <w:rsid w:val="00D53912"/>
    <w:rsid w:val="00D55544"/>
    <w:rsid w:val="00D56D32"/>
    <w:rsid w:val="00D56E51"/>
    <w:rsid w:val="00D571C2"/>
    <w:rsid w:val="00D6134D"/>
    <w:rsid w:val="00D6222B"/>
    <w:rsid w:val="00D63C82"/>
    <w:rsid w:val="00D6409F"/>
    <w:rsid w:val="00D65643"/>
    <w:rsid w:val="00D673ED"/>
    <w:rsid w:val="00D727FD"/>
    <w:rsid w:val="00D7280E"/>
    <w:rsid w:val="00D744C7"/>
    <w:rsid w:val="00D75D24"/>
    <w:rsid w:val="00D76656"/>
    <w:rsid w:val="00D77FA5"/>
    <w:rsid w:val="00D817FB"/>
    <w:rsid w:val="00D850DF"/>
    <w:rsid w:val="00D85FB2"/>
    <w:rsid w:val="00D908A9"/>
    <w:rsid w:val="00D94946"/>
    <w:rsid w:val="00D94C55"/>
    <w:rsid w:val="00DA03F1"/>
    <w:rsid w:val="00DA17DB"/>
    <w:rsid w:val="00DA2F19"/>
    <w:rsid w:val="00DA46B4"/>
    <w:rsid w:val="00DA75B0"/>
    <w:rsid w:val="00DA7AF4"/>
    <w:rsid w:val="00DB1217"/>
    <w:rsid w:val="00DB3FBE"/>
    <w:rsid w:val="00DB403E"/>
    <w:rsid w:val="00DB5947"/>
    <w:rsid w:val="00DB61ED"/>
    <w:rsid w:val="00DB74F6"/>
    <w:rsid w:val="00DC051B"/>
    <w:rsid w:val="00DC100D"/>
    <w:rsid w:val="00DC39B8"/>
    <w:rsid w:val="00DC427D"/>
    <w:rsid w:val="00DC504C"/>
    <w:rsid w:val="00DC6BAF"/>
    <w:rsid w:val="00DD3BB8"/>
    <w:rsid w:val="00DE19DC"/>
    <w:rsid w:val="00DE4E2D"/>
    <w:rsid w:val="00DE53E6"/>
    <w:rsid w:val="00DE53F3"/>
    <w:rsid w:val="00DE5570"/>
    <w:rsid w:val="00DF434B"/>
    <w:rsid w:val="00DF4635"/>
    <w:rsid w:val="00DF471E"/>
    <w:rsid w:val="00DF586F"/>
    <w:rsid w:val="00E01DA2"/>
    <w:rsid w:val="00E02AA3"/>
    <w:rsid w:val="00E03967"/>
    <w:rsid w:val="00E04C7F"/>
    <w:rsid w:val="00E059AB"/>
    <w:rsid w:val="00E05AA6"/>
    <w:rsid w:val="00E06B04"/>
    <w:rsid w:val="00E06FB2"/>
    <w:rsid w:val="00E078FB"/>
    <w:rsid w:val="00E10555"/>
    <w:rsid w:val="00E14A06"/>
    <w:rsid w:val="00E155A7"/>
    <w:rsid w:val="00E16967"/>
    <w:rsid w:val="00E21221"/>
    <w:rsid w:val="00E21B68"/>
    <w:rsid w:val="00E21EE9"/>
    <w:rsid w:val="00E22886"/>
    <w:rsid w:val="00E24D50"/>
    <w:rsid w:val="00E26338"/>
    <w:rsid w:val="00E26BE6"/>
    <w:rsid w:val="00E31200"/>
    <w:rsid w:val="00E33A9D"/>
    <w:rsid w:val="00E35DD1"/>
    <w:rsid w:val="00E414C1"/>
    <w:rsid w:val="00E46187"/>
    <w:rsid w:val="00E4635B"/>
    <w:rsid w:val="00E537DA"/>
    <w:rsid w:val="00E54E64"/>
    <w:rsid w:val="00E56374"/>
    <w:rsid w:val="00E57808"/>
    <w:rsid w:val="00E67B10"/>
    <w:rsid w:val="00E705FB"/>
    <w:rsid w:val="00E72390"/>
    <w:rsid w:val="00E725F5"/>
    <w:rsid w:val="00E73BE7"/>
    <w:rsid w:val="00E7401A"/>
    <w:rsid w:val="00E7652D"/>
    <w:rsid w:val="00E77ADA"/>
    <w:rsid w:val="00E802E5"/>
    <w:rsid w:val="00E8521A"/>
    <w:rsid w:val="00E8588C"/>
    <w:rsid w:val="00E866C2"/>
    <w:rsid w:val="00E87D23"/>
    <w:rsid w:val="00E87D28"/>
    <w:rsid w:val="00E92A55"/>
    <w:rsid w:val="00E92D7A"/>
    <w:rsid w:val="00E93393"/>
    <w:rsid w:val="00EA011D"/>
    <w:rsid w:val="00EA4615"/>
    <w:rsid w:val="00EA4B15"/>
    <w:rsid w:val="00EA68A1"/>
    <w:rsid w:val="00EA782F"/>
    <w:rsid w:val="00EA7E37"/>
    <w:rsid w:val="00EA7E74"/>
    <w:rsid w:val="00EB05F0"/>
    <w:rsid w:val="00EB16FC"/>
    <w:rsid w:val="00EB1ADE"/>
    <w:rsid w:val="00EB21F6"/>
    <w:rsid w:val="00EB5FDE"/>
    <w:rsid w:val="00EB6A8E"/>
    <w:rsid w:val="00EC1D0E"/>
    <w:rsid w:val="00EC44AE"/>
    <w:rsid w:val="00ED7061"/>
    <w:rsid w:val="00ED70A8"/>
    <w:rsid w:val="00EE1722"/>
    <w:rsid w:val="00EE1AC7"/>
    <w:rsid w:val="00EE245F"/>
    <w:rsid w:val="00EE41AE"/>
    <w:rsid w:val="00EE47BA"/>
    <w:rsid w:val="00EE6ED4"/>
    <w:rsid w:val="00EF18A7"/>
    <w:rsid w:val="00EF2BF1"/>
    <w:rsid w:val="00EF2D14"/>
    <w:rsid w:val="00EF3477"/>
    <w:rsid w:val="00EF47F1"/>
    <w:rsid w:val="00EF64BB"/>
    <w:rsid w:val="00EF71AA"/>
    <w:rsid w:val="00EF7F62"/>
    <w:rsid w:val="00F0203C"/>
    <w:rsid w:val="00F02DE5"/>
    <w:rsid w:val="00F10F61"/>
    <w:rsid w:val="00F20070"/>
    <w:rsid w:val="00F204B8"/>
    <w:rsid w:val="00F210BD"/>
    <w:rsid w:val="00F21368"/>
    <w:rsid w:val="00F226AB"/>
    <w:rsid w:val="00F24244"/>
    <w:rsid w:val="00F31452"/>
    <w:rsid w:val="00F32729"/>
    <w:rsid w:val="00F33485"/>
    <w:rsid w:val="00F34B32"/>
    <w:rsid w:val="00F3590D"/>
    <w:rsid w:val="00F40517"/>
    <w:rsid w:val="00F43467"/>
    <w:rsid w:val="00F44164"/>
    <w:rsid w:val="00F45137"/>
    <w:rsid w:val="00F52557"/>
    <w:rsid w:val="00F6157F"/>
    <w:rsid w:val="00F64167"/>
    <w:rsid w:val="00F65390"/>
    <w:rsid w:val="00F73C10"/>
    <w:rsid w:val="00F74073"/>
    <w:rsid w:val="00F74737"/>
    <w:rsid w:val="00F81399"/>
    <w:rsid w:val="00F82137"/>
    <w:rsid w:val="00F87B14"/>
    <w:rsid w:val="00F91100"/>
    <w:rsid w:val="00F92128"/>
    <w:rsid w:val="00F93C61"/>
    <w:rsid w:val="00F94952"/>
    <w:rsid w:val="00F97E27"/>
    <w:rsid w:val="00FA0B2B"/>
    <w:rsid w:val="00FA1E72"/>
    <w:rsid w:val="00FA2ABE"/>
    <w:rsid w:val="00FA602A"/>
    <w:rsid w:val="00FA6FEA"/>
    <w:rsid w:val="00FB0D59"/>
    <w:rsid w:val="00FB346E"/>
    <w:rsid w:val="00FB4670"/>
    <w:rsid w:val="00FB5625"/>
    <w:rsid w:val="00FB599F"/>
    <w:rsid w:val="00FC2E8A"/>
    <w:rsid w:val="00FC33B8"/>
    <w:rsid w:val="00FC57E1"/>
    <w:rsid w:val="00FC7622"/>
    <w:rsid w:val="00FD26C0"/>
    <w:rsid w:val="00FD3CEA"/>
    <w:rsid w:val="00FD3D60"/>
    <w:rsid w:val="00FD760D"/>
    <w:rsid w:val="00FE1F36"/>
    <w:rsid w:val="00FE4A11"/>
    <w:rsid w:val="00FE5970"/>
    <w:rsid w:val="00FE5D14"/>
    <w:rsid w:val="00FE6B27"/>
    <w:rsid w:val="00FE6EA5"/>
    <w:rsid w:val="00FE7A03"/>
    <w:rsid w:val="00FF6388"/>
    <w:rsid w:val="00FF72FC"/>
    <w:rsid w:val="03386FC0"/>
    <w:rsid w:val="03439D94"/>
    <w:rsid w:val="0433124C"/>
    <w:rsid w:val="044BB404"/>
    <w:rsid w:val="045DCE97"/>
    <w:rsid w:val="0953AA8D"/>
    <w:rsid w:val="0990B4F1"/>
    <w:rsid w:val="0C4F460A"/>
    <w:rsid w:val="0CA8419E"/>
    <w:rsid w:val="133D58B3"/>
    <w:rsid w:val="148A6825"/>
    <w:rsid w:val="17BCC31F"/>
    <w:rsid w:val="21EF93E7"/>
    <w:rsid w:val="21F7FD62"/>
    <w:rsid w:val="22EDAD9F"/>
    <w:rsid w:val="261DEE2B"/>
    <w:rsid w:val="27C33FA9"/>
    <w:rsid w:val="27CA600B"/>
    <w:rsid w:val="2DDF11EE"/>
    <w:rsid w:val="2EC48E67"/>
    <w:rsid w:val="302819C1"/>
    <w:rsid w:val="327C88F5"/>
    <w:rsid w:val="3319C775"/>
    <w:rsid w:val="35698269"/>
    <w:rsid w:val="377DD4D8"/>
    <w:rsid w:val="38AE3C8D"/>
    <w:rsid w:val="3C5145FB"/>
    <w:rsid w:val="3E5E7355"/>
    <w:rsid w:val="40DE689F"/>
    <w:rsid w:val="434D4181"/>
    <w:rsid w:val="44C5957D"/>
    <w:rsid w:val="462AE73F"/>
    <w:rsid w:val="4883FBF4"/>
    <w:rsid w:val="49D5AB62"/>
    <w:rsid w:val="501BF61E"/>
    <w:rsid w:val="526F7082"/>
    <w:rsid w:val="560A5A94"/>
    <w:rsid w:val="5F9AE10F"/>
    <w:rsid w:val="6024603B"/>
    <w:rsid w:val="606E812E"/>
    <w:rsid w:val="624875EC"/>
    <w:rsid w:val="643EBAEF"/>
    <w:rsid w:val="68077437"/>
    <w:rsid w:val="682752C4"/>
    <w:rsid w:val="686DA8AB"/>
    <w:rsid w:val="6B99D1E0"/>
    <w:rsid w:val="6C2FF5E7"/>
    <w:rsid w:val="6E607B4B"/>
    <w:rsid w:val="7087A1EB"/>
    <w:rsid w:val="736E3350"/>
    <w:rsid w:val="7ACF761B"/>
    <w:rsid w:val="7C7D54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5F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870"/>
    <w:pPr>
      <w:spacing w:after="200" w:line="276" w:lineRule="auto"/>
    </w:pPr>
    <w:rPr>
      <w:sz w:val="22"/>
      <w:szCs w:val="22"/>
    </w:rPr>
  </w:style>
  <w:style w:type="paragraph" w:styleId="Heading1">
    <w:name w:val="heading 1"/>
    <w:basedOn w:val="Normal"/>
    <w:next w:val="Normal"/>
    <w:link w:val="Heading1Char"/>
    <w:uiPriority w:val="9"/>
    <w:qFormat/>
    <w:rsid w:val="00AB6626"/>
    <w:pPr>
      <w:keepNext/>
      <w:spacing w:before="240" w:after="60"/>
      <w:outlineLvl w:val="0"/>
    </w:pPr>
    <w:rPr>
      <w:rFonts w:ascii="Calibri Light" w:eastAsia="Times New Roman" w:hAnsi="Calibri Light"/>
      <w:b/>
      <w:bCs/>
      <w:kern w:val="32"/>
      <w:sz w:val="32"/>
      <w:szCs w:val="32"/>
    </w:rPr>
  </w:style>
  <w:style w:type="paragraph" w:styleId="Heading2">
    <w:name w:val="heading 2"/>
    <w:aliases w:val="H2-Sec. Head"/>
    <w:basedOn w:val="Normal"/>
    <w:next w:val="P1-StandPara"/>
    <w:link w:val="Heading2Char"/>
    <w:autoRedefine/>
    <w:qFormat/>
    <w:rsid w:val="004C5217"/>
    <w:pPr>
      <w:keepNext/>
      <w:tabs>
        <w:tab w:val="left" w:pos="720"/>
      </w:tabs>
      <w:spacing w:before="240" w:after="160" w:line="360" w:lineRule="atLeast"/>
      <w:ind w:left="720" w:hanging="720"/>
      <w:jc w:val="both"/>
      <w:outlineLvl w:val="1"/>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rsid w:val="000F3043"/>
    <w:rPr>
      <w:color w:val="0000FF"/>
      <w:u w:val="single"/>
    </w:rPr>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4C5217"/>
    <w:rPr>
      <w:rFonts w:ascii="Times New Roman" w:eastAsia="Times New Roman" w:hAnsi="Times New Roman"/>
      <w:b/>
      <w:sz w:val="22"/>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F6157F"/>
    <w:rPr>
      <w:sz w:val="16"/>
      <w:szCs w:val="16"/>
    </w:rPr>
  </w:style>
  <w:style w:type="paragraph" w:styleId="CommentText">
    <w:name w:val="annotation text"/>
    <w:basedOn w:val="Normal"/>
    <w:link w:val="CommentTextChar"/>
    <w:unhideWhenUsed/>
    <w:rsid w:val="00F6157F"/>
    <w:rPr>
      <w:sz w:val="20"/>
      <w:szCs w:val="20"/>
    </w:rPr>
  </w:style>
  <w:style w:type="character" w:customStyle="1" w:styleId="CommentTextChar">
    <w:name w:val="Comment Text Char"/>
    <w:basedOn w:val="DefaultParagraphFont"/>
    <w:link w:val="CommentText"/>
    <w:rsid w:val="00F6157F"/>
  </w:style>
  <w:style w:type="paragraph" w:styleId="CommentSubject">
    <w:name w:val="annotation subject"/>
    <w:basedOn w:val="CommentText"/>
    <w:next w:val="CommentText"/>
    <w:link w:val="CommentSubjectChar"/>
    <w:uiPriority w:val="99"/>
    <w:semiHidden/>
    <w:unhideWhenUsed/>
    <w:rsid w:val="00F6157F"/>
    <w:rPr>
      <w:b/>
      <w:bCs/>
    </w:rPr>
  </w:style>
  <w:style w:type="character" w:customStyle="1" w:styleId="CommentSubjectChar">
    <w:name w:val="Comment Subject Char"/>
    <w:link w:val="CommentSubject"/>
    <w:uiPriority w:val="99"/>
    <w:semiHidden/>
    <w:rsid w:val="00F6157F"/>
    <w:rPr>
      <w:b/>
      <w:bCs/>
    </w:rPr>
  </w:style>
  <w:style w:type="paragraph" w:styleId="TOC2">
    <w:name w:val="toc 2"/>
    <w:basedOn w:val="Normal"/>
    <w:next w:val="Normal"/>
    <w:autoRedefine/>
    <w:uiPriority w:val="39"/>
    <w:unhideWhenUsed/>
    <w:rsid w:val="00BA3D7A"/>
    <w:pPr>
      <w:tabs>
        <w:tab w:val="left" w:pos="660"/>
        <w:tab w:val="right" w:pos="9638"/>
      </w:tabs>
      <w:spacing w:line="240" w:lineRule="auto"/>
    </w:pPr>
  </w:style>
  <w:style w:type="paragraph" w:styleId="NormalWeb">
    <w:name w:val="Normal (Web)"/>
    <w:basedOn w:val="Normal"/>
    <w:uiPriority w:val="99"/>
    <w:unhideWhenUsed/>
    <w:rsid w:val="00E414C1"/>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uiPriority w:val="99"/>
    <w:semiHidden/>
    <w:unhideWhenUsed/>
    <w:rsid w:val="000B5B32"/>
    <w:rPr>
      <w:color w:val="954F72"/>
      <w:u w:val="single"/>
    </w:rPr>
  </w:style>
  <w:style w:type="paragraph" w:styleId="Caption">
    <w:name w:val="caption"/>
    <w:basedOn w:val="Normal"/>
    <w:next w:val="Normal"/>
    <w:uiPriority w:val="35"/>
    <w:unhideWhenUsed/>
    <w:qFormat/>
    <w:rsid w:val="003101B5"/>
    <w:rPr>
      <w:b/>
      <w:bCs/>
      <w:sz w:val="20"/>
      <w:szCs w:val="20"/>
    </w:rPr>
  </w:style>
  <w:style w:type="character" w:customStyle="1" w:styleId="Heading1Char">
    <w:name w:val="Heading 1 Char"/>
    <w:link w:val="Heading1"/>
    <w:uiPriority w:val="9"/>
    <w:rsid w:val="00AB6626"/>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862A18"/>
    <w:pPr>
      <w:tabs>
        <w:tab w:val="center" w:pos="4680"/>
        <w:tab w:val="right" w:pos="9360"/>
      </w:tabs>
    </w:pPr>
  </w:style>
  <w:style w:type="character" w:customStyle="1" w:styleId="HeaderChar">
    <w:name w:val="Header Char"/>
    <w:link w:val="Header"/>
    <w:uiPriority w:val="99"/>
    <w:rsid w:val="00862A18"/>
    <w:rPr>
      <w:sz w:val="22"/>
      <w:szCs w:val="22"/>
    </w:rPr>
  </w:style>
  <w:style w:type="paragraph" w:styleId="Revision">
    <w:name w:val="Revision"/>
    <w:hidden/>
    <w:uiPriority w:val="99"/>
    <w:semiHidden/>
    <w:rsid w:val="00F94952"/>
    <w:rPr>
      <w:sz w:val="22"/>
      <w:szCs w:val="22"/>
    </w:rPr>
  </w:style>
  <w:style w:type="paragraph" w:styleId="BodyText">
    <w:name w:val="Body Text"/>
    <w:basedOn w:val="Normal"/>
    <w:link w:val="BodyTextChar"/>
    <w:autoRedefine/>
    <w:uiPriority w:val="1"/>
    <w:qFormat/>
    <w:rsid w:val="00DC6BAF"/>
    <w:pPr>
      <w:widowControl w:val="0"/>
      <w:numPr>
        <w:numId w:val="22"/>
      </w:numPr>
      <w:contextualSpacing/>
    </w:pPr>
    <w:rPr>
      <w:rFonts w:ascii="Century Gothic" w:eastAsia="Arial" w:hAnsi="Century Gothic"/>
      <w:sz w:val="20"/>
      <w:szCs w:val="20"/>
    </w:rPr>
  </w:style>
  <w:style w:type="character" w:customStyle="1" w:styleId="BodyTextChar">
    <w:name w:val="Body Text Char"/>
    <w:link w:val="BodyText"/>
    <w:uiPriority w:val="1"/>
    <w:rsid w:val="00DC6BAF"/>
    <w:rPr>
      <w:rFonts w:ascii="Century Gothic" w:eastAsia="Arial" w:hAnsi="Century Gothic"/>
    </w:rPr>
  </w:style>
  <w:style w:type="character" w:customStyle="1" w:styleId="UnresolvedMention1">
    <w:name w:val="Unresolved Mention1"/>
    <w:basedOn w:val="DefaultParagraphFont"/>
    <w:uiPriority w:val="99"/>
    <w:semiHidden/>
    <w:unhideWhenUsed/>
    <w:rsid w:val="00E04C7F"/>
    <w:rPr>
      <w:color w:val="808080"/>
      <w:shd w:val="clear" w:color="auto" w:fill="E6E6E6"/>
    </w:rPr>
  </w:style>
  <w:style w:type="character" w:styleId="UnresolvedMention">
    <w:name w:val="Unresolved Mention"/>
    <w:basedOn w:val="DefaultParagraphFont"/>
    <w:uiPriority w:val="99"/>
    <w:unhideWhenUsed/>
    <w:rsid w:val="00DF4635"/>
    <w:rPr>
      <w:color w:val="605E5C"/>
      <w:shd w:val="clear" w:color="auto" w:fill="E1DFDD"/>
    </w:rPr>
  </w:style>
  <w:style w:type="character" w:styleId="Mention">
    <w:name w:val="Mention"/>
    <w:basedOn w:val="DefaultParagraphFont"/>
    <w:uiPriority w:val="99"/>
    <w:unhideWhenUsed/>
    <w:rsid w:val="00843B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349991">
      <w:bodyDiv w:val="1"/>
      <w:marLeft w:val="0"/>
      <w:marRight w:val="0"/>
      <w:marTop w:val="0"/>
      <w:marBottom w:val="0"/>
      <w:divBdr>
        <w:top w:val="none" w:sz="0" w:space="0" w:color="auto"/>
        <w:left w:val="none" w:sz="0" w:space="0" w:color="auto"/>
        <w:bottom w:val="none" w:sz="0" w:space="0" w:color="auto"/>
        <w:right w:val="none" w:sz="0" w:space="0" w:color="auto"/>
      </w:divBdr>
    </w:div>
    <w:div w:id="529488367">
      <w:bodyDiv w:val="1"/>
      <w:marLeft w:val="0"/>
      <w:marRight w:val="0"/>
      <w:marTop w:val="0"/>
      <w:marBottom w:val="0"/>
      <w:divBdr>
        <w:top w:val="none" w:sz="0" w:space="0" w:color="auto"/>
        <w:left w:val="none" w:sz="0" w:space="0" w:color="auto"/>
        <w:bottom w:val="none" w:sz="0" w:space="0" w:color="auto"/>
        <w:right w:val="none" w:sz="0" w:space="0" w:color="auto"/>
      </w:divBdr>
    </w:div>
    <w:div w:id="742482767">
      <w:bodyDiv w:val="1"/>
      <w:marLeft w:val="0"/>
      <w:marRight w:val="0"/>
      <w:marTop w:val="0"/>
      <w:marBottom w:val="0"/>
      <w:divBdr>
        <w:top w:val="none" w:sz="0" w:space="0" w:color="auto"/>
        <w:left w:val="none" w:sz="0" w:space="0" w:color="auto"/>
        <w:bottom w:val="none" w:sz="0" w:space="0" w:color="auto"/>
        <w:right w:val="none" w:sz="0" w:space="0" w:color="auto"/>
      </w:divBdr>
    </w:div>
    <w:div w:id="808519565">
      <w:bodyDiv w:val="1"/>
      <w:marLeft w:val="0"/>
      <w:marRight w:val="0"/>
      <w:marTop w:val="0"/>
      <w:marBottom w:val="0"/>
      <w:divBdr>
        <w:top w:val="none" w:sz="0" w:space="0" w:color="auto"/>
        <w:left w:val="none" w:sz="0" w:space="0" w:color="auto"/>
        <w:bottom w:val="none" w:sz="0" w:space="0" w:color="auto"/>
        <w:right w:val="none" w:sz="0" w:space="0" w:color="auto"/>
      </w:divBdr>
    </w:div>
    <w:div w:id="1024206742">
      <w:bodyDiv w:val="1"/>
      <w:marLeft w:val="0"/>
      <w:marRight w:val="0"/>
      <w:marTop w:val="0"/>
      <w:marBottom w:val="0"/>
      <w:divBdr>
        <w:top w:val="none" w:sz="0" w:space="0" w:color="auto"/>
        <w:left w:val="none" w:sz="0" w:space="0" w:color="auto"/>
        <w:bottom w:val="none" w:sz="0" w:space="0" w:color="auto"/>
        <w:right w:val="none" w:sz="0" w:space="0" w:color="auto"/>
      </w:divBdr>
    </w:div>
    <w:div w:id="1234586328">
      <w:bodyDiv w:val="1"/>
      <w:marLeft w:val="0"/>
      <w:marRight w:val="0"/>
      <w:marTop w:val="0"/>
      <w:marBottom w:val="0"/>
      <w:divBdr>
        <w:top w:val="none" w:sz="0" w:space="0" w:color="auto"/>
        <w:left w:val="none" w:sz="0" w:space="0" w:color="auto"/>
        <w:bottom w:val="none" w:sz="0" w:space="0" w:color="auto"/>
        <w:right w:val="none" w:sz="0" w:space="0" w:color="auto"/>
      </w:divBdr>
    </w:div>
    <w:div w:id="1258177653">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71311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NICHD.DASH@mail.nih.gov" TargetMode="External"/><Relationship Id="rId18" Type="http://schemas.openxmlformats.org/officeDocument/2006/relationships/hyperlink" Target="http://oma.od.nih.gov/public/ms/privacy/pafiles/0200.ht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law.cornell.edu/uscode/5/552a.html" TargetMode="External"/><Relationship Id="rId2" Type="http://schemas.openxmlformats.org/officeDocument/2006/relationships/customXml" Target="../customXml/item2.xml"/><Relationship Id="rId16" Type="http://schemas.openxmlformats.org/officeDocument/2006/relationships/hyperlink" Target="http://legislink.org/us/stat-88-189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dash.nichd.nih.gov/"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bls.gov/oes/current/oes191042.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history.nih.gov/research/downloads/PL87-838.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84B9CC49B786428001CD4420FBBE9B" ma:contentTypeVersion="10" ma:contentTypeDescription="Create a new document." ma:contentTypeScope="" ma:versionID="e07169061adc14e45574bec996224abd">
  <xsd:schema xmlns:xsd="http://www.w3.org/2001/XMLSchema" xmlns:xs="http://www.w3.org/2001/XMLSchema" xmlns:p="http://schemas.microsoft.com/office/2006/metadata/properties" xmlns:ns2="50829193-b200-4c79-89ad-5d963afec298" xmlns:ns3="79d9c318-3622-4b6e-871a-06c30101b4a0" targetNamespace="http://schemas.microsoft.com/office/2006/metadata/properties" ma:root="true" ma:fieldsID="0ecf2164ee437672678735ed8198575c" ns2:_="" ns3:_="">
    <xsd:import namespace="50829193-b200-4c79-89ad-5d963afec298"/>
    <xsd:import namespace="79d9c318-3622-4b6e-871a-06c30101b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29193-b200-4c79-89ad-5d963afec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d9c318-3622-4b6e-871a-06c30101b4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ISO690Nmerical.XSL" StyleName="ISO 690 - Numerical Reference" Version="1987"/>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34BDAA-B766-4483-8FE2-8D498B190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29193-b200-4c79-89ad-5d963afec298"/>
    <ds:schemaRef ds:uri="79d9c318-3622-4b6e-871a-06c30101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692DA5-1EC5-4C26-9AA3-9B3B36AA723F}">
  <ds:schemaRefs>
    <ds:schemaRef ds:uri="http://schemas.microsoft.com/office/2006/coverPageProps"/>
  </ds:schemaRefs>
</ds:datastoreItem>
</file>

<file path=customXml/itemProps3.xml><?xml version="1.0" encoding="utf-8"?>
<ds:datastoreItem xmlns:ds="http://schemas.openxmlformats.org/officeDocument/2006/customXml" ds:itemID="{3CE1FA65-950B-4D86-9E98-498D93950E25}">
  <ds:schemaRefs>
    <ds:schemaRef ds:uri="http://schemas.openxmlformats.org/officeDocument/2006/bibliography"/>
  </ds:schemaRefs>
</ds:datastoreItem>
</file>

<file path=customXml/itemProps4.xml><?xml version="1.0" encoding="utf-8"?>
<ds:datastoreItem xmlns:ds="http://schemas.openxmlformats.org/officeDocument/2006/customXml" ds:itemID="{05BFAA3D-5CDB-461F-B1AB-B39ADF80C2DB}">
  <ds:schemaRefs>
    <ds:schemaRef ds:uri="http://schemas.microsoft.com/sharepoint/v3/contenttype/forms"/>
  </ds:schemaRefs>
</ds:datastoreItem>
</file>

<file path=customXml/itemProps5.xml><?xml version="1.0" encoding="utf-8"?>
<ds:datastoreItem xmlns:ds="http://schemas.openxmlformats.org/officeDocument/2006/customXml" ds:itemID="{29905DBF-5A96-41A7-BDA1-D129EFD2F942}">
  <ds:schemaRefs>
    <ds:schemaRef ds:uri="http://schemas.microsoft.com/office/2006/coverPageProps"/>
  </ds:schemaRefs>
</ds:datastoreItem>
</file>

<file path=customXml/itemProps6.xml><?xml version="1.0" encoding="utf-8"?>
<ds:datastoreItem xmlns:ds="http://schemas.openxmlformats.org/officeDocument/2006/customXml" ds:itemID="{879888A3-8691-4B5F-B1FA-516508C71A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4760</Words>
  <Characters>27137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31834</CharactersWithSpaces>
  <SharedDoc>false</SharedDoc>
  <HLinks>
    <vt:vector size="48" baseType="variant">
      <vt:variant>
        <vt:i4>1376341</vt:i4>
      </vt:variant>
      <vt:variant>
        <vt:i4>87</vt:i4>
      </vt:variant>
      <vt:variant>
        <vt:i4>0</vt:i4>
      </vt:variant>
      <vt:variant>
        <vt:i4>5</vt:i4>
      </vt:variant>
      <vt:variant>
        <vt:lpwstr>http://www.bls.gov/oes/current/oes191042.htm</vt:lpwstr>
      </vt:variant>
      <vt:variant>
        <vt:lpwstr/>
      </vt:variant>
      <vt:variant>
        <vt:i4>5636172</vt:i4>
      </vt:variant>
      <vt:variant>
        <vt:i4>84</vt:i4>
      </vt:variant>
      <vt:variant>
        <vt:i4>0</vt:i4>
      </vt:variant>
      <vt:variant>
        <vt:i4>5</vt:i4>
      </vt:variant>
      <vt:variant>
        <vt:lpwstr>http://oma.od.nih.gov/public/ms/privacy/pafiles/0200.htm</vt:lpwstr>
      </vt:variant>
      <vt:variant>
        <vt:lpwstr/>
      </vt:variant>
      <vt:variant>
        <vt:i4>1769478</vt:i4>
      </vt:variant>
      <vt:variant>
        <vt:i4>81</vt:i4>
      </vt:variant>
      <vt:variant>
        <vt:i4>0</vt:i4>
      </vt:variant>
      <vt:variant>
        <vt:i4>5</vt:i4>
      </vt:variant>
      <vt:variant>
        <vt:lpwstr>http://www.law.cornell.edu/uscode/5/552a.html</vt:lpwstr>
      </vt:variant>
      <vt:variant>
        <vt:lpwstr/>
      </vt:variant>
      <vt:variant>
        <vt:i4>1572872</vt:i4>
      </vt:variant>
      <vt:variant>
        <vt:i4>78</vt:i4>
      </vt:variant>
      <vt:variant>
        <vt:i4>0</vt:i4>
      </vt:variant>
      <vt:variant>
        <vt:i4>5</vt:i4>
      </vt:variant>
      <vt:variant>
        <vt:lpwstr>http://legislink.org/us/stat-88-1896</vt:lpwstr>
      </vt:variant>
      <vt:variant>
        <vt:lpwstr/>
      </vt:variant>
      <vt:variant>
        <vt:i4>4980828</vt:i4>
      </vt:variant>
      <vt:variant>
        <vt:i4>75</vt:i4>
      </vt:variant>
      <vt:variant>
        <vt:i4>0</vt:i4>
      </vt:variant>
      <vt:variant>
        <vt:i4>5</vt:i4>
      </vt:variant>
      <vt:variant>
        <vt:lpwstr>http://legislink.org/us/pl-93-579</vt:lpwstr>
      </vt:variant>
      <vt:variant>
        <vt:lpwstr/>
      </vt:variant>
      <vt:variant>
        <vt:i4>6684798</vt:i4>
      </vt:variant>
      <vt:variant>
        <vt:i4>72</vt:i4>
      </vt:variant>
      <vt:variant>
        <vt:i4>0</vt:i4>
      </vt:variant>
      <vt:variant>
        <vt:i4>5</vt:i4>
      </vt:variant>
      <vt:variant>
        <vt:lpwstr>https://dash.nichd.nih.gov/</vt:lpwstr>
      </vt:variant>
      <vt:variant>
        <vt:lpwstr/>
      </vt:variant>
      <vt:variant>
        <vt:i4>3932280</vt:i4>
      </vt:variant>
      <vt:variant>
        <vt:i4>69</vt:i4>
      </vt:variant>
      <vt:variant>
        <vt:i4>0</vt:i4>
      </vt:variant>
      <vt:variant>
        <vt:i4>5</vt:i4>
      </vt:variant>
      <vt:variant>
        <vt:lpwstr>https://history.nih.gov/research/downloads/PL87-838.pdf</vt:lpwstr>
      </vt:variant>
      <vt:variant>
        <vt:lpwstr/>
      </vt:variant>
      <vt:variant>
        <vt:i4>4587630</vt:i4>
      </vt:variant>
      <vt:variant>
        <vt:i4>0</vt:i4>
      </vt:variant>
      <vt:variant>
        <vt:i4>0</vt:i4>
      </vt:variant>
      <vt:variant>
        <vt:i4>5</vt:i4>
      </vt:variant>
      <vt:variant>
        <vt:lpwstr>mailto:NICHD.DASH@mail.nih.gov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2021-03-30T21:05:00Z</dcterms:created>
  <dcterms:modified xsi:type="dcterms:W3CDTF">2021-04-09T16:19:00Z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0x010100E784B9CC49B786428001CD4420FBBE9B</vt:lpwstr>
  </property>
</Properties>
</file>