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FFE027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</w:t>
      </w:r>
      <w:proofErr w:type="spellStart"/>
      <w:r w:rsidR="00686301">
        <w:t>Exp</w:t>
      </w:r>
      <w:r w:rsidR="00887320">
        <w:t>Date</w:t>
      </w:r>
      <w:proofErr w:type="spellEnd"/>
      <w:r w:rsidR="00887320">
        <w:t>:</w:t>
      </w:r>
      <w:r w:rsidR="001F5F58">
        <w:t xml:space="preserve"> </w:t>
      </w:r>
      <w:r w:rsidR="00887320">
        <w:t>0</w:t>
      </w:r>
      <w:r w:rsidR="00944C6A">
        <w:t>5/2021</w:t>
      </w:r>
      <w:r>
        <w:rPr>
          <w:sz w:val="28"/>
        </w:rPr>
        <w:t>)</w:t>
      </w:r>
    </w:p>
    <w:p w:rsidR="00C35A02" w:rsidRDefault="00C41443" w14:paraId="0EB059FB" w14:textId="77777777">
      <w:r>
        <w:rPr>
          <w:b/>
          <w:noProof/>
        </w:rPr>
        <w:pict w14:anchorId="4FC1E06D">
          <v:line id="_x0000_s1026" style="position:absolute;z-index:251657728;mso-wrap-edited:f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4510A">
        <w:t xml:space="preserve">NIH Office of Intramural Training &amp; Education (OITE) – </w:t>
      </w:r>
      <w:r w:rsidR="00395311">
        <w:t xml:space="preserve">General </w:t>
      </w:r>
      <w:r w:rsidR="009F0AE8">
        <w:t xml:space="preserve">Event </w:t>
      </w:r>
      <w:r w:rsidR="00395311">
        <w:t>Feedback</w:t>
      </w:r>
    </w:p>
    <w:p w:rsidR="0024510A" w:rsidRDefault="0024510A" w14:paraId="1E78BD1D" w14:textId="77777777"/>
    <w:p w:rsidR="001B0AAA" w:rsidRDefault="00F15956" w14:paraId="18FBCD9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F32FD0" w14:paraId="0F0ADB59" w14:textId="77777777">
      <w:r>
        <w:t xml:space="preserve">The OITE provides several services to the NIH trainees (summer interns, </w:t>
      </w:r>
      <w:proofErr w:type="spellStart"/>
      <w:r>
        <w:t>postbaccalaureates</w:t>
      </w:r>
      <w:proofErr w:type="spellEnd"/>
      <w:r>
        <w:t xml:space="preserve">, graduate students, </w:t>
      </w:r>
      <w:proofErr w:type="spellStart"/>
      <w:r>
        <w:t>postdoctorates</w:t>
      </w:r>
      <w:proofErr w:type="spellEnd"/>
      <w:r>
        <w:t>, clinical fellows, and research fellows)</w:t>
      </w:r>
      <w:r w:rsidR="000F6720">
        <w:t>,</w:t>
      </w:r>
      <w:r>
        <w:t xml:space="preserve"> NIH staff (staff scientists and staff clinicians)</w:t>
      </w:r>
      <w:r w:rsidR="000F6720">
        <w:t>, and members of the general public interested in the biomedical sciences</w:t>
      </w:r>
      <w:r>
        <w:t>.</w:t>
      </w:r>
      <w:r w:rsidR="002C3D73">
        <w:t xml:space="preserve">  In order to best serve these communities and make improvements of services, the OITE wishes to collect feedback from participants in the OITE events:</w:t>
      </w:r>
    </w:p>
    <w:p w:rsidR="00C8488C" w:rsidP="002C3D73" w:rsidRDefault="002C3D73" w14:paraId="2E8D8F5E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 w:rsidRPr="002C3D73">
        <w:t>Communication Workshops</w:t>
      </w:r>
    </w:p>
    <w:p w:rsidR="002C3D73" w:rsidP="002C3D73" w:rsidRDefault="002C3D73" w14:paraId="07C1DF2B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Postbaccalaureate Workshops</w:t>
      </w:r>
    </w:p>
    <w:p w:rsidR="002C3D73" w:rsidP="002C3D73" w:rsidRDefault="002C3D73" w14:paraId="339B3C2E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Summer Workshops</w:t>
      </w:r>
    </w:p>
    <w:p w:rsidR="002C3D73" w:rsidP="002C3D73" w:rsidRDefault="002C3D73" w14:paraId="65607618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Career Development Programs</w:t>
      </w:r>
    </w:p>
    <w:p w:rsidR="002C3D73" w:rsidP="002C3D73" w:rsidRDefault="002C3D73" w14:paraId="409F5833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Leadership, mentoring, and other personal development programs</w:t>
      </w:r>
    </w:p>
    <w:p w:rsidR="002C3D73" w:rsidP="002C3D73" w:rsidRDefault="002C3D73" w14:paraId="3C07826E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Major Annual Events Organized by OITE</w:t>
      </w:r>
    </w:p>
    <w:p w:rsidR="002C3D73" w:rsidP="002C3D73" w:rsidRDefault="002C3D73" w14:paraId="07239101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</w:pPr>
      <w:r>
        <w:t>OITE Orientations</w:t>
      </w:r>
    </w:p>
    <w:p w:rsidRPr="002C3D73" w:rsidR="002C3D73" w:rsidP="00434E33" w:rsidRDefault="002C3D73" w14:paraId="7A7E7B12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61446C1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D26F48" w14:paraId="18F335ED" w14:textId="77777777">
      <w:r>
        <w:t xml:space="preserve">The </w:t>
      </w:r>
      <w:r w:rsidR="002C3D73">
        <w:t>NIH/OITE request</w:t>
      </w:r>
      <w:r>
        <w:t>s</w:t>
      </w:r>
      <w:r w:rsidR="002C3D73">
        <w:t xml:space="preserve"> feedback from participants </w:t>
      </w:r>
      <w:r>
        <w:t xml:space="preserve">of the </w:t>
      </w:r>
      <w:r w:rsidR="002C3D73">
        <w:t>following NIH training programs:</w:t>
      </w:r>
    </w:p>
    <w:p w:rsidR="002C3D73" w:rsidP="002C3D73" w:rsidRDefault="002C3D73" w14:paraId="456885D6" w14:textId="77777777">
      <w:pPr>
        <w:numPr>
          <w:ilvl w:val="0"/>
          <w:numId w:val="21"/>
        </w:numPr>
      </w:pPr>
      <w:r>
        <w:t>Summer Internship Program (SIP) – NIH Trainees Only</w:t>
      </w:r>
    </w:p>
    <w:p w:rsidR="002C3D73" w:rsidP="002C3D73" w:rsidRDefault="002C3D73" w14:paraId="55E33A2F" w14:textId="77777777">
      <w:pPr>
        <w:numPr>
          <w:ilvl w:val="0"/>
          <w:numId w:val="21"/>
        </w:numPr>
      </w:pPr>
      <w:r>
        <w:t>Postbaccalaureate Training Program (PBT) – NIH trainees who participated in one of the followin</w:t>
      </w:r>
      <w:r w:rsidR="006E7AC5">
        <w:t>g: Post-Bac IRTA/CRTA, NIH Acade</w:t>
      </w:r>
      <w:r>
        <w:t>my, Technical IRTA, or UGSP Payback Scholar – NIH Trainees Only</w:t>
      </w:r>
    </w:p>
    <w:p w:rsidR="00DB1E8B" w:rsidP="002C3D73" w:rsidRDefault="00DB1E8B" w14:paraId="093BF5F1" w14:textId="77777777">
      <w:pPr>
        <w:numPr>
          <w:ilvl w:val="0"/>
          <w:numId w:val="21"/>
        </w:numPr>
      </w:pPr>
      <w:r>
        <w:t>Graduate Partnerships Program (GPP) – NIH trainees who perform dissertation research towards a PhD, MD/PhD, DVM/</w:t>
      </w:r>
      <w:proofErr w:type="gramStart"/>
      <w:r>
        <w:t>PhD</w:t>
      </w:r>
      <w:proofErr w:type="gramEnd"/>
      <w:r>
        <w:t xml:space="preserve"> or equivalent postgraduate degree – NIH Trainees Only</w:t>
      </w:r>
    </w:p>
    <w:p w:rsidR="000E5BE3" w:rsidP="002C3D73" w:rsidRDefault="000E5BE3" w14:paraId="5C56E25C" w14:textId="77777777">
      <w:pPr>
        <w:numPr>
          <w:ilvl w:val="0"/>
          <w:numId w:val="21"/>
        </w:numPr>
      </w:pPr>
      <w:proofErr w:type="spellStart"/>
      <w:r>
        <w:t>Postdoctorate</w:t>
      </w:r>
      <w:proofErr w:type="spellEnd"/>
      <w:r>
        <w:t xml:space="preserve"> Training Program – NIH trainees already awarded an advanced degree, such as PhD, DM, DVM or equivalent who were classified as an IRTA/CRTA, Visiting Fellow, Clinical Fellow, or Research Fellow – NIH Trainee Only</w:t>
      </w:r>
    </w:p>
    <w:p w:rsidR="000E5BE3" w:rsidP="002C3D73" w:rsidRDefault="000E5BE3" w14:paraId="0C36CC06" w14:textId="77777777">
      <w:pPr>
        <w:numPr>
          <w:ilvl w:val="0"/>
          <w:numId w:val="21"/>
        </w:numPr>
      </w:pPr>
      <w:r>
        <w:t>Staff Scientists / Staff Clinicians – NIH Employees Only</w:t>
      </w:r>
    </w:p>
    <w:p w:rsidR="000F6720" w:rsidP="002C3D73" w:rsidRDefault="00155B15" w14:paraId="2D3DCB89" w14:textId="77777777">
      <w:pPr>
        <w:numPr>
          <w:ilvl w:val="0"/>
          <w:numId w:val="21"/>
        </w:numPr>
      </w:pPr>
      <w:r>
        <w:t xml:space="preserve">Individuals that participate in events open </w:t>
      </w:r>
      <w:r w:rsidR="008B2DFC">
        <w:t xml:space="preserve">to the </w:t>
      </w:r>
      <w:r>
        <w:t>non-NIH community</w:t>
      </w:r>
    </w:p>
    <w:p w:rsidR="00F15956" w:rsidRDefault="00F15956" w14:paraId="36B619F1" w14:textId="77777777"/>
    <w:p w:rsidRPr="00D26F48" w:rsidR="00D26F48" w:rsidRDefault="000E5BE3" w14:paraId="030DFDDC" w14:textId="77777777">
      <w:r>
        <w:t>NIH trainees are individuals that receive support for career development from the NIH in one or more of the following areas: research support, stipend, health insurance, and/or tuition.</w:t>
      </w:r>
      <w:r w:rsidR="0079606C">
        <w:t xml:space="preserve">  </w:t>
      </w:r>
      <w:r w:rsidR="00155B15">
        <w:t xml:space="preserve">The general public is invited to participate in select events sponsored by the OITE.  </w:t>
      </w:r>
      <w:r w:rsidR="0079606C">
        <w:t xml:space="preserve">The OITE estimates the number of registrations for the annual events will be </w:t>
      </w:r>
      <w:r w:rsidR="00B45F95">
        <w:t>20</w:t>
      </w:r>
      <w:r w:rsidR="0079606C">
        <w:t>,000.   The estimate</w:t>
      </w:r>
      <w:r w:rsidR="00155B15">
        <w:t xml:space="preserve">d response </w:t>
      </w:r>
      <w:r w:rsidR="0079606C">
        <w:t xml:space="preserve">rate for completion of the feedback form </w:t>
      </w:r>
      <w:r w:rsidR="00155B15">
        <w:t xml:space="preserve">is </w:t>
      </w:r>
      <w:r w:rsidR="0079606C">
        <w:t>25% or less.</w:t>
      </w:r>
    </w:p>
    <w:p w:rsidR="00E26329" w:rsidRDefault="00E26329" w14:paraId="4AD08317" w14:textId="77777777">
      <w:pPr>
        <w:rPr>
          <w:b/>
        </w:rPr>
      </w:pPr>
    </w:p>
    <w:p w:rsidRPr="00F06866" w:rsidR="00F06866" w:rsidRDefault="00F06866" w14:paraId="3C41DC9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5B8E93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1D7EB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1D5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36126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1020E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6EB48CF" w14:textId="77777777">
      <w:pPr>
        <w:pStyle w:val="Header"/>
        <w:tabs>
          <w:tab w:val="clear" w:pos="4320"/>
          <w:tab w:val="clear" w:pos="8640"/>
        </w:tabs>
      </w:pPr>
    </w:p>
    <w:p w:rsidR="00CA2650" w:rsidRDefault="0079606C" w14:paraId="7B5506CF" w14:textId="77777777">
      <w:pPr>
        <w:rPr>
          <w:b/>
        </w:rPr>
      </w:pPr>
      <w:r>
        <w:rPr>
          <w:b/>
        </w:rPr>
        <w:br w:type="column"/>
      </w:r>
      <w:r w:rsidR="00441434"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07F33CB2" w14:textId="77777777">
      <w:pPr>
        <w:rPr>
          <w:sz w:val="16"/>
          <w:szCs w:val="16"/>
        </w:rPr>
      </w:pPr>
    </w:p>
    <w:p w:rsidRPr="009C13B9" w:rsidR="008101A5" w:rsidP="008101A5" w:rsidRDefault="008101A5" w14:paraId="196C3822" w14:textId="77777777">
      <w:r>
        <w:t xml:space="preserve">I certify the following to be true: </w:t>
      </w:r>
    </w:p>
    <w:p w:rsidR="008101A5" w:rsidP="008101A5" w:rsidRDefault="008101A5" w14:paraId="67B21E0E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737F7A5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92458BE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26D6F22" w14:textId="77777777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4D1370" w14:textId="77777777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6EF905A" w14:textId="77777777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F817CF2" w14:textId="77777777"/>
    <w:p w:rsidRPr="005D2C84" w:rsidR="009C13B9" w:rsidP="009C13B9" w:rsidRDefault="009C13B9" w14:paraId="25A34F38" w14:textId="77777777">
      <w:r>
        <w:t>Name:</w:t>
      </w:r>
      <w:r w:rsidR="005D2C84">
        <w:t xml:space="preserve">  Patricia Wagner, PhD (wagnerpa@od.nih.gov; 240-476</w:t>
      </w:r>
      <w:r w:rsidRPr="005D2C84" w:rsidR="005D2C84">
        <w:t>-3619</w:t>
      </w:r>
      <w:r w:rsidR="00785C60">
        <w:t>)</w:t>
      </w:r>
      <w:r w:rsidR="005D2C84">
        <w:t>.</w:t>
      </w:r>
    </w:p>
    <w:p w:rsidR="009C13B9" w:rsidP="009C13B9" w:rsidRDefault="009C13B9" w14:paraId="0522E233" w14:textId="77777777">
      <w:pPr>
        <w:pStyle w:val="ColorfulList-Accent1"/>
        <w:ind w:left="360"/>
      </w:pPr>
    </w:p>
    <w:p w:rsidR="009C13B9" w:rsidP="009C13B9" w:rsidRDefault="009C13B9" w14:paraId="264C839D" w14:textId="77777777">
      <w:r>
        <w:t>To assist review, please provide answers to the following question:</w:t>
      </w:r>
    </w:p>
    <w:p w:rsidR="009C13B9" w:rsidP="009C13B9" w:rsidRDefault="009C13B9" w14:paraId="6061E3A4" w14:textId="77777777">
      <w:pPr>
        <w:pStyle w:val="ColorfulList-Accent1"/>
        <w:ind w:left="360"/>
      </w:pPr>
    </w:p>
    <w:p w:rsidRPr="00C86E91" w:rsidR="009C13B9" w:rsidP="00C86E91" w:rsidRDefault="00C86E91" w14:paraId="266700F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89CDD45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81D57">
        <w:t>X</w:t>
      </w:r>
      <w:r w:rsidR="009239AA">
        <w:t xml:space="preserve">]  No </w:t>
      </w:r>
    </w:p>
    <w:p w:rsidR="00C86E91" w:rsidP="00C86E91" w:rsidRDefault="009C13B9" w14:paraId="14E17C3B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967A6F2" w14:textId="77777777">
      <w:pPr>
        <w:pStyle w:val="ColorfulList-Accent1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087C5EA5" w14:textId="77777777">
      <w:pPr>
        <w:pStyle w:val="ColorfulList-Accent1"/>
        <w:ind w:left="360"/>
      </w:pPr>
    </w:p>
    <w:p w:rsidRPr="00C86E91" w:rsidR="00C86E91" w:rsidP="00C86E91" w:rsidRDefault="00CB1078" w14:paraId="2647936B" w14:textId="77777777">
      <w:pPr>
        <w:pStyle w:val="ColorfulList-Accent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2EF418C" w14:textId="77777777">
      <w:r>
        <w:t>Is an incentive (e.g., money or reimbursement of expenses, token of appreciation) provid</w:t>
      </w:r>
      <w:r w:rsidR="00781D57">
        <w:t xml:space="preserve">ed to participants?  </w:t>
      </w:r>
      <w:proofErr w:type="gramStart"/>
      <w:r w:rsidR="00781D57">
        <w:t>[  ]</w:t>
      </w:r>
      <w:proofErr w:type="gramEnd"/>
      <w:r w:rsidR="00781D57">
        <w:t xml:space="preserve"> Yes [X</w:t>
      </w:r>
      <w:r>
        <w:t xml:space="preserve">] No  </w:t>
      </w:r>
    </w:p>
    <w:p w:rsidR="004D6E14" w:rsidRDefault="004D6E14" w14:paraId="4FB24AE3" w14:textId="77777777">
      <w:pPr>
        <w:rPr>
          <w:b/>
        </w:rPr>
      </w:pPr>
    </w:p>
    <w:p w:rsidR="00F24CFC" w:rsidRDefault="00F24CFC" w14:paraId="05EFB4B2" w14:textId="77777777">
      <w:pPr>
        <w:rPr>
          <w:b/>
        </w:rPr>
      </w:pPr>
    </w:p>
    <w:p w:rsidRPr="00BC676D" w:rsidR="005E714A" w:rsidP="00C86E91" w:rsidRDefault="003668D6" w14:paraId="57F3B60D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B9C0310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1570"/>
        <w:gridCol w:w="1555"/>
        <w:gridCol w:w="1287"/>
        <w:gridCol w:w="1009"/>
      </w:tblGrid>
      <w:tr w:rsidR="00130AAE" w:rsidTr="0079606C" w14:paraId="02DDCF5C" w14:textId="77777777">
        <w:trPr>
          <w:trHeight w:val="274"/>
        </w:trPr>
        <w:tc>
          <w:tcPr>
            <w:tcW w:w="2169" w:type="pct"/>
            <w:vAlign w:val="bottom"/>
          </w:tcPr>
          <w:p w:rsidRPr="002D26E2" w:rsidR="003668D6" w:rsidP="00130AAE" w:rsidRDefault="003668D6" w14:paraId="6B2E5DB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820" w:type="pct"/>
            <w:vAlign w:val="bottom"/>
          </w:tcPr>
          <w:p w:rsidRPr="002D26E2" w:rsidR="003668D6" w:rsidP="00130AAE" w:rsidRDefault="003668D6" w14:paraId="6CCD4A2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812" w:type="pct"/>
            <w:vAlign w:val="bottom"/>
          </w:tcPr>
          <w:p w:rsidRPr="002D26E2" w:rsidR="003668D6" w:rsidP="00130AAE" w:rsidRDefault="003668D6" w14:paraId="1AA3C2B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672" w:type="pct"/>
            <w:vAlign w:val="bottom"/>
          </w:tcPr>
          <w:p w:rsidR="003668D6" w:rsidP="00130AAE" w:rsidRDefault="003668D6" w14:paraId="1771D80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130AAE" w:rsidRDefault="003668D6" w14:paraId="0578329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130AAE" w:rsidRDefault="003668D6" w14:paraId="6F39CCB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527" w:type="pct"/>
            <w:vAlign w:val="bottom"/>
          </w:tcPr>
          <w:p w:rsidR="003668D6" w:rsidP="00130AAE" w:rsidRDefault="003668D6" w14:paraId="176F0D4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130AAE" w:rsidRDefault="003668D6" w14:paraId="1A5D284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Pr="00B45F95" w:rsidR="0079606C" w:rsidTr="0079606C" w14:paraId="333423B6" w14:textId="77777777">
        <w:trPr>
          <w:trHeight w:val="260"/>
        </w:trPr>
        <w:tc>
          <w:tcPr>
            <w:tcW w:w="2169" w:type="pct"/>
            <w:vAlign w:val="bottom"/>
          </w:tcPr>
          <w:p w:rsidRPr="00B45F95" w:rsidR="0079606C" w:rsidP="00D90467" w:rsidRDefault="0079606C" w14:paraId="1268A111" w14:textId="77777777">
            <w:r w:rsidRPr="00B45F95">
              <w:t>Individuals</w:t>
            </w:r>
          </w:p>
        </w:tc>
        <w:tc>
          <w:tcPr>
            <w:tcW w:w="820" w:type="pct"/>
            <w:vAlign w:val="bottom"/>
          </w:tcPr>
          <w:p w:rsidRPr="00B45F95" w:rsidR="0079606C" w:rsidP="00D90467" w:rsidRDefault="00B45F95" w14:paraId="52F7B5D6" w14:textId="77777777">
            <w:pPr>
              <w:jc w:val="right"/>
            </w:pPr>
            <w:r>
              <w:t>5,00</w:t>
            </w:r>
            <w:r w:rsidRPr="00B45F95">
              <w:t>0</w:t>
            </w:r>
          </w:p>
        </w:tc>
        <w:tc>
          <w:tcPr>
            <w:tcW w:w="812" w:type="pct"/>
            <w:vAlign w:val="bottom"/>
          </w:tcPr>
          <w:p w:rsidRPr="00B45F95" w:rsidR="0079606C" w:rsidP="00D90467" w:rsidRDefault="0079606C" w14:paraId="0407A71E" w14:textId="77777777">
            <w:pPr>
              <w:jc w:val="right"/>
            </w:pPr>
            <w:r w:rsidRPr="00B45F95">
              <w:t>1</w:t>
            </w:r>
          </w:p>
        </w:tc>
        <w:tc>
          <w:tcPr>
            <w:tcW w:w="672" w:type="pct"/>
            <w:vAlign w:val="bottom"/>
          </w:tcPr>
          <w:p w:rsidRPr="00B45F95" w:rsidR="0079606C" w:rsidP="00D90467" w:rsidRDefault="002A3AE1" w14:paraId="34A2CB3E" w14:textId="77777777">
            <w:pPr>
              <w:jc w:val="right"/>
            </w:pPr>
            <w:r>
              <w:t>7</w:t>
            </w:r>
            <w:r w:rsidRPr="00B45F95" w:rsidR="0079606C">
              <w:t xml:space="preserve"> / 60</w:t>
            </w:r>
          </w:p>
        </w:tc>
        <w:tc>
          <w:tcPr>
            <w:tcW w:w="527" w:type="pct"/>
            <w:vAlign w:val="bottom"/>
          </w:tcPr>
          <w:p w:rsidRPr="00B45F95" w:rsidR="0079606C" w:rsidP="00D90467" w:rsidRDefault="002A3AE1" w14:paraId="645BDCD8" w14:textId="77777777">
            <w:pPr>
              <w:jc w:val="right"/>
            </w:pPr>
            <w:r>
              <w:t>583</w:t>
            </w:r>
          </w:p>
        </w:tc>
      </w:tr>
      <w:tr w:rsidRPr="00B45F95" w:rsidR="00130AAE" w:rsidTr="0079606C" w14:paraId="051C12EE" w14:textId="77777777">
        <w:trPr>
          <w:trHeight w:val="289"/>
        </w:trPr>
        <w:tc>
          <w:tcPr>
            <w:tcW w:w="2169" w:type="pct"/>
            <w:vAlign w:val="bottom"/>
          </w:tcPr>
          <w:p w:rsidRPr="00B45F95" w:rsidR="003668D6" w:rsidP="00130AAE" w:rsidRDefault="003668D6" w14:paraId="724ABD67" w14:textId="77777777">
            <w:pPr>
              <w:rPr>
                <w:b/>
              </w:rPr>
            </w:pPr>
            <w:r w:rsidRPr="00B45F95">
              <w:rPr>
                <w:b/>
              </w:rPr>
              <w:t>Totals</w:t>
            </w:r>
          </w:p>
        </w:tc>
        <w:tc>
          <w:tcPr>
            <w:tcW w:w="820" w:type="pct"/>
            <w:vAlign w:val="bottom"/>
          </w:tcPr>
          <w:p w:rsidRPr="00B45F95" w:rsidR="003668D6" w:rsidP="00B43569" w:rsidRDefault="00B45F95" w14:paraId="385112C7" w14:textId="77777777">
            <w:pPr>
              <w:jc w:val="right"/>
              <w:rPr>
                <w:b/>
              </w:rPr>
            </w:pPr>
            <w:r>
              <w:rPr>
                <w:b/>
              </w:rPr>
              <w:t>5,00</w:t>
            </w:r>
            <w:r w:rsidRPr="00B45F95">
              <w:rPr>
                <w:b/>
              </w:rPr>
              <w:t>0</w:t>
            </w:r>
          </w:p>
        </w:tc>
        <w:tc>
          <w:tcPr>
            <w:tcW w:w="812" w:type="pct"/>
            <w:vAlign w:val="bottom"/>
          </w:tcPr>
          <w:p w:rsidRPr="00B45F95" w:rsidR="003668D6" w:rsidP="00B43569" w:rsidRDefault="00273BFC" w14:paraId="194A2799" w14:textId="77777777">
            <w:pPr>
              <w:jc w:val="right"/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672" w:type="pct"/>
            <w:vAlign w:val="bottom"/>
          </w:tcPr>
          <w:p w:rsidRPr="00B45F95" w:rsidR="003668D6" w:rsidP="00B43569" w:rsidRDefault="003668D6" w14:paraId="4CDDE11D" w14:textId="77777777">
            <w:pPr>
              <w:jc w:val="right"/>
              <w:rPr>
                <w:b/>
              </w:rPr>
            </w:pPr>
          </w:p>
        </w:tc>
        <w:tc>
          <w:tcPr>
            <w:tcW w:w="527" w:type="pct"/>
            <w:vAlign w:val="bottom"/>
          </w:tcPr>
          <w:p w:rsidRPr="00B45F95" w:rsidR="003668D6" w:rsidP="00B43569" w:rsidRDefault="002A3AE1" w14:paraId="7711E8C7" w14:textId="77777777">
            <w:pPr>
              <w:jc w:val="right"/>
              <w:rPr>
                <w:b/>
              </w:rPr>
            </w:pPr>
            <w:r>
              <w:rPr>
                <w:b/>
              </w:rPr>
              <w:t>583</w:t>
            </w:r>
          </w:p>
        </w:tc>
      </w:tr>
    </w:tbl>
    <w:p w:rsidRPr="00273BFC" w:rsidR="00F3170F" w:rsidP="00F3170F" w:rsidRDefault="00F3170F" w14:paraId="210EF906" w14:textId="77777777"/>
    <w:p w:rsidRPr="00273BFC" w:rsidR="009A036B" w:rsidP="009A036B" w:rsidRDefault="00273BFC" w14:paraId="5674165F" w14:textId="77777777">
      <w:pPr>
        <w:rPr>
          <w:b/>
        </w:rPr>
      </w:pPr>
      <w:r w:rsidRPr="00273BFC">
        <w:rPr>
          <w:b/>
        </w:rPr>
        <w:t>COST TO RESPONDENT</w:t>
      </w:r>
    </w:p>
    <w:p w:rsidRPr="008A78C8" w:rsidR="00273BFC" w:rsidP="009A036B" w:rsidRDefault="00273BFC" w14:paraId="3E8B2762" w14:textId="77777777">
      <w:pPr>
        <w:rPr>
          <w:b/>
          <w:highlight w:val="yellow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71"/>
        <w:gridCol w:w="1603"/>
        <w:gridCol w:w="950"/>
        <w:gridCol w:w="2252"/>
      </w:tblGrid>
      <w:tr w:rsidRPr="00B45F95" w:rsidR="001C5465" w:rsidTr="00273BFC" w14:paraId="22DF663C" w14:textId="77777777">
        <w:trPr>
          <w:trHeight w:val="274"/>
        </w:trPr>
        <w:tc>
          <w:tcPr>
            <w:tcW w:w="2500" w:type="pct"/>
            <w:vAlign w:val="bottom"/>
          </w:tcPr>
          <w:p w:rsidRPr="00B45F95" w:rsidR="00CA2010" w:rsidP="00130AAE" w:rsidRDefault="00CA2010" w14:paraId="7B72B184" w14:textId="77777777">
            <w:pPr>
              <w:rPr>
                <w:b/>
              </w:rPr>
            </w:pPr>
            <w:r w:rsidRPr="00B45F95">
              <w:rPr>
                <w:b/>
              </w:rPr>
              <w:t xml:space="preserve"> Category of Respondent</w:t>
            </w:r>
          </w:p>
        </w:tc>
        <w:tc>
          <w:tcPr>
            <w:tcW w:w="846" w:type="pct"/>
            <w:vAlign w:val="bottom"/>
          </w:tcPr>
          <w:p w:rsidRPr="00B45F95" w:rsidR="00CA2010" w:rsidP="00B43569" w:rsidRDefault="00CA2010" w14:paraId="7A1109C3" w14:textId="77777777">
            <w:pPr>
              <w:rPr>
                <w:b/>
              </w:rPr>
            </w:pPr>
            <w:r w:rsidRPr="00B45F95">
              <w:rPr>
                <w:b/>
              </w:rPr>
              <w:t>Total Burden</w:t>
            </w:r>
          </w:p>
          <w:p w:rsidRPr="00B45F95" w:rsidR="00CA2010" w:rsidP="00B43569" w:rsidRDefault="00CA2010" w14:paraId="7AB084EF" w14:textId="77777777">
            <w:pPr>
              <w:rPr>
                <w:b/>
              </w:rPr>
            </w:pPr>
            <w:r w:rsidRPr="00B45F95">
              <w:rPr>
                <w:b/>
              </w:rPr>
              <w:t>Hours</w:t>
            </w:r>
          </w:p>
        </w:tc>
        <w:tc>
          <w:tcPr>
            <w:tcW w:w="470" w:type="pct"/>
            <w:vAlign w:val="bottom"/>
          </w:tcPr>
          <w:p w:rsidRPr="00B45F95" w:rsidR="00CA2010" w:rsidP="00B43569" w:rsidRDefault="00F94D8C" w14:paraId="60E8B1D8" w14:textId="77777777">
            <w:pPr>
              <w:rPr>
                <w:b/>
              </w:rPr>
            </w:pPr>
            <w:r w:rsidRPr="00B45F95">
              <w:rPr>
                <w:b/>
              </w:rPr>
              <w:t xml:space="preserve">Hourly </w:t>
            </w:r>
            <w:r w:rsidRPr="00B45F95" w:rsidR="00CA2010">
              <w:rPr>
                <w:b/>
              </w:rPr>
              <w:t>Wage Rate*</w:t>
            </w:r>
          </w:p>
        </w:tc>
        <w:tc>
          <w:tcPr>
            <w:tcW w:w="1184" w:type="pct"/>
            <w:vAlign w:val="bottom"/>
          </w:tcPr>
          <w:p w:rsidRPr="00B45F95" w:rsidR="00CA2010" w:rsidP="00B43569" w:rsidRDefault="00CA2010" w14:paraId="59FB9065" w14:textId="77777777">
            <w:pPr>
              <w:rPr>
                <w:b/>
              </w:rPr>
            </w:pPr>
            <w:r w:rsidRPr="00B45F95">
              <w:rPr>
                <w:b/>
              </w:rPr>
              <w:t xml:space="preserve">Total Burden Cost </w:t>
            </w:r>
          </w:p>
        </w:tc>
      </w:tr>
      <w:tr w:rsidRPr="00B116A3" w:rsidR="001C5465" w:rsidTr="00273BFC" w14:paraId="2FBD53D2" w14:textId="77777777">
        <w:trPr>
          <w:trHeight w:val="260"/>
        </w:trPr>
        <w:tc>
          <w:tcPr>
            <w:tcW w:w="2500" w:type="pct"/>
            <w:vAlign w:val="bottom"/>
          </w:tcPr>
          <w:p w:rsidRPr="00B116A3" w:rsidR="00CA2010" w:rsidP="009D214A" w:rsidRDefault="003404B0" w14:paraId="6F61C2B7" w14:textId="77777777">
            <w:r w:rsidRPr="00B116A3">
              <w:t>Individual</w:t>
            </w:r>
            <w:r w:rsidRPr="00B116A3" w:rsidR="00B45F95">
              <w:t>s</w:t>
            </w:r>
          </w:p>
        </w:tc>
        <w:tc>
          <w:tcPr>
            <w:tcW w:w="846" w:type="pct"/>
            <w:vAlign w:val="bottom"/>
          </w:tcPr>
          <w:p w:rsidRPr="00B116A3" w:rsidR="00CA2010" w:rsidP="00B43569" w:rsidRDefault="002A3AE1" w14:paraId="1477EC28" w14:textId="77777777">
            <w:pPr>
              <w:jc w:val="right"/>
            </w:pPr>
            <w:r>
              <w:t>583</w:t>
            </w:r>
          </w:p>
        </w:tc>
        <w:tc>
          <w:tcPr>
            <w:tcW w:w="470" w:type="pct"/>
            <w:vAlign w:val="bottom"/>
          </w:tcPr>
          <w:p w:rsidRPr="00B116A3" w:rsidR="00CA2010" w:rsidP="00177F03" w:rsidRDefault="00B43569" w14:paraId="57AB6FCE" w14:textId="77777777">
            <w:pPr>
              <w:jc w:val="right"/>
            </w:pPr>
            <w:r w:rsidRPr="00B116A3">
              <w:t>$</w:t>
            </w:r>
            <w:r w:rsidRPr="00B116A3" w:rsidR="00177F03">
              <w:t>2</w:t>
            </w:r>
            <w:r w:rsidRPr="00B116A3" w:rsidR="00B116A3">
              <w:t>6.60</w:t>
            </w:r>
          </w:p>
        </w:tc>
        <w:tc>
          <w:tcPr>
            <w:tcW w:w="1184" w:type="pct"/>
            <w:vAlign w:val="bottom"/>
          </w:tcPr>
          <w:p w:rsidRPr="00B116A3" w:rsidR="00CA2010" w:rsidP="00B43569" w:rsidRDefault="002C74C9" w14:paraId="66ED114B" w14:textId="77777777">
            <w:pPr>
              <w:jc w:val="right"/>
            </w:pPr>
            <w:r w:rsidRPr="00B116A3">
              <w:t>$</w:t>
            </w:r>
            <w:r w:rsidR="002A3AE1">
              <w:t>15,508</w:t>
            </w:r>
            <w:r w:rsidRPr="00B116A3" w:rsidR="00177F03">
              <w:t>.00</w:t>
            </w:r>
          </w:p>
        </w:tc>
      </w:tr>
      <w:tr w:rsidRPr="0077042C" w:rsidR="001C5465" w:rsidTr="00273BFC" w14:paraId="4E6B07CC" w14:textId="77777777">
        <w:trPr>
          <w:trHeight w:val="289"/>
        </w:trPr>
        <w:tc>
          <w:tcPr>
            <w:tcW w:w="2500" w:type="pct"/>
            <w:vAlign w:val="bottom"/>
          </w:tcPr>
          <w:p w:rsidRPr="00B116A3" w:rsidR="00CA2010" w:rsidP="00130AAE" w:rsidRDefault="00CA2010" w14:paraId="0D457682" w14:textId="77777777">
            <w:pPr>
              <w:rPr>
                <w:b/>
              </w:rPr>
            </w:pPr>
            <w:r w:rsidRPr="00B116A3">
              <w:rPr>
                <w:b/>
              </w:rPr>
              <w:t>Totals</w:t>
            </w:r>
          </w:p>
        </w:tc>
        <w:tc>
          <w:tcPr>
            <w:tcW w:w="846" w:type="pct"/>
            <w:vAlign w:val="bottom"/>
          </w:tcPr>
          <w:p w:rsidRPr="00B116A3" w:rsidR="00CA2010" w:rsidP="00B43569" w:rsidRDefault="00CA2010" w14:paraId="3CE01D30" w14:textId="77777777">
            <w:pPr>
              <w:jc w:val="right"/>
              <w:rPr>
                <w:b/>
              </w:rPr>
            </w:pPr>
          </w:p>
        </w:tc>
        <w:tc>
          <w:tcPr>
            <w:tcW w:w="470" w:type="pct"/>
            <w:vAlign w:val="bottom"/>
          </w:tcPr>
          <w:p w:rsidRPr="00B116A3" w:rsidR="00CA2010" w:rsidP="00B43569" w:rsidRDefault="00CA2010" w14:paraId="7CCC8A9B" w14:textId="77777777">
            <w:pPr>
              <w:jc w:val="right"/>
              <w:rPr>
                <w:b/>
              </w:rPr>
            </w:pPr>
          </w:p>
        </w:tc>
        <w:tc>
          <w:tcPr>
            <w:tcW w:w="1184" w:type="pct"/>
            <w:vAlign w:val="bottom"/>
          </w:tcPr>
          <w:p w:rsidRPr="0077042C" w:rsidR="00CA2010" w:rsidP="00B43569" w:rsidRDefault="002C74C9" w14:paraId="4DEE6A26" w14:textId="77777777">
            <w:pPr>
              <w:jc w:val="right"/>
              <w:rPr>
                <w:b/>
              </w:rPr>
            </w:pPr>
            <w:r w:rsidRPr="00B116A3">
              <w:rPr>
                <w:b/>
              </w:rPr>
              <w:t>$</w:t>
            </w:r>
            <w:r w:rsidR="002A3AE1">
              <w:rPr>
                <w:b/>
              </w:rPr>
              <w:t>15,508</w:t>
            </w:r>
            <w:r w:rsidRPr="00B116A3" w:rsidR="00177F03">
              <w:rPr>
                <w:b/>
              </w:rPr>
              <w:t>.00</w:t>
            </w:r>
          </w:p>
        </w:tc>
      </w:tr>
    </w:tbl>
    <w:p w:rsidRPr="00EC4369" w:rsidR="00EC4369" w:rsidP="00EC4369" w:rsidRDefault="00EC4369" w14:paraId="7B170EB3" w14:textId="77777777">
      <w:pPr>
        <w:rPr>
          <w:color w:val="000000"/>
          <w:sz w:val="20"/>
          <w:szCs w:val="20"/>
        </w:rPr>
      </w:pPr>
      <w:r w:rsidRPr="00EC4369">
        <w:rPr>
          <w:sz w:val="20"/>
          <w:szCs w:val="20"/>
        </w:rPr>
        <w:t xml:space="preserve">The Hourly Wage Rate was estimated based on the NIH Trainee Stipend Tables and distribution of the trainee type participating in the OITE events.  Details about the NIH Trainee Stipend </w:t>
      </w:r>
      <w:r w:rsidRPr="00EC4369">
        <w:rPr>
          <w:color w:val="000000"/>
          <w:sz w:val="20"/>
          <w:szCs w:val="20"/>
        </w:rPr>
        <w:t>tables may be found at: https://oma1.od.nih.gov/manualchapters/perso</w:t>
      </w:r>
      <w:r w:rsidRPr="00EC4369">
        <w:rPr>
          <w:color w:val="000000"/>
          <w:sz w:val="20"/>
          <w:szCs w:val="20"/>
        </w:rPr>
        <w:t>n</w:t>
      </w:r>
      <w:r w:rsidRPr="00EC4369">
        <w:rPr>
          <w:color w:val="000000"/>
          <w:sz w:val="20"/>
          <w:szCs w:val="20"/>
        </w:rPr>
        <w:t xml:space="preserve">/2300-320-7/. </w:t>
      </w:r>
    </w:p>
    <w:p w:rsidR="00130AAE" w:rsidP="009A036B" w:rsidRDefault="00130AAE" w14:paraId="3E9BD0F4" w14:textId="77777777"/>
    <w:p w:rsidR="002432EF" w:rsidP="009A036B" w:rsidRDefault="002432EF" w14:paraId="7AABF814" w14:textId="77777777"/>
    <w:p w:rsidR="00273BFC" w:rsidP="00273BFC" w:rsidRDefault="00273BFC" w14:paraId="3259167F" w14:textId="77777777">
      <w:r w:rsidRPr="007143A5">
        <w:rPr>
          <w:b/>
        </w:rPr>
        <w:lastRenderedPageBreak/>
        <w:t xml:space="preserve">FEDERAL COST:  </w:t>
      </w:r>
      <w:r w:rsidRPr="007143A5">
        <w:t xml:space="preserve">The estimated annual cost to the Federal government is </w:t>
      </w:r>
      <w:r w:rsidRPr="007143A5">
        <w:rPr>
          <w:u w:val="single"/>
        </w:rPr>
        <w:t>$2,1</w:t>
      </w:r>
      <w:r>
        <w:rPr>
          <w:u w:val="single"/>
        </w:rPr>
        <w:t>1</w:t>
      </w:r>
      <w:r w:rsidRPr="007143A5">
        <w:rPr>
          <w:u w:val="single"/>
        </w:rPr>
        <w:t>0.00.</w:t>
      </w:r>
      <w:r w:rsidRPr="002E20B8">
        <w:t xml:space="preserve"> </w:t>
      </w:r>
    </w:p>
    <w:p w:rsidRPr="009A036B" w:rsidR="00273BFC" w:rsidP="00273BFC" w:rsidRDefault="00273BFC" w14:paraId="1EC0CA19" w14:textId="77777777">
      <w:r>
        <w:rPr>
          <w:b/>
        </w:rPr>
        <w:t xml:space="preserve">                         </w:t>
      </w:r>
    </w:p>
    <w:p w:rsidR="00273BFC" w:rsidP="00273BFC" w:rsidRDefault="00273BFC" w14:paraId="6515F141" w14:textId="77777777">
      <w:pPr>
        <w:rPr>
          <w:b/>
          <w:bCs/>
          <w:u w:val="singl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  <w:gridCol w:w="1531"/>
        <w:gridCol w:w="1534"/>
        <w:gridCol w:w="990"/>
        <w:gridCol w:w="1442"/>
        <w:gridCol w:w="1368"/>
      </w:tblGrid>
      <w:tr w:rsidRPr="007E76BA" w:rsidR="00BD61E4" w:rsidTr="00047E0B" w14:paraId="5C4673AF" w14:textId="77777777">
        <w:tc>
          <w:tcPr>
            <w:tcW w:w="1421" w:type="pct"/>
            <w:shd w:val="clear" w:color="auto" w:fill="auto"/>
            <w:vAlign w:val="bottom"/>
          </w:tcPr>
          <w:p w:rsidRPr="007E76BA" w:rsidR="00406E06" w:rsidP="008610A9" w:rsidRDefault="00406E06" w14:paraId="15D53218" w14:textId="77777777">
            <w:pPr>
              <w:rPr>
                <w:b/>
              </w:rPr>
            </w:pPr>
            <w:r w:rsidRPr="007E76BA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406E06" w:rsidP="008610A9" w:rsidRDefault="00406E06" w14:paraId="2EEF7047" w14:textId="77777777">
            <w:pPr>
              <w:rPr>
                <w:b/>
              </w:rPr>
            </w:pPr>
            <w:r w:rsidRPr="007E76BA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406E06" w:rsidP="008610A9" w:rsidRDefault="00406E06" w14:paraId="32B3180E" w14:textId="77777777">
            <w:pPr>
              <w:rPr>
                <w:b/>
              </w:rPr>
            </w:pPr>
            <w:r w:rsidRPr="007E76BA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406E06" w:rsidP="008610A9" w:rsidRDefault="00406E06" w14:paraId="1BAE96C6" w14:textId="77777777">
            <w:pPr>
              <w:rPr>
                <w:b/>
              </w:rPr>
            </w:pPr>
            <w:r w:rsidRPr="007E76BA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406E06" w:rsidP="008610A9" w:rsidRDefault="00406E06" w14:paraId="13DADA90" w14:textId="77777777">
            <w:pPr>
              <w:rPr>
                <w:b/>
              </w:rPr>
            </w:pPr>
            <w:r w:rsidRPr="007E76BA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7E76BA" w:rsidR="00406E06" w:rsidP="008610A9" w:rsidRDefault="00406E06" w14:paraId="4DFF755E" w14:textId="77777777">
            <w:pPr>
              <w:rPr>
                <w:b/>
              </w:rPr>
            </w:pPr>
            <w:r w:rsidRPr="007E76BA">
              <w:rPr>
                <w:b/>
              </w:rPr>
              <w:t>Total Cost to Gov’t</w:t>
            </w:r>
          </w:p>
        </w:tc>
      </w:tr>
      <w:tr w:rsidRPr="007E76BA" w:rsidR="00BD61E4" w:rsidTr="00047E0B" w14:paraId="3A49D664" w14:textId="77777777">
        <w:tc>
          <w:tcPr>
            <w:tcW w:w="1421" w:type="pct"/>
            <w:shd w:val="clear" w:color="auto" w:fill="auto"/>
            <w:vAlign w:val="bottom"/>
          </w:tcPr>
          <w:p w:rsidRPr="007E76BA" w:rsidR="00406E06" w:rsidP="00406E06" w:rsidRDefault="00406E06" w14:paraId="15D0E6EE" w14:textId="77777777">
            <w:pPr>
              <w:rPr>
                <w:b/>
              </w:rPr>
            </w:pPr>
            <w:r w:rsidRPr="007E76BA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406E06" w:rsidP="006602D9" w:rsidRDefault="00406E06" w14:paraId="0A37F096" w14:textId="77777777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406E06" w:rsidP="006602D9" w:rsidRDefault="00406E06" w14:paraId="1F155FD8" w14:textId="77777777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406E06" w:rsidP="006602D9" w:rsidRDefault="00406E06" w14:paraId="120AA189" w14:textId="77777777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406E06" w:rsidP="006602D9" w:rsidRDefault="00406E06" w14:paraId="3CE3C3DC" w14:textId="77777777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7E76BA" w:rsidR="00406E06" w:rsidP="006602D9" w:rsidRDefault="00406E06" w14:paraId="08DDA684" w14:textId="77777777">
            <w:pPr>
              <w:jc w:val="right"/>
              <w:rPr>
                <w:b/>
              </w:rPr>
            </w:pPr>
          </w:p>
        </w:tc>
      </w:tr>
      <w:tr w:rsidRPr="007E76BA" w:rsidR="00047E0B" w:rsidTr="00047E0B" w14:paraId="75BE8120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3DB29C43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Employee-1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08217954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G13-S01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07384DD5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103,690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160E8E57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47776EA8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047E0B" w:rsidRDefault="00047E0B" w14:paraId="4BDCEEB5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259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07534CE2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286C8DA1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Employee-2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67822DA1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G13-S05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081D7905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117,516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6DB86E22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57660CD4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047E0B" w:rsidRDefault="00047E0B" w14:paraId="0107123D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294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0E69A752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21B93FB7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Employee-3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5ACE04A4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G13-S07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2C94EFC4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$1</w:t>
            </w:r>
            <w:r w:rsidRPr="00D501D5" w:rsidR="00D501D5">
              <w:rPr>
                <w:color w:val="000000"/>
              </w:rPr>
              <w:t>24,428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68BF0ED0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04A82EE3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047E0B" w:rsidRDefault="00047E0B" w14:paraId="431B6E77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311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47A7F377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0644B156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Employee-4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1453DABB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G14-S05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6FFAEB08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138,866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08178D77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0A9AD5F1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710E2B81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347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731FCA92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113402F6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Employee-5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13624BF8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Title 42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3D093034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$1</w:t>
            </w:r>
            <w:r w:rsidRPr="00D501D5" w:rsidR="00D501D5">
              <w:rPr>
                <w:color w:val="000000"/>
              </w:rPr>
              <w:t>8</w:t>
            </w:r>
            <w:r w:rsidRPr="00D501D5">
              <w:rPr>
                <w:color w:val="000000"/>
              </w:rPr>
              <w:t>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248AFCD4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031224DD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6A1CEF93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463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63B115E6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P="00D85606" w:rsidRDefault="00047E0B" w14:paraId="25AB30A9" w14:textId="77777777">
            <w:pPr>
              <w:rPr>
                <w:color w:val="000000"/>
              </w:rPr>
            </w:pPr>
            <w:r w:rsidRPr="007E76BA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33769358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66FF698A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6F80B36A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376FD302" w14:textId="77777777">
            <w:pPr>
              <w:jc w:val="right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57FEC3F9" w14:textId="77777777">
            <w:pPr>
              <w:jc w:val="right"/>
              <w:rPr>
                <w:color w:val="000000"/>
              </w:rPr>
            </w:pPr>
          </w:p>
        </w:tc>
      </w:tr>
      <w:tr w:rsidRPr="007E76BA" w:rsidR="00047E0B" w:rsidTr="00047E0B" w14:paraId="1AB27E7F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P="008610A9" w:rsidRDefault="00047E0B" w14:paraId="1BA20EB8" w14:textId="77777777">
            <w:pPr>
              <w:rPr>
                <w:color w:val="000000"/>
              </w:rPr>
            </w:pPr>
            <w:r w:rsidRPr="007E76BA">
              <w:rPr>
                <w:color w:val="000000"/>
              </w:rPr>
              <w:t>Contractor-1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331B6D7B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G12-S01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3E43C9D9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87,198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49A34C38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18AFD7A3" w14:textId="77777777">
            <w:pPr>
              <w:jc w:val="right"/>
              <w:rPr>
                <w:color w:val="000000"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2CF05325" w14:textId="77777777">
            <w:pPr>
              <w:jc w:val="right"/>
              <w:rPr>
                <w:color w:val="000000"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218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4AE4E739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P="00406E06" w:rsidRDefault="00047E0B" w14:paraId="4CAB8FA0" w14:textId="77777777">
            <w:pPr>
              <w:rPr>
                <w:b/>
              </w:rPr>
            </w:pPr>
            <w:r w:rsidRPr="007E76BA">
              <w:rPr>
                <w:color w:val="000000"/>
              </w:rPr>
              <w:t>Contractor-2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D501D5" w:rsidR="00047E0B" w:rsidP="006602D9" w:rsidRDefault="00047E0B" w14:paraId="6CB1BD85" w14:textId="77777777">
            <w:pPr>
              <w:jc w:val="right"/>
              <w:rPr>
                <w:b/>
              </w:rPr>
            </w:pPr>
            <w:r w:rsidRPr="00D501D5">
              <w:rPr>
                <w:color w:val="000000"/>
              </w:rPr>
              <w:t>G12-S01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D501D5" w:rsidR="00047E0B" w:rsidP="006602D9" w:rsidRDefault="00047E0B" w14:paraId="79C093B2" w14:textId="77777777">
            <w:pPr>
              <w:jc w:val="right"/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87,198</w:t>
            </w:r>
            <w:r w:rsidRPr="00D501D5">
              <w:rPr>
                <w:color w:val="000000"/>
              </w:rPr>
              <w:t>.00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6BEF0195" w14:textId="77777777">
            <w:pPr>
              <w:jc w:val="right"/>
              <w:rPr>
                <w:b/>
              </w:rPr>
            </w:pPr>
            <w:r>
              <w:rPr>
                <w:color w:val="000000"/>
              </w:rPr>
              <w:t>0.25%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4B1C9CF3" w14:textId="77777777">
            <w:pPr>
              <w:jc w:val="right"/>
              <w:rPr>
                <w:b/>
              </w:rPr>
            </w:pPr>
            <w:r w:rsidRPr="007E76BA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23BDFECE" w14:textId="77777777">
            <w:pPr>
              <w:jc w:val="right"/>
              <w:rPr>
                <w:b/>
              </w:rPr>
            </w:pPr>
            <w:r w:rsidRPr="00D501D5">
              <w:rPr>
                <w:color w:val="000000"/>
              </w:rPr>
              <w:t>$</w:t>
            </w:r>
            <w:r w:rsidRPr="00D501D5" w:rsidR="00D501D5">
              <w:rPr>
                <w:color w:val="000000"/>
              </w:rPr>
              <w:t>218</w:t>
            </w:r>
            <w:r w:rsidRPr="00D501D5">
              <w:rPr>
                <w:color w:val="000000"/>
              </w:rPr>
              <w:t>.00</w:t>
            </w:r>
          </w:p>
        </w:tc>
      </w:tr>
      <w:tr w:rsidRPr="007E76BA" w:rsidR="00047E0B" w:rsidTr="00047E0B" w14:paraId="6EA607AA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4A874D00" w14:textId="77777777">
            <w:pPr>
              <w:rPr>
                <w:color w:val="000000"/>
              </w:rPr>
            </w:pPr>
            <w:r w:rsidRPr="007E76BA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047E0B" w:rsidP="006602D9" w:rsidRDefault="00047E0B" w14:paraId="43A1C3EE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047E0B" w:rsidP="006602D9" w:rsidRDefault="00047E0B" w14:paraId="2FE64D84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31388271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5FF0F972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3A9E86CC" w14:textId="77777777">
            <w:pPr>
              <w:jc w:val="right"/>
              <w:rPr>
                <w:color w:val="000000"/>
              </w:rPr>
            </w:pPr>
            <w:r w:rsidRPr="00D501D5">
              <w:t>~</w:t>
            </w:r>
          </w:p>
        </w:tc>
      </w:tr>
      <w:tr w:rsidRPr="007E76BA" w:rsidR="00047E0B" w:rsidTr="00047E0B" w14:paraId="208ED749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RDefault="00047E0B" w14:paraId="7280F080" w14:textId="77777777">
            <w:pPr>
              <w:rPr>
                <w:color w:val="000000"/>
              </w:rPr>
            </w:pPr>
            <w:r w:rsidRPr="007E76BA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047E0B" w:rsidP="006602D9" w:rsidRDefault="00047E0B" w14:paraId="5797667E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047E0B" w:rsidP="006602D9" w:rsidRDefault="00047E0B" w14:paraId="6643E3AF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5582B0B3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11C1B419" w14:textId="77777777">
            <w:pPr>
              <w:jc w:val="right"/>
              <w:rPr>
                <w:color w:val="000000"/>
              </w:rPr>
            </w:pPr>
            <w:r w:rsidRPr="007E76BA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6602D9" w:rsidRDefault="00047E0B" w14:paraId="4F26DA3B" w14:textId="77777777">
            <w:pPr>
              <w:jc w:val="right"/>
              <w:rPr>
                <w:color w:val="000000"/>
              </w:rPr>
            </w:pPr>
            <w:r w:rsidRPr="00D501D5">
              <w:t>~</w:t>
            </w:r>
          </w:p>
        </w:tc>
      </w:tr>
      <w:tr w:rsidRPr="007E76BA" w:rsidR="00047E0B" w:rsidTr="00047E0B" w14:paraId="0CFF5888" w14:textId="77777777">
        <w:tc>
          <w:tcPr>
            <w:tcW w:w="1421" w:type="pct"/>
            <w:shd w:val="clear" w:color="auto" w:fill="auto"/>
            <w:vAlign w:val="bottom"/>
          </w:tcPr>
          <w:p w:rsidRPr="007E76BA" w:rsidR="00047E0B" w:rsidP="00406E06" w:rsidRDefault="00047E0B" w14:paraId="22E5DACC" w14:textId="77777777">
            <w:r w:rsidRPr="007E76BA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:rsidRPr="007E76BA" w:rsidR="00047E0B" w:rsidP="006602D9" w:rsidRDefault="00047E0B" w14:paraId="67077E54" w14:textId="77777777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:rsidRPr="007E76BA" w:rsidR="00047E0B" w:rsidP="006602D9" w:rsidRDefault="00047E0B" w14:paraId="25863B87" w14:textId="77777777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:rsidRPr="007E76BA" w:rsidR="00047E0B" w:rsidP="006602D9" w:rsidRDefault="00047E0B" w14:paraId="29A669CF" w14:textId="77777777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:rsidRPr="007E76BA" w:rsidR="00047E0B" w:rsidP="006602D9" w:rsidRDefault="00047E0B" w14:paraId="7035F3C7" w14:textId="77777777">
            <w:pPr>
              <w:jc w:val="right"/>
            </w:pPr>
            <w:r w:rsidRPr="007E76BA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:rsidRPr="00D501D5" w:rsidR="00047E0B" w:rsidP="00047E0B" w:rsidRDefault="00047E0B" w14:paraId="60D6015E" w14:textId="77777777">
            <w:pPr>
              <w:jc w:val="right"/>
            </w:pPr>
            <w:r w:rsidRPr="00D501D5">
              <w:rPr>
                <w:b/>
              </w:rPr>
              <w:t>$</w:t>
            </w:r>
            <w:r w:rsidRPr="00D501D5" w:rsidR="00D501D5">
              <w:rPr>
                <w:b/>
              </w:rPr>
              <w:t>2,110</w:t>
            </w:r>
            <w:r w:rsidRPr="00D501D5">
              <w:rPr>
                <w:b/>
              </w:rPr>
              <w:t>.00</w:t>
            </w:r>
          </w:p>
        </w:tc>
      </w:tr>
    </w:tbl>
    <w:p w:rsidRPr="00EC4369" w:rsidR="00E75934" w:rsidP="00E75934" w:rsidRDefault="00E75934" w14:paraId="3AF403AB" w14:textId="77777777">
      <w:pPr>
        <w:rPr>
          <w:sz w:val="20"/>
          <w:szCs w:val="20"/>
        </w:rPr>
      </w:pPr>
      <w:r w:rsidRPr="00EC4369">
        <w:rPr>
          <w:sz w:val="20"/>
          <w:szCs w:val="20"/>
        </w:rPr>
        <w:t xml:space="preserve">The NIH Federal Employee and Contractor Salaries were estimated based on the locality pay for the DC-MD-VA-WV-PA salary table: </w:t>
      </w:r>
      <w:hyperlink w:history="1" r:id="rId8">
        <w:r w:rsidRPr="00EC4369">
          <w:rPr>
            <w:rStyle w:val="Hyperlink"/>
            <w:sz w:val="20"/>
            <w:szCs w:val="20"/>
          </w:rPr>
          <w:t>https://www.opm.gov/policy-data-oversight/pay-leave/salaries-wages/salary-tables/pdf/2021/DCB.pdf</w:t>
        </w:r>
      </w:hyperlink>
      <w:r w:rsidRPr="00EC4369">
        <w:rPr>
          <w:sz w:val="20"/>
          <w:szCs w:val="20"/>
        </w:rPr>
        <w:t xml:space="preserve">. </w:t>
      </w:r>
    </w:p>
    <w:p w:rsidRPr="009A036B" w:rsidR="00E75934" w:rsidP="009A036B" w:rsidRDefault="00E75934" w14:paraId="3E3D7BAE" w14:textId="77777777"/>
    <w:p w:rsidRPr="009A036B" w:rsidR="009A036B" w:rsidP="009A036B" w:rsidRDefault="009A036B" w14:paraId="57BEA3C4" w14:textId="77777777">
      <w:r>
        <w:rPr>
          <w:b/>
        </w:rPr>
        <w:t xml:space="preserve">                     </w:t>
      </w:r>
    </w:p>
    <w:p w:rsidR="00ED6492" w:rsidRDefault="00ED6492" w14:paraId="479D8313" w14:textId="77777777">
      <w:pPr>
        <w:rPr>
          <w:b/>
          <w:bCs/>
          <w:u w:val="single"/>
        </w:rPr>
      </w:pPr>
    </w:p>
    <w:p w:rsidR="0069403B" w:rsidP="00F06866" w:rsidRDefault="00ED6492" w14:paraId="00BA46D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A069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53BB4BE" w14:textId="77777777">
      <w:pPr>
        <w:rPr>
          <w:b/>
        </w:rPr>
      </w:pPr>
    </w:p>
    <w:p w:rsidR="00F06866" w:rsidP="00F06866" w:rsidRDefault="00636621" w14:paraId="5E91975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266EFE7" w14:textId="77777777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F18EB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20E339B" w14:textId="77777777">
      <w:pPr>
        <w:pStyle w:val="ColorfulList-Accent1"/>
      </w:pPr>
    </w:p>
    <w:p w:rsidR="00636621" w:rsidP="001B0AAA" w:rsidRDefault="00636621" w14:paraId="45DE8E1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8F18EB" w14:paraId="05FEA8FC" w14:textId="77777777">
      <w:pPr>
        <w:pStyle w:val="ColorfulList-Accent1"/>
      </w:pPr>
      <w:r>
        <w:t xml:space="preserve">The OITE will ask </w:t>
      </w:r>
      <w:r w:rsidR="00462852">
        <w:t xml:space="preserve">event participants </w:t>
      </w:r>
      <w:r>
        <w:t>to complete the general feedback form.</w:t>
      </w:r>
    </w:p>
    <w:p w:rsidR="00A403BB" w:rsidP="00A403BB" w:rsidRDefault="00A403BB" w14:paraId="15A572BD" w14:textId="77777777"/>
    <w:p w:rsidR="00A403BB" w:rsidP="00A403BB" w:rsidRDefault="00A403BB" w14:paraId="072F701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1EAE084" w14:textId="77777777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AB40576" w14:textId="77777777">
      <w:pPr>
        <w:ind w:left="720"/>
      </w:pPr>
      <w:r>
        <w:t>[</w:t>
      </w:r>
      <w:r w:rsidR="004462E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742741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B6C18E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D04368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15ABAB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5E26039" w14:textId="77777777">
      <w:pPr>
        <w:pStyle w:val="ColorfulList-Accent1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D11A5">
        <w:t>X</w:t>
      </w:r>
      <w:r>
        <w:t>] No</w:t>
      </w:r>
    </w:p>
    <w:p w:rsidR="00F24CFC" w:rsidP="00F24CFC" w:rsidRDefault="00F24CFC" w14:paraId="08925688" w14:textId="77777777">
      <w:pPr>
        <w:pStyle w:val="ColorfulList-Accent1"/>
        <w:ind w:left="360"/>
      </w:pPr>
      <w:r>
        <w:t xml:space="preserve"> </w:t>
      </w:r>
    </w:p>
    <w:p w:rsidRPr="00352D4D" w:rsidR="005E714A" w:rsidP="00352D4D" w:rsidRDefault="005E714A" w14:paraId="710E6191" w14:textId="77777777">
      <w:pPr>
        <w:rPr>
          <w:b/>
        </w:rPr>
      </w:pPr>
    </w:p>
    <w:sectPr w:rsidRPr="00352D4D"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F8D54" w14:textId="77777777" w:rsidR="008C4B90" w:rsidRDefault="008C4B90">
      <w:r>
        <w:separator/>
      </w:r>
    </w:p>
  </w:endnote>
  <w:endnote w:type="continuationSeparator" w:id="0">
    <w:p w14:paraId="69D7053D" w14:textId="77777777" w:rsidR="008C4B90" w:rsidRDefault="008C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2F74" w14:textId="77777777" w:rsidR="006E78AA" w:rsidRDefault="006E7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7E3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B8D0A" w14:textId="77777777" w:rsidR="008C4B90" w:rsidRDefault="008C4B90">
      <w:r>
        <w:separator/>
      </w:r>
    </w:p>
  </w:footnote>
  <w:footnote w:type="continuationSeparator" w:id="0">
    <w:p w14:paraId="1D509F50" w14:textId="77777777" w:rsidR="008C4B90" w:rsidRDefault="008C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C055" w14:textId="77777777" w:rsidR="006E78AA" w:rsidRDefault="006E7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734D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4CEB"/>
    <w:multiLevelType w:val="hybridMultilevel"/>
    <w:tmpl w:val="32F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C142A"/>
    <w:multiLevelType w:val="hybridMultilevel"/>
    <w:tmpl w:val="A85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04DA6"/>
    <w:rsid w:val="00015A7C"/>
    <w:rsid w:val="00016F64"/>
    <w:rsid w:val="00023A57"/>
    <w:rsid w:val="00047A64"/>
    <w:rsid w:val="00047E0B"/>
    <w:rsid w:val="00065582"/>
    <w:rsid w:val="00067329"/>
    <w:rsid w:val="000722CE"/>
    <w:rsid w:val="000913EC"/>
    <w:rsid w:val="000B2838"/>
    <w:rsid w:val="000C2507"/>
    <w:rsid w:val="000D09B5"/>
    <w:rsid w:val="000D44CA"/>
    <w:rsid w:val="000E200B"/>
    <w:rsid w:val="000E5BE3"/>
    <w:rsid w:val="000F4701"/>
    <w:rsid w:val="000F6720"/>
    <w:rsid w:val="000F68BE"/>
    <w:rsid w:val="00122478"/>
    <w:rsid w:val="001247C9"/>
    <w:rsid w:val="00130AAE"/>
    <w:rsid w:val="001340FD"/>
    <w:rsid w:val="0014255F"/>
    <w:rsid w:val="00144BA0"/>
    <w:rsid w:val="00155B15"/>
    <w:rsid w:val="00162F83"/>
    <w:rsid w:val="00164E9D"/>
    <w:rsid w:val="00177F03"/>
    <w:rsid w:val="001855D1"/>
    <w:rsid w:val="001927A4"/>
    <w:rsid w:val="00194AC6"/>
    <w:rsid w:val="001A23B0"/>
    <w:rsid w:val="001A25CC"/>
    <w:rsid w:val="001B0AAA"/>
    <w:rsid w:val="001B1CBB"/>
    <w:rsid w:val="001B3CF5"/>
    <w:rsid w:val="001C39F7"/>
    <w:rsid w:val="001C5090"/>
    <w:rsid w:val="001C5465"/>
    <w:rsid w:val="001F5F58"/>
    <w:rsid w:val="001F62FC"/>
    <w:rsid w:val="002126E3"/>
    <w:rsid w:val="00237B48"/>
    <w:rsid w:val="002432EF"/>
    <w:rsid w:val="0024510A"/>
    <w:rsid w:val="0024521E"/>
    <w:rsid w:val="0025335F"/>
    <w:rsid w:val="00263C3D"/>
    <w:rsid w:val="00273BFC"/>
    <w:rsid w:val="00274D0B"/>
    <w:rsid w:val="00284110"/>
    <w:rsid w:val="002A3AE1"/>
    <w:rsid w:val="002A7220"/>
    <w:rsid w:val="002B3C95"/>
    <w:rsid w:val="002C3D73"/>
    <w:rsid w:val="002C74C9"/>
    <w:rsid w:val="002D0B92"/>
    <w:rsid w:val="002D26E2"/>
    <w:rsid w:val="002E20B8"/>
    <w:rsid w:val="002F144D"/>
    <w:rsid w:val="002F545D"/>
    <w:rsid w:val="00325FA1"/>
    <w:rsid w:val="00336784"/>
    <w:rsid w:val="003404B0"/>
    <w:rsid w:val="00352D4D"/>
    <w:rsid w:val="00363F5A"/>
    <w:rsid w:val="003668D6"/>
    <w:rsid w:val="00395311"/>
    <w:rsid w:val="00397F96"/>
    <w:rsid w:val="003A7074"/>
    <w:rsid w:val="003C2AB3"/>
    <w:rsid w:val="003D5BBE"/>
    <w:rsid w:val="003E3C61"/>
    <w:rsid w:val="003F1C5B"/>
    <w:rsid w:val="00406E06"/>
    <w:rsid w:val="00420E91"/>
    <w:rsid w:val="0042561F"/>
    <w:rsid w:val="00431EB1"/>
    <w:rsid w:val="00434E33"/>
    <w:rsid w:val="00441434"/>
    <w:rsid w:val="004462E1"/>
    <w:rsid w:val="0045264C"/>
    <w:rsid w:val="00461356"/>
    <w:rsid w:val="00462852"/>
    <w:rsid w:val="004876EC"/>
    <w:rsid w:val="004D6E14"/>
    <w:rsid w:val="004F348F"/>
    <w:rsid w:val="005009B0"/>
    <w:rsid w:val="00505D1F"/>
    <w:rsid w:val="00506809"/>
    <w:rsid w:val="00562A5B"/>
    <w:rsid w:val="005704A1"/>
    <w:rsid w:val="00581879"/>
    <w:rsid w:val="005A1006"/>
    <w:rsid w:val="005A1747"/>
    <w:rsid w:val="005A772A"/>
    <w:rsid w:val="005C559A"/>
    <w:rsid w:val="005D2C84"/>
    <w:rsid w:val="005E714A"/>
    <w:rsid w:val="005F795C"/>
    <w:rsid w:val="00607BEF"/>
    <w:rsid w:val="006140A0"/>
    <w:rsid w:val="00620CF7"/>
    <w:rsid w:val="006317B7"/>
    <w:rsid w:val="0063279A"/>
    <w:rsid w:val="00633F74"/>
    <w:rsid w:val="0063482D"/>
    <w:rsid w:val="00636621"/>
    <w:rsid w:val="00642B49"/>
    <w:rsid w:val="006602D9"/>
    <w:rsid w:val="006832D9"/>
    <w:rsid w:val="00686301"/>
    <w:rsid w:val="0069403B"/>
    <w:rsid w:val="006C3F79"/>
    <w:rsid w:val="006D5F47"/>
    <w:rsid w:val="006E78AA"/>
    <w:rsid w:val="006E7AC5"/>
    <w:rsid w:val="006F3DDE"/>
    <w:rsid w:val="00704678"/>
    <w:rsid w:val="007143A5"/>
    <w:rsid w:val="007425E7"/>
    <w:rsid w:val="0076415C"/>
    <w:rsid w:val="00766D95"/>
    <w:rsid w:val="0077042C"/>
    <w:rsid w:val="0077703F"/>
    <w:rsid w:val="00781D57"/>
    <w:rsid w:val="00785C60"/>
    <w:rsid w:val="0079606C"/>
    <w:rsid w:val="007D4C98"/>
    <w:rsid w:val="007E76BA"/>
    <w:rsid w:val="00802607"/>
    <w:rsid w:val="008101A5"/>
    <w:rsid w:val="00814269"/>
    <w:rsid w:val="00822664"/>
    <w:rsid w:val="00843796"/>
    <w:rsid w:val="0084511E"/>
    <w:rsid w:val="00847E64"/>
    <w:rsid w:val="008610A9"/>
    <w:rsid w:val="00880ED1"/>
    <w:rsid w:val="00887291"/>
    <w:rsid w:val="00887320"/>
    <w:rsid w:val="00895229"/>
    <w:rsid w:val="008A78C8"/>
    <w:rsid w:val="008B2DFC"/>
    <w:rsid w:val="008B7D27"/>
    <w:rsid w:val="008C4B90"/>
    <w:rsid w:val="008F0203"/>
    <w:rsid w:val="008F151A"/>
    <w:rsid w:val="008F18EB"/>
    <w:rsid w:val="008F50D4"/>
    <w:rsid w:val="008F514B"/>
    <w:rsid w:val="008F65CA"/>
    <w:rsid w:val="009239AA"/>
    <w:rsid w:val="009347D5"/>
    <w:rsid w:val="00935471"/>
    <w:rsid w:val="00935ADA"/>
    <w:rsid w:val="00944C6A"/>
    <w:rsid w:val="00946B6C"/>
    <w:rsid w:val="00947E3F"/>
    <w:rsid w:val="00955659"/>
    <w:rsid w:val="00955A71"/>
    <w:rsid w:val="0096108F"/>
    <w:rsid w:val="00981EFF"/>
    <w:rsid w:val="00993318"/>
    <w:rsid w:val="00995CA8"/>
    <w:rsid w:val="009A036B"/>
    <w:rsid w:val="009C13B9"/>
    <w:rsid w:val="009C5C07"/>
    <w:rsid w:val="009D01A2"/>
    <w:rsid w:val="009D214A"/>
    <w:rsid w:val="009F0AE8"/>
    <w:rsid w:val="009F5923"/>
    <w:rsid w:val="00A00A6C"/>
    <w:rsid w:val="00A217F3"/>
    <w:rsid w:val="00A229F1"/>
    <w:rsid w:val="00A403BB"/>
    <w:rsid w:val="00A674DF"/>
    <w:rsid w:val="00A83AA6"/>
    <w:rsid w:val="00A841DA"/>
    <w:rsid w:val="00AB5EC7"/>
    <w:rsid w:val="00AC60E8"/>
    <w:rsid w:val="00AC679B"/>
    <w:rsid w:val="00AC703C"/>
    <w:rsid w:val="00AE14B1"/>
    <w:rsid w:val="00AE1809"/>
    <w:rsid w:val="00AF064B"/>
    <w:rsid w:val="00B116A3"/>
    <w:rsid w:val="00B222A7"/>
    <w:rsid w:val="00B43569"/>
    <w:rsid w:val="00B45F95"/>
    <w:rsid w:val="00B80D76"/>
    <w:rsid w:val="00BA2105"/>
    <w:rsid w:val="00BA7E06"/>
    <w:rsid w:val="00BB0DCF"/>
    <w:rsid w:val="00BB43B5"/>
    <w:rsid w:val="00BB5055"/>
    <w:rsid w:val="00BB6219"/>
    <w:rsid w:val="00BC676D"/>
    <w:rsid w:val="00BD290F"/>
    <w:rsid w:val="00BD61E4"/>
    <w:rsid w:val="00BF6C61"/>
    <w:rsid w:val="00C14CC4"/>
    <w:rsid w:val="00C33C52"/>
    <w:rsid w:val="00C35A02"/>
    <w:rsid w:val="00C40D8B"/>
    <w:rsid w:val="00C41443"/>
    <w:rsid w:val="00C54FEA"/>
    <w:rsid w:val="00C628B6"/>
    <w:rsid w:val="00C66E5B"/>
    <w:rsid w:val="00C72252"/>
    <w:rsid w:val="00C80452"/>
    <w:rsid w:val="00C8407A"/>
    <w:rsid w:val="00C8488C"/>
    <w:rsid w:val="00C84FC1"/>
    <w:rsid w:val="00C86E91"/>
    <w:rsid w:val="00CA19A3"/>
    <w:rsid w:val="00CA2010"/>
    <w:rsid w:val="00CA2650"/>
    <w:rsid w:val="00CB1078"/>
    <w:rsid w:val="00CC6FAF"/>
    <w:rsid w:val="00CD11A5"/>
    <w:rsid w:val="00CD64F4"/>
    <w:rsid w:val="00CE53F6"/>
    <w:rsid w:val="00CF6BE8"/>
    <w:rsid w:val="00CF77CA"/>
    <w:rsid w:val="00D03C9B"/>
    <w:rsid w:val="00D136C2"/>
    <w:rsid w:val="00D24698"/>
    <w:rsid w:val="00D26F48"/>
    <w:rsid w:val="00D501D5"/>
    <w:rsid w:val="00D5068E"/>
    <w:rsid w:val="00D6383F"/>
    <w:rsid w:val="00D66AB2"/>
    <w:rsid w:val="00D85606"/>
    <w:rsid w:val="00D90467"/>
    <w:rsid w:val="00D95C4B"/>
    <w:rsid w:val="00DA0691"/>
    <w:rsid w:val="00DB1E8B"/>
    <w:rsid w:val="00DB4A58"/>
    <w:rsid w:val="00DB59D0"/>
    <w:rsid w:val="00DC33D3"/>
    <w:rsid w:val="00E26329"/>
    <w:rsid w:val="00E40B50"/>
    <w:rsid w:val="00E50293"/>
    <w:rsid w:val="00E65FFC"/>
    <w:rsid w:val="00E670E2"/>
    <w:rsid w:val="00E75934"/>
    <w:rsid w:val="00E80951"/>
    <w:rsid w:val="00E86CC6"/>
    <w:rsid w:val="00EB56B3"/>
    <w:rsid w:val="00EC4369"/>
    <w:rsid w:val="00EC59A6"/>
    <w:rsid w:val="00ED6492"/>
    <w:rsid w:val="00EF2095"/>
    <w:rsid w:val="00F04476"/>
    <w:rsid w:val="00F06866"/>
    <w:rsid w:val="00F15956"/>
    <w:rsid w:val="00F24CFC"/>
    <w:rsid w:val="00F3170F"/>
    <w:rsid w:val="00F32871"/>
    <w:rsid w:val="00F32FD0"/>
    <w:rsid w:val="00F40347"/>
    <w:rsid w:val="00F52D02"/>
    <w:rsid w:val="00F64655"/>
    <w:rsid w:val="00F94D8C"/>
    <w:rsid w:val="00F976B0"/>
    <w:rsid w:val="00FA38FF"/>
    <w:rsid w:val="00FA6DE7"/>
    <w:rsid w:val="00FC0A8E"/>
    <w:rsid w:val="00FE2FA6"/>
    <w:rsid w:val="00FE3DF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22D3AB4"/>
  <w15:chartTrackingRefBased/>
  <w15:docId w15:val="{5C25A69A-48CC-4F72-AEE5-2ED14C92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2C84"/>
    <w:rPr>
      <w:color w:val="605E5C"/>
      <w:shd w:val="clear" w:color="auto" w:fill="E1DFDD"/>
    </w:rPr>
  </w:style>
  <w:style w:type="character" w:styleId="FollowedHyperlink">
    <w:name w:val="FollowedHyperlink"/>
    <w:rsid w:val="008F65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1/DCB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A0B3-60A1-A64C-91E5-AFF8DD49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6332</CharactersWithSpaces>
  <SharedDoc>false</SharedDoc>
  <HLinks>
    <vt:vector size="6" baseType="variant">
      <vt:variant>
        <vt:i4>1638429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2021-03-23T17:58:00Z</dcterms:created>
  <dcterms:modified xsi:type="dcterms:W3CDTF">2021-03-23T17:58:00Z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