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arto="http://schemas.microsoft.com/office/word/2006/arto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3718411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5A216B" w:rsidR="00E50293" w:rsidP="00434E33" w:rsidRDefault="001D6113" w14:paraId="3886766F" w14:textId="5465AFF0">
      <w:r w:rsidRPr="005A216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8382499" wp14:anchorId="6463B9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4B1B4772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9E21B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5A216B" w:rsidR="005E714A">
        <w:rPr>
          <w:b/>
          <w:bCs/>
        </w:rPr>
        <w:t>TITLE OF INFORMATION COLLECTION:</w:t>
      </w:r>
      <w:r w:rsidRPr="005A216B" w:rsidR="005E714A">
        <w:t xml:space="preserve">  </w:t>
      </w:r>
      <w:r w:rsidR="5B1B0EF2">
        <w:t xml:space="preserve">Stakeholder </w:t>
      </w:r>
      <w:r w:rsidRPr="005A216B" w:rsidR="00835BB9">
        <w:t>Feedback</w:t>
      </w:r>
      <w:r w:rsidRPr="005A216B" w:rsidR="54FD6C65">
        <w:t xml:space="preserve"> Survey on PATH Study</w:t>
      </w:r>
    </w:p>
    <w:p w:rsidRPr="005A216B" w:rsidR="004C2766" w:rsidRDefault="004C2766" w14:paraId="4C26B798" w14:textId="77777777"/>
    <w:p w:rsidRPr="005A216B" w:rsidR="001B0AAA" w:rsidRDefault="00F15956" w14:paraId="06EA4309" w14:textId="77777777">
      <w:r w:rsidRPr="005A216B">
        <w:rPr>
          <w:b/>
          <w:bCs/>
        </w:rPr>
        <w:t>PURPOSE:</w:t>
      </w:r>
      <w:r w:rsidRPr="005A216B" w:rsidR="00C14CC4">
        <w:rPr>
          <w:b/>
          <w:bCs/>
        </w:rPr>
        <w:t xml:space="preserve">  </w:t>
      </w:r>
    </w:p>
    <w:p w:rsidRPr="005A216B" w:rsidR="001B0AAA" w:rsidRDefault="001B0AAA" w14:paraId="641A67CA" w14:textId="30CE3515"/>
    <w:p w:rsidRPr="005A216B" w:rsidR="00AD6057" w:rsidRDefault="254A2794" w14:paraId="2FA0F1B8" w14:textId="19681644">
      <w:pPr>
        <w:rPr>
          <w:rStyle w:val="normaltextrun"/>
        </w:rPr>
      </w:pPr>
      <w:r w:rsidRPr="005A216B">
        <w:t xml:space="preserve">The </w:t>
      </w:r>
      <w:r w:rsidRPr="005A216B" w:rsidR="68B2D0BC">
        <w:rPr>
          <w:rStyle w:val="normaltextrun"/>
        </w:rPr>
        <w:t xml:space="preserve">Population Assessment of Tobacco and Health (PATH) Study at the National Institute on Drug Abuse (NIDA) seeks to collect </w:t>
      </w:r>
      <w:r w:rsidRPr="005A216B" w:rsidR="5EB5CF13">
        <w:rPr>
          <w:rStyle w:val="normaltextrun"/>
        </w:rPr>
        <w:t xml:space="preserve">qualitative </w:t>
      </w:r>
      <w:r w:rsidRPr="005A216B" w:rsidR="534646EA">
        <w:rPr>
          <w:rStyle w:val="normaltextrun"/>
        </w:rPr>
        <w:t xml:space="preserve">customer </w:t>
      </w:r>
      <w:r w:rsidRPr="005A216B" w:rsidR="66E83A47">
        <w:rPr>
          <w:rStyle w:val="normaltextrun"/>
        </w:rPr>
        <w:t>feedback from PATH Study data users and tobacco research community</w:t>
      </w:r>
      <w:r w:rsidRPr="005A216B" w:rsidR="79E02FCF">
        <w:rPr>
          <w:rStyle w:val="normaltextrun"/>
        </w:rPr>
        <w:t xml:space="preserve">. </w:t>
      </w:r>
      <w:r w:rsidRPr="005A216B" w:rsidR="158AF123">
        <w:rPr>
          <w:rStyle w:val="normaltextrun"/>
        </w:rPr>
        <w:t xml:space="preserve">The findings from </w:t>
      </w:r>
      <w:r w:rsidRPr="005A216B" w:rsidR="4E84A03B">
        <w:rPr>
          <w:rStyle w:val="normaltextrun"/>
        </w:rPr>
        <w:t xml:space="preserve">this </w:t>
      </w:r>
      <w:r w:rsidRPr="005A216B" w:rsidR="158AF123">
        <w:rPr>
          <w:rStyle w:val="normaltextrun"/>
        </w:rPr>
        <w:t>survey will help improve the access and use of the PATH Study data and development and design of future PATH Study</w:t>
      </w:r>
      <w:r w:rsidRPr="005A216B" w:rsidR="21DCC0D9">
        <w:rPr>
          <w:rStyle w:val="normaltextrun"/>
        </w:rPr>
        <w:t xml:space="preserve"> data collections and dissemination products</w:t>
      </w:r>
      <w:r w:rsidRPr="005A216B" w:rsidR="158AF123">
        <w:rPr>
          <w:rStyle w:val="normaltextrun"/>
        </w:rPr>
        <w:t xml:space="preserve">. </w:t>
      </w:r>
    </w:p>
    <w:p w:rsidRPr="005A216B" w:rsidR="00AD6057" w:rsidRDefault="00AD6057" w14:paraId="7DFD8DB1" w14:textId="77777777">
      <w:pPr>
        <w:rPr>
          <w:rStyle w:val="normaltextrun"/>
        </w:rPr>
      </w:pPr>
    </w:p>
    <w:p w:rsidRPr="00C92A52" w:rsidR="00A353C8" w:rsidP="138F303E" w:rsidRDefault="4C6FCD3A" w14:paraId="6FB08A08" w14:textId="249C52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5A216B">
        <w:rPr>
          <w:rStyle w:val="normaltextrun"/>
        </w:rPr>
        <w:t>The PATH Study is a national cohort study designed to generate longitudinal epidemiologic data on tobacco use behaviors including patterns of use, attitudes, beliefs, exposures, and related health outcomes. This study is a collaboration between the</w:t>
      </w:r>
      <w:r w:rsidRPr="005A216B" w:rsidR="19969B6C">
        <w:rPr>
          <w:rStyle w:val="normaltextrun"/>
        </w:rPr>
        <w:t xml:space="preserve"> </w:t>
      </w:r>
      <w:r w:rsidRPr="005A216B">
        <w:rPr>
          <w:rStyle w:val="normaltextrun"/>
        </w:rPr>
        <w:t>NIH NIDA and the U.S. Food and Drug Administration (FDA) Center for Tobacco Products and began in 2011.</w:t>
      </w:r>
      <w:r w:rsidRPr="005A216B" w:rsidR="25176497">
        <w:rPr>
          <w:rStyle w:val="normaltextrun"/>
        </w:rPr>
        <w:t xml:space="preserve"> Wave 1 of the questionnaire and biospecimen data collection began on 2013 with annual data collections through Wave 4</w:t>
      </w:r>
      <w:r w:rsidRPr="005A216B" w:rsidR="1E727706">
        <w:rPr>
          <w:rStyle w:val="normaltextrun"/>
        </w:rPr>
        <w:t xml:space="preserve">, which began in 2016. The PATH Study transitioned to </w:t>
      </w:r>
      <w:r w:rsidRPr="005A216B" w:rsidR="0314AD4F">
        <w:rPr>
          <w:rStyle w:val="normaltextrun"/>
        </w:rPr>
        <w:t>biennial</w:t>
      </w:r>
      <w:r w:rsidRPr="005A216B" w:rsidR="1E727706">
        <w:rPr>
          <w:rStyle w:val="normaltextrun"/>
        </w:rPr>
        <w:t xml:space="preserve"> data collection starting </w:t>
      </w:r>
      <w:r w:rsidRPr="005A216B" w:rsidR="17BCC26E">
        <w:rPr>
          <w:rStyle w:val="normaltextrun"/>
        </w:rPr>
        <w:t xml:space="preserve">with </w:t>
      </w:r>
      <w:r w:rsidRPr="005A216B" w:rsidR="1E727706">
        <w:rPr>
          <w:rStyle w:val="normaltextrun"/>
        </w:rPr>
        <w:t xml:space="preserve">Wave 5 in 2018 and will continue with Wave 6 and 7 in 2021 and 2023, respectively. </w:t>
      </w:r>
      <w:r w:rsidRPr="005A216B" w:rsidR="5AC2C301">
        <w:rPr>
          <w:rStyle w:val="normaltextrun"/>
        </w:rPr>
        <w:t>The multi-wave design allows for the detailed longitudinal assessment of participants’ patterns of tobacco product use,</w:t>
      </w:r>
      <w:r w:rsidRPr="005A216B" w:rsidR="3AF45854">
        <w:rPr>
          <w:rStyle w:val="normaltextrun"/>
        </w:rPr>
        <w:t xml:space="preserve"> </w:t>
      </w:r>
      <w:r w:rsidRPr="005A216B" w:rsidR="5AC2C301">
        <w:rPr>
          <w:rStyle w:val="normaltextrun"/>
        </w:rPr>
        <w:t xml:space="preserve">tobacco product exposures,  tobacco-related attitudes and beliefs, and tobacco-related health outcomes, and provides critical evidence to inform FDA’s regulatory actions under the </w:t>
      </w:r>
      <w:r w:rsidRPr="005A216B" w:rsidR="46B3C311">
        <w:rPr>
          <w:rStyle w:val="normaltextrun"/>
        </w:rPr>
        <w:t xml:space="preserve">Family Smoking Prevention and Tobacco Control Act (FSPTCA) </w:t>
      </w:r>
      <w:r w:rsidRPr="005A216B" w:rsidR="5AC2C301">
        <w:rPr>
          <w:rStyle w:val="normaltextrun"/>
        </w:rPr>
        <w:t>to protect the Nation’s public health and reduce its burden of tobacco-related morbidity and mortality.</w:t>
      </w:r>
      <w:r w:rsidRPr="005A216B" w:rsidR="5AC2C301">
        <w:rPr>
          <w:rStyle w:val="eop"/>
        </w:rPr>
        <w:t> </w:t>
      </w:r>
      <w:r w:rsidRPr="005A216B" w:rsidR="037562BF">
        <w:rPr>
          <w:rStyle w:val="eop"/>
        </w:rPr>
        <w:t xml:space="preserve">The PATH Study data is available as a public use data file that </w:t>
      </w:r>
      <w:r w:rsidRPr="005A216B" w:rsidR="250B3847">
        <w:rPr>
          <w:rStyle w:val="eop"/>
        </w:rPr>
        <w:t xml:space="preserve">is available </w:t>
      </w:r>
      <w:r w:rsidRPr="005A216B" w:rsidR="2280F487">
        <w:rPr>
          <w:rStyle w:val="eop"/>
        </w:rPr>
        <w:t xml:space="preserve">for </w:t>
      </w:r>
      <w:r w:rsidRPr="005A216B" w:rsidR="250B3847">
        <w:rPr>
          <w:rStyle w:val="eop"/>
        </w:rPr>
        <w:t>download</w:t>
      </w:r>
      <w:r w:rsidRPr="005A216B" w:rsidR="037562BF">
        <w:rPr>
          <w:rStyle w:val="eop"/>
        </w:rPr>
        <w:t xml:space="preserve"> and</w:t>
      </w:r>
      <w:r w:rsidRPr="005A216B" w:rsidR="6C728D14">
        <w:rPr>
          <w:rStyle w:val="eop"/>
        </w:rPr>
        <w:t xml:space="preserve"> also</w:t>
      </w:r>
      <w:r w:rsidRPr="005A216B" w:rsidR="037562BF">
        <w:rPr>
          <w:rStyle w:val="eop"/>
        </w:rPr>
        <w:t xml:space="preserve"> as restricted use</w:t>
      </w:r>
      <w:r w:rsidRPr="0089041D" w:rsidR="037562BF">
        <w:rPr>
          <w:rStyle w:val="eop"/>
        </w:rPr>
        <w:t xml:space="preserve"> </w:t>
      </w:r>
      <w:r w:rsidR="00FB50A7">
        <w:rPr>
          <w:rStyle w:val="eop"/>
        </w:rPr>
        <w:t>files</w:t>
      </w:r>
      <w:r w:rsidR="0089041D">
        <w:rPr>
          <w:rStyle w:val="eop"/>
        </w:rPr>
        <w:t>,</w:t>
      </w:r>
      <w:r w:rsidRPr="0089041D" w:rsidR="037562BF">
        <w:rPr>
          <w:rStyle w:val="eop"/>
        </w:rPr>
        <w:t xml:space="preserve"> which require permission to access the data through </w:t>
      </w:r>
      <w:r w:rsidRPr="0089041D" w:rsidR="2634EBE4">
        <w:rPr>
          <w:rStyle w:val="eop"/>
        </w:rPr>
        <w:t>a</w:t>
      </w:r>
      <w:r w:rsidRPr="0089041D" w:rsidR="037562BF">
        <w:rPr>
          <w:rStyle w:val="eop"/>
        </w:rPr>
        <w:t xml:space="preserve"> Virtual Data Enclave</w:t>
      </w:r>
      <w:r w:rsidRPr="0089041D" w:rsidR="52E5C120">
        <w:rPr>
          <w:rStyle w:val="eop"/>
        </w:rPr>
        <w:t xml:space="preserve"> at Inter-university Consortium for Political and Social Research (ICPSR) at the U</w:t>
      </w:r>
      <w:r w:rsidRPr="0089041D" w:rsidR="3CDE42CA">
        <w:rPr>
          <w:rStyle w:val="eop"/>
        </w:rPr>
        <w:t>niversity of Michigan</w:t>
      </w:r>
      <w:r w:rsidRPr="0089041D" w:rsidR="037562BF">
        <w:rPr>
          <w:rStyle w:val="eop"/>
        </w:rPr>
        <w:t xml:space="preserve">. </w:t>
      </w:r>
    </w:p>
    <w:p w:rsidR="00AD6057" w:rsidRDefault="00AD6057" w14:paraId="599A1C1E" w14:textId="77777777">
      <w:pPr>
        <w:rPr>
          <w:rStyle w:val="normaltextrun"/>
          <w:sz w:val="22"/>
          <w:szCs w:val="22"/>
        </w:rPr>
      </w:pPr>
    </w:p>
    <w:p w:rsidR="00C8488C" w:rsidP="00434E33" w:rsidRDefault="00C8488C" w14:paraId="18CF008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852FC8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0B415F" w:rsidRDefault="000B415F" w14:paraId="143B7E93" w14:textId="49738214"/>
    <w:p w:rsidR="000B415F" w:rsidRDefault="000B415F" w14:paraId="6F520757" w14:textId="3A0A8A11">
      <w:r w:rsidRPr="00AA0864">
        <w:t xml:space="preserve">The target respondents will be current and former users of the PATH Study data </w:t>
      </w:r>
      <w:r w:rsidRPr="00AA0864" w:rsidR="00165FC3">
        <w:t>(both public use and restricted use file</w:t>
      </w:r>
      <w:r w:rsidRPr="00AA0864" w:rsidR="00D62C74">
        <w:t>s</w:t>
      </w:r>
      <w:r w:rsidRPr="00AA0864" w:rsidR="00165FC3">
        <w:t>)</w:t>
      </w:r>
      <w:r w:rsidRPr="00AA0864" w:rsidR="00D62C74">
        <w:t>,</w:t>
      </w:r>
      <w:r w:rsidRPr="00AA0864" w:rsidR="00165FC3">
        <w:t xml:space="preserve"> as well as the tobacco research community </w:t>
      </w:r>
      <w:r w:rsidRPr="00AA0864" w:rsidR="00333B64">
        <w:t>who are currently on the listservs</w:t>
      </w:r>
      <w:r w:rsidR="00FB50A7">
        <w:t xml:space="preserve"> used as standard dissemination channels for the PATH Study announcements</w:t>
      </w:r>
      <w:r w:rsidRPr="00AA0864" w:rsidR="0059739A">
        <w:t xml:space="preserve">. </w:t>
      </w:r>
      <w:r w:rsidRPr="00AA0864" w:rsidR="00425B70">
        <w:t xml:space="preserve">The </w:t>
      </w:r>
      <w:r w:rsidRPr="00AA0864" w:rsidR="007B3B3A">
        <w:t xml:space="preserve">web survey </w:t>
      </w:r>
      <w:r w:rsidRPr="00AA0864" w:rsidR="00425B70">
        <w:t xml:space="preserve">links will be sent to </w:t>
      </w:r>
      <w:r w:rsidRPr="00AA0864" w:rsidR="00D62C74">
        <w:t>the target</w:t>
      </w:r>
      <w:r w:rsidRPr="00AA0864" w:rsidR="00425B70">
        <w:t xml:space="preserve"> respondents and will be open for 2-3 weeks during </w:t>
      </w:r>
      <w:r w:rsidR="004668A6">
        <w:t>March</w:t>
      </w:r>
      <w:r w:rsidRPr="00AA0864" w:rsidR="004668A6">
        <w:t xml:space="preserve"> </w:t>
      </w:r>
      <w:r w:rsidRPr="00AA0864" w:rsidR="00425B70">
        <w:t>2021</w:t>
      </w:r>
      <w:r w:rsidRPr="00AA0864" w:rsidR="007B3B3A">
        <w:t>.</w:t>
      </w:r>
      <w:r w:rsidR="00425B70">
        <w:t xml:space="preserve"> </w:t>
      </w:r>
    </w:p>
    <w:p w:rsidR="00E26329" w:rsidRDefault="00E26329" w14:paraId="6A9CB9BD" w14:textId="77777777">
      <w:pPr>
        <w:rPr>
          <w:b/>
        </w:rPr>
      </w:pPr>
    </w:p>
    <w:p w:rsidR="00E26329" w:rsidRDefault="00E26329" w14:paraId="198E7F2C" w14:textId="77777777">
      <w:pPr>
        <w:rPr>
          <w:b/>
        </w:rPr>
      </w:pPr>
    </w:p>
    <w:p w:rsidRPr="00F06866" w:rsidR="00F06866" w:rsidRDefault="00F06866" w14:paraId="0AB189F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806671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5425BD" w:rsidR="00F06866" w:rsidP="43D09ABE" w:rsidRDefault="0096108F" w14:paraId="08AD3366" w14:textId="28DCA051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proofErr w:type="gramStart"/>
      <w:r w:rsidRPr="43D09ABE">
        <w:rPr>
          <w:sz w:val="24"/>
          <w:szCs w:val="24"/>
        </w:rPr>
        <w:t>[ ]</w:t>
      </w:r>
      <w:proofErr w:type="gramEnd"/>
      <w:r w:rsidRPr="43D09ABE">
        <w:rPr>
          <w:sz w:val="24"/>
          <w:szCs w:val="24"/>
        </w:rPr>
        <w:t xml:space="preserve"> </w:t>
      </w:r>
      <w:r w:rsidRPr="43D09ABE" w:rsidR="00F06866">
        <w:rPr>
          <w:sz w:val="24"/>
          <w:szCs w:val="24"/>
        </w:rPr>
        <w:t>Customer Comment Card/Complaint Form</w:t>
      </w:r>
      <w:r w:rsidRPr="43D09ABE">
        <w:rPr>
          <w:sz w:val="24"/>
          <w:szCs w:val="24"/>
        </w:rPr>
        <w:t xml:space="preserve"> </w:t>
      </w:r>
      <w:r w:rsidRPr="00F06866">
        <w:rPr>
          <w:bCs/>
          <w:sz w:val="24"/>
        </w:rPr>
        <w:tab/>
      </w:r>
      <w:r w:rsidRPr="005425BD">
        <w:rPr>
          <w:sz w:val="24"/>
          <w:szCs w:val="24"/>
        </w:rPr>
        <w:t>[</w:t>
      </w:r>
      <w:r w:rsidRPr="005425BD" w:rsidR="516D4D40">
        <w:rPr>
          <w:sz w:val="24"/>
          <w:szCs w:val="24"/>
        </w:rPr>
        <w:t>X</w:t>
      </w:r>
      <w:r w:rsidRPr="005425BD">
        <w:rPr>
          <w:sz w:val="24"/>
          <w:szCs w:val="24"/>
        </w:rPr>
        <w:t xml:space="preserve"> ] </w:t>
      </w:r>
      <w:r w:rsidRPr="005425BD" w:rsidR="00F06866">
        <w:rPr>
          <w:sz w:val="24"/>
          <w:szCs w:val="24"/>
        </w:rPr>
        <w:t>Customer Satisfaction Survey</w:t>
      </w:r>
      <w:r w:rsidRPr="005425BD">
        <w:rPr>
          <w:sz w:val="24"/>
          <w:szCs w:val="24"/>
        </w:rPr>
        <w:t xml:space="preserve"> </w:t>
      </w:r>
      <w:r w:rsidRPr="005425BD" w:rsidR="00CA2650">
        <w:rPr>
          <w:sz w:val="24"/>
          <w:szCs w:val="24"/>
        </w:rPr>
        <w:t xml:space="preserve">  </w:t>
      </w:r>
      <w:r w:rsidRPr="005425BD">
        <w:rPr>
          <w:sz w:val="24"/>
          <w:szCs w:val="24"/>
        </w:rPr>
        <w:t xml:space="preserve"> </w:t>
      </w:r>
    </w:p>
    <w:p w:rsidRPr="005425BD" w:rsidR="0096108F" w:rsidP="0096108F" w:rsidRDefault="0096108F" w14:paraId="77998E5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5425BD">
        <w:rPr>
          <w:bCs/>
          <w:sz w:val="24"/>
        </w:rPr>
        <w:t>[ ]</w:t>
      </w:r>
      <w:proofErr w:type="gramEnd"/>
      <w:r w:rsidRPr="005425BD">
        <w:rPr>
          <w:bCs/>
          <w:sz w:val="24"/>
        </w:rPr>
        <w:t xml:space="preserve"> </w:t>
      </w:r>
      <w:r w:rsidRPr="005425BD" w:rsidR="00F06866">
        <w:rPr>
          <w:bCs/>
          <w:sz w:val="24"/>
        </w:rPr>
        <w:t>Usability</w:t>
      </w:r>
      <w:r w:rsidRPr="005425BD" w:rsidR="009239AA">
        <w:rPr>
          <w:bCs/>
          <w:sz w:val="24"/>
        </w:rPr>
        <w:t xml:space="preserve"> Testing (e.g., Website or Software</w:t>
      </w:r>
      <w:r w:rsidRPr="005425BD"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8F5B77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5425BD">
        <w:rPr>
          <w:bCs/>
          <w:sz w:val="24"/>
        </w:rPr>
        <w:t>[</w:t>
      </w:r>
      <w:r w:rsidRPr="005425BD" w:rsidR="006D5F47">
        <w:rPr>
          <w:bCs/>
          <w:sz w:val="24"/>
        </w:rPr>
        <w:t xml:space="preserve"> ]</w:t>
      </w:r>
      <w:proofErr w:type="gramEnd"/>
      <w:r w:rsidRPr="005425BD" w:rsidR="006D5F47">
        <w:rPr>
          <w:bCs/>
          <w:sz w:val="24"/>
        </w:rPr>
        <w:t xml:space="preserve"> </w:t>
      </w:r>
      <w:r w:rsidRPr="005425BD">
        <w:rPr>
          <w:bCs/>
          <w:sz w:val="24"/>
        </w:rPr>
        <w:t xml:space="preserve">Focus Group  </w:t>
      </w:r>
      <w:r w:rsidRPr="005425BD">
        <w:rPr>
          <w:bCs/>
          <w:sz w:val="24"/>
        </w:rPr>
        <w:tab/>
      </w:r>
      <w:r w:rsidRPr="005425BD">
        <w:rPr>
          <w:bCs/>
          <w:sz w:val="24"/>
        </w:rPr>
        <w:tab/>
      </w:r>
      <w:r w:rsidRPr="005425BD">
        <w:rPr>
          <w:bCs/>
          <w:sz w:val="24"/>
        </w:rPr>
        <w:tab/>
      </w:r>
      <w:r w:rsidRPr="005425BD">
        <w:rPr>
          <w:bCs/>
          <w:sz w:val="24"/>
        </w:rPr>
        <w:tab/>
      </w:r>
      <w:r w:rsidRPr="005425BD">
        <w:rPr>
          <w:bCs/>
          <w:sz w:val="24"/>
        </w:rPr>
        <w:tab/>
      </w:r>
      <w:r w:rsidRPr="005425BD" w:rsidR="00F06866">
        <w:rPr>
          <w:bCs/>
          <w:sz w:val="24"/>
        </w:rPr>
        <w:t>[ ] Other:</w:t>
      </w:r>
      <w:r w:rsidRPr="005425BD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658BCB0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EF9EA3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49A61A6" w14:textId="77777777">
      <w:pPr>
        <w:rPr>
          <w:sz w:val="16"/>
          <w:szCs w:val="16"/>
        </w:rPr>
      </w:pPr>
    </w:p>
    <w:p w:rsidRPr="009C13B9" w:rsidR="008101A5" w:rsidP="008101A5" w:rsidRDefault="008101A5" w14:paraId="01A0DCD9" w14:textId="77777777">
      <w:r>
        <w:t xml:space="preserve">I certify the following to be true: </w:t>
      </w:r>
    </w:p>
    <w:p w:rsidR="008101A5" w:rsidP="008101A5" w:rsidRDefault="008101A5" w14:paraId="1345258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EBCBA4D" w14:textId="77777777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09440BA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27FE89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00A204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F8410B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88211AC" w14:textId="77777777"/>
    <w:p w:rsidR="009C13B9" w:rsidP="009C13B9" w:rsidRDefault="009C13B9" w14:paraId="30ECE17B" w14:textId="431634D8">
      <w:proofErr w:type="spellStart"/>
      <w:proofErr w:type="gramStart"/>
      <w:r w:rsidRPr="005425BD">
        <w:t>Name:_</w:t>
      </w:r>
      <w:proofErr w:type="gramEnd"/>
      <w:r w:rsidRPr="005425BD">
        <w:t>_</w:t>
      </w:r>
      <w:r w:rsidRPr="005425BD" w:rsidR="00BF2C61">
        <w:t>Heather</w:t>
      </w:r>
      <w:proofErr w:type="spellEnd"/>
      <w:r w:rsidRPr="005425BD" w:rsidR="00BF2C61">
        <w:t xml:space="preserve"> Kimmel</w:t>
      </w:r>
      <w:r w:rsidRPr="005425BD" w:rsidR="0059739A">
        <w:t>, PhD, Project Director and COR of the PATH Study</w:t>
      </w:r>
      <w:r w:rsidR="0059739A">
        <w:t xml:space="preserve"> </w:t>
      </w:r>
    </w:p>
    <w:p w:rsidR="009C13B9" w:rsidP="009C13B9" w:rsidRDefault="009C13B9" w14:paraId="0A92F80A" w14:textId="77777777">
      <w:pPr>
        <w:pStyle w:val="ListParagraph"/>
        <w:ind w:left="360"/>
      </w:pPr>
    </w:p>
    <w:p w:rsidR="009C13B9" w:rsidP="009C13B9" w:rsidRDefault="009C13B9" w14:paraId="43424EA1" w14:textId="77777777">
      <w:r>
        <w:t>To assist review, please provide answers to the following question:</w:t>
      </w:r>
    </w:p>
    <w:p w:rsidR="009C13B9" w:rsidP="009C13B9" w:rsidRDefault="009C13B9" w14:paraId="61CF5CC3" w14:textId="77777777">
      <w:pPr>
        <w:pStyle w:val="ListParagraph"/>
        <w:ind w:left="360"/>
      </w:pPr>
    </w:p>
    <w:p w:rsidRPr="005425BD" w:rsidR="009C13B9" w:rsidP="00C86E91" w:rsidRDefault="00C86E91" w14:paraId="6B26A2B8" w14:textId="77777777">
      <w:pPr>
        <w:rPr>
          <w:b/>
        </w:rPr>
      </w:pPr>
      <w:proofErr w:type="gramStart"/>
      <w:r w:rsidRPr="005425BD">
        <w:rPr>
          <w:b/>
        </w:rPr>
        <w:t>Personally</w:t>
      </w:r>
      <w:proofErr w:type="gramEnd"/>
      <w:r w:rsidRPr="005425BD">
        <w:rPr>
          <w:b/>
        </w:rPr>
        <w:t xml:space="preserve"> Identifiable Information:</w:t>
      </w:r>
    </w:p>
    <w:p w:rsidRPr="005425BD" w:rsidR="00C86E91" w:rsidP="00C86E91" w:rsidRDefault="009C13B9" w14:paraId="443D4CAD" w14:textId="6CD2EF8A">
      <w:pPr>
        <w:pStyle w:val="ListParagraph"/>
        <w:numPr>
          <w:ilvl w:val="0"/>
          <w:numId w:val="18"/>
        </w:numPr>
      </w:pPr>
      <w:r w:rsidRPr="005425BD">
        <w:t>Is</w:t>
      </w:r>
      <w:r w:rsidRPr="005425BD" w:rsidR="00237B48">
        <w:t xml:space="preserve"> personally identifiable information (PII) collected</w:t>
      </w:r>
      <w:r w:rsidRPr="005425BD">
        <w:t xml:space="preserve">?  </w:t>
      </w:r>
      <w:proofErr w:type="gramStart"/>
      <w:r w:rsidRPr="005425BD" w:rsidR="009239AA">
        <w:t>[  ]</w:t>
      </w:r>
      <w:proofErr w:type="gramEnd"/>
      <w:r w:rsidRPr="005425BD" w:rsidR="009239AA">
        <w:t xml:space="preserve"> Yes  [</w:t>
      </w:r>
      <w:r w:rsidRPr="005425BD" w:rsidR="6B63D3B2">
        <w:t>X</w:t>
      </w:r>
      <w:r w:rsidRPr="005425BD" w:rsidR="009239AA">
        <w:t xml:space="preserve"> ]  No </w:t>
      </w:r>
    </w:p>
    <w:p w:rsidRPr="004208B6" w:rsidR="00C86E91" w:rsidP="00C86E91" w:rsidRDefault="009C13B9" w14:paraId="7EB36EF9" w14:textId="77777777">
      <w:pPr>
        <w:pStyle w:val="ListParagraph"/>
        <w:numPr>
          <w:ilvl w:val="0"/>
          <w:numId w:val="18"/>
        </w:numPr>
      </w:pPr>
      <w:r w:rsidRPr="005425BD">
        <w:t xml:space="preserve">If </w:t>
      </w:r>
      <w:r w:rsidRPr="005425BD" w:rsidR="009239AA">
        <w:t>Yes,</w:t>
      </w:r>
      <w:r w:rsidRPr="005425BD">
        <w:t xml:space="preserve"> </w:t>
      </w:r>
      <w:r w:rsidRPr="005425BD" w:rsidR="009239AA">
        <w:t xml:space="preserve">is </w:t>
      </w:r>
      <w:r w:rsidRPr="004208B6" w:rsidR="009239AA">
        <w:t xml:space="preserve">the information that will be collected included in records that are subject to the Privacy Act of 1974?   </w:t>
      </w:r>
      <w:proofErr w:type="gramStart"/>
      <w:r w:rsidRPr="004208B6" w:rsidR="009239AA">
        <w:t>[  ]</w:t>
      </w:r>
      <w:proofErr w:type="gramEnd"/>
      <w:r w:rsidRPr="004208B6" w:rsidR="009239AA">
        <w:t xml:space="preserve"> Yes [  ] No</w:t>
      </w:r>
      <w:r w:rsidRPr="004208B6" w:rsidR="00C86E91">
        <w:t xml:space="preserve">   </w:t>
      </w:r>
    </w:p>
    <w:p w:rsidRPr="004208B6" w:rsidR="00C86E91" w:rsidP="00C86E91" w:rsidRDefault="00C86E91" w14:paraId="44B53666" w14:textId="765B80E1">
      <w:pPr>
        <w:pStyle w:val="ListParagraph"/>
        <w:numPr>
          <w:ilvl w:val="0"/>
          <w:numId w:val="18"/>
        </w:numPr>
      </w:pPr>
      <w:r w:rsidRPr="004208B6">
        <w:t xml:space="preserve">If Applicable, has a System or Records Notice been published?  </w:t>
      </w:r>
      <w:proofErr w:type="gramStart"/>
      <w:r w:rsidRPr="004208B6">
        <w:t>[  ]</w:t>
      </w:r>
      <w:proofErr w:type="gramEnd"/>
      <w:r w:rsidRPr="004208B6">
        <w:t xml:space="preserve"> Yes  [</w:t>
      </w:r>
      <w:r w:rsidRPr="004208B6" w:rsidR="001A4B5A">
        <w:t>X</w:t>
      </w:r>
      <w:r w:rsidRPr="004208B6">
        <w:t xml:space="preserve"> ] No</w:t>
      </w:r>
    </w:p>
    <w:p w:rsidRPr="004208B6" w:rsidR="00633F74" w:rsidP="00633F74" w:rsidRDefault="00633F74" w14:paraId="76F4CF47" w14:textId="77777777">
      <w:pPr>
        <w:pStyle w:val="ListParagraph"/>
        <w:ind w:left="360"/>
      </w:pPr>
    </w:p>
    <w:p w:rsidRPr="004208B6" w:rsidR="00C86E91" w:rsidP="00C86E91" w:rsidRDefault="00CB1078" w14:paraId="28C0CA09" w14:textId="77777777">
      <w:pPr>
        <w:pStyle w:val="ListParagraph"/>
        <w:ind w:left="0"/>
        <w:rPr>
          <w:b/>
        </w:rPr>
      </w:pPr>
      <w:r w:rsidRPr="004208B6">
        <w:rPr>
          <w:b/>
        </w:rPr>
        <w:t>Gifts or Payments</w:t>
      </w:r>
      <w:r w:rsidRPr="004208B6" w:rsidR="00C86E91">
        <w:rPr>
          <w:b/>
        </w:rPr>
        <w:t>:</w:t>
      </w:r>
    </w:p>
    <w:p w:rsidRPr="004208B6" w:rsidR="00C86E91" w:rsidP="00C86E91" w:rsidRDefault="00C86E91" w14:paraId="07137CD6" w14:textId="5A2CD495">
      <w:r w:rsidRPr="004208B6">
        <w:t xml:space="preserve">Is an incentive (e.g., money or reimbursement of expenses, token of appreciation) provided to participants?  </w:t>
      </w:r>
      <w:proofErr w:type="gramStart"/>
      <w:r w:rsidRPr="004208B6">
        <w:t>[  ]</w:t>
      </w:r>
      <w:proofErr w:type="gramEnd"/>
      <w:r w:rsidRPr="004208B6">
        <w:t xml:space="preserve"> Yes [</w:t>
      </w:r>
      <w:r w:rsidRPr="004208B6" w:rsidR="2E51DF33">
        <w:t>X</w:t>
      </w:r>
      <w:r w:rsidRPr="004208B6">
        <w:t xml:space="preserve">] No  </w:t>
      </w:r>
    </w:p>
    <w:p w:rsidRPr="004208B6" w:rsidR="004D6E14" w:rsidRDefault="004D6E14" w14:paraId="11A8CEC0" w14:textId="77777777">
      <w:pPr>
        <w:rPr>
          <w:b/>
        </w:rPr>
      </w:pPr>
    </w:p>
    <w:p w:rsidRPr="004208B6" w:rsidR="00F24CFC" w:rsidRDefault="00F24CFC" w14:paraId="14104749" w14:textId="77777777">
      <w:pPr>
        <w:rPr>
          <w:b/>
        </w:rPr>
      </w:pPr>
    </w:p>
    <w:p w:rsidRPr="004208B6" w:rsidR="005E714A" w:rsidP="00C86E91" w:rsidRDefault="003668D6" w14:paraId="4F8B8373" w14:textId="77777777">
      <w:pPr>
        <w:rPr>
          <w:b/>
          <w:i/>
        </w:rPr>
      </w:pPr>
      <w:r w:rsidRPr="004208B6">
        <w:rPr>
          <w:b/>
        </w:rPr>
        <w:t xml:space="preserve">ESTIMATED </w:t>
      </w:r>
      <w:r w:rsidRPr="004208B6" w:rsidR="005E714A">
        <w:rPr>
          <w:b/>
        </w:rPr>
        <w:t>BURDEN HOUR</w:t>
      </w:r>
      <w:r w:rsidRPr="004208B6" w:rsidR="00441434">
        <w:rPr>
          <w:b/>
        </w:rPr>
        <w:t>S</w:t>
      </w:r>
      <w:r w:rsidRPr="004208B6" w:rsidR="005E714A">
        <w:rPr>
          <w:b/>
        </w:rPr>
        <w:t xml:space="preserve"> </w:t>
      </w:r>
      <w:r w:rsidRPr="004208B6" w:rsidR="00BC676D">
        <w:rPr>
          <w:b/>
        </w:rPr>
        <w:t>and COSTS</w:t>
      </w:r>
    </w:p>
    <w:p w:rsidRPr="004208B6" w:rsidR="006832D9" w:rsidP="00F3170F" w:rsidRDefault="006832D9" w14:paraId="363EBB01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Pr="004208B6" w:rsidR="003668D6" w:rsidTr="138F303E" w14:paraId="5559C91A" w14:textId="77777777">
        <w:trPr>
          <w:trHeight w:val="274"/>
        </w:trPr>
        <w:tc>
          <w:tcPr>
            <w:tcW w:w="2520" w:type="dxa"/>
          </w:tcPr>
          <w:p w:rsidRPr="004208B6" w:rsidR="003668D6" w:rsidP="7989386D" w:rsidRDefault="003668D6" w14:paraId="1F98E23E" w14:textId="77777777">
            <w:pPr>
              <w:rPr>
                <w:b/>
                <w:bCs/>
              </w:rPr>
            </w:pPr>
            <w:r w:rsidRPr="004208B6">
              <w:rPr>
                <w:b/>
                <w:bCs/>
              </w:rPr>
              <w:t xml:space="preserve">Category of Respondent </w:t>
            </w:r>
          </w:p>
        </w:tc>
        <w:tc>
          <w:tcPr>
            <w:tcW w:w="1980" w:type="dxa"/>
          </w:tcPr>
          <w:p w:rsidRPr="004208B6" w:rsidR="003668D6" w:rsidP="00843796" w:rsidRDefault="003668D6" w14:paraId="472C25F0" w14:textId="77777777">
            <w:pPr>
              <w:rPr>
                <w:b/>
              </w:rPr>
            </w:pPr>
            <w:r w:rsidRPr="004208B6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4208B6" w:rsidR="003668D6" w:rsidP="00843796" w:rsidRDefault="003668D6" w14:paraId="03B8319F" w14:textId="77777777">
            <w:pPr>
              <w:rPr>
                <w:b/>
              </w:rPr>
            </w:pPr>
            <w:r w:rsidRPr="004208B6"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Pr="004208B6" w:rsidR="003668D6" w:rsidP="00843796" w:rsidRDefault="003668D6" w14:paraId="4C545489" w14:textId="77777777">
            <w:pPr>
              <w:rPr>
                <w:b/>
              </w:rPr>
            </w:pPr>
            <w:r w:rsidRPr="004208B6">
              <w:rPr>
                <w:b/>
              </w:rPr>
              <w:t xml:space="preserve">Time per </w:t>
            </w:r>
          </w:p>
          <w:p w:rsidRPr="004208B6" w:rsidR="003668D6" w:rsidP="00843796" w:rsidRDefault="003668D6" w14:paraId="5A3BF950" w14:textId="77777777">
            <w:pPr>
              <w:rPr>
                <w:b/>
              </w:rPr>
            </w:pPr>
            <w:r w:rsidRPr="004208B6">
              <w:rPr>
                <w:b/>
              </w:rPr>
              <w:t xml:space="preserve">Response </w:t>
            </w:r>
          </w:p>
          <w:p w:rsidRPr="004208B6" w:rsidR="003668D6" w:rsidP="00843796" w:rsidRDefault="003668D6" w14:paraId="49D86155" w14:textId="77777777">
            <w:pPr>
              <w:rPr>
                <w:b/>
              </w:rPr>
            </w:pPr>
            <w:r w:rsidRPr="004208B6"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Pr="004208B6" w:rsidR="003668D6" w:rsidP="00843796" w:rsidRDefault="003668D6" w14:paraId="0D1AC99B" w14:textId="77777777">
            <w:pPr>
              <w:rPr>
                <w:b/>
              </w:rPr>
            </w:pPr>
            <w:r w:rsidRPr="004208B6">
              <w:rPr>
                <w:b/>
              </w:rPr>
              <w:t>Total Burden</w:t>
            </w:r>
          </w:p>
          <w:p w:rsidRPr="004208B6" w:rsidR="003668D6" w:rsidP="00843796" w:rsidRDefault="003668D6" w14:paraId="57B4FCF9" w14:textId="77777777">
            <w:pPr>
              <w:rPr>
                <w:b/>
              </w:rPr>
            </w:pPr>
            <w:r w:rsidRPr="004208B6">
              <w:rPr>
                <w:b/>
              </w:rPr>
              <w:t xml:space="preserve">Hours </w:t>
            </w:r>
          </w:p>
        </w:tc>
      </w:tr>
      <w:tr w:rsidRPr="004208B6" w:rsidR="003668D6" w:rsidTr="138F303E" w14:paraId="5887FC83" w14:textId="77777777">
        <w:trPr>
          <w:trHeight w:val="260"/>
        </w:trPr>
        <w:tc>
          <w:tcPr>
            <w:tcW w:w="2520" w:type="dxa"/>
          </w:tcPr>
          <w:p w:rsidRPr="004208B6" w:rsidR="003668D6" w:rsidP="00843796" w:rsidRDefault="0059739A" w14:paraId="7084D2D1" w14:textId="5733478D">
            <w:r w:rsidRPr="004208B6">
              <w:t>Individuals</w:t>
            </w:r>
          </w:p>
        </w:tc>
        <w:tc>
          <w:tcPr>
            <w:tcW w:w="1980" w:type="dxa"/>
          </w:tcPr>
          <w:p w:rsidRPr="004208B6" w:rsidR="003668D6" w:rsidP="00843796" w:rsidRDefault="00D95D16" w14:paraId="32989D1A" w14:textId="0DE41FF5">
            <w:r w:rsidRPr="004208B6">
              <w:t>450</w:t>
            </w:r>
          </w:p>
        </w:tc>
        <w:tc>
          <w:tcPr>
            <w:tcW w:w="2070" w:type="dxa"/>
          </w:tcPr>
          <w:p w:rsidRPr="004208B6" w:rsidR="003668D6" w:rsidP="00843796" w:rsidRDefault="00333B64" w14:paraId="23CFCDFB" w14:textId="7561191E">
            <w:r w:rsidRPr="004208B6">
              <w:t>1</w:t>
            </w:r>
          </w:p>
        </w:tc>
        <w:tc>
          <w:tcPr>
            <w:tcW w:w="1620" w:type="dxa"/>
          </w:tcPr>
          <w:p w:rsidRPr="004208B6" w:rsidR="003668D6" w:rsidP="7989386D" w:rsidRDefault="64725DEF" w14:paraId="761DE05C" w14:textId="1531E4D2">
            <w:r w:rsidRPr="004208B6">
              <w:t>15</w:t>
            </w:r>
            <w:r w:rsidRPr="004208B6" w:rsidR="5604E1F1">
              <w:t>/60</w:t>
            </w:r>
          </w:p>
        </w:tc>
        <w:tc>
          <w:tcPr>
            <w:tcW w:w="1530" w:type="dxa"/>
          </w:tcPr>
          <w:p w:rsidRPr="004208B6" w:rsidR="003668D6" w:rsidP="00843796" w:rsidRDefault="00565DDD" w14:paraId="733522E1" w14:textId="402D8BA0">
            <w:r w:rsidRPr="004208B6">
              <w:t>11</w:t>
            </w:r>
            <w:r w:rsidR="002046BD">
              <w:t>3</w:t>
            </w:r>
            <w:r w:rsidRPr="004208B6">
              <w:t xml:space="preserve"> </w:t>
            </w:r>
          </w:p>
        </w:tc>
      </w:tr>
      <w:tr w:rsidRPr="004208B6" w:rsidR="003668D6" w:rsidTr="138F303E" w14:paraId="051D2F84" w14:textId="77777777">
        <w:trPr>
          <w:trHeight w:val="274"/>
        </w:trPr>
        <w:tc>
          <w:tcPr>
            <w:tcW w:w="2520" w:type="dxa"/>
          </w:tcPr>
          <w:p w:rsidRPr="004208B6" w:rsidR="003668D6" w:rsidP="00843796" w:rsidRDefault="003668D6" w14:paraId="73EF0148" w14:textId="77777777"/>
        </w:tc>
        <w:tc>
          <w:tcPr>
            <w:tcW w:w="1980" w:type="dxa"/>
          </w:tcPr>
          <w:p w:rsidRPr="004208B6" w:rsidR="003668D6" w:rsidP="00843796" w:rsidRDefault="003668D6" w14:paraId="3311233D" w14:textId="77777777"/>
        </w:tc>
        <w:tc>
          <w:tcPr>
            <w:tcW w:w="2070" w:type="dxa"/>
          </w:tcPr>
          <w:p w:rsidRPr="004208B6" w:rsidR="003668D6" w:rsidP="00843796" w:rsidRDefault="003668D6" w14:paraId="3381AD35" w14:textId="77777777"/>
        </w:tc>
        <w:tc>
          <w:tcPr>
            <w:tcW w:w="1620" w:type="dxa"/>
          </w:tcPr>
          <w:p w:rsidRPr="004208B6" w:rsidR="003668D6" w:rsidP="00843796" w:rsidRDefault="003668D6" w14:paraId="10DEA020" w14:textId="77777777"/>
        </w:tc>
        <w:tc>
          <w:tcPr>
            <w:tcW w:w="1530" w:type="dxa"/>
          </w:tcPr>
          <w:p w:rsidRPr="004208B6" w:rsidR="003668D6" w:rsidP="00843796" w:rsidRDefault="003668D6" w14:paraId="47B1A53F" w14:textId="77777777"/>
        </w:tc>
      </w:tr>
      <w:tr w:rsidRPr="004208B6" w:rsidR="003668D6" w:rsidTr="138F303E" w14:paraId="4DA0A43C" w14:textId="77777777">
        <w:trPr>
          <w:trHeight w:val="289"/>
        </w:trPr>
        <w:tc>
          <w:tcPr>
            <w:tcW w:w="2520" w:type="dxa"/>
          </w:tcPr>
          <w:p w:rsidRPr="004208B6" w:rsidR="003668D6" w:rsidP="00843796" w:rsidRDefault="003668D6" w14:paraId="4BB49552" w14:textId="77777777">
            <w:pPr>
              <w:rPr>
                <w:b/>
              </w:rPr>
            </w:pPr>
            <w:r w:rsidRPr="004208B6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4208B6" w:rsidR="003668D6" w:rsidP="00843796" w:rsidRDefault="003668D6" w14:paraId="69D157BC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Pr="004208B6" w:rsidR="003668D6" w:rsidP="00843796" w:rsidRDefault="00004976" w14:paraId="1F1FA52F" w14:textId="01A70C98">
            <w:r>
              <w:t>450</w:t>
            </w:r>
          </w:p>
        </w:tc>
        <w:tc>
          <w:tcPr>
            <w:tcW w:w="1620" w:type="dxa"/>
          </w:tcPr>
          <w:p w:rsidRPr="004208B6" w:rsidR="003668D6" w:rsidP="00843796" w:rsidRDefault="003668D6" w14:paraId="1C10C668" w14:textId="77777777"/>
        </w:tc>
        <w:tc>
          <w:tcPr>
            <w:tcW w:w="1530" w:type="dxa"/>
          </w:tcPr>
          <w:p w:rsidRPr="004208B6" w:rsidR="003668D6" w:rsidP="00843796" w:rsidRDefault="00004976" w14:paraId="4A983E73" w14:textId="28D2F5D4">
            <w:pPr>
              <w:rPr>
                <w:b/>
              </w:rPr>
            </w:pPr>
            <w:r>
              <w:rPr>
                <w:b/>
              </w:rPr>
              <w:t>113</w:t>
            </w:r>
          </w:p>
        </w:tc>
      </w:tr>
    </w:tbl>
    <w:p w:rsidR="00F3170F" w:rsidP="00F3170F" w:rsidRDefault="00F3170F" w14:paraId="26C95F33" w14:textId="5DB50421"/>
    <w:p w:rsidRPr="004208B6" w:rsidR="004668A6" w:rsidP="00F3170F" w:rsidRDefault="004668A6" w14:paraId="05A31DA5" w14:textId="77777777"/>
    <w:p w:rsidRPr="004208B6" w:rsidR="00F136F1" w:rsidP="00F3170F" w:rsidRDefault="00F136F1" w14:paraId="1655F35C" w14:textId="77777777">
      <w:pPr>
        <w:rPr>
          <w:b/>
          <w:bCs/>
        </w:rPr>
      </w:pPr>
      <w:r w:rsidRPr="004208B6">
        <w:rPr>
          <w:b/>
          <w:bCs/>
        </w:rPr>
        <w:t>COST TO RESPONDENT</w:t>
      </w:r>
    </w:p>
    <w:p w:rsidRPr="004208B6" w:rsidR="009A036B" w:rsidP="009A036B" w:rsidRDefault="009A036B" w14:paraId="7A65BD00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4208B6" w:rsidR="00CA2010" w:rsidTr="00CA2010" w14:paraId="2BE79A3D" w14:textId="77777777">
        <w:trPr>
          <w:trHeight w:val="274"/>
        </w:trPr>
        <w:tc>
          <w:tcPr>
            <w:tcW w:w="2790" w:type="dxa"/>
          </w:tcPr>
          <w:p w:rsidRPr="004208B6" w:rsidR="00CA2010" w:rsidP="00CA2010" w:rsidRDefault="00CA2010" w14:paraId="2C10AC20" w14:textId="77777777">
            <w:pPr>
              <w:rPr>
                <w:b/>
              </w:rPr>
            </w:pPr>
            <w:r w:rsidRPr="004208B6">
              <w:rPr>
                <w:b/>
              </w:rPr>
              <w:t xml:space="preserve"> Category of Respondent</w:t>
            </w:r>
          </w:p>
          <w:p w:rsidRPr="004208B6" w:rsidR="00CA2010" w:rsidP="00CA2010" w:rsidRDefault="00CA2010" w14:paraId="16A81CA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4208B6" w:rsidR="00CA2010" w:rsidP="00CA2010" w:rsidRDefault="00CA2010" w14:paraId="4A60AC2E" w14:textId="77777777">
            <w:pPr>
              <w:rPr>
                <w:b/>
              </w:rPr>
            </w:pPr>
            <w:r w:rsidRPr="004208B6">
              <w:rPr>
                <w:b/>
              </w:rPr>
              <w:t>Total Burden</w:t>
            </w:r>
          </w:p>
          <w:p w:rsidRPr="004208B6" w:rsidR="00CA2010" w:rsidP="00CA2010" w:rsidRDefault="00CA2010" w14:paraId="79BA354D" w14:textId="77777777">
            <w:pPr>
              <w:rPr>
                <w:b/>
              </w:rPr>
            </w:pPr>
            <w:r w:rsidRPr="004208B6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4208B6" w:rsidR="00CA2010" w:rsidP="009A036B" w:rsidRDefault="00F94D8C" w14:paraId="779BCDF2" w14:textId="77777777">
            <w:pPr>
              <w:rPr>
                <w:b/>
              </w:rPr>
            </w:pPr>
            <w:r w:rsidRPr="004208B6">
              <w:rPr>
                <w:b/>
              </w:rPr>
              <w:t xml:space="preserve">Hourly </w:t>
            </w:r>
            <w:r w:rsidRPr="004208B6"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4208B6" w:rsidR="00CA2010" w:rsidP="009A036B" w:rsidRDefault="00CA2010" w14:paraId="2F38AA3C" w14:textId="77777777">
            <w:pPr>
              <w:rPr>
                <w:b/>
              </w:rPr>
            </w:pPr>
            <w:r w:rsidRPr="004208B6">
              <w:rPr>
                <w:b/>
              </w:rPr>
              <w:t xml:space="preserve">Total Burden Cost </w:t>
            </w:r>
          </w:p>
        </w:tc>
      </w:tr>
      <w:tr w:rsidRPr="004208B6" w:rsidR="00CA2010" w:rsidTr="00CA2010" w14:paraId="18DB660E" w14:textId="77777777">
        <w:trPr>
          <w:trHeight w:val="260"/>
        </w:trPr>
        <w:tc>
          <w:tcPr>
            <w:tcW w:w="2790" w:type="dxa"/>
          </w:tcPr>
          <w:p w:rsidRPr="004208B6" w:rsidR="00CA2010" w:rsidP="009A036B" w:rsidRDefault="0059739A" w14:paraId="6F14D2D9" w14:textId="2C2AC6B6">
            <w:r w:rsidRPr="004208B6">
              <w:t>Individuals</w:t>
            </w:r>
          </w:p>
        </w:tc>
        <w:tc>
          <w:tcPr>
            <w:tcW w:w="2250" w:type="dxa"/>
          </w:tcPr>
          <w:p w:rsidRPr="004208B6" w:rsidR="00CA2010" w:rsidP="009A036B" w:rsidRDefault="00B216EF" w14:paraId="0CE9D3FC" w14:textId="2E524926">
            <w:r>
              <w:t>11</w:t>
            </w:r>
            <w:r w:rsidR="002046BD">
              <w:t>3</w:t>
            </w:r>
            <w:r>
              <w:t xml:space="preserve"> </w:t>
            </w:r>
          </w:p>
        </w:tc>
        <w:tc>
          <w:tcPr>
            <w:tcW w:w="2520" w:type="dxa"/>
          </w:tcPr>
          <w:p w:rsidRPr="004208B6" w:rsidR="00CA2010" w:rsidP="009A036B" w:rsidRDefault="00305CCF" w14:paraId="0176157C" w14:textId="64B9942F">
            <w:r w:rsidRPr="004208B6">
              <w:t>$</w:t>
            </w:r>
            <w:r w:rsidR="006C457D">
              <w:t>29</w:t>
            </w:r>
          </w:p>
        </w:tc>
        <w:tc>
          <w:tcPr>
            <w:tcW w:w="1620" w:type="dxa"/>
          </w:tcPr>
          <w:p w:rsidRPr="004208B6" w:rsidR="00CA2010" w:rsidP="009A036B" w:rsidRDefault="00843A99" w14:paraId="2A22EC99" w14:textId="01BD78C9">
            <w:r>
              <w:t>$</w:t>
            </w:r>
            <w:r w:rsidR="00464E6D">
              <w:t>32</w:t>
            </w:r>
            <w:r w:rsidR="002046BD">
              <w:t>77</w:t>
            </w:r>
          </w:p>
        </w:tc>
      </w:tr>
      <w:tr w:rsidRPr="004208B6" w:rsidR="00CA2010" w:rsidTr="00CA2010" w14:paraId="71592FDE" w14:textId="77777777">
        <w:trPr>
          <w:trHeight w:val="274"/>
        </w:trPr>
        <w:tc>
          <w:tcPr>
            <w:tcW w:w="2790" w:type="dxa"/>
          </w:tcPr>
          <w:p w:rsidRPr="004208B6" w:rsidR="00CA2010" w:rsidP="009A036B" w:rsidRDefault="00CA2010" w14:paraId="33E6D61B" w14:textId="77777777"/>
        </w:tc>
        <w:tc>
          <w:tcPr>
            <w:tcW w:w="2250" w:type="dxa"/>
          </w:tcPr>
          <w:p w:rsidRPr="004208B6" w:rsidR="00CA2010" w:rsidP="009A036B" w:rsidRDefault="00CA2010" w14:paraId="39B08FAE" w14:textId="77777777"/>
        </w:tc>
        <w:tc>
          <w:tcPr>
            <w:tcW w:w="2520" w:type="dxa"/>
          </w:tcPr>
          <w:p w:rsidRPr="004208B6" w:rsidR="00CA2010" w:rsidP="009A036B" w:rsidRDefault="00CA2010" w14:paraId="4584DB71" w14:textId="77777777"/>
        </w:tc>
        <w:tc>
          <w:tcPr>
            <w:tcW w:w="1620" w:type="dxa"/>
          </w:tcPr>
          <w:p w:rsidRPr="004208B6" w:rsidR="00CA2010" w:rsidP="009A036B" w:rsidRDefault="00CA2010" w14:paraId="14E35C50" w14:textId="77777777"/>
        </w:tc>
      </w:tr>
      <w:tr w:rsidRPr="004208B6" w:rsidR="00CA2010" w:rsidTr="00CA2010" w14:paraId="24AC26B3" w14:textId="77777777">
        <w:trPr>
          <w:trHeight w:val="289"/>
        </w:trPr>
        <w:tc>
          <w:tcPr>
            <w:tcW w:w="2790" w:type="dxa"/>
          </w:tcPr>
          <w:p w:rsidRPr="004208B6" w:rsidR="00CA2010" w:rsidP="009A036B" w:rsidRDefault="00CA2010" w14:paraId="058E4A71" w14:textId="77777777">
            <w:pPr>
              <w:rPr>
                <w:b/>
              </w:rPr>
            </w:pPr>
            <w:r w:rsidRPr="004208B6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4208B6" w:rsidR="00CA2010" w:rsidP="009A036B" w:rsidRDefault="00CA2010" w14:paraId="3ECA8F04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4208B6" w:rsidR="00CA2010" w:rsidP="009A036B" w:rsidRDefault="00CA2010" w14:paraId="7BDD6E9B" w14:textId="77777777"/>
        </w:tc>
        <w:tc>
          <w:tcPr>
            <w:tcW w:w="1620" w:type="dxa"/>
          </w:tcPr>
          <w:p w:rsidRPr="004208B6" w:rsidR="00CA2010" w:rsidP="009A036B" w:rsidRDefault="00004976" w14:paraId="78E92E8F" w14:textId="430DEAEE">
            <w:r>
              <w:t>$3277</w:t>
            </w:r>
          </w:p>
        </w:tc>
      </w:tr>
    </w:tbl>
    <w:p w:rsidRPr="004208B6" w:rsidR="00DB5F89" w:rsidP="00DB5F89" w:rsidRDefault="00DB5F89" w14:paraId="6CFC9F60" w14:textId="6F81357F">
      <w:pPr>
        <w:rPr>
          <w:sz w:val="18"/>
          <w:szCs w:val="18"/>
        </w:rPr>
      </w:pPr>
      <w:r w:rsidRPr="004208B6">
        <w:rPr>
          <w:sz w:val="18"/>
          <w:szCs w:val="18"/>
        </w:rPr>
        <w:t xml:space="preserve">* The wage rate is the mean hourly wage of </w:t>
      </w:r>
      <w:r w:rsidRPr="004208B6" w:rsidR="004A2841">
        <w:rPr>
          <w:sz w:val="18"/>
          <w:szCs w:val="18"/>
        </w:rPr>
        <w:t>$</w:t>
      </w:r>
      <w:r w:rsidR="006C457D">
        <w:rPr>
          <w:sz w:val="18"/>
          <w:szCs w:val="18"/>
        </w:rPr>
        <w:t>29.05</w:t>
      </w:r>
      <w:r w:rsidRPr="004208B6" w:rsidR="004A2841">
        <w:rPr>
          <w:sz w:val="18"/>
          <w:szCs w:val="18"/>
        </w:rPr>
        <w:t xml:space="preserve"> in the United States for </w:t>
      </w:r>
      <w:r w:rsidRPr="004208B6" w:rsidR="00A50F6D">
        <w:rPr>
          <w:sz w:val="18"/>
          <w:szCs w:val="18"/>
        </w:rPr>
        <w:t xml:space="preserve">Education and Health Services sector as reported in BLS </w:t>
      </w:r>
      <w:r w:rsidR="006C457D">
        <w:rPr>
          <w:sz w:val="18"/>
          <w:szCs w:val="18"/>
        </w:rPr>
        <w:t>December</w:t>
      </w:r>
      <w:r w:rsidRPr="004208B6" w:rsidR="006C457D">
        <w:rPr>
          <w:sz w:val="18"/>
          <w:szCs w:val="18"/>
        </w:rPr>
        <w:t xml:space="preserve"> </w:t>
      </w:r>
      <w:r w:rsidRPr="004208B6" w:rsidR="00A50F6D">
        <w:rPr>
          <w:sz w:val="18"/>
          <w:szCs w:val="18"/>
        </w:rPr>
        <w:t>2020</w:t>
      </w:r>
      <w:r w:rsidR="00464E6D">
        <w:rPr>
          <w:sz w:val="18"/>
          <w:szCs w:val="18"/>
        </w:rPr>
        <w:t>.</w:t>
      </w:r>
      <w:r w:rsidRPr="004208B6">
        <w:rPr>
          <w:sz w:val="18"/>
          <w:szCs w:val="18"/>
        </w:rPr>
        <w:t xml:space="preserve">  </w:t>
      </w:r>
      <w:r w:rsidRPr="004208B6" w:rsidR="00305CCF">
        <w:rPr>
          <w:sz w:val="18"/>
          <w:szCs w:val="18"/>
        </w:rPr>
        <w:t>Average hourly and weekly earnings of all employees on private nonfarm payrolls by industry sector, seasonally adjusted</w:t>
      </w:r>
      <w:r w:rsidRPr="004208B6">
        <w:rPr>
          <w:sz w:val="18"/>
          <w:szCs w:val="18"/>
        </w:rPr>
        <w:t xml:space="preserve">: </w:t>
      </w:r>
      <w:hyperlink w:history="1" r:id="rId11">
        <w:r w:rsidRPr="004208B6" w:rsidR="000A0A00">
          <w:rPr>
            <w:rStyle w:val="Hyperlink"/>
            <w:sz w:val="18"/>
            <w:szCs w:val="18"/>
          </w:rPr>
          <w:t>https://www.bls.gov/news.release/empsit.t19.htm</w:t>
        </w:r>
      </w:hyperlink>
      <w:r w:rsidRPr="004208B6" w:rsidR="000A0A00">
        <w:rPr>
          <w:sz w:val="18"/>
          <w:szCs w:val="18"/>
        </w:rPr>
        <w:t xml:space="preserve">. </w:t>
      </w:r>
    </w:p>
    <w:p w:rsidRPr="004208B6" w:rsidR="009A036B" w:rsidP="00F3170F" w:rsidRDefault="009A036B" w14:paraId="08567926" w14:textId="77777777"/>
    <w:p w:rsidRPr="004208B6" w:rsidR="00441434" w:rsidP="00F3170F" w:rsidRDefault="00441434" w14:paraId="78726E48" w14:textId="77777777"/>
    <w:p w:rsidRPr="004208B6" w:rsidR="005E714A" w:rsidRDefault="001C39F7" w14:paraId="58FDCB4C" w14:textId="3318D129">
      <w:r w:rsidRPr="004208B6">
        <w:rPr>
          <w:b/>
        </w:rPr>
        <w:t xml:space="preserve">FEDERAL </w:t>
      </w:r>
      <w:r w:rsidRPr="004208B6" w:rsidR="009F5923">
        <w:rPr>
          <w:b/>
        </w:rPr>
        <w:t>COST</w:t>
      </w:r>
      <w:r w:rsidRPr="004208B6" w:rsidR="00F06866">
        <w:rPr>
          <w:b/>
        </w:rPr>
        <w:t>:</w:t>
      </w:r>
      <w:r w:rsidRPr="004208B6" w:rsidR="00895229">
        <w:rPr>
          <w:b/>
        </w:rPr>
        <w:t xml:space="preserve"> </w:t>
      </w:r>
      <w:r w:rsidRPr="004208B6" w:rsidR="00C86E91">
        <w:rPr>
          <w:b/>
        </w:rPr>
        <w:t xml:space="preserve"> </w:t>
      </w:r>
      <w:r w:rsidRPr="004208B6" w:rsidR="00C86E91">
        <w:t xml:space="preserve">The estimated annual cost to the Federal government </w:t>
      </w:r>
      <w:r w:rsidRPr="004208B6" w:rsidR="00BF6223">
        <w:t>is _</w:t>
      </w:r>
      <w:r w:rsidR="00812FAA">
        <w:t>$</w:t>
      </w:r>
      <w:r w:rsidR="00325D74">
        <w:t>22,6</w:t>
      </w:r>
      <w:r w:rsidR="002046BD">
        <w:t>40</w:t>
      </w:r>
      <w:r w:rsidRPr="004208B6" w:rsidR="00C86E91">
        <w:t>___________</w:t>
      </w:r>
    </w:p>
    <w:p w:rsidRPr="004208B6" w:rsidR="009A036B" w:rsidP="009A036B" w:rsidRDefault="005663E1" w14:paraId="1B6D084A" w14:textId="3CA27F45">
      <w:r>
        <w:lastRenderedPageBreak/>
        <w:t xml:space="preserve">The annualized cost to the federal government for the customer feedback survey is presented in the table below. </w:t>
      </w:r>
      <w:r w:rsidR="008E016B">
        <w:t xml:space="preserve">The </w:t>
      </w:r>
      <w:r w:rsidR="00DF20E1">
        <w:t>customer feedback survey</w:t>
      </w:r>
      <w:r w:rsidR="008E016B">
        <w:t xml:space="preserve"> is conducted by </w:t>
      </w:r>
      <w:r w:rsidR="002D6D80">
        <w:t xml:space="preserve">off-site contractors </w:t>
      </w:r>
      <w:r w:rsidR="004A4C1F">
        <w:t xml:space="preserve">from </w:t>
      </w:r>
      <w:r w:rsidRPr="0089041D" w:rsidR="004A4C1F">
        <w:rPr>
          <w:rStyle w:val="eop"/>
        </w:rPr>
        <w:t>ICPSR</w:t>
      </w:r>
      <w:r w:rsidR="004A4C1F">
        <w:t xml:space="preserve"> </w:t>
      </w:r>
      <w:r w:rsidR="008E016B">
        <w:t xml:space="preserve">with oversight, management, scientific direction, and analyses by federal </w:t>
      </w:r>
      <w:r w:rsidR="00227C75">
        <w:t xml:space="preserve">and in-house contractor </w:t>
      </w:r>
      <w:r w:rsidR="008E016B">
        <w:t>staff at NIH/NIDA. Th</w:t>
      </w:r>
      <w:r>
        <w:t xml:space="preserve">is effort </w:t>
      </w:r>
      <w:r w:rsidR="008E016B">
        <w:t>is funded by FDA through an Interagency Agreement to NIH/NIDA using tobacco user fees assessed under the authority of the FSPTCA (PL 111-31, June 22, 2009).</w:t>
      </w:r>
    </w:p>
    <w:p w:rsidRPr="004208B6" w:rsidR="009A036B" w:rsidP="009A036B" w:rsidRDefault="009A036B" w14:paraId="40E3C504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4208B6" w:rsidR="009A036B" w:rsidTr="5CF1E0FA" w14:paraId="44DF99C2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208B6" w:rsidR="009A036B" w:rsidP="009A036B" w:rsidRDefault="009A036B" w14:paraId="7D0A04E3" w14:textId="77777777">
            <w:pPr>
              <w:rPr>
                <w:b/>
                <w:bCs/>
              </w:rPr>
            </w:pPr>
            <w:r w:rsidRPr="004208B6">
              <w:rPr>
                <w:i/>
              </w:rPr>
              <w:t xml:space="preserve"> </w:t>
            </w:r>
            <w:r w:rsidRPr="004208B6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4208B6" w:rsidR="009A036B" w:rsidP="009A036B" w:rsidRDefault="009A036B" w14:paraId="046A81E3" w14:textId="77777777">
            <w:pPr>
              <w:rPr>
                <w:b/>
                <w:bCs/>
              </w:rPr>
            </w:pPr>
          </w:p>
          <w:p w:rsidRPr="004208B6" w:rsidR="009A036B" w:rsidP="009A036B" w:rsidRDefault="009A036B" w14:paraId="05059A0A" w14:textId="77777777">
            <w:pPr>
              <w:rPr>
                <w:b/>
                <w:bCs/>
              </w:rPr>
            </w:pPr>
            <w:r w:rsidRPr="004208B6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208B6" w:rsidR="009A036B" w:rsidP="009A036B" w:rsidRDefault="009A036B" w14:paraId="42F32A6E" w14:textId="77777777">
            <w:pPr>
              <w:rPr>
                <w:b/>
                <w:bCs/>
              </w:rPr>
            </w:pPr>
            <w:r w:rsidRPr="004208B6">
              <w:rPr>
                <w:b/>
                <w:bCs/>
              </w:rPr>
              <w:t>Salary</w:t>
            </w:r>
            <w:r w:rsidRPr="004208B6"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208B6" w:rsidR="009A036B" w:rsidP="009A036B" w:rsidRDefault="009A036B" w14:paraId="05AF8BAA" w14:textId="77777777">
            <w:pPr>
              <w:rPr>
                <w:b/>
                <w:bCs/>
              </w:rPr>
            </w:pPr>
            <w:r w:rsidRPr="004208B6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208B6" w:rsidR="009A036B" w:rsidP="009A036B" w:rsidRDefault="009A036B" w14:paraId="3A8DBA19" w14:textId="77777777">
            <w:pPr>
              <w:rPr>
                <w:b/>
                <w:bCs/>
              </w:rPr>
            </w:pPr>
            <w:r w:rsidRPr="004208B6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4208B6" w:rsidR="009A036B" w:rsidP="009A036B" w:rsidRDefault="009A036B" w14:paraId="6A29138B" w14:textId="77777777">
            <w:pPr>
              <w:rPr>
                <w:b/>
                <w:bCs/>
              </w:rPr>
            </w:pPr>
            <w:r w:rsidRPr="004208B6">
              <w:rPr>
                <w:b/>
                <w:bCs/>
              </w:rPr>
              <w:t>Total Cost to Gov’t</w:t>
            </w:r>
          </w:p>
        </w:tc>
      </w:tr>
      <w:tr w:rsidRPr="004208B6" w:rsidR="009A036B" w:rsidTr="5CF1E0FA" w14:paraId="4046222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41D2D539" w:rsidRDefault="009C4C7B" w14:paraId="511A6E48" w14:textId="2FE2E4CB">
            <w:pPr>
              <w:rPr>
                <w:b/>
                <w:bCs/>
              </w:rPr>
            </w:pPr>
            <w:r>
              <w:rPr>
                <w:b/>
                <w:bCs/>
              </w:rPr>
              <w:t>NIH</w:t>
            </w:r>
            <w:r w:rsidR="0060335E">
              <w:rPr>
                <w:b/>
                <w:bCs/>
              </w:rPr>
              <w:t xml:space="preserve"> </w:t>
            </w:r>
            <w:r w:rsidRPr="004208B6" w:rsidR="009A036B">
              <w:rPr>
                <w:b/>
                <w:bCs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208B6" w:rsidR="009A036B" w:rsidP="009A036B" w:rsidRDefault="15B2E1DB" w14:paraId="7E05B2F1" w14:textId="44E5865E">
            <w:r>
              <w:t xml:space="preserve">GS </w:t>
            </w:r>
            <w:r w:rsidR="40F7C70D">
              <w:t>1</w:t>
            </w:r>
            <w:r w:rsidR="44D680C8">
              <w:t>3</w:t>
            </w:r>
            <w:r w:rsidR="40F7C70D">
              <w:t>/1</w:t>
            </w:r>
            <w:r w:rsidR="44D680C8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009A036B" w:rsidRDefault="0050177B" w14:paraId="3BAED23E" w14:textId="357EBC27">
            <w:r>
              <w:t>$</w:t>
            </w:r>
            <w:r w:rsidRPr="008A1B7E" w:rsidR="008A1B7E">
              <w:t>134</w:t>
            </w:r>
            <w:r w:rsidR="008A1B7E">
              <w:t>,</w:t>
            </w:r>
            <w:r w:rsidRPr="008A1B7E" w:rsidR="008A1B7E">
              <w:t>798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009A036B" w:rsidRDefault="00B8302F" w14:paraId="3CC476C1" w14:textId="0EDB8A9E">
            <w:r>
              <w:t>5</w:t>
            </w:r>
            <w:r w:rsidR="002046BD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</w:tcPr>
          <w:p w:rsidRPr="004208B6" w:rsidR="009A036B" w:rsidP="009A036B" w:rsidRDefault="009A036B" w14:paraId="580CA8F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208B6" w:rsidR="009A036B" w:rsidP="0040282D" w:rsidRDefault="00DD372F" w14:paraId="78BB30A5" w14:textId="4C84E565">
            <w:pPr>
              <w:jc w:val="center"/>
            </w:pPr>
            <w:r>
              <w:t>$6</w:t>
            </w:r>
            <w:r w:rsidR="00576829">
              <w:t>7</w:t>
            </w:r>
            <w:r w:rsidR="002046BD">
              <w:t>40</w:t>
            </w:r>
          </w:p>
        </w:tc>
      </w:tr>
      <w:tr w:rsidRPr="004208B6" w:rsidR="008B44DC" w:rsidTr="5CF1E0FA" w14:paraId="4B92A7C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44DC" w:rsidP="41D2D539" w:rsidRDefault="008B44DC" w14:paraId="6FF9FC0E" w14:textId="21047023">
            <w:pPr>
              <w:rPr>
                <w:b/>
                <w:bCs/>
              </w:rPr>
            </w:pPr>
            <w:r>
              <w:rPr>
                <w:b/>
                <w:bCs/>
              </w:rPr>
              <w:t>NIH In-house Contractor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8B44DC" w:rsidP="009A036B" w:rsidRDefault="008B44DC" w14:paraId="644790D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44DC" w:rsidP="009A036B" w:rsidRDefault="008B44DC" w14:paraId="288C1D03" w14:textId="3DBA9E56">
            <w:r>
              <w:t>$138,000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44DC" w:rsidP="009A036B" w:rsidRDefault="008B44DC" w14:paraId="2241C991" w14:textId="228E8ED3">
            <w:r>
              <w:t>5</w:t>
            </w:r>
            <w:r w:rsidR="002046BD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</w:tcPr>
          <w:p w:rsidRPr="004208B6" w:rsidR="008B44DC" w:rsidP="009A036B" w:rsidRDefault="008B44DC" w14:paraId="50DE927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8B44DC" w:rsidP="0040282D" w:rsidRDefault="008B44DC" w14:paraId="05A5FAC9" w14:textId="184E41D7">
            <w:pPr>
              <w:jc w:val="center"/>
            </w:pPr>
            <w:r>
              <w:t>$6,900</w:t>
            </w:r>
            <w:r w:rsidR="001D3946">
              <w:t>.00</w:t>
            </w:r>
          </w:p>
        </w:tc>
      </w:tr>
      <w:tr w:rsidRPr="004208B6" w:rsidR="009A036B" w:rsidTr="5CF1E0FA" w14:paraId="581E9DB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009A036B" w:rsidRDefault="009A036B" w14:paraId="1A07EDCB" w14:textId="77777777">
            <w:pPr>
              <w:rPr>
                <w:b/>
              </w:rPr>
            </w:pPr>
            <w:r w:rsidRPr="004208B6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</w:tcPr>
          <w:p w:rsidRPr="004208B6" w:rsidR="009A036B" w:rsidP="009A036B" w:rsidRDefault="009A036B" w14:paraId="3D3A561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009A036B" w:rsidRDefault="009A036B" w14:paraId="0206A0C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009A036B" w:rsidRDefault="009A036B" w14:paraId="5352D1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208B6" w:rsidR="009A036B" w:rsidP="009A036B" w:rsidRDefault="009A036B" w14:paraId="2B28DD9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208B6" w:rsidR="009A036B" w:rsidP="0040282D" w:rsidRDefault="009A036B" w14:paraId="59CAE777" w14:textId="77777777">
            <w:pPr>
              <w:jc w:val="center"/>
            </w:pPr>
          </w:p>
        </w:tc>
      </w:tr>
      <w:tr w:rsidRPr="004208B6" w:rsidR="009A036B" w:rsidTr="5CF1E0FA" w14:paraId="4EFE781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005638DC" w:rsidRDefault="009D395C" w14:paraId="29964FE0" w14:textId="5D95F8F9">
            <w:r>
              <w:rPr>
                <w:rStyle w:val="eop"/>
              </w:rPr>
              <w:t>Off</w:t>
            </w:r>
            <w:r w:rsidR="00CC5925">
              <w:rPr>
                <w:rStyle w:val="eop"/>
              </w:rPr>
              <w:t>-</w:t>
            </w:r>
            <w:r>
              <w:rPr>
                <w:rStyle w:val="eop"/>
              </w:rPr>
              <w:t>site</w:t>
            </w:r>
            <w:r w:rsidR="00CC5925">
              <w:rPr>
                <w:rStyle w:val="eop"/>
              </w:rPr>
              <w:t xml:space="preserve"> </w:t>
            </w:r>
            <w:r w:rsidR="00ED4227">
              <w:rPr>
                <w:rStyle w:val="eop"/>
              </w:rPr>
              <w:t>contractors</w:t>
            </w:r>
            <w:r w:rsidR="002D7A08">
              <w:rPr>
                <w:rStyle w:val="eop"/>
              </w:rPr>
              <w:t xml:space="preserve"> </w:t>
            </w:r>
            <w:r w:rsidR="003A69E6">
              <w:rPr>
                <w:rStyle w:val="eop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</w:tcPr>
          <w:p w:rsidRPr="004208B6" w:rsidR="009A036B" w:rsidP="005638DC" w:rsidRDefault="009A036B" w14:paraId="068313A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005638DC" w:rsidRDefault="009A036B" w14:paraId="6D95A7E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005638DC" w:rsidRDefault="009A036B" w14:paraId="21568E7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</w:tcPr>
          <w:p w:rsidRPr="004208B6" w:rsidR="009A036B" w:rsidP="005638DC" w:rsidRDefault="009A036B" w14:paraId="10A49E1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208B6" w:rsidR="009A036B" w:rsidP="0040282D" w:rsidRDefault="57748588" w14:paraId="16517B93" w14:textId="15629A1F">
            <w:pPr>
              <w:jc w:val="center"/>
            </w:pPr>
            <w:r>
              <w:t>$</w:t>
            </w:r>
            <w:r w:rsidR="006C22C1">
              <w:t>9</w:t>
            </w:r>
            <w:r>
              <w:t>,000</w:t>
            </w:r>
          </w:p>
        </w:tc>
      </w:tr>
      <w:tr w:rsidRPr="004208B6" w:rsidR="009A036B" w:rsidTr="5CF1E0FA" w14:paraId="0D3643A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005638DC" w:rsidRDefault="009A036B" w14:paraId="1352D5D7" w14:textId="77777777">
            <w:r w:rsidRPr="004208B6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</w:tcPr>
          <w:p w:rsidRPr="004208B6" w:rsidR="009A036B" w:rsidP="005638DC" w:rsidRDefault="009A036B" w14:paraId="6BE262C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005638DC" w:rsidRDefault="009A036B" w14:paraId="66F39B8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005638DC" w:rsidRDefault="009A036B" w14:paraId="2AA21EA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</w:tcPr>
          <w:p w:rsidRPr="004208B6" w:rsidR="009A036B" w:rsidP="005638DC" w:rsidRDefault="009A036B" w14:paraId="287E9E4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208B6" w:rsidR="009A036B" w:rsidP="0040282D" w:rsidRDefault="009A036B" w14:paraId="1C8AA059" w14:textId="77777777">
            <w:pPr>
              <w:jc w:val="center"/>
            </w:pPr>
          </w:p>
        </w:tc>
      </w:tr>
      <w:tr w:rsidRPr="004208B6" w:rsidR="009A036B" w:rsidTr="5CF1E0FA" w14:paraId="6A2A359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005638DC" w:rsidRDefault="009A036B" w14:paraId="75CE6F40" w14:textId="77777777">
            <w:r w:rsidRPr="004208B6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</w:tcPr>
          <w:p w:rsidRPr="004208B6" w:rsidR="009A036B" w:rsidP="005638DC" w:rsidRDefault="009A036B" w14:paraId="0B8EE7A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005638DC" w:rsidRDefault="009A036B" w14:paraId="045ADAC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005638DC" w:rsidRDefault="009A036B" w14:paraId="2C86B7B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</w:tcPr>
          <w:p w:rsidRPr="004208B6" w:rsidR="009A036B" w:rsidP="005638DC" w:rsidRDefault="009A036B" w14:paraId="4743AC2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208B6" w:rsidR="009A036B" w:rsidP="0040282D" w:rsidRDefault="009A036B" w14:paraId="0A2FE328" w14:textId="77777777">
            <w:pPr>
              <w:jc w:val="center"/>
            </w:pPr>
          </w:p>
        </w:tc>
      </w:tr>
      <w:tr w:rsidRPr="004208B6" w:rsidR="009A036B" w:rsidTr="5CF1E0FA" w14:paraId="2DFA5AF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208B6" w:rsidR="009A036B" w:rsidP="005638DC" w:rsidRDefault="009A036B" w14:paraId="7056EDAB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</w:tcPr>
          <w:p w:rsidRPr="004208B6" w:rsidR="009A036B" w:rsidP="005638DC" w:rsidRDefault="009A036B" w14:paraId="51E8B71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208B6" w:rsidR="009A036B" w:rsidP="005638DC" w:rsidRDefault="009A036B" w14:paraId="67C43AC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208B6" w:rsidR="009A036B" w:rsidP="005638DC" w:rsidRDefault="005638DC" w14:paraId="6E0FCD31" w14:textId="705D286D">
            <w:pPr>
              <w:rPr>
                <w:b/>
              </w:rPr>
            </w:pPr>
            <w:r w:rsidRPr="004208B6">
              <w:rPr>
                <w:b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</w:tcPr>
          <w:p w:rsidRPr="004208B6" w:rsidR="009A036B" w:rsidP="009A036B" w:rsidRDefault="009A036B" w14:paraId="6F3FB60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208B6" w:rsidR="009A036B" w:rsidP="0040282D" w:rsidRDefault="009A036B" w14:paraId="7A3713AA" w14:textId="77777777">
            <w:pPr>
              <w:jc w:val="center"/>
              <w:rPr>
                <w:b/>
              </w:rPr>
            </w:pPr>
          </w:p>
        </w:tc>
      </w:tr>
      <w:tr w:rsidRPr="004208B6" w:rsidR="009A036B" w:rsidTr="5CF1E0FA" w14:paraId="5B22CC7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208B6" w:rsidR="009A036B" w:rsidP="009A036B" w:rsidRDefault="004B1EB8" w14:paraId="78809975" w14:textId="77777777">
            <w:pPr>
              <w:rPr>
                <w:b/>
              </w:rPr>
            </w:pPr>
            <w:r w:rsidRPr="004208B6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</w:tcPr>
          <w:p w:rsidRPr="004208B6" w:rsidR="009A036B" w:rsidP="009A036B" w:rsidRDefault="009A036B" w14:paraId="788C14A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208B6" w:rsidR="009A036B" w:rsidP="009A036B" w:rsidRDefault="009A036B" w14:paraId="3100AA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208B6" w:rsidR="009A036B" w:rsidP="009A036B" w:rsidRDefault="009A036B" w14:paraId="018F340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0CECE" w:themeFill="background2" w:themeFillShade="E6"/>
          </w:tcPr>
          <w:p w:rsidRPr="004208B6" w:rsidR="009A036B" w:rsidP="009A036B" w:rsidRDefault="009A036B" w14:paraId="6DCC034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208B6" w:rsidR="009A036B" w:rsidP="0040282D" w:rsidRDefault="0040282D" w14:paraId="46A5A11E" w14:textId="2AE93885">
            <w:pPr>
              <w:jc w:val="center"/>
            </w:pPr>
            <w:r>
              <w:t>$</w:t>
            </w:r>
            <w:r w:rsidR="00537C2B">
              <w:t>22,6</w:t>
            </w:r>
            <w:r w:rsidR="002046BD">
              <w:t>40</w:t>
            </w:r>
          </w:p>
        </w:tc>
      </w:tr>
    </w:tbl>
    <w:p w:rsidRPr="0040282D" w:rsidR="009A036B" w:rsidP="009A036B" w:rsidRDefault="002D74B4" w14:paraId="610A155E" w14:textId="33928FB6">
      <w:pPr>
        <w:rPr>
          <w:sz w:val="18"/>
          <w:szCs w:val="18"/>
        </w:rPr>
      </w:pPr>
      <w:bookmarkStart w:name="_Hlk31117769" w:id="0"/>
      <w:r w:rsidRPr="0040282D">
        <w:rPr>
          <w:sz w:val="18"/>
          <w:szCs w:val="18"/>
        </w:rPr>
        <w:t xml:space="preserve">*the Salary in table above is cited from </w:t>
      </w:r>
      <w:hyperlink w:history="1" r:id="rId12">
        <w:r w:rsidRPr="0040282D" w:rsidR="00BF075E">
          <w:rPr>
            <w:rStyle w:val="Hyperlink"/>
            <w:sz w:val="18"/>
            <w:szCs w:val="18"/>
          </w:rPr>
          <w:t>https://www.opm.gov/policy-data-oversight/pay-leave/salaries-wages/2021/general-schedule/</w:t>
        </w:r>
      </w:hyperlink>
      <w:r w:rsidRPr="0040282D" w:rsidR="00BF075E">
        <w:rPr>
          <w:sz w:val="18"/>
          <w:szCs w:val="18"/>
        </w:rPr>
        <w:t xml:space="preserve">. </w:t>
      </w:r>
    </w:p>
    <w:bookmarkEnd w:id="0"/>
    <w:p w:rsidRPr="004208B6" w:rsidR="009A036B" w:rsidRDefault="009A036B" w14:paraId="5AE29CD3" w14:textId="77777777">
      <w:pPr>
        <w:rPr>
          <w:b/>
        </w:rPr>
      </w:pPr>
    </w:p>
    <w:p w:rsidRPr="004208B6" w:rsidR="00ED6492" w:rsidRDefault="00ED6492" w14:paraId="42A73726" w14:textId="77777777">
      <w:pPr>
        <w:rPr>
          <w:b/>
          <w:bCs/>
          <w:u w:val="single"/>
        </w:rPr>
      </w:pPr>
    </w:p>
    <w:p w:rsidRPr="004208B6" w:rsidR="0069403B" w:rsidP="00F06866" w:rsidRDefault="00ED6492" w14:paraId="23FB873F" w14:textId="77777777">
      <w:pPr>
        <w:rPr>
          <w:b/>
        </w:rPr>
      </w:pPr>
      <w:r w:rsidRPr="004208B6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4208B6">
        <w:rPr>
          <w:b/>
          <w:bCs/>
          <w:u w:val="single"/>
        </w:rPr>
        <w:t xml:space="preserve">please </w:t>
      </w:r>
      <w:r w:rsidRPr="004208B6" w:rsidR="0069403B">
        <w:rPr>
          <w:b/>
          <w:bCs/>
          <w:u w:val="single"/>
        </w:rPr>
        <w:t xml:space="preserve"> provide</w:t>
      </w:r>
      <w:proofErr w:type="gramEnd"/>
      <w:r w:rsidRPr="004208B6" w:rsidR="0069403B">
        <w:rPr>
          <w:b/>
          <w:bCs/>
          <w:u w:val="single"/>
        </w:rPr>
        <w:t xml:space="preserve"> answers to the following questions:</w:t>
      </w:r>
    </w:p>
    <w:p w:rsidRPr="004208B6" w:rsidR="0069403B" w:rsidP="00F06866" w:rsidRDefault="0069403B" w14:paraId="03803895" w14:textId="77777777">
      <w:pPr>
        <w:rPr>
          <w:b/>
        </w:rPr>
      </w:pPr>
    </w:p>
    <w:p w:rsidRPr="004208B6" w:rsidR="00F06866" w:rsidP="00F06866" w:rsidRDefault="00636621" w14:paraId="6907648C" w14:textId="77777777">
      <w:pPr>
        <w:rPr>
          <w:b/>
        </w:rPr>
      </w:pPr>
      <w:r w:rsidRPr="004208B6">
        <w:rPr>
          <w:b/>
        </w:rPr>
        <w:t>The</w:t>
      </w:r>
      <w:r w:rsidRPr="004208B6" w:rsidR="0069403B">
        <w:rPr>
          <w:b/>
        </w:rPr>
        <w:t xml:space="preserve"> select</w:t>
      </w:r>
      <w:r w:rsidRPr="004208B6">
        <w:rPr>
          <w:b/>
        </w:rPr>
        <w:t>ion of your targeted respondents</w:t>
      </w:r>
    </w:p>
    <w:p w:rsidRPr="004208B6" w:rsidR="0069403B" w:rsidP="0069403B" w:rsidRDefault="0069403B" w14:paraId="5BA94672" w14:textId="60386211">
      <w:pPr>
        <w:pStyle w:val="ListParagraph"/>
        <w:numPr>
          <w:ilvl w:val="0"/>
          <w:numId w:val="15"/>
        </w:numPr>
      </w:pPr>
      <w:r w:rsidRPr="004208B6">
        <w:t>Do you have a customer list or something similar that defines the universe of potential respondents</w:t>
      </w:r>
      <w:r w:rsidRPr="004208B6" w:rsidR="00636621">
        <w:t xml:space="preserve"> and do you have a sampling plan for selecting from this universe</w:t>
      </w:r>
      <w:r w:rsidRPr="004208B6">
        <w:t>?</w:t>
      </w:r>
      <w:r w:rsidRPr="004208B6">
        <w:tab/>
      </w:r>
      <w:r w:rsidRPr="004208B6">
        <w:tab/>
      </w:r>
      <w:r w:rsidRPr="004208B6">
        <w:tab/>
      </w:r>
      <w:r w:rsidRPr="004208B6">
        <w:tab/>
      </w:r>
      <w:r w:rsidRPr="004208B6">
        <w:tab/>
      </w:r>
      <w:r w:rsidRPr="004208B6">
        <w:tab/>
      </w:r>
      <w:r w:rsidRPr="004208B6">
        <w:tab/>
      </w:r>
      <w:r w:rsidRPr="004208B6">
        <w:tab/>
      </w:r>
      <w:r w:rsidRPr="004208B6" w:rsidR="00636621">
        <w:tab/>
      </w:r>
      <w:r w:rsidRPr="004208B6" w:rsidR="00636621">
        <w:tab/>
      </w:r>
      <w:r w:rsidRPr="004208B6" w:rsidR="00636621">
        <w:tab/>
      </w:r>
      <w:r w:rsidRPr="004208B6">
        <w:t xml:space="preserve">[ </w:t>
      </w:r>
      <w:r w:rsidRPr="00BC5423" w:rsidR="0059739A">
        <w:t>X</w:t>
      </w:r>
      <w:r w:rsidRPr="004208B6">
        <w:t>] Yes</w:t>
      </w:r>
      <w:r w:rsidRPr="004208B6">
        <w:tab/>
      </w:r>
      <w:proofErr w:type="gramStart"/>
      <w:r w:rsidRPr="004208B6">
        <w:t>[ ]</w:t>
      </w:r>
      <w:proofErr w:type="gramEnd"/>
      <w:r w:rsidRPr="004208B6">
        <w:t xml:space="preserve"> No</w:t>
      </w:r>
    </w:p>
    <w:p w:rsidRPr="004208B6" w:rsidR="00636621" w:rsidP="00636621" w:rsidRDefault="00636621" w14:paraId="0800595C" w14:textId="77777777">
      <w:pPr>
        <w:pStyle w:val="ListParagraph"/>
      </w:pPr>
    </w:p>
    <w:p w:rsidRPr="004208B6" w:rsidR="00636621" w:rsidP="001B0AAA" w:rsidRDefault="00636621" w14:paraId="1070DF03" w14:textId="77777777">
      <w:r w:rsidRPr="004208B6">
        <w:t xml:space="preserve">If the answer is yes, please </w:t>
      </w:r>
      <w:proofErr w:type="gramStart"/>
      <w:r w:rsidRPr="004208B6">
        <w:t>provide</w:t>
      </w:r>
      <w:proofErr w:type="gramEnd"/>
      <w:r w:rsidRPr="004208B6">
        <w:t xml:space="preserve"> a description of both below</w:t>
      </w:r>
      <w:r w:rsidRPr="004208B6" w:rsidR="00A403BB">
        <w:t xml:space="preserve"> (or attach the sampling plan)</w:t>
      </w:r>
      <w:r w:rsidRPr="004208B6">
        <w:t>?   If the answer is no, please provide a description of how you plan to identify your potential group of respondents</w:t>
      </w:r>
      <w:r w:rsidRPr="004208B6" w:rsidR="001B0AAA">
        <w:t xml:space="preserve"> and how you will select them</w:t>
      </w:r>
      <w:r w:rsidRPr="004208B6">
        <w:t>?</w:t>
      </w:r>
    </w:p>
    <w:p w:rsidRPr="004208B6" w:rsidR="00A403BB" w:rsidP="00A403BB" w:rsidRDefault="00A403BB" w14:paraId="55283F98" w14:textId="77777777">
      <w:pPr>
        <w:pStyle w:val="ListParagraph"/>
      </w:pPr>
    </w:p>
    <w:p w:rsidRPr="00BC5423" w:rsidR="00DD7EE5" w:rsidP="00A403BB" w:rsidRDefault="117A67D8" w14:paraId="101BC450" w14:textId="4ECC1E23">
      <w:r w:rsidRPr="00BC5423">
        <w:t xml:space="preserve">We will be </w:t>
      </w:r>
      <w:r w:rsidRPr="00BC5423" w:rsidR="31826761">
        <w:t>reaching out to the PATH Study data users using a database of former and current PATH Study data users</w:t>
      </w:r>
      <w:r w:rsidRPr="00BC5423" w:rsidR="7D1DDBBF">
        <w:t xml:space="preserve">. </w:t>
      </w:r>
      <w:r w:rsidRPr="00BC5423" w:rsidR="3DBF3402">
        <w:t xml:space="preserve">As this database is managed by </w:t>
      </w:r>
      <w:r w:rsidRPr="0089041D" w:rsidR="004A4C1F">
        <w:rPr>
          <w:rStyle w:val="eop"/>
        </w:rPr>
        <w:t>ICPSR</w:t>
      </w:r>
      <w:r w:rsidRPr="00BC5423" w:rsidR="3DBF3402">
        <w:t xml:space="preserve">, </w:t>
      </w:r>
      <w:r w:rsidRPr="0089041D" w:rsidR="004A4C1F">
        <w:rPr>
          <w:rStyle w:val="eop"/>
        </w:rPr>
        <w:t>ICPSR</w:t>
      </w:r>
      <w:r w:rsidRPr="00BC5423" w:rsidR="004A4C1F">
        <w:t xml:space="preserve"> </w:t>
      </w:r>
      <w:r w:rsidRPr="00BC5423" w:rsidR="419029C1">
        <w:t xml:space="preserve">will be sending the web survey link to former and current PATH Study data users. </w:t>
      </w:r>
      <w:r w:rsidRPr="00BC5423" w:rsidR="1C9D7629">
        <w:t>Additionally, t</w:t>
      </w:r>
      <w:r w:rsidRPr="00BC5423" w:rsidR="419029C1">
        <w:t xml:space="preserve">he web survey link will be shared </w:t>
      </w:r>
      <w:r w:rsidRPr="00BC5423" w:rsidR="1526745B">
        <w:t>to the following</w:t>
      </w:r>
      <w:r w:rsidRPr="00BC5423" w:rsidR="5B9E9791">
        <w:t xml:space="preserve"> listserv</w:t>
      </w:r>
      <w:r w:rsidRPr="00BC5423" w:rsidR="1526745B">
        <w:t>s</w:t>
      </w:r>
      <w:r w:rsidRPr="00BC5423" w:rsidR="003B4CBB">
        <w:t>, which</w:t>
      </w:r>
      <w:r w:rsidRPr="00BC5423" w:rsidR="1526745B">
        <w:t xml:space="preserve"> </w:t>
      </w:r>
      <w:r w:rsidRPr="004208B6" w:rsidR="003B4CBB">
        <w:t xml:space="preserve">are standard dissemination channels for the PATH Study </w:t>
      </w:r>
      <w:r w:rsidRPr="004208B6" w:rsidR="00CA7B21">
        <w:t>announcements</w:t>
      </w:r>
      <w:r w:rsidRPr="00BC5423" w:rsidR="1526745B">
        <w:t xml:space="preserve">: </w:t>
      </w:r>
    </w:p>
    <w:p w:rsidRPr="00BC5423" w:rsidR="0074356D" w:rsidP="00A403BB" w:rsidRDefault="0074356D" w14:paraId="680F2CF5" w14:textId="77777777"/>
    <w:p w:rsidRPr="00BC5423" w:rsidR="000A1D6F" w:rsidP="000A1D6F" w:rsidRDefault="000A1D6F" w14:paraId="588C2AC7" w14:textId="22031897">
      <w:pPr>
        <w:pStyle w:val="ListParagraph"/>
        <w:numPr>
          <w:ilvl w:val="0"/>
          <w:numId w:val="19"/>
        </w:numPr>
      </w:pPr>
      <w:r w:rsidRPr="00BC5423">
        <w:t>C</w:t>
      </w:r>
      <w:r w:rsidRPr="00BC5423" w:rsidR="009628F0">
        <w:t>enter for Coordination of Analytics, Science, Enhancement, and Logistics in Tobacco Regulatory Science (C</w:t>
      </w:r>
      <w:r w:rsidRPr="00BC5423">
        <w:t>ASEL</w:t>
      </w:r>
      <w:r w:rsidRPr="00BC5423" w:rsidR="009628F0">
        <w:t>)</w:t>
      </w:r>
      <w:r w:rsidRPr="00BC5423">
        <w:t xml:space="preserve"> </w:t>
      </w:r>
    </w:p>
    <w:p w:rsidRPr="00BC5423" w:rsidR="000A1D6F" w:rsidP="000A1D6F" w:rsidRDefault="000A1D6F" w14:paraId="25436A5F" w14:textId="1269F5B6">
      <w:pPr>
        <w:pStyle w:val="ListParagraph"/>
        <w:numPr>
          <w:ilvl w:val="0"/>
          <w:numId w:val="19"/>
        </w:numPr>
      </w:pPr>
      <w:r w:rsidRPr="00BC5423">
        <w:t>FDA</w:t>
      </w:r>
      <w:r w:rsidRPr="00BC5423" w:rsidR="009628F0">
        <w:t>/ Center for Tobacco Product</w:t>
      </w:r>
      <w:r w:rsidRPr="00BC5423" w:rsidR="009C345A">
        <w:t>s</w:t>
      </w:r>
      <w:r w:rsidRPr="00BC5423" w:rsidR="009628F0">
        <w:t xml:space="preserve"> (</w:t>
      </w:r>
      <w:r w:rsidRPr="00BC5423">
        <w:t>CTP</w:t>
      </w:r>
      <w:r w:rsidRPr="00BC5423" w:rsidR="009628F0">
        <w:t>)</w:t>
      </w:r>
      <w:r w:rsidRPr="00BC5423">
        <w:t xml:space="preserve"> social media </w:t>
      </w:r>
    </w:p>
    <w:p w:rsidRPr="00BC5423" w:rsidR="000A1D6F" w:rsidP="000A1D6F" w:rsidRDefault="003B63E0" w14:paraId="13FE620C" w14:textId="2726A1A3">
      <w:pPr>
        <w:pStyle w:val="ListParagraph"/>
        <w:numPr>
          <w:ilvl w:val="0"/>
          <w:numId w:val="19"/>
        </w:numPr>
      </w:pPr>
      <w:r w:rsidRPr="004208B6">
        <w:t>Society for Research on Nicotine &amp; Tobacco (</w:t>
      </w:r>
      <w:r w:rsidRPr="00BC5423" w:rsidR="000A1D6F">
        <w:t>SRNT</w:t>
      </w:r>
      <w:r w:rsidRPr="00BC5423">
        <w:t>)</w:t>
      </w:r>
      <w:r w:rsidRPr="00BC5423" w:rsidR="000A1D6F">
        <w:t xml:space="preserve"> listservs </w:t>
      </w:r>
    </w:p>
    <w:p w:rsidR="000A1D6F" w:rsidP="000A1D6F" w:rsidRDefault="000A1D6F" w14:paraId="353D79F8" w14:textId="54349F2C">
      <w:pPr>
        <w:pStyle w:val="ListParagraph"/>
        <w:numPr>
          <w:ilvl w:val="0"/>
          <w:numId w:val="19"/>
        </w:numPr>
      </w:pPr>
      <w:r w:rsidRPr="00BC5423">
        <w:t xml:space="preserve">College on Problems of Drug Dependence (CPDD) listserv </w:t>
      </w:r>
    </w:p>
    <w:p w:rsidRPr="00BC5423" w:rsidR="00881DAE" w:rsidP="00D54E69" w:rsidRDefault="00D54E69" w14:paraId="01CB4F5A" w14:textId="05CCDE76">
      <w:pPr>
        <w:pStyle w:val="ListParagraph"/>
        <w:numPr>
          <w:ilvl w:val="0"/>
          <w:numId w:val="19"/>
        </w:numPr>
      </w:pPr>
      <w:r w:rsidRPr="00D54E69">
        <w:t>The NIH Tobacco and Nicotine Research Interest Group (TANRIG) listserv</w:t>
      </w:r>
    </w:p>
    <w:p w:rsidRPr="004208B6" w:rsidR="00CC5474" w:rsidP="00A403BB" w:rsidRDefault="00CC5474" w14:paraId="7FF1C965" w14:textId="77777777"/>
    <w:p w:rsidRPr="004208B6" w:rsidR="007B3B3A" w:rsidP="00A403BB" w:rsidRDefault="00CC5474" w14:paraId="68A28420" w14:textId="766B6742">
      <w:r>
        <w:lastRenderedPageBreak/>
        <w:t>The survey will also be available to anyone via link on</w:t>
      </w:r>
      <w:r w:rsidR="00D00B81">
        <w:t xml:space="preserve"> the </w:t>
      </w:r>
      <w:r w:rsidRPr="5CF1E0FA" w:rsidR="004A4C1F">
        <w:rPr>
          <w:rStyle w:val="eop"/>
        </w:rPr>
        <w:t>ICPSR</w:t>
      </w:r>
      <w:r w:rsidR="004A4C1F">
        <w:t xml:space="preserve">’s </w:t>
      </w:r>
      <w:r w:rsidR="00D00B81">
        <w:t xml:space="preserve">PATH Study Data Series website. </w:t>
      </w:r>
    </w:p>
    <w:p w:rsidRPr="004208B6" w:rsidR="00CC5474" w:rsidP="00A403BB" w:rsidRDefault="00CC5474" w14:paraId="7156FCA7" w14:textId="77777777"/>
    <w:p w:rsidRPr="004208B6" w:rsidR="00A403BB" w:rsidP="00A403BB" w:rsidRDefault="00A403BB" w14:paraId="5619D893" w14:textId="77777777">
      <w:pPr>
        <w:rPr>
          <w:b/>
        </w:rPr>
      </w:pPr>
      <w:r w:rsidRPr="004208B6">
        <w:rPr>
          <w:b/>
        </w:rPr>
        <w:t>Administration of the Instrument</w:t>
      </w:r>
    </w:p>
    <w:p w:rsidRPr="004208B6" w:rsidR="00A403BB" w:rsidP="00A403BB" w:rsidRDefault="001B0AAA" w14:paraId="38966F0C" w14:textId="77777777">
      <w:pPr>
        <w:pStyle w:val="ListParagraph"/>
        <w:numPr>
          <w:ilvl w:val="0"/>
          <w:numId w:val="17"/>
        </w:numPr>
      </w:pPr>
      <w:r w:rsidRPr="004208B6">
        <w:t>H</w:t>
      </w:r>
      <w:r w:rsidRPr="004208B6" w:rsidR="00A403BB">
        <w:t>ow will you collect the information? (Check all that apply)</w:t>
      </w:r>
    </w:p>
    <w:p w:rsidRPr="004208B6" w:rsidR="001B0AAA" w:rsidP="001B0AAA" w:rsidRDefault="00A403BB" w14:paraId="7E2EEB8F" w14:textId="6E170CE6">
      <w:pPr>
        <w:ind w:left="720"/>
      </w:pPr>
      <w:r w:rsidRPr="004208B6">
        <w:t xml:space="preserve">[ </w:t>
      </w:r>
      <w:proofErr w:type="gramStart"/>
      <w:r w:rsidRPr="00DD5B8A" w:rsidR="0059739A">
        <w:t>X</w:t>
      </w:r>
      <w:r w:rsidRPr="004208B6" w:rsidR="001B0AAA">
        <w:t xml:space="preserve"> </w:t>
      </w:r>
      <w:r w:rsidRPr="004208B6">
        <w:t>]</w:t>
      </w:r>
      <w:proofErr w:type="gramEnd"/>
      <w:r w:rsidRPr="004208B6">
        <w:t xml:space="preserve"> Web-based</w:t>
      </w:r>
      <w:r w:rsidRPr="004208B6" w:rsidR="001B0AAA">
        <w:t xml:space="preserve"> or other forms of Social Media </w:t>
      </w:r>
    </w:p>
    <w:p w:rsidRPr="004208B6" w:rsidR="001B0AAA" w:rsidP="001B0AAA" w:rsidRDefault="00A403BB" w14:paraId="690FC2BC" w14:textId="77777777">
      <w:pPr>
        <w:ind w:left="720"/>
      </w:pPr>
      <w:proofErr w:type="gramStart"/>
      <w:r w:rsidRPr="004208B6">
        <w:t xml:space="preserve">[ </w:t>
      </w:r>
      <w:r w:rsidRPr="004208B6" w:rsidR="001B0AAA">
        <w:t xml:space="preserve"> </w:t>
      </w:r>
      <w:r w:rsidRPr="004208B6">
        <w:t>]</w:t>
      </w:r>
      <w:proofErr w:type="gramEnd"/>
      <w:r w:rsidRPr="004208B6">
        <w:t xml:space="preserve"> Telephone</w:t>
      </w:r>
      <w:r w:rsidRPr="004208B6">
        <w:tab/>
      </w:r>
    </w:p>
    <w:p w:rsidRPr="004208B6" w:rsidR="001B0AAA" w:rsidP="001B0AAA" w:rsidRDefault="00A403BB" w14:paraId="1CAE94D2" w14:textId="77777777">
      <w:pPr>
        <w:ind w:left="720"/>
      </w:pPr>
      <w:proofErr w:type="gramStart"/>
      <w:r w:rsidRPr="004208B6">
        <w:t>[</w:t>
      </w:r>
      <w:r w:rsidRPr="004208B6" w:rsidR="001B0AAA">
        <w:t xml:space="preserve"> </w:t>
      </w:r>
      <w:r w:rsidRPr="004208B6">
        <w:t xml:space="preserve"> ]</w:t>
      </w:r>
      <w:proofErr w:type="gramEnd"/>
      <w:r w:rsidRPr="004208B6">
        <w:t xml:space="preserve"> In-person</w:t>
      </w:r>
      <w:r w:rsidRPr="004208B6">
        <w:tab/>
      </w:r>
    </w:p>
    <w:p w:rsidRPr="004208B6" w:rsidR="001B0AAA" w:rsidP="001B0AAA" w:rsidRDefault="00A403BB" w14:paraId="708FECB1" w14:textId="77777777">
      <w:pPr>
        <w:ind w:left="720"/>
      </w:pPr>
      <w:proofErr w:type="gramStart"/>
      <w:r w:rsidRPr="004208B6">
        <w:t xml:space="preserve">[ </w:t>
      </w:r>
      <w:r w:rsidRPr="004208B6" w:rsidR="001B0AAA">
        <w:t xml:space="preserve"> </w:t>
      </w:r>
      <w:r w:rsidRPr="004208B6">
        <w:t>]</w:t>
      </w:r>
      <w:proofErr w:type="gramEnd"/>
      <w:r w:rsidRPr="004208B6">
        <w:t xml:space="preserve"> Mail</w:t>
      </w:r>
      <w:r w:rsidRPr="004208B6" w:rsidR="001B0AAA">
        <w:t xml:space="preserve"> </w:t>
      </w:r>
    </w:p>
    <w:p w:rsidRPr="004208B6" w:rsidR="001B0AAA" w:rsidP="001B0AAA" w:rsidRDefault="00A403BB" w14:paraId="5C78292D" w14:textId="77777777">
      <w:pPr>
        <w:ind w:left="720"/>
      </w:pPr>
      <w:proofErr w:type="gramStart"/>
      <w:r w:rsidRPr="004208B6">
        <w:t xml:space="preserve">[ </w:t>
      </w:r>
      <w:r w:rsidRPr="004208B6" w:rsidR="001B0AAA">
        <w:t xml:space="preserve"> </w:t>
      </w:r>
      <w:r w:rsidRPr="004208B6">
        <w:t>]</w:t>
      </w:r>
      <w:proofErr w:type="gramEnd"/>
      <w:r w:rsidRPr="004208B6">
        <w:t xml:space="preserve"> Other, Explain</w:t>
      </w:r>
    </w:p>
    <w:p w:rsidRPr="004208B6" w:rsidR="00F24CFC" w:rsidP="00F24CFC" w:rsidRDefault="00F24CFC" w14:paraId="08D08C53" w14:textId="0556D4E3">
      <w:pPr>
        <w:pStyle w:val="ListParagraph"/>
        <w:numPr>
          <w:ilvl w:val="0"/>
          <w:numId w:val="17"/>
        </w:numPr>
      </w:pPr>
      <w:r w:rsidRPr="004208B6">
        <w:t xml:space="preserve">Will interviewers or facilitators be used?  </w:t>
      </w:r>
      <w:proofErr w:type="gramStart"/>
      <w:r w:rsidRPr="004208B6">
        <w:t>[  ]</w:t>
      </w:r>
      <w:proofErr w:type="gramEnd"/>
      <w:r w:rsidRPr="004208B6">
        <w:t xml:space="preserve"> Yes [</w:t>
      </w:r>
      <w:r w:rsidRPr="00DD5B8A" w:rsidR="0059739A">
        <w:t>X</w:t>
      </w:r>
      <w:r w:rsidRPr="004208B6">
        <w:t xml:space="preserve">  ] No</w:t>
      </w:r>
    </w:p>
    <w:p w:rsidRPr="004208B6" w:rsidR="00F24CFC" w:rsidP="00F24CFC" w:rsidRDefault="00F24CFC" w14:paraId="43A411FC" w14:textId="77777777">
      <w:pPr>
        <w:pStyle w:val="ListParagraph"/>
        <w:ind w:left="360"/>
      </w:pPr>
      <w:r w:rsidRPr="004208B6">
        <w:t xml:space="preserve"> </w:t>
      </w:r>
    </w:p>
    <w:p w:rsidRPr="004208B6" w:rsidR="0024521E" w:rsidP="0024521E" w:rsidRDefault="00F24CFC" w14:paraId="0852D57B" w14:textId="77777777">
      <w:pPr>
        <w:rPr>
          <w:b/>
        </w:rPr>
      </w:pPr>
      <w:r w:rsidRPr="004208B6">
        <w:rPr>
          <w:b/>
        </w:rPr>
        <w:t>Please make sure that all instruments, instructions, and scripts are submitted with the request.</w:t>
      </w:r>
    </w:p>
    <w:p w:rsidRPr="004208B6" w:rsidR="003932D1" w:rsidP="0024521E" w:rsidRDefault="003932D1" w14:paraId="6CD4767E" w14:textId="77777777">
      <w:pPr>
        <w:rPr>
          <w:b/>
        </w:rPr>
      </w:pPr>
    </w:p>
    <w:p w:rsidRPr="004208B6" w:rsidR="003932D1" w:rsidP="0024521E" w:rsidRDefault="003932D1" w14:paraId="2DD2C36D" w14:textId="77777777">
      <w:pPr>
        <w:rPr>
          <w:b/>
        </w:rPr>
      </w:pPr>
    </w:p>
    <w:sectPr w:rsidRPr="004208B6" w:rsidR="003932D1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158C8" w14:textId="77777777" w:rsidR="00424F97" w:rsidRDefault="00424F97">
      <w:r>
        <w:separator/>
      </w:r>
    </w:p>
  </w:endnote>
  <w:endnote w:type="continuationSeparator" w:id="0">
    <w:p w14:paraId="5D4AF872" w14:textId="77777777" w:rsidR="00424F97" w:rsidRDefault="00424F97">
      <w:r>
        <w:continuationSeparator/>
      </w:r>
    </w:p>
  </w:endnote>
  <w:endnote w:type="continuationNotice" w:id="1">
    <w:p w14:paraId="08848D5B" w14:textId="77777777" w:rsidR="00424F97" w:rsidRDefault="00424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BB7E3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C5E7F" w14:textId="77777777" w:rsidR="00424F97" w:rsidRDefault="00424F97">
      <w:r>
        <w:separator/>
      </w:r>
    </w:p>
  </w:footnote>
  <w:footnote w:type="continuationSeparator" w:id="0">
    <w:p w14:paraId="3F9970FB" w14:textId="77777777" w:rsidR="00424F97" w:rsidRDefault="00424F97">
      <w:r>
        <w:continuationSeparator/>
      </w:r>
    </w:p>
  </w:footnote>
  <w:footnote w:type="continuationNotice" w:id="1">
    <w:p w14:paraId="3E394541" w14:textId="77777777" w:rsidR="00424F97" w:rsidRDefault="00424F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E2148"/>
    <w:multiLevelType w:val="hybridMultilevel"/>
    <w:tmpl w:val="E392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hybridMultilevel"/>
    <w:tmpl w:val="A5BA7554"/>
    <w:lvl w:ilvl="0" w:tplc="D428B09C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  <w:lvl w:ilvl="1" w:tplc="EC5C35B2">
      <w:numFmt w:val="decimal"/>
      <w:lvlText w:val=""/>
      <w:lvlJc w:val="left"/>
    </w:lvl>
    <w:lvl w:ilvl="2" w:tplc="36BEA8EE">
      <w:numFmt w:val="decimal"/>
      <w:lvlText w:val=""/>
      <w:lvlJc w:val="left"/>
    </w:lvl>
    <w:lvl w:ilvl="3" w:tplc="3D544E9C">
      <w:numFmt w:val="decimal"/>
      <w:lvlText w:val=""/>
      <w:lvlJc w:val="left"/>
    </w:lvl>
    <w:lvl w:ilvl="4" w:tplc="04B03AEC">
      <w:numFmt w:val="decimal"/>
      <w:lvlText w:val=""/>
      <w:lvlJc w:val="left"/>
    </w:lvl>
    <w:lvl w:ilvl="5" w:tplc="DEB8B468">
      <w:numFmt w:val="decimal"/>
      <w:lvlText w:val=""/>
      <w:lvlJc w:val="left"/>
    </w:lvl>
    <w:lvl w:ilvl="6" w:tplc="9CAE35DA">
      <w:numFmt w:val="decimal"/>
      <w:lvlText w:val=""/>
      <w:lvlJc w:val="left"/>
    </w:lvl>
    <w:lvl w:ilvl="7" w:tplc="6B309ED2">
      <w:numFmt w:val="decimal"/>
      <w:lvlText w:val=""/>
      <w:lvlJc w:val="left"/>
    </w:lvl>
    <w:lvl w:ilvl="8" w:tplc="54E08816">
      <w:numFmt w:val="decimal"/>
      <w:lvlText w:val=""/>
      <w:lvlJc w:val="left"/>
    </w:lvl>
  </w:abstractNum>
  <w:abstractNum w:abstractNumId="17" w15:restartNumberingAfterBreak="0">
    <w:nsid w:val="7B8A28C0"/>
    <w:multiLevelType w:val="hybridMultilevel"/>
    <w:tmpl w:val="2A22CF7E"/>
    <w:lvl w:ilvl="0" w:tplc="54443D7C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  <w:lvl w:ilvl="1" w:tplc="2BE201E2">
      <w:numFmt w:val="decimal"/>
      <w:lvlText w:val=""/>
      <w:lvlJc w:val="left"/>
    </w:lvl>
    <w:lvl w:ilvl="2" w:tplc="9EA466AC">
      <w:numFmt w:val="decimal"/>
      <w:lvlText w:val=""/>
      <w:lvlJc w:val="left"/>
    </w:lvl>
    <w:lvl w:ilvl="3" w:tplc="43207D86">
      <w:numFmt w:val="decimal"/>
      <w:lvlText w:val=""/>
      <w:lvlJc w:val="left"/>
    </w:lvl>
    <w:lvl w:ilvl="4" w:tplc="0A9EBCD8">
      <w:numFmt w:val="decimal"/>
      <w:lvlText w:val=""/>
      <w:lvlJc w:val="left"/>
    </w:lvl>
    <w:lvl w:ilvl="5" w:tplc="317E389E">
      <w:numFmt w:val="decimal"/>
      <w:lvlText w:val=""/>
      <w:lvlJc w:val="left"/>
    </w:lvl>
    <w:lvl w:ilvl="6" w:tplc="749C24F8">
      <w:numFmt w:val="decimal"/>
      <w:lvlText w:val=""/>
      <w:lvlJc w:val="left"/>
    </w:lvl>
    <w:lvl w:ilvl="7" w:tplc="B3569280">
      <w:numFmt w:val="decimal"/>
      <w:lvlText w:val=""/>
      <w:lvlJc w:val="left"/>
    </w:lvl>
    <w:lvl w:ilvl="8" w:tplc="B59CB958">
      <w:numFmt w:val="decimal"/>
      <w:lvlText w:val=""/>
      <w:lvlJc w:val="left"/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4976"/>
    <w:rsid w:val="00023A57"/>
    <w:rsid w:val="00047A64"/>
    <w:rsid w:val="00064525"/>
    <w:rsid w:val="00067329"/>
    <w:rsid w:val="000722CE"/>
    <w:rsid w:val="00075BDB"/>
    <w:rsid w:val="000913EC"/>
    <w:rsid w:val="000A0A00"/>
    <w:rsid w:val="000A1D6F"/>
    <w:rsid w:val="000A2867"/>
    <w:rsid w:val="000A3004"/>
    <w:rsid w:val="000B2838"/>
    <w:rsid w:val="000B415F"/>
    <w:rsid w:val="000D44CA"/>
    <w:rsid w:val="000D5EF0"/>
    <w:rsid w:val="000E200B"/>
    <w:rsid w:val="000E6B8E"/>
    <w:rsid w:val="000F114B"/>
    <w:rsid w:val="000F22B5"/>
    <w:rsid w:val="000F68BE"/>
    <w:rsid w:val="001079A5"/>
    <w:rsid w:val="00113A81"/>
    <w:rsid w:val="00152D77"/>
    <w:rsid w:val="00162F83"/>
    <w:rsid w:val="00165FC3"/>
    <w:rsid w:val="00177AEA"/>
    <w:rsid w:val="001855D1"/>
    <w:rsid w:val="001927A4"/>
    <w:rsid w:val="00193BC4"/>
    <w:rsid w:val="00194AC6"/>
    <w:rsid w:val="001A23B0"/>
    <w:rsid w:val="001A25CC"/>
    <w:rsid w:val="001A4B5A"/>
    <w:rsid w:val="001B0AAA"/>
    <w:rsid w:val="001B7430"/>
    <w:rsid w:val="001C1B50"/>
    <w:rsid w:val="001C39F7"/>
    <w:rsid w:val="001D3946"/>
    <w:rsid w:val="001D6113"/>
    <w:rsid w:val="001E7633"/>
    <w:rsid w:val="00201325"/>
    <w:rsid w:val="002046BD"/>
    <w:rsid w:val="00227C75"/>
    <w:rsid w:val="00237B48"/>
    <w:rsid w:val="0024521E"/>
    <w:rsid w:val="00263C3D"/>
    <w:rsid w:val="00274D0B"/>
    <w:rsid w:val="00284110"/>
    <w:rsid w:val="00284EC2"/>
    <w:rsid w:val="002B3C95"/>
    <w:rsid w:val="002B6515"/>
    <w:rsid w:val="002D0B92"/>
    <w:rsid w:val="002D26E2"/>
    <w:rsid w:val="002D2DB4"/>
    <w:rsid w:val="002D6D80"/>
    <w:rsid w:val="002D732C"/>
    <w:rsid w:val="002D74B4"/>
    <w:rsid w:val="002D7A08"/>
    <w:rsid w:val="002D7C0B"/>
    <w:rsid w:val="002E48F5"/>
    <w:rsid w:val="00305CCF"/>
    <w:rsid w:val="00305E8C"/>
    <w:rsid w:val="003226FB"/>
    <w:rsid w:val="00325D74"/>
    <w:rsid w:val="00327C17"/>
    <w:rsid w:val="00333B64"/>
    <w:rsid w:val="003668D6"/>
    <w:rsid w:val="003932D1"/>
    <w:rsid w:val="00393396"/>
    <w:rsid w:val="003945D6"/>
    <w:rsid w:val="003A69E6"/>
    <w:rsid w:val="003A7074"/>
    <w:rsid w:val="003B4CBB"/>
    <w:rsid w:val="003B63E0"/>
    <w:rsid w:val="003D5BBE"/>
    <w:rsid w:val="003E3C61"/>
    <w:rsid w:val="003E7D9F"/>
    <w:rsid w:val="003F1C5B"/>
    <w:rsid w:val="0040282D"/>
    <w:rsid w:val="00410967"/>
    <w:rsid w:val="00410CCC"/>
    <w:rsid w:val="004170AA"/>
    <w:rsid w:val="004174C0"/>
    <w:rsid w:val="004208B6"/>
    <w:rsid w:val="00420E91"/>
    <w:rsid w:val="00424EA5"/>
    <w:rsid w:val="00424F97"/>
    <w:rsid w:val="00425B70"/>
    <w:rsid w:val="00431EB1"/>
    <w:rsid w:val="00434E33"/>
    <w:rsid w:val="00441434"/>
    <w:rsid w:val="0045264C"/>
    <w:rsid w:val="00454549"/>
    <w:rsid w:val="00464E6D"/>
    <w:rsid w:val="00465A83"/>
    <w:rsid w:val="004668A6"/>
    <w:rsid w:val="00486870"/>
    <w:rsid w:val="004876EC"/>
    <w:rsid w:val="0049033A"/>
    <w:rsid w:val="00496BEB"/>
    <w:rsid w:val="004A2841"/>
    <w:rsid w:val="004A44F3"/>
    <w:rsid w:val="004A4C1F"/>
    <w:rsid w:val="004B1E00"/>
    <w:rsid w:val="004B1EB8"/>
    <w:rsid w:val="004C20B9"/>
    <w:rsid w:val="004C2766"/>
    <w:rsid w:val="004D6E14"/>
    <w:rsid w:val="004E372C"/>
    <w:rsid w:val="004E5533"/>
    <w:rsid w:val="004F1013"/>
    <w:rsid w:val="004F1482"/>
    <w:rsid w:val="004F6F4F"/>
    <w:rsid w:val="005009B0"/>
    <w:rsid w:val="0050177B"/>
    <w:rsid w:val="00513EDE"/>
    <w:rsid w:val="005176F1"/>
    <w:rsid w:val="00524A41"/>
    <w:rsid w:val="0052619C"/>
    <w:rsid w:val="00526A9E"/>
    <w:rsid w:val="005356A0"/>
    <w:rsid w:val="00537C2B"/>
    <w:rsid w:val="005425BD"/>
    <w:rsid w:val="005638DC"/>
    <w:rsid w:val="00565DDD"/>
    <w:rsid w:val="005663E1"/>
    <w:rsid w:val="00576829"/>
    <w:rsid w:val="0057741A"/>
    <w:rsid w:val="00581FDE"/>
    <w:rsid w:val="005946FE"/>
    <w:rsid w:val="0059739A"/>
    <w:rsid w:val="005A1006"/>
    <w:rsid w:val="005A216B"/>
    <w:rsid w:val="005A5DD4"/>
    <w:rsid w:val="005A772A"/>
    <w:rsid w:val="005A7CE7"/>
    <w:rsid w:val="005D1CC5"/>
    <w:rsid w:val="005D263F"/>
    <w:rsid w:val="005E714A"/>
    <w:rsid w:val="0060335E"/>
    <w:rsid w:val="006107C6"/>
    <w:rsid w:val="006140A0"/>
    <w:rsid w:val="00614A33"/>
    <w:rsid w:val="006252EA"/>
    <w:rsid w:val="00633274"/>
    <w:rsid w:val="00633F74"/>
    <w:rsid w:val="00636329"/>
    <w:rsid w:val="00636621"/>
    <w:rsid w:val="0064047E"/>
    <w:rsid w:val="00642B49"/>
    <w:rsid w:val="00646C36"/>
    <w:rsid w:val="0067780D"/>
    <w:rsid w:val="0068276F"/>
    <w:rsid w:val="006832D9"/>
    <w:rsid w:val="00685A89"/>
    <w:rsid w:val="00686301"/>
    <w:rsid w:val="006927CD"/>
    <w:rsid w:val="0069403B"/>
    <w:rsid w:val="006A26FA"/>
    <w:rsid w:val="006B5E18"/>
    <w:rsid w:val="006B7B34"/>
    <w:rsid w:val="006C22C1"/>
    <w:rsid w:val="006C39EC"/>
    <w:rsid w:val="006C457D"/>
    <w:rsid w:val="006C5AD3"/>
    <w:rsid w:val="006D5F47"/>
    <w:rsid w:val="006F3DDE"/>
    <w:rsid w:val="006F7F88"/>
    <w:rsid w:val="00704678"/>
    <w:rsid w:val="00704C6B"/>
    <w:rsid w:val="0070609E"/>
    <w:rsid w:val="007411F9"/>
    <w:rsid w:val="007424E3"/>
    <w:rsid w:val="007425E7"/>
    <w:rsid w:val="0074356D"/>
    <w:rsid w:val="00746D83"/>
    <w:rsid w:val="00766D95"/>
    <w:rsid w:val="0077703F"/>
    <w:rsid w:val="007869A9"/>
    <w:rsid w:val="00794E85"/>
    <w:rsid w:val="007A345A"/>
    <w:rsid w:val="007B3B3A"/>
    <w:rsid w:val="007C3041"/>
    <w:rsid w:val="007E2983"/>
    <w:rsid w:val="007E567A"/>
    <w:rsid w:val="00802607"/>
    <w:rsid w:val="008101A5"/>
    <w:rsid w:val="00811789"/>
    <w:rsid w:val="00812FAA"/>
    <w:rsid w:val="00821262"/>
    <w:rsid w:val="008215B1"/>
    <w:rsid w:val="00822664"/>
    <w:rsid w:val="00822E28"/>
    <w:rsid w:val="00835BB9"/>
    <w:rsid w:val="00843796"/>
    <w:rsid w:val="00843A99"/>
    <w:rsid w:val="0085116A"/>
    <w:rsid w:val="008670DC"/>
    <w:rsid w:val="00870011"/>
    <w:rsid w:val="0087606C"/>
    <w:rsid w:val="0088047B"/>
    <w:rsid w:val="00881DAE"/>
    <w:rsid w:val="00887320"/>
    <w:rsid w:val="0089041D"/>
    <w:rsid w:val="00895229"/>
    <w:rsid w:val="00895A93"/>
    <w:rsid w:val="00897C31"/>
    <w:rsid w:val="008A1B7E"/>
    <w:rsid w:val="008B44DC"/>
    <w:rsid w:val="008E016B"/>
    <w:rsid w:val="008E4CFE"/>
    <w:rsid w:val="008F0203"/>
    <w:rsid w:val="008F50D4"/>
    <w:rsid w:val="008F7009"/>
    <w:rsid w:val="00904514"/>
    <w:rsid w:val="00921426"/>
    <w:rsid w:val="009239AA"/>
    <w:rsid w:val="009312A4"/>
    <w:rsid w:val="00935ADA"/>
    <w:rsid w:val="00946B6C"/>
    <w:rsid w:val="00947F2D"/>
    <w:rsid w:val="00955A71"/>
    <w:rsid w:val="00957ED5"/>
    <w:rsid w:val="0096108F"/>
    <w:rsid w:val="009628F0"/>
    <w:rsid w:val="009715FB"/>
    <w:rsid w:val="009A036B"/>
    <w:rsid w:val="009B2AFC"/>
    <w:rsid w:val="009B5AB4"/>
    <w:rsid w:val="009B6B59"/>
    <w:rsid w:val="009C13B9"/>
    <w:rsid w:val="009C345A"/>
    <w:rsid w:val="009C4C7B"/>
    <w:rsid w:val="009D01A2"/>
    <w:rsid w:val="009D395C"/>
    <w:rsid w:val="009E07ED"/>
    <w:rsid w:val="009F07D9"/>
    <w:rsid w:val="009F5923"/>
    <w:rsid w:val="00A17825"/>
    <w:rsid w:val="00A229F1"/>
    <w:rsid w:val="00A34CA0"/>
    <w:rsid w:val="00A353C8"/>
    <w:rsid w:val="00A403BB"/>
    <w:rsid w:val="00A50F6D"/>
    <w:rsid w:val="00A50F89"/>
    <w:rsid w:val="00A674DF"/>
    <w:rsid w:val="00A74F75"/>
    <w:rsid w:val="00A83AA6"/>
    <w:rsid w:val="00AA0864"/>
    <w:rsid w:val="00AC392E"/>
    <w:rsid w:val="00AC5801"/>
    <w:rsid w:val="00AC60E8"/>
    <w:rsid w:val="00AD6038"/>
    <w:rsid w:val="00AD6057"/>
    <w:rsid w:val="00AE14B1"/>
    <w:rsid w:val="00AE1809"/>
    <w:rsid w:val="00AE4A7A"/>
    <w:rsid w:val="00AF4C43"/>
    <w:rsid w:val="00B216EF"/>
    <w:rsid w:val="00B60DC7"/>
    <w:rsid w:val="00B73315"/>
    <w:rsid w:val="00B80D76"/>
    <w:rsid w:val="00B8302F"/>
    <w:rsid w:val="00B9394A"/>
    <w:rsid w:val="00B974FD"/>
    <w:rsid w:val="00BA2105"/>
    <w:rsid w:val="00BA53F4"/>
    <w:rsid w:val="00BA75D4"/>
    <w:rsid w:val="00BA7E06"/>
    <w:rsid w:val="00BB43B5"/>
    <w:rsid w:val="00BB6219"/>
    <w:rsid w:val="00BC5423"/>
    <w:rsid w:val="00BC676D"/>
    <w:rsid w:val="00BD01E9"/>
    <w:rsid w:val="00BD290F"/>
    <w:rsid w:val="00BE3177"/>
    <w:rsid w:val="00BE5BF6"/>
    <w:rsid w:val="00BF075E"/>
    <w:rsid w:val="00BF2C61"/>
    <w:rsid w:val="00BF6223"/>
    <w:rsid w:val="00C07BD2"/>
    <w:rsid w:val="00C14CC4"/>
    <w:rsid w:val="00C163F7"/>
    <w:rsid w:val="00C2435B"/>
    <w:rsid w:val="00C24B78"/>
    <w:rsid w:val="00C33C52"/>
    <w:rsid w:val="00C37104"/>
    <w:rsid w:val="00C40D8B"/>
    <w:rsid w:val="00C4567C"/>
    <w:rsid w:val="00C810A1"/>
    <w:rsid w:val="00C8407A"/>
    <w:rsid w:val="00C8488C"/>
    <w:rsid w:val="00C86E91"/>
    <w:rsid w:val="00C90DEB"/>
    <w:rsid w:val="00C92A52"/>
    <w:rsid w:val="00CA19A3"/>
    <w:rsid w:val="00CA2010"/>
    <w:rsid w:val="00CA2650"/>
    <w:rsid w:val="00CA7B21"/>
    <w:rsid w:val="00CB1078"/>
    <w:rsid w:val="00CC5474"/>
    <w:rsid w:val="00CC5925"/>
    <w:rsid w:val="00CC6FAF"/>
    <w:rsid w:val="00CD3F0A"/>
    <w:rsid w:val="00CE6B0C"/>
    <w:rsid w:val="00D00B81"/>
    <w:rsid w:val="00D10BF7"/>
    <w:rsid w:val="00D13BC2"/>
    <w:rsid w:val="00D24698"/>
    <w:rsid w:val="00D347B5"/>
    <w:rsid w:val="00D41206"/>
    <w:rsid w:val="00D504C2"/>
    <w:rsid w:val="00D54E69"/>
    <w:rsid w:val="00D62C74"/>
    <w:rsid w:val="00D6383F"/>
    <w:rsid w:val="00D662C8"/>
    <w:rsid w:val="00D73BF3"/>
    <w:rsid w:val="00D95D16"/>
    <w:rsid w:val="00D96B21"/>
    <w:rsid w:val="00DB4A58"/>
    <w:rsid w:val="00DB5843"/>
    <w:rsid w:val="00DB59D0"/>
    <w:rsid w:val="00DB5F89"/>
    <w:rsid w:val="00DC2F2F"/>
    <w:rsid w:val="00DC33D3"/>
    <w:rsid w:val="00DC56BA"/>
    <w:rsid w:val="00DC64D3"/>
    <w:rsid w:val="00DD29D2"/>
    <w:rsid w:val="00DD372F"/>
    <w:rsid w:val="00DD5B8A"/>
    <w:rsid w:val="00DD7EE5"/>
    <w:rsid w:val="00DF20E1"/>
    <w:rsid w:val="00E0318C"/>
    <w:rsid w:val="00E26329"/>
    <w:rsid w:val="00E3175A"/>
    <w:rsid w:val="00E34B29"/>
    <w:rsid w:val="00E40B50"/>
    <w:rsid w:val="00E44E0D"/>
    <w:rsid w:val="00E473E2"/>
    <w:rsid w:val="00E50293"/>
    <w:rsid w:val="00E56E4C"/>
    <w:rsid w:val="00E65FFC"/>
    <w:rsid w:val="00E670E2"/>
    <w:rsid w:val="00E80951"/>
    <w:rsid w:val="00E86CC6"/>
    <w:rsid w:val="00E94383"/>
    <w:rsid w:val="00EA181E"/>
    <w:rsid w:val="00EB56B3"/>
    <w:rsid w:val="00EB7650"/>
    <w:rsid w:val="00ED4227"/>
    <w:rsid w:val="00ED5AD7"/>
    <w:rsid w:val="00ED6492"/>
    <w:rsid w:val="00EE6E05"/>
    <w:rsid w:val="00EF2095"/>
    <w:rsid w:val="00F017BF"/>
    <w:rsid w:val="00F06866"/>
    <w:rsid w:val="00F136F1"/>
    <w:rsid w:val="00F15956"/>
    <w:rsid w:val="00F24CFC"/>
    <w:rsid w:val="00F27AA6"/>
    <w:rsid w:val="00F3170F"/>
    <w:rsid w:val="00F401B8"/>
    <w:rsid w:val="00F459E3"/>
    <w:rsid w:val="00F45A73"/>
    <w:rsid w:val="00F562BB"/>
    <w:rsid w:val="00F57EF9"/>
    <w:rsid w:val="00F671A9"/>
    <w:rsid w:val="00F8360C"/>
    <w:rsid w:val="00F94D8C"/>
    <w:rsid w:val="00F976B0"/>
    <w:rsid w:val="00FA6C9C"/>
    <w:rsid w:val="00FA6DE7"/>
    <w:rsid w:val="00FB08ED"/>
    <w:rsid w:val="00FB50A7"/>
    <w:rsid w:val="00FC0A8E"/>
    <w:rsid w:val="00FE2FA6"/>
    <w:rsid w:val="00FE3DF2"/>
    <w:rsid w:val="0314AD4F"/>
    <w:rsid w:val="037562BF"/>
    <w:rsid w:val="064D6578"/>
    <w:rsid w:val="06C9D593"/>
    <w:rsid w:val="0AB0FA7C"/>
    <w:rsid w:val="0FF98710"/>
    <w:rsid w:val="116DD476"/>
    <w:rsid w:val="117A67D8"/>
    <w:rsid w:val="138F303E"/>
    <w:rsid w:val="13D996D8"/>
    <w:rsid w:val="1526745B"/>
    <w:rsid w:val="158AF123"/>
    <w:rsid w:val="15B2E1DB"/>
    <w:rsid w:val="16E90284"/>
    <w:rsid w:val="17BCC26E"/>
    <w:rsid w:val="17DC7058"/>
    <w:rsid w:val="19969B6C"/>
    <w:rsid w:val="1AAA55E9"/>
    <w:rsid w:val="1AE78735"/>
    <w:rsid w:val="1C9D7629"/>
    <w:rsid w:val="1E727706"/>
    <w:rsid w:val="207E8111"/>
    <w:rsid w:val="21DCC0D9"/>
    <w:rsid w:val="2280F487"/>
    <w:rsid w:val="250B3847"/>
    <w:rsid w:val="2510D2E2"/>
    <w:rsid w:val="25176497"/>
    <w:rsid w:val="254A2794"/>
    <w:rsid w:val="2634EBE4"/>
    <w:rsid w:val="275986F4"/>
    <w:rsid w:val="29AD0375"/>
    <w:rsid w:val="2C690561"/>
    <w:rsid w:val="2E04D5C2"/>
    <w:rsid w:val="2E51DF33"/>
    <w:rsid w:val="2F5763B3"/>
    <w:rsid w:val="2FF41562"/>
    <w:rsid w:val="3094CDBD"/>
    <w:rsid w:val="31826761"/>
    <w:rsid w:val="32D8AB8C"/>
    <w:rsid w:val="331471A1"/>
    <w:rsid w:val="3407B50B"/>
    <w:rsid w:val="34CD0A18"/>
    <w:rsid w:val="37E253D6"/>
    <w:rsid w:val="3849BBCA"/>
    <w:rsid w:val="396A9AD1"/>
    <w:rsid w:val="3AF45854"/>
    <w:rsid w:val="3C872C3B"/>
    <w:rsid w:val="3CDE42CA"/>
    <w:rsid w:val="3DBF3402"/>
    <w:rsid w:val="40F7C70D"/>
    <w:rsid w:val="41810020"/>
    <w:rsid w:val="419029C1"/>
    <w:rsid w:val="41D2D539"/>
    <w:rsid w:val="42B7A4DB"/>
    <w:rsid w:val="43D09ABE"/>
    <w:rsid w:val="44667637"/>
    <w:rsid w:val="44D2F865"/>
    <w:rsid w:val="44D680C8"/>
    <w:rsid w:val="46B3C311"/>
    <w:rsid w:val="49DA11CF"/>
    <w:rsid w:val="4A59C153"/>
    <w:rsid w:val="4AEB5D2F"/>
    <w:rsid w:val="4C6FCD3A"/>
    <w:rsid w:val="4E84A03B"/>
    <w:rsid w:val="516D4D40"/>
    <w:rsid w:val="52E5C120"/>
    <w:rsid w:val="534646EA"/>
    <w:rsid w:val="54D350A9"/>
    <w:rsid w:val="54FD6C65"/>
    <w:rsid w:val="5522B931"/>
    <w:rsid w:val="5604E1F1"/>
    <w:rsid w:val="57748588"/>
    <w:rsid w:val="57CBBBC4"/>
    <w:rsid w:val="5AC2C301"/>
    <w:rsid w:val="5AF58F13"/>
    <w:rsid w:val="5B1B0EF2"/>
    <w:rsid w:val="5B9E9791"/>
    <w:rsid w:val="5CF1E0FA"/>
    <w:rsid w:val="5DBA726E"/>
    <w:rsid w:val="5DEB4DDE"/>
    <w:rsid w:val="5E7CAF4D"/>
    <w:rsid w:val="5EB5CF13"/>
    <w:rsid w:val="5F8A5295"/>
    <w:rsid w:val="5FDA28D7"/>
    <w:rsid w:val="61B9C137"/>
    <w:rsid w:val="61E7D4F9"/>
    <w:rsid w:val="63BF13B8"/>
    <w:rsid w:val="64416705"/>
    <w:rsid w:val="64725DEF"/>
    <w:rsid w:val="6588C58D"/>
    <w:rsid w:val="65DD3766"/>
    <w:rsid w:val="66E83A47"/>
    <w:rsid w:val="67857AEB"/>
    <w:rsid w:val="67D99835"/>
    <w:rsid w:val="68B2D0BC"/>
    <w:rsid w:val="68E7F924"/>
    <w:rsid w:val="6ADE7283"/>
    <w:rsid w:val="6B63D3B2"/>
    <w:rsid w:val="6BF4F5A5"/>
    <w:rsid w:val="6C4830BA"/>
    <w:rsid w:val="6C728D14"/>
    <w:rsid w:val="72D2687B"/>
    <w:rsid w:val="73203915"/>
    <w:rsid w:val="73528D05"/>
    <w:rsid w:val="7989386D"/>
    <w:rsid w:val="79B72E3B"/>
    <w:rsid w:val="79E02FCF"/>
    <w:rsid w:val="7D1DDBBF"/>
    <w:rsid w:val="7D6AE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E7DBA3"/>
  <w15:chartTrackingRefBased/>
  <w15:docId w15:val="{FEE02E7E-D1F7-4009-A579-80672C82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normaltextrun">
    <w:name w:val="normaltextrun"/>
    <w:rsid w:val="00904514"/>
  </w:style>
  <w:style w:type="paragraph" w:customStyle="1" w:styleId="paragraph">
    <w:name w:val="paragraph"/>
    <w:basedOn w:val="Normal"/>
    <w:rsid w:val="000B415F"/>
    <w:pPr>
      <w:spacing w:before="100" w:beforeAutospacing="1" w:after="100" w:afterAutospacing="1"/>
    </w:pPr>
  </w:style>
  <w:style w:type="character" w:customStyle="1" w:styleId="spellingerror">
    <w:name w:val="spellingerror"/>
    <w:rsid w:val="000B415F"/>
  </w:style>
  <w:style w:type="character" w:customStyle="1" w:styleId="eop">
    <w:name w:val="eop"/>
    <w:rsid w:val="000B415F"/>
  </w:style>
  <w:style w:type="character" w:styleId="UnresolvedMention">
    <w:name w:val="Unresolved Mention"/>
    <w:basedOn w:val="DefaultParagraphFont"/>
    <w:uiPriority w:val="99"/>
    <w:unhideWhenUsed/>
    <w:rsid w:val="000A0A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7633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E7D9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2021/general-schedul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news.release/empsit.t19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4" ma:contentTypeDescription="Create a new document." ma:contentTypeScope="" ma:versionID="ad9a2731f909111292c15dd4d5042a09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02b8fcdaff1b34ab06c3d1a66ca3d56c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E165F-4CDD-45B4-A83C-794797C37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0FC8EF-57DB-4887-8666-D41189131D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F01A4B-D0DF-496A-946B-48D2B0E518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B27167-2419-466F-9440-6BA6018E4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1146</Words>
  <Characters>6501</Characters>
  <Application>Microsoft Office Word</Application>
  <DocSecurity>0</DocSecurity>
  <Lines>54</Lines>
  <Paragraphs>15</Paragraphs>
  <ScaleCrop>false</ScaleCrop>
  <Company>ssa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2021-03-18T20:42:00Z</dcterms:created>
  <dcterms:modified xsi:type="dcterms:W3CDTF">2021-03-18T20:42:00Z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