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474C" w:rsidR="00B053B4" w:rsidP="00B053B4" w:rsidRDefault="00B053B4">
      <w:pPr>
        <w:spacing w:before="80" w:after="0" w:line="240" w:lineRule="auto"/>
        <w:jc w:val="center"/>
        <w:outlineLvl w:val="0"/>
        <w:rPr>
          <w:rFonts w:ascii="Times New Roman" w:hAnsi="Times New Roman" w:eastAsia="Times New Roman" w:cs="Times New Roman"/>
          <w:b/>
          <w:bCs/>
          <w:kern w:val="36"/>
          <w:sz w:val="24"/>
          <w:szCs w:val="24"/>
        </w:rPr>
      </w:pPr>
      <w:r w:rsidRPr="00B053B4">
        <w:rPr>
          <w:rFonts w:ascii="Times New Roman" w:hAnsi="Times New Roman" w:eastAsia="Times New Roman" w:cs="Times New Roman"/>
          <w:b/>
          <w:bCs/>
          <w:color w:val="000000"/>
          <w:kern w:val="36"/>
          <w:sz w:val="24"/>
          <w:szCs w:val="24"/>
        </w:rPr>
        <w:t>SUPPORTING STATEMENT</w:t>
      </w:r>
    </w:p>
    <w:p w:rsidRPr="00B053B4" w:rsidR="00B053B4" w:rsidP="00B053B4" w:rsidRDefault="00B053B4">
      <w:pPr>
        <w:spacing w:before="22" w:after="0" w:line="240" w:lineRule="auto"/>
        <w:ind w:firstLine="14"/>
        <w:jc w:val="center"/>
        <w:rPr>
          <w:rFonts w:ascii="Times New Roman" w:hAnsi="Times New Roman" w:eastAsia="Times New Roman" w:cs="Times New Roman"/>
          <w:sz w:val="24"/>
          <w:szCs w:val="24"/>
        </w:rPr>
      </w:pPr>
      <w:r w:rsidRPr="00B053B4">
        <w:rPr>
          <w:rFonts w:ascii="Times New Roman" w:hAnsi="Times New Roman" w:eastAsia="Times New Roman" w:cs="Times New Roman"/>
          <w:b/>
          <w:bCs/>
          <w:color w:val="000000"/>
          <w:sz w:val="24"/>
          <w:szCs w:val="24"/>
        </w:rPr>
        <w:t>U.S. Department of Commerce</w:t>
      </w:r>
    </w:p>
    <w:p w:rsidRPr="00B053B4" w:rsidR="00B053B4" w:rsidP="00B053B4" w:rsidRDefault="00B053B4">
      <w:pPr>
        <w:spacing w:before="22" w:after="0" w:line="240" w:lineRule="auto"/>
        <w:ind w:firstLine="14"/>
        <w:jc w:val="center"/>
        <w:rPr>
          <w:rFonts w:ascii="Times New Roman" w:hAnsi="Times New Roman" w:eastAsia="Times New Roman" w:cs="Times New Roman"/>
          <w:sz w:val="24"/>
          <w:szCs w:val="24"/>
        </w:rPr>
      </w:pPr>
      <w:r w:rsidRPr="00B053B4">
        <w:rPr>
          <w:rFonts w:ascii="Times New Roman" w:hAnsi="Times New Roman" w:eastAsia="Times New Roman" w:cs="Times New Roman"/>
          <w:b/>
          <w:bCs/>
          <w:color w:val="000000"/>
          <w:sz w:val="24"/>
          <w:szCs w:val="24"/>
        </w:rPr>
        <w:t>National Oceanic &amp; Atmospheric Administration</w:t>
      </w:r>
    </w:p>
    <w:p w:rsidRPr="00E5474C" w:rsidR="00E5474C" w:rsidP="00E5474C" w:rsidRDefault="00E5474C">
      <w:pPr>
        <w:spacing w:after="0" w:line="240" w:lineRule="auto"/>
        <w:jc w:val="center"/>
        <w:rPr>
          <w:rFonts w:ascii="Times New Roman" w:hAnsi="Times New Roman" w:cs="Times New Roman"/>
          <w:b/>
          <w:bCs/>
          <w:sz w:val="24"/>
          <w:szCs w:val="24"/>
        </w:rPr>
      </w:pPr>
      <w:r w:rsidRPr="00E5474C">
        <w:rPr>
          <w:rFonts w:ascii="Times New Roman" w:hAnsi="Times New Roman" w:cs="Times New Roman"/>
          <w:b/>
          <w:bCs/>
          <w:sz w:val="24"/>
          <w:szCs w:val="24"/>
        </w:rPr>
        <w:t>North Pacific Observer Safety and Security Survey</w:t>
      </w:r>
    </w:p>
    <w:p w:rsidRPr="00B053B4" w:rsidR="00B053B4" w:rsidP="00B053B4" w:rsidRDefault="00B053B4">
      <w:pPr>
        <w:spacing w:after="0" w:line="240" w:lineRule="auto"/>
        <w:ind w:left="-6" w:hanging="6"/>
        <w:jc w:val="center"/>
        <w:rPr>
          <w:rFonts w:ascii="Times New Roman" w:hAnsi="Times New Roman" w:eastAsia="Times New Roman" w:cs="Times New Roman"/>
          <w:sz w:val="24"/>
          <w:szCs w:val="24"/>
        </w:rPr>
      </w:pPr>
      <w:r w:rsidRPr="00B053B4">
        <w:rPr>
          <w:rFonts w:ascii="Times New Roman" w:hAnsi="Times New Roman" w:eastAsia="Times New Roman" w:cs="Times New Roman"/>
          <w:b/>
          <w:bCs/>
          <w:color w:val="000000"/>
          <w:sz w:val="24"/>
          <w:szCs w:val="24"/>
        </w:rPr>
        <w:t>OMB Control No. 0648-</w:t>
      </w:r>
      <w:r w:rsidR="00E5474C">
        <w:rPr>
          <w:rFonts w:ascii="Times New Roman" w:hAnsi="Times New Roman" w:eastAsia="Times New Roman" w:cs="Times New Roman"/>
          <w:b/>
          <w:bCs/>
          <w:color w:val="000000"/>
          <w:sz w:val="24"/>
          <w:szCs w:val="24"/>
        </w:rPr>
        <w:t>0759</w:t>
      </w:r>
    </w:p>
    <w:p w:rsidRPr="00B053B4" w:rsidR="00B053B4" w:rsidP="00B053B4" w:rsidRDefault="00B053B4">
      <w:pPr>
        <w:spacing w:after="0" w:line="240" w:lineRule="auto"/>
        <w:rPr>
          <w:rFonts w:ascii="Times New Roman" w:hAnsi="Times New Roman" w:eastAsia="Times New Roman" w:cs="Times New Roman"/>
          <w:sz w:val="24"/>
          <w:szCs w:val="24"/>
        </w:rPr>
      </w:pPr>
    </w:p>
    <w:p w:rsidRPr="00F16354" w:rsidR="00F16354" w:rsidP="00F16354" w:rsidRDefault="00B053B4">
      <w:pPr>
        <w:spacing w:before="199" w:after="0" w:line="240" w:lineRule="auto"/>
        <w:outlineLvl w:val="0"/>
        <w:rPr>
          <w:rFonts w:ascii="Times New Roman" w:hAnsi="Times New Roman" w:eastAsia="Times New Roman" w:cs="Times New Roman"/>
          <w:b/>
          <w:bCs/>
          <w:color w:val="000000"/>
          <w:kern w:val="36"/>
          <w:sz w:val="24"/>
          <w:szCs w:val="24"/>
        </w:rPr>
      </w:pPr>
      <w:r w:rsidRPr="00B053B4">
        <w:rPr>
          <w:rFonts w:ascii="Times New Roman" w:hAnsi="Times New Roman" w:eastAsia="Times New Roman" w:cs="Times New Roman"/>
          <w:b/>
          <w:bCs/>
          <w:color w:val="000000"/>
          <w:kern w:val="36"/>
          <w:sz w:val="24"/>
          <w:szCs w:val="24"/>
        </w:rPr>
        <w:t>Abstract</w:t>
      </w:r>
    </w:p>
    <w:p w:rsidR="00E5474C" w:rsidP="00E5474C" w:rsidRDefault="00E5474C">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This is a request for extension of an approved information collection.</w:t>
      </w:r>
    </w:p>
    <w:p w:rsidR="00E5474C" w:rsidP="00E5474C" w:rsidRDefault="00E5474C">
      <w:pPr>
        <w:spacing w:after="0" w:line="240" w:lineRule="auto"/>
        <w:rPr>
          <w:rFonts w:ascii="Times New Roman" w:hAnsi="Times New Roman" w:eastAsia="Times New Roman" w:cs="Times New Roman"/>
          <w:color w:val="000000"/>
          <w:sz w:val="24"/>
          <w:szCs w:val="24"/>
        </w:rPr>
      </w:pPr>
    </w:p>
    <w:p w:rsidRPr="0061762F" w:rsidR="00F16354" w:rsidP="00E5474C" w:rsidRDefault="00F16354">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NMFS </w:t>
      </w:r>
      <w:r w:rsidRPr="0061762F">
        <w:rPr>
          <w:rFonts w:ascii="Times New Roman" w:hAnsi="Times New Roman" w:eastAsia="Times New Roman" w:cs="Times New Roman"/>
          <w:color w:val="000000"/>
          <w:sz w:val="24"/>
          <w:szCs w:val="24"/>
        </w:rPr>
        <w:t xml:space="preserve">certified observers are a vital part of fisheries management. Observers are deployed to collect fisheries data in the field; observers often deploy to vessels and work alongside fishers for weeks and months at a time. The work environment observers find themselves in can be challenging, especially if the observer finds themselves a target for victim type violations such as sexual harassment, intimidation, or even assault. NOAA Fisheries’ Office of Law Enforcement prioritizes investigations into allegations of sexual harassment, hostile work environment, assault and other complaints which may affect observers individually. However, it is difficult for a person to disclose if they have been a victim of a crime, and law enforcement cannot respond if no complaint is submitted. The true number of observers who have experienced victim type crimes is unknown, and the reasons why they do not report is also unclear. More information </w:t>
      </w:r>
      <w:proofErr w:type="gramStart"/>
      <w:r w:rsidRPr="0061762F">
        <w:rPr>
          <w:rFonts w:ascii="Times New Roman" w:hAnsi="Times New Roman" w:eastAsia="Times New Roman" w:cs="Times New Roman"/>
          <w:color w:val="000000"/>
          <w:sz w:val="24"/>
          <w:szCs w:val="24"/>
        </w:rPr>
        <w:t>is needed</w:t>
      </w:r>
      <w:proofErr w:type="gramEnd"/>
      <w:r w:rsidRPr="0061762F">
        <w:rPr>
          <w:rFonts w:ascii="Times New Roman" w:hAnsi="Times New Roman" w:eastAsia="Times New Roman" w:cs="Times New Roman"/>
          <w:color w:val="000000"/>
          <w:sz w:val="24"/>
          <w:szCs w:val="24"/>
        </w:rPr>
        <w:t xml:space="preserve"> to understand how many observers per year experience victim type crimes, and why they chose not to report to law enforcement. </w:t>
      </w:r>
    </w:p>
    <w:p w:rsidR="00E5474C" w:rsidP="00E5474C" w:rsidRDefault="00E5474C">
      <w:pPr>
        <w:spacing w:after="0" w:line="240" w:lineRule="auto"/>
        <w:ind w:firstLine="720"/>
        <w:rPr>
          <w:rFonts w:ascii="Times New Roman" w:hAnsi="Times New Roman" w:eastAsia="Times New Roman" w:cs="Times New Roman"/>
          <w:color w:val="000000"/>
          <w:sz w:val="24"/>
          <w:szCs w:val="24"/>
        </w:rPr>
      </w:pPr>
    </w:p>
    <w:p w:rsidRPr="0061762F" w:rsidR="00F16354" w:rsidP="00E5474C" w:rsidRDefault="00F16354">
      <w:pPr>
        <w:spacing w:after="0" w:line="240" w:lineRule="auto"/>
        <w:rPr>
          <w:rFonts w:ascii="Times New Roman" w:hAnsi="Times New Roman" w:eastAsia="Times New Roman" w:cs="Times New Roman"/>
          <w:color w:val="000000"/>
          <w:sz w:val="24"/>
          <w:szCs w:val="24"/>
        </w:rPr>
      </w:pPr>
      <w:r w:rsidRPr="0061762F">
        <w:rPr>
          <w:rFonts w:ascii="Times New Roman" w:hAnsi="Times New Roman" w:eastAsia="Times New Roman" w:cs="Times New Roman"/>
          <w:color w:val="000000"/>
          <w:sz w:val="24"/>
          <w:szCs w:val="24"/>
        </w:rPr>
        <w:t xml:space="preserve">The survey will also investigate the reasons that prevented observers from reporting these violations. The results of the survey will provide the Office of Law Enforcement a better understanding of how often observers are victimized, which will enable them to reallocate resources as needed, conduct more training for observers to ensure they know how to report, conduct training to ensure people understand what constitutes a victim crime, and to increase awareness of potential victimizations. Additionally, the survey results will help law enforcement understand the barriers to disclosure, so enforcement may begin to address these impediments so they no longer prevent observers from disclosure. </w:t>
      </w:r>
    </w:p>
    <w:p w:rsidRPr="00E5474C" w:rsidR="00F16354" w:rsidP="00E5474C" w:rsidRDefault="00F16354">
      <w:pPr>
        <w:spacing w:before="199" w:after="0" w:line="240" w:lineRule="auto"/>
        <w:outlineLvl w:val="0"/>
        <w:rPr>
          <w:rFonts w:ascii="Times New Roman" w:hAnsi="Times New Roman" w:eastAsia="Times New Roman" w:cs="Times New Roman"/>
          <w:b/>
          <w:bCs/>
          <w:kern w:val="36"/>
          <w:sz w:val="24"/>
          <w:szCs w:val="24"/>
        </w:rPr>
      </w:pPr>
    </w:p>
    <w:p w:rsidRPr="00B053B4" w:rsidR="00B053B4" w:rsidP="00B053B4" w:rsidRDefault="00B053B4">
      <w:pPr>
        <w:spacing w:before="124" w:after="0" w:line="240" w:lineRule="auto"/>
        <w:outlineLvl w:val="0"/>
        <w:rPr>
          <w:rFonts w:ascii="Times New Roman" w:hAnsi="Times New Roman" w:eastAsia="Times New Roman" w:cs="Times New Roman"/>
          <w:b/>
          <w:bCs/>
          <w:kern w:val="36"/>
          <w:sz w:val="48"/>
          <w:szCs w:val="48"/>
        </w:rPr>
      </w:pPr>
      <w:r w:rsidRPr="00B053B4">
        <w:rPr>
          <w:rFonts w:ascii="Times New Roman" w:hAnsi="Times New Roman" w:eastAsia="Times New Roman" w:cs="Times New Roman"/>
          <w:b/>
          <w:bCs/>
          <w:color w:val="000000"/>
          <w:kern w:val="36"/>
          <w:sz w:val="24"/>
          <w:szCs w:val="24"/>
        </w:rPr>
        <w:t>Justification</w:t>
      </w:r>
    </w:p>
    <w:p w:rsidR="00B053B4" w:rsidP="00B053B4" w:rsidRDefault="00B053B4">
      <w:pPr>
        <w:numPr>
          <w:ilvl w:val="0"/>
          <w:numId w:val="1"/>
        </w:numPr>
        <w:spacing w:before="182" w:after="0" w:line="240" w:lineRule="auto"/>
        <w:ind w:left="360"/>
        <w:textAlignment w:val="baseline"/>
        <w:rPr>
          <w:rFonts w:ascii="Times New Roman" w:hAnsi="Times New Roman" w:eastAsia="Times New Roman" w:cs="Times New Roman"/>
          <w:b/>
          <w:bCs/>
          <w:color w:val="000000"/>
          <w:sz w:val="24"/>
          <w:szCs w:val="24"/>
        </w:rPr>
      </w:pPr>
      <w:r w:rsidRPr="00B053B4">
        <w:rPr>
          <w:rFonts w:ascii="Times New Roman" w:hAnsi="Times New Roman" w:eastAsia="Times New Roman" w:cs="Times New Roman"/>
          <w:b/>
          <w:bCs/>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16354" w:rsidR="00F16354" w:rsidP="00E5474C" w:rsidRDefault="00F16354">
      <w:pPr>
        <w:spacing w:before="182" w:after="0" w:line="240" w:lineRule="auto"/>
        <w:textAlignment w:val="baseline"/>
        <w:rPr>
          <w:rFonts w:ascii="Times New Roman" w:hAnsi="Times New Roman" w:eastAsia="Times New Roman" w:cs="Times New Roman"/>
          <w:bCs/>
          <w:color w:val="000000"/>
          <w:sz w:val="24"/>
          <w:szCs w:val="24"/>
        </w:rPr>
      </w:pPr>
      <w:r w:rsidRPr="00F16354">
        <w:rPr>
          <w:rFonts w:ascii="Times New Roman" w:hAnsi="Times New Roman" w:eastAsia="Times New Roman" w:cs="Times New Roman"/>
          <w:bCs/>
          <w:color w:val="000000"/>
          <w:sz w:val="24"/>
          <w:szCs w:val="24"/>
        </w:rPr>
        <w:t xml:space="preserve">The National Marine Fisheries Service (NMFS) utilizes observers to collect information on catch, bycatch, fishing efforts, biological characteristics, interactions with protected species, as well as socioeconomic information, from U.S. commercial fishing and processing vessels. More information on the observer population </w:t>
      </w:r>
      <w:proofErr w:type="gramStart"/>
      <w:r w:rsidRPr="00F16354">
        <w:rPr>
          <w:rFonts w:ascii="Times New Roman" w:hAnsi="Times New Roman" w:eastAsia="Times New Roman" w:cs="Times New Roman"/>
          <w:bCs/>
          <w:color w:val="000000"/>
          <w:sz w:val="24"/>
          <w:szCs w:val="24"/>
        </w:rPr>
        <w:t>is needed</w:t>
      </w:r>
      <w:proofErr w:type="gramEnd"/>
      <w:r w:rsidRPr="00F16354">
        <w:rPr>
          <w:rFonts w:ascii="Times New Roman" w:hAnsi="Times New Roman" w:eastAsia="Times New Roman" w:cs="Times New Roman"/>
          <w:bCs/>
          <w:color w:val="000000"/>
          <w:sz w:val="24"/>
          <w:szCs w:val="24"/>
        </w:rPr>
        <w:t xml:space="preserve"> to support the Agency’s conservation and management goals, to strengthen and improve fishery management decision-making, and to satisfy legal mandates under the Reauthorization of the Magnuson-Stevens Fishery Conservation </w:t>
      </w:r>
      <w:r w:rsidRPr="00F16354">
        <w:rPr>
          <w:rFonts w:ascii="Times New Roman" w:hAnsi="Times New Roman" w:eastAsia="Times New Roman" w:cs="Times New Roman"/>
          <w:bCs/>
          <w:color w:val="000000"/>
          <w:sz w:val="24"/>
          <w:szCs w:val="24"/>
        </w:rPr>
        <w:lastRenderedPageBreak/>
        <w:t>and Management Act, the Regulatory Flexibility Act, the Endangered Species Act, and the National Environmental Policy Act, Executive Order 12866,</w:t>
      </w:r>
      <w:r>
        <w:rPr>
          <w:rFonts w:ascii="Times New Roman" w:hAnsi="Times New Roman" w:eastAsia="Times New Roman" w:cs="Times New Roman"/>
          <w:bCs/>
          <w:color w:val="000000"/>
          <w:sz w:val="24"/>
          <w:szCs w:val="24"/>
        </w:rPr>
        <w:t xml:space="preserve"> and other pertinent statutes. </w:t>
      </w:r>
    </w:p>
    <w:p w:rsidRPr="00F16354" w:rsidR="00F16354" w:rsidP="00F16354" w:rsidRDefault="00F16354">
      <w:pPr>
        <w:spacing w:before="182" w:after="0" w:line="240" w:lineRule="auto"/>
        <w:textAlignment w:val="baseline"/>
        <w:rPr>
          <w:rFonts w:ascii="Times New Roman" w:hAnsi="Times New Roman" w:eastAsia="Times New Roman" w:cs="Times New Roman"/>
          <w:bCs/>
          <w:color w:val="000000"/>
          <w:sz w:val="24"/>
          <w:szCs w:val="24"/>
        </w:rPr>
      </w:pPr>
      <w:r w:rsidRPr="00F16354">
        <w:rPr>
          <w:rFonts w:ascii="Times New Roman" w:hAnsi="Times New Roman" w:eastAsia="Times New Roman" w:cs="Times New Roman"/>
          <w:bCs/>
          <w:color w:val="000000"/>
          <w:sz w:val="24"/>
          <w:szCs w:val="24"/>
        </w:rPr>
        <w:t xml:space="preserve">NOAA National Marine Fisheries Service (NMFS) certified observers are a vital part of fisheries management. Observers are deployed to collect fisheries data in the field; observers often deploy to vessels and work alongside fishers for weeks and months at a time. The work environment observers find themselves in can be challenging, especially if observers find themselves a target for victim type violations such as sexual harassment, intimidation, or even assault. NOAA Fisheries’ Office of Law Enforcement prioritizes investigations into allegations of sexual harassment, hostile work environment, assault and other complaints, which may affect observers individually. However, it is difficult for a person to disclose if they have been a victim of a crime, and law enforcement cannot respond if no complaint is submitted. The true number of observers who have experienced victim type crimes is unknown, and the reasons why they do not report is also unclear. More information </w:t>
      </w:r>
      <w:proofErr w:type="gramStart"/>
      <w:r w:rsidRPr="00F16354">
        <w:rPr>
          <w:rFonts w:ascii="Times New Roman" w:hAnsi="Times New Roman" w:eastAsia="Times New Roman" w:cs="Times New Roman"/>
          <w:bCs/>
          <w:color w:val="000000"/>
          <w:sz w:val="24"/>
          <w:szCs w:val="24"/>
        </w:rPr>
        <w:t>is needed</w:t>
      </w:r>
      <w:proofErr w:type="gramEnd"/>
      <w:r w:rsidRPr="00F16354">
        <w:rPr>
          <w:rFonts w:ascii="Times New Roman" w:hAnsi="Times New Roman" w:eastAsia="Times New Roman" w:cs="Times New Roman"/>
          <w:bCs/>
          <w:color w:val="000000"/>
          <w:sz w:val="24"/>
          <w:szCs w:val="24"/>
        </w:rPr>
        <w:t xml:space="preserve"> to understand how many observers per year experience victim type crimes, and why they chose not to repo</w:t>
      </w:r>
      <w:r>
        <w:rPr>
          <w:rFonts w:ascii="Times New Roman" w:hAnsi="Times New Roman" w:eastAsia="Times New Roman" w:cs="Times New Roman"/>
          <w:bCs/>
          <w:color w:val="000000"/>
          <w:sz w:val="24"/>
          <w:szCs w:val="24"/>
        </w:rPr>
        <w:t xml:space="preserve">rt to law enforcement. </w:t>
      </w:r>
    </w:p>
    <w:p w:rsidRPr="00F16354" w:rsidR="00F16354" w:rsidP="00F16354" w:rsidRDefault="00F16354">
      <w:pPr>
        <w:spacing w:before="182" w:after="0" w:line="240" w:lineRule="auto"/>
        <w:textAlignment w:val="baseline"/>
        <w:rPr>
          <w:rFonts w:ascii="Times New Roman" w:hAnsi="Times New Roman" w:eastAsia="Times New Roman" w:cs="Times New Roman"/>
          <w:bCs/>
          <w:color w:val="000000"/>
          <w:sz w:val="24"/>
          <w:szCs w:val="24"/>
        </w:rPr>
      </w:pPr>
      <w:r w:rsidRPr="00F16354">
        <w:rPr>
          <w:rFonts w:ascii="Times New Roman" w:hAnsi="Times New Roman" w:eastAsia="Times New Roman" w:cs="Times New Roman"/>
          <w:bCs/>
          <w:color w:val="000000"/>
          <w:sz w:val="24"/>
          <w:szCs w:val="24"/>
        </w:rPr>
        <w:t>The Office of Law Enforcement, Alaska Division, is conducting a survey of North Pacific Observers to determine the number of observers who experienced victimizing behavior during deployments. The survey will also investigate the reasons that prevented observers from reporting these violations. The results of the survey will provide the Office of Law Enforcement a better understanding of how often observers are victimized, which will enable them to reallocate resources as needed, conduct more training for observers to ensure they know how to report, conduct training to ensure people understand what constitutes a victim crime, and to increase awareness of potential victimizations. Additionally, the survey results will help law enforcement understand the barriers to disclosure, so enforcement may begin to address these impediments so they no longer prevent observers from disclosure.</w:t>
      </w:r>
    </w:p>
    <w:p w:rsidR="00F16354" w:rsidP="00F16354" w:rsidRDefault="00F16354">
      <w:pPr>
        <w:spacing w:before="182" w:after="0" w:line="240" w:lineRule="auto"/>
        <w:textAlignment w:val="baseline"/>
        <w:rPr>
          <w:rFonts w:ascii="Times New Roman" w:hAnsi="Times New Roman" w:eastAsia="Times New Roman" w:cs="Times New Roman"/>
          <w:b/>
          <w:bCs/>
          <w:color w:val="000000"/>
          <w:sz w:val="24"/>
          <w:szCs w:val="24"/>
        </w:rPr>
      </w:pPr>
    </w:p>
    <w:p w:rsidRPr="00F16354" w:rsidR="00F16354" w:rsidP="00B053B4" w:rsidRDefault="00F16354">
      <w:pPr>
        <w:numPr>
          <w:ilvl w:val="0"/>
          <w:numId w:val="1"/>
        </w:numPr>
        <w:spacing w:before="182" w:after="0" w:line="240" w:lineRule="auto"/>
        <w:ind w:left="360"/>
        <w:textAlignment w:val="baseline"/>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Indicate how, </w:t>
      </w:r>
      <w:r w:rsidRPr="00B053B4">
        <w:rPr>
          <w:rFonts w:ascii="Times New Roman" w:hAnsi="Times New Roman" w:eastAsia="Times New Roman" w:cs="Times New Roman"/>
          <w:b/>
          <w:bCs/>
          <w:color w:val="000000"/>
          <w:kern w:val="36"/>
          <w:sz w:val="24"/>
          <w:szCs w:val="24"/>
        </w:rPr>
        <w:t xml:space="preserve">by whom, and for what purpose the information is to </w:t>
      </w:r>
      <w:proofErr w:type="gramStart"/>
      <w:r w:rsidRPr="00B053B4">
        <w:rPr>
          <w:rFonts w:ascii="Times New Roman" w:hAnsi="Times New Roman" w:eastAsia="Times New Roman" w:cs="Times New Roman"/>
          <w:b/>
          <w:bCs/>
          <w:color w:val="000000"/>
          <w:kern w:val="36"/>
          <w:sz w:val="24"/>
          <w:szCs w:val="24"/>
        </w:rPr>
        <w:t>be used</w:t>
      </w:r>
      <w:proofErr w:type="gramEnd"/>
      <w:r w:rsidRPr="00B053B4">
        <w:rPr>
          <w:rFonts w:ascii="Times New Roman" w:hAnsi="Times New Roman" w:eastAsia="Times New Roman" w:cs="Times New Roman"/>
          <w:b/>
          <w:bCs/>
          <w:color w:val="000000"/>
          <w:kern w:val="36"/>
          <w:sz w:val="24"/>
          <w:szCs w:val="24"/>
        </w:rPr>
        <w:t>. Except for a new collection, indicate the actual use the agency has made of the information received from the current collection.</w:t>
      </w:r>
    </w:p>
    <w:p w:rsidRPr="00F16354" w:rsidR="00F16354" w:rsidP="00E5474C" w:rsidRDefault="00F16354">
      <w:pPr>
        <w:spacing w:before="182" w:after="0" w:line="240" w:lineRule="auto"/>
        <w:textAlignment w:val="baseline"/>
        <w:rPr>
          <w:rFonts w:ascii="Times New Roman" w:hAnsi="Times New Roman" w:eastAsia="Times New Roman" w:cs="Times New Roman"/>
          <w:bCs/>
          <w:color w:val="000000"/>
          <w:sz w:val="24"/>
          <w:szCs w:val="24"/>
        </w:rPr>
      </w:pPr>
      <w:r w:rsidRPr="00F16354">
        <w:rPr>
          <w:rFonts w:ascii="Times New Roman" w:hAnsi="Times New Roman" w:eastAsia="Times New Roman" w:cs="Times New Roman"/>
          <w:bCs/>
          <w:color w:val="000000"/>
          <w:sz w:val="24"/>
          <w:szCs w:val="24"/>
        </w:rPr>
        <w:t>While this survey will be launched once a year and open for a month, the results of this survey will be used by the Office of Law Enforcement on an annual basis to determine a more accurate frequency of crimes against observers, and on a month basis to address the impediments to disclosure. By understanding the frequency, enforcement efforts can be adjusted accordingly. Additionally, by understanding the impediments to disclosure, the Office of Law Enforcement can also begin to eliminate the impediments, thus encouraging more reports of violations in real time.</w:t>
      </w:r>
    </w:p>
    <w:p w:rsidRPr="00F16354" w:rsidR="00F16354" w:rsidP="00F16354" w:rsidRDefault="00F16354">
      <w:pPr>
        <w:spacing w:before="182" w:after="0" w:line="240" w:lineRule="auto"/>
        <w:textAlignment w:val="baseline"/>
        <w:rPr>
          <w:rFonts w:ascii="Times New Roman" w:hAnsi="Times New Roman" w:eastAsia="Times New Roman" w:cs="Times New Roman"/>
          <w:bCs/>
          <w:color w:val="000000"/>
          <w:sz w:val="24"/>
          <w:szCs w:val="24"/>
        </w:rPr>
      </w:pPr>
      <w:r w:rsidRPr="00F16354">
        <w:rPr>
          <w:rFonts w:ascii="Times New Roman" w:hAnsi="Times New Roman" w:eastAsia="Times New Roman" w:cs="Times New Roman"/>
          <w:bCs/>
          <w:color w:val="000000"/>
          <w:sz w:val="24"/>
          <w:szCs w:val="24"/>
        </w:rPr>
        <w:t xml:space="preserve">The first section of the survey is an introduction, with no questions asked. The second section of the survey will determine basic demographics of the respondent. This is to determine if there is any correlation associated with demographics. The third section of the survey asks questions regarding the respondent’s safety and security on deployment, followed by questions seeking to understand any impediments to disclosure. The fourth and fifth sections of the survey thank the respondent for their time; the fourth section </w:t>
      </w:r>
      <w:proofErr w:type="gramStart"/>
      <w:r w:rsidRPr="00F16354">
        <w:rPr>
          <w:rFonts w:ascii="Times New Roman" w:hAnsi="Times New Roman" w:eastAsia="Times New Roman" w:cs="Times New Roman"/>
          <w:bCs/>
          <w:color w:val="000000"/>
          <w:sz w:val="24"/>
          <w:szCs w:val="24"/>
        </w:rPr>
        <w:t>is meant</w:t>
      </w:r>
      <w:proofErr w:type="gramEnd"/>
      <w:r w:rsidRPr="00F16354">
        <w:rPr>
          <w:rFonts w:ascii="Times New Roman" w:hAnsi="Times New Roman" w:eastAsia="Times New Roman" w:cs="Times New Roman"/>
          <w:bCs/>
          <w:color w:val="000000"/>
          <w:sz w:val="24"/>
          <w:szCs w:val="24"/>
        </w:rPr>
        <w:t xml:space="preserve"> for anyone who did not deploy in the North Pacific Observer Program in the previous year, while the fifth section is for respondents who complete the survey. </w:t>
      </w:r>
    </w:p>
    <w:p w:rsidRPr="00F16354" w:rsidR="00F16354" w:rsidP="00F16354" w:rsidRDefault="00F16354">
      <w:pPr>
        <w:spacing w:before="182" w:after="0" w:line="240" w:lineRule="auto"/>
        <w:textAlignment w:val="baseline"/>
        <w:rPr>
          <w:rFonts w:ascii="Times New Roman" w:hAnsi="Times New Roman" w:eastAsia="Times New Roman" w:cs="Times New Roman"/>
          <w:bCs/>
          <w:color w:val="000000"/>
          <w:sz w:val="24"/>
          <w:szCs w:val="24"/>
        </w:rPr>
      </w:pPr>
      <w:r w:rsidRPr="00F16354">
        <w:rPr>
          <w:rFonts w:ascii="Times New Roman" w:hAnsi="Times New Roman" w:eastAsia="Times New Roman" w:cs="Times New Roman"/>
          <w:bCs/>
          <w:color w:val="000000"/>
          <w:sz w:val="24"/>
          <w:szCs w:val="24"/>
        </w:rPr>
        <w:lastRenderedPageBreak/>
        <w:t>It is anticipated that the information collected will be disseminated to the public or used to support publicly disseminated information. NOAA Office of Law Enforcement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Pr="00B053B4" w:rsidR="00B053B4" w:rsidP="00B053B4" w:rsidRDefault="00B053B4">
      <w:pPr>
        <w:spacing w:after="0" w:line="240" w:lineRule="auto"/>
        <w:rPr>
          <w:rFonts w:ascii="Times New Roman" w:hAnsi="Times New Roman" w:eastAsia="Times New Roman" w:cs="Times New Roman"/>
          <w:sz w:val="24"/>
          <w:szCs w:val="24"/>
        </w:rPr>
      </w:pPr>
    </w:p>
    <w:p w:rsidR="00B053B4" w:rsidP="00B053B4" w:rsidRDefault="00B053B4">
      <w:pPr>
        <w:numPr>
          <w:ilvl w:val="0"/>
          <w:numId w:val="6"/>
        </w:numPr>
        <w:spacing w:before="199" w:after="0" w:line="240" w:lineRule="auto"/>
        <w:textAlignment w:val="baseline"/>
        <w:rPr>
          <w:rFonts w:ascii="Times New Roman" w:hAnsi="Times New Roman" w:eastAsia="Times New Roman" w:cs="Times New Roman"/>
          <w:b/>
          <w:bCs/>
          <w:color w:val="000000"/>
          <w:sz w:val="24"/>
          <w:szCs w:val="24"/>
        </w:rPr>
      </w:pPr>
      <w:r w:rsidRPr="00B053B4">
        <w:rPr>
          <w:rFonts w:ascii="Times New Roman" w:hAnsi="Times New Roman" w:eastAsia="Times New Roman" w:cs="Times New Roman"/>
          <w:b/>
          <w:bCs/>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053B4" w:rsidR="00F16354" w:rsidP="00F16354" w:rsidRDefault="00F16354">
      <w:pPr>
        <w:spacing w:before="199" w:after="0" w:line="240" w:lineRule="auto"/>
        <w:textAlignment w:val="baseline"/>
        <w:rPr>
          <w:rFonts w:ascii="Times New Roman" w:hAnsi="Times New Roman" w:eastAsia="Times New Roman" w:cs="Times New Roman"/>
          <w:b/>
          <w:bCs/>
          <w:color w:val="000000"/>
          <w:sz w:val="24"/>
          <w:szCs w:val="24"/>
        </w:rPr>
      </w:pPr>
    </w:p>
    <w:p w:rsidRPr="00F16354" w:rsidR="00F16354" w:rsidP="00F16354" w:rsidRDefault="00F16354">
      <w:pPr>
        <w:spacing w:before="80" w:after="0" w:line="240" w:lineRule="auto"/>
        <w:textAlignment w:val="baseline"/>
        <w:rPr>
          <w:rFonts w:ascii="Times New Roman" w:hAnsi="Times New Roman" w:eastAsia="Times New Roman" w:cs="Times New Roman"/>
          <w:color w:val="000000" w:themeColor="text1"/>
          <w:sz w:val="24"/>
          <w:szCs w:val="24"/>
        </w:rPr>
      </w:pPr>
      <w:r w:rsidRPr="00F16354">
        <w:rPr>
          <w:rFonts w:ascii="Times New Roman" w:hAnsi="Times New Roman" w:eastAsia="Times New Roman" w:cs="Times New Roman"/>
          <w:color w:val="000000" w:themeColor="text1"/>
          <w:sz w:val="24"/>
          <w:szCs w:val="24"/>
        </w:rPr>
        <w:t xml:space="preserve">This will be a web-based survey. The link for the survey will be provided to all possible respondents who deployed with the North Pacific Observer Program in a given year. Only aggregate results will be published. </w:t>
      </w:r>
    </w:p>
    <w:p w:rsidRPr="00F16354" w:rsidR="00F16354" w:rsidP="00F16354" w:rsidRDefault="00F16354">
      <w:pPr>
        <w:spacing w:before="80" w:after="0" w:line="240" w:lineRule="auto"/>
        <w:textAlignment w:val="baseline"/>
        <w:rPr>
          <w:rFonts w:ascii="Times New Roman" w:hAnsi="Times New Roman" w:eastAsia="Times New Roman" w:cs="Times New Roman"/>
          <w:b/>
          <w:bCs/>
          <w:color w:val="000000"/>
          <w:sz w:val="24"/>
          <w:szCs w:val="24"/>
        </w:rPr>
      </w:pPr>
    </w:p>
    <w:p w:rsidRPr="00B053B4" w:rsidR="00B053B4" w:rsidP="00F16354" w:rsidRDefault="00F16354">
      <w:pPr>
        <w:spacing w:before="80" w:after="0" w:line="240" w:lineRule="auto"/>
        <w:textAlignment w:val="baseline"/>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4. </w:t>
      </w:r>
      <w:r w:rsidRPr="00B053B4" w:rsidR="00B053B4">
        <w:rPr>
          <w:rFonts w:ascii="Times New Roman" w:hAnsi="Times New Roman" w:eastAsia="Times New Roman" w:cs="Times New Roman"/>
          <w:b/>
          <w:bCs/>
          <w:color w:val="000000"/>
          <w:sz w:val="24"/>
          <w:szCs w:val="24"/>
        </w:rPr>
        <w:t>Describe efforts to identify duplication. Show specifically why any similar information already available cannot be used or modified for use for the purposes described in Question 2</w:t>
      </w:r>
    </w:p>
    <w:p w:rsidRPr="00F16354" w:rsidR="00F16354" w:rsidP="00B053B4" w:rsidRDefault="00F16354">
      <w:pPr>
        <w:spacing w:before="161" w:after="0" w:line="240" w:lineRule="auto"/>
        <w:rPr>
          <w:rFonts w:ascii="Times New Roman" w:hAnsi="Times New Roman" w:eastAsia="Times New Roman" w:cs="Times New Roman"/>
          <w:color w:val="000000" w:themeColor="text1"/>
          <w:sz w:val="24"/>
          <w:szCs w:val="24"/>
        </w:rPr>
      </w:pPr>
      <w:r w:rsidRPr="00F16354">
        <w:rPr>
          <w:rFonts w:ascii="Times New Roman" w:hAnsi="Times New Roman" w:eastAsia="Times New Roman" w:cs="Times New Roman"/>
          <w:color w:val="000000" w:themeColor="text1"/>
          <w:sz w:val="24"/>
          <w:szCs w:val="24"/>
        </w:rPr>
        <w:t>As the current liaison between the Office of law Enforcement and the North Pacific Observer Program, responsibility for collecting data Jaclyn Smith, sponsor; there are no current projects with a similar purpose. This was verified with other regions and with the National Observer Program.</w:t>
      </w:r>
    </w:p>
    <w:p w:rsidRPr="00B053B4" w:rsidR="00F16354" w:rsidP="00B053B4" w:rsidRDefault="00F16354">
      <w:pPr>
        <w:spacing w:before="161" w:after="0" w:line="240" w:lineRule="auto"/>
        <w:rPr>
          <w:rFonts w:ascii="Times New Roman" w:hAnsi="Times New Roman" w:eastAsia="Times New Roman" w:cs="Times New Roman"/>
          <w:sz w:val="24"/>
          <w:szCs w:val="24"/>
        </w:rPr>
      </w:pPr>
    </w:p>
    <w:p w:rsidRPr="00B053B4" w:rsidR="00B053B4" w:rsidP="00B053B4" w:rsidRDefault="00B053B4">
      <w:pPr>
        <w:numPr>
          <w:ilvl w:val="0"/>
          <w:numId w:val="8"/>
        </w:numPr>
        <w:spacing w:before="80" w:after="0" w:line="240" w:lineRule="auto"/>
        <w:textAlignment w:val="baseline"/>
        <w:rPr>
          <w:rFonts w:ascii="Times New Roman" w:hAnsi="Times New Roman" w:eastAsia="Times New Roman" w:cs="Times New Roman"/>
          <w:b/>
          <w:bCs/>
          <w:color w:val="000000"/>
          <w:sz w:val="24"/>
          <w:szCs w:val="24"/>
        </w:rPr>
      </w:pPr>
      <w:r w:rsidRPr="00B053B4">
        <w:rPr>
          <w:rFonts w:ascii="Times New Roman" w:hAnsi="Times New Roman" w:eastAsia="Times New Roman" w:cs="Times New Roman"/>
          <w:b/>
          <w:bCs/>
          <w:color w:val="000000"/>
          <w:sz w:val="24"/>
          <w:szCs w:val="24"/>
        </w:rPr>
        <w:t>If the collection of information impacts small businesses or other small entities, describe any methods used to minimize burden.</w:t>
      </w:r>
    </w:p>
    <w:p w:rsidRPr="00F16354" w:rsidR="00B053B4" w:rsidP="00B053B4" w:rsidRDefault="00E5474C">
      <w:pPr>
        <w:spacing w:before="160"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The respondents for this survey are individuals.  </w:t>
      </w:r>
      <w:r w:rsidRPr="00F16354" w:rsidR="00F16354">
        <w:rPr>
          <w:rFonts w:ascii="Times New Roman" w:hAnsi="Times New Roman" w:eastAsia="Times New Roman" w:cs="Times New Roman"/>
          <w:color w:val="000000" w:themeColor="text1"/>
          <w:sz w:val="24"/>
          <w:szCs w:val="24"/>
        </w:rPr>
        <w:t xml:space="preserve">Small businesses or other small entities </w:t>
      </w:r>
      <w:proofErr w:type="gramStart"/>
      <w:r w:rsidRPr="00F16354" w:rsidR="00F16354">
        <w:rPr>
          <w:rFonts w:ascii="Times New Roman" w:hAnsi="Times New Roman" w:eastAsia="Times New Roman" w:cs="Times New Roman"/>
          <w:color w:val="000000" w:themeColor="text1"/>
          <w:sz w:val="24"/>
          <w:szCs w:val="24"/>
        </w:rPr>
        <w:t>will not be impacted</w:t>
      </w:r>
      <w:proofErr w:type="gramEnd"/>
      <w:r w:rsidRPr="00F16354" w:rsidR="00F16354">
        <w:rPr>
          <w:rFonts w:ascii="Times New Roman" w:hAnsi="Times New Roman" w:eastAsia="Times New Roman" w:cs="Times New Roman"/>
          <w:color w:val="000000" w:themeColor="text1"/>
          <w:sz w:val="24"/>
          <w:szCs w:val="24"/>
        </w:rPr>
        <w:t xml:space="preserve">. </w:t>
      </w:r>
    </w:p>
    <w:p w:rsidRPr="00B053B4" w:rsidR="00F16354" w:rsidP="00B053B4" w:rsidRDefault="00F16354">
      <w:pPr>
        <w:spacing w:before="160" w:after="0" w:line="240" w:lineRule="auto"/>
        <w:rPr>
          <w:rFonts w:ascii="Times New Roman" w:hAnsi="Times New Roman" w:eastAsia="Times New Roman" w:cs="Times New Roman"/>
          <w:sz w:val="24"/>
          <w:szCs w:val="24"/>
        </w:rPr>
      </w:pPr>
    </w:p>
    <w:p w:rsidRPr="00B053B4" w:rsidR="00B053B4" w:rsidP="00B053B4" w:rsidRDefault="00B053B4">
      <w:pPr>
        <w:numPr>
          <w:ilvl w:val="0"/>
          <w:numId w:val="9"/>
        </w:numPr>
        <w:spacing w:before="80" w:after="0" w:line="240" w:lineRule="auto"/>
        <w:textAlignment w:val="baseline"/>
        <w:rPr>
          <w:rFonts w:ascii="Times New Roman" w:hAnsi="Times New Roman" w:eastAsia="Times New Roman" w:cs="Times New Roman"/>
          <w:b/>
          <w:bCs/>
          <w:color w:val="000000"/>
          <w:sz w:val="24"/>
          <w:szCs w:val="24"/>
        </w:rPr>
      </w:pPr>
      <w:r w:rsidRPr="00B053B4">
        <w:rPr>
          <w:rFonts w:ascii="Times New Roman" w:hAnsi="Times New Roman" w:eastAsia="Times New Roman" w:cs="Times New Roman"/>
          <w:b/>
          <w:bCs/>
          <w:color w:val="000000"/>
          <w:sz w:val="24"/>
          <w:szCs w:val="24"/>
        </w:rPr>
        <w:t>Describe the consequence to Federal program or policy activities if the collection is not conducted or is conducted less frequently, as well as any technical or legal obstacles to reducing burden.</w:t>
      </w:r>
    </w:p>
    <w:p w:rsidRPr="00F16354" w:rsidR="00F16354" w:rsidP="00B053B4" w:rsidRDefault="00F16354">
      <w:pPr>
        <w:spacing w:before="115" w:after="0" w:line="240" w:lineRule="auto"/>
        <w:rPr>
          <w:rFonts w:ascii="Times New Roman" w:hAnsi="Times New Roman" w:eastAsia="Times New Roman" w:cs="Times New Roman"/>
          <w:color w:val="000000" w:themeColor="text1"/>
          <w:sz w:val="24"/>
          <w:szCs w:val="24"/>
        </w:rPr>
      </w:pPr>
      <w:r w:rsidRPr="00F16354">
        <w:rPr>
          <w:rFonts w:ascii="Times New Roman" w:hAnsi="Times New Roman" w:eastAsia="Times New Roman" w:cs="Times New Roman"/>
          <w:color w:val="000000" w:themeColor="text1"/>
          <w:sz w:val="24"/>
          <w:szCs w:val="24"/>
        </w:rPr>
        <w:t xml:space="preserve">When a person endures a difficult situation, such as sexual harassment or assault, especially in an isolated work environment that observers work in, there is the potential that the event will not be reported to law enforcement. The anonymous nature of the survey may encourage observers to report crimes against them as all judgement is removed. Anonymous surveys often produce more accurate rates. These rates are what the Office of Law Enforcement would like to know, so </w:t>
      </w:r>
      <w:r w:rsidRPr="00F16354">
        <w:rPr>
          <w:rFonts w:ascii="Times New Roman" w:hAnsi="Times New Roman" w:eastAsia="Times New Roman" w:cs="Times New Roman"/>
          <w:color w:val="000000" w:themeColor="text1"/>
          <w:sz w:val="24"/>
          <w:szCs w:val="24"/>
        </w:rPr>
        <w:lastRenderedPageBreak/>
        <w:t>enforcement efforts can be adjusted appropriately. Without the survey, the Office of law Enforcement must rely on the rates of what was reported, which may not reflect the real frequency of crimes against observers.</w:t>
      </w:r>
    </w:p>
    <w:p w:rsidRPr="00B053B4" w:rsidR="00F16354" w:rsidP="00B053B4" w:rsidRDefault="00F16354">
      <w:pPr>
        <w:spacing w:before="115" w:after="0" w:line="240" w:lineRule="auto"/>
        <w:rPr>
          <w:rFonts w:ascii="Times New Roman" w:hAnsi="Times New Roman" w:eastAsia="Times New Roman" w:cs="Times New Roman"/>
          <w:sz w:val="24"/>
          <w:szCs w:val="24"/>
        </w:rPr>
      </w:pPr>
    </w:p>
    <w:p w:rsidRPr="00B053B4" w:rsidR="00B053B4" w:rsidP="00B053B4" w:rsidRDefault="00B053B4">
      <w:pPr>
        <w:numPr>
          <w:ilvl w:val="0"/>
          <w:numId w:val="10"/>
        </w:numPr>
        <w:spacing w:before="80" w:after="0" w:line="240" w:lineRule="auto"/>
        <w:textAlignment w:val="baseline"/>
        <w:rPr>
          <w:rFonts w:ascii="Times New Roman" w:hAnsi="Times New Roman" w:eastAsia="Times New Roman" w:cs="Times New Roman"/>
          <w:b/>
          <w:bCs/>
          <w:color w:val="000000"/>
          <w:sz w:val="24"/>
          <w:szCs w:val="24"/>
        </w:rPr>
      </w:pPr>
      <w:r w:rsidRPr="00B053B4">
        <w:rPr>
          <w:rFonts w:ascii="Times New Roman" w:hAnsi="Times New Roman" w:eastAsia="Times New Roman" w:cs="Times New Roman"/>
          <w:b/>
          <w:bCs/>
          <w:color w:val="000000"/>
          <w:sz w:val="24"/>
          <w:szCs w:val="24"/>
        </w:rPr>
        <w:t xml:space="preserve">Explain any special circumstances that would cause an information collection to </w:t>
      </w:r>
      <w:proofErr w:type="gramStart"/>
      <w:r w:rsidRPr="00B053B4">
        <w:rPr>
          <w:rFonts w:ascii="Times New Roman" w:hAnsi="Times New Roman" w:eastAsia="Times New Roman" w:cs="Times New Roman"/>
          <w:b/>
          <w:bCs/>
          <w:color w:val="000000"/>
          <w:sz w:val="24"/>
          <w:szCs w:val="24"/>
        </w:rPr>
        <w:t>be conducted</w:t>
      </w:r>
      <w:proofErr w:type="gramEnd"/>
      <w:r w:rsidRPr="00B053B4">
        <w:rPr>
          <w:rFonts w:ascii="Times New Roman" w:hAnsi="Times New Roman" w:eastAsia="Times New Roman" w:cs="Times New Roman"/>
          <w:b/>
          <w:bCs/>
          <w:color w:val="000000"/>
          <w:sz w:val="24"/>
          <w:szCs w:val="24"/>
        </w:rPr>
        <w:t xml:space="preserve"> in a manner inconsistent with OMB guidelines.</w:t>
      </w:r>
    </w:p>
    <w:p w:rsidRPr="002F7129" w:rsidR="00B053B4" w:rsidP="00E5474C" w:rsidRDefault="00E5474C">
      <w:pPr>
        <w:spacing w:before="120" w:after="0" w:line="240" w:lineRule="auto"/>
        <w:textAlignment w:val="baseline"/>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There are no special circumstances and this collection </w:t>
      </w:r>
      <w:proofErr w:type="gramStart"/>
      <w:r>
        <w:rPr>
          <w:rFonts w:ascii="Times New Roman" w:hAnsi="Times New Roman" w:eastAsia="Times New Roman" w:cs="Times New Roman"/>
          <w:color w:val="000000" w:themeColor="text1"/>
          <w:sz w:val="24"/>
          <w:szCs w:val="24"/>
        </w:rPr>
        <w:t>will be conducted</w:t>
      </w:r>
      <w:proofErr w:type="gramEnd"/>
      <w:r>
        <w:rPr>
          <w:rFonts w:ascii="Times New Roman" w:hAnsi="Times New Roman" w:eastAsia="Times New Roman" w:cs="Times New Roman"/>
          <w:color w:val="000000" w:themeColor="text1"/>
          <w:sz w:val="24"/>
          <w:szCs w:val="24"/>
        </w:rPr>
        <w:t xml:space="preserve"> in a manner consistent with OMB guidelines</w:t>
      </w:r>
      <w:r w:rsidRPr="002F7129" w:rsidR="00B053B4">
        <w:rPr>
          <w:rFonts w:ascii="Times New Roman" w:hAnsi="Times New Roman" w:eastAsia="Times New Roman" w:cs="Times New Roman"/>
          <w:color w:val="000000" w:themeColor="text1"/>
          <w:sz w:val="24"/>
          <w:szCs w:val="24"/>
        </w:rPr>
        <w:t>.</w:t>
      </w:r>
    </w:p>
    <w:p w:rsidRPr="00B053B4" w:rsidR="002F7129" w:rsidP="002F7129" w:rsidRDefault="002F7129">
      <w:pPr>
        <w:spacing w:before="120" w:after="0" w:line="240" w:lineRule="auto"/>
        <w:ind w:left="720"/>
        <w:textAlignment w:val="baseline"/>
        <w:rPr>
          <w:rFonts w:ascii="Times New Roman" w:hAnsi="Times New Roman" w:eastAsia="Times New Roman" w:cs="Times New Roman"/>
          <w:color w:val="1F497D"/>
          <w:sz w:val="24"/>
          <w:szCs w:val="24"/>
        </w:rPr>
      </w:pPr>
    </w:p>
    <w:p w:rsidRPr="00B053B4" w:rsidR="00B053B4" w:rsidP="00B053B4" w:rsidRDefault="00B053B4">
      <w:pPr>
        <w:numPr>
          <w:ilvl w:val="0"/>
          <w:numId w:val="12"/>
        </w:numPr>
        <w:spacing w:before="80" w:after="0" w:line="240" w:lineRule="auto"/>
        <w:textAlignment w:val="baseline"/>
        <w:rPr>
          <w:rFonts w:ascii="Times New Roman" w:hAnsi="Times New Roman" w:eastAsia="Times New Roman" w:cs="Times New Roman"/>
          <w:b/>
          <w:bCs/>
          <w:color w:val="000000"/>
          <w:sz w:val="24"/>
          <w:szCs w:val="24"/>
        </w:rPr>
      </w:pPr>
      <w:r w:rsidRPr="00B053B4">
        <w:rPr>
          <w:rFonts w:ascii="Times New Roman" w:hAnsi="Times New Roman" w:eastAsia="Times New Roman" w:cs="Times New Roman"/>
          <w:b/>
          <w:bCs/>
          <w:color w:val="000000"/>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F7129" w:rsidR="002F7129" w:rsidP="00E5474C" w:rsidRDefault="002F7129">
      <w:pPr>
        <w:spacing w:before="159" w:after="0" w:line="240" w:lineRule="auto"/>
        <w:rPr>
          <w:rFonts w:ascii="Times New Roman" w:hAnsi="Times New Roman" w:eastAsia="Times New Roman" w:cs="Times New Roman"/>
          <w:color w:val="000000" w:themeColor="text1"/>
          <w:sz w:val="24"/>
          <w:szCs w:val="24"/>
        </w:rPr>
      </w:pPr>
      <w:r w:rsidRPr="002F7129">
        <w:rPr>
          <w:rFonts w:ascii="Times New Roman" w:hAnsi="Times New Roman" w:eastAsia="Times New Roman" w:cs="Times New Roman"/>
          <w:color w:val="000000" w:themeColor="text1"/>
          <w:sz w:val="24"/>
          <w:szCs w:val="24"/>
        </w:rPr>
        <w:t xml:space="preserve">A Federal Register Notice published on November 24, 2020 (85 FR 74694) solicited public comments. No comments </w:t>
      </w:r>
      <w:proofErr w:type="gramStart"/>
      <w:r w:rsidRPr="002F7129">
        <w:rPr>
          <w:rFonts w:ascii="Times New Roman" w:hAnsi="Times New Roman" w:eastAsia="Times New Roman" w:cs="Times New Roman"/>
          <w:color w:val="000000" w:themeColor="text1"/>
          <w:sz w:val="24"/>
          <w:szCs w:val="24"/>
        </w:rPr>
        <w:t>were received</w:t>
      </w:r>
      <w:proofErr w:type="gramEnd"/>
      <w:r w:rsidRPr="002F7129">
        <w:rPr>
          <w:rFonts w:ascii="Times New Roman" w:hAnsi="Times New Roman" w:eastAsia="Times New Roman" w:cs="Times New Roman"/>
          <w:color w:val="000000" w:themeColor="text1"/>
          <w:sz w:val="24"/>
          <w:szCs w:val="24"/>
        </w:rPr>
        <w:t xml:space="preserve">. </w:t>
      </w:r>
    </w:p>
    <w:p w:rsidRPr="00E5474C" w:rsidR="00E5474C" w:rsidP="00E5474C" w:rsidRDefault="00E5474C">
      <w:pPr>
        <w:spacing w:before="161"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Additionally, NMFS reached out to external stakeholders</w:t>
      </w:r>
      <w:r w:rsidRPr="00E5474C">
        <w:rPr>
          <w:rFonts w:ascii="Times New Roman" w:hAnsi="Times New Roman" w:eastAsia="Times New Roman" w:cs="Times New Roman"/>
          <w:sz w:val="24"/>
          <w:szCs w:val="24"/>
        </w:rPr>
        <w:t xml:space="preserve">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eastAsia="Times New Roman" w:cs="Times New Roman"/>
          <w:sz w:val="24"/>
          <w:szCs w:val="24"/>
        </w:rPr>
        <w:t xml:space="preserve">  No comments </w:t>
      </w:r>
      <w:proofErr w:type="gramStart"/>
      <w:r>
        <w:rPr>
          <w:rFonts w:ascii="Times New Roman" w:hAnsi="Times New Roman" w:eastAsia="Times New Roman" w:cs="Times New Roman"/>
          <w:sz w:val="24"/>
          <w:szCs w:val="24"/>
        </w:rPr>
        <w:t>were received</w:t>
      </w:r>
      <w:proofErr w:type="gramEnd"/>
      <w:r>
        <w:rPr>
          <w:rFonts w:ascii="Times New Roman" w:hAnsi="Times New Roman" w:eastAsia="Times New Roman" w:cs="Times New Roman"/>
          <w:sz w:val="24"/>
          <w:szCs w:val="24"/>
        </w:rPr>
        <w:t>.</w:t>
      </w:r>
      <w:r w:rsidR="002C1B15">
        <w:rPr>
          <w:rFonts w:ascii="Times New Roman" w:hAnsi="Times New Roman" w:eastAsia="Times New Roman" w:cs="Times New Roman"/>
          <w:sz w:val="24"/>
          <w:szCs w:val="24"/>
        </w:rPr>
        <w:t xml:space="preserve"> Recommendations </w:t>
      </w:r>
      <w:proofErr w:type="gramStart"/>
      <w:r w:rsidR="002C1B15">
        <w:rPr>
          <w:rFonts w:ascii="Times New Roman" w:hAnsi="Times New Roman" w:eastAsia="Times New Roman" w:cs="Times New Roman"/>
          <w:sz w:val="24"/>
          <w:szCs w:val="24"/>
        </w:rPr>
        <w:t>were received</w:t>
      </w:r>
      <w:proofErr w:type="gramEnd"/>
      <w:r w:rsidR="002C1B15">
        <w:rPr>
          <w:rFonts w:ascii="Times New Roman" w:hAnsi="Times New Roman" w:eastAsia="Times New Roman" w:cs="Times New Roman"/>
          <w:sz w:val="24"/>
          <w:szCs w:val="24"/>
        </w:rPr>
        <w:t xml:space="preserve"> on the </w:t>
      </w:r>
      <w:r w:rsidR="002C1B15">
        <w:rPr>
          <w:rFonts w:ascii="Times New Roman" w:hAnsi="Times New Roman" w:eastAsia="Times New Roman" w:cs="Times New Roman"/>
          <w:color w:val="000000" w:themeColor="text1"/>
          <w:sz w:val="24"/>
          <w:szCs w:val="24"/>
        </w:rPr>
        <w:t>wording of the questions, but no significant comments or questions that would alter the intent of the survey.</w:t>
      </w:r>
    </w:p>
    <w:p w:rsidRPr="00B053B4" w:rsidR="002F7129" w:rsidP="002F7129" w:rsidRDefault="002F7129">
      <w:pPr>
        <w:spacing w:before="159" w:after="0" w:line="240" w:lineRule="auto"/>
        <w:rPr>
          <w:rFonts w:ascii="Times New Roman" w:hAnsi="Times New Roman" w:eastAsia="Times New Roman" w:cs="Times New Roman"/>
          <w:sz w:val="24"/>
          <w:szCs w:val="24"/>
        </w:rPr>
      </w:pPr>
    </w:p>
    <w:p w:rsidR="00B053B4" w:rsidP="00DA6BFA" w:rsidRDefault="00B053B4">
      <w:pPr>
        <w:numPr>
          <w:ilvl w:val="0"/>
          <w:numId w:val="13"/>
        </w:numPr>
        <w:spacing w:before="80" w:after="0" w:line="240" w:lineRule="auto"/>
        <w:textAlignment w:val="baseline"/>
        <w:rPr>
          <w:rFonts w:ascii="Times New Roman" w:hAnsi="Times New Roman" w:eastAsia="Times New Roman" w:cs="Times New Roman"/>
          <w:b/>
          <w:bCs/>
          <w:color w:val="000000"/>
          <w:sz w:val="24"/>
          <w:szCs w:val="24"/>
        </w:rPr>
      </w:pPr>
      <w:r w:rsidRPr="00B053B4">
        <w:rPr>
          <w:rFonts w:ascii="Times New Roman" w:hAnsi="Times New Roman" w:eastAsia="Times New Roman" w:cs="Times New Roman"/>
          <w:b/>
          <w:bCs/>
          <w:color w:val="000000"/>
          <w:sz w:val="24"/>
          <w:szCs w:val="24"/>
        </w:rPr>
        <w:t>Explain any decision to provide any payment or gift to respondents, other than remuneration of contractors or grantees.</w:t>
      </w:r>
    </w:p>
    <w:p w:rsidRPr="00B053B4" w:rsidR="002F7129" w:rsidP="002F7129" w:rsidRDefault="002F7129">
      <w:pPr>
        <w:spacing w:before="80" w:after="0" w:line="240" w:lineRule="auto"/>
        <w:ind w:left="360"/>
        <w:textAlignment w:val="baseline"/>
        <w:rPr>
          <w:rFonts w:ascii="Times New Roman" w:hAnsi="Times New Roman" w:eastAsia="Times New Roman" w:cs="Times New Roman"/>
          <w:b/>
          <w:bCs/>
          <w:color w:val="000000"/>
          <w:sz w:val="24"/>
          <w:szCs w:val="24"/>
        </w:rPr>
      </w:pPr>
    </w:p>
    <w:p w:rsidRPr="002F7129" w:rsidR="002F7129" w:rsidP="00DA6BFA" w:rsidRDefault="002F7129">
      <w:pPr>
        <w:spacing w:after="0" w:line="240" w:lineRule="auto"/>
        <w:rPr>
          <w:rFonts w:ascii="Times New Roman" w:hAnsi="Times New Roman" w:eastAsia="Times New Roman" w:cs="Times New Roman"/>
          <w:color w:val="000000" w:themeColor="text1"/>
          <w:sz w:val="24"/>
          <w:szCs w:val="24"/>
        </w:rPr>
      </w:pPr>
      <w:r w:rsidRPr="002F7129">
        <w:rPr>
          <w:rFonts w:ascii="Times New Roman" w:hAnsi="Times New Roman" w:eastAsia="Times New Roman" w:cs="Times New Roman"/>
          <w:color w:val="000000" w:themeColor="text1"/>
          <w:sz w:val="24"/>
          <w:szCs w:val="24"/>
        </w:rPr>
        <w:t xml:space="preserve">No payments or gifts </w:t>
      </w:r>
      <w:proofErr w:type="gramStart"/>
      <w:r w:rsidRPr="002F7129">
        <w:rPr>
          <w:rFonts w:ascii="Times New Roman" w:hAnsi="Times New Roman" w:eastAsia="Times New Roman" w:cs="Times New Roman"/>
          <w:color w:val="000000" w:themeColor="text1"/>
          <w:sz w:val="24"/>
          <w:szCs w:val="24"/>
        </w:rPr>
        <w:t>will be given</w:t>
      </w:r>
      <w:proofErr w:type="gramEnd"/>
      <w:r w:rsidRPr="002F7129">
        <w:rPr>
          <w:rFonts w:ascii="Times New Roman" w:hAnsi="Times New Roman" w:eastAsia="Times New Roman" w:cs="Times New Roman"/>
          <w:color w:val="000000" w:themeColor="text1"/>
          <w:sz w:val="24"/>
          <w:szCs w:val="24"/>
        </w:rPr>
        <w:t xml:space="preserve"> to the respondents.</w:t>
      </w:r>
      <w:r w:rsidRPr="002F7129" w:rsidR="00B053B4">
        <w:rPr>
          <w:rFonts w:ascii="Times New Roman" w:hAnsi="Times New Roman" w:eastAsia="Times New Roman" w:cs="Times New Roman"/>
          <w:color w:val="000000" w:themeColor="text1"/>
          <w:sz w:val="24"/>
          <w:szCs w:val="24"/>
        </w:rPr>
        <w:br/>
      </w:r>
    </w:p>
    <w:p w:rsidRPr="00B053B4" w:rsidR="00B053B4" w:rsidP="00DA6BFA" w:rsidRDefault="00B053B4">
      <w:pPr>
        <w:numPr>
          <w:ilvl w:val="0"/>
          <w:numId w:val="14"/>
        </w:numPr>
        <w:spacing w:before="80" w:after="0" w:line="240" w:lineRule="auto"/>
        <w:textAlignment w:val="baseline"/>
        <w:rPr>
          <w:rFonts w:ascii="Times New Roman" w:hAnsi="Times New Roman" w:eastAsia="Times New Roman" w:cs="Times New Roman"/>
          <w:b/>
          <w:bCs/>
          <w:color w:val="000000"/>
          <w:sz w:val="24"/>
          <w:szCs w:val="24"/>
        </w:rPr>
      </w:pPr>
      <w:r w:rsidRPr="00B053B4">
        <w:rPr>
          <w:rFonts w:ascii="Times New Roman" w:hAnsi="Times New Roman" w:eastAsia="Times New Roman" w:cs="Times New Roman"/>
          <w:b/>
          <w:bCs/>
          <w:color w:val="000000"/>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053B4">
        <w:rPr>
          <w:rFonts w:ascii="Times New Roman" w:hAnsi="Times New Roman" w:eastAsia="Times New Roman" w:cs="Times New Roman"/>
          <w:b/>
          <w:bCs/>
          <w:color w:val="000000"/>
          <w:sz w:val="24"/>
          <w:szCs w:val="24"/>
        </w:rPr>
        <w:t>should be cited and described here</w:t>
      </w:r>
      <w:proofErr w:type="gramEnd"/>
      <w:r w:rsidRPr="00B053B4">
        <w:rPr>
          <w:rFonts w:ascii="Times New Roman" w:hAnsi="Times New Roman" w:eastAsia="Times New Roman" w:cs="Times New Roman"/>
          <w:b/>
          <w:bCs/>
          <w:color w:val="000000"/>
          <w:sz w:val="24"/>
          <w:szCs w:val="24"/>
        </w:rPr>
        <w:t>.</w:t>
      </w:r>
    </w:p>
    <w:p w:rsidRPr="002F7129" w:rsidR="002F7129" w:rsidP="00DA6BFA" w:rsidRDefault="002F7129">
      <w:pPr>
        <w:spacing w:before="158" w:after="0" w:line="240" w:lineRule="auto"/>
        <w:rPr>
          <w:rFonts w:ascii="Times New Roman" w:hAnsi="Times New Roman" w:eastAsia="Times New Roman" w:cs="Times New Roman"/>
          <w:color w:val="000000" w:themeColor="text1"/>
          <w:sz w:val="24"/>
          <w:szCs w:val="24"/>
        </w:rPr>
      </w:pPr>
      <w:r w:rsidRPr="002F7129">
        <w:rPr>
          <w:rFonts w:ascii="Times New Roman" w:hAnsi="Times New Roman" w:eastAsia="Times New Roman" w:cs="Times New Roman"/>
          <w:color w:val="000000" w:themeColor="text1"/>
          <w:sz w:val="24"/>
          <w:szCs w:val="24"/>
        </w:rPr>
        <w:t>No personally identifiable information will be requested from respondents.</w:t>
      </w:r>
    </w:p>
    <w:p w:rsidRPr="00B053B4" w:rsidR="00B053B4" w:rsidP="00B053B4" w:rsidRDefault="00B053B4">
      <w:pPr>
        <w:numPr>
          <w:ilvl w:val="0"/>
          <w:numId w:val="15"/>
        </w:numPr>
        <w:spacing w:before="80" w:after="0" w:line="240" w:lineRule="auto"/>
        <w:textAlignment w:val="baseline"/>
        <w:rPr>
          <w:rFonts w:ascii="Times New Roman" w:hAnsi="Times New Roman" w:eastAsia="Times New Roman" w:cs="Times New Roman"/>
          <w:b/>
          <w:bCs/>
          <w:color w:val="000000"/>
          <w:sz w:val="24"/>
          <w:szCs w:val="24"/>
        </w:rPr>
      </w:pPr>
      <w:r w:rsidRPr="00B053B4">
        <w:rPr>
          <w:rFonts w:ascii="Times New Roman" w:hAnsi="Times New Roman" w:eastAsia="Times New Roman" w:cs="Times New Roman"/>
          <w:b/>
          <w:bCs/>
          <w:color w:val="000000"/>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F7129" w:rsidR="00B053B4" w:rsidP="00B053B4" w:rsidRDefault="00B053B4">
      <w:pPr>
        <w:spacing w:after="0" w:line="240" w:lineRule="auto"/>
        <w:rPr>
          <w:rFonts w:ascii="Times New Roman" w:hAnsi="Times New Roman" w:eastAsia="Times New Roman" w:cs="Times New Roman"/>
          <w:sz w:val="24"/>
          <w:szCs w:val="24"/>
        </w:rPr>
      </w:pPr>
      <w:r w:rsidRPr="00B053B4">
        <w:rPr>
          <w:rFonts w:ascii="Times New Roman" w:hAnsi="Times New Roman" w:eastAsia="Times New Roman" w:cs="Times New Roman"/>
          <w:sz w:val="24"/>
          <w:szCs w:val="24"/>
        </w:rPr>
        <w:br/>
      </w:r>
      <w:r w:rsidRPr="002F7129" w:rsidR="002F7129">
        <w:rPr>
          <w:rFonts w:ascii="Times New Roman" w:hAnsi="Times New Roman" w:eastAsia="Times New Roman" w:cs="Times New Roman"/>
          <w:bCs/>
          <w:color w:val="000000"/>
          <w:sz w:val="24"/>
          <w:szCs w:val="24"/>
        </w:rPr>
        <w:t xml:space="preserve">The questions asked may be considered of a sensitive nature; however, the Office of Law </w:t>
      </w:r>
      <w:r w:rsidRPr="002F7129" w:rsidR="002F7129">
        <w:rPr>
          <w:rFonts w:ascii="Times New Roman" w:hAnsi="Times New Roman" w:eastAsia="Times New Roman" w:cs="Times New Roman"/>
          <w:bCs/>
          <w:color w:val="000000"/>
          <w:sz w:val="24"/>
          <w:szCs w:val="24"/>
        </w:rPr>
        <w:lastRenderedPageBreak/>
        <w:t>Enforcement is requesting the information to determine the type of negative work environment observers may be experiencing. By understanding what observers are experiencing, the Office of Law Enforcement can take specific actions to implement a positive change to improve the work environment. The survey is voluntary, and observers do not have to take it if they are uncomfortable with the questions.</w:t>
      </w:r>
      <w:r w:rsidRPr="002F7129">
        <w:rPr>
          <w:rFonts w:ascii="Times New Roman" w:hAnsi="Times New Roman" w:eastAsia="Times New Roman" w:cs="Times New Roman"/>
          <w:bCs/>
          <w:color w:val="000000"/>
          <w:sz w:val="24"/>
          <w:szCs w:val="24"/>
        </w:rPr>
        <w:br/>
      </w:r>
      <w:r w:rsidRPr="002F7129">
        <w:rPr>
          <w:rFonts w:ascii="Times New Roman" w:hAnsi="Times New Roman" w:eastAsia="Times New Roman" w:cs="Times New Roman"/>
          <w:sz w:val="24"/>
          <w:szCs w:val="24"/>
        </w:rPr>
        <w:br/>
      </w:r>
    </w:p>
    <w:p w:rsidRPr="00B053B4" w:rsidR="00B053B4" w:rsidP="00B053B4" w:rsidRDefault="00B053B4">
      <w:pPr>
        <w:numPr>
          <w:ilvl w:val="0"/>
          <w:numId w:val="16"/>
        </w:numPr>
        <w:spacing w:before="80" w:after="0" w:line="240" w:lineRule="auto"/>
        <w:textAlignment w:val="baseline"/>
        <w:rPr>
          <w:rFonts w:ascii="Times New Roman" w:hAnsi="Times New Roman" w:eastAsia="Times New Roman" w:cs="Times New Roman"/>
          <w:b/>
          <w:bCs/>
          <w:color w:val="000000"/>
          <w:sz w:val="24"/>
          <w:szCs w:val="24"/>
        </w:rPr>
      </w:pPr>
      <w:r w:rsidRPr="00B053B4">
        <w:rPr>
          <w:rFonts w:ascii="Times New Roman" w:hAnsi="Times New Roman" w:eastAsia="Times New Roman" w:cs="Times New Roman"/>
          <w:b/>
          <w:bCs/>
          <w:color w:val="000000"/>
          <w:sz w:val="24"/>
          <w:szCs w:val="24"/>
        </w:rPr>
        <w:t>Provide estimates of the hour burden of the collection of information.</w:t>
      </w:r>
    </w:p>
    <w:p w:rsidRPr="00B053B4" w:rsidR="00B053B4" w:rsidP="00B053B4" w:rsidRDefault="00B053B4">
      <w:pPr>
        <w:spacing w:after="0" w:line="240" w:lineRule="auto"/>
        <w:rPr>
          <w:rFonts w:ascii="Times New Roman" w:hAnsi="Times New Roman"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55"/>
        <w:gridCol w:w="1181"/>
        <w:gridCol w:w="1465"/>
        <w:gridCol w:w="1087"/>
        <w:gridCol w:w="973"/>
        <w:gridCol w:w="898"/>
        <w:gridCol w:w="755"/>
        <w:gridCol w:w="1152"/>
        <w:gridCol w:w="774"/>
      </w:tblGrid>
      <w:tr w:rsidRPr="00B053B4" w:rsidR="00B053B4" w:rsidTr="00B053B4">
        <w:trPr>
          <w:trHeight w:val="1365"/>
        </w:trPr>
        <w:tc>
          <w:tcPr>
            <w:tcW w:w="0" w:type="auto"/>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B053B4" w:rsidR="00B053B4" w:rsidP="00B053B4" w:rsidRDefault="00B053B4">
            <w:pPr>
              <w:spacing w:after="0" w:line="240" w:lineRule="auto"/>
              <w:jc w:val="center"/>
              <w:rPr>
                <w:rFonts w:ascii="Times New Roman" w:hAnsi="Times New Roman" w:eastAsia="Times New Roman" w:cs="Times New Roman"/>
                <w:sz w:val="24"/>
                <w:szCs w:val="24"/>
              </w:rPr>
            </w:pPr>
            <w:r w:rsidRPr="00B053B4">
              <w:rPr>
                <w:rFonts w:ascii="Calibri" w:hAnsi="Calibri" w:eastAsia="Times New Roman" w:cs="Calibri"/>
                <w:b/>
                <w:bCs/>
                <w:color w:val="000000"/>
                <w:sz w:val="16"/>
                <w:szCs w:val="16"/>
              </w:rPr>
              <w:t>Information Collection</w:t>
            </w:r>
          </w:p>
        </w:tc>
        <w:tc>
          <w:tcPr>
            <w:tcW w:w="0" w:type="auto"/>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B053B4" w:rsidR="00B053B4" w:rsidP="00B053B4" w:rsidRDefault="00B053B4">
            <w:pPr>
              <w:spacing w:after="0" w:line="240" w:lineRule="auto"/>
              <w:jc w:val="center"/>
              <w:rPr>
                <w:rFonts w:ascii="Times New Roman" w:hAnsi="Times New Roman" w:eastAsia="Times New Roman" w:cs="Times New Roman"/>
                <w:sz w:val="24"/>
                <w:szCs w:val="24"/>
              </w:rPr>
            </w:pPr>
            <w:r w:rsidRPr="00B053B4">
              <w:rPr>
                <w:rFonts w:ascii="Calibri" w:hAnsi="Calibri" w:eastAsia="Times New Roman" w:cs="Calibri"/>
                <w:b/>
                <w:bCs/>
                <w:color w:val="000000"/>
                <w:sz w:val="16"/>
                <w:szCs w:val="16"/>
              </w:rPr>
              <w:t>Type of Respondent (e.g., Occupational Title)</w:t>
            </w:r>
          </w:p>
        </w:tc>
        <w:tc>
          <w:tcPr>
            <w:tcW w:w="0" w:type="auto"/>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B053B4" w:rsidR="00B053B4" w:rsidP="00B053B4" w:rsidRDefault="00B053B4">
            <w:pPr>
              <w:spacing w:after="0" w:line="240" w:lineRule="auto"/>
              <w:jc w:val="center"/>
              <w:rPr>
                <w:rFonts w:ascii="Times New Roman" w:hAnsi="Times New Roman" w:eastAsia="Times New Roman" w:cs="Times New Roman"/>
                <w:sz w:val="24"/>
                <w:szCs w:val="24"/>
              </w:rPr>
            </w:pPr>
            <w:r w:rsidRPr="00B053B4">
              <w:rPr>
                <w:rFonts w:ascii="Calibri" w:hAnsi="Calibri" w:eastAsia="Times New Roman" w:cs="Calibri"/>
                <w:b/>
                <w:bCs/>
                <w:color w:val="000000"/>
                <w:sz w:val="16"/>
                <w:szCs w:val="16"/>
              </w:rPr>
              <w:t># of Respondents/year</w:t>
            </w:r>
            <w:r w:rsidRPr="00B053B4">
              <w:rPr>
                <w:rFonts w:ascii="Calibri" w:hAnsi="Calibri" w:eastAsia="Times New Roman" w:cs="Calibri"/>
                <w:b/>
                <w:bCs/>
                <w:color w:val="000000"/>
                <w:sz w:val="16"/>
                <w:szCs w:val="16"/>
              </w:rPr>
              <w:br/>
              <w:t>(a)</w:t>
            </w:r>
          </w:p>
        </w:tc>
        <w:tc>
          <w:tcPr>
            <w:tcW w:w="0" w:type="auto"/>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B053B4" w:rsidR="00B053B4" w:rsidP="00B053B4" w:rsidRDefault="00B053B4">
            <w:pPr>
              <w:spacing w:after="0" w:line="240" w:lineRule="auto"/>
              <w:jc w:val="center"/>
              <w:rPr>
                <w:rFonts w:ascii="Times New Roman" w:hAnsi="Times New Roman" w:eastAsia="Times New Roman" w:cs="Times New Roman"/>
                <w:sz w:val="24"/>
                <w:szCs w:val="24"/>
              </w:rPr>
            </w:pPr>
            <w:r w:rsidRPr="00B053B4">
              <w:rPr>
                <w:rFonts w:ascii="Calibri" w:hAnsi="Calibri" w:eastAsia="Times New Roman" w:cs="Calibri"/>
                <w:b/>
                <w:bCs/>
                <w:color w:val="000000"/>
                <w:sz w:val="16"/>
                <w:szCs w:val="16"/>
              </w:rPr>
              <w:t>Annual # of Responses / Respondent</w:t>
            </w:r>
            <w:r w:rsidRPr="00B053B4">
              <w:rPr>
                <w:rFonts w:ascii="Calibri" w:hAnsi="Calibri" w:eastAsia="Times New Roman" w:cs="Calibri"/>
                <w:b/>
                <w:bCs/>
                <w:color w:val="000000"/>
                <w:sz w:val="16"/>
                <w:szCs w:val="16"/>
              </w:rPr>
              <w:br/>
              <w:t>(b)</w:t>
            </w:r>
          </w:p>
        </w:tc>
        <w:tc>
          <w:tcPr>
            <w:tcW w:w="0" w:type="auto"/>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B053B4" w:rsidR="00B053B4" w:rsidP="00B053B4" w:rsidRDefault="00B053B4">
            <w:pPr>
              <w:spacing w:after="0" w:line="240" w:lineRule="auto"/>
              <w:jc w:val="center"/>
              <w:rPr>
                <w:rFonts w:ascii="Times New Roman" w:hAnsi="Times New Roman" w:eastAsia="Times New Roman" w:cs="Times New Roman"/>
                <w:sz w:val="24"/>
                <w:szCs w:val="24"/>
              </w:rPr>
            </w:pPr>
            <w:r w:rsidRPr="00B053B4">
              <w:rPr>
                <w:rFonts w:ascii="Calibri" w:hAnsi="Calibri" w:eastAsia="Times New Roman" w:cs="Calibri"/>
                <w:b/>
                <w:bCs/>
                <w:color w:val="000000"/>
                <w:sz w:val="16"/>
                <w:szCs w:val="16"/>
              </w:rPr>
              <w:t xml:space="preserve"> Total # of Annual Responses</w:t>
            </w:r>
            <w:r w:rsidRPr="00B053B4">
              <w:rPr>
                <w:rFonts w:ascii="Calibri" w:hAnsi="Calibri" w:eastAsia="Times New Roman" w:cs="Calibri"/>
                <w:b/>
                <w:bCs/>
                <w:color w:val="000000"/>
                <w:sz w:val="16"/>
                <w:szCs w:val="16"/>
              </w:rPr>
              <w:br/>
              <w:t>(c) = (a) x (b)</w:t>
            </w:r>
          </w:p>
        </w:tc>
        <w:tc>
          <w:tcPr>
            <w:tcW w:w="0" w:type="auto"/>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B053B4" w:rsidR="00B053B4" w:rsidP="00B053B4" w:rsidRDefault="00B053B4">
            <w:pPr>
              <w:spacing w:after="0" w:line="240" w:lineRule="auto"/>
              <w:jc w:val="center"/>
              <w:rPr>
                <w:rFonts w:ascii="Times New Roman" w:hAnsi="Times New Roman" w:eastAsia="Times New Roman" w:cs="Times New Roman"/>
                <w:sz w:val="24"/>
                <w:szCs w:val="24"/>
              </w:rPr>
            </w:pPr>
            <w:r w:rsidRPr="00B053B4">
              <w:rPr>
                <w:rFonts w:ascii="Calibri" w:hAnsi="Calibri" w:eastAsia="Times New Roman" w:cs="Calibri"/>
                <w:b/>
                <w:bCs/>
                <w:color w:val="000000"/>
                <w:sz w:val="16"/>
                <w:szCs w:val="16"/>
              </w:rPr>
              <w:t xml:space="preserve">Burden </w:t>
            </w:r>
            <w:proofErr w:type="spellStart"/>
            <w:r w:rsidRPr="00B053B4">
              <w:rPr>
                <w:rFonts w:ascii="Calibri" w:hAnsi="Calibri" w:eastAsia="Times New Roman" w:cs="Calibri"/>
                <w:b/>
                <w:bCs/>
                <w:color w:val="000000"/>
                <w:sz w:val="16"/>
                <w:szCs w:val="16"/>
              </w:rPr>
              <w:t>Hrs</w:t>
            </w:r>
            <w:proofErr w:type="spellEnd"/>
            <w:r w:rsidRPr="00B053B4">
              <w:rPr>
                <w:rFonts w:ascii="Calibri" w:hAnsi="Calibri" w:eastAsia="Times New Roman" w:cs="Calibri"/>
                <w:b/>
                <w:bCs/>
                <w:color w:val="000000"/>
                <w:sz w:val="16"/>
                <w:szCs w:val="16"/>
              </w:rPr>
              <w:t xml:space="preserve"> / Response</w:t>
            </w:r>
            <w:r w:rsidRPr="00B053B4">
              <w:rPr>
                <w:rFonts w:ascii="Calibri" w:hAnsi="Calibri" w:eastAsia="Times New Roman" w:cs="Calibri"/>
                <w:b/>
                <w:bCs/>
                <w:color w:val="000000"/>
                <w:sz w:val="16"/>
                <w:szCs w:val="16"/>
              </w:rPr>
              <w:br/>
              <w:t>(d)</w:t>
            </w:r>
          </w:p>
        </w:tc>
        <w:tc>
          <w:tcPr>
            <w:tcW w:w="0" w:type="auto"/>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B053B4" w:rsidR="00B053B4" w:rsidP="00B053B4" w:rsidRDefault="00B053B4">
            <w:pPr>
              <w:spacing w:after="0" w:line="240" w:lineRule="auto"/>
              <w:jc w:val="center"/>
              <w:rPr>
                <w:rFonts w:ascii="Times New Roman" w:hAnsi="Times New Roman" w:eastAsia="Times New Roman" w:cs="Times New Roman"/>
                <w:sz w:val="24"/>
                <w:szCs w:val="24"/>
              </w:rPr>
            </w:pPr>
            <w:r w:rsidRPr="00B053B4">
              <w:rPr>
                <w:rFonts w:ascii="Calibri" w:hAnsi="Calibri" w:eastAsia="Times New Roman" w:cs="Calibri"/>
                <w:b/>
                <w:bCs/>
                <w:color w:val="000000"/>
                <w:sz w:val="16"/>
                <w:szCs w:val="16"/>
              </w:rPr>
              <w:t xml:space="preserve">Total Annual Burden </w:t>
            </w:r>
            <w:proofErr w:type="spellStart"/>
            <w:r w:rsidRPr="00B053B4">
              <w:rPr>
                <w:rFonts w:ascii="Calibri" w:hAnsi="Calibri" w:eastAsia="Times New Roman" w:cs="Calibri"/>
                <w:b/>
                <w:bCs/>
                <w:color w:val="000000"/>
                <w:sz w:val="16"/>
                <w:szCs w:val="16"/>
              </w:rPr>
              <w:t>Hrs</w:t>
            </w:r>
            <w:proofErr w:type="spellEnd"/>
            <w:r w:rsidRPr="00B053B4">
              <w:rPr>
                <w:rFonts w:ascii="Calibri" w:hAnsi="Calibri" w:eastAsia="Times New Roman" w:cs="Calibri"/>
                <w:b/>
                <w:bCs/>
                <w:color w:val="000000"/>
                <w:sz w:val="16"/>
                <w:szCs w:val="16"/>
              </w:rPr>
              <w:br/>
              <w:t>(e)  = (c) x (d)</w:t>
            </w:r>
          </w:p>
        </w:tc>
        <w:tc>
          <w:tcPr>
            <w:tcW w:w="0" w:type="auto"/>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B053B4" w:rsidR="00B053B4" w:rsidP="00B053B4" w:rsidRDefault="00B053B4">
            <w:pPr>
              <w:spacing w:after="0" w:line="240" w:lineRule="auto"/>
              <w:jc w:val="center"/>
              <w:rPr>
                <w:rFonts w:ascii="Times New Roman" w:hAnsi="Times New Roman" w:eastAsia="Times New Roman" w:cs="Times New Roman"/>
                <w:sz w:val="24"/>
                <w:szCs w:val="24"/>
              </w:rPr>
            </w:pPr>
            <w:r w:rsidRPr="00B053B4">
              <w:rPr>
                <w:rFonts w:ascii="Calibri" w:hAnsi="Calibri" w:eastAsia="Times New Roman" w:cs="Calibri"/>
                <w:b/>
                <w:bCs/>
                <w:color w:val="000000"/>
                <w:sz w:val="16"/>
                <w:szCs w:val="16"/>
              </w:rPr>
              <w:t>Hourly Wage Rate  (for Type of Respondent)</w:t>
            </w:r>
            <w:r w:rsidRPr="00B053B4">
              <w:rPr>
                <w:rFonts w:ascii="Calibri" w:hAnsi="Calibri" w:eastAsia="Times New Roman" w:cs="Calibri"/>
                <w:b/>
                <w:bCs/>
                <w:color w:val="000000"/>
                <w:sz w:val="16"/>
                <w:szCs w:val="16"/>
              </w:rPr>
              <w:br/>
              <w:t>(f)</w:t>
            </w:r>
          </w:p>
        </w:tc>
        <w:tc>
          <w:tcPr>
            <w:tcW w:w="0" w:type="auto"/>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B053B4" w:rsidR="00B053B4" w:rsidP="00B053B4" w:rsidRDefault="00B053B4">
            <w:pPr>
              <w:spacing w:after="0" w:line="240" w:lineRule="auto"/>
              <w:jc w:val="center"/>
              <w:rPr>
                <w:rFonts w:ascii="Times New Roman" w:hAnsi="Times New Roman" w:eastAsia="Times New Roman" w:cs="Times New Roman"/>
                <w:sz w:val="24"/>
                <w:szCs w:val="24"/>
              </w:rPr>
            </w:pPr>
            <w:r w:rsidRPr="00B053B4">
              <w:rPr>
                <w:rFonts w:ascii="Calibri" w:hAnsi="Calibri" w:eastAsia="Times New Roman" w:cs="Calibri"/>
                <w:b/>
                <w:bCs/>
                <w:color w:val="000000"/>
                <w:sz w:val="16"/>
                <w:szCs w:val="16"/>
              </w:rPr>
              <w:t>Total Annual Wage Burden Costs</w:t>
            </w:r>
            <w:r w:rsidRPr="00B053B4">
              <w:rPr>
                <w:rFonts w:ascii="Calibri" w:hAnsi="Calibri" w:eastAsia="Times New Roman" w:cs="Calibri"/>
                <w:b/>
                <w:bCs/>
                <w:color w:val="000000"/>
                <w:sz w:val="16"/>
                <w:szCs w:val="16"/>
              </w:rPr>
              <w:br/>
              <w:t>(g) = (e) x (f)</w:t>
            </w:r>
          </w:p>
        </w:tc>
      </w:tr>
      <w:tr w:rsidRPr="00B053B4" w:rsidR="00B053B4" w:rsidTr="00B053B4">
        <w:trPr>
          <w:trHeight w:val="300"/>
        </w:trPr>
        <w:tc>
          <w:tcPr>
            <w:tcW w:w="0" w:type="auto"/>
            <w:tcBorders>
              <w:top w:val="single" w:color="000000" w:sz="8" w:space="0"/>
              <w:left w:val="single" w:color="000000" w:sz="8" w:space="0"/>
              <w:bottom w:val="single" w:color="000000" w:sz="4" w:space="0"/>
              <w:right w:val="single" w:color="000000" w:sz="4" w:space="0"/>
            </w:tcBorders>
            <w:tcMar>
              <w:top w:w="0" w:type="dxa"/>
              <w:left w:w="115" w:type="dxa"/>
              <w:bottom w:w="0" w:type="dxa"/>
              <w:right w:w="115" w:type="dxa"/>
            </w:tcMar>
            <w:vAlign w:val="bottom"/>
            <w:hideMark/>
          </w:tcPr>
          <w:p w:rsidRPr="00B053B4" w:rsidR="00B053B4" w:rsidP="00B053B4" w:rsidRDefault="00E5474C">
            <w:pPr>
              <w:spacing w:after="0" w:line="240" w:lineRule="auto"/>
              <w:rPr>
                <w:rFonts w:ascii="Times New Roman" w:hAnsi="Times New Roman" w:eastAsia="Times New Roman" w:cs="Times New Roman"/>
                <w:sz w:val="24"/>
                <w:szCs w:val="24"/>
              </w:rPr>
            </w:pPr>
            <w:r>
              <w:rPr>
                <w:rFonts w:ascii="Calibri" w:hAnsi="Calibri" w:eastAsia="Times New Roman" w:cs="Calibri"/>
                <w:color w:val="000000"/>
                <w:sz w:val="16"/>
                <w:szCs w:val="16"/>
              </w:rPr>
              <w:t>Safety &amp; Security Survey</w:t>
            </w:r>
          </w:p>
        </w:tc>
        <w:tc>
          <w:tcPr>
            <w:tcW w:w="0" w:type="auto"/>
            <w:tcBorders>
              <w:top w:val="single" w:color="000000" w:sz="8"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B053B4" w:rsidR="00B053B4" w:rsidP="00B053B4" w:rsidRDefault="001C4EBB">
            <w:pPr>
              <w:spacing w:after="0" w:line="240" w:lineRule="auto"/>
              <w:jc w:val="center"/>
              <w:rPr>
                <w:rFonts w:ascii="Times New Roman" w:hAnsi="Times New Roman" w:eastAsia="Times New Roman" w:cs="Times New Roman"/>
                <w:sz w:val="24"/>
                <w:szCs w:val="24"/>
              </w:rPr>
            </w:pPr>
            <w:r>
              <w:rPr>
                <w:rFonts w:ascii="Calibri" w:hAnsi="Calibri" w:eastAsia="Times New Roman" w:cs="Calibri"/>
                <w:color w:val="000000"/>
                <w:sz w:val="16"/>
                <w:szCs w:val="16"/>
              </w:rPr>
              <w:t>Fishery Observer</w:t>
            </w:r>
            <w:r w:rsidRPr="00B053B4" w:rsidR="00B053B4">
              <w:rPr>
                <w:rFonts w:ascii="Calibri" w:hAnsi="Calibri" w:eastAsia="Times New Roman" w:cs="Calibri"/>
                <w:color w:val="000000"/>
                <w:sz w:val="16"/>
                <w:szCs w:val="16"/>
              </w:rPr>
              <w:t> </w:t>
            </w:r>
          </w:p>
        </w:tc>
        <w:tc>
          <w:tcPr>
            <w:tcW w:w="0" w:type="auto"/>
            <w:tcBorders>
              <w:top w:val="single" w:color="000000" w:sz="8"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B053B4" w:rsidR="00B053B4" w:rsidP="00B053B4" w:rsidRDefault="001C4EBB">
            <w:pPr>
              <w:spacing w:after="0" w:line="240" w:lineRule="auto"/>
              <w:jc w:val="right"/>
              <w:rPr>
                <w:rFonts w:ascii="Times New Roman" w:hAnsi="Times New Roman" w:eastAsia="Times New Roman" w:cs="Times New Roman"/>
                <w:sz w:val="24"/>
                <w:szCs w:val="24"/>
              </w:rPr>
            </w:pPr>
            <w:r>
              <w:rPr>
                <w:rFonts w:ascii="Calibri" w:hAnsi="Calibri" w:eastAsia="Times New Roman" w:cs="Calibri"/>
                <w:color w:val="000000"/>
                <w:sz w:val="16"/>
                <w:szCs w:val="16"/>
              </w:rPr>
              <w:t>300</w:t>
            </w:r>
          </w:p>
        </w:tc>
        <w:tc>
          <w:tcPr>
            <w:tcW w:w="0" w:type="auto"/>
            <w:tcBorders>
              <w:top w:val="single" w:color="000000" w:sz="8"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B053B4" w:rsidR="00B053B4" w:rsidP="00B053B4" w:rsidRDefault="001C4EBB">
            <w:pPr>
              <w:spacing w:after="0" w:line="240" w:lineRule="auto"/>
              <w:jc w:val="right"/>
              <w:rPr>
                <w:rFonts w:ascii="Times New Roman" w:hAnsi="Times New Roman" w:eastAsia="Times New Roman" w:cs="Times New Roman"/>
                <w:sz w:val="24"/>
                <w:szCs w:val="24"/>
              </w:rPr>
            </w:pPr>
            <w:r>
              <w:rPr>
                <w:rFonts w:ascii="Calibri" w:hAnsi="Calibri" w:eastAsia="Times New Roman" w:cs="Calibri"/>
                <w:color w:val="000000"/>
                <w:sz w:val="16"/>
                <w:szCs w:val="16"/>
              </w:rPr>
              <w:t>1</w:t>
            </w:r>
          </w:p>
        </w:tc>
        <w:tc>
          <w:tcPr>
            <w:tcW w:w="0" w:type="auto"/>
            <w:tcBorders>
              <w:top w:val="single" w:color="000000" w:sz="8"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B053B4" w:rsidR="00B053B4" w:rsidP="00B053B4" w:rsidRDefault="001C4EBB">
            <w:pPr>
              <w:spacing w:after="0" w:line="240" w:lineRule="auto"/>
              <w:jc w:val="right"/>
              <w:rPr>
                <w:rFonts w:ascii="Times New Roman" w:hAnsi="Times New Roman" w:eastAsia="Times New Roman" w:cs="Times New Roman"/>
                <w:sz w:val="24"/>
                <w:szCs w:val="24"/>
              </w:rPr>
            </w:pPr>
            <w:r>
              <w:rPr>
                <w:rFonts w:ascii="Calibri" w:hAnsi="Calibri" w:eastAsia="Times New Roman" w:cs="Calibri"/>
                <w:color w:val="000000"/>
                <w:sz w:val="16"/>
                <w:szCs w:val="16"/>
              </w:rPr>
              <w:t>300</w:t>
            </w:r>
          </w:p>
        </w:tc>
        <w:tc>
          <w:tcPr>
            <w:tcW w:w="0" w:type="auto"/>
            <w:tcBorders>
              <w:top w:val="single" w:color="000000" w:sz="8"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B053B4" w:rsidR="00B053B4" w:rsidP="00B053B4" w:rsidRDefault="002C1B15">
            <w:pPr>
              <w:spacing w:after="0" w:line="240" w:lineRule="auto"/>
              <w:jc w:val="right"/>
              <w:rPr>
                <w:rFonts w:ascii="Times New Roman" w:hAnsi="Times New Roman" w:eastAsia="Times New Roman" w:cs="Times New Roman"/>
                <w:sz w:val="24"/>
                <w:szCs w:val="24"/>
              </w:rPr>
            </w:pPr>
            <w:r>
              <w:rPr>
                <w:rFonts w:ascii="Calibri" w:hAnsi="Calibri" w:eastAsia="Times New Roman" w:cs="Calibri"/>
                <w:color w:val="000000"/>
                <w:sz w:val="16"/>
                <w:szCs w:val="16"/>
              </w:rPr>
              <w:t>10min</w:t>
            </w:r>
          </w:p>
        </w:tc>
        <w:tc>
          <w:tcPr>
            <w:tcW w:w="0" w:type="auto"/>
            <w:tcBorders>
              <w:top w:val="single" w:color="000000" w:sz="8"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B053B4" w:rsidR="00B053B4" w:rsidP="00B053B4" w:rsidRDefault="002C1B15">
            <w:pPr>
              <w:spacing w:after="0" w:line="240" w:lineRule="auto"/>
              <w:jc w:val="right"/>
              <w:rPr>
                <w:rFonts w:ascii="Times New Roman" w:hAnsi="Times New Roman" w:eastAsia="Times New Roman" w:cs="Times New Roman"/>
                <w:sz w:val="24"/>
                <w:szCs w:val="24"/>
              </w:rPr>
            </w:pPr>
            <w:r>
              <w:rPr>
                <w:rFonts w:ascii="Calibri" w:hAnsi="Calibri" w:eastAsia="Times New Roman" w:cs="Calibri"/>
                <w:color w:val="000000"/>
                <w:sz w:val="16"/>
                <w:szCs w:val="16"/>
              </w:rPr>
              <w:t>50</w:t>
            </w:r>
            <w:r w:rsidRPr="00B053B4" w:rsidR="00B053B4">
              <w:rPr>
                <w:rFonts w:ascii="Calibri" w:hAnsi="Calibri" w:eastAsia="Times New Roman" w:cs="Calibri"/>
                <w:color w:val="000000"/>
                <w:sz w:val="16"/>
                <w:szCs w:val="16"/>
              </w:rPr>
              <w:t> </w:t>
            </w:r>
          </w:p>
        </w:tc>
        <w:tc>
          <w:tcPr>
            <w:tcW w:w="0" w:type="auto"/>
            <w:tcBorders>
              <w:top w:val="single" w:color="000000" w:sz="8"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B053B4" w:rsidR="00B053B4" w:rsidP="00B053B4" w:rsidRDefault="00702F05">
            <w:pPr>
              <w:spacing w:after="0" w:line="240" w:lineRule="auto"/>
              <w:jc w:val="right"/>
              <w:rPr>
                <w:rFonts w:ascii="Times New Roman" w:hAnsi="Times New Roman" w:eastAsia="Times New Roman" w:cs="Times New Roman"/>
                <w:sz w:val="24"/>
                <w:szCs w:val="24"/>
              </w:rPr>
            </w:pPr>
            <w:r>
              <w:rPr>
                <w:rFonts w:ascii="Calibri" w:hAnsi="Calibri" w:eastAsia="Times New Roman" w:cs="Calibri"/>
                <w:color w:val="000000"/>
                <w:sz w:val="16"/>
                <w:szCs w:val="16"/>
              </w:rPr>
              <w:t>10</w:t>
            </w:r>
            <w:r w:rsidRPr="00B053B4" w:rsidR="00B053B4">
              <w:rPr>
                <w:rFonts w:ascii="Calibri" w:hAnsi="Calibri" w:eastAsia="Times New Roman" w:cs="Calibri"/>
                <w:color w:val="000000"/>
                <w:sz w:val="16"/>
                <w:szCs w:val="16"/>
              </w:rPr>
              <w:t> </w:t>
            </w:r>
          </w:p>
        </w:tc>
        <w:tc>
          <w:tcPr>
            <w:tcW w:w="0" w:type="auto"/>
            <w:tcBorders>
              <w:top w:val="single" w:color="000000" w:sz="8" w:space="0"/>
              <w:left w:val="single" w:color="000000" w:sz="4" w:space="0"/>
              <w:bottom w:val="single" w:color="000000" w:sz="4" w:space="0"/>
              <w:right w:val="single" w:color="000000" w:sz="8" w:space="0"/>
            </w:tcBorders>
            <w:tcMar>
              <w:top w:w="0" w:type="dxa"/>
              <w:left w:w="115" w:type="dxa"/>
              <w:bottom w:w="0" w:type="dxa"/>
              <w:right w:w="115" w:type="dxa"/>
            </w:tcMar>
            <w:vAlign w:val="bottom"/>
            <w:hideMark/>
          </w:tcPr>
          <w:p w:rsidRPr="00B053B4" w:rsidR="00B053B4" w:rsidP="002C1B15" w:rsidRDefault="00702F05">
            <w:pPr>
              <w:spacing w:after="0" w:line="240" w:lineRule="auto"/>
              <w:jc w:val="right"/>
              <w:rPr>
                <w:rFonts w:ascii="Times New Roman" w:hAnsi="Times New Roman" w:eastAsia="Times New Roman" w:cs="Times New Roman"/>
                <w:sz w:val="24"/>
                <w:szCs w:val="24"/>
              </w:rPr>
            </w:pPr>
            <w:r>
              <w:rPr>
                <w:rFonts w:ascii="Calibri" w:hAnsi="Calibri" w:eastAsia="Times New Roman" w:cs="Calibri"/>
                <w:color w:val="000000"/>
                <w:sz w:val="16"/>
                <w:szCs w:val="16"/>
              </w:rPr>
              <w:t>5</w:t>
            </w:r>
            <w:r w:rsidR="002C1B15">
              <w:rPr>
                <w:rFonts w:ascii="Calibri" w:hAnsi="Calibri" w:eastAsia="Times New Roman" w:cs="Calibri"/>
                <w:color w:val="000000"/>
                <w:sz w:val="16"/>
                <w:szCs w:val="16"/>
              </w:rPr>
              <w:t>0</w:t>
            </w:r>
            <w:r>
              <w:rPr>
                <w:rFonts w:ascii="Calibri" w:hAnsi="Calibri" w:eastAsia="Times New Roman" w:cs="Calibri"/>
                <w:color w:val="000000"/>
                <w:sz w:val="16"/>
                <w:szCs w:val="16"/>
              </w:rPr>
              <w:t>0</w:t>
            </w:r>
            <w:r w:rsidRPr="00B053B4" w:rsidR="00B053B4">
              <w:rPr>
                <w:rFonts w:ascii="Calibri" w:hAnsi="Calibri" w:eastAsia="Times New Roman" w:cs="Calibri"/>
                <w:color w:val="000000"/>
                <w:sz w:val="16"/>
                <w:szCs w:val="16"/>
              </w:rPr>
              <w:t> </w:t>
            </w:r>
          </w:p>
        </w:tc>
      </w:tr>
      <w:tr w:rsidRPr="00B053B4" w:rsidR="00B053B4" w:rsidTr="00B053B4">
        <w:trPr>
          <w:trHeight w:val="615"/>
        </w:trPr>
        <w:tc>
          <w:tcPr>
            <w:tcW w:w="0" w:type="auto"/>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bottom"/>
            <w:hideMark/>
          </w:tcPr>
          <w:p w:rsidRPr="00B053B4" w:rsidR="00B053B4" w:rsidP="00B053B4" w:rsidRDefault="00B053B4">
            <w:pPr>
              <w:spacing w:after="0" w:line="240" w:lineRule="auto"/>
              <w:rPr>
                <w:rFonts w:ascii="Times New Roman" w:hAnsi="Times New Roman" w:eastAsia="Times New Roman" w:cs="Times New Roman"/>
                <w:sz w:val="24"/>
                <w:szCs w:val="24"/>
              </w:rPr>
            </w:pPr>
            <w:r w:rsidRPr="00B053B4">
              <w:rPr>
                <w:rFonts w:ascii="Calibri" w:hAnsi="Calibri" w:eastAsia="Times New Roman" w:cs="Calibri"/>
                <w:b/>
                <w:bCs/>
                <w:color w:val="000000"/>
                <w:sz w:val="24"/>
                <w:szCs w:val="24"/>
              </w:rPr>
              <w:t>Totals</w:t>
            </w:r>
          </w:p>
        </w:tc>
        <w:tc>
          <w:tcPr>
            <w:tcW w:w="0" w:type="auto"/>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bottom"/>
            <w:hideMark/>
          </w:tcPr>
          <w:p w:rsidRPr="00B053B4" w:rsidR="00B053B4" w:rsidP="00B053B4" w:rsidRDefault="00B053B4">
            <w:pPr>
              <w:spacing w:after="0" w:line="240" w:lineRule="auto"/>
              <w:rPr>
                <w:rFonts w:ascii="Times New Roman" w:hAnsi="Times New Roman" w:eastAsia="Times New Roman" w:cs="Times New Roman"/>
                <w:sz w:val="24"/>
                <w:szCs w:val="24"/>
              </w:rPr>
            </w:pPr>
            <w:r w:rsidRPr="00B053B4">
              <w:rPr>
                <w:rFonts w:ascii="Calibri" w:hAnsi="Calibri" w:eastAsia="Times New Roman" w:cs="Calibri"/>
                <w:b/>
                <w:bCs/>
                <w:color w:val="000000"/>
                <w:sz w:val="24"/>
                <w:szCs w:val="24"/>
              </w:rPr>
              <w:t> </w:t>
            </w:r>
          </w:p>
        </w:tc>
        <w:tc>
          <w:tcPr>
            <w:tcW w:w="0" w:type="auto"/>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bottom"/>
            <w:hideMark/>
          </w:tcPr>
          <w:p w:rsidRPr="00B053B4" w:rsidR="00B053B4" w:rsidP="00B053B4" w:rsidRDefault="00B053B4">
            <w:pPr>
              <w:spacing w:after="0" w:line="240" w:lineRule="auto"/>
              <w:rPr>
                <w:rFonts w:ascii="Times New Roman" w:hAnsi="Times New Roman" w:eastAsia="Times New Roman" w:cs="Times New Roman"/>
                <w:sz w:val="24"/>
                <w:szCs w:val="24"/>
              </w:rPr>
            </w:pPr>
            <w:r w:rsidRPr="00B053B4">
              <w:rPr>
                <w:rFonts w:ascii="Calibri" w:hAnsi="Calibri" w:eastAsia="Times New Roman" w:cs="Calibri"/>
                <w:b/>
                <w:bCs/>
                <w:color w:val="000000"/>
                <w:sz w:val="24"/>
                <w:szCs w:val="24"/>
              </w:rPr>
              <w:t> </w:t>
            </w:r>
          </w:p>
        </w:tc>
        <w:tc>
          <w:tcPr>
            <w:tcW w:w="0" w:type="auto"/>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bottom"/>
            <w:hideMark/>
          </w:tcPr>
          <w:p w:rsidRPr="00B053B4" w:rsidR="00B053B4" w:rsidP="00B053B4" w:rsidRDefault="00B053B4">
            <w:pPr>
              <w:spacing w:after="0" w:line="240" w:lineRule="auto"/>
              <w:rPr>
                <w:rFonts w:ascii="Times New Roman" w:hAnsi="Times New Roman" w:eastAsia="Times New Roman" w:cs="Times New Roman"/>
                <w:sz w:val="24"/>
                <w:szCs w:val="24"/>
              </w:rPr>
            </w:pPr>
            <w:r w:rsidRPr="00B053B4">
              <w:rPr>
                <w:rFonts w:ascii="Calibri" w:hAnsi="Calibri" w:eastAsia="Times New Roman" w:cs="Calibri"/>
                <w:b/>
                <w:bCs/>
                <w:color w:val="000000"/>
                <w:sz w:val="24"/>
                <w:szCs w:val="24"/>
              </w:rPr>
              <w:t> </w:t>
            </w:r>
          </w:p>
        </w:tc>
        <w:tc>
          <w:tcPr>
            <w:tcW w:w="0" w:type="auto"/>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bottom"/>
            <w:hideMark/>
          </w:tcPr>
          <w:p w:rsidRPr="00B053B4" w:rsidR="00B053B4" w:rsidP="00B053B4" w:rsidRDefault="00B053B4">
            <w:pPr>
              <w:spacing w:after="0" w:line="240" w:lineRule="auto"/>
              <w:rPr>
                <w:rFonts w:ascii="Times New Roman" w:hAnsi="Times New Roman" w:eastAsia="Times New Roman" w:cs="Times New Roman"/>
                <w:sz w:val="24"/>
                <w:szCs w:val="24"/>
              </w:rPr>
            </w:pPr>
            <w:r w:rsidRPr="00B053B4">
              <w:rPr>
                <w:rFonts w:ascii="Calibri" w:hAnsi="Calibri" w:eastAsia="Times New Roman" w:cs="Calibri"/>
                <w:b/>
                <w:bCs/>
                <w:color w:val="000000"/>
                <w:sz w:val="24"/>
                <w:szCs w:val="24"/>
              </w:rPr>
              <w:t> </w:t>
            </w:r>
          </w:p>
        </w:tc>
        <w:tc>
          <w:tcPr>
            <w:tcW w:w="0" w:type="auto"/>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bottom"/>
            <w:hideMark/>
          </w:tcPr>
          <w:p w:rsidRPr="00B053B4" w:rsidR="00B053B4" w:rsidP="00B053B4" w:rsidRDefault="00B053B4">
            <w:pPr>
              <w:spacing w:after="0" w:line="240" w:lineRule="auto"/>
              <w:rPr>
                <w:rFonts w:ascii="Times New Roman" w:hAnsi="Times New Roman" w:eastAsia="Times New Roman" w:cs="Times New Roman"/>
                <w:sz w:val="24"/>
                <w:szCs w:val="24"/>
              </w:rPr>
            </w:pPr>
            <w:r w:rsidRPr="00B053B4">
              <w:rPr>
                <w:rFonts w:ascii="Calibri" w:hAnsi="Calibri" w:eastAsia="Times New Roman" w:cs="Calibri"/>
                <w:b/>
                <w:bCs/>
                <w:color w:val="000000"/>
                <w:sz w:val="24"/>
                <w:szCs w:val="24"/>
              </w:rPr>
              <w:t> </w:t>
            </w:r>
          </w:p>
        </w:tc>
        <w:tc>
          <w:tcPr>
            <w:tcW w:w="0" w:type="auto"/>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bottom"/>
            <w:hideMark/>
          </w:tcPr>
          <w:p w:rsidRPr="00B053B4" w:rsidR="00B053B4" w:rsidP="00B053B4" w:rsidRDefault="00B053B4">
            <w:pPr>
              <w:spacing w:after="0" w:line="240" w:lineRule="auto"/>
              <w:rPr>
                <w:rFonts w:ascii="Times New Roman" w:hAnsi="Times New Roman" w:eastAsia="Times New Roman" w:cs="Times New Roman"/>
                <w:sz w:val="24"/>
                <w:szCs w:val="24"/>
              </w:rPr>
            </w:pPr>
            <w:r w:rsidRPr="00B053B4">
              <w:rPr>
                <w:rFonts w:ascii="Calibri" w:hAnsi="Calibri" w:eastAsia="Times New Roman" w:cs="Calibri"/>
                <w:b/>
                <w:bCs/>
                <w:color w:val="000000"/>
                <w:sz w:val="24"/>
                <w:szCs w:val="24"/>
              </w:rPr>
              <w:t> </w:t>
            </w:r>
          </w:p>
        </w:tc>
        <w:tc>
          <w:tcPr>
            <w:tcW w:w="0" w:type="auto"/>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bottom"/>
            <w:hideMark/>
          </w:tcPr>
          <w:p w:rsidRPr="00B053B4" w:rsidR="00B053B4" w:rsidP="00B053B4" w:rsidRDefault="00B053B4">
            <w:pPr>
              <w:spacing w:after="0" w:line="240" w:lineRule="auto"/>
              <w:rPr>
                <w:rFonts w:ascii="Times New Roman" w:hAnsi="Times New Roman" w:eastAsia="Times New Roman" w:cs="Times New Roman"/>
                <w:sz w:val="24"/>
                <w:szCs w:val="24"/>
              </w:rPr>
            </w:pPr>
            <w:r w:rsidRPr="00B053B4">
              <w:rPr>
                <w:rFonts w:ascii="Calibri" w:hAnsi="Calibri" w:eastAsia="Times New Roman" w:cs="Calibri"/>
                <w:b/>
                <w:bCs/>
                <w:color w:val="000000"/>
                <w:sz w:val="24"/>
                <w:szCs w:val="24"/>
              </w:rPr>
              <w:t> </w:t>
            </w:r>
          </w:p>
        </w:tc>
        <w:tc>
          <w:tcPr>
            <w:tcW w:w="0" w:type="auto"/>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bottom"/>
            <w:hideMark/>
          </w:tcPr>
          <w:p w:rsidRPr="00B053B4" w:rsidR="00B053B4" w:rsidP="00B053B4" w:rsidRDefault="00B053B4">
            <w:pPr>
              <w:spacing w:after="0" w:line="240" w:lineRule="auto"/>
              <w:rPr>
                <w:rFonts w:ascii="Times New Roman" w:hAnsi="Times New Roman" w:eastAsia="Times New Roman" w:cs="Times New Roman"/>
                <w:sz w:val="24"/>
                <w:szCs w:val="24"/>
              </w:rPr>
            </w:pPr>
            <w:r w:rsidRPr="00B053B4">
              <w:rPr>
                <w:rFonts w:ascii="Calibri" w:hAnsi="Calibri" w:eastAsia="Times New Roman" w:cs="Calibri"/>
                <w:b/>
                <w:bCs/>
                <w:color w:val="000000"/>
                <w:sz w:val="24"/>
                <w:szCs w:val="24"/>
              </w:rPr>
              <w:t> </w:t>
            </w:r>
          </w:p>
        </w:tc>
      </w:tr>
    </w:tbl>
    <w:p w:rsidRPr="00B053B4" w:rsidR="00B053B4" w:rsidP="00B053B4" w:rsidRDefault="00B053B4">
      <w:pPr>
        <w:spacing w:after="0" w:line="240" w:lineRule="auto"/>
        <w:rPr>
          <w:rFonts w:ascii="Times New Roman" w:hAnsi="Times New Roman" w:eastAsia="Times New Roman" w:cs="Times New Roman"/>
          <w:sz w:val="24"/>
          <w:szCs w:val="24"/>
        </w:rPr>
      </w:pPr>
      <w:r w:rsidRPr="00B053B4">
        <w:rPr>
          <w:rFonts w:ascii="Times New Roman" w:hAnsi="Times New Roman" w:eastAsia="Times New Roman" w:cs="Times New Roman"/>
          <w:sz w:val="24"/>
          <w:szCs w:val="24"/>
        </w:rPr>
        <w:br/>
      </w:r>
      <w:r w:rsidRPr="00B053B4">
        <w:rPr>
          <w:rFonts w:ascii="Times New Roman" w:hAnsi="Times New Roman" w:eastAsia="Times New Roman" w:cs="Times New Roman"/>
          <w:color w:val="000000"/>
          <w:sz w:val="24"/>
          <w:szCs w:val="24"/>
        </w:rPr>
        <w:br/>
      </w:r>
    </w:p>
    <w:p w:rsidRPr="00B053B4" w:rsidR="00B053B4" w:rsidP="00B053B4" w:rsidRDefault="00B053B4">
      <w:pPr>
        <w:numPr>
          <w:ilvl w:val="0"/>
          <w:numId w:val="19"/>
        </w:numPr>
        <w:spacing w:before="80" w:after="0" w:line="240" w:lineRule="auto"/>
        <w:textAlignment w:val="baseline"/>
        <w:rPr>
          <w:rFonts w:ascii="Times New Roman" w:hAnsi="Times New Roman" w:eastAsia="Times New Roman" w:cs="Times New Roman"/>
          <w:b/>
          <w:bCs/>
          <w:color w:val="000000"/>
          <w:sz w:val="24"/>
          <w:szCs w:val="24"/>
        </w:rPr>
      </w:pPr>
      <w:r w:rsidRPr="00B053B4">
        <w:rPr>
          <w:rFonts w:ascii="Times New Roman" w:hAnsi="Times New Roman" w:eastAsia="Times New Roman" w:cs="Times New Roman"/>
          <w:b/>
          <w:bCs/>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F73EF4" w:rsidP="00B053B4" w:rsidRDefault="00F73EF4">
      <w:pPr>
        <w:spacing w:after="0" w:line="240" w:lineRule="auto"/>
        <w:rPr>
          <w:rFonts w:ascii="Times New Roman" w:hAnsi="Times New Roman" w:eastAsia="Times New Roman" w:cs="Times New Roman"/>
          <w:sz w:val="24"/>
          <w:szCs w:val="24"/>
        </w:rPr>
      </w:pPr>
    </w:p>
    <w:p w:rsidRPr="00B053B4" w:rsidR="00B053B4" w:rsidP="00B053B4" w:rsidRDefault="00F73EF4">
      <w:pPr>
        <w:spacing w:after="0" w:line="240" w:lineRule="auto"/>
        <w:rPr>
          <w:rFonts w:ascii="Times New Roman" w:hAnsi="Times New Roman" w:eastAsia="Times New Roman" w:cs="Times New Roman"/>
          <w:sz w:val="24"/>
          <w:szCs w:val="24"/>
        </w:rPr>
      </w:pPr>
      <w:r w:rsidRPr="00F73EF4">
        <w:rPr>
          <w:rFonts w:ascii="Times New Roman" w:hAnsi="Times New Roman" w:eastAsia="Times New Roman" w:cs="Times New Roman"/>
          <w:sz w:val="24"/>
          <w:szCs w:val="24"/>
        </w:rPr>
        <w:t>There will be no recordkeeping/reporting cost anticipated for the respondents.</w:t>
      </w:r>
      <w:r w:rsidRPr="00B053B4" w:rsidR="00B053B4">
        <w:rPr>
          <w:rFonts w:ascii="Times New Roman" w:hAnsi="Times New Roman" w:eastAsia="Times New Roman" w:cs="Times New Roman"/>
          <w:sz w:val="24"/>
          <w:szCs w:val="24"/>
        </w:rPr>
        <w:br/>
      </w:r>
    </w:p>
    <w:p w:rsidRPr="002C1B15" w:rsidR="002C1B15" w:rsidP="00B053B4" w:rsidRDefault="00B053B4">
      <w:pPr>
        <w:numPr>
          <w:ilvl w:val="0"/>
          <w:numId w:val="22"/>
        </w:numPr>
        <w:spacing w:before="80" w:after="0" w:line="240" w:lineRule="auto"/>
        <w:textAlignment w:val="baseline"/>
        <w:rPr>
          <w:rFonts w:ascii="Times New Roman" w:hAnsi="Times New Roman" w:eastAsia="Times New Roman" w:cs="Times New Roman"/>
          <w:b/>
          <w:bCs/>
          <w:color w:val="000000"/>
          <w:sz w:val="24"/>
          <w:szCs w:val="24"/>
        </w:rPr>
      </w:pPr>
      <w:r w:rsidRPr="00B053B4">
        <w:rPr>
          <w:rFonts w:ascii="Times New Roman" w:hAnsi="Times New Roman" w:eastAsia="Times New Roman" w:cs="Times New Roman"/>
          <w:b/>
          <w:bCs/>
          <w:color w:val="000000"/>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bookmarkStart w:name="_GoBack" w:id="0"/>
      <w:bookmarkEnd w:id="0"/>
      <w:r w:rsidRPr="002C1B15">
        <w:rPr>
          <w:rFonts w:ascii="Times New Roman" w:hAnsi="Times New Roman" w:eastAsia="Times New Roman" w:cs="Times New Roman"/>
          <w:sz w:val="24"/>
          <w:szCs w:val="24"/>
        </w:rPr>
        <w:br/>
      </w:r>
      <w:r w:rsidRPr="002C1B15">
        <w:rPr>
          <w:rFonts w:ascii="Times New Roman" w:hAnsi="Times New Roman" w:eastAsia="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1755"/>
        <w:gridCol w:w="1001"/>
        <w:gridCol w:w="1552"/>
        <w:gridCol w:w="934"/>
        <w:gridCol w:w="1603"/>
        <w:gridCol w:w="1948"/>
      </w:tblGrid>
      <w:tr w:rsidRPr="006D1247" w:rsidR="002C1B15" w:rsidTr="0091768A">
        <w:trPr>
          <w:trHeight w:val="450"/>
        </w:trPr>
        <w:tc>
          <w:tcPr>
            <w:tcW w:w="0" w:type="auto"/>
            <w:tcBorders>
              <w:top w:val="single" w:color="000000" w:sz="8" w:space="0"/>
              <w:left w:val="single" w:color="000000" w:sz="8" w:space="0"/>
              <w:bottom w:val="single" w:color="000000" w:sz="4" w:space="0"/>
              <w:right w:val="single" w:color="000000" w:sz="8" w:space="0"/>
            </w:tcBorders>
            <w:shd w:val="clear" w:color="auto" w:fill="BDD7EE"/>
            <w:tcMar>
              <w:top w:w="0" w:type="dxa"/>
              <w:left w:w="115" w:type="dxa"/>
              <w:bottom w:w="0" w:type="dxa"/>
              <w:right w:w="115" w:type="dxa"/>
            </w:tcMar>
            <w:vAlign w:val="center"/>
            <w:hideMark/>
          </w:tcPr>
          <w:p w:rsidRPr="006D1247" w:rsidR="002C1B15" w:rsidP="0091768A" w:rsidRDefault="002C1B15">
            <w:pPr>
              <w:spacing w:after="0" w:line="240" w:lineRule="auto"/>
              <w:jc w:val="center"/>
              <w:rPr>
                <w:rFonts w:ascii="Times New Roman" w:hAnsi="Times New Roman" w:eastAsia="Times New Roman" w:cs="Times New Roman"/>
                <w:sz w:val="24"/>
                <w:szCs w:val="24"/>
              </w:rPr>
            </w:pPr>
            <w:r w:rsidRPr="006D1247">
              <w:rPr>
                <w:rFonts w:ascii="Calibri" w:hAnsi="Calibri" w:eastAsia="Times New Roman" w:cs="Calibri"/>
                <w:b/>
                <w:bCs/>
                <w:color w:val="000000"/>
                <w:sz w:val="16"/>
                <w:szCs w:val="16"/>
              </w:rPr>
              <w:t>Cost Descriptions</w:t>
            </w:r>
          </w:p>
        </w:tc>
        <w:tc>
          <w:tcPr>
            <w:tcW w:w="0" w:type="auto"/>
            <w:tcBorders>
              <w:top w:val="single" w:color="000000" w:sz="8" w:space="0"/>
              <w:left w:val="single" w:color="000000" w:sz="8" w:space="0"/>
              <w:bottom w:val="single" w:color="000000" w:sz="4" w:space="0"/>
              <w:right w:val="single" w:color="000000" w:sz="8" w:space="0"/>
            </w:tcBorders>
            <w:shd w:val="clear" w:color="auto" w:fill="BDD7EE"/>
            <w:tcMar>
              <w:top w:w="0" w:type="dxa"/>
              <w:left w:w="115" w:type="dxa"/>
              <w:bottom w:w="0" w:type="dxa"/>
              <w:right w:w="115" w:type="dxa"/>
            </w:tcMar>
            <w:vAlign w:val="center"/>
            <w:hideMark/>
          </w:tcPr>
          <w:p w:rsidRPr="006D1247" w:rsidR="002C1B15" w:rsidP="0091768A" w:rsidRDefault="002C1B15">
            <w:pPr>
              <w:spacing w:after="0" w:line="240" w:lineRule="auto"/>
              <w:jc w:val="center"/>
              <w:rPr>
                <w:rFonts w:ascii="Times New Roman" w:hAnsi="Times New Roman" w:eastAsia="Times New Roman" w:cs="Times New Roman"/>
                <w:sz w:val="24"/>
                <w:szCs w:val="24"/>
              </w:rPr>
            </w:pPr>
            <w:r w:rsidRPr="006D1247">
              <w:rPr>
                <w:rFonts w:ascii="Calibri" w:hAnsi="Calibri" w:eastAsia="Times New Roman" w:cs="Calibri"/>
                <w:b/>
                <w:bCs/>
                <w:color w:val="000000"/>
                <w:sz w:val="16"/>
                <w:szCs w:val="16"/>
              </w:rPr>
              <w:t>Grade/Step</w:t>
            </w:r>
          </w:p>
        </w:tc>
        <w:tc>
          <w:tcPr>
            <w:tcW w:w="0" w:type="auto"/>
            <w:tcBorders>
              <w:top w:val="single" w:color="000000" w:sz="8" w:space="0"/>
              <w:left w:val="single" w:color="000000" w:sz="8" w:space="0"/>
              <w:bottom w:val="single" w:color="000000" w:sz="4" w:space="0"/>
              <w:right w:val="single" w:color="000000" w:sz="8" w:space="0"/>
            </w:tcBorders>
            <w:shd w:val="clear" w:color="auto" w:fill="BDD7EE"/>
            <w:tcMar>
              <w:top w:w="0" w:type="dxa"/>
              <w:left w:w="115" w:type="dxa"/>
              <w:bottom w:w="0" w:type="dxa"/>
              <w:right w:w="115" w:type="dxa"/>
            </w:tcMar>
            <w:vAlign w:val="center"/>
            <w:hideMark/>
          </w:tcPr>
          <w:p w:rsidRPr="006D1247" w:rsidR="002C1B15" w:rsidP="0091768A" w:rsidRDefault="002C1B15">
            <w:pPr>
              <w:spacing w:after="0" w:line="240" w:lineRule="auto"/>
              <w:jc w:val="center"/>
              <w:rPr>
                <w:rFonts w:ascii="Times New Roman" w:hAnsi="Times New Roman" w:eastAsia="Times New Roman" w:cs="Times New Roman"/>
                <w:sz w:val="24"/>
                <w:szCs w:val="24"/>
              </w:rPr>
            </w:pPr>
            <w:r w:rsidRPr="006D1247">
              <w:rPr>
                <w:rFonts w:ascii="Calibri" w:hAnsi="Calibri" w:eastAsia="Times New Roman" w:cs="Calibri"/>
                <w:b/>
                <w:bCs/>
                <w:color w:val="000000"/>
                <w:sz w:val="16"/>
                <w:szCs w:val="16"/>
              </w:rPr>
              <w:t>Loaded Salary /Cost</w:t>
            </w:r>
          </w:p>
        </w:tc>
        <w:tc>
          <w:tcPr>
            <w:tcW w:w="0" w:type="auto"/>
            <w:tcBorders>
              <w:top w:val="single" w:color="000000" w:sz="8" w:space="0"/>
              <w:left w:val="single" w:color="000000" w:sz="8" w:space="0"/>
              <w:bottom w:val="single" w:color="000000" w:sz="4" w:space="0"/>
              <w:right w:val="single" w:color="000000" w:sz="8" w:space="0"/>
            </w:tcBorders>
            <w:shd w:val="clear" w:color="auto" w:fill="BDD7EE"/>
            <w:tcMar>
              <w:top w:w="0" w:type="dxa"/>
              <w:left w:w="115" w:type="dxa"/>
              <w:bottom w:w="0" w:type="dxa"/>
              <w:right w:w="115" w:type="dxa"/>
            </w:tcMar>
            <w:vAlign w:val="center"/>
            <w:hideMark/>
          </w:tcPr>
          <w:p w:rsidRPr="006D1247" w:rsidR="002C1B15" w:rsidP="0091768A" w:rsidRDefault="002C1B15">
            <w:pPr>
              <w:spacing w:after="0" w:line="240" w:lineRule="auto"/>
              <w:jc w:val="center"/>
              <w:rPr>
                <w:rFonts w:ascii="Times New Roman" w:hAnsi="Times New Roman" w:eastAsia="Times New Roman" w:cs="Times New Roman"/>
                <w:sz w:val="24"/>
                <w:szCs w:val="24"/>
              </w:rPr>
            </w:pPr>
            <w:r w:rsidRPr="006D1247">
              <w:rPr>
                <w:rFonts w:ascii="Calibri" w:hAnsi="Calibri" w:eastAsia="Times New Roman" w:cs="Calibri"/>
                <w:b/>
                <w:bCs/>
                <w:color w:val="000000"/>
                <w:sz w:val="16"/>
                <w:szCs w:val="16"/>
              </w:rPr>
              <w:t>% of Effort</w:t>
            </w:r>
          </w:p>
        </w:tc>
        <w:tc>
          <w:tcPr>
            <w:tcW w:w="0" w:type="auto"/>
            <w:tcBorders>
              <w:top w:val="single" w:color="000000" w:sz="8" w:space="0"/>
              <w:left w:val="single" w:color="000000" w:sz="8" w:space="0"/>
              <w:bottom w:val="single" w:color="000000" w:sz="4" w:space="0"/>
              <w:right w:val="single" w:color="000000" w:sz="8" w:space="0"/>
            </w:tcBorders>
            <w:shd w:val="clear" w:color="auto" w:fill="BDD7EE"/>
            <w:tcMar>
              <w:top w:w="0" w:type="dxa"/>
              <w:left w:w="115" w:type="dxa"/>
              <w:bottom w:w="0" w:type="dxa"/>
              <w:right w:w="115" w:type="dxa"/>
            </w:tcMar>
            <w:vAlign w:val="center"/>
            <w:hideMark/>
          </w:tcPr>
          <w:p w:rsidRPr="006D1247" w:rsidR="002C1B15" w:rsidP="0091768A" w:rsidRDefault="002C1B15">
            <w:pPr>
              <w:spacing w:after="0" w:line="240" w:lineRule="auto"/>
              <w:jc w:val="center"/>
              <w:rPr>
                <w:rFonts w:ascii="Times New Roman" w:hAnsi="Times New Roman" w:eastAsia="Times New Roman" w:cs="Times New Roman"/>
                <w:sz w:val="24"/>
                <w:szCs w:val="24"/>
              </w:rPr>
            </w:pPr>
            <w:r w:rsidRPr="006D1247">
              <w:rPr>
                <w:rFonts w:ascii="Calibri" w:hAnsi="Calibri" w:eastAsia="Times New Roman" w:cs="Calibri"/>
                <w:b/>
                <w:bCs/>
                <w:color w:val="000000"/>
                <w:sz w:val="16"/>
                <w:szCs w:val="16"/>
              </w:rPr>
              <w:t>Fringe (if Applicable)</w:t>
            </w:r>
          </w:p>
        </w:tc>
        <w:tc>
          <w:tcPr>
            <w:tcW w:w="0" w:type="auto"/>
            <w:tcBorders>
              <w:top w:val="single" w:color="000000" w:sz="8" w:space="0"/>
              <w:left w:val="single" w:color="000000" w:sz="8" w:space="0"/>
              <w:bottom w:val="single" w:color="000000" w:sz="4" w:space="0"/>
              <w:right w:val="single" w:color="000000" w:sz="8" w:space="0"/>
            </w:tcBorders>
            <w:shd w:val="clear" w:color="auto" w:fill="BDD7EE"/>
            <w:tcMar>
              <w:top w:w="0" w:type="dxa"/>
              <w:left w:w="115" w:type="dxa"/>
              <w:bottom w:w="0" w:type="dxa"/>
              <w:right w:w="115" w:type="dxa"/>
            </w:tcMar>
            <w:vAlign w:val="center"/>
            <w:hideMark/>
          </w:tcPr>
          <w:p w:rsidRPr="006D1247" w:rsidR="002C1B15" w:rsidP="0091768A" w:rsidRDefault="002C1B15">
            <w:pPr>
              <w:spacing w:after="0" w:line="240" w:lineRule="auto"/>
              <w:jc w:val="center"/>
              <w:rPr>
                <w:rFonts w:ascii="Times New Roman" w:hAnsi="Times New Roman" w:eastAsia="Times New Roman" w:cs="Times New Roman"/>
                <w:sz w:val="24"/>
                <w:szCs w:val="24"/>
              </w:rPr>
            </w:pPr>
            <w:r w:rsidRPr="006D1247">
              <w:rPr>
                <w:rFonts w:ascii="Calibri" w:hAnsi="Calibri" w:eastAsia="Times New Roman" w:cs="Calibri"/>
                <w:b/>
                <w:bCs/>
                <w:color w:val="000000"/>
                <w:sz w:val="16"/>
                <w:szCs w:val="16"/>
              </w:rPr>
              <w:t>Total Cost to Government</w:t>
            </w:r>
          </w:p>
        </w:tc>
      </w:tr>
      <w:tr w:rsidRPr="006D1247" w:rsidR="002C1B15" w:rsidTr="0091768A">
        <w:trPr>
          <w:trHeight w:val="465"/>
        </w:trPr>
        <w:tc>
          <w:tcPr>
            <w:tcW w:w="0" w:type="auto"/>
            <w:tcBorders>
              <w:top w:val="single" w:color="000000" w:sz="4" w:space="0"/>
              <w:left w:val="single" w:color="000000" w:sz="8" w:space="0"/>
              <w:bottom w:val="single" w:color="000000" w:sz="4" w:space="0"/>
              <w:right w:val="single" w:color="000000" w:sz="8"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b/>
                <w:bCs/>
                <w:color w:val="000000"/>
                <w:sz w:val="16"/>
                <w:szCs w:val="16"/>
              </w:rPr>
              <w:t>Federal Oversight</w:t>
            </w:r>
          </w:p>
        </w:tc>
        <w:tc>
          <w:tcPr>
            <w:tcW w:w="0" w:type="auto"/>
            <w:tcBorders>
              <w:top w:val="single" w:color="000000" w:sz="4" w:space="0"/>
              <w:left w:val="single" w:color="000000" w:sz="8" w:space="0"/>
              <w:bottom w:val="single" w:color="000000" w:sz="4" w:space="0"/>
              <w:right w:val="single" w:color="000000" w:sz="4"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r>
              <w:rPr>
                <w:rFonts w:ascii="Calibri" w:hAnsi="Calibri" w:eastAsia="Times New Roman" w:cs="Calibri"/>
                <w:color w:val="000000"/>
                <w:sz w:val="16"/>
                <w:szCs w:val="16"/>
              </w:rPr>
              <w:t>ZA 04 02</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r>
              <w:rPr>
                <w:rFonts w:ascii="Calibri" w:hAnsi="Calibri" w:eastAsia="Times New Roman" w:cs="Calibri"/>
                <w:color w:val="000000"/>
                <w:sz w:val="16"/>
                <w:szCs w:val="16"/>
              </w:rPr>
              <w:t>$110,006</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r>
              <w:rPr>
                <w:rFonts w:ascii="Calibri" w:hAnsi="Calibri" w:eastAsia="Times New Roman" w:cs="Calibri"/>
                <w:color w:val="000000"/>
                <w:sz w:val="16"/>
                <w:szCs w:val="16"/>
              </w:rPr>
              <w:t>.3%</w:t>
            </w:r>
          </w:p>
        </w:tc>
        <w:tc>
          <w:tcPr>
            <w:tcW w:w="0" w:type="auto"/>
            <w:tcBorders>
              <w:top w:val="single" w:color="000000" w:sz="4" w:space="0"/>
              <w:left w:val="single" w:color="000000" w:sz="4" w:space="0"/>
              <w:bottom w:val="single" w:color="000000" w:sz="4" w:space="0"/>
              <w:right w:val="single" w:color="000000" w:sz="4" w:space="0"/>
            </w:tcBorders>
            <w:shd w:val="clear" w:color="auto" w:fill="808080"/>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p>
        </w:tc>
        <w:tc>
          <w:tcPr>
            <w:tcW w:w="0" w:type="auto"/>
            <w:tcBorders>
              <w:top w:val="single" w:color="000000" w:sz="4" w:space="0"/>
              <w:left w:val="single" w:color="000000" w:sz="4" w:space="0"/>
              <w:bottom w:val="single" w:color="000000" w:sz="4" w:space="0"/>
              <w:right w:val="single" w:color="000000" w:sz="8"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r>
              <w:rPr>
                <w:rFonts w:ascii="Calibri" w:hAnsi="Calibri" w:eastAsia="Times New Roman" w:cs="Calibri"/>
                <w:color w:val="000000"/>
                <w:sz w:val="16"/>
                <w:szCs w:val="16"/>
              </w:rPr>
              <w:t>$338.48</w:t>
            </w:r>
          </w:p>
        </w:tc>
      </w:tr>
      <w:tr w:rsidRPr="006D1247" w:rsidR="002C1B15" w:rsidTr="0091768A">
        <w:trPr>
          <w:trHeight w:val="300"/>
        </w:trPr>
        <w:tc>
          <w:tcPr>
            <w:tcW w:w="0" w:type="auto"/>
            <w:tcBorders>
              <w:top w:val="single" w:color="000000" w:sz="4" w:space="0"/>
              <w:left w:val="single" w:color="000000" w:sz="8" w:space="0"/>
              <w:bottom w:val="single" w:color="000000" w:sz="4" w:space="0"/>
              <w:right w:val="single" w:color="000000" w:sz="8"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Other Federal Positions</w:t>
            </w:r>
          </w:p>
        </w:tc>
        <w:tc>
          <w:tcPr>
            <w:tcW w:w="0" w:type="auto"/>
            <w:tcBorders>
              <w:top w:val="single" w:color="000000" w:sz="4" w:space="0"/>
              <w:left w:val="single" w:color="000000" w:sz="8" w:space="0"/>
              <w:bottom w:val="single" w:color="000000" w:sz="4" w:space="0"/>
              <w:right w:val="single" w:color="000000" w:sz="4"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r>
              <w:rPr>
                <w:rFonts w:ascii="Calibri" w:hAnsi="Calibri" w:eastAsia="Times New Roman" w:cs="Calibri"/>
                <w:color w:val="000000"/>
                <w:sz w:val="16"/>
                <w:szCs w:val="16"/>
              </w:rPr>
              <w:t>N/A</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Pr>
                <w:rFonts w:ascii="Calibri" w:hAnsi="Calibri" w:eastAsia="Times New Roman" w:cs="Calibri"/>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Pr>
                <w:rFonts w:ascii="Calibri" w:hAnsi="Calibri" w:eastAsia="Times New Roman" w:cs="Calibri"/>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808080"/>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p>
        </w:tc>
        <w:tc>
          <w:tcPr>
            <w:tcW w:w="0" w:type="auto"/>
            <w:tcBorders>
              <w:top w:val="single" w:color="000000" w:sz="4" w:space="0"/>
              <w:left w:val="single" w:color="000000" w:sz="4" w:space="0"/>
              <w:bottom w:val="single" w:color="000000" w:sz="4" w:space="0"/>
              <w:right w:val="single" w:color="000000" w:sz="8"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Pr>
                <w:rFonts w:ascii="Calibri" w:hAnsi="Calibri" w:eastAsia="Times New Roman" w:cs="Calibri"/>
                <w:color w:val="000000"/>
                <w:sz w:val="16"/>
                <w:szCs w:val="16"/>
              </w:rPr>
              <w:t>0</w:t>
            </w:r>
          </w:p>
        </w:tc>
      </w:tr>
      <w:tr w:rsidRPr="006D1247" w:rsidR="002C1B15" w:rsidTr="0091768A">
        <w:trPr>
          <w:trHeight w:val="300"/>
        </w:trPr>
        <w:tc>
          <w:tcPr>
            <w:tcW w:w="0" w:type="auto"/>
            <w:tcBorders>
              <w:top w:val="single" w:color="000000" w:sz="4" w:space="0"/>
              <w:left w:val="single" w:color="000000" w:sz="8" w:space="0"/>
              <w:bottom w:val="single" w:color="000000" w:sz="4" w:space="0"/>
              <w:right w:val="single" w:color="000000" w:sz="8"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b/>
                <w:bCs/>
                <w:color w:val="000000"/>
                <w:sz w:val="16"/>
                <w:szCs w:val="16"/>
              </w:rPr>
              <w:t>Contractor Cost</w:t>
            </w:r>
          </w:p>
        </w:tc>
        <w:tc>
          <w:tcPr>
            <w:tcW w:w="0" w:type="auto"/>
            <w:tcBorders>
              <w:top w:val="single" w:color="000000" w:sz="4" w:space="0"/>
              <w:left w:val="single" w:color="000000" w:sz="8" w:space="0"/>
              <w:bottom w:val="single" w:color="000000" w:sz="4" w:space="0"/>
              <w:right w:val="single" w:color="000000" w:sz="4" w:space="0"/>
            </w:tcBorders>
            <w:shd w:val="clear" w:color="auto" w:fill="808080"/>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r>
              <w:rPr>
                <w:rFonts w:ascii="Calibri" w:hAnsi="Calibri" w:eastAsia="Times New Roman" w:cs="Calibri"/>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Pr>
                <w:rFonts w:ascii="Calibri" w:hAnsi="Calibri" w:eastAsia="Times New Roman" w:cs="Calibri"/>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Pr>
                <w:rFonts w:ascii="Calibri" w:hAnsi="Calibri" w:eastAsia="Times New Roman" w:cs="Calibri"/>
                <w:color w:val="000000"/>
                <w:sz w:val="16"/>
                <w:szCs w:val="16"/>
              </w:rPr>
              <w:t>0</w:t>
            </w:r>
          </w:p>
        </w:tc>
        <w:tc>
          <w:tcPr>
            <w:tcW w:w="0" w:type="auto"/>
            <w:tcBorders>
              <w:top w:val="single" w:color="000000" w:sz="4" w:space="0"/>
              <w:left w:val="single" w:color="000000" w:sz="4" w:space="0"/>
              <w:bottom w:val="single" w:color="000000" w:sz="4" w:space="0"/>
              <w:right w:val="single" w:color="000000" w:sz="8"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Pr>
                <w:rFonts w:ascii="Calibri" w:hAnsi="Calibri" w:eastAsia="Times New Roman" w:cs="Calibri"/>
                <w:color w:val="000000"/>
                <w:sz w:val="16"/>
                <w:szCs w:val="16"/>
              </w:rPr>
              <w:t>0</w:t>
            </w:r>
          </w:p>
        </w:tc>
      </w:tr>
      <w:tr w:rsidRPr="006D1247" w:rsidR="002C1B15" w:rsidTr="0091768A">
        <w:trPr>
          <w:trHeight w:val="300"/>
        </w:trPr>
        <w:tc>
          <w:tcPr>
            <w:tcW w:w="0" w:type="auto"/>
            <w:tcBorders>
              <w:top w:val="single" w:color="000000" w:sz="4" w:space="0"/>
              <w:left w:val="single" w:color="000000" w:sz="8" w:space="0"/>
              <w:bottom w:val="single" w:color="000000" w:sz="4" w:space="0"/>
              <w:right w:val="single" w:color="000000" w:sz="8"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b/>
                <w:bCs/>
                <w:color w:val="000000"/>
                <w:sz w:val="16"/>
                <w:szCs w:val="16"/>
              </w:rPr>
              <w:t>Travel</w:t>
            </w:r>
          </w:p>
        </w:tc>
        <w:tc>
          <w:tcPr>
            <w:tcW w:w="0" w:type="auto"/>
            <w:tcBorders>
              <w:top w:val="single" w:color="000000" w:sz="4" w:space="0"/>
              <w:left w:val="single" w:color="000000" w:sz="8" w:space="0"/>
              <w:bottom w:val="single" w:color="000000" w:sz="4" w:space="0"/>
              <w:right w:val="single" w:color="000000" w:sz="4" w:space="0"/>
            </w:tcBorders>
            <w:shd w:val="clear" w:color="auto" w:fill="808080"/>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p>
        </w:tc>
        <w:tc>
          <w:tcPr>
            <w:tcW w:w="0" w:type="auto"/>
            <w:tcBorders>
              <w:top w:val="single" w:color="000000" w:sz="4" w:space="0"/>
              <w:left w:val="single" w:color="000000" w:sz="4" w:space="0"/>
              <w:bottom w:val="single" w:color="000000" w:sz="4" w:space="0"/>
              <w:right w:val="single" w:color="000000" w:sz="4" w:space="0"/>
            </w:tcBorders>
            <w:shd w:val="clear" w:color="auto" w:fill="808080"/>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p>
        </w:tc>
        <w:tc>
          <w:tcPr>
            <w:tcW w:w="0" w:type="auto"/>
            <w:tcBorders>
              <w:top w:val="single" w:color="000000" w:sz="4" w:space="0"/>
              <w:left w:val="single" w:color="000000" w:sz="4" w:space="0"/>
              <w:bottom w:val="single" w:color="000000" w:sz="4" w:space="0"/>
              <w:right w:val="single" w:color="000000" w:sz="4" w:space="0"/>
            </w:tcBorders>
            <w:shd w:val="clear" w:color="auto" w:fill="808080"/>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p>
        </w:tc>
        <w:tc>
          <w:tcPr>
            <w:tcW w:w="0" w:type="auto"/>
            <w:tcBorders>
              <w:top w:val="single" w:color="000000" w:sz="4" w:space="0"/>
              <w:left w:val="single" w:color="000000" w:sz="4" w:space="0"/>
              <w:bottom w:val="single" w:color="000000" w:sz="4" w:space="0"/>
              <w:right w:val="single" w:color="000000" w:sz="4" w:space="0"/>
            </w:tcBorders>
            <w:shd w:val="clear" w:color="auto" w:fill="808080"/>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p>
        </w:tc>
        <w:tc>
          <w:tcPr>
            <w:tcW w:w="0" w:type="auto"/>
            <w:tcBorders>
              <w:top w:val="single" w:color="000000" w:sz="4" w:space="0"/>
              <w:left w:val="single" w:color="000000" w:sz="4" w:space="0"/>
              <w:bottom w:val="single" w:color="000000" w:sz="4" w:space="0"/>
              <w:right w:val="single" w:color="000000" w:sz="8"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r>
              <w:rPr>
                <w:rFonts w:ascii="Calibri" w:hAnsi="Calibri" w:eastAsia="Times New Roman" w:cs="Calibri"/>
                <w:color w:val="000000"/>
                <w:sz w:val="16"/>
                <w:szCs w:val="16"/>
              </w:rPr>
              <w:t>0</w:t>
            </w:r>
          </w:p>
        </w:tc>
      </w:tr>
      <w:tr w:rsidRPr="006D1247" w:rsidR="002C1B15" w:rsidTr="0091768A">
        <w:trPr>
          <w:trHeight w:val="300"/>
        </w:trPr>
        <w:tc>
          <w:tcPr>
            <w:tcW w:w="0" w:type="auto"/>
            <w:tcBorders>
              <w:top w:val="single" w:color="000000" w:sz="4" w:space="0"/>
              <w:left w:val="single" w:color="000000" w:sz="8" w:space="0"/>
              <w:bottom w:val="single" w:color="000000" w:sz="8" w:space="0"/>
              <w:right w:val="single" w:color="000000" w:sz="8" w:space="0"/>
            </w:tcBorders>
            <w:tcMar>
              <w:top w:w="0" w:type="dxa"/>
              <w:left w:w="115" w:type="dxa"/>
              <w:bottom w:w="0" w:type="dxa"/>
              <w:right w:w="115" w:type="dxa"/>
            </w:tcMar>
            <w:vAlign w:val="center"/>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b/>
                <w:bCs/>
                <w:color w:val="000000"/>
                <w:sz w:val="16"/>
                <w:szCs w:val="16"/>
              </w:rPr>
              <w:t>Other Costs: </w:t>
            </w:r>
          </w:p>
        </w:tc>
        <w:tc>
          <w:tcPr>
            <w:tcW w:w="0" w:type="auto"/>
            <w:tcBorders>
              <w:top w:val="single" w:color="000000" w:sz="4" w:space="0"/>
              <w:left w:val="single" w:color="000000" w:sz="8" w:space="0"/>
              <w:bottom w:val="single" w:color="000000" w:sz="8" w:space="0"/>
              <w:right w:val="single" w:color="000000" w:sz="4" w:space="0"/>
            </w:tcBorders>
            <w:shd w:val="clear" w:color="auto" w:fill="808080"/>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p>
        </w:tc>
        <w:tc>
          <w:tcPr>
            <w:tcW w:w="0" w:type="auto"/>
            <w:tcBorders>
              <w:top w:val="single" w:color="000000" w:sz="4" w:space="0"/>
              <w:left w:val="single" w:color="000000" w:sz="4" w:space="0"/>
              <w:bottom w:val="single" w:color="000000" w:sz="8" w:space="0"/>
              <w:right w:val="single" w:color="000000" w:sz="4" w:space="0"/>
            </w:tcBorders>
            <w:shd w:val="clear" w:color="auto" w:fill="808080"/>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p>
        </w:tc>
        <w:tc>
          <w:tcPr>
            <w:tcW w:w="0" w:type="auto"/>
            <w:tcBorders>
              <w:top w:val="single" w:color="000000" w:sz="4" w:space="0"/>
              <w:left w:val="single" w:color="000000" w:sz="4" w:space="0"/>
              <w:bottom w:val="single" w:color="000000" w:sz="8" w:space="0"/>
              <w:right w:val="single" w:color="000000" w:sz="4" w:space="0"/>
            </w:tcBorders>
            <w:shd w:val="clear" w:color="auto" w:fill="808080"/>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p>
        </w:tc>
        <w:tc>
          <w:tcPr>
            <w:tcW w:w="0" w:type="auto"/>
            <w:tcBorders>
              <w:top w:val="single" w:color="000000" w:sz="4" w:space="0"/>
              <w:left w:val="single" w:color="000000" w:sz="4" w:space="0"/>
              <w:bottom w:val="single" w:color="000000" w:sz="8" w:space="0"/>
              <w:right w:val="single" w:color="000000" w:sz="4" w:space="0"/>
            </w:tcBorders>
            <w:shd w:val="clear" w:color="auto" w:fill="808080"/>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p>
        </w:tc>
        <w:tc>
          <w:tcPr>
            <w:tcW w:w="0" w:type="auto"/>
            <w:tcBorders>
              <w:top w:val="single" w:color="000000" w:sz="4" w:space="0"/>
              <w:left w:val="single" w:color="000000" w:sz="4" w:space="0"/>
              <w:bottom w:val="single" w:color="000000" w:sz="8" w:space="0"/>
              <w:right w:val="single" w:color="000000" w:sz="8" w:space="0"/>
            </w:tcBorders>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r>
              <w:rPr>
                <w:rFonts w:ascii="Calibri" w:hAnsi="Calibri" w:eastAsia="Times New Roman" w:cs="Calibri"/>
                <w:color w:val="000000"/>
                <w:sz w:val="16"/>
                <w:szCs w:val="16"/>
              </w:rPr>
              <w:t>0</w:t>
            </w:r>
          </w:p>
        </w:tc>
      </w:tr>
      <w:tr w:rsidRPr="006D1247" w:rsidR="002C1B15" w:rsidTr="0091768A">
        <w:trPr>
          <w:trHeight w:val="300"/>
        </w:trPr>
        <w:tc>
          <w:tcPr>
            <w:tcW w:w="0" w:type="auto"/>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b/>
                <w:bCs/>
                <w:color w:val="000000"/>
                <w:sz w:val="16"/>
                <w:szCs w:val="16"/>
              </w:rPr>
              <w:t>TOTAL</w:t>
            </w:r>
          </w:p>
        </w:tc>
        <w:tc>
          <w:tcPr>
            <w:tcW w:w="0" w:type="auto"/>
            <w:tcBorders>
              <w:top w:val="single" w:color="000000" w:sz="8" w:space="0"/>
              <w:left w:val="single" w:color="000000" w:sz="8" w:space="0"/>
              <w:bottom w:val="single" w:color="000000" w:sz="8" w:space="0"/>
              <w:right w:val="single" w:color="000000" w:sz="8" w:space="0"/>
            </w:tcBorders>
            <w:shd w:val="clear" w:color="auto" w:fill="808080"/>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p>
        </w:tc>
        <w:tc>
          <w:tcPr>
            <w:tcW w:w="0" w:type="auto"/>
            <w:tcBorders>
              <w:top w:val="single" w:color="000000" w:sz="8" w:space="0"/>
              <w:left w:val="single" w:color="000000" w:sz="8" w:space="0"/>
              <w:bottom w:val="single" w:color="000000" w:sz="8" w:space="0"/>
              <w:right w:val="single" w:color="000000" w:sz="8" w:space="0"/>
            </w:tcBorders>
            <w:shd w:val="clear" w:color="auto" w:fill="808080"/>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p>
        </w:tc>
        <w:tc>
          <w:tcPr>
            <w:tcW w:w="0" w:type="auto"/>
            <w:tcBorders>
              <w:top w:val="single" w:color="000000" w:sz="8" w:space="0"/>
              <w:left w:val="single" w:color="000000" w:sz="8" w:space="0"/>
              <w:bottom w:val="single" w:color="000000" w:sz="8" w:space="0"/>
              <w:right w:val="single" w:color="000000" w:sz="8" w:space="0"/>
            </w:tcBorders>
            <w:shd w:val="clear" w:color="auto" w:fill="757171"/>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p>
        </w:tc>
        <w:tc>
          <w:tcPr>
            <w:tcW w:w="0" w:type="auto"/>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p>
        </w:tc>
        <w:tc>
          <w:tcPr>
            <w:tcW w:w="0" w:type="auto"/>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bottom"/>
            <w:hideMark/>
          </w:tcPr>
          <w:p w:rsidRPr="006D1247" w:rsidR="002C1B15" w:rsidP="0091768A" w:rsidRDefault="002C1B15">
            <w:pPr>
              <w:spacing w:after="0" w:line="240" w:lineRule="auto"/>
              <w:rPr>
                <w:rFonts w:ascii="Times New Roman" w:hAnsi="Times New Roman" w:eastAsia="Times New Roman" w:cs="Times New Roman"/>
                <w:sz w:val="24"/>
                <w:szCs w:val="24"/>
              </w:rPr>
            </w:pPr>
            <w:r w:rsidRPr="006D1247">
              <w:rPr>
                <w:rFonts w:ascii="Calibri" w:hAnsi="Calibri" w:eastAsia="Times New Roman" w:cs="Calibri"/>
                <w:color w:val="000000"/>
                <w:sz w:val="16"/>
                <w:szCs w:val="16"/>
              </w:rPr>
              <w:t> </w:t>
            </w:r>
            <w:r>
              <w:rPr>
                <w:rFonts w:ascii="Calibri" w:hAnsi="Calibri" w:eastAsia="Times New Roman" w:cs="Calibri"/>
                <w:color w:val="000000"/>
                <w:sz w:val="16"/>
                <w:szCs w:val="16"/>
              </w:rPr>
              <w:t>$338.48</w:t>
            </w:r>
          </w:p>
        </w:tc>
      </w:tr>
    </w:tbl>
    <w:p w:rsidRPr="00B053B4" w:rsidR="00B053B4" w:rsidP="00B053B4" w:rsidRDefault="00B053B4">
      <w:pPr>
        <w:spacing w:after="0" w:line="240" w:lineRule="auto"/>
        <w:rPr>
          <w:rFonts w:ascii="Times New Roman" w:hAnsi="Times New Roman" w:eastAsia="Times New Roman" w:cs="Times New Roman"/>
          <w:sz w:val="24"/>
          <w:szCs w:val="24"/>
        </w:rPr>
      </w:pPr>
    </w:p>
    <w:p w:rsidRPr="00B053B4" w:rsidR="00B053B4" w:rsidP="00B053B4" w:rsidRDefault="00B053B4">
      <w:pPr>
        <w:numPr>
          <w:ilvl w:val="0"/>
          <w:numId w:val="24"/>
        </w:numPr>
        <w:spacing w:before="80" w:after="0" w:line="240" w:lineRule="auto"/>
        <w:textAlignment w:val="baseline"/>
        <w:rPr>
          <w:rFonts w:ascii="Times New Roman" w:hAnsi="Times New Roman" w:eastAsia="Times New Roman" w:cs="Times New Roman"/>
          <w:b/>
          <w:bCs/>
          <w:color w:val="000000"/>
          <w:sz w:val="24"/>
          <w:szCs w:val="24"/>
        </w:rPr>
      </w:pPr>
      <w:r w:rsidRPr="00B053B4">
        <w:rPr>
          <w:rFonts w:ascii="Times New Roman" w:hAnsi="Times New Roman" w:eastAsia="Times New Roman" w:cs="Times New Roman"/>
          <w:b/>
          <w:bCs/>
          <w:color w:val="000000"/>
          <w:sz w:val="24"/>
          <w:szCs w:val="24"/>
        </w:rPr>
        <w:t>Explain the reasons for any program changes or adjustments reported in ROCIS.</w:t>
      </w:r>
    </w:p>
    <w:p w:rsidRPr="00E5474C" w:rsidR="00B053B4" w:rsidP="00F73EF4" w:rsidRDefault="00B053B4">
      <w:pPr>
        <w:spacing w:before="161" w:after="0" w:line="240" w:lineRule="auto"/>
        <w:rPr>
          <w:rFonts w:ascii="Times New Roman" w:hAnsi="Times New Roman" w:eastAsia="Times New Roman" w:cs="Times New Roman"/>
          <w:color w:val="000000" w:themeColor="text1"/>
          <w:sz w:val="24"/>
          <w:szCs w:val="24"/>
        </w:rPr>
      </w:pPr>
      <w:r w:rsidRPr="00E5474C">
        <w:rPr>
          <w:rFonts w:ascii="Times New Roman" w:hAnsi="Times New Roman" w:eastAsia="Times New Roman" w:cs="Times New Roman"/>
          <w:bCs/>
          <w:iCs/>
          <w:color w:val="000000" w:themeColor="text1"/>
          <w:sz w:val="24"/>
          <w:szCs w:val="24"/>
        </w:rPr>
        <w:lastRenderedPageBreak/>
        <w:t>There are no changes to the information collection since</w:t>
      </w:r>
      <w:r w:rsidRPr="00E5474C" w:rsidR="00F73EF4">
        <w:rPr>
          <w:rFonts w:ascii="Times New Roman" w:hAnsi="Times New Roman" w:eastAsia="Times New Roman" w:cs="Times New Roman"/>
          <w:bCs/>
          <w:iCs/>
          <w:color w:val="000000" w:themeColor="text1"/>
          <w:sz w:val="24"/>
          <w:szCs w:val="24"/>
        </w:rPr>
        <w:t xml:space="preserve"> the last OMB approval.</w:t>
      </w:r>
      <w:r w:rsidRPr="00E5474C">
        <w:rPr>
          <w:rFonts w:ascii="Times New Roman" w:hAnsi="Times New Roman" w:eastAsia="Times New Roman" w:cs="Times New Roman"/>
          <w:color w:val="000000" w:themeColor="text1"/>
          <w:sz w:val="24"/>
          <w:szCs w:val="24"/>
        </w:rPr>
        <w:br/>
      </w:r>
    </w:p>
    <w:p w:rsidRPr="00B053B4" w:rsidR="00B053B4" w:rsidP="00B053B4" w:rsidRDefault="00B053B4">
      <w:pPr>
        <w:numPr>
          <w:ilvl w:val="0"/>
          <w:numId w:val="25"/>
        </w:numPr>
        <w:spacing w:before="80" w:after="0" w:line="240" w:lineRule="auto"/>
        <w:textAlignment w:val="baseline"/>
        <w:rPr>
          <w:rFonts w:ascii="Times New Roman" w:hAnsi="Times New Roman" w:eastAsia="Times New Roman" w:cs="Times New Roman"/>
          <w:b/>
          <w:bCs/>
          <w:color w:val="000000"/>
          <w:sz w:val="24"/>
          <w:szCs w:val="24"/>
        </w:rPr>
      </w:pPr>
      <w:r w:rsidRPr="00B053B4">
        <w:rPr>
          <w:rFonts w:ascii="Times New Roman" w:hAnsi="Times New Roman" w:eastAsia="Times New Roman" w:cs="Times New Roman"/>
          <w:b/>
          <w:bCs/>
          <w:color w:val="000000"/>
          <w:sz w:val="24"/>
          <w:szCs w:val="24"/>
        </w:rPr>
        <w:t xml:space="preserve">For collections of information whose results </w:t>
      </w:r>
      <w:proofErr w:type="gramStart"/>
      <w:r w:rsidRPr="00B053B4">
        <w:rPr>
          <w:rFonts w:ascii="Times New Roman" w:hAnsi="Times New Roman" w:eastAsia="Times New Roman" w:cs="Times New Roman"/>
          <w:b/>
          <w:bCs/>
          <w:color w:val="000000"/>
          <w:sz w:val="24"/>
          <w:szCs w:val="24"/>
        </w:rPr>
        <w:t>will be published</w:t>
      </w:r>
      <w:proofErr w:type="gramEnd"/>
      <w:r w:rsidRPr="00B053B4">
        <w:rPr>
          <w:rFonts w:ascii="Times New Roman" w:hAnsi="Times New Roman" w:eastAsia="Times New Roman" w:cs="Times New Roman"/>
          <w:b/>
          <w:bCs/>
          <w:color w:val="000000"/>
          <w:sz w:val="24"/>
          <w:szCs w:val="24"/>
        </w:rPr>
        <w:t>,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73EF4" w:rsidR="00F73EF4" w:rsidP="00B053B4" w:rsidRDefault="00F73EF4">
      <w:pPr>
        <w:spacing w:before="160" w:after="0" w:line="240" w:lineRule="auto"/>
        <w:rPr>
          <w:rFonts w:ascii="Times New Roman" w:hAnsi="Times New Roman" w:eastAsia="Times New Roman" w:cs="Times New Roman"/>
          <w:color w:val="000000" w:themeColor="text1"/>
          <w:sz w:val="24"/>
          <w:szCs w:val="24"/>
        </w:rPr>
      </w:pPr>
      <w:r w:rsidRPr="00F73EF4">
        <w:rPr>
          <w:rFonts w:ascii="Times New Roman" w:hAnsi="Times New Roman" w:eastAsia="Times New Roman" w:cs="Times New Roman"/>
          <w:color w:val="000000" w:themeColor="text1"/>
          <w:sz w:val="24"/>
          <w:szCs w:val="24"/>
        </w:rPr>
        <w:t>The survey will be open for approximately four months. This allows observers who are deployed to take it when they return from the field. After the results are analyzed; analyzing will be completed within three days, it will be presented externally at the International Fisheries Observer and Monitoring Conference, the North Pacific Fishery Management Council, and the American Fisheries Society Conference.</w:t>
      </w:r>
    </w:p>
    <w:p w:rsidRPr="00B053B4" w:rsidR="00F73EF4" w:rsidP="00B053B4" w:rsidRDefault="00F73EF4">
      <w:pPr>
        <w:spacing w:before="160" w:after="0" w:line="240" w:lineRule="auto"/>
        <w:rPr>
          <w:rFonts w:ascii="Times New Roman" w:hAnsi="Times New Roman" w:eastAsia="Times New Roman" w:cs="Times New Roman"/>
          <w:sz w:val="24"/>
          <w:szCs w:val="24"/>
        </w:rPr>
      </w:pPr>
    </w:p>
    <w:p w:rsidRPr="00B053B4" w:rsidR="00B053B4" w:rsidP="00B053B4" w:rsidRDefault="00B053B4">
      <w:pPr>
        <w:numPr>
          <w:ilvl w:val="0"/>
          <w:numId w:val="26"/>
        </w:numPr>
        <w:spacing w:before="80" w:after="0" w:line="240" w:lineRule="auto"/>
        <w:textAlignment w:val="baseline"/>
        <w:rPr>
          <w:rFonts w:ascii="Times New Roman" w:hAnsi="Times New Roman" w:eastAsia="Times New Roman" w:cs="Times New Roman"/>
          <w:b/>
          <w:bCs/>
          <w:color w:val="000000"/>
          <w:sz w:val="24"/>
          <w:szCs w:val="24"/>
        </w:rPr>
      </w:pPr>
      <w:r w:rsidRPr="00B053B4">
        <w:rPr>
          <w:rFonts w:ascii="Times New Roman" w:hAnsi="Times New Roman" w:eastAsia="Times New Roman" w:cs="Times New Roman"/>
          <w:b/>
          <w:bCs/>
          <w:color w:val="000000"/>
          <w:sz w:val="24"/>
          <w:szCs w:val="24"/>
        </w:rPr>
        <w:t>If seeking approval to not display the expiration date for OMB approval of the information collection, explain the reasons that display would be inappropriate.</w:t>
      </w:r>
    </w:p>
    <w:p w:rsidRPr="00E5474C" w:rsidR="00B053B4" w:rsidP="00B053B4" w:rsidRDefault="00B053B4">
      <w:pPr>
        <w:spacing w:before="161" w:after="0" w:line="240" w:lineRule="auto"/>
        <w:rPr>
          <w:rFonts w:ascii="Times New Roman" w:hAnsi="Times New Roman" w:eastAsia="Times New Roman" w:cs="Times New Roman"/>
          <w:color w:val="000000" w:themeColor="text1"/>
          <w:sz w:val="24"/>
          <w:szCs w:val="24"/>
        </w:rPr>
      </w:pPr>
      <w:r w:rsidRPr="00E5474C">
        <w:rPr>
          <w:rFonts w:ascii="Times New Roman" w:hAnsi="Times New Roman" w:eastAsia="Times New Roman" w:cs="Times New Roman"/>
          <w:iCs/>
          <w:color w:val="000000" w:themeColor="text1"/>
          <w:sz w:val="24"/>
          <w:szCs w:val="24"/>
        </w:rPr>
        <w:t>The agency plans to display the expiration date for OMB approval of the information</w:t>
      </w:r>
      <w:r w:rsidRPr="00E5474C" w:rsidR="00F73EF4">
        <w:rPr>
          <w:rFonts w:ascii="Times New Roman" w:hAnsi="Times New Roman" w:eastAsia="Times New Roman" w:cs="Times New Roman"/>
          <w:iCs/>
          <w:color w:val="000000" w:themeColor="text1"/>
          <w:sz w:val="24"/>
          <w:szCs w:val="24"/>
        </w:rPr>
        <w:t xml:space="preserve"> collection on all instruments.</w:t>
      </w:r>
    </w:p>
    <w:p w:rsidRPr="00B053B4" w:rsidR="00B053B4" w:rsidP="00B053B4" w:rsidRDefault="00B053B4">
      <w:pPr>
        <w:spacing w:after="0" w:line="240" w:lineRule="auto"/>
        <w:rPr>
          <w:rFonts w:ascii="Times New Roman" w:hAnsi="Times New Roman" w:eastAsia="Times New Roman" w:cs="Times New Roman"/>
          <w:sz w:val="24"/>
          <w:szCs w:val="24"/>
        </w:rPr>
      </w:pPr>
    </w:p>
    <w:p w:rsidRPr="00B053B4" w:rsidR="00B053B4" w:rsidP="00B053B4" w:rsidRDefault="00B053B4">
      <w:pPr>
        <w:numPr>
          <w:ilvl w:val="0"/>
          <w:numId w:val="27"/>
        </w:numPr>
        <w:spacing w:before="80" w:after="0" w:line="240" w:lineRule="auto"/>
        <w:textAlignment w:val="baseline"/>
        <w:rPr>
          <w:rFonts w:ascii="Times New Roman" w:hAnsi="Times New Roman" w:eastAsia="Times New Roman" w:cs="Times New Roman"/>
          <w:b/>
          <w:bCs/>
          <w:color w:val="000000"/>
          <w:sz w:val="24"/>
          <w:szCs w:val="24"/>
        </w:rPr>
      </w:pPr>
      <w:r w:rsidRPr="00B053B4">
        <w:rPr>
          <w:rFonts w:ascii="Times New Roman" w:hAnsi="Times New Roman" w:eastAsia="Times New Roman" w:cs="Times New Roman"/>
          <w:b/>
          <w:bCs/>
          <w:color w:val="000000"/>
          <w:sz w:val="24"/>
          <w:szCs w:val="24"/>
        </w:rPr>
        <w:t>Explain each exception to the certification statement identified in “Certification for Paperwork Reduction Act Submissions."</w:t>
      </w:r>
    </w:p>
    <w:p w:rsidRPr="00F73EF4" w:rsidR="00B053B4" w:rsidP="00E5474C" w:rsidRDefault="00B053B4">
      <w:pPr>
        <w:spacing w:before="221" w:after="0" w:line="240" w:lineRule="auto"/>
        <w:rPr>
          <w:rFonts w:ascii="Times New Roman" w:hAnsi="Times New Roman" w:eastAsia="Times New Roman" w:cs="Times New Roman"/>
          <w:color w:val="000000" w:themeColor="text1"/>
          <w:sz w:val="24"/>
          <w:szCs w:val="24"/>
        </w:rPr>
      </w:pPr>
      <w:r w:rsidRPr="00F73EF4">
        <w:rPr>
          <w:rFonts w:ascii="Times New Roman" w:hAnsi="Times New Roman" w:eastAsia="Times New Roman" w:cs="Times New Roman"/>
          <w:color w:val="000000" w:themeColor="text1"/>
          <w:sz w:val="24"/>
          <w:szCs w:val="24"/>
        </w:rPr>
        <w:t xml:space="preserve">The agency certifies compliance with </w:t>
      </w:r>
      <w:hyperlink w:history="1" r:id="rId5">
        <w:r w:rsidRPr="00F73EF4">
          <w:rPr>
            <w:rFonts w:ascii="Times New Roman" w:hAnsi="Times New Roman" w:eastAsia="Times New Roman" w:cs="Times New Roman"/>
            <w:color w:val="000000" w:themeColor="text1"/>
            <w:sz w:val="24"/>
            <w:szCs w:val="24"/>
            <w:u w:val="single"/>
          </w:rPr>
          <w:t xml:space="preserve">5 CFR 1320.9 </w:t>
        </w:r>
      </w:hyperlink>
      <w:r w:rsidRPr="00F73EF4">
        <w:rPr>
          <w:rFonts w:ascii="Times New Roman" w:hAnsi="Times New Roman" w:eastAsia="Times New Roman" w:cs="Times New Roman"/>
          <w:color w:val="000000" w:themeColor="text1"/>
          <w:sz w:val="24"/>
          <w:szCs w:val="24"/>
        </w:rPr>
        <w:t xml:space="preserve">and the related provisions of </w:t>
      </w:r>
      <w:hyperlink w:history="1" r:id="rId6">
        <w:r w:rsidRPr="00F73EF4">
          <w:rPr>
            <w:rFonts w:ascii="Times New Roman" w:hAnsi="Times New Roman" w:eastAsia="Times New Roman" w:cs="Times New Roman"/>
            <w:color w:val="000000" w:themeColor="text1"/>
            <w:sz w:val="24"/>
            <w:szCs w:val="24"/>
            <w:u w:val="single"/>
          </w:rPr>
          <w:t>5 CFR</w:t>
        </w:r>
      </w:hyperlink>
      <w:r w:rsidRPr="00F73EF4">
        <w:rPr>
          <w:rFonts w:ascii="Times New Roman" w:hAnsi="Times New Roman" w:eastAsia="Times New Roman" w:cs="Times New Roman"/>
          <w:color w:val="000000" w:themeColor="text1"/>
          <w:sz w:val="24"/>
          <w:szCs w:val="24"/>
        </w:rPr>
        <w:t xml:space="preserve"> </w:t>
      </w:r>
      <w:hyperlink w:history="1" r:id="rId7">
        <w:r w:rsidRPr="00F73EF4">
          <w:rPr>
            <w:rFonts w:ascii="Times New Roman" w:hAnsi="Times New Roman" w:eastAsia="Times New Roman" w:cs="Times New Roman"/>
            <w:color w:val="000000" w:themeColor="text1"/>
            <w:sz w:val="24"/>
            <w:szCs w:val="24"/>
            <w:u w:val="single"/>
          </w:rPr>
          <w:t>1320.8(b</w:t>
        </w:r>
        <w:proofErr w:type="gramStart"/>
        <w:r w:rsidRPr="00F73EF4">
          <w:rPr>
            <w:rFonts w:ascii="Times New Roman" w:hAnsi="Times New Roman" w:eastAsia="Times New Roman" w:cs="Times New Roman"/>
            <w:color w:val="000000" w:themeColor="text1"/>
            <w:sz w:val="24"/>
            <w:szCs w:val="24"/>
            <w:u w:val="single"/>
          </w:rPr>
          <w:t>)(</w:t>
        </w:r>
        <w:proofErr w:type="gramEnd"/>
        <w:r w:rsidRPr="00F73EF4">
          <w:rPr>
            <w:rFonts w:ascii="Times New Roman" w:hAnsi="Times New Roman" w:eastAsia="Times New Roman" w:cs="Times New Roman"/>
            <w:color w:val="000000" w:themeColor="text1"/>
            <w:sz w:val="24"/>
            <w:szCs w:val="24"/>
            <w:u w:val="single"/>
          </w:rPr>
          <w:t>3)</w:t>
        </w:r>
      </w:hyperlink>
      <w:r w:rsidRPr="00F73EF4">
        <w:rPr>
          <w:rFonts w:ascii="Times New Roman" w:hAnsi="Times New Roman" w:eastAsia="Times New Roman" w:cs="Times New Roman"/>
          <w:color w:val="000000" w:themeColor="text1"/>
          <w:sz w:val="24"/>
          <w:szCs w:val="24"/>
        </w:rPr>
        <w:t>.</w:t>
      </w:r>
    </w:p>
    <w:p w:rsidR="00786D2E" w:rsidRDefault="002C1B15"/>
    <w:sectPr w:rsidR="00786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7EC5"/>
    <w:multiLevelType w:val="multilevel"/>
    <w:tmpl w:val="526E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B504F"/>
    <w:multiLevelType w:val="multilevel"/>
    <w:tmpl w:val="4D60AE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1398C"/>
    <w:multiLevelType w:val="multilevel"/>
    <w:tmpl w:val="DE0E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C2F0A"/>
    <w:multiLevelType w:val="multilevel"/>
    <w:tmpl w:val="99B8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C33A0"/>
    <w:multiLevelType w:val="multilevel"/>
    <w:tmpl w:val="5B902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F412E"/>
    <w:multiLevelType w:val="multilevel"/>
    <w:tmpl w:val="836A024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323A2"/>
    <w:multiLevelType w:val="multilevel"/>
    <w:tmpl w:val="4B94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8523F"/>
    <w:multiLevelType w:val="multilevel"/>
    <w:tmpl w:val="1B784C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096B8F"/>
    <w:multiLevelType w:val="multilevel"/>
    <w:tmpl w:val="3D507E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C67738"/>
    <w:multiLevelType w:val="multilevel"/>
    <w:tmpl w:val="E82C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93DA1"/>
    <w:multiLevelType w:val="multilevel"/>
    <w:tmpl w:val="35AC7B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E4793D"/>
    <w:multiLevelType w:val="multilevel"/>
    <w:tmpl w:val="F28EC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3B0C8A"/>
    <w:multiLevelType w:val="multilevel"/>
    <w:tmpl w:val="7CAC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F3EA0"/>
    <w:multiLevelType w:val="multilevel"/>
    <w:tmpl w:val="A5DEB3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BA668A"/>
    <w:multiLevelType w:val="multilevel"/>
    <w:tmpl w:val="1130E5D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73ED7"/>
    <w:multiLevelType w:val="multilevel"/>
    <w:tmpl w:val="EE44360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7F54E1"/>
    <w:multiLevelType w:val="multilevel"/>
    <w:tmpl w:val="1354E0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066169"/>
    <w:multiLevelType w:val="multilevel"/>
    <w:tmpl w:val="7F78C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EA432D"/>
    <w:multiLevelType w:val="multilevel"/>
    <w:tmpl w:val="96CA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A75426"/>
    <w:multiLevelType w:val="multilevel"/>
    <w:tmpl w:val="EC40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E295C"/>
    <w:multiLevelType w:val="multilevel"/>
    <w:tmpl w:val="BCA6E3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6A3650"/>
    <w:multiLevelType w:val="multilevel"/>
    <w:tmpl w:val="B76E7C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D55FC1"/>
    <w:multiLevelType w:val="multilevel"/>
    <w:tmpl w:val="8CD660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632A82"/>
    <w:multiLevelType w:val="hybridMultilevel"/>
    <w:tmpl w:val="005AC2F8"/>
    <w:lvl w:ilvl="0" w:tplc="5B4ABDAC">
      <w:start w:val="8"/>
      <w:numFmt w:val="lowerLetter"/>
      <w:lvlText w:val="%1."/>
      <w:lvlJc w:val="left"/>
      <w:pPr>
        <w:tabs>
          <w:tab w:val="num" w:pos="720"/>
        </w:tabs>
        <w:ind w:left="720" w:hanging="360"/>
      </w:pPr>
    </w:lvl>
    <w:lvl w:ilvl="1" w:tplc="223CE162" w:tentative="1">
      <w:start w:val="1"/>
      <w:numFmt w:val="decimal"/>
      <w:lvlText w:val="%2."/>
      <w:lvlJc w:val="left"/>
      <w:pPr>
        <w:tabs>
          <w:tab w:val="num" w:pos="1440"/>
        </w:tabs>
        <w:ind w:left="1440" w:hanging="360"/>
      </w:pPr>
    </w:lvl>
    <w:lvl w:ilvl="2" w:tplc="27623860" w:tentative="1">
      <w:start w:val="1"/>
      <w:numFmt w:val="decimal"/>
      <w:lvlText w:val="%3."/>
      <w:lvlJc w:val="left"/>
      <w:pPr>
        <w:tabs>
          <w:tab w:val="num" w:pos="2160"/>
        </w:tabs>
        <w:ind w:left="2160" w:hanging="360"/>
      </w:pPr>
    </w:lvl>
    <w:lvl w:ilvl="3" w:tplc="489A9B46" w:tentative="1">
      <w:start w:val="1"/>
      <w:numFmt w:val="decimal"/>
      <w:lvlText w:val="%4."/>
      <w:lvlJc w:val="left"/>
      <w:pPr>
        <w:tabs>
          <w:tab w:val="num" w:pos="2880"/>
        </w:tabs>
        <w:ind w:left="2880" w:hanging="360"/>
      </w:pPr>
    </w:lvl>
    <w:lvl w:ilvl="4" w:tplc="52D8A9A8" w:tentative="1">
      <w:start w:val="1"/>
      <w:numFmt w:val="decimal"/>
      <w:lvlText w:val="%5."/>
      <w:lvlJc w:val="left"/>
      <w:pPr>
        <w:tabs>
          <w:tab w:val="num" w:pos="3600"/>
        </w:tabs>
        <w:ind w:left="3600" w:hanging="360"/>
      </w:pPr>
    </w:lvl>
    <w:lvl w:ilvl="5" w:tplc="4056758E" w:tentative="1">
      <w:start w:val="1"/>
      <w:numFmt w:val="decimal"/>
      <w:lvlText w:val="%6."/>
      <w:lvlJc w:val="left"/>
      <w:pPr>
        <w:tabs>
          <w:tab w:val="num" w:pos="4320"/>
        </w:tabs>
        <w:ind w:left="4320" w:hanging="360"/>
      </w:pPr>
    </w:lvl>
    <w:lvl w:ilvl="6" w:tplc="6D18CC52" w:tentative="1">
      <w:start w:val="1"/>
      <w:numFmt w:val="decimal"/>
      <w:lvlText w:val="%7."/>
      <w:lvlJc w:val="left"/>
      <w:pPr>
        <w:tabs>
          <w:tab w:val="num" w:pos="5040"/>
        </w:tabs>
        <w:ind w:left="5040" w:hanging="360"/>
      </w:pPr>
    </w:lvl>
    <w:lvl w:ilvl="7" w:tplc="E5A0C124" w:tentative="1">
      <w:start w:val="1"/>
      <w:numFmt w:val="decimal"/>
      <w:lvlText w:val="%8."/>
      <w:lvlJc w:val="left"/>
      <w:pPr>
        <w:tabs>
          <w:tab w:val="num" w:pos="5760"/>
        </w:tabs>
        <w:ind w:left="5760" w:hanging="360"/>
      </w:pPr>
    </w:lvl>
    <w:lvl w:ilvl="8" w:tplc="35B60988" w:tentative="1">
      <w:start w:val="1"/>
      <w:numFmt w:val="decimal"/>
      <w:lvlText w:val="%9."/>
      <w:lvlJc w:val="left"/>
      <w:pPr>
        <w:tabs>
          <w:tab w:val="num" w:pos="6480"/>
        </w:tabs>
        <w:ind w:left="6480" w:hanging="360"/>
      </w:pPr>
    </w:lvl>
  </w:abstractNum>
  <w:abstractNum w:abstractNumId="24" w15:restartNumberingAfterBreak="0">
    <w:nsid w:val="6FA43D21"/>
    <w:multiLevelType w:val="multilevel"/>
    <w:tmpl w:val="A7C486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2871EF"/>
    <w:multiLevelType w:val="multilevel"/>
    <w:tmpl w:val="4A3E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9C12A5"/>
    <w:multiLevelType w:val="multilevel"/>
    <w:tmpl w:val="E50E0C3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167115"/>
    <w:multiLevelType w:val="multilevel"/>
    <w:tmpl w:val="0412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C07D5D"/>
    <w:multiLevelType w:val="multilevel"/>
    <w:tmpl w:val="3FBEDE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0"/>
    <w:lvlOverride w:ilvl="0">
      <w:lvl w:ilvl="0">
        <w:numFmt w:val="decimal"/>
        <w:lvlText w:val="%1."/>
        <w:lvlJc w:val="left"/>
        <w:rPr>
          <w:sz w:val="40"/>
        </w:rPr>
      </w:lvl>
    </w:lvlOverride>
  </w:num>
  <w:num w:numId="3">
    <w:abstractNumId w:val="0"/>
  </w:num>
  <w:num w:numId="4">
    <w:abstractNumId w:val="6"/>
  </w:num>
  <w:num w:numId="5">
    <w:abstractNumId w:val="25"/>
  </w:num>
  <w:num w:numId="6">
    <w:abstractNumId w:val="11"/>
    <w:lvlOverride w:ilvl="0">
      <w:lvl w:ilvl="0">
        <w:numFmt w:val="decimal"/>
        <w:lvlText w:val="%1."/>
        <w:lvlJc w:val="left"/>
      </w:lvl>
    </w:lvlOverride>
  </w:num>
  <w:num w:numId="7">
    <w:abstractNumId w:val="17"/>
    <w:lvlOverride w:ilvl="0">
      <w:lvl w:ilvl="0">
        <w:numFmt w:val="decimal"/>
        <w:lvlText w:val="%1."/>
        <w:lvlJc w:val="left"/>
      </w:lvl>
    </w:lvlOverride>
  </w:num>
  <w:num w:numId="8">
    <w:abstractNumId w:val="7"/>
    <w:lvlOverride w:ilvl="0">
      <w:lvl w:ilvl="0">
        <w:numFmt w:val="decimal"/>
        <w:lvlText w:val="%1."/>
        <w:lvlJc w:val="left"/>
      </w:lvl>
    </w:lvlOverride>
  </w:num>
  <w:num w:numId="9">
    <w:abstractNumId w:val="8"/>
    <w:lvlOverride w:ilvl="0">
      <w:lvl w:ilvl="0">
        <w:numFmt w:val="decimal"/>
        <w:lvlText w:val="%1."/>
        <w:lvlJc w:val="left"/>
      </w:lvl>
    </w:lvlOverride>
  </w:num>
  <w:num w:numId="10">
    <w:abstractNumId w:val="10"/>
    <w:lvlOverride w:ilvl="0">
      <w:lvl w:ilvl="0">
        <w:numFmt w:val="decimal"/>
        <w:lvlText w:val="%1."/>
        <w:lvlJc w:val="left"/>
      </w:lvl>
    </w:lvlOverride>
  </w:num>
  <w:num w:numId="11">
    <w:abstractNumId w:val="3"/>
  </w:num>
  <w:num w:numId="12">
    <w:abstractNumId w:val="22"/>
    <w:lvlOverride w:ilvl="0">
      <w:lvl w:ilvl="0">
        <w:numFmt w:val="decimal"/>
        <w:lvlText w:val="%1."/>
        <w:lvlJc w:val="left"/>
      </w:lvl>
    </w:lvlOverride>
  </w:num>
  <w:num w:numId="13">
    <w:abstractNumId w:val="28"/>
    <w:lvlOverride w:ilvl="0">
      <w:lvl w:ilvl="0">
        <w:numFmt w:val="decimal"/>
        <w:lvlText w:val="%1."/>
        <w:lvlJc w:val="left"/>
      </w:lvl>
    </w:lvlOverride>
  </w:num>
  <w:num w:numId="14">
    <w:abstractNumId w:val="24"/>
    <w:lvlOverride w:ilvl="0">
      <w:lvl w:ilvl="0">
        <w:numFmt w:val="decimal"/>
        <w:lvlText w:val="%1."/>
        <w:lvlJc w:val="left"/>
      </w:lvl>
    </w:lvlOverride>
  </w:num>
  <w:num w:numId="15">
    <w:abstractNumId w:val="21"/>
    <w:lvlOverride w:ilvl="0">
      <w:lvl w:ilvl="0">
        <w:numFmt w:val="decimal"/>
        <w:lvlText w:val="%1."/>
        <w:lvlJc w:val="left"/>
      </w:lvl>
    </w:lvlOverride>
  </w:num>
  <w:num w:numId="16">
    <w:abstractNumId w:val="1"/>
    <w:lvlOverride w:ilvl="0">
      <w:lvl w:ilvl="0">
        <w:numFmt w:val="decimal"/>
        <w:lvlText w:val="%1."/>
        <w:lvlJc w:val="left"/>
      </w:lvl>
    </w:lvlOverride>
  </w:num>
  <w:num w:numId="17">
    <w:abstractNumId w:val="27"/>
  </w:num>
  <w:num w:numId="18">
    <w:abstractNumId w:val="19"/>
  </w:num>
  <w:num w:numId="19">
    <w:abstractNumId w:val="14"/>
    <w:lvlOverride w:ilvl="0">
      <w:lvl w:ilvl="0">
        <w:numFmt w:val="decimal"/>
        <w:lvlText w:val="%1."/>
        <w:lvlJc w:val="left"/>
      </w:lvl>
    </w:lvlOverride>
  </w:num>
  <w:num w:numId="20">
    <w:abstractNumId w:val="2"/>
  </w:num>
  <w:num w:numId="21">
    <w:abstractNumId w:val="12"/>
  </w:num>
  <w:num w:numId="22">
    <w:abstractNumId w:val="13"/>
    <w:lvlOverride w:ilvl="0">
      <w:lvl w:ilvl="0">
        <w:numFmt w:val="decimal"/>
        <w:lvlText w:val="%1."/>
        <w:lvlJc w:val="left"/>
      </w:lvl>
    </w:lvlOverride>
  </w:num>
  <w:num w:numId="23">
    <w:abstractNumId w:val="9"/>
  </w:num>
  <w:num w:numId="24">
    <w:abstractNumId w:val="15"/>
    <w:lvlOverride w:ilvl="0">
      <w:lvl w:ilvl="0">
        <w:numFmt w:val="decimal"/>
        <w:lvlText w:val="%1."/>
        <w:lvlJc w:val="left"/>
      </w:lvl>
    </w:lvlOverride>
  </w:num>
  <w:num w:numId="25">
    <w:abstractNumId w:val="16"/>
    <w:lvlOverride w:ilvl="0">
      <w:lvl w:ilvl="0">
        <w:numFmt w:val="decimal"/>
        <w:lvlText w:val="%1."/>
        <w:lvlJc w:val="left"/>
      </w:lvl>
    </w:lvlOverride>
  </w:num>
  <w:num w:numId="26">
    <w:abstractNumId w:val="5"/>
    <w:lvlOverride w:ilvl="0">
      <w:lvl w:ilvl="0">
        <w:numFmt w:val="decimal"/>
        <w:lvlText w:val="%1."/>
        <w:lvlJc w:val="left"/>
      </w:lvl>
    </w:lvlOverride>
  </w:num>
  <w:num w:numId="27">
    <w:abstractNumId w:val="26"/>
    <w:lvlOverride w:ilvl="0">
      <w:lvl w:ilvl="0">
        <w:numFmt w:val="decimal"/>
        <w:lvlText w:val="%1."/>
        <w:lvlJc w:val="left"/>
      </w:lvl>
    </w:lvlOverride>
  </w:num>
  <w:num w:numId="28">
    <w:abstractNumId w:val="18"/>
    <w:lvlOverride w:ilvl="0">
      <w:lvl w:ilvl="0">
        <w:numFmt w:val="lowerLetter"/>
        <w:lvlText w:val="%1."/>
        <w:lvlJc w:val="left"/>
      </w:lvl>
    </w:lvlOverride>
  </w:num>
  <w:num w:numId="29">
    <w:abstractNumId w:val="23"/>
  </w:num>
  <w:num w:numId="30">
    <w:abstractNumId w:val="23"/>
    <w:lvlOverride w:ilvl="0">
      <w:lvl w:ilvl="0" w:tplc="5B4ABDAC">
        <w:numFmt w:val="lowerLetter"/>
        <w:lvlText w:val="%1."/>
        <w:lvlJc w:val="left"/>
      </w:lvl>
    </w:lvlOverride>
  </w:num>
  <w:num w:numId="31">
    <w:abstractNumId w:val="23"/>
    <w:lvlOverride w:ilvl="0">
      <w:lvl w:ilvl="0" w:tplc="5B4ABDAC">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B4"/>
    <w:rsid w:val="000F3E23"/>
    <w:rsid w:val="001C4EBB"/>
    <w:rsid w:val="002C1B15"/>
    <w:rsid w:val="002F7129"/>
    <w:rsid w:val="006635D5"/>
    <w:rsid w:val="00702F05"/>
    <w:rsid w:val="007B08F7"/>
    <w:rsid w:val="00AA7E68"/>
    <w:rsid w:val="00B053B4"/>
    <w:rsid w:val="00DA6BFA"/>
    <w:rsid w:val="00E5474C"/>
    <w:rsid w:val="00F16354"/>
    <w:rsid w:val="00F7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CB0D"/>
  <w15:chartTrackingRefBased/>
  <w15:docId w15:val="{3E043AF0-5988-45C2-89FE-363A7FD6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053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3B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053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53B4"/>
    <w:rPr>
      <w:color w:val="0000FF"/>
      <w:u w:val="single"/>
    </w:rPr>
  </w:style>
  <w:style w:type="character" w:customStyle="1" w:styleId="apple-tab-span">
    <w:name w:val="apple-tab-span"/>
    <w:basedOn w:val="DefaultParagraphFont"/>
    <w:rsid w:val="00B053B4"/>
  </w:style>
  <w:style w:type="paragraph" w:styleId="ListParagraph">
    <w:name w:val="List Paragraph"/>
    <w:basedOn w:val="Normal"/>
    <w:uiPriority w:val="34"/>
    <w:qFormat/>
    <w:rsid w:val="00F16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147415">
      <w:bodyDiv w:val="1"/>
      <w:marLeft w:val="0"/>
      <w:marRight w:val="0"/>
      <w:marTop w:val="0"/>
      <w:marBottom w:val="0"/>
      <w:divBdr>
        <w:top w:val="none" w:sz="0" w:space="0" w:color="auto"/>
        <w:left w:val="none" w:sz="0" w:space="0" w:color="auto"/>
        <w:bottom w:val="none" w:sz="0" w:space="0" w:color="auto"/>
        <w:right w:val="none" w:sz="0" w:space="0" w:color="auto"/>
      </w:divBdr>
    </w:div>
    <w:div w:id="2077126675">
      <w:bodyDiv w:val="1"/>
      <w:marLeft w:val="0"/>
      <w:marRight w:val="0"/>
      <w:marTop w:val="0"/>
      <w:marBottom w:val="0"/>
      <w:divBdr>
        <w:top w:val="none" w:sz="0" w:space="0" w:color="auto"/>
        <w:left w:val="none" w:sz="0" w:space="0" w:color="auto"/>
        <w:bottom w:val="none" w:sz="0" w:space="0" w:color="auto"/>
        <w:right w:val="none" w:sz="0" w:space="0" w:color="auto"/>
      </w:divBdr>
      <w:divsChild>
        <w:div w:id="231549223">
          <w:marLeft w:val="-5"/>
          <w:marRight w:val="0"/>
          <w:marTop w:val="0"/>
          <w:marBottom w:val="0"/>
          <w:divBdr>
            <w:top w:val="none" w:sz="0" w:space="0" w:color="auto"/>
            <w:left w:val="none" w:sz="0" w:space="0" w:color="auto"/>
            <w:bottom w:val="none" w:sz="0" w:space="0" w:color="auto"/>
            <w:right w:val="none" w:sz="0" w:space="0" w:color="auto"/>
          </w:divBdr>
        </w:div>
        <w:div w:id="612327699">
          <w:marLeft w:val="-140"/>
          <w:marRight w:val="0"/>
          <w:marTop w:val="0"/>
          <w:marBottom w:val="0"/>
          <w:divBdr>
            <w:top w:val="none" w:sz="0" w:space="0" w:color="auto"/>
            <w:left w:val="none" w:sz="0" w:space="0" w:color="auto"/>
            <w:bottom w:val="none" w:sz="0" w:space="0" w:color="auto"/>
            <w:right w:val="none" w:sz="0" w:space="0" w:color="auto"/>
          </w:divBdr>
        </w:div>
        <w:div w:id="1270309833">
          <w:marLeft w:val="-140"/>
          <w:marRight w:val="0"/>
          <w:marTop w:val="0"/>
          <w:marBottom w:val="0"/>
          <w:divBdr>
            <w:top w:val="none" w:sz="0" w:space="0" w:color="auto"/>
            <w:left w:val="none" w:sz="0" w:space="0" w:color="auto"/>
            <w:bottom w:val="none" w:sz="0" w:space="0" w:color="auto"/>
            <w:right w:val="none" w:sz="0" w:space="0" w:color="auto"/>
          </w:divBdr>
        </w:div>
        <w:div w:id="1366368984">
          <w:marLeft w:val="-140"/>
          <w:marRight w:val="0"/>
          <w:marTop w:val="0"/>
          <w:marBottom w:val="0"/>
          <w:divBdr>
            <w:top w:val="none" w:sz="0" w:space="0" w:color="auto"/>
            <w:left w:val="none" w:sz="0" w:space="0" w:color="auto"/>
            <w:bottom w:val="none" w:sz="0" w:space="0" w:color="auto"/>
            <w:right w:val="none" w:sz="0" w:space="0" w:color="auto"/>
          </w:divBdr>
        </w:div>
        <w:div w:id="301275157">
          <w:marLeft w:val="-575"/>
          <w:marRight w:val="0"/>
          <w:marTop w:val="0"/>
          <w:marBottom w:val="0"/>
          <w:divBdr>
            <w:top w:val="none" w:sz="0" w:space="0" w:color="auto"/>
            <w:left w:val="none" w:sz="0" w:space="0" w:color="auto"/>
            <w:bottom w:val="none" w:sz="0" w:space="0" w:color="auto"/>
            <w:right w:val="none" w:sz="0" w:space="0" w:color="auto"/>
          </w:divBdr>
        </w:div>
        <w:div w:id="969819823">
          <w:marLeft w:val="-140"/>
          <w:marRight w:val="0"/>
          <w:marTop w:val="0"/>
          <w:marBottom w:val="0"/>
          <w:divBdr>
            <w:top w:val="none" w:sz="0" w:space="0" w:color="auto"/>
            <w:left w:val="none" w:sz="0" w:space="0" w:color="auto"/>
            <w:bottom w:val="none" w:sz="0" w:space="0" w:color="auto"/>
            <w:right w:val="none" w:sz="0" w:space="0" w:color="auto"/>
          </w:divBdr>
        </w:div>
        <w:div w:id="1285771898">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po.gov/fdsys/pkg/CFR-2014-title5-vol3/pdf/CFR-2014-title5-vol3-sec1320-8.pdf" TargetMode="External"/><Relationship Id="rId5" Type="http://schemas.openxmlformats.org/officeDocument/2006/relationships/hyperlink" Target="http://www.gpo.gov/fdsys/pkg/CFR-2014-title5-vol3/pdf/CFR-2014-title5-vol3-sec1320-9.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Smith</dc:creator>
  <cp:keywords/>
  <dc:description/>
  <cp:lastModifiedBy>Janet.Peery</cp:lastModifiedBy>
  <cp:revision>6</cp:revision>
  <dcterms:created xsi:type="dcterms:W3CDTF">2021-04-07T20:43:00Z</dcterms:created>
  <dcterms:modified xsi:type="dcterms:W3CDTF">2021-04-12T13:20:00Z</dcterms:modified>
</cp:coreProperties>
</file>